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color w:val="auto"/>
          <w:sz w:val="52"/>
          <w:szCs w:val="52"/>
          <w:highlight w:val="none"/>
        </w:rPr>
      </w:pPr>
    </w:p>
    <w:p>
      <w:pPr>
        <w:pStyle w:val="11"/>
        <w:spacing w:line="800" w:lineRule="exact"/>
        <w:jc w:val="center"/>
        <w:rPr>
          <w:rFonts w:hint="eastAsia" w:ascii="仿宋" w:hAnsi="仿宋" w:eastAsia="仿宋" w:cs="仿宋"/>
          <w:b/>
          <w:bCs/>
          <w:color w:val="auto"/>
          <w:sz w:val="44"/>
          <w:szCs w:val="44"/>
          <w:highlight w:val="none"/>
          <w:lang w:eastAsia="zh-CN"/>
        </w:rPr>
      </w:pPr>
      <w:r>
        <w:rPr>
          <w:rFonts w:hint="eastAsia" w:ascii="仿宋" w:hAnsi="仿宋" w:eastAsia="仿宋" w:cs="仿宋"/>
          <w:b/>
          <w:bCs/>
          <w:color w:val="auto"/>
          <w:sz w:val="52"/>
          <w:szCs w:val="52"/>
          <w:highlight w:val="none"/>
          <w:lang w:eastAsia="zh-CN"/>
        </w:rPr>
        <w:t>浙江东创建筑材料有限公司装载机采购项目</w:t>
      </w:r>
    </w:p>
    <w:p>
      <w:pPr>
        <w:pStyle w:val="17"/>
        <w:spacing w:before="120" w:after="120"/>
        <w:rPr>
          <w:rFonts w:hint="eastAsia" w:ascii="仿宋" w:hAnsi="仿宋" w:eastAsia="仿宋" w:cs="仿宋"/>
          <w:b/>
          <w:bCs/>
          <w:color w:val="auto"/>
          <w:sz w:val="84"/>
          <w:szCs w:val="84"/>
          <w:highlight w:val="none"/>
        </w:rPr>
      </w:pPr>
    </w:p>
    <w:p>
      <w:pPr>
        <w:pStyle w:val="17"/>
        <w:spacing w:before="120" w:after="120"/>
        <w:rPr>
          <w:rFonts w:hint="eastAsia" w:ascii="仿宋" w:hAnsi="仿宋" w:eastAsia="仿宋" w:cs="仿宋"/>
          <w:b/>
          <w:bCs/>
          <w:color w:val="auto"/>
          <w:sz w:val="84"/>
          <w:szCs w:val="84"/>
          <w:highlight w:val="none"/>
        </w:rPr>
      </w:pPr>
    </w:p>
    <w:p>
      <w:pPr>
        <w:pStyle w:val="17"/>
        <w:spacing w:before="120" w:after="120"/>
        <w:rPr>
          <w:rFonts w:hint="eastAsia" w:ascii="仿宋" w:hAnsi="仿宋" w:eastAsia="仿宋" w:cs="仿宋"/>
          <w:b/>
          <w:bCs/>
          <w:color w:val="auto"/>
          <w:sz w:val="84"/>
          <w:szCs w:val="84"/>
          <w:highlight w:val="none"/>
        </w:rPr>
      </w:pPr>
    </w:p>
    <w:p>
      <w:pPr>
        <w:pStyle w:val="17"/>
        <w:spacing w:before="120" w:after="120"/>
        <w:rPr>
          <w:rFonts w:hint="eastAsia" w:ascii="仿宋" w:hAnsi="仿宋" w:eastAsia="仿宋" w:cs="仿宋"/>
          <w:b/>
          <w:bCs/>
          <w:color w:val="auto"/>
          <w:sz w:val="84"/>
          <w:szCs w:val="84"/>
          <w:highlight w:val="none"/>
        </w:rPr>
      </w:pPr>
    </w:p>
    <w:p>
      <w:pPr>
        <w:pStyle w:val="17"/>
        <w:spacing w:before="120" w:after="120"/>
        <w:rPr>
          <w:rFonts w:hint="eastAsia" w:ascii="仿宋" w:hAnsi="仿宋" w:eastAsia="仿宋" w:cs="仿宋"/>
          <w:b/>
          <w:bCs/>
          <w:color w:val="auto"/>
          <w:sz w:val="84"/>
          <w:szCs w:val="84"/>
          <w:highlight w:val="none"/>
        </w:rPr>
      </w:pPr>
    </w:p>
    <w:p>
      <w:pPr>
        <w:spacing w:before="120" w:beforeLines="50"/>
        <w:jc w:val="center"/>
        <w:rPr>
          <w:rFonts w:hint="eastAsia" w:ascii="仿宋" w:hAnsi="仿宋" w:eastAsia="仿宋" w:cs="仿宋"/>
          <w:b/>
          <w:bCs/>
          <w:color w:val="auto"/>
          <w:sz w:val="84"/>
          <w:szCs w:val="84"/>
          <w:highlight w:val="none"/>
        </w:rPr>
      </w:pPr>
      <w:r>
        <w:rPr>
          <w:rFonts w:hint="eastAsia" w:ascii="仿宋" w:hAnsi="仿宋" w:eastAsia="仿宋" w:cs="仿宋"/>
          <w:b/>
          <w:bCs/>
          <w:color w:val="auto"/>
          <w:sz w:val="84"/>
          <w:szCs w:val="84"/>
          <w:highlight w:val="none"/>
        </w:rPr>
        <w:t>公开招标采购文件</w:t>
      </w:r>
    </w:p>
    <w:p>
      <w:pPr>
        <w:pStyle w:val="17"/>
        <w:spacing w:before="120" w:after="120"/>
        <w:rPr>
          <w:rFonts w:hint="eastAsia" w:ascii="仿宋" w:hAnsi="仿宋" w:eastAsia="仿宋" w:cs="仿宋"/>
          <w:b/>
          <w:bCs/>
          <w:color w:val="auto"/>
          <w:sz w:val="84"/>
          <w:szCs w:val="84"/>
          <w:highlight w:val="none"/>
        </w:rPr>
      </w:pPr>
    </w:p>
    <w:p>
      <w:pPr>
        <w:pStyle w:val="17"/>
        <w:spacing w:before="120" w:after="120"/>
        <w:rPr>
          <w:rFonts w:hint="eastAsia" w:ascii="仿宋" w:hAnsi="仿宋" w:eastAsia="仿宋" w:cs="仿宋"/>
          <w:b/>
          <w:bCs/>
          <w:color w:val="auto"/>
          <w:sz w:val="84"/>
          <w:szCs w:val="84"/>
          <w:highlight w:val="none"/>
        </w:rPr>
      </w:pPr>
    </w:p>
    <w:p>
      <w:pPr>
        <w:pStyle w:val="17"/>
        <w:spacing w:before="120" w:after="120"/>
        <w:rPr>
          <w:rFonts w:hint="eastAsia" w:ascii="仿宋" w:hAnsi="仿宋" w:eastAsia="仿宋" w:cs="仿宋"/>
          <w:b/>
          <w:bCs/>
          <w:color w:val="auto"/>
          <w:sz w:val="84"/>
          <w:szCs w:val="84"/>
          <w:highlight w:val="none"/>
        </w:rPr>
      </w:pPr>
    </w:p>
    <w:p>
      <w:pPr>
        <w:pStyle w:val="17"/>
        <w:spacing w:before="120" w:after="120"/>
        <w:rPr>
          <w:rFonts w:hint="eastAsia" w:ascii="仿宋" w:hAnsi="仿宋" w:eastAsia="仿宋" w:cs="仿宋"/>
          <w:color w:val="auto"/>
          <w:highlight w:val="none"/>
        </w:rPr>
      </w:pPr>
    </w:p>
    <w:p>
      <w:pPr>
        <w:pStyle w:val="17"/>
        <w:spacing w:before="120" w:after="120"/>
        <w:rPr>
          <w:rFonts w:hint="eastAsia" w:ascii="仿宋" w:hAnsi="仿宋" w:eastAsia="仿宋" w:cs="仿宋"/>
          <w:b/>
          <w:bCs/>
          <w:color w:val="auto"/>
          <w:sz w:val="84"/>
          <w:szCs w:val="84"/>
          <w:highlight w:val="none"/>
        </w:rPr>
      </w:pPr>
    </w:p>
    <w:p>
      <w:pPr>
        <w:pStyle w:val="17"/>
        <w:keepNext w:val="0"/>
        <w:keepLines w:val="0"/>
        <w:pageBreakBefore w:val="0"/>
        <w:widowControl w:val="0"/>
        <w:kinsoku/>
        <w:wordWrap/>
        <w:overflowPunct/>
        <w:topLinePunct w:val="0"/>
        <w:autoSpaceDE/>
        <w:autoSpaceDN/>
        <w:bidi w:val="0"/>
        <w:adjustRightInd/>
        <w:snapToGrid w:val="0"/>
        <w:spacing w:before="120" w:beforeLines="0" w:after="120" w:afterLines="0" w:line="480" w:lineRule="auto"/>
        <w:ind w:firstLine="964" w:firstLineChars="300"/>
        <w:textAlignment w:val="auto"/>
        <w:rPr>
          <w:rFonts w:hint="eastAsia" w:ascii="仿宋" w:hAnsi="仿宋" w:eastAsia="仿宋" w:cs="仿宋"/>
          <w:color w:val="auto"/>
          <w:highlight w:val="none"/>
          <w:lang w:eastAsia="zh-CN"/>
        </w:rPr>
      </w:pPr>
      <w:r>
        <w:rPr>
          <w:rFonts w:hint="eastAsia" w:ascii="仿宋" w:hAnsi="仿宋" w:eastAsia="仿宋" w:cs="仿宋"/>
          <w:b/>
          <w:bCs/>
          <w:color w:val="auto"/>
          <w:sz w:val="32"/>
          <w:szCs w:val="32"/>
          <w:highlight w:val="none"/>
        </w:rPr>
        <w:t>项目编号：</w:t>
      </w:r>
      <w:r>
        <w:rPr>
          <w:rFonts w:hint="eastAsia" w:ascii="仿宋" w:hAnsi="仿宋" w:eastAsia="仿宋" w:cs="仿宋"/>
          <w:b/>
          <w:bCs/>
          <w:color w:val="auto"/>
          <w:sz w:val="32"/>
          <w:szCs w:val="32"/>
          <w:highlight w:val="none"/>
          <w:lang w:eastAsia="zh-CN"/>
        </w:rPr>
        <w:t>ZJNH-CQ202</w:t>
      </w:r>
      <w:r>
        <w:rPr>
          <w:rFonts w:hint="eastAsia" w:ascii="仿宋" w:hAnsi="仿宋" w:eastAsia="仿宋" w:cs="仿宋"/>
          <w:b/>
          <w:bCs/>
          <w:color w:val="auto"/>
          <w:sz w:val="32"/>
          <w:szCs w:val="32"/>
          <w:highlight w:val="none"/>
          <w:lang w:val="en-US" w:eastAsia="zh-CN"/>
        </w:rPr>
        <w:t>4</w:t>
      </w:r>
      <w:r>
        <w:rPr>
          <w:rFonts w:hint="eastAsia" w:ascii="仿宋" w:hAnsi="仿宋" w:eastAsia="仿宋" w:cs="仿宋"/>
          <w:b/>
          <w:bCs/>
          <w:color w:val="auto"/>
          <w:sz w:val="32"/>
          <w:szCs w:val="32"/>
          <w:highlight w:val="none"/>
          <w:lang w:eastAsia="zh-CN"/>
        </w:rPr>
        <w:t>0</w:t>
      </w:r>
      <w:r>
        <w:rPr>
          <w:rFonts w:hint="eastAsia" w:ascii="仿宋" w:hAnsi="仿宋" w:eastAsia="仿宋" w:cs="仿宋"/>
          <w:b/>
          <w:bCs/>
          <w:color w:val="auto"/>
          <w:sz w:val="32"/>
          <w:szCs w:val="32"/>
          <w:highlight w:val="none"/>
          <w:lang w:val="en-US" w:eastAsia="zh-CN"/>
        </w:rPr>
        <w:t>3</w:t>
      </w:r>
    </w:p>
    <w:p>
      <w:pPr>
        <w:pStyle w:val="17"/>
        <w:keepNext w:val="0"/>
        <w:keepLines w:val="0"/>
        <w:pageBreakBefore w:val="0"/>
        <w:widowControl w:val="0"/>
        <w:kinsoku/>
        <w:wordWrap/>
        <w:overflowPunct/>
        <w:topLinePunct w:val="0"/>
        <w:autoSpaceDE/>
        <w:autoSpaceDN/>
        <w:bidi w:val="0"/>
        <w:adjustRightInd/>
        <w:snapToGrid w:val="0"/>
        <w:spacing w:before="120" w:beforeLines="0" w:after="120" w:afterLines="0" w:line="480" w:lineRule="auto"/>
        <w:ind w:firstLine="964" w:firstLineChars="300"/>
        <w:textAlignment w:val="auto"/>
        <w:rPr>
          <w:rFonts w:hint="eastAsia" w:ascii="仿宋" w:hAnsi="仿宋" w:eastAsia="仿宋" w:cs="仿宋"/>
          <w:color w:val="auto"/>
          <w:sz w:val="28"/>
          <w:szCs w:val="28"/>
          <w:highlight w:val="none"/>
          <w:lang w:eastAsia="zh-CN"/>
        </w:rPr>
      </w:pPr>
      <w:r>
        <w:rPr>
          <w:rFonts w:hint="eastAsia" w:ascii="仿宋" w:hAnsi="仿宋" w:eastAsia="仿宋" w:cs="仿宋"/>
          <w:b/>
          <w:bCs/>
          <w:color w:val="auto"/>
          <w:sz w:val="32"/>
          <w:szCs w:val="32"/>
          <w:highlight w:val="none"/>
        </w:rPr>
        <w:t>采购单位：</w:t>
      </w:r>
      <w:r>
        <w:rPr>
          <w:rFonts w:hint="eastAsia" w:ascii="仿宋" w:hAnsi="仿宋" w:eastAsia="仿宋" w:cs="仿宋"/>
          <w:b/>
          <w:bCs/>
          <w:color w:val="auto"/>
          <w:sz w:val="32"/>
          <w:szCs w:val="32"/>
          <w:highlight w:val="none"/>
          <w:lang w:eastAsia="zh-CN"/>
        </w:rPr>
        <w:t>浙江武义吾诚商贸有限公司</w:t>
      </w:r>
    </w:p>
    <w:p>
      <w:pPr>
        <w:pStyle w:val="17"/>
        <w:keepNext w:val="0"/>
        <w:keepLines w:val="0"/>
        <w:pageBreakBefore w:val="0"/>
        <w:widowControl w:val="0"/>
        <w:kinsoku/>
        <w:wordWrap/>
        <w:overflowPunct/>
        <w:topLinePunct w:val="0"/>
        <w:autoSpaceDE/>
        <w:autoSpaceDN/>
        <w:bidi w:val="0"/>
        <w:adjustRightInd/>
        <w:snapToGrid w:val="0"/>
        <w:spacing w:before="120" w:beforeLines="0" w:after="120" w:afterLines="0" w:line="480" w:lineRule="auto"/>
        <w:ind w:firstLine="964" w:firstLineChars="300"/>
        <w:textAlignment w:val="auto"/>
        <w:rPr>
          <w:rFonts w:hint="eastAsia" w:ascii="仿宋" w:hAnsi="仿宋" w:eastAsia="仿宋" w:cs="仿宋"/>
          <w:b/>
          <w:bCs/>
          <w:color w:val="auto"/>
          <w:sz w:val="32"/>
          <w:szCs w:val="32"/>
          <w:highlight w:val="none"/>
          <w:lang w:eastAsia="zh-CN"/>
        </w:rPr>
      </w:pPr>
      <w:r>
        <w:rPr>
          <w:rFonts w:hint="eastAsia" w:ascii="仿宋" w:hAnsi="仿宋" w:eastAsia="仿宋" w:cs="仿宋"/>
          <w:b/>
          <w:bCs/>
          <w:color w:val="auto"/>
          <w:sz w:val="32"/>
          <w:szCs w:val="32"/>
          <w:highlight w:val="none"/>
        </w:rPr>
        <w:t>代理机构：</w:t>
      </w:r>
      <w:r>
        <w:rPr>
          <w:rFonts w:hint="eastAsia" w:ascii="仿宋" w:hAnsi="仿宋" w:eastAsia="仿宋" w:cs="仿宋"/>
          <w:b/>
          <w:bCs/>
          <w:color w:val="auto"/>
          <w:sz w:val="32"/>
          <w:szCs w:val="32"/>
          <w:highlight w:val="none"/>
          <w:lang w:eastAsia="zh-CN"/>
        </w:rPr>
        <w:t>浙江宁和工程管理有限公司</w:t>
      </w:r>
    </w:p>
    <w:p>
      <w:pPr>
        <w:pStyle w:val="17"/>
        <w:spacing w:before="120" w:after="120"/>
        <w:rPr>
          <w:rFonts w:hint="eastAsia" w:ascii="仿宋" w:hAnsi="仿宋" w:eastAsia="仿宋" w:cs="仿宋"/>
          <w:b/>
          <w:bCs/>
          <w:color w:val="auto"/>
          <w:sz w:val="84"/>
          <w:szCs w:val="84"/>
          <w:highlight w:val="none"/>
        </w:rPr>
      </w:pPr>
    </w:p>
    <w:p>
      <w:pPr>
        <w:pStyle w:val="17"/>
        <w:snapToGrid w:val="0"/>
        <w:spacing w:before="120" w:beforeLines="0" w:after="120" w:afterLines="0" w:line="240" w:lineRule="auto"/>
        <w:jc w:val="center"/>
        <w:rPr>
          <w:rFonts w:hint="eastAsia" w:ascii="仿宋" w:hAnsi="仿宋" w:eastAsia="仿宋" w:cs="仿宋"/>
          <w:b/>
          <w:bCs/>
          <w:color w:val="auto"/>
          <w:sz w:val="32"/>
          <w:szCs w:val="32"/>
          <w:highlight w:val="none"/>
        </w:rPr>
        <w:sectPr>
          <w:headerReference r:id="rId3" w:type="default"/>
          <w:footerReference r:id="rId4" w:type="default"/>
          <w:pgSz w:w="11906" w:h="16838"/>
          <w:pgMar w:top="1474" w:right="1627" w:bottom="1247" w:left="1684" w:header="851" w:footer="851" w:gutter="0"/>
          <w:pgBorders>
            <w:top w:val="none" w:sz="0" w:space="0"/>
            <w:left w:val="none" w:sz="0" w:space="0"/>
            <w:bottom w:val="none" w:sz="0" w:space="0"/>
            <w:right w:val="none" w:sz="0" w:space="0"/>
          </w:pgBorders>
          <w:cols w:space="720" w:num="1"/>
          <w:docGrid w:linePitch="312" w:charSpace="0"/>
        </w:sectPr>
      </w:pPr>
      <w:r>
        <w:rPr>
          <w:rFonts w:hint="eastAsia" w:ascii="仿宋" w:hAnsi="仿宋" w:eastAsia="仿宋" w:cs="仿宋"/>
          <w:b/>
          <w:bCs/>
          <w:color w:val="auto"/>
          <w:sz w:val="32"/>
          <w:szCs w:val="32"/>
          <w:highlight w:val="none"/>
        </w:rPr>
        <w:t>二○二</w:t>
      </w:r>
      <w:r>
        <w:rPr>
          <w:rFonts w:hint="eastAsia" w:ascii="仿宋" w:hAnsi="仿宋" w:eastAsia="仿宋" w:cs="仿宋"/>
          <w:b/>
          <w:bCs/>
          <w:color w:val="auto"/>
          <w:sz w:val="32"/>
          <w:szCs w:val="32"/>
          <w:highlight w:val="none"/>
          <w:lang w:val="en-US" w:eastAsia="zh-CN"/>
        </w:rPr>
        <w:t>四</w:t>
      </w:r>
      <w:r>
        <w:rPr>
          <w:rFonts w:hint="eastAsia" w:ascii="仿宋" w:hAnsi="仿宋" w:eastAsia="仿宋" w:cs="仿宋"/>
          <w:b/>
          <w:bCs/>
          <w:color w:val="auto"/>
          <w:sz w:val="32"/>
          <w:szCs w:val="32"/>
          <w:highlight w:val="none"/>
        </w:rPr>
        <w:t>年</w:t>
      </w:r>
      <w:r>
        <w:rPr>
          <w:rFonts w:hint="eastAsia" w:ascii="仿宋" w:hAnsi="仿宋" w:eastAsia="仿宋" w:cs="仿宋"/>
          <w:b/>
          <w:bCs/>
          <w:color w:val="auto"/>
          <w:sz w:val="32"/>
          <w:szCs w:val="32"/>
          <w:highlight w:val="none"/>
          <w:lang w:val="en-US" w:eastAsia="zh-CN"/>
        </w:rPr>
        <w:t>七</w:t>
      </w:r>
      <w:r>
        <w:rPr>
          <w:rFonts w:hint="eastAsia" w:ascii="仿宋" w:hAnsi="仿宋" w:eastAsia="仿宋" w:cs="仿宋"/>
          <w:b/>
          <w:bCs/>
          <w:color w:val="auto"/>
          <w:sz w:val="32"/>
          <w:szCs w:val="32"/>
          <w:highlight w:val="none"/>
        </w:rPr>
        <w:t>月</w:t>
      </w:r>
    </w:p>
    <w:p>
      <w:pPr>
        <w:rPr>
          <w:rFonts w:hint="eastAsia" w:ascii="仿宋" w:hAnsi="仿宋" w:eastAsia="仿宋" w:cs="仿宋"/>
          <w:color w:val="auto"/>
          <w:highlight w:val="none"/>
        </w:rPr>
      </w:pPr>
    </w:p>
    <w:p>
      <w:pPr>
        <w:spacing w:line="300" w:lineRule="auto"/>
        <w:rPr>
          <w:rFonts w:hint="eastAsia" w:ascii="仿宋" w:hAnsi="仿宋" w:eastAsia="仿宋" w:cs="仿宋"/>
          <w:b/>
          <w:bCs/>
          <w:color w:val="auto"/>
          <w:sz w:val="72"/>
          <w:szCs w:val="72"/>
          <w:highlight w:val="none"/>
        </w:rPr>
      </w:pPr>
    </w:p>
    <w:p>
      <w:pPr>
        <w:spacing w:line="300" w:lineRule="auto"/>
        <w:jc w:val="center"/>
        <w:rPr>
          <w:rFonts w:hint="eastAsia" w:ascii="仿宋" w:hAnsi="仿宋" w:eastAsia="仿宋" w:cs="仿宋"/>
          <w:b/>
          <w:bCs/>
          <w:color w:val="auto"/>
          <w:sz w:val="72"/>
          <w:szCs w:val="72"/>
          <w:highlight w:val="none"/>
        </w:rPr>
        <w:sectPr>
          <w:footerReference r:id="rId5" w:type="default"/>
          <w:pgSz w:w="11906" w:h="16838"/>
          <w:pgMar w:top="1474" w:right="1627" w:bottom="1247" w:left="1684" w:header="851" w:footer="851" w:gutter="0"/>
          <w:pgBorders>
            <w:top w:val="none" w:sz="0" w:space="0"/>
            <w:left w:val="none" w:sz="0" w:space="0"/>
            <w:bottom w:val="none" w:sz="0" w:space="0"/>
            <w:right w:val="none" w:sz="0" w:space="0"/>
          </w:pgBorders>
          <w:pgNumType w:start="1"/>
          <w:cols w:space="720" w:num="1"/>
          <w:docGrid w:linePitch="312" w:charSpace="0"/>
        </w:sectPr>
      </w:pPr>
    </w:p>
    <w:p>
      <w:pPr>
        <w:spacing w:line="300" w:lineRule="auto"/>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72"/>
          <w:szCs w:val="72"/>
          <w:highlight w:val="none"/>
        </w:rPr>
        <w:t>目 录</w:t>
      </w:r>
    </w:p>
    <w:p>
      <w:pPr>
        <w:spacing w:line="300" w:lineRule="auto"/>
        <w:ind w:firstLine="3445" w:firstLineChars="957"/>
        <w:rPr>
          <w:rFonts w:hint="eastAsia" w:ascii="仿宋" w:hAnsi="仿宋" w:eastAsia="仿宋" w:cs="仿宋"/>
          <w:color w:val="auto"/>
          <w:sz w:val="36"/>
          <w:highlight w:val="none"/>
        </w:rPr>
      </w:pPr>
    </w:p>
    <w:p>
      <w:pPr>
        <w:pStyle w:val="2"/>
        <w:tabs>
          <w:tab w:val="right" w:leader="dot" w:pos="9355"/>
        </w:tabs>
        <w:spacing w:line="800" w:lineRule="exac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fldChar w:fldCharType="begin"/>
      </w:r>
      <w:r>
        <w:rPr>
          <w:rFonts w:hint="eastAsia" w:ascii="仿宋" w:hAnsi="仿宋" w:eastAsia="仿宋" w:cs="仿宋"/>
          <w:color w:val="auto"/>
          <w:sz w:val="32"/>
          <w:szCs w:val="32"/>
          <w:highlight w:val="none"/>
        </w:rPr>
        <w:instrText xml:space="preserve">TOC \o "1-1" \h \u </w:instrText>
      </w:r>
      <w:r>
        <w:rPr>
          <w:rFonts w:hint="eastAsia" w:ascii="仿宋" w:hAnsi="仿宋" w:eastAsia="仿宋" w:cs="仿宋"/>
          <w:color w:val="auto"/>
          <w:sz w:val="32"/>
          <w:szCs w:val="32"/>
          <w:highlight w:val="none"/>
        </w:rPr>
        <w:fldChar w:fldCharType="separate"/>
      </w:r>
      <w:r>
        <w:rPr>
          <w:rFonts w:hint="eastAsia" w:ascii="仿宋" w:hAnsi="仿宋" w:eastAsia="仿宋" w:cs="仿宋"/>
          <w:color w:val="auto"/>
          <w:sz w:val="32"/>
          <w:szCs w:val="32"/>
          <w:highlight w:val="none"/>
        </w:rPr>
        <w:fldChar w:fldCharType="begin"/>
      </w:r>
      <w:r>
        <w:rPr>
          <w:rFonts w:hint="eastAsia" w:ascii="仿宋" w:hAnsi="仿宋" w:eastAsia="仿宋" w:cs="仿宋"/>
          <w:color w:val="auto"/>
          <w:sz w:val="32"/>
          <w:szCs w:val="32"/>
          <w:highlight w:val="none"/>
        </w:rPr>
        <w:instrText xml:space="preserve"> HYPERLINK \l _Toc24867 </w:instrText>
      </w:r>
      <w:r>
        <w:rPr>
          <w:rFonts w:hint="eastAsia" w:ascii="仿宋" w:hAnsi="仿宋" w:eastAsia="仿宋" w:cs="仿宋"/>
          <w:color w:val="auto"/>
          <w:sz w:val="32"/>
          <w:szCs w:val="32"/>
          <w:highlight w:val="none"/>
        </w:rPr>
        <w:fldChar w:fldCharType="separate"/>
      </w:r>
      <w:r>
        <w:rPr>
          <w:rFonts w:hint="eastAsia" w:ascii="仿宋" w:hAnsi="仿宋" w:eastAsia="仿宋" w:cs="仿宋"/>
          <w:color w:val="auto"/>
          <w:sz w:val="32"/>
          <w:szCs w:val="32"/>
          <w:highlight w:val="none"/>
        </w:rPr>
        <w:t>第一章  招标公告</w:t>
      </w:r>
      <w:r>
        <w:rPr>
          <w:rFonts w:hint="eastAsia" w:ascii="仿宋" w:hAnsi="仿宋" w:eastAsia="仿宋" w:cs="仿宋"/>
          <w:color w:val="auto"/>
          <w:sz w:val="32"/>
          <w:szCs w:val="32"/>
          <w:highlight w:val="none"/>
        </w:rPr>
        <w:fldChar w:fldCharType="end"/>
      </w:r>
    </w:p>
    <w:p>
      <w:pPr>
        <w:pStyle w:val="2"/>
        <w:tabs>
          <w:tab w:val="right" w:leader="dot" w:pos="9355"/>
        </w:tabs>
        <w:spacing w:line="800" w:lineRule="exac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fldChar w:fldCharType="begin"/>
      </w:r>
      <w:r>
        <w:rPr>
          <w:rFonts w:hint="eastAsia" w:ascii="仿宋" w:hAnsi="仿宋" w:eastAsia="仿宋" w:cs="仿宋"/>
          <w:color w:val="auto"/>
          <w:sz w:val="32"/>
          <w:szCs w:val="32"/>
          <w:highlight w:val="none"/>
        </w:rPr>
        <w:instrText xml:space="preserve"> HYPERLINK \l _Toc7017 </w:instrText>
      </w:r>
      <w:r>
        <w:rPr>
          <w:rFonts w:hint="eastAsia" w:ascii="仿宋" w:hAnsi="仿宋" w:eastAsia="仿宋" w:cs="仿宋"/>
          <w:color w:val="auto"/>
          <w:sz w:val="32"/>
          <w:szCs w:val="32"/>
          <w:highlight w:val="none"/>
        </w:rPr>
        <w:fldChar w:fldCharType="separate"/>
      </w:r>
      <w:r>
        <w:rPr>
          <w:rFonts w:hint="eastAsia" w:ascii="仿宋" w:hAnsi="仿宋" w:eastAsia="仿宋" w:cs="仿宋"/>
          <w:color w:val="auto"/>
          <w:sz w:val="32"/>
          <w:szCs w:val="32"/>
          <w:highlight w:val="none"/>
        </w:rPr>
        <w:t>第二章  投标人须知</w:t>
      </w:r>
      <w:r>
        <w:rPr>
          <w:rFonts w:hint="eastAsia" w:ascii="仿宋" w:hAnsi="仿宋" w:eastAsia="仿宋" w:cs="仿宋"/>
          <w:color w:val="auto"/>
          <w:sz w:val="32"/>
          <w:szCs w:val="32"/>
          <w:highlight w:val="none"/>
        </w:rPr>
        <w:fldChar w:fldCharType="end"/>
      </w:r>
    </w:p>
    <w:p>
      <w:pPr>
        <w:pStyle w:val="2"/>
        <w:tabs>
          <w:tab w:val="right" w:leader="dot" w:pos="9355"/>
        </w:tabs>
        <w:spacing w:line="800" w:lineRule="exac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fldChar w:fldCharType="begin"/>
      </w:r>
      <w:r>
        <w:rPr>
          <w:rFonts w:hint="eastAsia" w:ascii="仿宋" w:hAnsi="仿宋" w:eastAsia="仿宋" w:cs="仿宋"/>
          <w:color w:val="auto"/>
          <w:sz w:val="32"/>
          <w:szCs w:val="32"/>
          <w:highlight w:val="none"/>
        </w:rPr>
        <w:instrText xml:space="preserve"> HYPERLINK \l _Toc29891 </w:instrText>
      </w:r>
      <w:r>
        <w:rPr>
          <w:rFonts w:hint="eastAsia" w:ascii="仿宋" w:hAnsi="仿宋" w:eastAsia="仿宋" w:cs="仿宋"/>
          <w:color w:val="auto"/>
          <w:sz w:val="32"/>
          <w:szCs w:val="32"/>
          <w:highlight w:val="none"/>
        </w:rPr>
        <w:fldChar w:fldCharType="separate"/>
      </w:r>
      <w:r>
        <w:rPr>
          <w:rFonts w:hint="eastAsia" w:ascii="仿宋" w:hAnsi="仿宋" w:eastAsia="仿宋" w:cs="仿宋"/>
          <w:color w:val="auto"/>
          <w:sz w:val="32"/>
          <w:szCs w:val="32"/>
          <w:highlight w:val="none"/>
        </w:rPr>
        <w:t>第三章  招标采购需求</w:t>
      </w:r>
      <w:r>
        <w:rPr>
          <w:rFonts w:hint="eastAsia" w:ascii="仿宋" w:hAnsi="仿宋" w:eastAsia="仿宋" w:cs="仿宋"/>
          <w:color w:val="auto"/>
          <w:sz w:val="32"/>
          <w:szCs w:val="32"/>
          <w:highlight w:val="none"/>
        </w:rPr>
        <w:fldChar w:fldCharType="end"/>
      </w:r>
    </w:p>
    <w:p>
      <w:pPr>
        <w:pStyle w:val="2"/>
        <w:tabs>
          <w:tab w:val="right" w:leader="dot" w:pos="9355"/>
        </w:tabs>
        <w:spacing w:line="800" w:lineRule="exac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fldChar w:fldCharType="begin"/>
      </w:r>
      <w:r>
        <w:rPr>
          <w:rFonts w:hint="eastAsia" w:ascii="仿宋" w:hAnsi="仿宋" w:eastAsia="仿宋" w:cs="仿宋"/>
          <w:color w:val="auto"/>
          <w:sz w:val="32"/>
          <w:szCs w:val="32"/>
          <w:highlight w:val="none"/>
        </w:rPr>
        <w:instrText xml:space="preserve"> HYPERLINK \l _Toc7345 </w:instrText>
      </w:r>
      <w:r>
        <w:rPr>
          <w:rFonts w:hint="eastAsia" w:ascii="仿宋" w:hAnsi="仿宋" w:eastAsia="仿宋" w:cs="仿宋"/>
          <w:color w:val="auto"/>
          <w:sz w:val="32"/>
          <w:szCs w:val="32"/>
          <w:highlight w:val="none"/>
        </w:rPr>
        <w:fldChar w:fldCharType="separate"/>
      </w:r>
      <w:r>
        <w:rPr>
          <w:rFonts w:hint="eastAsia" w:ascii="仿宋" w:hAnsi="仿宋" w:eastAsia="仿宋" w:cs="仿宋"/>
          <w:color w:val="auto"/>
          <w:sz w:val="32"/>
          <w:szCs w:val="32"/>
          <w:highlight w:val="none"/>
        </w:rPr>
        <w:t>第四章  合同条款及格式</w:t>
      </w:r>
      <w:r>
        <w:rPr>
          <w:rFonts w:hint="eastAsia" w:ascii="仿宋" w:hAnsi="仿宋" w:eastAsia="仿宋" w:cs="仿宋"/>
          <w:color w:val="auto"/>
          <w:sz w:val="32"/>
          <w:szCs w:val="32"/>
          <w:highlight w:val="none"/>
        </w:rPr>
        <w:fldChar w:fldCharType="end"/>
      </w:r>
    </w:p>
    <w:p>
      <w:pPr>
        <w:pStyle w:val="2"/>
        <w:tabs>
          <w:tab w:val="right" w:leader="dot" w:pos="9355"/>
        </w:tabs>
        <w:spacing w:line="800" w:lineRule="exac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fldChar w:fldCharType="begin"/>
      </w:r>
      <w:r>
        <w:rPr>
          <w:rFonts w:hint="eastAsia" w:ascii="仿宋" w:hAnsi="仿宋" w:eastAsia="仿宋" w:cs="仿宋"/>
          <w:color w:val="auto"/>
          <w:sz w:val="32"/>
          <w:szCs w:val="32"/>
          <w:highlight w:val="none"/>
        </w:rPr>
        <w:instrText xml:space="preserve"> HYPERLINK \l _Toc106 </w:instrText>
      </w:r>
      <w:r>
        <w:rPr>
          <w:rFonts w:hint="eastAsia" w:ascii="仿宋" w:hAnsi="仿宋" w:eastAsia="仿宋" w:cs="仿宋"/>
          <w:color w:val="auto"/>
          <w:sz w:val="32"/>
          <w:szCs w:val="32"/>
          <w:highlight w:val="none"/>
        </w:rPr>
        <w:fldChar w:fldCharType="separate"/>
      </w:r>
      <w:r>
        <w:rPr>
          <w:rFonts w:hint="eastAsia" w:ascii="仿宋" w:hAnsi="仿宋" w:eastAsia="仿宋" w:cs="仿宋"/>
          <w:color w:val="auto"/>
          <w:sz w:val="32"/>
          <w:szCs w:val="32"/>
          <w:highlight w:val="none"/>
        </w:rPr>
        <w:t>第五章  评标办法</w:t>
      </w:r>
      <w:r>
        <w:rPr>
          <w:rFonts w:hint="eastAsia" w:ascii="仿宋" w:hAnsi="仿宋" w:eastAsia="仿宋" w:cs="仿宋"/>
          <w:color w:val="auto"/>
          <w:sz w:val="32"/>
          <w:szCs w:val="32"/>
          <w:highlight w:val="none"/>
        </w:rPr>
        <w:fldChar w:fldCharType="end"/>
      </w:r>
    </w:p>
    <w:p>
      <w:pPr>
        <w:pStyle w:val="2"/>
        <w:tabs>
          <w:tab w:val="right" w:leader="dot" w:pos="9355"/>
        </w:tabs>
        <w:spacing w:line="800" w:lineRule="exac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fldChar w:fldCharType="begin"/>
      </w:r>
      <w:r>
        <w:rPr>
          <w:rFonts w:hint="eastAsia" w:ascii="仿宋" w:hAnsi="仿宋" w:eastAsia="仿宋" w:cs="仿宋"/>
          <w:color w:val="auto"/>
          <w:sz w:val="32"/>
          <w:szCs w:val="32"/>
          <w:highlight w:val="none"/>
        </w:rPr>
        <w:instrText xml:space="preserve"> HYPERLINK \l _Toc25961 </w:instrText>
      </w:r>
      <w:r>
        <w:rPr>
          <w:rFonts w:hint="eastAsia" w:ascii="仿宋" w:hAnsi="仿宋" w:eastAsia="仿宋" w:cs="仿宋"/>
          <w:color w:val="auto"/>
          <w:sz w:val="32"/>
          <w:szCs w:val="32"/>
          <w:highlight w:val="none"/>
        </w:rPr>
        <w:fldChar w:fldCharType="separate"/>
      </w:r>
      <w:r>
        <w:rPr>
          <w:rFonts w:hint="eastAsia" w:ascii="仿宋" w:hAnsi="仿宋" w:eastAsia="仿宋" w:cs="仿宋"/>
          <w:color w:val="auto"/>
          <w:sz w:val="32"/>
          <w:szCs w:val="32"/>
          <w:highlight w:val="none"/>
        </w:rPr>
        <w:t>第六章  投标文件格式</w:t>
      </w:r>
      <w:r>
        <w:rPr>
          <w:rFonts w:hint="eastAsia" w:ascii="仿宋" w:hAnsi="仿宋" w:eastAsia="仿宋" w:cs="仿宋"/>
          <w:color w:val="auto"/>
          <w:sz w:val="32"/>
          <w:szCs w:val="32"/>
          <w:highlight w:val="none"/>
        </w:rPr>
        <w:fldChar w:fldCharType="end"/>
      </w:r>
    </w:p>
    <w:p>
      <w:pPr>
        <w:spacing w:line="300" w:lineRule="auto"/>
        <w:rPr>
          <w:rFonts w:hint="eastAsia"/>
          <w:color w:val="auto"/>
          <w:highlight w:val="none"/>
        </w:rPr>
      </w:pPr>
      <w:r>
        <w:rPr>
          <w:rFonts w:hint="eastAsia" w:ascii="仿宋" w:hAnsi="仿宋" w:eastAsia="仿宋" w:cs="仿宋"/>
          <w:color w:val="auto"/>
          <w:sz w:val="32"/>
          <w:szCs w:val="32"/>
          <w:highlight w:val="none"/>
        </w:rPr>
        <w:fldChar w:fldCharType="end"/>
      </w:r>
    </w:p>
    <w:p>
      <w:pPr>
        <w:widowControl/>
        <w:ind w:firstLine="880" w:firstLineChars="200"/>
        <w:jc w:val="left"/>
        <w:rPr>
          <w:rFonts w:hint="eastAsia" w:ascii="宋体" w:hAnsi="宋体" w:cs="宋体"/>
          <w:color w:val="auto"/>
          <w:sz w:val="44"/>
          <w:szCs w:val="24"/>
          <w:highlight w:val="none"/>
        </w:rPr>
        <w:sectPr>
          <w:footerReference r:id="rId6" w:type="default"/>
          <w:pgSz w:w="11906" w:h="16838"/>
          <w:pgMar w:top="1474" w:right="1627" w:bottom="1247" w:left="1684" w:header="851" w:footer="851" w:gutter="0"/>
          <w:pgBorders>
            <w:top w:val="none" w:sz="0" w:space="0"/>
            <w:left w:val="none" w:sz="0" w:space="0"/>
            <w:bottom w:val="none" w:sz="0" w:space="0"/>
            <w:right w:val="none" w:sz="0" w:space="0"/>
          </w:pgBorders>
          <w:pgNumType w:fmt="decimal" w:start="1"/>
          <w:cols w:space="720" w:num="1"/>
          <w:docGrid w:linePitch="312" w:charSpace="0"/>
        </w:sectPr>
      </w:pPr>
      <w:bookmarkStart w:id="0" w:name="_Toc24867"/>
    </w:p>
    <w:p>
      <w:pPr>
        <w:pStyle w:val="3"/>
        <w:bidi w:val="0"/>
        <w:jc w:val="center"/>
        <w:rPr>
          <w:rFonts w:hint="eastAsia" w:ascii="仿宋" w:hAnsi="仿宋" w:eastAsia="仿宋" w:cs="仿宋"/>
          <w:color w:val="auto"/>
          <w:highlight w:val="none"/>
        </w:rPr>
      </w:pPr>
      <w:r>
        <w:rPr>
          <w:rFonts w:hint="eastAsia" w:ascii="仿宋" w:hAnsi="仿宋" w:eastAsia="仿宋" w:cs="仿宋"/>
          <w:color w:val="auto"/>
          <w:highlight w:val="none"/>
        </w:rPr>
        <w:t xml:space="preserve">第一章  </w:t>
      </w:r>
      <w:bookmarkEnd w:id="0"/>
      <w:r>
        <w:rPr>
          <w:rFonts w:hint="eastAsia" w:ascii="仿宋" w:hAnsi="仿宋" w:eastAsia="仿宋" w:cs="仿宋"/>
          <w:color w:val="auto"/>
          <w:highlight w:val="none"/>
        </w:rPr>
        <w:t>招标公告</w:t>
      </w:r>
    </w:p>
    <w:p>
      <w:pPr>
        <w:pBdr>
          <w:top w:val="single" w:color="auto" w:sz="4" w:space="1"/>
          <w:left w:val="single" w:color="auto" w:sz="4" w:space="4"/>
          <w:bottom w:val="single" w:color="auto" w:sz="4" w:space="1"/>
          <w:right w:val="single" w:color="auto" w:sz="4" w:space="4"/>
        </w:pBdr>
        <w:spacing w:line="400" w:lineRule="exact"/>
        <w:ind w:firstLine="562" w:firstLineChars="200"/>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项目概况</w:t>
      </w:r>
    </w:p>
    <w:p>
      <w:pPr>
        <w:pBdr>
          <w:top w:val="single" w:color="auto" w:sz="4" w:space="1"/>
          <w:left w:val="single" w:color="auto" w:sz="4" w:space="4"/>
          <w:bottom w:val="single" w:color="auto" w:sz="4" w:space="1"/>
          <w:right w:val="single" w:color="auto" w:sz="4" w:space="4"/>
        </w:pBdr>
        <w:spacing w:line="400" w:lineRule="exact"/>
        <w:ind w:firstLine="480" w:firstLineChars="200"/>
        <w:rPr>
          <w:rFonts w:hint="eastAsia" w:ascii="仿宋" w:hAnsi="仿宋" w:eastAsia="仿宋" w:cs="仿宋"/>
          <w:color w:val="auto"/>
          <w:sz w:val="28"/>
          <w:szCs w:val="28"/>
          <w:highlight w:val="none"/>
        </w:rPr>
      </w:pPr>
      <w:r>
        <w:rPr>
          <w:rFonts w:hint="eastAsia" w:ascii="仿宋" w:hAnsi="仿宋" w:eastAsia="仿宋" w:cs="仿宋"/>
          <w:color w:val="auto"/>
          <w:sz w:val="24"/>
          <w:szCs w:val="24"/>
          <w:highlight w:val="none"/>
          <w:u w:val="single"/>
          <w:lang w:eastAsia="zh-CN"/>
        </w:rPr>
        <w:t>浙江东创建筑材料有限公司装载机采购项目</w:t>
      </w:r>
      <w:r>
        <w:rPr>
          <w:rFonts w:hint="eastAsia" w:ascii="仿宋" w:hAnsi="仿宋" w:eastAsia="仿宋" w:cs="仿宋"/>
          <w:color w:val="auto"/>
          <w:sz w:val="24"/>
          <w:szCs w:val="24"/>
          <w:highlight w:val="none"/>
        </w:rPr>
        <w:t>的潜在投标人应在</w:t>
      </w:r>
      <w:r>
        <w:rPr>
          <w:rFonts w:hint="eastAsia" w:ascii="仿宋" w:hAnsi="仿宋" w:eastAsia="仿宋" w:cs="仿宋"/>
          <w:color w:val="0000FF"/>
          <w:sz w:val="24"/>
          <w:szCs w:val="24"/>
          <w:highlight w:val="none"/>
          <w:lang w:eastAsia="zh-CN"/>
        </w:rPr>
        <w:t>浙江政府采购网</w:t>
      </w:r>
      <w:r>
        <w:rPr>
          <w:rFonts w:hint="eastAsia" w:ascii="仿宋" w:hAnsi="仿宋" w:eastAsia="仿宋" w:cs="仿宋"/>
          <w:color w:val="auto"/>
          <w:sz w:val="24"/>
          <w:szCs w:val="24"/>
          <w:highlight w:val="none"/>
        </w:rPr>
        <w:t>的该项目招标公告下方的网址链接处点击免费下载招标采购文件，并于</w:t>
      </w:r>
      <w:r>
        <w:rPr>
          <w:rFonts w:hint="eastAsia" w:ascii="仿宋" w:hAnsi="仿宋" w:eastAsia="仿宋" w:cs="仿宋"/>
          <w:color w:val="auto"/>
          <w:sz w:val="24"/>
          <w:szCs w:val="24"/>
          <w:highlight w:val="none"/>
          <w:u w:val="single"/>
          <w:lang w:eastAsia="zh-CN"/>
        </w:rPr>
        <w:t>202</w:t>
      </w:r>
      <w:r>
        <w:rPr>
          <w:rFonts w:hint="eastAsia" w:ascii="仿宋" w:hAnsi="仿宋" w:eastAsia="仿宋" w:cs="仿宋"/>
          <w:color w:val="auto"/>
          <w:sz w:val="24"/>
          <w:szCs w:val="24"/>
          <w:highlight w:val="none"/>
          <w:u w:val="single"/>
          <w:lang w:val="en-US" w:eastAsia="zh-CN"/>
        </w:rPr>
        <w:t>4</w:t>
      </w:r>
      <w:r>
        <w:rPr>
          <w:rFonts w:hint="eastAsia" w:ascii="仿宋" w:hAnsi="仿宋" w:eastAsia="仿宋" w:cs="仿宋"/>
          <w:color w:val="auto"/>
          <w:sz w:val="24"/>
          <w:szCs w:val="24"/>
          <w:highlight w:val="none"/>
          <w:u w:val="single"/>
          <w:lang w:eastAsia="zh-CN"/>
        </w:rPr>
        <w:t>年</w:t>
      </w:r>
      <w:r>
        <w:rPr>
          <w:rFonts w:hint="eastAsia" w:ascii="仿宋" w:hAnsi="仿宋" w:eastAsia="仿宋" w:cs="仿宋"/>
          <w:color w:val="auto"/>
          <w:sz w:val="24"/>
          <w:szCs w:val="24"/>
          <w:highlight w:val="none"/>
          <w:u w:val="single"/>
          <w:lang w:val="en-US" w:eastAsia="zh-CN"/>
        </w:rPr>
        <w:t>8</w:t>
      </w:r>
      <w:r>
        <w:rPr>
          <w:rFonts w:hint="eastAsia" w:ascii="仿宋" w:hAnsi="仿宋" w:eastAsia="仿宋" w:cs="仿宋"/>
          <w:color w:val="auto"/>
          <w:sz w:val="24"/>
          <w:szCs w:val="24"/>
          <w:highlight w:val="none"/>
          <w:u w:val="single"/>
          <w:lang w:eastAsia="zh-CN"/>
        </w:rPr>
        <w:t>月</w:t>
      </w:r>
      <w:r>
        <w:rPr>
          <w:rFonts w:hint="eastAsia" w:ascii="仿宋" w:hAnsi="仿宋" w:eastAsia="仿宋" w:cs="仿宋"/>
          <w:color w:val="auto"/>
          <w:sz w:val="24"/>
          <w:szCs w:val="24"/>
          <w:highlight w:val="none"/>
          <w:u w:val="single"/>
          <w:lang w:val="en-US" w:eastAsia="zh-CN"/>
        </w:rPr>
        <w:t>16</w:t>
      </w:r>
      <w:r>
        <w:rPr>
          <w:rFonts w:hint="eastAsia" w:ascii="仿宋" w:hAnsi="仿宋" w:eastAsia="仿宋" w:cs="仿宋"/>
          <w:color w:val="auto"/>
          <w:sz w:val="24"/>
          <w:szCs w:val="24"/>
          <w:highlight w:val="none"/>
          <w:u w:val="single"/>
          <w:lang w:eastAsia="zh-CN"/>
        </w:rPr>
        <w:t>日</w:t>
      </w:r>
      <w:r>
        <w:rPr>
          <w:rFonts w:hint="eastAsia" w:ascii="仿宋" w:hAnsi="仿宋" w:eastAsia="仿宋" w:cs="仿宋"/>
          <w:color w:val="auto"/>
          <w:sz w:val="24"/>
          <w:szCs w:val="24"/>
          <w:highlight w:val="none"/>
          <w:u w:val="single"/>
          <w:lang w:val="en-US" w:eastAsia="zh-CN"/>
        </w:rPr>
        <w:t>09:00</w:t>
      </w:r>
      <w:r>
        <w:rPr>
          <w:rFonts w:hint="eastAsia" w:ascii="仿宋" w:hAnsi="仿宋" w:eastAsia="仿宋" w:cs="仿宋"/>
          <w:color w:val="auto"/>
          <w:sz w:val="24"/>
          <w:szCs w:val="24"/>
          <w:highlight w:val="none"/>
          <w:u w:val="single"/>
          <w:lang w:eastAsia="zh-CN"/>
        </w:rPr>
        <w:t>时</w:t>
      </w:r>
      <w:r>
        <w:rPr>
          <w:rFonts w:hint="eastAsia" w:ascii="仿宋" w:hAnsi="仿宋" w:eastAsia="仿宋" w:cs="仿宋"/>
          <w:bCs/>
          <w:color w:val="auto"/>
          <w:sz w:val="24"/>
          <w:szCs w:val="24"/>
          <w:highlight w:val="none"/>
        </w:rPr>
        <w:t>（北京时间）前递交投标文件</w:t>
      </w:r>
      <w:r>
        <w:rPr>
          <w:rFonts w:hint="eastAsia" w:ascii="仿宋" w:hAnsi="仿宋" w:eastAsia="仿宋" w:cs="仿宋"/>
          <w:color w:val="auto"/>
          <w:sz w:val="24"/>
          <w:szCs w:val="24"/>
          <w:highlight w:val="none"/>
        </w:rPr>
        <w:t>。</w:t>
      </w:r>
    </w:p>
    <w:p>
      <w:pPr>
        <w:pStyle w:val="4"/>
        <w:pageBreakBefore w:val="0"/>
        <w:widowControl w:val="0"/>
        <w:kinsoku/>
        <w:wordWrap/>
        <w:overflowPunct/>
        <w:topLinePunct w:val="0"/>
        <w:autoSpaceDE/>
        <w:autoSpaceDN/>
        <w:bidi w:val="0"/>
        <w:spacing w:line="430" w:lineRule="exact"/>
        <w:textAlignment w:val="auto"/>
        <w:rPr>
          <w:rFonts w:hint="eastAsia" w:ascii="仿宋" w:hAnsi="仿宋" w:eastAsia="仿宋" w:cs="仿宋"/>
          <w:color w:val="auto"/>
          <w:highlight w:val="none"/>
        </w:rPr>
      </w:pPr>
      <w:bookmarkStart w:id="1" w:name="_Toc35393790"/>
      <w:bookmarkStart w:id="2" w:name="_Toc28359079"/>
      <w:bookmarkStart w:id="3" w:name="_Toc35393621"/>
      <w:bookmarkStart w:id="4" w:name="_Toc28359002"/>
      <w:bookmarkStart w:id="5" w:name="_Hlk24379207"/>
      <w:r>
        <w:rPr>
          <w:rFonts w:hint="eastAsia" w:ascii="仿宋" w:hAnsi="仿宋" w:eastAsia="仿宋" w:cs="仿宋"/>
          <w:color w:val="auto"/>
          <w:highlight w:val="none"/>
        </w:rPr>
        <w:t>一、项目基本情况</w:t>
      </w:r>
      <w:bookmarkEnd w:id="1"/>
      <w:bookmarkEnd w:id="2"/>
      <w:bookmarkEnd w:id="3"/>
      <w:bookmarkEnd w:id="4"/>
    </w:p>
    <w:p>
      <w:pPr>
        <w:pageBreakBefore w:val="0"/>
        <w:widowControl w:val="0"/>
        <w:kinsoku/>
        <w:wordWrap/>
        <w:overflowPunct/>
        <w:topLinePunct w:val="0"/>
        <w:autoSpaceDE/>
        <w:autoSpaceDN/>
        <w:bidi w:val="0"/>
        <w:snapToGrid w:val="0"/>
        <w:spacing w:line="43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lang w:eastAsia="zh-CN"/>
        </w:rPr>
        <w:t>浙江东创建筑材料有限公司装载机采购项目</w:t>
      </w:r>
    </w:p>
    <w:bookmarkEnd w:id="5"/>
    <w:tbl>
      <w:tblPr>
        <w:tblStyle w:val="31"/>
        <w:tblW w:w="97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6"/>
        <w:gridCol w:w="4140"/>
        <w:gridCol w:w="988"/>
        <w:gridCol w:w="791"/>
        <w:gridCol w:w="1779"/>
        <w:gridCol w:w="1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866" w:type="dxa"/>
            <w:noWrap w:val="0"/>
            <w:vAlign w:val="center"/>
          </w:tcPr>
          <w:p>
            <w:pPr>
              <w:widowControl/>
              <w:jc w:val="center"/>
              <w:textAlignment w:val="center"/>
              <w:rPr>
                <w:rFonts w:ascii="宋体" w:hAnsi="宋体"/>
                <w:kern w:val="0"/>
                <w:sz w:val="24"/>
              </w:rPr>
            </w:pPr>
            <w:r>
              <w:rPr>
                <w:rFonts w:hint="eastAsia" w:ascii="宋体" w:hAnsi="宋体"/>
                <w:kern w:val="0"/>
                <w:sz w:val="24"/>
              </w:rPr>
              <w:t>标段</w:t>
            </w:r>
          </w:p>
        </w:tc>
        <w:tc>
          <w:tcPr>
            <w:tcW w:w="4140" w:type="dxa"/>
            <w:noWrap w:val="0"/>
            <w:vAlign w:val="center"/>
          </w:tcPr>
          <w:p>
            <w:pPr>
              <w:widowControl/>
              <w:jc w:val="center"/>
              <w:textAlignment w:val="center"/>
              <w:rPr>
                <w:rFonts w:hint="eastAsia" w:ascii="宋体" w:hAnsi="宋体"/>
                <w:kern w:val="0"/>
                <w:sz w:val="24"/>
              </w:rPr>
            </w:pPr>
            <w:r>
              <w:rPr>
                <w:rFonts w:hint="eastAsia" w:ascii="宋体" w:hAnsi="宋体"/>
                <w:kern w:val="0"/>
                <w:sz w:val="24"/>
              </w:rPr>
              <w:t>采购内容</w:t>
            </w:r>
          </w:p>
        </w:tc>
        <w:tc>
          <w:tcPr>
            <w:tcW w:w="988" w:type="dxa"/>
            <w:noWrap w:val="0"/>
            <w:vAlign w:val="center"/>
          </w:tcPr>
          <w:p>
            <w:pPr>
              <w:widowControl/>
              <w:jc w:val="center"/>
              <w:textAlignment w:val="center"/>
              <w:rPr>
                <w:rFonts w:ascii="宋体" w:hAnsi="宋体"/>
                <w:kern w:val="0"/>
                <w:sz w:val="24"/>
              </w:rPr>
            </w:pPr>
            <w:r>
              <w:rPr>
                <w:rFonts w:hint="eastAsia" w:ascii="宋体" w:hAnsi="宋体"/>
                <w:kern w:val="0"/>
                <w:sz w:val="24"/>
              </w:rPr>
              <w:t>数量</w:t>
            </w:r>
          </w:p>
        </w:tc>
        <w:tc>
          <w:tcPr>
            <w:tcW w:w="791" w:type="dxa"/>
            <w:noWrap w:val="0"/>
            <w:vAlign w:val="center"/>
          </w:tcPr>
          <w:p>
            <w:pPr>
              <w:widowControl/>
              <w:jc w:val="center"/>
              <w:textAlignment w:val="center"/>
              <w:rPr>
                <w:rFonts w:ascii="宋体" w:hAnsi="宋体"/>
                <w:kern w:val="0"/>
                <w:sz w:val="24"/>
              </w:rPr>
            </w:pPr>
            <w:r>
              <w:rPr>
                <w:rFonts w:hint="eastAsia" w:ascii="宋体" w:hAnsi="宋体"/>
                <w:kern w:val="0"/>
                <w:sz w:val="24"/>
              </w:rPr>
              <w:t>单位</w:t>
            </w:r>
          </w:p>
        </w:tc>
        <w:tc>
          <w:tcPr>
            <w:tcW w:w="1779" w:type="dxa"/>
            <w:noWrap w:val="0"/>
            <w:vAlign w:val="center"/>
          </w:tcPr>
          <w:p>
            <w:pPr>
              <w:widowControl/>
              <w:jc w:val="center"/>
              <w:textAlignment w:val="center"/>
              <w:rPr>
                <w:rFonts w:ascii="宋体" w:hAnsi="宋体"/>
                <w:kern w:val="0"/>
                <w:sz w:val="24"/>
              </w:rPr>
            </w:pPr>
            <w:r>
              <w:rPr>
                <w:rFonts w:hint="eastAsia" w:ascii="宋体" w:hAnsi="宋体"/>
                <w:kern w:val="0"/>
                <w:sz w:val="24"/>
              </w:rPr>
              <w:t>预算金额</w:t>
            </w:r>
          </w:p>
        </w:tc>
        <w:tc>
          <w:tcPr>
            <w:tcW w:w="1177" w:type="dxa"/>
            <w:noWrap w:val="0"/>
            <w:vAlign w:val="center"/>
          </w:tcPr>
          <w:p>
            <w:pPr>
              <w:widowControl/>
              <w:jc w:val="center"/>
              <w:textAlignment w:val="center"/>
              <w:rPr>
                <w:rFonts w:hint="eastAsia" w:ascii="宋体" w:hAnsi="宋体"/>
                <w:kern w:val="0"/>
                <w:sz w:val="24"/>
              </w:rPr>
            </w:pPr>
            <w:r>
              <w:rPr>
                <w:rFonts w:hint="eastAsia" w:ascii="宋体" w:hAnsi="宋体"/>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866" w:type="dxa"/>
            <w:noWrap w:val="0"/>
            <w:vAlign w:val="center"/>
          </w:tcPr>
          <w:p>
            <w:pPr>
              <w:widowControl/>
              <w:jc w:val="center"/>
              <w:textAlignment w:val="center"/>
              <w:rPr>
                <w:rFonts w:hint="eastAsia" w:ascii="宋体" w:hAnsi="宋体"/>
                <w:kern w:val="0"/>
                <w:sz w:val="24"/>
              </w:rPr>
            </w:pPr>
            <w:r>
              <w:rPr>
                <w:rFonts w:hint="eastAsia" w:ascii="宋体" w:hAnsi="宋体"/>
                <w:kern w:val="0"/>
                <w:sz w:val="24"/>
              </w:rPr>
              <w:t>1</w:t>
            </w:r>
          </w:p>
        </w:tc>
        <w:tc>
          <w:tcPr>
            <w:tcW w:w="4140" w:type="dxa"/>
            <w:noWrap w:val="0"/>
            <w:vAlign w:val="center"/>
          </w:tcPr>
          <w:p>
            <w:pPr>
              <w:widowControl/>
              <w:jc w:val="center"/>
              <w:textAlignment w:val="center"/>
              <w:rPr>
                <w:rFonts w:hint="eastAsia" w:ascii="宋体" w:hAnsi="宋体" w:eastAsia="宋体"/>
                <w:kern w:val="0"/>
                <w:sz w:val="24"/>
                <w:lang w:eastAsia="zh-CN"/>
              </w:rPr>
            </w:pPr>
            <w:r>
              <w:rPr>
                <w:rFonts w:hint="eastAsia" w:ascii="宋体" w:hAnsi="宋体"/>
                <w:sz w:val="24"/>
                <w:lang w:val="en-US" w:eastAsia="zh-CN"/>
              </w:rPr>
              <w:t>装载机</w:t>
            </w:r>
          </w:p>
        </w:tc>
        <w:tc>
          <w:tcPr>
            <w:tcW w:w="988" w:type="dxa"/>
            <w:noWrap w:val="0"/>
            <w:vAlign w:val="center"/>
          </w:tcPr>
          <w:p>
            <w:pPr>
              <w:widowControl/>
              <w:jc w:val="center"/>
              <w:textAlignment w:val="center"/>
              <w:rPr>
                <w:rFonts w:hint="eastAsia" w:ascii="宋体" w:hAnsi="宋体" w:eastAsia="宋体"/>
                <w:kern w:val="0"/>
                <w:sz w:val="24"/>
                <w:lang w:eastAsia="zh-CN"/>
              </w:rPr>
            </w:pPr>
            <w:r>
              <w:rPr>
                <w:rFonts w:hint="eastAsia" w:ascii="宋体" w:hAnsi="宋体"/>
                <w:kern w:val="0"/>
                <w:sz w:val="24"/>
                <w:lang w:val="en-US" w:eastAsia="zh-CN"/>
              </w:rPr>
              <w:t>1</w:t>
            </w:r>
          </w:p>
        </w:tc>
        <w:tc>
          <w:tcPr>
            <w:tcW w:w="791" w:type="dxa"/>
            <w:noWrap w:val="0"/>
            <w:vAlign w:val="center"/>
          </w:tcPr>
          <w:p>
            <w:pPr>
              <w:widowControl/>
              <w:jc w:val="center"/>
              <w:textAlignment w:val="center"/>
              <w:rPr>
                <w:rFonts w:hint="eastAsia" w:ascii="宋体" w:hAnsi="宋体"/>
                <w:kern w:val="0"/>
                <w:sz w:val="24"/>
              </w:rPr>
            </w:pPr>
            <w:r>
              <w:rPr>
                <w:rFonts w:hint="eastAsia" w:ascii="宋体" w:hAnsi="宋体"/>
                <w:kern w:val="0"/>
                <w:sz w:val="24"/>
              </w:rPr>
              <w:t>辆</w:t>
            </w:r>
          </w:p>
        </w:tc>
        <w:tc>
          <w:tcPr>
            <w:tcW w:w="1779" w:type="dxa"/>
            <w:noWrap w:val="0"/>
            <w:vAlign w:val="center"/>
          </w:tcPr>
          <w:p>
            <w:pPr>
              <w:widowControl/>
              <w:jc w:val="center"/>
              <w:textAlignment w:val="center"/>
              <w:rPr>
                <w:rFonts w:hint="eastAsia" w:ascii="宋体" w:hAnsi="宋体"/>
                <w:kern w:val="0"/>
                <w:sz w:val="24"/>
              </w:rPr>
            </w:pPr>
            <w:r>
              <w:rPr>
                <w:rFonts w:hint="eastAsia" w:ascii="宋体" w:hAnsi="宋体"/>
                <w:kern w:val="0"/>
                <w:sz w:val="24"/>
                <w:lang w:val="en-US" w:eastAsia="zh-CN"/>
              </w:rPr>
              <w:t>55</w:t>
            </w:r>
            <w:r>
              <w:rPr>
                <w:rFonts w:hint="eastAsia" w:ascii="宋体" w:hAnsi="宋体"/>
                <w:kern w:val="0"/>
                <w:sz w:val="24"/>
              </w:rPr>
              <w:t>万元</w:t>
            </w:r>
          </w:p>
        </w:tc>
        <w:tc>
          <w:tcPr>
            <w:tcW w:w="1177" w:type="dxa"/>
            <w:noWrap w:val="0"/>
            <w:vAlign w:val="center"/>
          </w:tcPr>
          <w:p>
            <w:pPr>
              <w:widowControl/>
              <w:jc w:val="center"/>
              <w:textAlignment w:val="center"/>
              <w:rPr>
                <w:rFonts w:hint="eastAsia" w:ascii="宋体" w:hAnsi="宋体"/>
                <w:kern w:val="0"/>
                <w:sz w:val="24"/>
              </w:rPr>
            </w:pPr>
            <w:r>
              <w:rPr>
                <w:rFonts w:hint="eastAsia" w:ascii="宋体" w:hAnsi="宋体"/>
                <w:kern w:val="0"/>
                <w:sz w:val="24"/>
              </w:rPr>
              <w:t>详见招标需求</w:t>
            </w:r>
          </w:p>
        </w:tc>
      </w:tr>
    </w:tbl>
    <w:p>
      <w:pPr>
        <w:pStyle w:val="4"/>
        <w:pageBreakBefore w:val="0"/>
        <w:widowControl w:val="0"/>
        <w:kinsoku/>
        <w:wordWrap/>
        <w:overflowPunct/>
        <w:topLinePunct w:val="0"/>
        <w:autoSpaceDE/>
        <w:autoSpaceDN/>
        <w:bidi w:val="0"/>
        <w:spacing w:line="430" w:lineRule="exact"/>
        <w:textAlignment w:val="auto"/>
        <w:rPr>
          <w:rFonts w:hint="eastAsia" w:ascii="仿宋" w:hAnsi="仿宋" w:eastAsia="仿宋" w:cs="仿宋"/>
          <w:color w:val="auto"/>
          <w:highlight w:val="none"/>
          <w:lang w:eastAsia="zh-CN"/>
        </w:rPr>
      </w:pPr>
      <w:bookmarkStart w:id="6" w:name="_Toc35393622"/>
      <w:bookmarkStart w:id="7" w:name="_Toc28359080"/>
      <w:bookmarkStart w:id="8" w:name="_Toc28359003"/>
      <w:bookmarkStart w:id="9" w:name="_Toc35393791"/>
      <w:r>
        <w:rPr>
          <w:rFonts w:hint="eastAsia" w:ascii="仿宋" w:hAnsi="仿宋" w:eastAsia="仿宋" w:cs="仿宋"/>
          <w:color w:val="auto"/>
          <w:highlight w:val="none"/>
        </w:rPr>
        <w:t>二、申请人的资格要求</w:t>
      </w:r>
      <w:bookmarkEnd w:id="6"/>
      <w:bookmarkEnd w:id="7"/>
      <w:bookmarkEnd w:id="8"/>
      <w:bookmarkEnd w:id="9"/>
    </w:p>
    <w:p>
      <w:pPr>
        <w:pageBreakBefore w:val="0"/>
        <w:widowControl w:val="0"/>
        <w:kinsoku/>
        <w:wordWrap/>
        <w:overflowPunct/>
        <w:topLinePunct w:val="0"/>
        <w:autoSpaceDE/>
        <w:autoSpaceDN/>
        <w:bidi w:val="0"/>
        <w:spacing w:line="430" w:lineRule="exact"/>
        <w:ind w:firstLine="480" w:firstLineChars="200"/>
        <w:jc w:val="left"/>
        <w:textAlignment w:val="auto"/>
        <w:rPr>
          <w:rFonts w:hint="eastAsia" w:ascii="仿宋" w:hAnsi="仿宋" w:eastAsia="仿宋" w:cs="仿宋"/>
          <w:color w:val="auto"/>
          <w:sz w:val="24"/>
          <w:highlight w:val="none"/>
        </w:rPr>
      </w:pPr>
      <w:bookmarkStart w:id="10" w:name="_Toc35393623"/>
      <w:bookmarkStart w:id="11" w:name="_Toc28359081"/>
      <w:bookmarkStart w:id="12" w:name="_Toc28359004"/>
      <w:bookmarkStart w:id="13" w:name="_Toc35393792"/>
      <w:r>
        <w:rPr>
          <w:rFonts w:hint="eastAsia" w:ascii="仿宋" w:hAnsi="仿宋" w:eastAsia="仿宋" w:cs="仿宋"/>
          <w:color w:val="auto"/>
          <w:sz w:val="24"/>
          <w:highlight w:val="none"/>
        </w:rPr>
        <w:t>（一）</w:t>
      </w:r>
      <w:r>
        <w:rPr>
          <w:rFonts w:hint="eastAsia" w:ascii="仿宋" w:hAnsi="仿宋" w:eastAsia="仿宋" w:cs="仿宋"/>
          <w:color w:val="auto"/>
          <w:sz w:val="24"/>
          <w:highlight w:val="none"/>
          <w:lang w:eastAsia="zh-CN"/>
        </w:rPr>
        <w:t>符合</w:t>
      </w:r>
      <w:r>
        <w:rPr>
          <w:rFonts w:hint="eastAsia" w:ascii="仿宋" w:hAnsi="仿宋" w:eastAsia="仿宋" w:cs="仿宋"/>
          <w:color w:val="auto"/>
          <w:sz w:val="24"/>
          <w:highlight w:val="none"/>
        </w:rPr>
        <w:t>《中华人民共和国政府采购法》第二十二条规定；且未被“信用中国”（www.creditchina.gov.cn）、中国</w:t>
      </w:r>
      <w:r>
        <w:rPr>
          <w:rFonts w:hint="eastAsia" w:ascii="仿宋" w:hAnsi="仿宋" w:eastAsia="仿宋" w:cs="仿宋"/>
          <w:color w:val="auto"/>
          <w:sz w:val="24"/>
          <w:highlight w:val="none"/>
          <w:lang w:eastAsia="zh-CN"/>
        </w:rPr>
        <w:t>采购</w:t>
      </w:r>
      <w:r>
        <w:rPr>
          <w:rFonts w:hint="eastAsia" w:ascii="仿宋" w:hAnsi="仿宋" w:eastAsia="仿宋" w:cs="仿宋"/>
          <w:color w:val="auto"/>
          <w:sz w:val="24"/>
          <w:highlight w:val="none"/>
        </w:rPr>
        <w:t>网（www.ccgp.gov.cn）列入失信被执行人、重大税收违法案件当事人名单、采购严重违法失信行为记录名单；</w:t>
      </w:r>
    </w:p>
    <w:p>
      <w:pPr>
        <w:spacing w:line="360" w:lineRule="auto"/>
        <w:ind w:firstLine="480" w:firstLineChars="200"/>
        <w:jc w:val="left"/>
        <w:rPr>
          <w:rFonts w:ascii="仿宋" w:hAnsi="仿宋" w:eastAsia="仿宋" w:cs="仿宋"/>
          <w:color w:val="000000"/>
          <w:sz w:val="24"/>
          <w:szCs w:val="28"/>
        </w:rPr>
      </w:pPr>
      <w:r>
        <w:rPr>
          <w:rFonts w:hint="eastAsia" w:ascii="仿宋" w:hAnsi="仿宋" w:eastAsia="仿宋" w:cs="仿宋"/>
          <w:color w:val="000000"/>
          <w:sz w:val="24"/>
          <w:szCs w:val="28"/>
          <w:lang w:eastAsia="zh-CN"/>
        </w:rPr>
        <w:t>（</w:t>
      </w:r>
      <w:r>
        <w:rPr>
          <w:rFonts w:hint="eastAsia" w:ascii="仿宋" w:hAnsi="仿宋" w:eastAsia="仿宋" w:cs="仿宋"/>
          <w:color w:val="000000"/>
          <w:sz w:val="24"/>
          <w:szCs w:val="28"/>
          <w:lang w:val="en-US" w:eastAsia="zh-CN"/>
        </w:rPr>
        <w:t>二</w:t>
      </w:r>
      <w:r>
        <w:rPr>
          <w:rFonts w:hint="eastAsia" w:ascii="仿宋" w:hAnsi="仿宋" w:eastAsia="仿宋" w:cs="仿宋"/>
          <w:color w:val="000000"/>
          <w:sz w:val="24"/>
          <w:szCs w:val="28"/>
          <w:lang w:eastAsia="zh-CN"/>
        </w:rPr>
        <w:t>）</w:t>
      </w:r>
      <w:r>
        <w:rPr>
          <w:rFonts w:hint="eastAsia" w:ascii="仿宋" w:hAnsi="仿宋" w:eastAsia="仿宋" w:cs="仿宋"/>
          <w:color w:val="000000"/>
          <w:sz w:val="24"/>
          <w:szCs w:val="28"/>
        </w:rPr>
        <w:t>本项目的特定资格要求：无</w:t>
      </w:r>
    </w:p>
    <w:p>
      <w:pPr>
        <w:pStyle w:val="4"/>
        <w:pageBreakBefore w:val="0"/>
        <w:widowControl w:val="0"/>
        <w:kinsoku/>
        <w:wordWrap/>
        <w:overflowPunct/>
        <w:topLinePunct w:val="0"/>
        <w:autoSpaceDE/>
        <w:autoSpaceDN/>
        <w:bidi w:val="0"/>
        <w:spacing w:line="430" w:lineRule="exact"/>
        <w:textAlignment w:val="auto"/>
        <w:rPr>
          <w:rFonts w:hint="eastAsia" w:ascii="仿宋" w:hAnsi="仿宋" w:eastAsia="仿宋" w:cs="仿宋"/>
          <w:color w:val="auto"/>
          <w:highlight w:val="none"/>
        </w:rPr>
      </w:pPr>
      <w:r>
        <w:rPr>
          <w:rFonts w:hint="eastAsia" w:ascii="仿宋" w:hAnsi="仿宋" w:eastAsia="仿宋" w:cs="仿宋"/>
          <w:color w:val="auto"/>
          <w:highlight w:val="none"/>
        </w:rPr>
        <w:t>三、获取招标采购文件</w:t>
      </w:r>
      <w:bookmarkEnd w:id="10"/>
      <w:bookmarkEnd w:id="11"/>
      <w:bookmarkEnd w:id="12"/>
      <w:bookmarkEnd w:id="13"/>
    </w:p>
    <w:p>
      <w:pPr>
        <w:pStyle w:val="28"/>
        <w:spacing w:before="0" w:beforeAutospacing="0" w:after="0" w:afterAutospacing="0" w:line="336" w:lineRule="auto"/>
        <w:ind w:firstLine="480" w:firstLineChars="200"/>
        <w:rPr>
          <w:rFonts w:hint="eastAsia" w:ascii="仿宋" w:hAnsi="仿宋" w:eastAsia="仿宋" w:cs="仿宋"/>
          <w:color w:val="auto"/>
          <w:sz w:val="24"/>
          <w:szCs w:val="24"/>
        </w:rPr>
      </w:pPr>
      <w:bookmarkStart w:id="14" w:name="_Toc28359005"/>
      <w:bookmarkStart w:id="15" w:name="_Toc28359082"/>
      <w:bookmarkStart w:id="16" w:name="_Toc35393624"/>
      <w:bookmarkStart w:id="17" w:name="_Toc35393793"/>
      <w:r>
        <w:rPr>
          <w:rFonts w:hint="eastAsia" w:ascii="仿宋" w:hAnsi="仿宋" w:eastAsia="仿宋" w:cs="仿宋"/>
          <w:color w:val="auto"/>
          <w:sz w:val="24"/>
          <w:szCs w:val="24"/>
        </w:rPr>
        <w:t>时间：</w:t>
      </w:r>
      <w:r>
        <w:rPr>
          <w:rFonts w:hint="eastAsia" w:ascii="仿宋" w:hAnsi="仿宋" w:eastAsia="仿宋" w:cs="仿宋"/>
          <w:color w:val="auto"/>
          <w:sz w:val="24"/>
          <w:szCs w:val="24"/>
          <w:lang w:eastAsia="zh-CN"/>
        </w:rPr>
        <w:t>公告发布</w:t>
      </w:r>
      <w:r>
        <w:rPr>
          <w:rFonts w:hint="eastAsia" w:ascii="仿宋" w:hAnsi="仿宋" w:eastAsia="仿宋" w:cs="仿宋"/>
          <w:color w:val="auto"/>
          <w:sz w:val="24"/>
          <w:szCs w:val="24"/>
        </w:rPr>
        <w:t>至</w:t>
      </w:r>
      <w:r>
        <w:rPr>
          <w:rFonts w:hint="eastAsia" w:ascii="仿宋" w:hAnsi="仿宋" w:eastAsia="仿宋" w:cs="仿宋"/>
          <w:color w:val="auto"/>
          <w:sz w:val="24"/>
          <w:szCs w:val="24"/>
          <w:lang w:eastAsia="zh-CN"/>
        </w:rPr>
        <w:t>202</w:t>
      </w: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lang w:eastAsia="zh-CN"/>
        </w:rPr>
        <w:t>年</w:t>
      </w:r>
      <w:r>
        <w:rPr>
          <w:rFonts w:hint="eastAsia" w:ascii="仿宋" w:hAnsi="仿宋" w:eastAsia="仿宋" w:cs="仿宋"/>
          <w:color w:val="auto"/>
          <w:sz w:val="24"/>
          <w:szCs w:val="24"/>
          <w:lang w:val="en-US" w:eastAsia="zh-CN"/>
        </w:rPr>
        <w:t>8</w:t>
      </w:r>
      <w:r>
        <w:rPr>
          <w:rFonts w:hint="eastAsia" w:ascii="仿宋" w:hAnsi="仿宋" w:eastAsia="仿宋" w:cs="仿宋"/>
          <w:color w:val="auto"/>
          <w:sz w:val="24"/>
          <w:szCs w:val="24"/>
          <w:lang w:eastAsia="zh-CN"/>
        </w:rPr>
        <w:t>月</w:t>
      </w:r>
      <w:r>
        <w:rPr>
          <w:rFonts w:hint="eastAsia" w:ascii="仿宋" w:hAnsi="仿宋" w:eastAsia="仿宋" w:cs="仿宋"/>
          <w:color w:val="auto"/>
          <w:sz w:val="24"/>
          <w:szCs w:val="24"/>
          <w:lang w:val="en-US" w:eastAsia="zh-CN"/>
        </w:rPr>
        <w:t>16</w:t>
      </w:r>
      <w:r>
        <w:rPr>
          <w:rFonts w:hint="eastAsia" w:ascii="仿宋" w:hAnsi="仿宋" w:eastAsia="仿宋" w:cs="仿宋"/>
          <w:color w:val="auto"/>
          <w:sz w:val="24"/>
          <w:szCs w:val="24"/>
          <w:lang w:eastAsia="zh-CN"/>
        </w:rPr>
        <w:t>日09:00时</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每天上午00:00至12:00，下午12:00至23:59（北京时间，线上获取法定节假日均可，线下获取文件法定节假日除外）。</w:t>
      </w:r>
    </w:p>
    <w:p>
      <w:pPr>
        <w:pStyle w:val="28"/>
        <w:spacing w:before="0" w:beforeAutospacing="0" w:after="0" w:afterAutospacing="0" w:line="336"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地点（网址）：</w:t>
      </w:r>
      <w:r>
        <w:rPr>
          <w:rFonts w:hint="eastAsia" w:ascii="仿宋" w:hAnsi="仿宋" w:eastAsia="仿宋" w:cs="仿宋"/>
          <w:color w:val="0000FF"/>
          <w:sz w:val="24"/>
          <w:szCs w:val="24"/>
          <w:lang w:eastAsia="zh-CN"/>
        </w:rPr>
        <w:t>乐</w:t>
      </w:r>
      <w:r>
        <w:rPr>
          <w:rFonts w:hint="eastAsia" w:ascii="仿宋" w:hAnsi="仿宋" w:eastAsia="仿宋" w:cs="仿宋"/>
          <w:color w:val="0000FF"/>
          <w:sz w:val="24"/>
          <w:szCs w:val="24"/>
        </w:rPr>
        <w:t>采云</w:t>
      </w:r>
      <w:r>
        <w:rPr>
          <w:rFonts w:hint="eastAsia" w:ascii="仿宋" w:hAnsi="仿宋" w:eastAsia="仿宋" w:cs="仿宋"/>
          <w:color w:val="auto"/>
          <w:sz w:val="24"/>
          <w:szCs w:val="24"/>
        </w:rPr>
        <w:t>平台线上获取</w:t>
      </w:r>
    </w:p>
    <w:p>
      <w:pPr>
        <w:pStyle w:val="28"/>
        <w:spacing w:before="0" w:beforeAutospacing="0" w:after="0" w:afterAutospacing="0" w:line="336" w:lineRule="auto"/>
        <w:ind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rPr>
        <w:t>方式：供应商登录</w:t>
      </w:r>
      <w:r>
        <w:rPr>
          <w:rFonts w:hint="eastAsia" w:ascii="仿宋" w:hAnsi="仿宋" w:eastAsia="仿宋" w:cs="仿宋"/>
          <w:color w:val="0000FF"/>
          <w:sz w:val="24"/>
          <w:szCs w:val="24"/>
          <w:lang w:eastAsia="zh-CN"/>
        </w:rPr>
        <w:t>乐</w:t>
      </w:r>
      <w:r>
        <w:rPr>
          <w:rFonts w:hint="eastAsia" w:ascii="仿宋" w:hAnsi="仿宋" w:eastAsia="仿宋" w:cs="仿宋"/>
          <w:color w:val="0000FF"/>
          <w:sz w:val="24"/>
          <w:szCs w:val="24"/>
        </w:rPr>
        <w:t>采云</w:t>
      </w:r>
      <w:r>
        <w:rPr>
          <w:rFonts w:hint="eastAsia" w:ascii="仿宋" w:hAnsi="仿宋" w:eastAsia="仿宋" w:cs="仿宋"/>
          <w:color w:val="auto"/>
          <w:sz w:val="24"/>
          <w:szCs w:val="24"/>
        </w:rPr>
        <w:t>平台</w:t>
      </w:r>
      <w:r>
        <w:rPr>
          <w:rFonts w:hint="eastAsia" w:ascii="仿宋" w:hAnsi="仿宋" w:eastAsia="仿宋" w:cs="仿宋"/>
          <w:color w:val="auto"/>
          <w:sz w:val="24"/>
          <w:szCs w:val="24"/>
          <w:lang w:eastAsia="zh-CN"/>
        </w:rPr>
        <w:t>https://www.lecaiyun.com/</w:t>
      </w:r>
      <w:r>
        <w:rPr>
          <w:rFonts w:hint="eastAsia" w:ascii="仿宋" w:hAnsi="仿宋" w:eastAsia="仿宋" w:cs="仿宋"/>
          <w:color w:val="auto"/>
          <w:sz w:val="24"/>
          <w:szCs w:val="24"/>
        </w:rPr>
        <w:t>在线申请获取采购文件（进入“项目采购”应用，在获取采购文件菜单中选择项目，申请获取采购文件）</w:t>
      </w:r>
      <w:r>
        <w:rPr>
          <w:rFonts w:hint="eastAsia" w:ascii="仿宋" w:hAnsi="仿宋" w:eastAsia="仿宋" w:cs="仿宋"/>
          <w:color w:val="auto"/>
          <w:sz w:val="24"/>
          <w:szCs w:val="24"/>
          <w:lang w:eastAsia="zh-CN"/>
        </w:rPr>
        <w:t>。</w:t>
      </w:r>
    </w:p>
    <w:p>
      <w:pPr>
        <w:pStyle w:val="28"/>
        <w:spacing w:before="0" w:beforeAutospacing="0" w:after="0" w:afterAutospacing="0" w:line="336"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售价（元）：0 </w:t>
      </w:r>
    </w:p>
    <w:p>
      <w:pPr>
        <w:pStyle w:val="4"/>
        <w:pageBreakBefore w:val="0"/>
        <w:widowControl w:val="0"/>
        <w:kinsoku/>
        <w:wordWrap/>
        <w:overflowPunct/>
        <w:topLinePunct w:val="0"/>
        <w:autoSpaceDE/>
        <w:autoSpaceDN/>
        <w:bidi w:val="0"/>
        <w:spacing w:line="430" w:lineRule="exact"/>
        <w:textAlignment w:val="auto"/>
        <w:rPr>
          <w:rFonts w:hint="eastAsia" w:ascii="仿宋" w:hAnsi="仿宋" w:eastAsia="仿宋" w:cs="仿宋"/>
          <w:color w:val="auto"/>
          <w:highlight w:val="none"/>
        </w:rPr>
      </w:pPr>
      <w:r>
        <w:rPr>
          <w:rFonts w:hint="eastAsia" w:ascii="仿宋" w:hAnsi="仿宋" w:eastAsia="仿宋" w:cs="仿宋"/>
          <w:color w:val="auto"/>
          <w:highlight w:val="none"/>
        </w:rPr>
        <w:t>四、提交投标文件</w:t>
      </w:r>
      <w:bookmarkEnd w:id="14"/>
      <w:bookmarkEnd w:id="15"/>
      <w:r>
        <w:rPr>
          <w:rFonts w:hint="eastAsia" w:ascii="仿宋" w:hAnsi="仿宋" w:eastAsia="仿宋" w:cs="仿宋"/>
          <w:color w:val="auto"/>
          <w:highlight w:val="none"/>
        </w:rPr>
        <w:t>截止时间、开标时间和地点</w:t>
      </w:r>
      <w:bookmarkEnd w:id="16"/>
      <w:bookmarkEnd w:id="17"/>
    </w:p>
    <w:p>
      <w:pPr>
        <w:pStyle w:val="28"/>
        <w:keepNext w:val="0"/>
        <w:keepLines w:val="0"/>
        <w:pageBreakBefore w:val="0"/>
        <w:widowControl w:val="0"/>
        <w:kinsoku/>
        <w:wordWrap/>
        <w:overflowPunct/>
        <w:topLinePunct w:val="0"/>
        <w:autoSpaceDE/>
        <w:autoSpaceDN/>
        <w:bidi w:val="0"/>
        <w:adjustRightInd/>
        <w:snapToGrid/>
        <w:spacing w:beforeAutospacing="0" w:after="0" w:afterAutospacing="0" w:line="440" w:lineRule="exact"/>
        <w:ind w:firstLine="480" w:firstLineChars="200"/>
        <w:textAlignment w:val="auto"/>
        <w:rPr>
          <w:rFonts w:hint="eastAsia" w:ascii="仿宋" w:hAnsi="仿宋" w:eastAsia="仿宋" w:cs="仿宋"/>
          <w:color w:val="auto"/>
          <w:sz w:val="24"/>
          <w:szCs w:val="24"/>
          <w:highlight w:val="none"/>
        </w:rPr>
      </w:pPr>
      <w:bookmarkStart w:id="18" w:name="_Toc28359084"/>
      <w:bookmarkStart w:id="19" w:name="_Toc35393625"/>
      <w:bookmarkStart w:id="20" w:name="_Toc35393794"/>
      <w:bookmarkStart w:id="21" w:name="_Toc28359007"/>
      <w:r>
        <w:rPr>
          <w:rFonts w:hint="eastAsia" w:ascii="仿宋" w:hAnsi="仿宋" w:eastAsia="仿宋" w:cs="仿宋"/>
          <w:color w:val="auto"/>
          <w:sz w:val="24"/>
          <w:szCs w:val="24"/>
        </w:rPr>
        <w:t>提交投标文件截止时间</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highlight w:val="none"/>
          <w:u w:val="single"/>
        </w:rPr>
        <w:t>202</w:t>
      </w:r>
      <w:r>
        <w:rPr>
          <w:rFonts w:hint="eastAsia" w:ascii="仿宋" w:hAnsi="仿宋" w:eastAsia="仿宋" w:cs="仿宋"/>
          <w:color w:val="auto"/>
          <w:sz w:val="24"/>
          <w:szCs w:val="24"/>
          <w:highlight w:val="none"/>
          <w:u w:val="single"/>
          <w:lang w:val="en-US" w:eastAsia="zh-CN"/>
        </w:rPr>
        <w:t>4</w:t>
      </w:r>
      <w:r>
        <w:rPr>
          <w:rFonts w:hint="eastAsia" w:ascii="仿宋" w:hAnsi="仿宋" w:eastAsia="仿宋" w:cs="仿宋"/>
          <w:color w:val="auto"/>
          <w:sz w:val="24"/>
          <w:szCs w:val="24"/>
          <w:highlight w:val="none"/>
          <w:u w:val="single"/>
        </w:rPr>
        <w:t>年</w:t>
      </w:r>
      <w:r>
        <w:rPr>
          <w:rFonts w:hint="eastAsia" w:ascii="仿宋" w:hAnsi="仿宋" w:eastAsia="仿宋" w:cs="仿宋"/>
          <w:color w:val="auto"/>
          <w:sz w:val="24"/>
          <w:szCs w:val="24"/>
          <w:highlight w:val="none"/>
          <w:u w:val="single"/>
          <w:lang w:val="en-US" w:eastAsia="zh-CN"/>
        </w:rPr>
        <w:t>8</w:t>
      </w:r>
      <w:r>
        <w:rPr>
          <w:rFonts w:hint="eastAsia" w:ascii="仿宋" w:hAnsi="仿宋" w:eastAsia="仿宋" w:cs="仿宋"/>
          <w:color w:val="auto"/>
          <w:sz w:val="24"/>
          <w:szCs w:val="24"/>
          <w:highlight w:val="none"/>
          <w:u w:val="single"/>
        </w:rPr>
        <w:t>月</w:t>
      </w:r>
      <w:r>
        <w:rPr>
          <w:rFonts w:hint="eastAsia" w:ascii="仿宋" w:hAnsi="仿宋" w:eastAsia="仿宋" w:cs="仿宋"/>
          <w:color w:val="auto"/>
          <w:sz w:val="24"/>
          <w:szCs w:val="24"/>
          <w:highlight w:val="none"/>
          <w:u w:val="single"/>
          <w:lang w:val="en-US" w:eastAsia="zh-CN"/>
        </w:rPr>
        <w:t>16</w:t>
      </w:r>
      <w:r>
        <w:rPr>
          <w:rFonts w:hint="eastAsia" w:ascii="仿宋" w:hAnsi="仿宋" w:eastAsia="仿宋" w:cs="仿宋"/>
          <w:color w:val="auto"/>
          <w:sz w:val="24"/>
          <w:szCs w:val="24"/>
          <w:highlight w:val="none"/>
          <w:u w:val="single"/>
        </w:rPr>
        <w:t>日09:00时（</w:t>
      </w:r>
      <w:r>
        <w:rPr>
          <w:rFonts w:hint="eastAsia" w:ascii="仿宋" w:hAnsi="仿宋" w:eastAsia="仿宋" w:cs="仿宋"/>
          <w:color w:val="auto"/>
          <w:sz w:val="24"/>
          <w:szCs w:val="24"/>
          <w:highlight w:val="none"/>
        </w:rPr>
        <w:t>北京时间）</w:t>
      </w:r>
    </w:p>
    <w:p>
      <w:pPr>
        <w:pStyle w:val="28"/>
        <w:keepNext w:val="0"/>
        <w:keepLines w:val="0"/>
        <w:pageBreakBefore w:val="0"/>
        <w:widowControl w:val="0"/>
        <w:kinsoku/>
        <w:wordWrap/>
        <w:overflowPunct/>
        <w:topLinePunct w:val="0"/>
        <w:autoSpaceDE/>
        <w:autoSpaceDN/>
        <w:bidi w:val="0"/>
        <w:adjustRightInd/>
        <w:snapToGrid/>
        <w:spacing w:beforeAutospacing="0" w:after="0" w:afterAutospacing="0" w:line="440" w:lineRule="exact"/>
        <w:ind w:firstLine="480" w:firstLineChars="2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投标地点（网址）：</w:t>
      </w:r>
      <w:r>
        <w:rPr>
          <w:rFonts w:hint="eastAsia" w:ascii="仿宋" w:hAnsi="仿宋" w:eastAsia="仿宋" w:cs="仿宋"/>
          <w:color w:val="auto"/>
          <w:sz w:val="24"/>
          <w:szCs w:val="24"/>
          <w:highlight w:val="none"/>
          <w:u w:val="single"/>
        </w:rPr>
        <w:t>请登录</w:t>
      </w:r>
      <w:r>
        <w:rPr>
          <w:rFonts w:hint="eastAsia" w:ascii="仿宋" w:hAnsi="仿宋" w:eastAsia="仿宋" w:cs="仿宋"/>
          <w:color w:val="0000FF"/>
          <w:sz w:val="24"/>
          <w:szCs w:val="24"/>
          <w:highlight w:val="none"/>
          <w:u w:val="single"/>
          <w:lang w:eastAsia="zh-CN"/>
        </w:rPr>
        <w:t>乐采云</w:t>
      </w:r>
      <w:r>
        <w:rPr>
          <w:rFonts w:hint="eastAsia" w:ascii="仿宋" w:hAnsi="仿宋" w:eastAsia="仿宋" w:cs="仿宋"/>
          <w:color w:val="auto"/>
          <w:sz w:val="24"/>
          <w:szCs w:val="24"/>
          <w:highlight w:val="none"/>
          <w:u w:val="single"/>
        </w:rPr>
        <w:t>投标客户端投标</w:t>
      </w:r>
    </w:p>
    <w:p>
      <w:pPr>
        <w:pStyle w:val="28"/>
        <w:keepNext w:val="0"/>
        <w:keepLines w:val="0"/>
        <w:pageBreakBefore w:val="0"/>
        <w:widowControl w:val="0"/>
        <w:kinsoku/>
        <w:wordWrap/>
        <w:overflowPunct/>
        <w:topLinePunct w:val="0"/>
        <w:autoSpaceDE/>
        <w:autoSpaceDN/>
        <w:bidi w:val="0"/>
        <w:adjustRightInd/>
        <w:snapToGrid/>
        <w:spacing w:beforeAutospacing="0" w:after="0" w:afterAutospacing="0" w:line="440" w:lineRule="exact"/>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开标时间：</w:t>
      </w:r>
      <w:r>
        <w:rPr>
          <w:rFonts w:hint="eastAsia" w:ascii="仿宋" w:hAnsi="仿宋" w:eastAsia="仿宋" w:cs="仿宋"/>
          <w:color w:val="auto"/>
          <w:sz w:val="24"/>
          <w:szCs w:val="24"/>
          <w:highlight w:val="none"/>
          <w:u w:val="single"/>
          <w:lang w:eastAsia="zh-CN"/>
        </w:rPr>
        <w:t>202</w:t>
      </w:r>
      <w:r>
        <w:rPr>
          <w:rFonts w:hint="eastAsia" w:ascii="仿宋" w:hAnsi="仿宋" w:eastAsia="仿宋" w:cs="仿宋"/>
          <w:color w:val="auto"/>
          <w:sz w:val="24"/>
          <w:szCs w:val="24"/>
          <w:highlight w:val="none"/>
          <w:u w:val="single"/>
          <w:lang w:val="en-US" w:eastAsia="zh-CN"/>
        </w:rPr>
        <w:t>4</w:t>
      </w:r>
      <w:r>
        <w:rPr>
          <w:rFonts w:hint="eastAsia" w:ascii="仿宋" w:hAnsi="仿宋" w:eastAsia="仿宋" w:cs="仿宋"/>
          <w:color w:val="auto"/>
          <w:sz w:val="24"/>
          <w:szCs w:val="24"/>
          <w:highlight w:val="none"/>
          <w:u w:val="single"/>
          <w:lang w:eastAsia="zh-CN"/>
        </w:rPr>
        <w:t>年</w:t>
      </w:r>
      <w:r>
        <w:rPr>
          <w:rFonts w:hint="eastAsia" w:ascii="仿宋" w:hAnsi="仿宋" w:eastAsia="仿宋" w:cs="仿宋"/>
          <w:color w:val="auto"/>
          <w:sz w:val="24"/>
          <w:szCs w:val="24"/>
          <w:highlight w:val="none"/>
          <w:u w:val="single"/>
          <w:lang w:val="en-US" w:eastAsia="zh-CN"/>
        </w:rPr>
        <w:t>8</w:t>
      </w:r>
      <w:r>
        <w:rPr>
          <w:rFonts w:hint="eastAsia" w:ascii="仿宋" w:hAnsi="仿宋" w:eastAsia="仿宋" w:cs="仿宋"/>
          <w:color w:val="auto"/>
          <w:sz w:val="24"/>
          <w:szCs w:val="24"/>
          <w:highlight w:val="none"/>
          <w:u w:val="single"/>
          <w:lang w:eastAsia="zh-CN"/>
        </w:rPr>
        <w:t>月</w:t>
      </w:r>
      <w:r>
        <w:rPr>
          <w:rFonts w:hint="eastAsia" w:ascii="仿宋" w:hAnsi="仿宋" w:eastAsia="仿宋" w:cs="仿宋"/>
          <w:color w:val="auto"/>
          <w:sz w:val="24"/>
          <w:szCs w:val="24"/>
          <w:highlight w:val="none"/>
          <w:u w:val="single"/>
          <w:lang w:val="en-US" w:eastAsia="zh-CN"/>
        </w:rPr>
        <w:t>16</w:t>
      </w:r>
      <w:r>
        <w:rPr>
          <w:rFonts w:hint="eastAsia" w:ascii="仿宋" w:hAnsi="仿宋" w:eastAsia="仿宋" w:cs="仿宋"/>
          <w:color w:val="auto"/>
          <w:sz w:val="24"/>
          <w:szCs w:val="24"/>
          <w:highlight w:val="none"/>
          <w:u w:val="single"/>
          <w:lang w:eastAsia="zh-CN"/>
        </w:rPr>
        <w:t>日09:00时</w:t>
      </w:r>
    </w:p>
    <w:p>
      <w:pPr>
        <w:pStyle w:val="28"/>
        <w:keepNext w:val="0"/>
        <w:keepLines w:val="0"/>
        <w:pageBreakBefore w:val="0"/>
        <w:widowControl w:val="0"/>
        <w:kinsoku/>
        <w:wordWrap/>
        <w:overflowPunct/>
        <w:topLinePunct w:val="0"/>
        <w:autoSpaceDE/>
        <w:autoSpaceDN/>
        <w:bidi w:val="0"/>
        <w:adjustRightInd/>
        <w:snapToGrid/>
        <w:spacing w:beforeAutospacing="0" w:after="0" w:afterAutospacing="0" w:line="440" w:lineRule="exact"/>
        <w:ind w:firstLine="480" w:firstLineChars="200"/>
        <w:textAlignment w:val="auto"/>
        <w:rPr>
          <w:rFonts w:hint="eastAsia" w:ascii="仿宋" w:hAnsi="仿宋" w:eastAsia="仿宋" w:cs="仿宋"/>
          <w:color w:val="auto"/>
          <w:sz w:val="24"/>
          <w:szCs w:val="24"/>
          <w:u w:val="single"/>
          <w:lang w:eastAsia="zh-CN"/>
        </w:rPr>
      </w:pPr>
      <w:r>
        <w:rPr>
          <w:rFonts w:hint="eastAsia" w:ascii="仿宋" w:hAnsi="仿宋" w:eastAsia="仿宋" w:cs="仿宋"/>
          <w:color w:val="auto"/>
          <w:sz w:val="24"/>
          <w:szCs w:val="24"/>
          <w:lang w:eastAsia="zh-CN"/>
        </w:rPr>
        <w:t>开标</w:t>
      </w:r>
      <w:r>
        <w:rPr>
          <w:rFonts w:hint="eastAsia" w:ascii="仿宋" w:hAnsi="仿宋" w:eastAsia="仿宋" w:cs="仿宋"/>
          <w:color w:val="auto"/>
          <w:sz w:val="24"/>
          <w:szCs w:val="24"/>
        </w:rPr>
        <w:t>地点：</w:t>
      </w:r>
      <w:r>
        <w:rPr>
          <w:rFonts w:hint="eastAsia" w:ascii="仿宋" w:hAnsi="仿宋" w:eastAsia="仿宋" w:cs="仿宋"/>
          <w:color w:val="auto"/>
          <w:sz w:val="24"/>
          <w:szCs w:val="24"/>
          <w:u w:val="single"/>
        </w:rPr>
        <w:t>浙江省金华市武义县金华市政府采购中心武义县分中心建行14楼政府采购开标室</w:t>
      </w:r>
      <w:r>
        <w:rPr>
          <w:rFonts w:hint="eastAsia" w:ascii="仿宋" w:hAnsi="仿宋" w:eastAsia="仿宋" w:cs="仿宋"/>
          <w:color w:val="auto"/>
          <w:sz w:val="24"/>
          <w:szCs w:val="24"/>
          <w:u w:val="single"/>
          <w:lang w:eastAsia="zh-CN"/>
        </w:rPr>
        <w:t>三</w:t>
      </w:r>
    </w:p>
    <w:p>
      <w:pPr>
        <w:pStyle w:val="4"/>
        <w:pageBreakBefore w:val="0"/>
        <w:widowControl w:val="0"/>
        <w:kinsoku/>
        <w:wordWrap/>
        <w:overflowPunct/>
        <w:topLinePunct w:val="0"/>
        <w:autoSpaceDE/>
        <w:autoSpaceDN/>
        <w:bidi w:val="0"/>
        <w:spacing w:line="430" w:lineRule="exact"/>
        <w:textAlignment w:val="auto"/>
        <w:rPr>
          <w:rFonts w:hint="eastAsia" w:ascii="仿宋" w:hAnsi="仿宋" w:eastAsia="仿宋" w:cs="仿宋"/>
          <w:color w:val="auto"/>
          <w:highlight w:val="none"/>
        </w:rPr>
      </w:pPr>
      <w:r>
        <w:rPr>
          <w:rFonts w:hint="eastAsia" w:ascii="仿宋" w:hAnsi="仿宋" w:eastAsia="仿宋" w:cs="仿宋"/>
          <w:color w:val="auto"/>
          <w:highlight w:val="none"/>
        </w:rPr>
        <w:t>五、开标时间及地点</w:t>
      </w:r>
    </w:p>
    <w:p>
      <w:pPr>
        <w:pageBreakBefore w:val="0"/>
        <w:widowControl w:val="0"/>
        <w:kinsoku/>
        <w:wordWrap/>
        <w:overflowPunct/>
        <w:topLinePunct w:val="0"/>
        <w:autoSpaceDE/>
        <w:autoSpaceDN/>
        <w:bidi w:val="0"/>
        <w:spacing w:line="43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本次招标将于</w:t>
      </w:r>
      <w:r>
        <w:rPr>
          <w:rFonts w:hint="eastAsia" w:ascii="仿宋" w:hAnsi="仿宋" w:eastAsia="仿宋" w:cs="仿宋"/>
          <w:b/>
          <w:color w:val="auto"/>
          <w:sz w:val="24"/>
          <w:highlight w:val="none"/>
          <w:u w:val="single"/>
          <w:lang w:eastAsia="zh-CN"/>
        </w:rPr>
        <w:t>202</w:t>
      </w:r>
      <w:r>
        <w:rPr>
          <w:rFonts w:hint="eastAsia" w:ascii="仿宋" w:hAnsi="仿宋" w:eastAsia="仿宋" w:cs="仿宋"/>
          <w:b/>
          <w:color w:val="auto"/>
          <w:sz w:val="24"/>
          <w:highlight w:val="none"/>
          <w:u w:val="single"/>
          <w:lang w:val="en-US" w:eastAsia="zh-CN"/>
        </w:rPr>
        <w:t>4</w:t>
      </w:r>
      <w:r>
        <w:rPr>
          <w:rFonts w:hint="eastAsia" w:ascii="仿宋" w:hAnsi="仿宋" w:eastAsia="仿宋" w:cs="仿宋"/>
          <w:b/>
          <w:color w:val="auto"/>
          <w:sz w:val="24"/>
          <w:highlight w:val="none"/>
          <w:u w:val="single"/>
          <w:lang w:eastAsia="zh-CN"/>
        </w:rPr>
        <w:t>年</w:t>
      </w:r>
      <w:r>
        <w:rPr>
          <w:rFonts w:hint="eastAsia" w:ascii="仿宋" w:hAnsi="仿宋" w:eastAsia="仿宋" w:cs="仿宋"/>
          <w:b/>
          <w:color w:val="auto"/>
          <w:sz w:val="24"/>
          <w:highlight w:val="none"/>
          <w:u w:val="single"/>
          <w:lang w:val="en-US" w:eastAsia="zh-CN"/>
        </w:rPr>
        <w:t>8</w:t>
      </w:r>
      <w:r>
        <w:rPr>
          <w:rFonts w:hint="eastAsia" w:ascii="仿宋" w:hAnsi="仿宋" w:eastAsia="仿宋" w:cs="仿宋"/>
          <w:b/>
          <w:color w:val="auto"/>
          <w:sz w:val="24"/>
          <w:highlight w:val="none"/>
          <w:u w:val="single"/>
          <w:lang w:eastAsia="zh-CN"/>
        </w:rPr>
        <w:t>月</w:t>
      </w:r>
      <w:r>
        <w:rPr>
          <w:rFonts w:hint="eastAsia" w:ascii="仿宋" w:hAnsi="仿宋" w:eastAsia="仿宋" w:cs="仿宋"/>
          <w:b/>
          <w:color w:val="auto"/>
          <w:sz w:val="24"/>
          <w:highlight w:val="none"/>
          <w:u w:val="single"/>
          <w:lang w:val="en-US" w:eastAsia="zh-CN"/>
        </w:rPr>
        <w:t>16</w:t>
      </w:r>
      <w:r>
        <w:rPr>
          <w:rFonts w:hint="eastAsia" w:ascii="仿宋" w:hAnsi="仿宋" w:eastAsia="仿宋" w:cs="仿宋"/>
          <w:b/>
          <w:color w:val="auto"/>
          <w:sz w:val="24"/>
          <w:highlight w:val="none"/>
          <w:u w:val="single"/>
          <w:lang w:eastAsia="zh-CN"/>
        </w:rPr>
        <w:t>日09:00时</w:t>
      </w:r>
      <w:r>
        <w:rPr>
          <w:rFonts w:hint="eastAsia" w:ascii="仿宋" w:hAnsi="仿宋" w:eastAsia="仿宋" w:cs="仿宋"/>
          <w:color w:val="auto"/>
          <w:sz w:val="24"/>
          <w:highlight w:val="none"/>
          <w:u w:val="single"/>
        </w:rPr>
        <w:t>始</w:t>
      </w:r>
      <w:r>
        <w:rPr>
          <w:rFonts w:hint="eastAsia" w:ascii="仿宋" w:hAnsi="仿宋" w:eastAsia="仿宋" w:cs="仿宋"/>
          <w:color w:val="auto"/>
          <w:sz w:val="24"/>
          <w:highlight w:val="none"/>
        </w:rPr>
        <w:t>在金华市公共资源交易中心武义县分中心（武义县温泉路157号建行大楼 14楼</w:t>
      </w:r>
      <w:r>
        <w:rPr>
          <w:rFonts w:hint="eastAsia" w:ascii="仿宋" w:hAnsi="仿宋" w:eastAsia="仿宋" w:cs="仿宋"/>
          <w:color w:val="auto"/>
          <w:sz w:val="24"/>
          <w:highlight w:val="none"/>
          <w:lang w:eastAsia="zh-CN"/>
        </w:rPr>
        <w:t>开标室三</w:t>
      </w:r>
      <w:r>
        <w:rPr>
          <w:rFonts w:hint="eastAsia" w:ascii="仿宋" w:hAnsi="仿宋" w:eastAsia="仿宋" w:cs="仿宋"/>
          <w:color w:val="auto"/>
          <w:sz w:val="24"/>
          <w:highlight w:val="none"/>
        </w:rPr>
        <w:t>）开标。</w:t>
      </w:r>
    </w:p>
    <w:p>
      <w:pPr>
        <w:pStyle w:val="4"/>
        <w:pageBreakBefore w:val="0"/>
        <w:widowControl w:val="0"/>
        <w:kinsoku/>
        <w:wordWrap/>
        <w:overflowPunct/>
        <w:topLinePunct w:val="0"/>
        <w:autoSpaceDE/>
        <w:autoSpaceDN/>
        <w:bidi w:val="0"/>
        <w:spacing w:line="430" w:lineRule="exact"/>
        <w:textAlignment w:val="auto"/>
        <w:rPr>
          <w:rFonts w:hint="eastAsia" w:ascii="仿宋" w:hAnsi="仿宋" w:eastAsia="仿宋" w:cs="仿宋"/>
          <w:color w:val="auto"/>
          <w:highlight w:val="none"/>
        </w:rPr>
      </w:pPr>
      <w:r>
        <w:rPr>
          <w:rFonts w:hint="eastAsia" w:ascii="仿宋" w:hAnsi="仿宋" w:eastAsia="仿宋" w:cs="仿宋"/>
          <w:color w:val="auto"/>
          <w:highlight w:val="none"/>
          <w:lang w:eastAsia="zh-CN"/>
        </w:rPr>
        <w:t>六、</w:t>
      </w:r>
      <w:r>
        <w:rPr>
          <w:rFonts w:hint="eastAsia" w:ascii="仿宋" w:hAnsi="仿宋" w:eastAsia="仿宋" w:cs="仿宋"/>
          <w:color w:val="auto"/>
          <w:highlight w:val="none"/>
        </w:rPr>
        <w:t>公告期限</w:t>
      </w:r>
      <w:bookmarkEnd w:id="18"/>
      <w:bookmarkEnd w:id="19"/>
      <w:bookmarkEnd w:id="20"/>
      <w:bookmarkEnd w:id="21"/>
      <w:bookmarkStart w:id="22" w:name="_Toc35393626"/>
      <w:bookmarkStart w:id="23" w:name="_Toc35393795"/>
    </w:p>
    <w:p>
      <w:pPr>
        <w:pageBreakBefore w:val="0"/>
        <w:widowControl w:val="0"/>
        <w:kinsoku/>
        <w:wordWrap/>
        <w:overflowPunct/>
        <w:topLinePunct w:val="0"/>
        <w:autoSpaceDE/>
        <w:autoSpaceDN/>
        <w:bidi w:val="0"/>
        <w:spacing w:line="43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自本公告发布之日起5个工作日。</w:t>
      </w:r>
    </w:p>
    <w:bookmarkEnd w:id="22"/>
    <w:bookmarkEnd w:id="23"/>
    <w:p>
      <w:pPr>
        <w:pStyle w:val="4"/>
        <w:pageBreakBefore w:val="0"/>
        <w:widowControl w:val="0"/>
        <w:kinsoku/>
        <w:wordWrap/>
        <w:overflowPunct/>
        <w:topLinePunct w:val="0"/>
        <w:autoSpaceDE/>
        <w:autoSpaceDN/>
        <w:bidi w:val="0"/>
        <w:spacing w:line="430" w:lineRule="exact"/>
        <w:textAlignment w:val="auto"/>
        <w:rPr>
          <w:rFonts w:hint="eastAsia" w:ascii="仿宋" w:hAnsi="仿宋" w:eastAsia="仿宋" w:cs="仿宋"/>
          <w:color w:val="auto"/>
          <w:highlight w:val="none"/>
        </w:rPr>
      </w:pPr>
      <w:bookmarkStart w:id="24" w:name="_Toc35393796"/>
      <w:bookmarkStart w:id="25" w:name="_Toc35393627"/>
      <w:bookmarkStart w:id="26" w:name="_Toc28359008"/>
      <w:bookmarkStart w:id="27" w:name="_Toc28359085"/>
      <w:r>
        <w:rPr>
          <w:rFonts w:hint="eastAsia" w:ascii="仿宋" w:hAnsi="仿宋" w:eastAsia="仿宋" w:cs="仿宋"/>
          <w:color w:val="auto"/>
          <w:highlight w:val="none"/>
          <w:lang w:eastAsia="zh-CN"/>
        </w:rPr>
        <w:t>七</w:t>
      </w:r>
      <w:r>
        <w:rPr>
          <w:rFonts w:hint="eastAsia" w:ascii="仿宋" w:hAnsi="仿宋" w:eastAsia="仿宋" w:cs="仿宋"/>
          <w:color w:val="auto"/>
          <w:highlight w:val="none"/>
        </w:rPr>
        <w:t>、其他补充事宜</w:t>
      </w:r>
    </w:p>
    <w:p>
      <w:pPr>
        <w:pStyle w:val="30"/>
        <w:pageBreakBefore w:val="0"/>
        <w:widowControl w:val="0"/>
        <w:kinsoku/>
        <w:wordWrap/>
        <w:overflowPunct/>
        <w:topLinePunct w:val="0"/>
        <w:autoSpaceDE/>
        <w:autoSpaceDN/>
        <w:bidi w:val="0"/>
        <w:spacing w:after="0" w:line="430" w:lineRule="exact"/>
        <w:ind w:left="0" w:leftChars="0" w:firstLine="464" w:firstLineChars="200"/>
        <w:textAlignment w:val="auto"/>
        <w:rPr>
          <w:rFonts w:hint="eastAsia" w:ascii="仿宋" w:hAnsi="仿宋" w:eastAsia="仿宋" w:cs="仿宋"/>
          <w:b/>
          <w:bCs/>
          <w:color w:val="auto"/>
          <w:sz w:val="24"/>
          <w:szCs w:val="24"/>
          <w:highlight w:val="none"/>
          <w:u w:val="single"/>
        </w:rPr>
      </w:pPr>
      <w:r>
        <w:rPr>
          <w:rFonts w:hint="eastAsia" w:ascii="仿宋" w:hAnsi="仿宋" w:eastAsia="仿宋" w:cs="仿宋"/>
          <w:color w:val="auto"/>
          <w:sz w:val="24"/>
          <w:szCs w:val="24"/>
          <w:highlight w:val="none"/>
        </w:rPr>
        <w:t>1、投标人认为采购文件使自己的权益受到损害的，可以自招标公告期发布之日起7日内，以书面形式向采购人和采购代理机构提出质疑。质疑投标人对采购人、采购代理机构的答复不满意或者采购人、采购代理机构未在规定的时间内作出答复的，可以在答复期满后十五个工作日内向采购活动管理部门申请调解，也可以依据民事法律的规定，直接向法院提起民事诉讼。</w:t>
      </w:r>
    </w:p>
    <w:p>
      <w:pPr>
        <w:pStyle w:val="30"/>
        <w:pageBreakBefore w:val="0"/>
        <w:widowControl w:val="0"/>
        <w:kinsoku/>
        <w:wordWrap/>
        <w:overflowPunct/>
        <w:topLinePunct w:val="0"/>
        <w:autoSpaceDE/>
        <w:autoSpaceDN/>
        <w:bidi w:val="0"/>
        <w:spacing w:after="0" w:line="430" w:lineRule="exact"/>
        <w:ind w:left="0" w:leftChars="0" w:firstLine="464"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针对同一采购程序环节的质疑，供应商应在规定期限内一次性提出（即针对同一采购程序环节的质疑采购人或采购代理机构仅受理一次），逾期提出或针对同一采购程序环节多次提出的质疑将不予受理、答复。</w:t>
      </w:r>
    </w:p>
    <w:p>
      <w:pPr>
        <w:pStyle w:val="4"/>
        <w:pageBreakBefore w:val="0"/>
        <w:widowControl w:val="0"/>
        <w:kinsoku/>
        <w:wordWrap/>
        <w:overflowPunct/>
        <w:topLinePunct w:val="0"/>
        <w:autoSpaceDE/>
        <w:autoSpaceDN/>
        <w:bidi w:val="0"/>
        <w:spacing w:line="400" w:lineRule="exact"/>
        <w:textAlignment w:val="auto"/>
        <w:rPr>
          <w:rFonts w:hint="eastAsia" w:ascii="仿宋" w:hAnsi="仿宋" w:eastAsia="仿宋" w:cs="仿宋"/>
          <w:color w:val="auto"/>
          <w:highlight w:val="none"/>
        </w:rPr>
      </w:pPr>
      <w:r>
        <w:rPr>
          <w:rFonts w:hint="eastAsia" w:ascii="仿宋" w:hAnsi="仿宋" w:eastAsia="仿宋" w:cs="仿宋"/>
          <w:color w:val="auto"/>
          <w:highlight w:val="none"/>
          <w:lang w:eastAsia="zh-CN"/>
        </w:rPr>
        <w:t>八</w:t>
      </w:r>
      <w:r>
        <w:rPr>
          <w:rFonts w:hint="eastAsia" w:ascii="仿宋" w:hAnsi="仿宋" w:eastAsia="仿宋" w:cs="仿宋"/>
          <w:color w:val="auto"/>
          <w:highlight w:val="none"/>
        </w:rPr>
        <w:t>、联系方式</w:t>
      </w:r>
      <w:bookmarkEnd w:id="24"/>
      <w:bookmarkEnd w:id="25"/>
      <w:bookmarkEnd w:id="26"/>
      <w:bookmarkEnd w:id="27"/>
    </w:p>
    <w:p>
      <w:pPr>
        <w:pageBreakBefore w:val="0"/>
        <w:widowControl w:val="0"/>
        <w:kinsoku/>
        <w:wordWrap/>
        <w:overflowPunct/>
        <w:topLinePunct w:val="0"/>
        <w:autoSpaceDE/>
        <w:autoSpaceDN/>
        <w:bidi w:val="0"/>
        <w:spacing w:line="440" w:lineRule="exact"/>
        <w:ind w:firstLine="464" w:firstLineChars="200"/>
        <w:textAlignment w:val="auto"/>
        <w:rPr>
          <w:rFonts w:hint="eastAsia" w:ascii="仿宋" w:hAnsi="仿宋" w:eastAsia="仿宋" w:cs="仿宋"/>
          <w:color w:val="000000"/>
          <w:spacing w:val="-4"/>
          <w:sz w:val="24"/>
          <w:highlight w:val="none"/>
        </w:rPr>
      </w:pPr>
      <w:r>
        <w:rPr>
          <w:rFonts w:hint="eastAsia" w:ascii="仿宋" w:hAnsi="仿宋" w:eastAsia="仿宋" w:cs="仿宋"/>
          <w:color w:val="000000"/>
          <w:spacing w:val="-4"/>
          <w:sz w:val="24"/>
          <w:highlight w:val="none"/>
        </w:rPr>
        <w:t>1.采购人信息</w:t>
      </w:r>
    </w:p>
    <w:p>
      <w:pPr>
        <w:pageBreakBefore w:val="0"/>
        <w:widowControl w:val="0"/>
        <w:kinsoku/>
        <w:wordWrap/>
        <w:overflowPunct/>
        <w:topLinePunct w:val="0"/>
        <w:autoSpaceDE/>
        <w:autoSpaceDN/>
        <w:bidi w:val="0"/>
        <w:spacing w:line="440" w:lineRule="exact"/>
        <w:ind w:firstLine="464" w:firstLineChars="200"/>
        <w:textAlignment w:val="auto"/>
        <w:rPr>
          <w:rFonts w:hint="eastAsia" w:ascii="仿宋" w:hAnsi="仿宋" w:eastAsia="仿宋" w:cs="仿宋"/>
          <w:color w:val="000000"/>
          <w:spacing w:val="-4"/>
          <w:sz w:val="24"/>
          <w:highlight w:val="none"/>
          <w:lang w:eastAsia="zh-CN"/>
        </w:rPr>
      </w:pPr>
      <w:r>
        <w:rPr>
          <w:rFonts w:hint="eastAsia" w:ascii="仿宋" w:hAnsi="仿宋" w:eastAsia="仿宋" w:cs="仿宋"/>
          <w:color w:val="000000"/>
          <w:spacing w:val="-4"/>
          <w:sz w:val="24"/>
          <w:highlight w:val="none"/>
        </w:rPr>
        <w:t>名    称：</w:t>
      </w:r>
      <w:r>
        <w:rPr>
          <w:rFonts w:hint="eastAsia" w:ascii="仿宋" w:hAnsi="仿宋" w:eastAsia="仿宋" w:cs="仿宋"/>
          <w:color w:val="000000"/>
          <w:spacing w:val="-4"/>
          <w:sz w:val="24"/>
          <w:highlight w:val="none"/>
          <w:lang w:eastAsia="zh-CN"/>
        </w:rPr>
        <w:t>浙江武义吾诚商贸有限公司</w:t>
      </w:r>
    </w:p>
    <w:p>
      <w:pPr>
        <w:pageBreakBefore w:val="0"/>
        <w:widowControl w:val="0"/>
        <w:kinsoku/>
        <w:wordWrap/>
        <w:overflowPunct/>
        <w:topLinePunct w:val="0"/>
        <w:autoSpaceDE/>
        <w:autoSpaceDN/>
        <w:bidi w:val="0"/>
        <w:spacing w:line="440" w:lineRule="exact"/>
        <w:ind w:firstLine="464" w:firstLineChars="200"/>
        <w:textAlignment w:val="auto"/>
        <w:rPr>
          <w:rFonts w:hint="eastAsia" w:ascii="仿宋" w:hAnsi="仿宋" w:eastAsia="仿宋" w:cs="仿宋"/>
          <w:color w:val="000000"/>
          <w:spacing w:val="-4"/>
          <w:sz w:val="24"/>
          <w:highlight w:val="none"/>
          <w:lang w:eastAsia="zh-CN"/>
        </w:rPr>
      </w:pPr>
      <w:r>
        <w:rPr>
          <w:rFonts w:hint="eastAsia" w:ascii="仿宋" w:hAnsi="仿宋" w:eastAsia="仿宋" w:cs="仿宋"/>
          <w:color w:val="000000"/>
          <w:spacing w:val="-4"/>
          <w:sz w:val="24"/>
          <w:highlight w:val="none"/>
        </w:rPr>
        <w:t>联</w:t>
      </w:r>
      <w:r>
        <w:rPr>
          <w:rFonts w:hint="eastAsia" w:ascii="仿宋" w:hAnsi="仿宋" w:eastAsia="仿宋" w:cs="仿宋"/>
          <w:color w:val="000000"/>
          <w:spacing w:val="-4"/>
          <w:sz w:val="24"/>
          <w:highlight w:val="none"/>
          <w:lang w:val="en-US" w:eastAsia="zh-CN"/>
        </w:rPr>
        <w:t xml:space="preserve"> </w:t>
      </w:r>
      <w:r>
        <w:rPr>
          <w:rFonts w:hint="eastAsia" w:ascii="仿宋" w:hAnsi="仿宋" w:eastAsia="仿宋" w:cs="仿宋"/>
          <w:color w:val="000000"/>
          <w:spacing w:val="-4"/>
          <w:sz w:val="24"/>
          <w:highlight w:val="none"/>
        </w:rPr>
        <w:t>系</w:t>
      </w:r>
      <w:r>
        <w:rPr>
          <w:rFonts w:hint="eastAsia" w:ascii="仿宋" w:hAnsi="仿宋" w:eastAsia="仿宋" w:cs="仿宋"/>
          <w:color w:val="000000"/>
          <w:spacing w:val="-4"/>
          <w:sz w:val="24"/>
          <w:highlight w:val="none"/>
          <w:lang w:val="en-US" w:eastAsia="zh-CN"/>
        </w:rPr>
        <w:t xml:space="preserve"> </w:t>
      </w:r>
      <w:r>
        <w:rPr>
          <w:rFonts w:hint="eastAsia" w:ascii="仿宋" w:hAnsi="仿宋" w:eastAsia="仿宋" w:cs="仿宋"/>
          <w:color w:val="000000"/>
          <w:spacing w:val="-4"/>
          <w:sz w:val="24"/>
          <w:highlight w:val="none"/>
        </w:rPr>
        <w:t>人：</w:t>
      </w:r>
      <w:r>
        <w:rPr>
          <w:rFonts w:hint="eastAsia" w:ascii="仿宋" w:hAnsi="仿宋" w:eastAsia="仿宋" w:cs="仿宋"/>
          <w:color w:val="000000"/>
          <w:spacing w:val="-4"/>
          <w:sz w:val="24"/>
          <w:highlight w:val="none"/>
          <w:lang w:val="en-US" w:eastAsia="zh-CN"/>
        </w:rPr>
        <w:t>扬先生</w:t>
      </w:r>
    </w:p>
    <w:p>
      <w:pPr>
        <w:pageBreakBefore w:val="0"/>
        <w:widowControl w:val="0"/>
        <w:kinsoku/>
        <w:wordWrap/>
        <w:overflowPunct/>
        <w:topLinePunct w:val="0"/>
        <w:autoSpaceDE/>
        <w:autoSpaceDN/>
        <w:bidi w:val="0"/>
        <w:spacing w:line="440" w:lineRule="exact"/>
        <w:ind w:firstLine="464" w:firstLineChars="200"/>
        <w:textAlignment w:val="auto"/>
        <w:rPr>
          <w:rFonts w:hint="default" w:ascii="仿宋" w:hAnsi="仿宋" w:eastAsia="仿宋" w:cs="仿宋"/>
          <w:color w:val="000000"/>
          <w:spacing w:val="-4"/>
          <w:sz w:val="24"/>
          <w:highlight w:val="none"/>
          <w:lang w:val="en-US" w:eastAsia="zh-CN"/>
        </w:rPr>
      </w:pPr>
      <w:r>
        <w:rPr>
          <w:rFonts w:hint="eastAsia" w:ascii="仿宋" w:hAnsi="仿宋" w:eastAsia="仿宋" w:cs="仿宋"/>
          <w:color w:val="000000"/>
          <w:spacing w:val="-4"/>
          <w:sz w:val="24"/>
          <w:highlight w:val="none"/>
        </w:rPr>
        <w:t>联系方式：</w:t>
      </w:r>
      <w:r>
        <w:rPr>
          <w:rFonts w:hint="eastAsia" w:ascii="仿宋" w:hAnsi="仿宋" w:eastAsia="仿宋" w:cs="仿宋"/>
          <w:kern w:val="0"/>
          <w:sz w:val="24"/>
          <w:szCs w:val="24"/>
          <w:lang w:val="en-US" w:eastAsia="zh-CN"/>
        </w:rPr>
        <w:t>0579-89088391</w:t>
      </w:r>
    </w:p>
    <w:p>
      <w:pPr>
        <w:pageBreakBefore w:val="0"/>
        <w:widowControl w:val="0"/>
        <w:kinsoku/>
        <w:wordWrap/>
        <w:overflowPunct/>
        <w:topLinePunct w:val="0"/>
        <w:autoSpaceDE/>
        <w:autoSpaceDN/>
        <w:bidi w:val="0"/>
        <w:spacing w:line="400" w:lineRule="exact"/>
        <w:ind w:firstLine="464" w:firstLineChars="20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2.采购代理机构信息</w:t>
      </w:r>
    </w:p>
    <w:p>
      <w:pPr>
        <w:pageBreakBefore w:val="0"/>
        <w:widowControl w:val="0"/>
        <w:kinsoku/>
        <w:wordWrap/>
        <w:overflowPunct/>
        <w:topLinePunct w:val="0"/>
        <w:autoSpaceDE/>
        <w:autoSpaceDN/>
        <w:bidi w:val="0"/>
        <w:spacing w:line="400" w:lineRule="exact"/>
        <w:ind w:firstLine="464" w:firstLineChars="200"/>
        <w:textAlignment w:val="auto"/>
        <w:rPr>
          <w:rFonts w:hint="eastAsia" w:ascii="仿宋" w:hAnsi="仿宋" w:eastAsia="仿宋" w:cs="仿宋"/>
          <w:color w:val="auto"/>
          <w:spacing w:val="-4"/>
          <w:sz w:val="24"/>
          <w:highlight w:val="none"/>
          <w:lang w:eastAsia="zh-CN"/>
        </w:rPr>
      </w:pPr>
      <w:r>
        <w:rPr>
          <w:rFonts w:hint="eastAsia" w:ascii="仿宋" w:hAnsi="仿宋" w:eastAsia="仿宋" w:cs="仿宋"/>
          <w:color w:val="auto"/>
          <w:spacing w:val="-4"/>
          <w:sz w:val="24"/>
          <w:highlight w:val="none"/>
        </w:rPr>
        <w:t>名    称：</w:t>
      </w:r>
      <w:r>
        <w:rPr>
          <w:rFonts w:hint="eastAsia" w:ascii="仿宋" w:hAnsi="仿宋" w:eastAsia="仿宋" w:cs="仿宋"/>
          <w:color w:val="auto"/>
          <w:spacing w:val="-4"/>
          <w:sz w:val="24"/>
          <w:highlight w:val="none"/>
          <w:lang w:eastAsia="zh-CN"/>
        </w:rPr>
        <w:t>浙江宁和工程管理有限公司</w:t>
      </w:r>
    </w:p>
    <w:p>
      <w:pPr>
        <w:pageBreakBefore w:val="0"/>
        <w:widowControl w:val="0"/>
        <w:kinsoku/>
        <w:wordWrap/>
        <w:overflowPunct/>
        <w:topLinePunct w:val="0"/>
        <w:autoSpaceDE/>
        <w:autoSpaceDN/>
        <w:bidi w:val="0"/>
        <w:spacing w:line="400" w:lineRule="exact"/>
        <w:ind w:firstLine="464" w:firstLineChars="200"/>
        <w:textAlignment w:val="auto"/>
        <w:rPr>
          <w:rFonts w:hint="default" w:ascii="仿宋" w:hAnsi="仿宋" w:eastAsia="仿宋" w:cs="仿宋"/>
          <w:color w:val="auto"/>
          <w:spacing w:val="-4"/>
          <w:sz w:val="24"/>
          <w:highlight w:val="none"/>
          <w:lang w:val="en-US"/>
        </w:rPr>
      </w:pPr>
      <w:r>
        <w:rPr>
          <w:rFonts w:hint="eastAsia" w:ascii="仿宋" w:hAnsi="仿宋" w:eastAsia="仿宋" w:cs="仿宋"/>
          <w:color w:val="auto"/>
          <w:spacing w:val="-4"/>
          <w:sz w:val="24"/>
          <w:highlight w:val="none"/>
        </w:rPr>
        <w:t>地    址：</w:t>
      </w:r>
      <w:r>
        <w:rPr>
          <w:rFonts w:hint="eastAsia" w:ascii="仿宋" w:hAnsi="仿宋" w:eastAsia="仿宋" w:cs="仿宋"/>
          <w:color w:val="000000"/>
          <w:spacing w:val="-4"/>
          <w:sz w:val="24"/>
          <w:highlight w:val="none"/>
          <w:lang w:eastAsia="zh-CN"/>
        </w:rPr>
        <w:t>武义县武阳西路</w:t>
      </w:r>
      <w:r>
        <w:rPr>
          <w:rFonts w:hint="eastAsia" w:ascii="仿宋" w:hAnsi="仿宋" w:eastAsia="仿宋" w:cs="仿宋"/>
          <w:color w:val="000000"/>
          <w:spacing w:val="-4"/>
          <w:sz w:val="24"/>
          <w:highlight w:val="none"/>
          <w:lang w:val="en-US" w:eastAsia="zh-CN"/>
        </w:rPr>
        <w:t>132号3楼</w:t>
      </w:r>
    </w:p>
    <w:p>
      <w:pPr>
        <w:pageBreakBefore w:val="0"/>
        <w:widowControl w:val="0"/>
        <w:kinsoku/>
        <w:wordWrap/>
        <w:overflowPunct/>
        <w:topLinePunct w:val="0"/>
        <w:autoSpaceDE/>
        <w:autoSpaceDN/>
        <w:bidi w:val="0"/>
        <w:spacing w:line="400" w:lineRule="exact"/>
        <w:ind w:firstLine="464" w:firstLineChars="200"/>
        <w:textAlignment w:val="auto"/>
        <w:rPr>
          <w:rFonts w:hint="default" w:ascii="仿宋" w:hAnsi="仿宋" w:eastAsia="仿宋" w:cs="仿宋"/>
          <w:color w:val="auto"/>
          <w:spacing w:val="-4"/>
          <w:sz w:val="24"/>
          <w:highlight w:val="none"/>
          <w:lang w:val="en-US" w:eastAsia="zh-CN"/>
        </w:rPr>
      </w:pPr>
      <w:r>
        <w:rPr>
          <w:rFonts w:hint="eastAsia" w:ascii="仿宋" w:hAnsi="仿宋" w:eastAsia="仿宋" w:cs="仿宋"/>
          <w:color w:val="auto"/>
          <w:spacing w:val="-4"/>
          <w:sz w:val="24"/>
          <w:highlight w:val="none"/>
        </w:rPr>
        <w:t>联系人（询问）：</w:t>
      </w:r>
      <w:r>
        <w:rPr>
          <w:rFonts w:hint="eastAsia" w:ascii="仿宋" w:hAnsi="仿宋" w:eastAsia="仿宋" w:cs="仿宋"/>
          <w:color w:val="auto"/>
          <w:spacing w:val="-4"/>
          <w:sz w:val="24"/>
          <w:highlight w:val="none"/>
          <w:lang w:val="en-US" w:eastAsia="zh-CN"/>
        </w:rPr>
        <w:t>鲍先生</w:t>
      </w:r>
    </w:p>
    <w:p>
      <w:pPr>
        <w:pageBreakBefore w:val="0"/>
        <w:widowControl w:val="0"/>
        <w:kinsoku/>
        <w:wordWrap/>
        <w:overflowPunct/>
        <w:topLinePunct w:val="0"/>
        <w:autoSpaceDE/>
        <w:autoSpaceDN/>
        <w:bidi w:val="0"/>
        <w:spacing w:line="400" w:lineRule="exact"/>
        <w:ind w:firstLine="464" w:firstLineChars="200"/>
        <w:textAlignment w:val="auto"/>
        <w:rPr>
          <w:rFonts w:hint="default" w:ascii="仿宋" w:hAnsi="仿宋" w:eastAsia="仿宋" w:cs="仿宋"/>
          <w:color w:val="auto"/>
          <w:sz w:val="24"/>
          <w:highlight w:val="none"/>
          <w:lang w:val="en-US"/>
        </w:rPr>
      </w:pPr>
      <w:r>
        <w:rPr>
          <w:rFonts w:hint="eastAsia" w:ascii="仿宋" w:hAnsi="仿宋" w:eastAsia="仿宋" w:cs="仿宋"/>
          <w:color w:val="auto"/>
          <w:spacing w:val="-4"/>
          <w:sz w:val="24"/>
          <w:highlight w:val="none"/>
        </w:rPr>
        <w:t>联系方式（询问）：</w:t>
      </w:r>
      <w:r>
        <w:rPr>
          <w:rFonts w:hint="eastAsia" w:ascii="仿宋" w:hAnsi="仿宋" w:eastAsia="仿宋" w:cs="仿宋"/>
          <w:color w:val="auto"/>
          <w:spacing w:val="-4"/>
          <w:sz w:val="24"/>
          <w:highlight w:val="none"/>
          <w:lang w:eastAsia="zh-CN"/>
        </w:rPr>
        <w:t>1</w:t>
      </w:r>
      <w:r>
        <w:rPr>
          <w:rFonts w:hint="eastAsia" w:ascii="仿宋" w:hAnsi="仿宋" w:eastAsia="仿宋" w:cs="仿宋"/>
          <w:color w:val="auto"/>
          <w:spacing w:val="-4"/>
          <w:sz w:val="24"/>
          <w:highlight w:val="none"/>
          <w:lang w:val="en-US" w:eastAsia="zh-CN"/>
        </w:rPr>
        <w:t>8875810633</w:t>
      </w:r>
    </w:p>
    <w:p>
      <w:pPr>
        <w:pStyle w:val="3"/>
        <w:rPr>
          <w:rFonts w:hint="eastAsia" w:ascii="仿宋" w:hAnsi="仿宋" w:eastAsia="仿宋" w:cs="仿宋"/>
          <w:color w:val="auto"/>
          <w:sz w:val="36"/>
          <w:szCs w:val="36"/>
          <w:highlight w:val="none"/>
        </w:rPr>
      </w:pPr>
      <w:r>
        <w:rPr>
          <w:rFonts w:hint="eastAsia" w:ascii="仿宋" w:hAnsi="仿宋" w:eastAsia="仿宋" w:cs="仿宋"/>
          <w:color w:val="auto"/>
          <w:sz w:val="24"/>
          <w:szCs w:val="24"/>
          <w:highlight w:val="none"/>
        </w:rPr>
        <w:br w:type="page"/>
      </w:r>
      <w:bookmarkStart w:id="28" w:name="_Toc7017"/>
      <w:r>
        <w:rPr>
          <w:rFonts w:hint="eastAsia" w:ascii="仿宋" w:hAnsi="仿宋" w:eastAsia="仿宋" w:cs="仿宋"/>
          <w:color w:val="auto"/>
          <w:highlight w:val="none"/>
        </w:rPr>
        <w:t>第二章  投标人须知</w:t>
      </w:r>
      <w:bookmarkEnd w:id="28"/>
    </w:p>
    <w:p>
      <w:pPr>
        <w:pStyle w:val="23"/>
        <w:rPr>
          <w:rFonts w:hint="eastAsia" w:ascii="仿宋" w:hAnsi="仿宋" w:eastAsia="仿宋" w:cs="仿宋"/>
          <w:color w:val="auto"/>
          <w:highlight w:val="none"/>
        </w:rPr>
      </w:pPr>
      <w:r>
        <w:rPr>
          <w:rFonts w:hint="eastAsia" w:ascii="仿宋" w:hAnsi="仿宋" w:eastAsia="仿宋" w:cs="仿宋"/>
          <w:color w:val="auto"/>
          <w:highlight w:val="none"/>
        </w:rPr>
        <w:t>前附表</w:t>
      </w:r>
    </w:p>
    <w:tbl>
      <w:tblPr>
        <w:tblStyle w:val="31"/>
        <w:tblW w:w="9618" w:type="dxa"/>
        <w:tblInd w:w="0" w:type="dxa"/>
        <w:tblLayout w:type="fixed"/>
        <w:tblCellMar>
          <w:top w:w="0" w:type="dxa"/>
          <w:left w:w="108" w:type="dxa"/>
          <w:bottom w:w="0" w:type="dxa"/>
          <w:right w:w="108" w:type="dxa"/>
        </w:tblCellMar>
      </w:tblPr>
      <w:tblGrid>
        <w:gridCol w:w="946"/>
        <w:gridCol w:w="1991"/>
        <w:gridCol w:w="6681"/>
      </w:tblGrid>
      <w:tr>
        <w:tblPrEx>
          <w:tblCellMar>
            <w:top w:w="0" w:type="dxa"/>
            <w:left w:w="108" w:type="dxa"/>
            <w:bottom w:w="0" w:type="dxa"/>
            <w:right w:w="108" w:type="dxa"/>
          </w:tblCellMar>
        </w:tblPrEx>
        <w:trPr>
          <w:trHeight w:val="551" w:hRule="atLeast"/>
        </w:trPr>
        <w:tc>
          <w:tcPr>
            <w:tcW w:w="946"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 号</w:t>
            </w:r>
          </w:p>
        </w:tc>
        <w:tc>
          <w:tcPr>
            <w:tcW w:w="1991"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条  款  名  称</w:t>
            </w:r>
          </w:p>
        </w:tc>
        <w:tc>
          <w:tcPr>
            <w:tcW w:w="6681"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编  列  内  容</w:t>
            </w:r>
          </w:p>
        </w:tc>
      </w:tr>
      <w:tr>
        <w:tblPrEx>
          <w:tblCellMar>
            <w:top w:w="0" w:type="dxa"/>
            <w:left w:w="108" w:type="dxa"/>
            <w:bottom w:w="0" w:type="dxa"/>
            <w:right w:w="108" w:type="dxa"/>
          </w:tblCellMar>
        </w:tblPrEx>
        <w:trPr>
          <w:trHeight w:val="606" w:hRule="atLeast"/>
        </w:trPr>
        <w:tc>
          <w:tcPr>
            <w:tcW w:w="946"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991"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w:t>
            </w:r>
          </w:p>
        </w:tc>
        <w:tc>
          <w:tcPr>
            <w:tcW w:w="6681"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浙江武义吾诚商贸有限公司</w:t>
            </w:r>
          </w:p>
        </w:tc>
      </w:tr>
      <w:tr>
        <w:tblPrEx>
          <w:tblCellMar>
            <w:top w:w="0" w:type="dxa"/>
            <w:left w:w="108" w:type="dxa"/>
            <w:bottom w:w="0" w:type="dxa"/>
            <w:right w:w="108" w:type="dxa"/>
          </w:tblCellMar>
        </w:tblPrEx>
        <w:trPr>
          <w:trHeight w:val="591" w:hRule="atLeast"/>
        </w:trPr>
        <w:tc>
          <w:tcPr>
            <w:tcW w:w="946"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991"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采购代理机构</w:t>
            </w:r>
          </w:p>
        </w:tc>
        <w:tc>
          <w:tcPr>
            <w:tcW w:w="6681"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浙江宁和工程管理有限公司</w:t>
            </w:r>
            <w:r>
              <w:rPr>
                <w:rFonts w:hint="eastAsia" w:ascii="仿宋" w:hAnsi="仿宋" w:eastAsia="仿宋" w:cs="仿宋"/>
                <w:color w:val="auto"/>
                <w:sz w:val="24"/>
                <w:highlight w:val="none"/>
              </w:rPr>
              <w:t xml:space="preserve"> </w:t>
            </w:r>
          </w:p>
        </w:tc>
      </w:tr>
      <w:tr>
        <w:tblPrEx>
          <w:tblCellMar>
            <w:top w:w="0" w:type="dxa"/>
            <w:left w:w="108" w:type="dxa"/>
            <w:bottom w:w="0" w:type="dxa"/>
            <w:right w:w="108" w:type="dxa"/>
          </w:tblCellMar>
        </w:tblPrEx>
        <w:trPr>
          <w:trHeight w:val="725" w:hRule="atLeast"/>
        </w:trPr>
        <w:tc>
          <w:tcPr>
            <w:tcW w:w="946"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1991"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项目名称</w:t>
            </w:r>
          </w:p>
        </w:tc>
        <w:tc>
          <w:tcPr>
            <w:tcW w:w="6681"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浙江东创建筑材料有限公司装载机采购项目</w:t>
            </w:r>
          </w:p>
        </w:tc>
      </w:tr>
      <w:tr>
        <w:tblPrEx>
          <w:tblCellMar>
            <w:top w:w="0" w:type="dxa"/>
            <w:left w:w="108" w:type="dxa"/>
            <w:bottom w:w="0" w:type="dxa"/>
            <w:right w:w="108" w:type="dxa"/>
          </w:tblCellMar>
        </w:tblPrEx>
        <w:trPr>
          <w:trHeight w:val="574" w:hRule="atLeast"/>
        </w:trPr>
        <w:tc>
          <w:tcPr>
            <w:tcW w:w="946"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1991"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项目地点</w:t>
            </w:r>
          </w:p>
        </w:tc>
        <w:tc>
          <w:tcPr>
            <w:tcW w:w="6681"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武义县</w:t>
            </w:r>
          </w:p>
        </w:tc>
      </w:tr>
      <w:tr>
        <w:tblPrEx>
          <w:tblCellMar>
            <w:top w:w="0" w:type="dxa"/>
            <w:left w:w="108" w:type="dxa"/>
            <w:bottom w:w="0" w:type="dxa"/>
            <w:right w:w="108" w:type="dxa"/>
          </w:tblCellMar>
        </w:tblPrEx>
        <w:trPr>
          <w:trHeight w:val="574" w:hRule="atLeast"/>
        </w:trPr>
        <w:tc>
          <w:tcPr>
            <w:tcW w:w="946"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p>
        </w:tc>
        <w:tc>
          <w:tcPr>
            <w:tcW w:w="1991"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项目属性</w:t>
            </w:r>
          </w:p>
        </w:tc>
        <w:tc>
          <w:tcPr>
            <w:tcW w:w="6681"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lang w:val="en-US" w:eastAsia="zh-CN"/>
              </w:rPr>
              <w:t>货物</w:t>
            </w:r>
            <w:r>
              <w:rPr>
                <w:rFonts w:hint="eastAsia" w:ascii="仿宋" w:hAnsi="仿宋" w:eastAsia="仿宋" w:cs="仿宋"/>
                <w:color w:val="auto"/>
                <w:sz w:val="24"/>
                <w:highlight w:val="none"/>
              </w:rPr>
              <w:t>类</w:t>
            </w:r>
          </w:p>
        </w:tc>
      </w:tr>
      <w:tr>
        <w:tblPrEx>
          <w:tblCellMar>
            <w:top w:w="0" w:type="dxa"/>
            <w:left w:w="108" w:type="dxa"/>
            <w:bottom w:w="0" w:type="dxa"/>
            <w:right w:w="108" w:type="dxa"/>
          </w:tblCellMar>
        </w:tblPrEx>
        <w:trPr>
          <w:trHeight w:val="559" w:hRule="atLeast"/>
        </w:trPr>
        <w:tc>
          <w:tcPr>
            <w:tcW w:w="946"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6</w:t>
            </w:r>
          </w:p>
        </w:tc>
        <w:tc>
          <w:tcPr>
            <w:tcW w:w="1991"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招标范围</w:t>
            </w:r>
          </w:p>
        </w:tc>
        <w:tc>
          <w:tcPr>
            <w:tcW w:w="6681"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详见“第三章”招标采购需求。</w:t>
            </w:r>
          </w:p>
        </w:tc>
      </w:tr>
      <w:tr>
        <w:tblPrEx>
          <w:tblCellMar>
            <w:top w:w="0" w:type="dxa"/>
            <w:left w:w="108" w:type="dxa"/>
            <w:bottom w:w="0" w:type="dxa"/>
            <w:right w:w="108" w:type="dxa"/>
          </w:tblCellMar>
        </w:tblPrEx>
        <w:trPr>
          <w:trHeight w:val="810" w:hRule="atLeast"/>
        </w:trPr>
        <w:tc>
          <w:tcPr>
            <w:tcW w:w="946"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7</w:t>
            </w:r>
          </w:p>
        </w:tc>
        <w:tc>
          <w:tcPr>
            <w:tcW w:w="1991"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仿宋" w:hAnsi="仿宋" w:eastAsia="仿宋" w:cs="仿宋"/>
                <w:color w:val="auto"/>
                <w:w w:val="90"/>
                <w:sz w:val="24"/>
                <w:highlight w:val="none"/>
              </w:rPr>
            </w:pPr>
            <w:r>
              <w:rPr>
                <w:rFonts w:hint="eastAsia" w:ascii="仿宋" w:hAnsi="仿宋" w:eastAsia="仿宋" w:cs="仿宋"/>
                <w:color w:val="auto"/>
                <w:sz w:val="24"/>
                <w:highlight w:val="yellow"/>
              </w:rPr>
              <w:t>采购资金来源和付款单位</w:t>
            </w:r>
          </w:p>
        </w:tc>
        <w:tc>
          <w:tcPr>
            <w:tcW w:w="6681"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业主</w:t>
            </w:r>
            <w:r>
              <w:rPr>
                <w:rFonts w:hint="eastAsia" w:ascii="仿宋" w:hAnsi="仿宋" w:eastAsia="仿宋" w:cs="仿宋"/>
                <w:color w:val="auto"/>
                <w:sz w:val="24"/>
                <w:highlight w:val="none"/>
              </w:rPr>
              <w:t>自筹资金、采购人自行支付</w:t>
            </w:r>
          </w:p>
        </w:tc>
      </w:tr>
      <w:tr>
        <w:tblPrEx>
          <w:tblCellMar>
            <w:top w:w="0" w:type="dxa"/>
            <w:left w:w="108" w:type="dxa"/>
            <w:bottom w:w="0" w:type="dxa"/>
            <w:right w:w="108" w:type="dxa"/>
          </w:tblCellMar>
        </w:tblPrEx>
        <w:trPr>
          <w:trHeight w:val="810" w:hRule="atLeast"/>
        </w:trPr>
        <w:tc>
          <w:tcPr>
            <w:tcW w:w="946"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8</w:t>
            </w:r>
          </w:p>
        </w:tc>
        <w:tc>
          <w:tcPr>
            <w:tcW w:w="1991"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是否接受联合体</w:t>
            </w:r>
          </w:p>
          <w:p>
            <w:pPr>
              <w:spacing w:line="3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投标</w:t>
            </w:r>
          </w:p>
        </w:tc>
        <w:tc>
          <w:tcPr>
            <w:tcW w:w="6681"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 w:hAnsi="仿宋" w:eastAsia="仿宋" w:cs="仿宋"/>
                <w:color w:val="auto"/>
                <w:kern w:val="0"/>
                <w:sz w:val="24"/>
                <w:highlight w:val="none"/>
              </w:rPr>
            </w:pPr>
            <w:r>
              <w:rPr>
                <w:rFonts w:hint="eastAsia" w:ascii="仿宋" w:hAnsi="仿宋" w:eastAsia="仿宋" w:cs="仿宋"/>
                <w:color w:val="auto"/>
                <w:spacing w:val="-4"/>
                <w:sz w:val="24"/>
                <w:highlight w:val="none"/>
              </w:rPr>
              <w:t>☑本项目不接受联合体投标。</w:t>
            </w:r>
          </w:p>
          <w:p>
            <w:pPr>
              <w:spacing w:line="340" w:lineRule="exact"/>
              <w:rPr>
                <w:rFonts w:hint="eastAsia" w:ascii="仿宋" w:hAnsi="仿宋" w:eastAsia="仿宋" w:cs="仿宋"/>
                <w:color w:val="auto"/>
                <w:kern w:val="0"/>
                <w:sz w:val="24"/>
                <w:highlight w:val="none"/>
              </w:rPr>
            </w:pPr>
            <w:r>
              <w:rPr>
                <w:rFonts w:hint="eastAsia" w:ascii="仿宋" w:hAnsi="仿宋" w:eastAsia="仿宋" w:cs="仿宋"/>
                <w:color w:val="auto"/>
                <w:spacing w:val="-4"/>
                <w:sz w:val="24"/>
                <w:highlight w:val="none"/>
              </w:rPr>
              <w:t>□本项目接受联合体投标。</w:t>
            </w:r>
          </w:p>
        </w:tc>
      </w:tr>
      <w:tr>
        <w:tblPrEx>
          <w:tblCellMar>
            <w:top w:w="0" w:type="dxa"/>
            <w:left w:w="108" w:type="dxa"/>
            <w:bottom w:w="0" w:type="dxa"/>
            <w:right w:w="108" w:type="dxa"/>
          </w:tblCellMar>
        </w:tblPrEx>
        <w:trPr>
          <w:trHeight w:val="810" w:hRule="atLeast"/>
        </w:trPr>
        <w:tc>
          <w:tcPr>
            <w:tcW w:w="946"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9</w:t>
            </w:r>
          </w:p>
        </w:tc>
        <w:tc>
          <w:tcPr>
            <w:tcW w:w="1991"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踏勘现场和标前答疑会</w:t>
            </w:r>
          </w:p>
        </w:tc>
        <w:tc>
          <w:tcPr>
            <w:tcW w:w="6681"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采购人不组织答疑会和现场踏勘。</w:t>
            </w:r>
          </w:p>
        </w:tc>
      </w:tr>
      <w:tr>
        <w:tblPrEx>
          <w:tblCellMar>
            <w:top w:w="0" w:type="dxa"/>
            <w:left w:w="108" w:type="dxa"/>
            <w:bottom w:w="0" w:type="dxa"/>
            <w:right w:w="108" w:type="dxa"/>
          </w:tblCellMar>
        </w:tblPrEx>
        <w:trPr>
          <w:trHeight w:val="410" w:hRule="atLeast"/>
        </w:trPr>
        <w:tc>
          <w:tcPr>
            <w:tcW w:w="946"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10</w:t>
            </w:r>
          </w:p>
        </w:tc>
        <w:tc>
          <w:tcPr>
            <w:tcW w:w="1991"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转包与分包</w:t>
            </w:r>
          </w:p>
        </w:tc>
        <w:tc>
          <w:tcPr>
            <w:tcW w:w="6681" w:type="dxa"/>
            <w:tcBorders>
              <w:top w:val="single" w:color="auto" w:sz="4" w:space="0"/>
              <w:left w:val="single" w:color="auto" w:sz="4" w:space="0"/>
              <w:bottom w:val="single" w:color="auto" w:sz="4" w:space="0"/>
              <w:right w:val="single" w:color="auto" w:sz="4" w:space="0"/>
            </w:tcBorders>
            <w:noWrap w:val="0"/>
            <w:vAlign w:val="center"/>
          </w:tcPr>
          <w:p>
            <w:pPr>
              <w:pStyle w:val="66"/>
              <w:spacing w:after="0" w:line="340" w:lineRule="exact"/>
              <w:ind w:left="0" w:leftChars="0" w:firstLine="0" w:firstLineChars="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本项目不允许转包。</w:t>
            </w:r>
          </w:p>
          <w:p>
            <w:pPr>
              <w:pStyle w:val="66"/>
              <w:spacing w:after="0" w:line="340" w:lineRule="exact"/>
              <w:ind w:left="0" w:leftChars="0" w:firstLine="0" w:firstLineChars="0"/>
              <w:rPr>
                <w:rFonts w:hint="eastAsia" w:ascii="仿宋" w:hAnsi="仿宋" w:eastAsia="仿宋" w:cs="仿宋"/>
                <w:color w:val="auto"/>
                <w:spacing w:val="-4"/>
                <w:sz w:val="24"/>
                <w:szCs w:val="24"/>
                <w:highlight w:val="none"/>
              </w:rPr>
            </w:pPr>
            <w:r>
              <w:rPr>
                <w:rFonts w:hint="eastAsia" w:ascii="仿宋" w:hAnsi="仿宋" w:eastAsia="仿宋" w:cs="仿宋"/>
                <w:b/>
                <w:bCs/>
                <w:color w:val="auto"/>
                <w:spacing w:val="-4"/>
                <w:sz w:val="24"/>
                <w:szCs w:val="24"/>
                <w:highlight w:val="none"/>
              </w:rPr>
              <w:t>本项目是否允许中标人分包：</w:t>
            </w:r>
            <w:r>
              <w:rPr>
                <w:rFonts w:hint="default" w:ascii="Wingdings" w:hAnsi="Wingdings" w:eastAsia="仿宋" w:cs="Wingdings"/>
                <w:b/>
                <w:bCs/>
                <w:color w:val="auto"/>
                <w:spacing w:val="-4"/>
                <w:sz w:val="24"/>
                <w:szCs w:val="24"/>
                <w:highlight w:val="none"/>
                <w:lang w:eastAsia="zh-CN"/>
              </w:rPr>
              <w:sym w:font="Wingdings" w:char="00FE"/>
            </w:r>
            <w:r>
              <w:rPr>
                <w:rFonts w:hint="eastAsia" w:ascii="仿宋" w:hAnsi="仿宋" w:eastAsia="仿宋" w:cs="仿宋"/>
                <w:color w:val="auto"/>
                <w:spacing w:val="-4"/>
                <w:sz w:val="24"/>
                <w:szCs w:val="24"/>
                <w:highlight w:val="none"/>
              </w:rPr>
              <w:t>不允许分包；</w:t>
            </w:r>
            <w:r>
              <w:rPr>
                <w:rFonts w:hint="default" w:ascii="Wingdings" w:hAnsi="Wingdings" w:eastAsia="仿宋" w:cs="Wingdings"/>
                <w:color w:val="auto"/>
                <w:spacing w:val="-4"/>
                <w:sz w:val="24"/>
                <w:szCs w:val="24"/>
                <w:highlight w:val="none"/>
              </w:rPr>
              <w:sym w:font="Wingdings" w:char="00A8"/>
            </w:r>
            <w:r>
              <w:rPr>
                <w:rFonts w:hint="eastAsia" w:ascii="仿宋" w:hAnsi="仿宋" w:eastAsia="仿宋" w:cs="仿宋"/>
                <w:color w:val="auto"/>
                <w:spacing w:val="-4"/>
                <w:sz w:val="24"/>
                <w:szCs w:val="24"/>
                <w:highlight w:val="none"/>
              </w:rPr>
              <w:t>允许分包：</w:t>
            </w:r>
          </w:p>
          <w:p>
            <w:pPr>
              <w:spacing w:line="340" w:lineRule="exact"/>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1）中标、成交供应商不得将全部采购项目或者采购项目中的主体或关键性项目转让给其他供应商。中标、成交供应商不得私下分包，选择分包单位应征得采购人同意，取得采购人书面认可后，可以依法采取分包方式履行合同，并签订分包合同。履约依法需要相关市场准入法定资格资质的，分包供应商必须具有法律法规规定资格条件和相应资格资质，禁止向没有取得法定资格资质的供应商分包。</w:t>
            </w:r>
          </w:p>
          <w:p>
            <w:pPr>
              <w:spacing w:line="340" w:lineRule="exact"/>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（2）分包单位必须向总包单位负责，总包单位必须加强对分包单位的质量安全管理，协调好各工序、工种之间的关系。</w:t>
            </w:r>
          </w:p>
          <w:p>
            <w:pPr>
              <w:spacing w:line="340" w:lineRule="exact"/>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（3）中标、成交供应商对整个合同履约承担全部责任(包含分包部分)，分包供应商商仅就分包部分承担责任，当分包供应商不能履约时，中标成交供应商需要自己履约。</w:t>
            </w:r>
          </w:p>
        </w:tc>
      </w:tr>
      <w:tr>
        <w:tblPrEx>
          <w:tblCellMar>
            <w:top w:w="0" w:type="dxa"/>
            <w:left w:w="108" w:type="dxa"/>
            <w:bottom w:w="0" w:type="dxa"/>
            <w:right w:w="108" w:type="dxa"/>
          </w:tblCellMar>
        </w:tblPrEx>
        <w:trPr>
          <w:trHeight w:val="814" w:hRule="atLeast"/>
        </w:trPr>
        <w:tc>
          <w:tcPr>
            <w:tcW w:w="946"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11</w:t>
            </w:r>
          </w:p>
        </w:tc>
        <w:tc>
          <w:tcPr>
            <w:tcW w:w="1991"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构成招标采购文件的其他资料</w:t>
            </w:r>
          </w:p>
        </w:tc>
        <w:tc>
          <w:tcPr>
            <w:tcW w:w="6681"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编号的招标采购文件更正、澄清公告（如有）。</w:t>
            </w:r>
          </w:p>
        </w:tc>
      </w:tr>
      <w:tr>
        <w:tblPrEx>
          <w:tblCellMar>
            <w:top w:w="0" w:type="dxa"/>
            <w:left w:w="108" w:type="dxa"/>
            <w:bottom w:w="0" w:type="dxa"/>
            <w:right w:w="108" w:type="dxa"/>
          </w:tblCellMar>
        </w:tblPrEx>
        <w:trPr>
          <w:trHeight w:val="778" w:hRule="atLeast"/>
        </w:trPr>
        <w:tc>
          <w:tcPr>
            <w:tcW w:w="946" w:type="dxa"/>
            <w:vMerge w:val="restart"/>
            <w:tcBorders>
              <w:top w:val="single" w:color="auto" w:sz="4" w:space="0"/>
              <w:left w:val="single" w:color="auto" w:sz="4" w:space="0"/>
              <w:right w:val="single" w:color="auto" w:sz="4" w:space="0"/>
            </w:tcBorders>
            <w:noWrap w:val="0"/>
            <w:vAlign w:val="center"/>
          </w:tcPr>
          <w:p>
            <w:pPr>
              <w:spacing w:line="3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12</w:t>
            </w:r>
          </w:p>
        </w:tc>
        <w:tc>
          <w:tcPr>
            <w:tcW w:w="1991"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投标人要求澄清、质疑招标采购文件</w:t>
            </w:r>
          </w:p>
        </w:tc>
        <w:tc>
          <w:tcPr>
            <w:tcW w:w="6681"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时间：自招标公告发布之日起7日内，以书面形式向采购人和采购代理机构提出质疑。</w:t>
            </w:r>
          </w:p>
        </w:tc>
      </w:tr>
      <w:tr>
        <w:tblPrEx>
          <w:tblCellMar>
            <w:top w:w="0" w:type="dxa"/>
            <w:left w:w="108" w:type="dxa"/>
            <w:bottom w:w="0" w:type="dxa"/>
            <w:right w:w="108" w:type="dxa"/>
          </w:tblCellMar>
        </w:tblPrEx>
        <w:trPr>
          <w:trHeight w:val="2009" w:hRule="atLeast"/>
        </w:trPr>
        <w:tc>
          <w:tcPr>
            <w:tcW w:w="94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仿宋" w:hAnsi="仿宋" w:eastAsia="仿宋" w:cs="仿宋"/>
                <w:color w:val="auto"/>
                <w:sz w:val="24"/>
                <w:highlight w:val="none"/>
              </w:rPr>
            </w:pPr>
          </w:p>
        </w:tc>
        <w:tc>
          <w:tcPr>
            <w:tcW w:w="1991"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仿宋" w:hAnsi="仿宋" w:eastAsia="仿宋" w:cs="仿宋"/>
                <w:color w:val="auto"/>
                <w:sz w:val="24"/>
                <w:highlight w:val="none"/>
              </w:rPr>
            </w:pPr>
          </w:p>
        </w:tc>
        <w:tc>
          <w:tcPr>
            <w:tcW w:w="6681"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应仔细阅读和检查招标采购文件的全部内容。如发现缺页或附件不全，应及时向采购人或采购代理机构提出，以便补齐。如有疑问，应在规定的时间前以书面形式提出澄清申请，要求采购人对招标采购文件予以澄清，将要求澄清的书面文件（需盖投标人公章）扫描成图片格式后发至采购代理机构电子信箱（</w:t>
            </w:r>
            <w:r>
              <w:rPr>
                <w:rFonts w:hint="eastAsia" w:ascii="仿宋" w:hAnsi="仿宋" w:eastAsia="仿宋" w:cs="仿宋"/>
                <w:color w:val="auto"/>
                <w:sz w:val="24"/>
                <w:highlight w:val="none"/>
                <w:lang w:val="en-US" w:eastAsia="zh-CN"/>
              </w:rPr>
              <w:t>834744679</w:t>
            </w:r>
            <w:r>
              <w:rPr>
                <w:rFonts w:hint="eastAsia" w:ascii="仿宋" w:hAnsi="仿宋" w:eastAsia="仿宋" w:cs="仿宋"/>
                <w:color w:val="auto"/>
                <w:sz w:val="24"/>
                <w:highlight w:val="none"/>
              </w:rPr>
              <w:t>@qq.com），并电话告知采购人或采购代理机构。</w:t>
            </w:r>
          </w:p>
        </w:tc>
      </w:tr>
      <w:tr>
        <w:tblPrEx>
          <w:tblCellMar>
            <w:top w:w="0" w:type="dxa"/>
            <w:left w:w="108" w:type="dxa"/>
            <w:bottom w:w="0" w:type="dxa"/>
            <w:right w:w="108" w:type="dxa"/>
          </w:tblCellMar>
        </w:tblPrEx>
        <w:trPr>
          <w:trHeight w:val="1210" w:hRule="atLeast"/>
        </w:trPr>
        <w:tc>
          <w:tcPr>
            <w:tcW w:w="946"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13</w:t>
            </w:r>
          </w:p>
        </w:tc>
        <w:tc>
          <w:tcPr>
            <w:tcW w:w="1991"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招标采购文件更正、澄清或修改发出的形式</w:t>
            </w:r>
          </w:p>
        </w:tc>
        <w:tc>
          <w:tcPr>
            <w:tcW w:w="6681"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招标采购文件的更正、澄清或修改公告将随时刊登在</w:t>
            </w:r>
            <w:r>
              <w:rPr>
                <w:rFonts w:hint="eastAsia" w:ascii="仿宋" w:hAnsi="仿宋" w:eastAsia="仿宋" w:cs="仿宋"/>
                <w:color w:val="auto"/>
                <w:sz w:val="24"/>
                <w:highlight w:val="none"/>
                <w:lang w:eastAsia="zh-CN"/>
              </w:rPr>
              <w:t>浙江政府采购网</w:t>
            </w:r>
            <w:r>
              <w:rPr>
                <w:rFonts w:hint="eastAsia" w:ascii="仿宋" w:hAnsi="仿宋" w:eastAsia="仿宋" w:cs="仿宋"/>
                <w:color w:val="auto"/>
                <w:sz w:val="24"/>
                <w:highlight w:val="none"/>
              </w:rPr>
              <w:t>及</w:t>
            </w:r>
            <w:r>
              <w:rPr>
                <w:rFonts w:hint="eastAsia" w:ascii="仿宋" w:hAnsi="仿宋" w:eastAsia="仿宋" w:cs="仿宋"/>
                <w:color w:val="auto"/>
                <w:sz w:val="24"/>
                <w:highlight w:val="none"/>
                <w:lang w:eastAsia="zh-CN"/>
              </w:rPr>
              <w:t>武义县公共资源交易网</w:t>
            </w:r>
            <w:r>
              <w:rPr>
                <w:rFonts w:hint="eastAsia" w:ascii="仿宋" w:hAnsi="仿宋" w:eastAsia="仿宋" w:cs="仿宋"/>
                <w:color w:val="auto"/>
                <w:sz w:val="24"/>
                <w:highlight w:val="none"/>
              </w:rPr>
              <w:t>上，请投标人时刻关注本项目公告，因未及时知悉更正、澄清或修改公告而引起投标文件无效或废标的，由投标人自行承担责任。</w:t>
            </w:r>
          </w:p>
        </w:tc>
      </w:tr>
      <w:tr>
        <w:tblPrEx>
          <w:tblCellMar>
            <w:top w:w="0" w:type="dxa"/>
            <w:left w:w="108" w:type="dxa"/>
            <w:bottom w:w="0" w:type="dxa"/>
            <w:right w:w="108" w:type="dxa"/>
          </w:tblCellMar>
        </w:tblPrEx>
        <w:trPr>
          <w:trHeight w:val="6125" w:hRule="atLeast"/>
        </w:trPr>
        <w:tc>
          <w:tcPr>
            <w:tcW w:w="946"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14</w:t>
            </w:r>
          </w:p>
        </w:tc>
        <w:tc>
          <w:tcPr>
            <w:tcW w:w="1991"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投标报价方式及其他要求</w:t>
            </w:r>
          </w:p>
        </w:tc>
        <w:tc>
          <w:tcPr>
            <w:tcW w:w="6681" w:type="dxa"/>
            <w:tcBorders>
              <w:top w:val="single" w:color="auto" w:sz="4" w:space="0"/>
              <w:left w:val="single" w:color="auto" w:sz="4" w:space="0"/>
              <w:bottom w:val="single" w:color="auto" w:sz="4" w:space="0"/>
              <w:right w:val="single" w:color="auto" w:sz="4" w:space="0"/>
            </w:tcBorders>
            <w:noWrap w:val="0"/>
            <w:vAlign w:val="center"/>
          </w:tcPr>
          <w:p>
            <w:pPr>
              <w:pStyle w:val="17"/>
              <w:keepNext w:val="0"/>
              <w:keepLines w:val="0"/>
              <w:pageBreakBefore w:val="0"/>
              <w:widowControl w:val="0"/>
              <w:numPr>
                <w:ilvl w:val="0"/>
                <w:numId w:val="4"/>
              </w:numPr>
              <w:kinsoku/>
              <w:wordWrap/>
              <w:overflowPunct/>
              <w:topLinePunct w:val="0"/>
              <w:autoSpaceDE/>
              <w:autoSpaceDN/>
              <w:bidi w:val="0"/>
              <w:adjustRightInd/>
              <w:snapToGrid/>
              <w:spacing w:before="0" w:beforeLines="0" w:after="0" w:afterLines="0" w:line="400" w:lineRule="exact"/>
              <w:ind w:firstLine="480" w:firstLineChars="200"/>
              <w:jc w:val="left"/>
              <w:textAlignment w:val="auto"/>
              <w:rPr>
                <w:rFonts w:hint="eastAsia" w:ascii="仿宋" w:hAnsi="仿宋" w:eastAsia="仿宋" w:cs="仿宋"/>
                <w:color w:val="auto"/>
                <w:highlight w:val="none"/>
                <w:lang w:val="en-US" w:eastAsia="zh-CN"/>
              </w:rPr>
            </w:pPr>
            <w:r>
              <w:rPr>
                <w:rFonts w:hint="eastAsia" w:ascii="仿宋" w:hAnsi="仿宋" w:eastAsia="仿宋" w:cs="仿宋"/>
                <w:sz w:val="24"/>
                <w:szCs w:val="24"/>
              </w:rPr>
              <w:t>本项目设有最高限价</w:t>
            </w:r>
            <w:r>
              <w:rPr>
                <w:rFonts w:hint="eastAsia" w:ascii="仿宋" w:hAnsi="仿宋" w:eastAsia="仿宋" w:cs="仿宋"/>
                <w:sz w:val="24"/>
                <w:szCs w:val="24"/>
                <w:lang w:val="en-US" w:eastAsia="zh-CN"/>
              </w:rPr>
              <w:t>55万元</w:t>
            </w:r>
            <w:r>
              <w:rPr>
                <w:rFonts w:hint="eastAsia" w:ascii="仿宋" w:hAnsi="仿宋" w:eastAsia="仿宋" w:cs="仿宋"/>
                <w:sz w:val="24"/>
                <w:szCs w:val="24"/>
              </w:rPr>
              <w:t>。</w:t>
            </w:r>
            <w:r>
              <w:rPr>
                <w:rFonts w:hint="eastAsia" w:ascii="仿宋" w:hAnsi="仿宋" w:eastAsia="仿宋" w:cs="仿宋"/>
                <w:color w:val="auto"/>
                <w:highlight w:val="none"/>
                <w:lang w:val="en-US" w:eastAsia="zh-CN"/>
              </w:rPr>
              <w:t xml:space="preserve">   </w:t>
            </w:r>
          </w:p>
          <w:p>
            <w:pPr>
              <w:pStyle w:val="1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400" w:lineRule="exact"/>
              <w:ind w:firstLine="480" w:firstLineChars="200"/>
              <w:jc w:val="left"/>
              <w:textAlignment w:val="auto"/>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2.</w:t>
            </w:r>
            <w:r>
              <w:rPr>
                <w:rFonts w:hint="eastAsia" w:ascii="仿宋" w:hAnsi="仿宋" w:eastAsia="仿宋" w:cs="仿宋"/>
                <w:color w:val="auto"/>
                <w:highlight w:val="none"/>
              </w:rPr>
              <w:t>投标报价是履行合同的最终价格，投标报价应包含但不限于为完成本项目服务的诸如人工、优化设计费、调试费用、仪器仪表和软件工具等的使用费、设备购置费、安装、运输、备品备件、验收、检测、劳动防护、保险、管理、税费、利润、政策性文件规定及合同包含的所有风险、责任等各项应有的费用，即完成本项目及要求所提供服务涉及的全部费用、招标代理费及其他一切费用。报价并不是中标的唯一条件，采购人不保证最低报价中标。报价若低于市场价的，应提供书面说明或者提供相关佐证材料（如成本测算资料），证明其报价的合理性。投标报价为签订合同的依据。</w:t>
            </w:r>
          </w:p>
          <w:p>
            <w:pPr>
              <w:pStyle w:val="17"/>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firstLine="480" w:firstLineChars="200"/>
              <w:jc w:val="left"/>
              <w:textAlignment w:val="auto"/>
              <w:rPr>
                <w:rFonts w:hint="eastAsia" w:ascii="仿宋" w:hAnsi="仿宋" w:eastAsia="仿宋" w:cs="仿宋"/>
                <w:color w:val="auto"/>
                <w:highlight w:val="none"/>
              </w:rPr>
            </w:pPr>
            <w:r>
              <w:rPr>
                <w:rFonts w:hint="eastAsia" w:ascii="仿宋" w:hAnsi="仿宋" w:eastAsia="仿宋" w:cs="仿宋"/>
                <w:color w:val="auto"/>
                <w:highlight w:val="none"/>
              </w:rPr>
              <w:t>3.投标人以采购人提供的最高投标限价为基础，自行确定合理低价进行报价。投标文件只允许有一个报价，有选择的或有条件的报价将不予接受。</w:t>
            </w:r>
          </w:p>
          <w:p>
            <w:pPr>
              <w:pStyle w:val="17"/>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firstLine="480" w:firstLineChars="200"/>
              <w:jc w:val="left"/>
              <w:textAlignment w:val="auto"/>
              <w:rPr>
                <w:rFonts w:hint="eastAsia" w:ascii="仿宋" w:hAnsi="仿宋" w:eastAsia="仿宋" w:cs="仿宋"/>
                <w:color w:val="auto"/>
                <w:highlight w:val="none"/>
              </w:rPr>
            </w:pPr>
            <w:r>
              <w:rPr>
                <w:rFonts w:hint="eastAsia" w:ascii="仿宋" w:hAnsi="仿宋" w:eastAsia="仿宋" w:cs="仿宋"/>
                <w:color w:val="auto"/>
                <w:highlight w:val="none"/>
              </w:rPr>
              <w:t>4.本项目招标代理服务费由中标单位支付，根据计价格（2002）1980号文件为标准，以中标价为基数计算收取，具体标准为差额定率累进法。中标总金额100万以下的为1.5%，100万-500万以下的为1.1%</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500万-1000万以下的为0.8%，1000万-5000万以下的为0.5%</w:t>
            </w:r>
            <w:r>
              <w:rPr>
                <w:rFonts w:hint="eastAsia" w:ascii="仿宋" w:hAnsi="仿宋" w:eastAsia="仿宋" w:cs="仿宋"/>
                <w:color w:val="auto"/>
                <w:highlight w:val="none"/>
              </w:rPr>
              <w:t>（此项费用由投标人在报价时考虑，但不在项目详细报价清单中单列）。</w:t>
            </w:r>
          </w:p>
        </w:tc>
      </w:tr>
      <w:tr>
        <w:tblPrEx>
          <w:tblCellMar>
            <w:top w:w="0" w:type="dxa"/>
            <w:left w:w="108" w:type="dxa"/>
            <w:bottom w:w="0" w:type="dxa"/>
            <w:right w:w="108" w:type="dxa"/>
          </w:tblCellMar>
        </w:tblPrEx>
        <w:trPr>
          <w:trHeight w:val="521" w:hRule="atLeast"/>
        </w:trPr>
        <w:tc>
          <w:tcPr>
            <w:tcW w:w="946"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15</w:t>
            </w:r>
          </w:p>
        </w:tc>
        <w:tc>
          <w:tcPr>
            <w:tcW w:w="1991"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投标文件有效期</w:t>
            </w:r>
          </w:p>
        </w:tc>
        <w:tc>
          <w:tcPr>
            <w:tcW w:w="6681" w:type="dxa"/>
            <w:tcBorders>
              <w:top w:val="single" w:color="auto" w:sz="4" w:space="0"/>
              <w:left w:val="single" w:color="auto" w:sz="4" w:space="0"/>
              <w:bottom w:val="single" w:color="auto" w:sz="4" w:space="0"/>
              <w:right w:val="single" w:color="auto" w:sz="4" w:space="0"/>
            </w:tcBorders>
            <w:noWrap w:val="0"/>
            <w:vAlign w:val="center"/>
          </w:tcPr>
          <w:p>
            <w:pPr>
              <w:pStyle w:val="7"/>
              <w:widowControl w:val="0"/>
              <w:numPr>
                <w:ilvl w:val="0"/>
                <w:numId w:val="0"/>
              </w:numPr>
              <w:tabs>
                <w:tab w:val="left" w:pos="900"/>
              </w:tabs>
              <w:spacing w:after="0" w:afterLines="0" w:line="340" w:lineRule="exact"/>
              <w:rPr>
                <w:rFonts w:hint="eastAsia" w:ascii="仿宋" w:hAnsi="仿宋" w:eastAsia="仿宋" w:cs="仿宋"/>
                <w:color w:val="auto"/>
                <w:spacing w:val="-10"/>
                <w:szCs w:val="24"/>
                <w:highlight w:val="none"/>
              </w:rPr>
            </w:pPr>
            <w:r>
              <w:rPr>
                <w:rFonts w:hint="eastAsia" w:ascii="仿宋" w:hAnsi="仿宋" w:eastAsia="仿宋" w:cs="仿宋"/>
                <w:color w:val="auto"/>
                <w:spacing w:val="-10"/>
                <w:szCs w:val="24"/>
                <w:highlight w:val="none"/>
              </w:rPr>
              <w:t>投标文件自投标截止时间起生效，有效期为90天。</w:t>
            </w:r>
          </w:p>
        </w:tc>
      </w:tr>
      <w:tr>
        <w:tblPrEx>
          <w:tblCellMar>
            <w:top w:w="0" w:type="dxa"/>
            <w:left w:w="108" w:type="dxa"/>
            <w:bottom w:w="0" w:type="dxa"/>
            <w:right w:w="108" w:type="dxa"/>
          </w:tblCellMar>
        </w:tblPrEx>
        <w:trPr>
          <w:trHeight w:val="413" w:hRule="atLeast"/>
        </w:trPr>
        <w:tc>
          <w:tcPr>
            <w:tcW w:w="946"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16</w:t>
            </w:r>
          </w:p>
        </w:tc>
        <w:tc>
          <w:tcPr>
            <w:tcW w:w="1991"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投标保证金</w:t>
            </w:r>
          </w:p>
        </w:tc>
        <w:tc>
          <w:tcPr>
            <w:tcW w:w="6681" w:type="dxa"/>
            <w:tcBorders>
              <w:top w:val="single" w:color="auto" w:sz="4" w:space="0"/>
              <w:left w:val="single" w:color="auto" w:sz="4" w:space="0"/>
              <w:bottom w:val="single" w:color="auto" w:sz="4" w:space="0"/>
              <w:right w:val="single" w:color="auto" w:sz="4" w:space="0"/>
            </w:tcBorders>
            <w:noWrap w:val="0"/>
            <w:vAlign w:val="center"/>
          </w:tcPr>
          <w:p>
            <w:pPr>
              <w:pStyle w:val="17"/>
              <w:spacing w:before="0" w:beforeLines="0" w:after="0" w:afterLines="0" w:line="340" w:lineRule="exact"/>
              <w:jc w:val="lef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本项目不适用</w:t>
            </w:r>
          </w:p>
        </w:tc>
      </w:tr>
      <w:tr>
        <w:tblPrEx>
          <w:tblCellMar>
            <w:top w:w="0" w:type="dxa"/>
            <w:left w:w="108" w:type="dxa"/>
            <w:bottom w:w="0" w:type="dxa"/>
            <w:right w:w="108" w:type="dxa"/>
          </w:tblCellMar>
        </w:tblPrEx>
        <w:trPr>
          <w:trHeight w:val="413" w:hRule="atLeast"/>
        </w:trPr>
        <w:tc>
          <w:tcPr>
            <w:tcW w:w="946"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rPr>
              <w:t>17</w:t>
            </w:r>
          </w:p>
        </w:tc>
        <w:tc>
          <w:tcPr>
            <w:tcW w:w="1991"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投标保证金的退还</w:t>
            </w:r>
          </w:p>
        </w:tc>
        <w:tc>
          <w:tcPr>
            <w:tcW w:w="6681" w:type="dxa"/>
            <w:tcBorders>
              <w:top w:val="single" w:color="auto" w:sz="4" w:space="0"/>
              <w:left w:val="single" w:color="auto" w:sz="4" w:space="0"/>
              <w:bottom w:val="single" w:color="auto" w:sz="4" w:space="0"/>
              <w:right w:val="single" w:color="auto" w:sz="4" w:space="0"/>
            </w:tcBorders>
            <w:noWrap w:val="0"/>
            <w:vAlign w:val="center"/>
          </w:tcPr>
          <w:p>
            <w:pPr>
              <w:pStyle w:val="7"/>
              <w:widowControl w:val="0"/>
              <w:numPr>
                <w:ilvl w:val="0"/>
                <w:numId w:val="0"/>
              </w:numPr>
              <w:tabs>
                <w:tab w:val="left" w:pos="900"/>
              </w:tabs>
              <w:spacing w:after="0" w:afterLines="0" w:line="340" w:lineRule="exact"/>
              <w:rPr>
                <w:rFonts w:hint="eastAsia" w:ascii="仿宋" w:hAnsi="仿宋" w:eastAsia="仿宋" w:cs="仿宋"/>
                <w:color w:val="auto"/>
                <w:spacing w:val="-10"/>
                <w:szCs w:val="24"/>
                <w:highlight w:val="none"/>
                <w:lang w:eastAsia="zh-CN"/>
              </w:rPr>
            </w:pPr>
            <w:r>
              <w:rPr>
                <w:rFonts w:hint="eastAsia" w:ascii="仿宋" w:hAnsi="仿宋" w:eastAsia="仿宋" w:cs="仿宋"/>
                <w:color w:val="auto"/>
                <w:highlight w:val="none"/>
                <w:lang w:val="en-US" w:eastAsia="zh-CN"/>
              </w:rPr>
              <w:t>本项目不适用</w:t>
            </w:r>
          </w:p>
        </w:tc>
      </w:tr>
      <w:tr>
        <w:tblPrEx>
          <w:tblCellMar>
            <w:top w:w="0" w:type="dxa"/>
            <w:left w:w="108" w:type="dxa"/>
            <w:bottom w:w="0" w:type="dxa"/>
            <w:right w:w="108" w:type="dxa"/>
          </w:tblCellMar>
        </w:tblPrEx>
        <w:trPr>
          <w:trHeight w:val="90" w:hRule="atLeast"/>
        </w:trPr>
        <w:tc>
          <w:tcPr>
            <w:tcW w:w="946"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rPr>
              <w:t>18</w:t>
            </w:r>
          </w:p>
        </w:tc>
        <w:tc>
          <w:tcPr>
            <w:tcW w:w="1991"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投标文件的组成</w:t>
            </w:r>
          </w:p>
        </w:tc>
        <w:tc>
          <w:tcPr>
            <w:tcW w:w="6681" w:type="dxa"/>
            <w:tcBorders>
              <w:top w:val="single" w:color="auto" w:sz="4" w:space="0"/>
              <w:left w:val="single" w:color="auto" w:sz="4" w:space="0"/>
              <w:bottom w:val="single" w:color="auto" w:sz="4" w:space="0"/>
              <w:right w:val="single" w:color="auto" w:sz="4" w:space="0"/>
            </w:tcBorders>
            <w:noWrap w:val="0"/>
            <w:vAlign w:val="center"/>
          </w:tcPr>
          <w:p>
            <w:pPr>
              <w:spacing w:line="340" w:lineRule="exact"/>
              <w:ind w:firstLine="480" w:firstLineChars="200"/>
              <w:jc w:val="left"/>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投标文件由</w:t>
            </w:r>
            <w:r>
              <w:rPr>
                <w:rFonts w:hint="eastAsia" w:ascii="仿宋" w:hAnsi="仿宋" w:eastAsia="仿宋" w:cs="仿宋"/>
                <w:b w:val="0"/>
                <w:bCs w:val="0"/>
                <w:color w:val="auto"/>
                <w:sz w:val="24"/>
                <w:highlight w:val="none"/>
                <w:lang w:eastAsia="zh-CN"/>
              </w:rPr>
              <w:t>资格文件</w:t>
            </w:r>
            <w:r>
              <w:rPr>
                <w:rFonts w:hint="eastAsia" w:ascii="仿宋" w:hAnsi="仿宋" w:eastAsia="仿宋" w:cs="仿宋"/>
                <w:b w:val="0"/>
                <w:bCs w:val="0"/>
                <w:color w:val="auto"/>
                <w:sz w:val="24"/>
                <w:highlight w:val="none"/>
              </w:rPr>
              <w:t>、</w:t>
            </w:r>
            <w:r>
              <w:rPr>
                <w:rFonts w:hint="eastAsia" w:ascii="仿宋" w:hAnsi="仿宋" w:eastAsia="仿宋" w:cs="仿宋"/>
                <w:b w:val="0"/>
                <w:bCs w:val="0"/>
                <w:color w:val="auto"/>
                <w:sz w:val="24"/>
                <w:highlight w:val="none"/>
                <w:lang w:eastAsia="zh-CN"/>
              </w:rPr>
              <w:t>商务技术</w:t>
            </w:r>
            <w:r>
              <w:rPr>
                <w:rFonts w:hint="eastAsia" w:ascii="仿宋" w:hAnsi="仿宋" w:eastAsia="仿宋" w:cs="仿宋"/>
                <w:b w:val="0"/>
                <w:bCs w:val="0"/>
                <w:color w:val="auto"/>
                <w:sz w:val="24"/>
                <w:highlight w:val="none"/>
              </w:rPr>
              <w:t>文件、报价文件</w:t>
            </w:r>
            <w:r>
              <w:rPr>
                <w:rFonts w:hint="eastAsia" w:ascii="仿宋" w:hAnsi="仿宋" w:eastAsia="仿宋" w:cs="仿宋"/>
                <w:b w:val="0"/>
                <w:bCs w:val="0"/>
                <w:color w:val="auto"/>
                <w:sz w:val="24"/>
                <w:highlight w:val="none"/>
                <w:lang w:val="en-US" w:eastAsia="zh-CN"/>
              </w:rPr>
              <w:t>三</w:t>
            </w:r>
            <w:r>
              <w:rPr>
                <w:rFonts w:hint="eastAsia" w:ascii="仿宋" w:hAnsi="仿宋" w:eastAsia="仿宋" w:cs="仿宋"/>
                <w:b w:val="0"/>
                <w:bCs w:val="0"/>
                <w:color w:val="auto"/>
                <w:sz w:val="24"/>
                <w:highlight w:val="none"/>
              </w:rPr>
              <w:t>部分组成，包括但不限于以下内容：</w:t>
            </w:r>
          </w:p>
          <w:p>
            <w:pPr>
              <w:spacing w:line="360" w:lineRule="exact"/>
              <w:jc w:val="left"/>
              <w:rPr>
                <w:rFonts w:hint="eastAsia" w:ascii="仿宋" w:hAnsi="仿宋" w:eastAsia="仿宋" w:cs="仿宋"/>
                <w:b/>
                <w:bCs/>
                <w:color w:val="auto"/>
                <w:sz w:val="24"/>
                <w:highlight w:val="none"/>
                <w:lang w:eastAsia="zh-CN"/>
              </w:rPr>
            </w:pPr>
            <w:r>
              <w:rPr>
                <w:rFonts w:hint="eastAsia" w:ascii="仿宋" w:hAnsi="仿宋" w:eastAsia="仿宋" w:cs="仿宋"/>
                <w:b/>
                <w:bCs/>
                <w:color w:val="auto"/>
                <w:sz w:val="24"/>
                <w:highlight w:val="none"/>
                <w:lang w:val="en-US" w:eastAsia="zh-CN"/>
              </w:rPr>
              <w:t>一、</w:t>
            </w:r>
            <w:r>
              <w:rPr>
                <w:rFonts w:hint="eastAsia" w:ascii="仿宋" w:hAnsi="仿宋" w:eastAsia="仿宋" w:cs="仿宋"/>
                <w:b/>
                <w:bCs/>
                <w:color w:val="auto"/>
                <w:sz w:val="24"/>
                <w:highlight w:val="none"/>
                <w:lang w:eastAsia="zh-CN"/>
              </w:rPr>
              <w:t>资格文件：</w:t>
            </w:r>
          </w:p>
          <w:p>
            <w:pPr>
              <w:spacing w:line="360" w:lineRule="exact"/>
              <w:jc w:val="left"/>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（1）投标声明</w:t>
            </w:r>
            <w:r>
              <w:rPr>
                <w:rFonts w:hint="eastAsia" w:ascii="仿宋" w:hAnsi="仿宋" w:eastAsia="仿宋" w:cs="仿宋"/>
                <w:b w:val="0"/>
                <w:bCs w:val="0"/>
                <w:color w:val="auto"/>
                <w:sz w:val="24"/>
                <w:highlight w:val="none"/>
                <w:lang w:eastAsia="zh-CN"/>
              </w:rPr>
              <w:t>函</w:t>
            </w:r>
            <w:r>
              <w:rPr>
                <w:rFonts w:hint="eastAsia" w:ascii="仿宋" w:hAnsi="仿宋" w:eastAsia="仿宋" w:cs="仿宋"/>
                <w:b w:val="0"/>
                <w:bCs w:val="0"/>
                <w:color w:val="auto"/>
                <w:sz w:val="24"/>
                <w:highlight w:val="none"/>
              </w:rPr>
              <w:t>；</w:t>
            </w:r>
          </w:p>
          <w:p>
            <w:pPr>
              <w:spacing w:line="360" w:lineRule="exact"/>
              <w:jc w:val="left"/>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（2）提供有效的营业执照复印件；</w:t>
            </w:r>
          </w:p>
          <w:p>
            <w:pPr>
              <w:spacing w:line="360" w:lineRule="exact"/>
              <w:jc w:val="left"/>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（3）具有履行合同所必需的</w:t>
            </w:r>
            <w:r>
              <w:rPr>
                <w:rFonts w:hint="eastAsia" w:ascii="仿宋" w:hAnsi="仿宋" w:eastAsia="仿宋" w:cs="仿宋"/>
                <w:b w:val="0"/>
                <w:bCs w:val="0"/>
                <w:color w:val="auto"/>
                <w:sz w:val="24"/>
                <w:highlight w:val="none"/>
                <w:lang w:eastAsia="zh-CN"/>
              </w:rPr>
              <w:t>场地、</w:t>
            </w:r>
            <w:r>
              <w:rPr>
                <w:rFonts w:hint="eastAsia" w:ascii="仿宋" w:hAnsi="仿宋" w:eastAsia="仿宋" w:cs="仿宋"/>
                <w:b w:val="0"/>
                <w:bCs w:val="0"/>
                <w:color w:val="auto"/>
                <w:sz w:val="24"/>
                <w:highlight w:val="none"/>
              </w:rPr>
              <w:t>设备和专业技术能力的承诺函；</w:t>
            </w:r>
          </w:p>
          <w:p>
            <w:pPr>
              <w:spacing w:line="360" w:lineRule="exact"/>
              <w:jc w:val="left"/>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w:t>
            </w:r>
            <w:r>
              <w:rPr>
                <w:rFonts w:hint="eastAsia" w:ascii="仿宋" w:hAnsi="仿宋" w:eastAsia="仿宋" w:cs="仿宋"/>
                <w:b w:val="0"/>
                <w:bCs w:val="0"/>
                <w:color w:val="auto"/>
                <w:sz w:val="24"/>
                <w:highlight w:val="none"/>
                <w:lang w:val="en-US" w:eastAsia="zh-CN"/>
              </w:rPr>
              <w:t>4</w:t>
            </w:r>
            <w:r>
              <w:rPr>
                <w:rFonts w:hint="eastAsia" w:ascii="仿宋" w:hAnsi="仿宋" w:eastAsia="仿宋" w:cs="仿宋"/>
                <w:b w:val="0"/>
                <w:bCs w:val="0"/>
                <w:color w:val="auto"/>
                <w:sz w:val="24"/>
                <w:highlight w:val="none"/>
              </w:rPr>
              <w:t>）参加</w:t>
            </w:r>
            <w:r>
              <w:rPr>
                <w:rFonts w:hint="eastAsia" w:ascii="仿宋" w:hAnsi="仿宋" w:eastAsia="仿宋" w:cs="仿宋"/>
                <w:b w:val="0"/>
                <w:bCs w:val="0"/>
                <w:color w:val="auto"/>
                <w:sz w:val="24"/>
                <w:highlight w:val="none"/>
                <w:lang w:eastAsia="zh-CN"/>
              </w:rPr>
              <w:t>投标</w:t>
            </w:r>
            <w:r>
              <w:rPr>
                <w:rFonts w:hint="eastAsia" w:ascii="仿宋" w:hAnsi="仿宋" w:eastAsia="仿宋" w:cs="仿宋"/>
                <w:b w:val="0"/>
                <w:bCs w:val="0"/>
                <w:color w:val="auto"/>
                <w:sz w:val="24"/>
                <w:highlight w:val="none"/>
              </w:rPr>
              <w:t>活动前</w:t>
            </w:r>
            <w:r>
              <w:rPr>
                <w:rFonts w:hint="eastAsia" w:ascii="仿宋" w:hAnsi="仿宋" w:eastAsia="仿宋" w:cs="仿宋"/>
                <w:b w:val="0"/>
                <w:bCs w:val="0"/>
                <w:color w:val="auto"/>
                <w:sz w:val="24"/>
                <w:highlight w:val="none"/>
                <w:lang w:val="en-US" w:eastAsia="zh-CN"/>
              </w:rPr>
              <w:t>3</w:t>
            </w:r>
            <w:r>
              <w:rPr>
                <w:rFonts w:hint="eastAsia" w:ascii="仿宋" w:hAnsi="仿宋" w:eastAsia="仿宋" w:cs="仿宋"/>
                <w:b w:val="0"/>
                <w:bCs w:val="0"/>
                <w:color w:val="auto"/>
                <w:sz w:val="24"/>
                <w:highlight w:val="none"/>
              </w:rPr>
              <w:t>年内在经营活动中没有重大违法记录的</w:t>
            </w:r>
            <w:r>
              <w:rPr>
                <w:rFonts w:hint="eastAsia" w:ascii="仿宋" w:hAnsi="仿宋" w:eastAsia="仿宋" w:cs="仿宋"/>
                <w:b w:val="0"/>
                <w:bCs w:val="0"/>
                <w:color w:val="auto"/>
                <w:sz w:val="24"/>
                <w:highlight w:val="none"/>
                <w:lang w:eastAsia="zh-CN"/>
              </w:rPr>
              <w:t>声明函</w:t>
            </w:r>
            <w:r>
              <w:rPr>
                <w:rFonts w:hint="eastAsia" w:ascii="仿宋" w:hAnsi="仿宋" w:eastAsia="仿宋" w:cs="仿宋"/>
                <w:b w:val="0"/>
                <w:bCs w:val="0"/>
                <w:color w:val="auto"/>
                <w:sz w:val="24"/>
                <w:highlight w:val="none"/>
              </w:rPr>
              <w:t>；</w:t>
            </w:r>
          </w:p>
          <w:p>
            <w:pPr>
              <w:spacing w:line="360" w:lineRule="exact"/>
              <w:jc w:val="left"/>
              <w:rPr>
                <w:rFonts w:hint="eastAsia" w:ascii="仿宋" w:hAnsi="仿宋" w:eastAsia="仿宋" w:cs="仿宋"/>
                <w:b w:val="0"/>
                <w:bCs w:val="0"/>
                <w:color w:val="auto"/>
                <w:sz w:val="24"/>
                <w:highlight w:val="none"/>
                <w:lang w:eastAsia="zh-CN"/>
              </w:rPr>
            </w:pPr>
            <w:r>
              <w:rPr>
                <w:rFonts w:hint="eastAsia" w:ascii="仿宋" w:hAnsi="仿宋" w:eastAsia="仿宋" w:cs="仿宋"/>
                <w:b w:val="0"/>
                <w:bCs w:val="0"/>
                <w:color w:val="auto"/>
                <w:sz w:val="24"/>
                <w:highlight w:val="none"/>
                <w:lang w:eastAsia="zh-CN"/>
              </w:rPr>
              <w:t>（</w:t>
            </w:r>
            <w:r>
              <w:rPr>
                <w:rFonts w:hint="eastAsia" w:ascii="仿宋" w:hAnsi="仿宋" w:eastAsia="仿宋" w:cs="仿宋"/>
                <w:b w:val="0"/>
                <w:bCs w:val="0"/>
                <w:color w:val="auto"/>
                <w:sz w:val="24"/>
                <w:highlight w:val="none"/>
                <w:lang w:val="en-US" w:eastAsia="zh-CN"/>
              </w:rPr>
              <w:t>5</w:t>
            </w:r>
            <w:r>
              <w:rPr>
                <w:rFonts w:hint="eastAsia" w:ascii="仿宋" w:hAnsi="仿宋" w:eastAsia="仿宋" w:cs="仿宋"/>
                <w:b w:val="0"/>
                <w:bCs w:val="0"/>
                <w:color w:val="auto"/>
                <w:sz w:val="24"/>
                <w:highlight w:val="none"/>
                <w:lang w:eastAsia="zh-CN"/>
              </w:rPr>
              <w:t>）</w:t>
            </w:r>
            <w:r>
              <w:rPr>
                <w:rFonts w:hint="eastAsia" w:ascii="仿宋" w:hAnsi="仿宋" w:eastAsia="仿宋" w:cs="仿宋"/>
                <w:b w:val="0"/>
                <w:bCs w:val="0"/>
                <w:color w:val="auto"/>
                <w:sz w:val="24"/>
                <w:highlight w:val="none"/>
              </w:rPr>
              <w:t>提供自招标公告发布之日起至投标截止日内任意时间的“信用中国”网站（www.creditchina.gov.cn）、中国政府采购网（www.ccgp.gov.cn）投标人信用查询网页截图。（以开标当日采购人或由采购人委托的评标委员会核实的查询结果为准）</w:t>
            </w:r>
            <w:r>
              <w:rPr>
                <w:rFonts w:hint="eastAsia" w:ascii="仿宋" w:hAnsi="仿宋" w:eastAsia="仿宋" w:cs="仿宋"/>
                <w:b w:val="0"/>
                <w:bCs w:val="0"/>
                <w:color w:val="auto"/>
                <w:sz w:val="24"/>
                <w:highlight w:val="none"/>
                <w:lang w:eastAsia="zh-CN"/>
              </w:rPr>
              <w:t>；</w:t>
            </w:r>
          </w:p>
          <w:p>
            <w:pPr>
              <w:spacing w:line="360" w:lineRule="exact"/>
              <w:jc w:val="left"/>
              <w:rPr>
                <w:rFonts w:hint="eastAsia" w:ascii="仿宋" w:hAnsi="仿宋" w:eastAsia="仿宋" w:cs="仿宋"/>
                <w:b w:val="0"/>
                <w:bCs w:val="0"/>
                <w:color w:val="auto"/>
                <w:sz w:val="24"/>
                <w:highlight w:val="none"/>
                <w:lang w:eastAsia="zh-CN"/>
              </w:rPr>
            </w:pPr>
            <w:r>
              <w:rPr>
                <w:rFonts w:hint="eastAsia" w:ascii="仿宋" w:hAnsi="仿宋" w:eastAsia="仿宋" w:cs="仿宋"/>
                <w:b w:val="0"/>
                <w:bCs w:val="0"/>
                <w:color w:val="auto"/>
                <w:sz w:val="24"/>
                <w:highlight w:val="none"/>
                <w:lang w:eastAsia="zh-CN"/>
              </w:rPr>
              <w:t>（</w:t>
            </w:r>
            <w:r>
              <w:rPr>
                <w:rFonts w:hint="eastAsia" w:ascii="仿宋" w:hAnsi="仿宋" w:eastAsia="仿宋" w:cs="仿宋"/>
                <w:b w:val="0"/>
                <w:bCs w:val="0"/>
                <w:color w:val="auto"/>
                <w:sz w:val="24"/>
                <w:highlight w:val="none"/>
                <w:lang w:val="en-US" w:eastAsia="zh-CN"/>
              </w:rPr>
              <w:t>6</w:t>
            </w:r>
            <w:r>
              <w:rPr>
                <w:rFonts w:hint="eastAsia" w:ascii="仿宋" w:hAnsi="仿宋" w:eastAsia="仿宋" w:cs="仿宋"/>
                <w:b w:val="0"/>
                <w:bCs w:val="0"/>
                <w:color w:val="auto"/>
                <w:sz w:val="24"/>
                <w:highlight w:val="none"/>
                <w:lang w:eastAsia="zh-CN"/>
              </w:rPr>
              <w:t>）法定代表人</w:t>
            </w:r>
            <w:r>
              <w:rPr>
                <w:rFonts w:hint="eastAsia" w:ascii="仿宋" w:hAnsi="仿宋" w:eastAsia="仿宋" w:cs="仿宋"/>
                <w:b w:val="0"/>
                <w:bCs w:val="0"/>
                <w:color w:val="auto"/>
                <w:sz w:val="24"/>
                <w:highlight w:val="none"/>
              </w:rPr>
              <w:t>资格书或</w:t>
            </w:r>
            <w:r>
              <w:rPr>
                <w:rFonts w:hint="eastAsia" w:ascii="仿宋" w:hAnsi="仿宋" w:eastAsia="仿宋" w:cs="仿宋"/>
                <w:b w:val="0"/>
                <w:bCs w:val="0"/>
                <w:color w:val="auto"/>
                <w:sz w:val="24"/>
                <w:highlight w:val="none"/>
                <w:lang w:eastAsia="zh-CN"/>
              </w:rPr>
              <w:t>法定代表人</w:t>
            </w:r>
            <w:r>
              <w:rPr>
                <w:rFonts w:hint="eastAsia" w:ascii="仿宋" w:hAnsi="仿宋" w:eastAsia="仿宋" w:cs="仿宋"/>
                <w:b w:val="0"/>
                <w:bCs w:val="0"/>
                <w:color w:val="auto"/>
                <w:sz w:val="24"/>
                <w:highlight w:val="none"/>
              </w:rPr>
              <w:t>授权委托书；</w:t>
            </w:r>
          </w:p>
          <w:p>
            <w:pPr>
              <w:spacing w:line="360" w:lineRule="exact"/>
              <w:jc w:val="left"/>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lang w:eastAsia="zh-CN"/>
              </w:rPr>
              <w:t>（</w:t>
            </w:r>
            <w:r>
              <w:rPr>
                <w:rFonts w:hint="eastAsia" w:ascii="仿宋" w:hAnsi="仿宋" w:eastAsia="仿宋" w:cs="仿宋"/>
                <w:b w:val="0"/>
                <w:bCs w:val="0"/>
                <w:color w:val="auto"/>
                <w:sz w:val="24"/>
                <w:highlight w:val="none"/>
                <w:lang w:val="en-US" w:eastAsia="zh-CN"/>
              </w:rPr>
              <w:t>7</w:t>
            </w:r>
            <w:r>
              <w:rPr>
                <w:rFonts w:hint="eastAsia" w:ascii="仿宋" w:hAnsi="仿宋" w:eastAsia="仿宋" w:cs="仿宋"/>
                <w:b w:val="0"/>
                <w:bCs w:val="0"/>
                <w:color w:val="auto"/>
                <w:sz w:val="24"/>
                <w:highlight w:val="none"/>
                <w:lang w:eastAsia="zh-CN"/>
              </w:rPr>
              <w:t>）</w:t>
            </w:r>
            <w:r>
              <w:rPr>
                <w:rFonts w:hint="eastAsia" w:ascii="仿宋" w:hAnsi="仿宋" w:eastAsia="仿宋" w:cs="仿宋"/>
                <w:b w:val="0"/>
                <w:bCs w:val="0"/>
                <w:color w:val="auto"/>
                <w:sz w:val="24"/>
                <w:highlight w:val="none"/>
              </w:rPr>
              <w:t>招标公告中要求需要</w:t>
            </w:r>
            <w:r>
              <w:rPr>
                <w:rFonts w:hint="eastAsia" w:ascii="仿宋" w:hAnsi="仿宋" w:eastAsia="仿宋" w:cs="仿宋"/>
                <w:b w:val="0"/>
                <w:bCs w:val="0"/>
                <w:color w:val="auto"/>
                <w:sz w:val="24"/>
                <w:highlight w:val="none"/>
                <w:lang w:eastAsia="zh-CN"/>
              </w:rPr>
              <w:t>提供</w:t>
            </w:r>
            <w:r>
              <w:rPr>
                <w:rFonts w:hint="eastAsia" w:ascii="仿宋" w:hAnsi="仿宋" w:eastAsia="仿宋" w:cs="仿宋"/>
                <w:b w:val="0"/>
                <w:bCs w:val="0"/>
                <w:color w:val="auto"/>
                <w:sz w:val="24"/>
                <w:highlight w:val="none"/>
              </w:rPr>
              <w:t>的其他资质和说明。</w:t>
            </w:r>
          </w:p>
          <w:p>
            <w:pPr>
              <w:spacing w:line="360" w:lineRule="exact"/>
              <w:jc w:val="left"/>
              <w:rPr>
                <w:rFonts w:hint="eastAsia" w:ascii="仿宋" w:hAnsi="仿宋" w:eastAsia="仿宋" w:cs="仿宋"/>
                <w:b/>
                <w:bCs/>
                <w:color w:val="auto"/>
                <w:sz w:val="24"/>
                <w:highlight w:val="none"/>
                <w:lang w:eastAsia="zh-CN"/>
              </w:rPr>
            </w:pPr>
            <w:r>
              <w:rPr>
                <w:rFonts w:hint="eastAsia" w:ascii="仿宋" w:hAnsi="仿宋" w:eastAsia="仿宋" w:cs="仿宋"/>
                <w:b/>
                <w:bCs/>
                <w:color w:val="auto"/>
                <w:sz w:val="24"/>
                <w:highlight w:val="none"/>
                <w:lang w:val="en-US" w:eastAsia="zh-CN"/>
              </w:rPr>
              <w:t>二</w:t>
            </w:r>
            <w:r>
              <w:rPr>
                <w:rFonts w:hint="eastAsia" w:ascii="仿宋" w:hAnsi="仿宋" w:eastAsia="仿宋" w:cs="仿宋"/>
                <w:b/>
                <w:bCs/>
                <w:color w:val="auto"/>
                <w:sz w:val="24"/>
                <w:highlight w:val="none"/>
              </w:rPr>
              <w:t>、</w:t>
            </w:r>
            <w:r>
              <w:rPr>
                <w:rFonts w:hint="eastAsia" w:ascii="仿宋" w:hAnsi="仿宋" w:eastAsia="仿宋" w:cs="仿宋"/>
                <w:b/>
                <w:bCs/>
                <w:color w:val="auto"/>
                <w:sz w:val="24"/>
                <w:highlight w:val="none"/>
                <w:lang w:eastAsia="zh-CN"/>
              </w:rPr>
              <w:t>商务技术</w:t>
            </w:r>
            <w:r>
              <w:rPr>
                <w:rFonts w:hint="eastAsia" w:ascii="仿宋" w:hAnsi="仿宋" w:eastAsia="仿宋" w:cs="仿宋"/>
                <w:b/>
                <w:bCs/>
                <w:color w:val="auto"/>
                <w:sz w:val="24"/>
                <w:highlight w:val="none"/>
              </w:rPr>
              <w:t>文件</w:t>
            </w:r>
            <w:r>
              <w:rPr>
                <w:rFonts w:hint="eastAsia" w:ascii="仿宋" w:hAnsi="仿宋" w:eastAsia="仿宋" w:cs="仿宋"/>
                <w:b/>
                <w:bCs/>
                <w:color w:val="auto"/>
                <w:sz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lang w:eastAsia="zh-CN"/>
              </w:rPr>
              <w:t>（</w:t>
            </w:r>
            <w:r>
              <w:rPr>
                <w:rFonts w:hint="eastAsia" w:ascii="仿宋" w:hAnsi="仿宋" w:eastAsia="仿宋" w:cs="仿宋"/>
                <w:b w:val="0"/>
                <w:bCs w:val="0"/>
                <w:color w:val="auto"/>
                <w:sz w:val="24"/>
                <w:highlight w:val="none"/>
                <w:lang w:val="en-US" w:eastAsia="zh-CN"/>
              </w:rPr>
              <w:t>1</w:t>
            </w:r>
            <w:r>
              <w:rPr>
                <w:rFonts w:hint="eastAsia" w:ascii="仿宋" w:hAnsi="仿宋" w:eastAsia="仿宋" w:cs="仿宋"/>
                <w:b w:val="0"/>
                <w:bCs w:val="0"/>
                <w:color w:val="auto"/>
                <w:sz w:val="24"/>
                <w:highlight w:val="none"/>
                <w:lang w:eastAsia="zh-CN"/>
              </w:rPr>
              <w:t>）商务技术分评分索引</w:t>
            </w:r>
            <w:r>
              <w:rPr>
                <w:rFonts w:hint="eastAsia" w:ascii="仿宋" w:hAnsi="仿宋" w:eastAsia="仿宋" w:cs="仿宋"/>
                <w:b w:val="0"/>
                <w:bCs w:val="0"/>
                <w:color w:val="auto"/>
                <w:sz w:val="24"/>
                <w:highlight w:val="none"/>
              </w:rPr>
              <w:t>；</w:t>
            </w:r>
          </w:p>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lang w:eastAsia="zh-CN"/>
              </w:rPr>
              <w:t>（</w:t>
            </w:r>
            <w:r>
              <w:rPr>
                <w:rFonts w:hint="eastAsia" w:ascii="仿宋" w:hAnsi="仿宋" w:eastAsia="仿宋" w:cs="仿宋"/>
                <w:b w:val="0"/>
                <w:bCs w:val="0"/>
                <w:color w:val="auto"/>
                <w:sz w:val="24"/>
                <w:highlight w:val="none"/>
                <w:lang w:val="en-US" w:eastAsia="zh-CN"/>
              </w:rPr>
              <w:t>2</w:t>
            </w:r>
            <w:r>
              <w:rPr>
                <w:rFonts w:hint="eastAsia" w:ascii="仿宋" w:hAnsi="仿宋" w:eastAsia="仿宋" w:cs="仿宋"/>
                <w:b w:val="0"/>
                <w:bCs w:val="0"/>
                <w:color w:val="auto"/>
                <w:sz w:val="24"/>
                <w:highlight w:val="none"/>
                <w:lang w:eastAsia="zh-CN"/>
              </w:rPr>
              <w:t>）诚信竞投承诺书</w:t>
            </w:r>
            <w:r>
              <w:rPr>
                <w:rFonts w:hint="eastAsia" w:ascii="仿宋" w:hAnsi="仿宋" w:eastAsia="仿宋" w:cs="仿宋"/>
                <w:b w:val="0"/>
                <w:bCs w:val="0"/>
                <w:color w:val="auto"/>
                <w:sz w:val="24"/>
                <w:highlight w:val="none"/>
              </w:rPr>
              <w:t>；</w:t>
            </w:r>
          </w:p>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lang w:eastAsia="zh-CN"/>
              </w:rPr>
              <w:t>（</w:t>
            </w:r>
            <w:r>
              <w:rPr>
                <w:rFonts w:hint="eastAsia" w:ascii="仿宋" w:hAnsi="仿宋" w:eastAsia="仿宋" w:cs="仿宋"/>
                <w:b w:val="0"/>
                <w:bCs w:val="0"/>
                <w:color w:val="auto"/>
                <w:sz w:val="24"/>
                <w:highlight w:val="none"/>
                <w:lang w:val="en-US" w:eastAsia="zh-CN"/>
              </w:rPr>
              <w:t>3</w:t>
            </w:r>
            <w:r>
              <w:rPr>
                <w:rFonts w:hint="eastAsia" w:ascii="仿宋" w:hAnsi="仿宋" w:eastAsia="仿宋" w:cs="仿宋"/>
                <w:b w:val="0"/>
                <w:bCs w:val="0"/>
                <w:color w:val="auto"/>
                <w:sz w:val="24"/>
                <w:highlight w:val="none"/>
                <w:lang w:eastAsia="zh-CN"/>
              </w:rPr>
              <w:t>）投标人情况介绍</w:t>
            </w:r>
            <w:r>
              <w:rPr>
                <w:rFonts w:hint="eastAsia" w:ascii="仿宋" w:hAnsi="仿宋" w:eastAsia="仿宋" w:cs="仿宋"/>
                <w:b w:val="0"/>
                <w:bCs w:val="0"/>
                <w:color w:val="auto"/>
                <w:sz w:val="24"/>
                <w:highlight w:val="none"/>
              </w:rPr>
              <w:t>；</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left"/>
              <w:textAlignment w:val="auto"/>
              <w:rPr>
                <w:rFonts w:hint="eastAsia" w:ascii="仿宋" w:hAnsi="仿宋" w:eastAsia="仿宋" w:cs="仿宋"/>
                <w:b w:val="0"/>
                <w:bCs w:val="0"/>
                <w:color w:val="auto"/>
                <w:sz w:val="24"/>
                <w:highlight w:val="none"/>
                <w:lang w:eastAsia="zh-CN"/>
              </w:rPr>
            </w:pPr>
            <w:r>
              <w:rPr>
                <w:rFonts w:hint="eastAsia" w:ascii="仿宋" w:hAnsi="仿宋" w:eastAsia="仿宋" w:cs="仿宋"/>
                <w:b w:val="0"/>
                <w:bCs w:val="0"/>
                <w:color w:val="auto"/>
                <w:sz w:val="24"/>
                <w:highlight w:val="none"/>
                <w:lang w:val="en-US" w:eastAsia="zh-CN"/>
              </w:rPr>
              <w:t>3.1</w:t>
            </w:r>
            <w:r>
              <w:rPr>
                <w:rFonts w:hint="eastAsia" w:ascii="仿宋" w:hAnsi="仿宋" w:eastAsia="仿宋" w:cs="仿宋"/>
                <w:b w:val="0"/>
                <w:bCs w:val="0"/>
                <w:color w:val="auto"/>
                <w:sz w:val="24"/>
                <w:highlight w:val="none"/>
                <w:lang w:eastAsia="zh-CN"/>
              </w:rPr>
              <w:t>投标人的类似项目业绩；</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left"/>
              <w:textAlignment w:val="auto"/>
              <w:rPr>
                <w:rFonts w:hint="default"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3.2商务技术响应情况表</w:t>
            </w:r>
          </w:p>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（4）</w:t>
            </w:r>
            <w:r>
              <w:rPr>
                <w:rFonts w:hint="eastAsia" w:ascii="仿宋" w:hAnsi="仿宋" w:eastAsia="仿宋" w:cs="仿宋"/>
                <w:b w:val="0"/>
                <w:bCs w:val="0"/>
                <w:color w:val="auto"/>
                <w:sz w:val="24"/>
                <w:highlight w:val="none"/>
                <w:lang w:val="en-US" w:eastAsia="zh-CN"/>
              </w:rPr>
              <w:fldChar w:fldCharType="begin"/>
            </w:r>
            <w:r>
              <w:rPr>
                <w:rFonts w:hint="eastAsia" w:ascii="仿宋" w:hAnsi="仿宋" w:eastAsia="仿宋" w:cs="仿宋"/>
                <w:b w:val="0"/>
                <w:bCs w:val="0"/>
                <w:color w:val="auto"/>
                <w:sz w:val="24"/>
                <w:highlight w:val="none"/>
                <w:lang w:val="en-US" w:eastAsia="zh-CN"/>
              </w:rPr>
              <w:instrText xml:space="preserve"> HYPERLINK \l "_Toc335297862#_Toc335297862" </w:instrText>
            </w:r>
            <w:r>
              <w:rPr>
                <w:rFonts w:hint="eastAsia" w:ascii="仿宋" w:hAnsi="仿宋" w:eastAsia="仿宋" w:cs="仿宋"/>
                <w:b w:val="0"/>
                <w:bCs w:val="0"/>
                <w:color w:val="auto"/>
                <w:sz w:val="24"/>
                <w:highlight w:val="none"/>
                <w:lang w:val="en-US" w:eastAsia="zh-CN"/>
              </w:rPr>
              <w:fldChar w:fldCharType="separate"/>
            </w:r>
            <w:r>
              <w:rPr>
                <w:rFonts w:hint="eastAsia" w:ascii="仿宋" w:hAnsi="仿宋" w:eastAsia="仿宋" w:cs="仿宋"/>
                <w:b w:val="0"/>
                <w:bCs w:val="0"/>
                <w:color w:val="auto"/>
                <w:sz w:val="24"/>
                <w:highlight w:val="none"/>
                <w:lang w:val="en-US" w:eastAsia="zh-CN"/>
              </w:rPr>
              <w:t>货物清单及规格、技术参数偏离表</w:t>
            </w:r>
            <w:r>
              <w:rPr>
                <w:rFonts w:hint="eastAsia" w:ascii="仿宋" w:hAnsi="仿宋" w:eastAsia="仿宋" w:cs="仿宋"/>
                <w:b w:val="0"/>
                <w:bCs w:val="0"/>
                <w:color w:val="auto"/>
                <w:sz w:val="24"/>
                <w:highlight w:val="none"/>
                <w:lang w:val="en-US" w:eastAsia="zh-CN"/>
              </w:rPr>
              <w:fldChar w:fldCharType="end"/>
            </w:r>
            <w:r>
              <w:rPr>
                <w:rFonts w:hint="eastAsia" w:ascii="仿宋" w:hAnsi="仿宋" w:eastAsia="仿宋" w:cs="仿宋"/>
                <w:b w:val="0"/>
                <w:bCs w:val="0"/>
                <w:color w:val="auto"/>
                <w:sz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rPr>
              <w:t>（</w:t>
            </w:r>
            <w:r>
              <w:rPr>
                <w:rFonts w:hint="eastAsia" w:ascii="仿宋" w:hAnsi="仿宋" w:eastAsia="仿宋" w:cs="仿宋"/>
                <w:b w:val="0"/>
                <w:bCs w:val="0"/>
                <w:color w:val="auto"/>
                <w:sz w:val="24"/>
                <w:highlight w:val="none"/>
                <w:lang w:val="en-US" w:eastAsia="zh-CN"/>
              </w:rPr>
              <w:t>5</w:t>
            </w:r>
            <w:r>
              <w:rPr>
                <w:rFonts w:hint="eastAsia" w:ascii="仿宋" w:hAnsi="仿宋" w:eastAsia="仿宋" w:cs="仿宋"/>
                <w:b w:val="0"/>
                <w:bCs w:val="0"/>
                <w:color w:val="auto"/>
                <w:sz w:val="24"/>
                <w:highlight w:val="none"/>
              </w:rPr>
              <w:t>）</w:t>
            </w:r>
            <w:r>
              <w:rPr>
                <w:rFonts w:hint="eastAsia" w:ascii="仿宋" w:hAnsi="仿宋" w:eastAsia="仿宋" w:cs="仿宋"/>
                <w:b w:val="0"/>
                <w:bCs w:val="0"/>
                <w:color w:val="auto"/>
                <w:sz w:val="24"/>
                <w:highlight w:val="none"/>
                <w:lang w:val="zh-CN" w:eastAsia="zh-CN"/>
              </w:rPr>
              <w:t>投标人</w:t>
            </w:r>
            <w:r>
              <w:rPr>
                <w:rFonts w:hint="eastAsia" w:ascii="仿宋" w:hAnsi="仿宋" w:eastAsia="仿宋" w:cs="仿宋"/>
                <w:b w:val="0"/>
                <w:bCs w:val="0"/>
                <w:color w:val="auto"/>
                <w:sz w:val="24"/>
                <w:highlight w:val="none"/>
                <w:lang w:val="en-US" w:eastAsia="zh-CN"/>
              </w:rPr>
              <w:t>根据评标办法所需提供的证明材料</w:t>
            </w:r>
            <w:r>
              <w:rPr>
                <w:rFonts w:hint="eastAsia" w:ascii="仿宋" w:hAnsi="仿宋" w:eastAsia="仿宋" w:cs="仿宋"/>
                <w:b w:val="0"/>
                <w:bCs w:val="0"/>
                <w:color w:val="auto"/>
                <w:sz w:val="24"/>
                <w:highlight w:val="none"/>
                <w:lang w:val="zh-CN" w:eastAsia="zh-CN"/>
              </w:rPr>
              <w:t>（格式自拟)</w:t>
            </w:r>
            <w:r>
              <w:rPr>
                <w:rFonts w:hint="eastAsia" w:ascii="仿宋" w:hAnsi="仿宋" w:eastAsia="仿宋" w:cs="仿宋"/>
                <w:b w:val="0"/>
                <w:bCs w:val="0"/>
                <w:color w:val="auto"/>
                <w:sz w:val="24"/>
                <w:highlight w:val="none"/>
                <w:lang w:val="en-US" w:eastAsia="zh-CN"/>
              </w:rPr>
              <w:t>；</w:t>
            </w:r>
          </w:p>
          <w:p>
            <w:pPr>
              <w:spacing w:line="360" w:lineRule="exact"/>
              <w:jc w:val="left"/>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w:t>
            </w:r>
            <w:r>
              <w:rPr>
                <w:rFonts w:hint="eastAsia" w:ascii="仿宋" w:hAnsi="仿宋" w:eastAsia="仿宋" w:cs="仿宋"/>
                <w:b w:val="0"/>
                <w:bCs w:val="0"/>
                <w:color w:val="auto"/>
                <w:sz w:val="24"/>
                <w:highlight w:val="none"/>
                <w:lang w:val="en-US" w:eastAsia="zh-CN"/>
              </w:rPr>
              <w:t>6</w:t>
            </w:r>
            <w:r>
              <w:rPr>
                <w:rFonts w:hint="eastAsia" w:ascii="仿宋" w:hAnsi="仿宋" w:eastAsia="仿宋" w:cs="仿宋"/>
                <w:b w:val="0"/>
                <w:bCs w:val="0"/>
                <w:color w:val="auto"/>
                <w:sz w:val="24"/>
                <w:highlight w:val="none"/>
              </w:rPr>
              <w:t>）投标人</w:t>
            </w:r>
            <w:r>
              <w:rPr>
                <w:rFonts w:hint="eastAsia" w:ascii="仿宋" w:hAnsi="仿宋" w:eastAsia="仿宋" w:cs="仿宋"/>
                <w:b w:val="0"/>
                <w:bCs w:val="0"/>
                <w:color w:val="auto"/>
                <w:sz w:val="24"/>
                <w:highlight w:val="none"/>
                <w:lang w:eastAsia="zh-CN"/>
              </w:rPr>
              <w:t>认为需提交</w:t>
            </w:r>
            <w:r>
              <w:rPr>
                <w:rFonts w:hint="eastAsia" w:ascii="仿宋" w:hAnsi="仿宋" w:eastAsia="仿宋" w:cs="仿宋"/>
                <w:b w:val="0"/>
                <w:bCs w:val="0"/>
                <w:color w:val="auto"/>
                <w:sz w:val="24"/>
                <w:highlight w:val="none"/>
              </w:rPr>
              <w:t>的其他文件和说明。</w:t>
            </w:r>
          </w:p>
          <w:p>
            <w:pPr>
              <w:keepNext w:val="0"/>
              <w:keepLines w:val="0"/>
              <w:pageBreakBefore w:val="0"/>
              <w:widowControl w:val="0"/>
              <w:kinsoku/>
              <w:wordWrap/>
              <w:overflowPunct/>
              <w:topLinePunct w:val="0"/>
              <w:autoSpaceDE/>
              <w:autoSpaceDN/>
              <w:bidi w:val="0"/>
              <w:adjustRightInd/>
              <w:snapToGrid/>
              <w:spacing w:line="240" w:lineRule="auto"/>
              <w:ind w:firstLine="442" w:firstLineChars="200"/>
              <w:jc w:val="left"/>
              <w:textAlignment w:val="auto"/>
              <w:rPr>
                <w:rFonts w:hint="eastAsia" w:ascii="仿宋" w:hAnsi="仿宋" w:eastAsia="仿宋" w:cs="仿宋"/>
                <w:b w:val="0"/>
                <w:bCs w:val="0"/>
                <w:color w:val="auto"/>
                <w:sz w:val="24"/>
                <w:highlight w:val="none"/>
              </w:rPr>
            </w:pPr>
            <w:r>
              <w:rPr>
                <w:rFonts w:hint="eastAsia" w:ascii="仿宋" w:hAnsi="仿宋" w:eastAsia="仿宋" w:cs="仿宋"/>
                <w:b/>
                <w:bCs/>
                <w:color w:val="auto"/>
                <w:sz w:val="22"/>
                <w:szCs w:val="22"/>
                <w:highlight w:val="none"/>
              </w:rPr>
              <w:t>注：投标单位请结合评分要点编制投标文件。</w:t>
            </w:r>
          </w:p>
          <w:p>
            <w:pPr>
              <w:spacing w:line="360" w:lineRule="exact"/>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三</w:t>
            </w:r>
            <w:r>
              <w:rPr>
                <w:rFonts w:hint="eastAsia" w:ascii="仿宋" w:hAnsi="仿宋" w:eastAsia="仿宋" w:cs="仿宋"/>
                <w:b/>
                <w:bCs/>
                <w:color w:val="auto"/>
                <w:sz w:val="24"/>
                <w:highlight w:val="none"/>
              </w:rPr>
              <w:t>、报价文件：</w:t>
            </w:r>
          </w:p>
          <w:p>
            <w:pPr>
              <w:spacing w:line="360" w:lineRule="exact"/>
              <w:jc w:val="left"/>
              <w:rPr>
                <w:rFonts w:hint="eastAsia" w:ascii="仿宋" w:hAnsi="仿宋" w:eastAsia="仿宋" w:cs="仿宋"/>
                <w:b w:val="0"/>
                <w:bCs w:val="0"/>
                <w:color w:val="auto"/>
                <w:sz w:val="24"/>
                <w:highlight w:val="none"/>
                <w:lang w:eastAsia="zh-CN"/>
              </w:rPr>
            </w:pPr>
            <w:r>
              <w:rPr>
                <w:rFonts w:hint="eastAsia" w:ascii="仿宋" w:hAnsi="仿宋" w:eastAsia="仿宋" w:cs="仿宋"/>
                <w:b w:val="0"/>
                <w:bCs w:val="0"/>
                <w:color w:val="auto"/>
                <w:sz w:val="24"/>
                <w:highlight w:val="none"/>
              </w:rPr>
              <w:t>（1）</w:t>
            </w:r>
            <w:r>
              <w:rPr>
                <w:rFonts w:hint="eastAsia" w:ascii="仿宋" w:hAnsi="仿宋" w:eastAsia="仿宋" w:cs="仿宋"/>
                <w:b w:val="0"/>
                <w:bCs w:val="0"/>
                <w:color w:val="auto"/>
                <w:sz w:val="24"/>
                <w:highlight w:val="none"/>
                <w:lang w:eastAsia="zh-CN"/>
              </w:rPr>
              <w:t>投标函；</w:t>
            </w:r>
          </w:p>
          <w:p>
            <w:pPr>
              <w:spacing w:line="360" w:lineRule="exact"/>
              <w:jc w:val="left"/>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（2）</w:t>
            </w:r>
            <w:r>
              <w:rPr>
                <w:rFonts w:hint="eastAsia" w:ascii="仿宋" w:hAnsi="仿宋" w:eastAsia="仿宋" w:cs="仿宋"/>
                <w:b w:val="0"/>
                <w:bCs w:val="0"/>
                <w:color w:val="auto"/>
                <w:sz w:val="24"/>
                <w:highlight w:val="none"/>
                <w:lang w:eastAsia="zh-CN"/>
              </w:rPr>
              <w:t>报价</w:t>
            </w:r>
            <w:r>
              <w:rPr>
                <w:rFonts w:hint="eastAsia" w:ascii="仿宋" w:hAnsi="仿宋" w:eastAsia="仿宋" w:cs="仿宋"/>
                <w:b w:val="0"/>
                <w:bCs w:val="0"/>
                <w:color w:val="auto"/>
                <w:sz w:val="24"/>
                <w:highlight w:val="none"/>
              </w:rPr>
              <w:t>一览表；</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b w:val="0"/>
                <w:bCs w:val="0"/>
                <w:color w:val="auto"/>
                <w:sz w:val="24"/>
                <w:highlight w:val="none"/>
                <w:lang w:eastAsia="zh-CN"/>
              </w:rPr>
            </w:pPr>
            <w:r>
              <w:rPr>
                <w:rFonts w:hint="eastAsia" w:ascii="仿宋" w:hAnsi="仿宋" w:eastAsia="仿宋" w:cs="仿宋"/>
                <w:b w:val="0"/>
                <w:bCs w:val="0"/>
                <w:color w:val="auto"/>
                <w:sz w:val="24"/>
                <w:highlight w:val="none"/>
                <w:lang w:eastAsia="zh-CN"/>
              </w:rPr>
              <w:t>（</w:t>
            </w:r>
            <w:r>
              <w:rPr>
                <w:rFonts w:hint="eastAsia" w:ascii="仿宋" w:hAnsi="仿宋" w:eastAsia="仿宋" w:cs="仿宋"/>
                <w:b w:val="0"/>
                <w:bCs w:val="0"/>
                <w:color w:val="auto"/>
                <w:sz w:val="24"/>
                <w:highlight w:val="none"/>
                <w:lang w:val="en-US" w:eastAsia="zh-CN"/>
              </w:rPr>
              <w:t>3</w:t>
            </w:r>
            <w:r>
              <w:rPr>
                <w:rFonts w:hint="eastAsia" w:ascii="仿宋" w:hAnsi="仿宋" w:eastAsia="仿宋" w:cs="仿宋"/>
                <w:b w:val="0"/>
                <w:bCs w:val="0"/>
                <w:color w:val="auto"/>
                <w:sz w:val="24"/>
                <w:highlight w:val="none"/>
                <w:lang w:eastAsia="zh-CN"/>
              </w:rPr>
              <w:t>）</w:t>
            </w:r>
            <w:r>
              <w:rPr>
                <w:rFonts w:hint="eastAsia" w:ascii="仿宋" w:hAnsi="仿宋" w:eastAsia="仿宋" w:cs="仿宋"/>
                <w:b w:val="0"/>
                <w:bCs w:val="0"/>
                <w:color w:val="auto"/>
                <w:sz w:val="24"/>
                <w:highlight w:val="none"/>
              </w:rPr>
              <w:t>投标人针对报价需要说明的其他文件和说明</w:t>
            </w:r>
            <w:r>
              <w:rPr>
                <w:rFonts w:hint="eastAsia" w:ascii="仿宋" w:hAnsi="仿宋" w:eastAsia="仿宋" w:cs="仿宋"/>
                <w:b w:val="0"/>
                <w:bCs w:val="0"/>
                <w:color w:val="auto"/>
                <w:sz w:val="24"/>
                <w:highlight w:val="none"/>
                <w:lang w:eastAsia="zh-CN"/>
              </w:rPr>
              <w:t>。</w:t>
            </w:r>
          </w:p>
        </w:tc>
      </w:tr>
      <w:tr>
        <w:tblPrEx>
          <w:tblCellMar>
            <w:top w:w="0" w:type="dxa"/>
            <w:left w:w="108" w:type="dxa"/>
            <w:bottom w:w="0" w:type="dxa"/>
            <w:right w:w="108" w:type="dxa"/>
          </w:tblCellMar>
        </w:tblPrEx>
        <w:trPr>
          <w:trHeight w:val="4375" w:hRule="atLeast"/>
        </w:trPr>
        <w:tc>
          <w:tcPr>
            <w:tcW w:w="946"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rPr>
              <w:t>19</w:t>
            </w:r>
          </w:p>
        </w:tc>
        <w:tc>
          <w:tcPr>
            <w:tcW w:w="1991"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投标文件份数及其他要求</w:t>
            </w:r>
          </w:p>
        </w:tc>
        <w:tc>
          <w:tcPr>
            <w:tcW w:w="66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2" w:firstLineChars="200"/>
              <w:textAlignment w:val="auto"/>
              <w:rPr>
                <w:rFonts w:hint="eastAsia" w:ascii="仿宋" w:hAnsi="仿宋" w:eastAsia="仿宋" w:cs="仿宋"/>
                <w:color w:val="auto"/>
                <w:sz w:val="24"/>
                <w:szCs w:val="24"/>
              </w:rPr>
            </w:pPr>
            <w:r>
              <w:rPr>
                <w:rFonts w:hint="eastAsia" w:ascii="仿宋" w:hAnsi="仿宋" w:eastAsia="仿宋" w:cs="仿宋"/>
                <w:b/>
                <w:color w:val="auto"/>
                <w:sz w:val="24"/>
                <w:szCs w:val="24"/>
                <w:lang w:val="en-US" w:eastAsia="zh-CN"/>
              </w:rPr>
              <w:t>1.</w:t>
            </w:r>
            <w:r>
              <w:rPr>
                <w:rFonts w:hint="eastAsia" w:ascii="仿宋" w:hAnsi="仿宋" w:eastAsia="仿宋" w:cs="仿宋"/>
                <w:b/>
                <w:color w:val="auto"/>
                <w:sz w:val="24"/>
                <w:szCs w:val="24"/>
              </w:rPr>
              <w:t>电子版投标文件1份，本项目实行投标文件CA电子签章，投标人在编制生成“电子投标文件”时需进行CA电子签章加密。</w:t>
            </w:r>
          </w:p>
          <w:p>
            <w:pPr>
              <w:pStyle w:val="11"/>
              <w:keepNext w:val="0"/>
              <w:keepLines w:val="0"/>
              <w:pageBreakBefore w:val="0"/>
              <w:widowControl w:val="0"/>
              <w:numPr>
                <w:ilvl w:val="0"/>
                <w:numId w:val="0"/>
              </w:numPr>
              <w:kinsoku/>
              <w:wordWrap/>
              <w:overflowPunct/>
              <w:topLinePunct w:val="0"/>
              <w:autoSpaceDE/>
              <w:autoSpaceDN/>
              <w:bidi w:val="0"/>
              <w:adjustRightInd/>
              <w:snapToGrid/>
              <w:spacing w:after="0" w:line="40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投标人应按本招标采购文件规定的格式和顺序编制投标文件并按照“</w:t>
            </w:r>
            <w:r>
              <w:rPr>
                <w:rFonts w:hint="eastAsia" w:ascii="仿宋" w:hAnsi="仿宋" w:eastAsia="仿宋" w:cs="仿宋"/>
                <w:color w:val="0000FF"/>
                <w:sz w:val="24"/>
                <w:szCs w:val="24"/>
                <w:lang w:eastAsia="zh-CN"/>
              </w:rPr>
              <w:t>乐</w:t>
            </w:r>
            <w:r>
              <w:rPr>
                <w:rFonts w:hint="eastAsia" w:ascii="仿宋" w:hAnsi="仿宋" w:eastAsia="仿宋" w:cs="仿宋"/>
                <w:color w:val="0000FF"/>
                <w:sz w:val="24"/>
                <w:szCs w:val="24"/>
              </w:rPr>
              <w:t>采云</w:t>
            </w:r>
            <w:r>
              <w:rPr>
                <w:rFonts w:hint="eastAsia" w:ascii="仿宋" w:hAnsi="仿宋" w:eastAsia="仿宋" w:cs="仿宋"/>
                <w:color w:val="auto"/>
                <w:sz w:val="24"/>
                <w:szCs w:val="24"/>
              </w:rPr>
              <w:t>电子投标客户端”的顺序关联，并标注目录和页码，投标文件内容不完整、关联、编排混乱导致投标文件被误读、漏读或者查找不到相关内容的，是投标人的责任。</w:t>
            </w:r>
          </w:p>
          <w:p>
            <w:pPr>
              <w:pStyle w:val="17"/>
              <w:spacing w:before="0" w:beforeLines="0" w:after="0" w:afterLines="0" w:line="3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是否要求提交纸质版投标文件：</w:t>
            </w:r>
            <w:r>
              <w:rPr>
                <w:rFonts w:hint="eastAsia" w:ascii="仿宋" w:hAnsi="仿宋" w:eastAsia="仿宋" w:cs="仿宋"/>
                <w:color w:val="auto"/>
                <w:sz w:val="24"/>
                <w:szCs w:val="24"/>
                <w:u w:val="single"/>
              </w:rPr>
              <w:t>否；但中标后，中标人需在领取中标通知书前向采购代理机构提交与投标时一致的电子投标文件（资格文件、商务技术文件、报价文件）打印纸质版3份（须按照招标采购文件要求签字盖章）。</w:t>
            </w:r>
          </w:p>
        </w:tc>
      </w:tr>
      <w:tr>
        <w:tblPrEx>
          <w:tblCellMar>
            <w:top w:w="0" w:type="dxa"/>
            <w:left w:w="108" w:type="dxa"/>
            <w:bottom w:w="0" w:type="dxa"/>
            <w:right w:w="108" w:type="dxa"/>
          </w:tblCellMar>
        </w:tblPrEx>
        <w:trPr>
          <w:trHeight w:val="90" w:hRule="atLeast"/>
        </w:trPr>
        <w:tc>
          <w:tcPr>
            <w:tcW w:w="946"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rPr>
              <w:t>20</w:t>
            </w:r>
          </w:p>
        </w:tc>
        <w:tc>
          <w:tcPr>
            <w:tcW w:w="1991"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投标文件的签署</w:t>
            </w:r>
          </w:p>
        </w:tc>
        <w:tc>
          <w:tcPr>
            <w:tcW w:w="6681" w:type="dxa"/>
            <w:tcBorders>
              <w:top w:val="single" w:color="auto" w:sz="4" w:space="0"/>
              <w:left w:val="single" w:color="auto" w:sz="4" w:space="0"/>
              <w:bottom w:val="single" w:color="auto" w:sz="4" w:space="0"/>
              <w:right w:val="single" w:color="auto" w:sz="4" w:space="0"/>
            </w:tcBorders>
            <w:noWrap w:val="0"/>
            <w:vAlign w:val="center"/>
          </w:tcPr>
          <w:p>
            <w:pPr>
              <w:pStyle w:val="17"/>
              <w:spacing w:before="0" w:beforeLines="0" w:after="0" w:afterLines="0" w:line="340" w:lineRule="exact"/>
              <w:ind w:firstLine="480" w:firstLineChars="20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eastAsia="zh-CN"/>
              </w:rPr>
              <w:t>资格文件</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商务技术</w:t>
            </w:r>
            <w:r>
              <w:rPr>
                <w:rFonts w:hint="eastAsia" w:ascii="仿宋" w:hAnsi="仿宋" w:eastAsia="仿宋" w:cs="仿宋"/>
                <w:color w:val="auto"/>
                <w:sz w:val="24"/>
                <w:szCs w:val="24"/>
                <w:highlight w:val="none"/>
              </w:rPr>
              <w:t>文件、报价文件</w:t>
            </w:r>
            <w:r>
              <w:rPr>
                <w:rFonts w:hint="eastAsia" w:ascii="仿宋" w:hAnsi="仿宋" w:eastAsia="仿宋" w:cs="仿宋"/>
                <w:color w:val="auto"/>
                <w:sz w:val="24"/>
                <w:szCs w:val="24"/>
                <w:highlight w:val="none"/>
                <w:lang w:eastAsia="zh-CN"/>
              </w:rPr>
              <w:t>的内容是属于投标人自己制作，在“投标文件格式”规定处由投标人的法定代表人或其委托代理人签字或盖章并加盖公章</w:t>
            </w:r>
            <w:r>
              <w:rPr>
                <w:rFonts w:hint="eastAsia" w:ascii="仿宋" w:hAnsi="仿宋" w:eastAsia="仿宋" w:cs="仿宋"/>
                <w:color w:val="auto"/>
                <w:sz w:val="24"/>
                <w:szCs w:val="24"/>
                <w:highlight w:val="none"/>
                <w:lang w:val="en-US" w:eastAsia="zh-CN"/>
              </w:rPr>
              <w:t>再扫描成PDF文件格式</w:t>
            </w:r>
            <w:r>
              <w:rPr>
                <w:rFonts w:hint="eastAsia" w:ascii="仿宋" w:hAnsi="仿宋" w:eastAsia="仿宋" w:cs="仿宋"/>
                <w:color w:val="auto"/>
                <w:sz w:val="24"/>
                <w:szCs w:val="24"/>
                <w:highlight w:val="none"/>
                <w:lang w:eastAsia="zh-CN"/>
              </w:rPr>
              <w:t>。单位公章不得以投标专用章、分公司章、办事处等其他形式印章代替，否则作废标处理。</w:t>
            </w:r>
          </w:p>
          <w:p>
            <w:pPr>
              <w:pStyle w:val="17"/>
              <w:spacing w:before="0" w:beforeLines="0" w:after="0" w:afterLines="0" w:line="340" w:lineRule="exact"/>
              <w:ind w:firstLine="480" w:firstLineChars="20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eastAsia="zh-CN"/>
              </w:rPr>
              <w:t>投标文件应尽量避免涂改、行间插字或删除。如果出现上述情况，改动之处应由投标人的法定代表人或其授权的代理人签字或盖单位章</w:t>
            </w:r>
            <w:r>
              <w:rPr>
                <w:rFonts w:hint="eastAsia" w:ascii="仿宋" w:hAnsi="仿宋" w:eastAsia="仿宋" w:cs="仿宋"/>
                <w:color w:val="auto"/>
                <w:sz w:val="24"/>
                <w:szCs w:val="24"/>
                <w:highlight w:val="none"/>
                <w:lang w:val="en-US" w:eastAsia="zh-CN"/>
              </w:rPr>
              <w:t>再扫描成PDF文件格式</w:t>
            </w:r>
            <w:r>
              <w:rPr>
                <w:rFonts w:hint="eastAsia" w:ascii="仿宋" w:hAnsi="仿宋" w:eastAsia="仿宋" w:cs="仿宋"/>
                <w:color w:val="auto"/>
                <w:sz w:val="24"/>
                <w:szCs w:val="24"/>
                <w:highlight w:val="none"/>
                <w:lang w:eastAsia="zh-CN"/>
              </w:rPr>
              <w:t>。</w:t>
            </w:r>
          </w:p>
        </w:tc>
      </w:tr>
      <w:tr>
        <w:tblPrEx>
          <w:tblCellMar>
            <w:top w:w="0" w:type="dxa"/>
            <w:left w:w="108" w:type="dxa"/>
            <w:bottom w:w="0" w:type="dxa"/>
            <w:right w:w="108" w:type="dxa"/>
          </w:tblCellMar>
        </w:tblPrEx>
        <w:trPr>
          <w:trHeight w:val="90" w:hRule="atLeast"/>
        </w:trPr>
        <w:tc>
          <w:tcPr>
            <w:tcW w:w="946"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rPr>
              <w:t>21</w:t>
            </w:r>
          </w:p>
        </w:tc>
        <w:tc>
          <w:tcPr>
            <w:tcW w:w="1991"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投标文件是否</w:t>
            </w:r>
          </w:p>
          <w:p>
            <w:pPr>
              <w:spacing w:line="3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需分册装订</w:t>
            </w:r>
          </w:p>
        </w:tc>
        <w:tc>
          <w:tcPr>
            <w:tcW w:w="6681" w:type="dxa"/>
            <w:tcBorders>
              <w:top w:val="single" w:color="auto" w:sz="4" w:space="0"/>
              <w:left w:val="single" w:color="auto" w:sz="4" w:space="0"/>
              <w:bottom w:val="single" w:color="auto" w:sz="4" w:space="0"/>
              <w:right w:val="single" w:color="auto" w:sz="4" w:space="0"/>
            </w:tcBorders>
            <w:noWrap w:val="0"/>
            <w:vAlign w:val="center"/>
          </w:tcPr>
          <w:p>
            <w:pPr>
              <w:pStyle w:val="17"/>
              <w:keepNext w:val="0"/>
              <w:keepLines w:val="0"/>
              <w:pageBreakBefore w:val="0"/>
              <w:widowControl w:val="0"/>
              <w:kinsoku/>
              <w:wordWrap/>
              <w:overflowPunct/>
              <w:topLinePunct w:val="0"/>
              <w:autoSpaceDE/>
              <w:autoSpaceDN/>
              <w:bidi w:val="0"/>
              <w:adjustRightInd/>
              <w:snapToGrid/>
              <w:spacing w:before="0" w:beforeLines="0" w:after="0" w:afterLines="0" w:line="340" w:lineRule="exact"/>
              <w:ind w:firstLine="0" w:firstLineChars="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本项目不适用</w:t>
            </w:r>
          </w:p>
        </w:tc>
      </w:tr>
      <w:tr>
        <w:tblPrEx>
          <w:tblCellMar>
            <w:top w:w="0" w:type="dxa"/>
            <w:left w:w="108" w:type="dxa"/>
            <w:bottom w:w="0" w:type="dxa"/>
            <w:right w:w="108" w:type="dxa"/>
          </w:tblCellMar>
        </w:tblPrEx>
        <w:trPr>
          <w:trHeight w:val="810" w:hRule="atLeast"/>
        </w:trPr>
        <w:tc>
          <w:tcPr>
            <w:tcW w:w="946"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rPr>
              <w:t>22</w:t>
            </w:r>
          </w:p>
        </w:tc>
        <w:tc>
          <w:tcPr>
            <w:tcW w:w="1991"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仿宋" w:hAnsi="仿宋" w:eastAsia="仿宋" w:cs="仿宋"/>
                <w:color w:val="auto"/>
                <w:sz w:val="24"/>
                <w:highlight w:val="none"/>
              </w:rPr>
            </w:pPr>
            <w:r>
              <w:rPr>
                <w:rFonts w:hint="eastAsia" w:ascii="仿宋" w:hAnsi="仿宋" w:eastAsia="仿宋" w:cs="仿宋"/>
                <w:color w:val="auto"/>
                <w:kern w:val="2"/>
                <w:sz w:val="24"/>
                <w:szCs w:val="24"/>
              </w:rPr>
              <w:t>上传电子投标文件时间</w:t>
            </w:r>
          </w:p>
        </w:tc>
        <w:tc>
          <w:tcPr>
            <w:tcW w:w="6681" w:type="dxa"/>
            <w:tcBorders>
              <w:top w:val="single" w:color="auto" w:sz="4" w:space="0"/>
              <w:left w:val="single" w:color="auto" w:sz="4" w:space="0"/>
              <w:bottom w:val="single" w:color="auto" w:sz="4" w:space="0"/>
              <w:right w:val="single" w:color="auto" w:sz="4" w:space="0"/>
            </w:tcBorders>
            <w:noWrap w:val="0"/>
            <w:vAlign w:val="center"/>
          </w:tcPr>
          <w:p>
            <w:pPr>
              <w:pStyle w:val="17"/>
              <w:keepNext w:val="0"/>
              <w:keepLines w:val="0"/>
              <w:pageBreakBefore w:val="0"/>
              <w:widowControl w:val="0"/>
              <w:kinsoku/>
              <w:wordWrap/>
              <w:overflowPunct/>
              <w:topLinePunct w:val="0"/>
              <w:autoSpaceDE/>
              <w:autoSpaceDN/>
              <w:bidi w:val="0"/>
              <w:adjustRightInd/>
              <w:snapToGrid/>
              <w:spacing w:before="0" w:beforeLines="0" w:after="0" w:afterLines="0" w:line="340" w:lineRule="exact"/>
              <w:ind w:firstLine="0" w:firstLineChars="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bCs/>
                <w:color w:val="auto"/>
                <w:sz w:val="24"/>
                <w:szCs w:val="24"/>
              </w:rPr>
              <w:t>供应商应于</w:t>
            </w:r>
            <w:r>
              <w:rPr>
                <w:rFonts w:hint="eastAsia" w:ascii="仿宋" w:hAnsi="仿宋" w:eastAsia="仿宋" w:cs="仿宋"/>
                <w:bCs/>
                <w:color w:val="auto"/>
                <w:sz w:val="24"/>
                <w:szCs w:val="24"/>
                <w:lang w:val="en-US" w:eastAsia="zh-CN"/>
              </w:rPr>
              <w:t xml:space="preserve"> 2024年8月16日09:00时</w:t>
            </w:r>
            <w:r>
              <w:rPr>
                <w:rFonts w:hint="eastAsia" w:ascii="仿宋" w:hAnsi="仿宋" w:eastAsia="仿宋" w:cs="仿宋"/>
                <w:bCs/>
                <w:color w:val="auto"/>
                <w:sz w:val="24"/>
                <w:szCs w:val="24"/>
              </w:rPr>
              <w:t>前在“</w:t>
            </w:r>
            <w:r>
              <w:rPr>
                <w:rFonts w:hint="eastAsia" w:ascii="仿宋" w:hAnsi="仿宋" w:eastAsia="仿宋" w:cs="仿宋"/>
                <w:bCs/>
                <w:color w:val="0000FF"/>
                <w:sz w:val="24"/>
                <w:szCs w:val="24"/>
                <w:lang w:eastAsia="zh-CN"/>
              </w:rPr>
              <w:t>乐</w:t>
            </w:r>
            <w:r>
              <w:rPr>
                <w:rFonts w:hint="eastAsia" w:ascii="仿宋" w:hAnsi="仿宋" w:eastAsia="仿宋" w:cs="仿宋"/>
                <w:bCs/>
                <w:color w:val="0000FF"/>
                <w:sz w:val="24"/>
                <w:szCs w:val="24"/>
              </w:rPr>
              <w:t>采云</w:t>
            </w:r>
            <w:r>
              <w:rPr>
                <w:rFonts w:hint="eastAsia" w:ascii="仿宋" w:hAnsi="仿宋" w:eastAsia="仿宋" w:cs="仿宋"/>
                <w:bCs/>
                <w:color w:val="auto"/>
                <w:sz w:val="24"/>
                <w:szCs w:val="24"/>
              </w:rPr>
              <w:t>”上自行加密上传电子投标文件，逾期上传或未按要求上传的投标文件将予以拒收。</w:t>
            </w:r>
          </w:p>
        </w:tc>
      </w:tr>
      <w:tr>
        <w:tblPrEx>
          <w:tblCellMar>
            <w:top w:w="0" w:type="dxa"/>
            <w:left w:w="108" w:type="dxa"/>
            <w:bottom w:w="0" w:type="dxa"/>
            <w:right w:w="108" w:type="dxa"/>
          </w:tblCellMar>
        </w:tblPrEx>
        <w:trPr>
          <w:trHeight w:val="625" w:hRule="atLeast"/>
        </w:trPr>
        <w:tc>
          <w:tcPr>
            <w:tcW w:w="946"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rPr>
              <w:t>23</w:t>
            </w:r>
          </w:p>
        </w:tc>
        <w:tc>
          <w:tcPr>
            <w:tcW w:w="1991"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rPr>
              <w:t>投标截止时间</w:t>
            </w:r>
          </w:p>
        </w:tc>
        <w:tc>
          <w:tcPr>
            <w:tcW w:w="6681"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
                <w:color w:val="auto"/>
                <w:sz w:val="24"/>
                <w:highlight w:val="none"/>
                <w:u w:val="single"/>
                <w:lang w:eastAsia="zh-CN"/>
              </w:rPr>
              <w:t>202</w:t>
            </w:r>
            <w:r>
              <w:rPr>
                <w:rFonts w:hint="eastAsia" w:ascii="仿宋" w:hAnsi="仿宋" w:eastAsia="仿宋" w:cs="仿宋"/>
                <w:b/>
                <w:color w:val="auto"/>
                <w:sz w:val="24"/>
                <w:highlight w:val="none"/>
                <w:u w:val="single"/>
                <w:lang w:val="en-US" w:eastAsia="zh-CN"/>
              </w:rPr>
              <w:t>4</w:t>
            </w:r>
            <w:r>
              <w:rPr>
                <w:rFonts w:hint="eastAsia" w:ascii="仿宋" w:hAnsi="仿宋" w:eastAsia="仿宋" w:cs="仿宋"/>
                <w:b/>
                <w:color w:val="auto"/>
                <w:sz w:val="24"/>
                <w:highlight w:val="none"/>
                <w:u w:val="single"/>
                <w:lang w:eastAsia="zh-CN"/>
              </w:rPr>
              <w:t>年</w:t>
            </w:r>
            <w:r>
              <w:rPr>
                <w:rFonts w:hint="eastAsia" w:ascii="仿宋" w:hAnsi="仿宋" w:eastAsia="仿宋" w:cs="仿宋"/>
                <w:b/>
                <w:color w:val="auto"/>
                <w:sz w:val="24"/>
                <w:highlight w:val="none"/>
                <w:u w:val="single"/>
                <w:lang w:val="en-US" w:eastAsia="zh-CN"/>
              </w:rPr>
              <w:t>8</w:t>
            </w:r>
            <w:r>
              <w:rPr>
                <w:rFonts w:hint="eastAsia" w:ascii="仿宋" w:hAnsi="仿宋" w:eastAsia="仿宋" w:cs="仿宋"/>
                <w:b/>
                <w:color w:val="auto"/>
                <w:sz w:val="24"/>
                <w:highlight w:val="none"/>
                <w:u w:val="single"/>
                <w:lang w:eastAsia="zh-CN"/>
              </w:rPr>
              <w:t>月</w:t>
            </w:r>
            <w:r>
              <w:rPr>
                <w:rFonts w:hint="eastAsia" w:ascii="仿宋" w:hAnsi="仿宋" w:eastAsia="仿宋" w:cs="仿宋"/>
                <w:b/>
                <w:color w:val="auto"/>
                <w:sz w:val="24"/>
                <w:highlight w:val="none"/>
                <w:u w:val="single"/>
                <w:lang w:val="en-US" w:eastAsia="zh-CN"/>
              </w:rPr>
              <w:t>16</w:t>
            </w:r>
            <w:r>
              <w:rPr>
                <w:rFonts w:hint="eastAsia" w:ascii="仿宋" w:hAnsi="仿宋" w:eastAsia="仿宋" w:cs="仿宋"/>
                <w:b/>
                <w:color w:val="auto"/>
                <w:sz w:val="24"/>
                <w:highlight w:val="none"/>
                <w:u w:val="single"/>
                <w:lang w:eastAsia="zh-CN"/>
              </w:rPr>
              <w:t>日09:00时</w:t>
            </w:r>
            <w:r>
              <w:rPr>
                <w:rFonts w:hint="eastAsia" w:ascii="仿宋" w:hAnsi="仿宋" w:eastAsia="仿宋" w:cs="仿宋"/>
                <w:b/>
                <w:color w:val="auto"/>
                <w:sz w:val="24"/>
                <w:highlight w:val="none"/>
                <w:u w:val="single"/>
              </w:rPr>
              <w:t>止</w:t>
            </w:r>
            <w:r>
              <w:rPr>
                <w:rFonts w:hint="eastAsia" w:ascii="仿宋" w:hAnsi="仿宋" w:eastAsia="仿宋" w:cs="仿宋"/>
                <w:color w:val="auto"/>
                <w:sz w:val="24"/>
                <w:highlight w:val="none"/>
              </w:rPr>
              <w:t>。</w:t>
            </w:r>
          </w:p>
        </w:tc>
      </w:tr>
      <w:tr>
        <w:tblPrEx>
          <w:tblCellMar>
            <w:top w:w="0" w:type="dxa"/>
            <w:left w:w="108" w:type="dxa"/>
            <w:bottom w:w="0" w:type="dxa"/>
            <w:right w:w="108" w:type="dxa"/>
          </w:tblCellMar>
        </w:tblPrEx>
        <w:trPr>
          <w:trHeight w:val="659" w:hRule="atLeast"/>
        </w:trPr>
        <w:tc>
          <w:tcPr>
            <w:tcW w:w="946" w:type="dxa"/>
            <w:tcBorders>
              <w:top w:val="single" w:color="auto" w:sz="4" w:space="0"/>
              <w:left w:val="single" w:color="auto" w:sz="4" w:space="0"/>
              <w:right w:val="single" w:color="auto" w:sz="4" w:space="0"/>
            </w:tcBorders>
            <w:noWrap w:val="0"/>
            <w:vAlign w:val="center"/>
          </w:tcPr>
          <w:p>
            <w:pPr>
              <w:spacing w:line="340" w:lineRule="exact"/>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rPr>
              <w:t>24</w:t>
            </w:r>
          </w:p>
        </w:tc>
        <w:tc>
          <w:tcPr>
            <w:tcW w:w="1991"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rPr>
              <w:t>递交投标文件地点</w:t>
            </w:r>
          </w:p>
        </w:tc>
        <w:tc>
          <w:tcPr>
            <w:tcW w:w="6681"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 w:hAnsi="仿宋" w:eastAsia="仿宋" w:cs="仿宋"/>
                <w:b/>
                <w:color w:val="auto"/>
                <w:kern w:val="2"/>
                <w:sz w:val="24"/>
                <w:szCs w:val="24"/>
                <w:highlight w:val="none"/>
                <w:u w:val="single"/>
                <w:lang w:val="en-US" w:eastAsia="zh-CN" w:bidi="ar-SA"/>
              </w:rPr>
            </w:pPr>
            <w:r>
              <w:rPr>
                <w:rFonts w:hint="eastAsia" w:ascii="仿宋" w:hAnsi="仿宋" w:eastAsia="仿宋" w:cs="仿宋"/>
                <w:b/>
                <w:color w:val="0000FF"/>
                <w:kern w:val="0"/>
                <w:sz w:val="24"/>
                <w:highlight w:val="none"/>
                <w:lang w:eastAsia="zh-CN"/>
              </w:rPr>
              <w:t>乐采云平台</w:t>
            </w:r>
          </w:p>
        </w:tc>
      </w:tr>
      <w:tr>
        <w:tblPrEx>
          <w:tblCellMar>
            <w:top w:w="0" w:type="dxa"/>
            <w:left w:w="108" w:type="dxa"/>
            <w:bottom w:w="0" w:type="dxa"/>
            <w:right w:w="108" w:type="dxa"/>
          </w:tblCellMar>
        </w:tblPrEx>
        <w:trPr>
          <w:trHeight w:val="810" w:hRule="atLeast"/>
        </w:trPr>
        <w:tc>
          <w:tcPr>
            <w:tcW w:w="946"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rPr>
              <w:t>25</w:t>
            </w:r>
          </w:p>
        </w:tc>
        <w:tc>
          <w:tcPr>
            <w:tcW w:w="1991"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rPr>
              <w:t>投标文件是否退还</w:t>
            </w:r>
          </w:p>
        </w:tc>
        <w:tc>
          <w:tcPr>
            <w:tcW w:w="6681"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 w:hAnsi="仿宋" w:eastAsia="仿宋" w:cs="仿宋"/>
                <w:b/>
                <w:color w:val="auto"/>
                <w:kern w:val="0"/>
                <w:sz w:val="24"/>
                <w:szCs w:val="24"/>
                <w:highlight w:val="none"/>
                <w:lang w:val="en-US" w:eastAsia="zh-CN" w:bidi="ar-SA"/>
              </w:rPr>
            </w:pPr>
            <w:r>
              <w:rPr>
                <w:rFonts w:hint="eastAsia" w:ascii="仿宋" w:hAnsi="仿宋" w:eastAsia="仿宋" w:cs="仿宋"/>
                <w:color w:val="auto"/>
                <w:sz w:val="24"/>
                <w:highlight w:val="none"/>
              </w:rPr>
              <w:t>否。</w:t>
            </w:r>
          </w:p>
        </w:tc>
      </w:tr>
      <w:tr>
        <w:tblPrEx>
          <w:tblCellMar>
            <w:top w:w="0" w:type="dxa"/>
            <w:left w:w="108" w:type="dxa"/>
            <w:bottom w:w="0" w:type="dxa"/>
            <w:right w:w="108" w:type="dxa"/>
          </w:tblCellMar>
        </w:tblPrEx>
        <w:trPr>
          <w:trHeight w:val="706" w:hRule="atLeast"/>
        </w:trPr>
        <w:tc>
          <w:tcPr>
            <w:tcW w:w="946"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rPr>
              <w:t>26</w:t>
            </w:r>
          </w:p>
        </w:tc>
        <w:tc>
          <w:tcPr>
            <w:tcW w:w="1991"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rPr>
              <w:t>开标时间和地点</w:t>
            </w:r>
          </w:p>
        </w:tc>
        <w:tc>
          <w:tcPr>
            <w:tcW w:w="6681"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开标时间：同投标截止时间。</w:t>
            </w:r>
          </w:p>
          <w:p>
            <w:pPr>
              <w:spacing w:line="340" w:lineRule="exac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rPr>
              <w:t>开标地点：</w:t>
            </w:r>
            <w:r>
              <w:rPr>
                <w:rFonts w:hint="eastAsia" w:ascii="仿宋" w:hAnsi="仿宋" w:eastAsia="仿宋" w:cs="仿宋"/>
                <w:bCs/>
                <w:color w:val="auto"/>
                <w:sz w:val="24"/>
                <w:highlight w:val="none"/>
                <w:u w:val="single"/>
              </w:rPr>
              <w:t>金华市公共资源交易中心武义县分中心（武义县城武阳中路2号建行大楼 14楼开标室三）</w:t>
            </w:r>
          </w:p>
        </w:tc>
      </w:tr>
      <w:tr>
        <w:tblPrEx>
          <w:tblCellMar>
            <w:top w:w="0" w:type="dxa"/>
            <w:left w:w="108" w:type="dxa"/>
            <w:bottom w:w="0" w:type="dxa"/>
            <w:right w:w="108" w:type="dxa"/>
          </w:tblCellMar>
        </w:tblPrEx>
        <w:trPr>
          <w:trHeight w:val="810" w:hRule="atLeast"/>
        </w:trPr>
        <w:tc>
          <w:tcPr>
            <w:tcW w:w="946"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rPr>
              <w:t>27</w:t>
            </w:r>
          </w:p>
        </w:tc>
        <w:tc>
          <w:tcPr>
            <w:tcW w:w="1991"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rPr>
              <w:t>货物样品</w:t>
            </w:r>
          </w:p>
        </w:tc>
        <w:tc>
          <w:tcPr>
            <w:tcW w:w="6681"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rPr>
              <w:t>本项目不适用</w:t>
            </w:r>
          </w:p>
        </w:tc>
      </w:tr>
      <w:tr>
        <w:tblPrEx>
          <w:tblCellMar>
            <w:top w:w="0" w:type="dxa"/>
            <w:left w:w="108" w:type="dxa"/>
            <w:bottom w:w="0" w:type="dxa"/>
            <w:right w:w="108" w:type="dxa"/>
          </w:tblCellMar>
        </w:tblPrEx>
        <w:trPr>
          <w:trHeight w:val="802" w:hRule="atLeast"/>
        </w:trPr>
        <w:tc>
          <w:tcPr>
            <w:tcW w:w="946"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28</w:t>
            </w:r>
          </w:p>
        </w:tc>
        <w:tc>
          <w:tcPr>
            <w:tcW w:w="1991"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开标程序</w:t>
            </w:r>
          </w:p>
        </w:tc>
        <w:tc>
          <w:tcPr>
            <w:tcW w:w="66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1.开标会由采购代理机构主持，主持人宣布开标会议开始；</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2.主持人介绍参加开标会的人员名单； </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3.由工作人员宣布评标期间的有关事项；告知应当回避的情形,提请有关人员回避；</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4.投标人须在开标时间前准备好电脑（确保网络已连接）与本单位制作电子投标文件时的同一个CA数字证书，并登录“</w:t>
            </w:r>
            <w:r>
              <w:rPr>
                <w:rFonts w:hint="eastAsia" w:ascii="仿宋" w:hAnsi="仿宋" w:eastAsia="仿宋" w:cs="仿宋"/>
                <w:color w:val="0000FF"/>
                <w:sz w:val="24"/>
                <w:szCs w:val="24"/>
                <w:lang w:eastAsia="zh-CN"/>
              </w:rPr>
              <w:t>乐采云</w:t>
            </w:r>
            <w:r>
              <w:rPr>
                <w:rFonts w:hint="eastAsia" w:ascii="仿宋" w:hAnsi="仿宋" w:eastAsia="仿宋" w:cs="仿宋"/>
                <w:color w:val="0000FF"/>
                <w:sz w:val="24"/>
                <w:szCs w:val="24"/>
              </w:rPr>
              <w:t>平台”</w:t>
            </w:r>
            <w:r>
              <w:rPr>
                <w:rFonts w:hint="eastAsia" w:ascii="仿宋" w:hAnsi="仿宋" w:eastAsia="仿宋" w:cs="仿宋"/>
                <w:color w:val="auto"/>
                <w:sz w:val="24"/>
                <w:szCs w:val="24"/>
              </w:rPr>
              <w:t>点击项目采购-开标评标功能进行解密投标文件(或登入“</w:t>
            </w:r>
            <w:r>
              <w:rPr>
                <w:rFonts w:hint="eastAsia" w:ascii="仿宋" w:hAnsi="仿宋" w:eastAsia="仿宋" w:cs="仿宋"/>
                <w:color w:val="auto"/>
                <w:sz w:val="24"/>
                <w:szCs w:val="24"/>
                <w:lang w:eastAsia="zh-CN"/>
              </w:rPr>
              <w:t>乐</w:t>
            </w:r>
            <w:r>
              <w:rPr>
                <w:rFonts w:hint="eastAsia" w:ascii="仿宋" w:hAnsi="仿宋" w:eastAsia="仿宋" w:cs="仿宋"/>
                <w:color w:val="auto"/>
                <w:sz w:val="24"/>
                <w:szCs w:val="24"/>
              </w:rPr>
              <w:t>采云电子投标客户端”点击项目开标-项目采购-开标评标)功能进行解密投标文件（解密的CA数字证书和制作电子投标文件时加密的CA数字证书必须相同）。</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投标供应商须在开标时间始30分钟内对投标文件进行解密。若投标供应商在规定时间内无法解密或解密失败的,投标无效。</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投标供应商应全程参加电子开标会议，若开标会议结束前中途退出的，其行为不影响评审结果。</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5.</w:t>
            </w:r>
            <w:r>
              <w:rPr>
                <w:rFonts w:hint="eastAsia" w:ascii="仿宋" w:hAnsi="仿宋" w:eastAsia="仿宋" w:cs="仿宋"/>
                <w:color w:val="auto"/>
                <w:sz w:val="24"/>
                <w:szCs w:val="24"/>
                <w:lang w:val="en-US" w:eastAsia="zh-CN"/>
              </w:rPr>
              <w:t>评标委员会</w:t>
            </w:r>
            <w:r>
              <w:rPr>
                <w:rFonts w:hint="eastAsia" w:ascii="仿宋" w:hAnsi="仿宋" w:eastAsia="仿宋" w:cs="仿宋"/>
                <w:color w:val="auto"/>
                <w:sz w:val="24"/>
                <w:szCs w:val="24"/>
              </w:rPr>
              <w:t>对投标人的资格文件进行审查，如对投标文件有疑问，对投标人进行在线询标，投标人须在澄清截止时间前上传澄清函，若在澄清截止时间前未进行有效澄清的，逾期将不再接受澄清。资格审查不合格的投标人不再进入商务技术文件评审。</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6.评标委员会先对商务技术文件进行评审，如对投标文件有疑问，对投标人进行在线询标，投标人须在澄清截止时间前上传澄清函，若在澄清截止时间前未进行有效澄清的，逾期将不再接受澄清。商务技术文件评审不合格的投标人不再进入报价文件评审。</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7.商务技术文件评审结果公布后，在线开启报价文件，并由评标委员会进行报价评审。在开启报价文件时，投标供应商认为开标一览表与报价文件不符时，投标供应商可在“政府采购云平台”开标大厅提出异议。</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8.在线公布各投标人得分汇总，并宣布中标候选人，同时由记录人、监督人当场在开标记录上签字确认。</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9.主持人宣布开标会议结束。</w:t>
            </w:r>
          </w:p>
          <w:p>
            <w:pPr>
              <w:pStyle w:val="17"/>
              <w:spacing w:before="0" w:beforeLines="0" w:after="0" w:afterLines="0" w:line="3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szCs w:val="24"/>
              </w:rPr>
              <w:t>特别说明：</w:t>
            </w:r>
            <w:r>
              <w:rPr>
                <w:rFonts w:hint="eastAsia" w:ascii="仿宋" w:hAnsi="仿宋" w:eastAsia="仿宋" w:cs="仿宋"/>
                <w:color w:val="0000FF"/>
                <w:sz w:val="24"/>
                <w:szCs w:val="24"/>
                <w:lang w:eastAsia="zh-CN"/>
              </w:rPr>
              <w:t>乐</w:t>
            </w:r>
            <w:r>
              <w:rPr>
                <w:rFonts w:hint="eastAsia" w:ascii="仿宋" w:hAnsi="仿宋" w:eastAsia="仿宋" w:cs="仿宋"/>
                <w:color w:val="0000FF"/>
                <w:sz w:val="24"/>
                <w:szCs w:val="24"/>
              </w:rPr>
              <w:t>采云公司</w:t>
            </w:r>
            <w:r>
              <w:rPr>
                <w:rFonts w:hint="eastAsia" w:ascii="仿宋" w:hAnsi="仿宋" w:eastAsia="仿宋" w:cs="仿宋"/>
                <w:color w:val="auto"/>
                <w:sz w:val="24"/>
                <w:szCs w:val="24"/>
              </w:rPr>
              <w:t>如对电子化开标及评审程序有调整的，按调整后的程序操作。</w:t>
            </w:r>
          </w:p>
        </w:tc>
      </w:tr>
      <w:tr>
        <w:tblPrEx>
          <w:tblCellMar>
            <w:top w:w="0" w:type="dxa"/>
            <w:left w:w="108" w:type="dxa"/>
            <w:bottom w:w="0" w:type="dxa"/>
            <w:right w:w="108" w:type="dxa"/>
          </w:tblCellMar>
        </w:tblPrEx>
        <w:trPr>
          <w:trHeight w:val="810" w:hRule="atLeast"/>
        </w:trPr>
        <w:tc>
          <w:tcPr>
            <w:tcW w:w="946"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29</w:t>
            </w:r>
          </w:p>
        </w:tc>
        <w:tc>
          <w:tcPr>
            <w:tcW w:w="1991"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评标委员会的组建</w:t>
            </w:r>
          </w:p>
        </w:tc>
        <w:tc>
          <w:tcPr>
            <w:tcW w:w="6681"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 w:hAnsi="仿宋" w:eastAsia="仿宋" w:cs="仿宋"/>
                <w:color w:val="auto"/>
                <w:sz w:val="24"/>
                <w:highlight w:val="none"/>
              </w:rPr>
            </w:pPr>
            <w:r>
              <w:rPr>
                <w:rFonts w:hint="eastAsia" w:ascii="仿宋" w:hAnsi="仿宋" w:eastAsia="仿宋" w:cs="仿宋"/>
                <w:color w:val="0000FF"/>
                <w:sz w:val="24"/>
                <w:highlight w:val="none"/>
                <w:lang w:eastAsia="zh-CN"/>
              </w:rPr>
              <w:t>评标委员会由招标人依法组建。</w:t>
            </w:r>
            <w:r>
              <w:rPr>
                <w:rFonts w:hint="eastAsia" w:ascii="仿宋" w:hAnsi="仿宋" w:eastAsia="仿宋" w:cs="仿宋"/>
                <w:color w:val="0000FF"/>
                <w:sz w:val="24"/>
                <w:highlight w:val="none"/>
              </w:rPr>
              <w:t>评标委员会构成：</w:t>
            </w:r>
            <w:r>
              <w:rPr>
                <w:rFonts w:hint="eastAsia" w:ascii="仿宋" w:hAnsi="仿宋" w:eastAsia="仿宋" w:cs="仿宋"/>
                <w:color w:val="0000FF"/>
                <w:sz w:val="24"/>
                <w:highlight w:val="none"/>
                <w:u w:val="single"/>
                <w:lang w:val="en-US" w:eastAsia="zh-CN"/>
              </w:rPr>
              <w:t>5</w:t>
            </w:r>
            <w:r>
              <w:rPr>
                <w:rFonts w:hint="eastAsia" w:ascii="仿宋" w:hAnsi="仿宋" w:eastAsia="仿宋" w:cs="仿宋"/>
                <w:color w:val="0000FF"/>
                <w:sz w:val="24"/>
                <w:highlight w:val="none"/>
              </w:rPr>
              <w:t>人，其中采购人代表</w:t>
            </w:r>
            <w:r>
              <w:rPr>
                <w:rFonts w:hint="eastAsia" w:ascii="仿宋" w:hAnsi="仿宋" w:eastAsia="仿宋" w:cs="仿宋"/>
                <w:color w:val="0000FF"/>
                <w:sz w:val="24"/>
                <w:highlight w:val="none"/>
                <w:u w:val="single"/>
                <w:lang w:val="en-US" w:eastAsia="zh-CN"/>
              </w:rPr>
              <w:t>1</w:t>
            </w:r>
            <w:r>
              <w:rPr>
                <w:rFonts w:hint="eastAsia" w:ascii="仿宋" w:hAnsi="仿宋" w:eastAsia="仿宋" w:cs="仿宋"/>
                <w:color w:val="0000FF"/>
                <w:sz w:val="24"/>
                <w:highlight w:val="none"/>
                <w:u w:val="none"/>
              </w:rPr>
              <w:t>人，</w:t>
            </w:r>
            <w:r>
              <w:rPr>
                <w:rFonts w:hint="eastAsia" w:ascii="仿宋" w:hAnsi="仿宋" w:eastAsia="仿宋" w:cs="仿宋"/>
                <w:color w:val="0000FF"/>
                <w:sz w:val="24"/>
                <w:highlight w:val="none"/>
              </w:rPr>
              <w:t>专家</w:t>
            </w:r>
            <w:r>
              <w:rPr>
                <w:rFonts w:hint="eastAsia" w:ascii="仿宋" w:hAnsi="仿宋" w:eastAsia="仿宋" w:cs="仿宋"/>
                <w:color w:val="0000FF"/>
                <w:sz w:val="24"/>
                <w:highlight w:val="none"/>
                <w:u w:val="single"/>
                <w:lang w:val="en-US" w:eastAsia="zh-CN"/>
              </w:rPr>
              <w:t>4</w:t>
            </w:r>
            <w:r>
              <w:rPr>
                <w:rFonts w:hint="eastAsia" w:ascii="仿宋" w:hAnsi="仿宋" w:eastAsia="仿宋" w:cs="仿宋"/>
                <w:color w:val="0000FF"/>
                <w:sz w:val="24"/>
                <w:highlight w:val="none"/>
                <w:u w:val="none"/>
                <w:lang w:val="en-US" w:eastAsia="zh-CN"/>
              </w:rPr>
              <w:t>人</w:t>
            </w:r>
            <w:r>
              <w:rPr>
                <w:rFonts w:hint="eastAsia" w:ascii="仿宋" w:hAnsi="仿宋" w:eastAsia="仿宋" w:cs="仿宋"/>
                <w:color w:val="0000FF"/>
                <w:sz w:val="24"/>
                <w:highlight w:val="none"/>
              </w:rPr>
              <w:t>。</w:t>
            </w:r>
          </w:p>
        </w:tc>
      </w:tr>
      <w:tr>
        <w:tblPrEx>
          <w:tblCellMar>
            <w:top w:w="0" w:type="dxa"/>
            <w:left w:w="108" w:type="dxa"/>
            <w:bottom w:w="0" w:type="dxa"/>
            <w:right w:w="108" w:type="dxa"/>
          </w:tblCellMar>
        </w:tblPrEx>
        <w:trPr>
          <w:trHeight w:val="810" w:hRule="atLeast"/>
        </w:trPr>
        <w:tc>
          <w:tcPr>
            <w:tcW w:w="946"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30</w:t>
            </w:r>
          </w:p>
        </w:tc>
        <w:tc>
          <w:tcPr>
            <w:tcW w:w="1991"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评标委员会推荐的中标候选人数</w:t>
            </w:r>
          </w:p>
        </w:tc>
        <w:tc>
          <w:tcPr>
            <w:tcW w:w="6681"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评标委员会推荐的中标候选人数：</w:t>
            </w:r>
            <w:r>
              <w:rPr>
                <w:rFonts w:hint="eastAsia" w:ascii="仿宋" w:hAnsi="仿宋" w:eastAsia="仿宋" w:cs="仿宋"/>
                <w:color w:val="auto"/>
                <w:kern w:val="0"/>
                <w:sz w:val="24"/>
                <w:highlight w:val="none"/>
                <w:u w:val="single"/>
              </w:rPr>
              <w:t>1</w:t>
            </w:r>
            <w:r>
              <w:rPr>
                <w:rFonts w:hint="eastAsia" w:ascii="仿宋" w:hAnsi="仿宋" w:eastAsia="仿宋" w:cs="仿宋"/>
                <w:color w:val="auto"/>
                <w:kern w:val="0"/>
                <w:sz w:val="24"/>
                <w:highlight w:val="none"/>
              </w:rPr>
              <w:t>名。</w:t>
            </w:r>
          </w:p>
        </w:tc>
      </w:tr>
      <w:tr>
        <w:tblPrEx>
          <w:tblCellMar>
            <w:top w:w="0" w:type="dxa"/>
            <w:left w:w="108" w:type="dxa"/>
            <w:bottom w:w="0" w:type="dxa"/>
            <w:right w:w="108" w:type="dxa"/>
          </w:tblCellMar>
        </w:tblPrEx>
        <w:trPr>
          <w:trHeight w:val="810" w:hRule="atLeast"/>
        </w:trPr>
        <w:tc>
          <w:tcPr>
            <w:tcW w:w="946"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val="en-US" w:eastAsia="zh-CN"/>
              </w:rPr>
              <w:t>1</w:t>
            </w:r>
          </w:p>
        </w:tc>
        <w:tc>
          <w:tcPr>
            <w:tcW w:w="1991"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是否委托评标委员会确定中标人</w:t>
            </w:r>
          </w:p>
        </w:tc>
        <w:tc>
          <w:tcPr>
            <w:tcW w:w="6681"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是。</w:t>
            </w:r>
          </w:p>
        </w:tc>
      </w:tr>
      <w:tr>
        <w:tblPrEx>
          <w:tblCellMar>
            <w:top w:w="0" w:type="dxa"/>
            <w:left w:w="108" w:type="dxa"/>
            <w:bottom w:w="0" w:type="dxa"/>
            <w:right w:w="108" w:type="dxa"/>
          </w:tblCellMar>
        </w:tblPrEx>
        <w:trPr>
          <w:trHeight w:val="810" w:hRule="atLeast"/>
        </w:trPr>
        <w:tc>
          <w:tcPr>
            <w:tcW w:w="946"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val="en-US" w:eastAsia="zh-CN"/>
              </w:rPr>
              <w:t>2</w:t>
            </w:r>
          </w:p>
        </w:tc>
        <w:tc>
          <w:tcPr>
            <w:tcW w:w="1991" w:type="dxa"/>
            <w:tcBorders>
              <w:top w:val="single" w:color="auto" w:sz="4" w:space="0"/>
              <w:left w:val="single" w:color="auto" w:sz="4" w:space="0"/>
              <w:bottom w:val="single" w:color="auto" w:sz="4" w:space="0"/>
              <w:right w:val="single" w:color="auto" w:sz="4" w:space="0"/>
            </w:tcBorders>
            <w:noWrap w:val="0"/>
            <w:vAlign w:val="center"/>
          </w:tcPr>
          <w:p>
            <w:pPr>
              <w:pStyle w:val="64"/>
              <w:spacing w:after="220" w:line="360" w:lineRule="exact"/>
              <w:ind w:firstLine="0"/>
              <w:jc w:val="center"/>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中标通知书与中标结果公告</w:t>
            </w:r>
          </w:p>
        </w:tc>
        <w:tc>
          <w:tcPr>
            <w:tcW w:w="6681" w:type="dxa"/>
            <w:tcBorders>
              <w:top w:val="single" w:color="auto" w:sz="4" w:space="0"/>
              <w:left w:val="single" w:color="auto" w:sz="4" w:space="0"/>
              <w:bottom w:val="single" w:color="auto" w:sz="4" w:space="0"/>
              <w:right w:val="single" w:color="auto" w:sz="4" w:space="0"/>
            </w:tcBorders>
            <w:noWrap w:val="0"/>
            <w:vAlign w:val="center"/>
          </w:tcPr>
          <w:p>
            <w:pPr>
              <w:pStyle w:val="64"/>
              <w:spacing w:line="360" w:lineRule="exact"/>
              <w:ind w:firstLine="0"/>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sz w:val="24"/>
                <w:szCs w:val="24"/>
                <w:highlight w:val="none"/>
              </w:rPr>
              <w:t>中标人确定之日起2个工作日内，发出中标通知书</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并在</w:t>
            </w:r>
            <w:r>
              <w:rPr>
                <w:rFonts w:hint="eastAsia" w:ascii="仿宋" w:hAnsi="仿宋" w:eastAsia="仿宋" w:cs="仿宋"/>
                <w:color w:val="auto"/>
                <w:sz w:val="24"/>
                <w:szCs w:val="24"/>
                <w:highlight w:val="none"/>
                <w:lang w:eastAsia="zh-CN"/>
              </w:rPr>
              <w:t>浙江政府采购网或武义县公共资源交易网上公告中标结果</w:t>
            </w:r>
            <w:r>
              <w:rPr>
                <w:rFonts w:hint="eastAsia" w:ascii="仿宋" w:hAnsi="仿宋" w:eastAsia="仿宋" w:cs="仿宋"/>
                <w:color w:val="auto"/>
                <w:sz w:val="24"/>
                <w:szCs w:val="24"/>
                <w:highlight w:val="none"/>
              </w:rPr>
              <w:t>。</w:t>
            </w:r>
          </w:p>
        </w:tc>
      </w:tr>
      <w:tr>
        <w:tblPrEx>
          <w:tblCellMar>
            <w:top w:w="0" w:type="dxa"/>
            <w:left w:w="108" w:type="dxa"/>
            <w:bottom w:w="0" w:type="dxa"/>
            <w:right w:w="108" w:type="dxa"/>
          </w:tblCellMar>
        </w:tblPrEx>
        <w:trPr>
          <w:trHeight w:val="601" w:hRule="atLeast"/>
        </w:trPr>
        <w:tc>
          <w:tcPr>
            <w:tcW w:w="946"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val="en-US" w:eastAsia="zh-CN"/>
              </w:rPr>
              <w:t>3</w:t>
            </w:r>
          </w:p>
        </w:tc>
        <w:tc>
          <w:tcPr>
            <w:tcW w:w="1991"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签订合同时间</w:t>
            </w:r>
          </w:p>
        </w:tc>
        <w:tc>
          <w:tcPr>
            <w:tcW w:w="6681"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中标通知书发出后</w:t>
            </w:r>
            <w:r>
              <w:rPr>
                <w:rFonts w:hint="eastAsia" w:ascii="仿宋" w:hAnsi="仿宋" w:eastAsia="仿宋" w:cs="仿宋"/>
                <w:color w:val="auto"/>
                <w:sz w:val="24"/>
                <w:highlight w:val="none"/>
                <w:lang w:eastAsia="zh-CN"/>
              </w:rPr>
              <w:t>20日历天</w:t>
            </w:r>
            <w:r>
              <w:rPr>
                <w:rFonts w:hint="eastAsia" w:ascii="仿宋" w:hAnsi="仿宋" w:eastAsia="仿宋" w:cs="仿宋"/>
                <w:color w:val="auto"/>
                <w:sz w:val="24"/>
                <w:highlight w:val="none"/>
              </w:rPr>
              <w:t>内。</w:t>
            </w:r>
          </w:p>
        </w:tc>
      </w:tr>
      <w:tr>
        <w:tblPrEx>
          <w:tblCellMar>
            <w:top w:w="0" w:type="dxa"/>
            <w:left w:w="108" w:type="dxa"/>
            <w:bottom w:w="0" w:type="dxa"/>
            <w:right w:w="108" w:type="dxa"/>
          </w:tblCellMar>
        </w:tblPrEx>
        <w:trPr>
          <w:trHeight w:val="3602" w:hRule="atLeast"/>
        </w:trPr>
        <w:tc>
          <w:tcPr>
            <w:tcW w:w="946"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val="en-US" w:eastAsia="zh-CN"/>
              </w:rPr>
              <w:t>4</w:t>
            </w:r>
          </w:p>
        </w:tc>
        <w:tc>
          <w:tcPr>
            <w:tcW w:w="1991"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yellow"/>
              </w:rPr>
              <w:t>履约保证金</w:t>
            </w:r>
          </w:p>
        </w:tc>
        <w:tc>
          <w:tcPr>
            <w:tcW w:w="6681" w:type="dxa"/>
            <w:tcBorders>
              <w:top w:val="single" w:color="auto" w:sz="4" w:space="0"/>
              <w:left w:val="single" w:color="auto" w:sz="4" w:space="0"/>
              <w:bottom w:val="single" w:color="auto" w:sz="4" w:space="0"/>
              <w:right w:val="single" w:color="auto" w:sz="4" w:space="0"/>
            </w:tcBorders>
            <w:noWrap w:val="0"/>
            <w:vAlign w:val="center"/>
          </w:tcPr>
          <w:p>
            <w:pPr>
              <w:pStyle w:val="66"/>
              <w:spacing w:after="0" w:line="340" w:lineRule="exact"/>
              <w:ind w:left="0" w:leftChars="0" w:firstLine="0" w:firstLineChars="0"/>
              <w:rPr>
                <w:rFonts w:hint="eastAsia" w:ascii="仿宋" w:hAnsi="仿宋" w:eastAsia="仿宋" w:cs="仿宋"/>
                <w:color w:val="auto"/>
                <w:spacing w:val="-4"/>
                <w:sz w:val="24"/>
                <w:szCs w:val="24"/>
                <w:highlight w:val="none"/>
              </w:rPr>
            </w:pPr>
            <w:r>
              <w:rPr>
                <w:rFonts w:hint="eastAsia" w:ascii="仿宋" w:hAnsi="仿宋" w:eastAsia="仿宋" w:cs="仿宋"/>
                <w:color w:val="auto"/>
                <w:spacing w:val="-4"/>
                <w:sz w:val="24"/>
                <w:szCs w:val="24"/>
                <w:highlight w:val="none"/>
              </w:rPr>
              <w:t>是否要求中标人提交履约保证金：</w:t>
            </w:r>
          </w:p>
          <w:p>
            <w:pPr>
              <w:pStyle w:val="66"/>
              <w:spacing w:after="0" w:line="340" w:lineRule="exact"/>
              <w:ind w:left="0" w:leftChars="0" w:firstLine="0" w:firstLineChars="0"/>
              <w:rPr>
                <w:rFonts w:hint="eastAsia" w:ascii="仿宋" w:hAnsi="仿宋" w:eastAsia="仿宋" w:cs="仿宋"/>
                <w:color w:val="auto"/>
                <w:spacing w:val="-4"/>
                <w:sz w:val="24"/>
                <w:szCs w:val="24"/>
                <w:highlight w:val="none"/>
              </w:rPr>
            </w:pPr>
            <w:r>
              <w:rPr>
                <w:rFonts w:hint="eastAsia" w:ascii="仿宋" w:hAnsi="仿宋" w:eastAsia="仿宋" w:cs="仿宋"/>
                <w:color w:val="auto"/>
                <w:spacing w:val="-4"/>
                <w:sz w:val="24"/>
                <w:szCs w:val="24"/>
                <w:highlight w:val="none"/>
              </w:rPr>
              <w:sym w:font="Wingdings" w:char="00A8"/>
            </w:r>
            <w:r>
              <w:rPr>
                <w:rFonts w:hint="eastAsia" w:ascii="仿宋" w:hAnsi="仿宋" w:eastAsia="仿宋" w:cs="仿宋"/>
                <w:color w:val="auto"/>
                <w:spacing w:val="-4"/>
                <w:sz w:val="24"/>
                <w:szCs w:val="24"/>
                <w:highlight w:val="none"/>
              </w:rPr>
              <w:t>不要求。</w:t>
            </w:r>
          </w:p>
          <w:p>
            <w:pPr>
              <w:pStyle w:val="66"/>
              <w:spacing w:after="0" w:line="340" w:lineRule="exact"/>
              <w:ind w:left="0" w:leftChars="0" w:firstLine="0" w:firstLineChars="0"/>
              <w:rPr>
                <w:rFonts w:hint="eastAsia" w:ascii="仿宋" w:hAnsi="仿宋" w:eastAsia="仿宋" w:cs="仿宋"/>
                <w:color w:val="auto"/>
                <w:spacing w:val="-4"/>
                <w:sz w:val="24"/>
                <w:szCs w:val="24"/>
                <w:highlight w:val="none"/>
              </w:rPr>
            </w:pPr>
            <w:r>
              <w:rPr>
                <w:rFonts w:hint="eastAsia" w:ascii="仿宋" w:hAnsi="仿宋" w:eastAsia="仿宋" w:cs="仿宋"/>
                <w:color w:val="auto"/>
                <w:spacing w:val="-4"/>
                <w:sz w:val="24"/>
                <w:szCs w:val="24"/>
                <w:highlight w:val="none"/>
              </w:rPr>
              <w:sym w:font="Wingdings" w:char="00FE"/>
            </w:r>
            <w:r>
              <w:rPr>
                <w:rFonts w:hint="eastAsia" w:ascii="仿宋" w:hAnsi="仿宋" w:eastAsia="仿宋" w:cs="仿宋"/>
                <w:color w:val="auto"/>
                <w:spacing w:val="-4"/>
                <w:sz w:val="24"/>
                <w:szCs w:val="24"/>
                <w:highlight w:val="none"/>
              </w:rPr>
              <w:t>要求：</w:t>
            </w:r>
          </w:p>
          <w:p>
            <w:pPr>
              <w:pStyle w:val="66"/>
              <w:numPr>
                <w:ilvl w:val="0"/>
                <w:numId w:val="5"/>
              </w:numPr>
              <w:spacing w:after="0" w:line="340" w:lineRule="exact"/>
              <w:ind w:left="0" w:leftChars="0" w:firstLine="0"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pacing w:val="-4"/>
                <w:sz w:val="24"/>
                <w:szCs w:val="24"/>
                <w:highlight w:val="none"/>
              </w:rPr>
              <w:t>中标单位履约保证金的金额为</w:t>
            </w:r>
            <w:r>
              <w:rPr>
                <w:rFonts w:hint="eastAsia" w:ascii="仿宋" w:hAnsi="仿宋" w:eastAsia="仿宋" w:cs="仿宋"/>
                <w:color w:val="auto"/>
                <w:spacing w:val="-4"/>
                <w:sz w:val="24"/>
                <w:szCs w:val="24"/>
                <w:highlight w:val="none"/>
                <w:lang w:eastAsia="zh-CN"/>
              </w:rPr>
              <w:t>：</w:t>
            </w:r>
            <w:r>
              <w:rPr>
                <w:rFonts w:hint="eastAsia" w:ascii="仿宋" w:hAnsi="仿宋" w:eastAsia="仿宋" w:cs="仿宋"/>
                <w:color w:val="auto"/>
                <w:spacing w:val="-4"/>
                <w:sz w:val="24"/>
                <w:szCs w:val="24"/>
                <w:highlight w:val="none"/>
                <w:lang w:val="en-US" w:eastAsia="zh-CN"/>
              </w:rPr>
              <w:t>合同价款的2%。</w:t>
            </w:r>
          </w:p>
          <w:p>
            <w:pPr>
              <w:pStyle w:val="66"/>
              <w:numPr>
                <w:ilvl w:val="0"/>
                <w:numId w:val="5"/>
              </w:numPr>
              <w:spacing w:after="0" w:line="340" w:lineRule="exact"/>
              <w:ind w:left="0" w:leftChars="0" w:firstLine="0" w:firstLineChars="0"/>
              <w:rPr>
                <w:rFonts w:hint="eastAsia" w:ascii="仿宋" w:hAnsi="仿宋" w:eastAsia="仿宋" w:cs="仿宋"/>
                <w:color w:val="auto"/>
                <w:spacing w:val="-4"/>
                <w:sz w:val="24"/>
                <w:szCs w:val="24"/>
                <w:highlight w:val="none"/>
              </w:rPr>
            </w:pPr>
            <w:r>
              <w:rPr>
                <w:rFonts w:hint="eastAsia" w:ascii="仿宋" w:hAnsi="仿宋" w:eastAsia="仿宋" w:cs="仿宋"/>
                <w:color w:val="auto"/>
                <w:spacing w:val="-4"/>
                <w:sz w:val="24"/>
                <w:szCs w:val="24"/>
                <w:highlight w:val="none"/>
                <w:lang w:eastAsia="zh-CN"/>
              </w:rPr>
              <w:t>履约保证金允许</w:t>
            </w:r>
            <w:r>
              <w:rPr>
                <w:rFonts w:hint="eastAsia" w:ascii="仿宋" w:hAnsi="仿宋" w:eastAsia="仿宋" w:cs="仿宋"/>
                <w:color w:val="auto"/>
                <w:spacing w:val="-4"/>
                <w:sz w:val="24"/>
                <w:szCs w:val="24"/>
                <w:highlight w:val="none"/>
              </w:rPr>
              <w:t>采用现金担保形式或保函形式（包括银行保函、保险机构保证保险保单和融资担保公司保函），中标单位可自主选择，其他相关单位不得以任何理由予以拒绝。</w:t>
            </w:r>
          </w:p>
          <w:p>
            <w:pPr>
              <w:pStyle w:val="66"/>
              <w:numPr>
                <w:ilvl w:val="0"/>
                <w:numId w:val="5"/>
              </w:numPr>
              <w:spacing w:after="0" w:line="340" w:lineRule="exact"/>
              <w:ind w:left="0" w:leftChars="0" w:firstLine="0" w:firstLineChars="0"/>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中标</w:t>
            </w:r>
            <w:r>
              <w:rPr>
                <w:rFonts w:hint="eastAsia" w:ascii="仿宋" w:hAnsi="仿宋" w:eastAsia="仿宋" w:cs="仿宋"/>
                <w:color w:val="auto"/>
                <w:spacing w:val="-4"/>
                <w:sz w:val="24"/>
                <w:szCs w:val="24"/>
                <w:highlight w:val="none"/>
                <w:lang w:eastAsia="zh-CN"/>
              </w:rPr>
              <w:t>单位</w:t>
            </w:r>
            <w:r>
              <w:rPr>
                <w:rFonts w:hint="eastAsia" w:ascii="仿宋" w:hAnsi="仿宋" w:eastAsia="仿宋" w:cs="仿宋"/>
                <w:color w:val="auto"/>
                <w:spacing w:val="-4"/>
                <w:sz w:val="24"/>
                <w:highlight w:val="none"/>
              </w:rPr>
              <w:t>应在收到中标通知书后</w:t>
            </w:r>
            <w:r>
              <w:rPr>
                <w:rFonts w:hint="eastAsia" w:ascii="仿宋" w:hAnsi="仿宋" w:eastAsia="仿宋" w:cs="仿宋"/>
                <w:color w:val="auto"/>
                <w:spacing w:val="-4"/>
                <w:sz w:val="24"/>
                <w:highlight w:val="none"/>
                <w:lang w:eastAsia="zh-CN"/>
              </w:rPr>
              <w:t>20日历天</w:t>
            </w:r>
            <w:r>
              <w:rPr>
                <w:rFonts w:hint="eastAsia" w:ascii="仿宋" w:hAnsi="仿宋" w:eastAsia="仿宋" w:cs="仿宋"/>
                <w:color w:val="auto"/>
                <w:spacing w:val="-4"/>
                <w:sz w:val="24"/>
                <w:highlight w:val="none"/>
              </w:rPr>
              <w:t>内缴纳至采购人，否则采购人有权取消中标人资格。</w:t>
            </w:r>
          </w:p>
          <w:p>
            <w:pPr>
              <w:pStyle w:val="66"/>
              <w:numPr>
                <w:ilvl w:val="0"/>
                <w:numId w:val="5"/>
              </w:numPr>
              <w:spacing w:after="0" w:line="340" w:lineRule="exact"/>
              <w:ind w:left="0" w:leftChars="0" w:firstLine="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合同履行完毕（验收合格）后15日内无息退还。</w:t>
            </w:r>
          </w:p>
        </w:tc>
      </w:tr>
      <w:tr>
        <w:tblPrEx>
          <w:tblCellMar>
            <w:top w:w="0" w:type="dxa"/>
            <w:left w:w="108" w:type="dxa"/>
            <w:bottom w:w="0" w:type="dxa"/>
            <w:right w:w="108" w:type="dxa"/>
          </w:tblCellMar>
        </w:tblPrEx>
        <w:trPr>
          <w:trHeight w:val="1425" w:hRule="atLeast"/>
        </w:trPr>
        <w:tc>
          <w:tcPr>
            <w:tcW w:w="946"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val="en-US" w:eastAsia="zh-CN"/>
              </w:rPr>
              <w:t>5</w:t>
            </w:r>
          </w:p>
        </w:tc>
        <w:tc>
          <w:tcPr>
            <w:tcW w:w="1991"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投标人的违法违规行为</w:t>
            </w:r>
          </w:p>
        </w:tc>
        <w:tc>
          <w:tcPr>
            <w:tcW w:w="6681" w:type="dxa"/>
            <w:tcBorders>
              <w:top w:val="single" w:color="auto" w:sz="4" w:space="0"/>
              <w:left w:val="single" w:color="auto" w:sz="4" w:space="0"/>
              <w:bottom w:val="single" w:color="auto" w:sz="4" w:space="0"/>
              <w:right w:val="single" w:color="auto" w:sz="4" w:space="0"/>
            </w:tcBorders>
            <w:noWrap w:val="0"/>
            <w:vAlign w:val="center"/>
          </w:tcPr>
          <w:p>
            <w:pPr>
              <w:spacing w:line="340" w:lineRule="exact"/>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1.投标人不得相互串通投标或者与采购人串通投标，不得向采购人行贿谋取中标，不得以他人名义投标或者以其他方式弄虚作假骗取中标；投标人不得以任何方式干扰、影响评标工作。</w:t>
            </w:r>
          </w:p>
          <w:p>
            <w:pPr>
              <w:spacing w:line="340" w:lineRule="exact"/>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2.投标人在投标过程中有挂靠投标、相互串通投标、弄虚作假等违规行为的，一经查实，采购人和代理机构上报监管部门列入黑名单、失信名单。</w:t>
            </w:r>
          </w:p>
          <w:p>
            <w:pPr>
              <w:spacing w:line="340" w:lineRule="exact"/>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3.发现中标人为挂靠投标中标的，或者相互串通投标中标的，或者提交的投标文件弄虚作假骗取中标的，或者将中标项目转给他人承包的，除由采购人在履约保证金或合同价款中扣罚2%，并报监管部门按相关法律法规予以处罚。已经开工的，必须终止工作，所有因此造成的经济损失由中标人承担。</w:t>
            </w:r>
          </w:p>
        </w:tc>
      </w:tr>
      <w:tr>
        <w:tblPrEx>
          <w:tblCellMar>
            <w:top w:w="0" w:type="dxa"/>
            <w:left w:w="108" w:type="dxa"/>
            <w:bottom w:w="0" w:type="dxa"/>
            <w:right w:w="108" w:type="dxa"/>
          </w:tblCellMar>
        </w:tblPrEx>
        <w:trPr>
          <w:trHeight w:val="437" w:hRule="atLeast"/>
        </w:trPr>
        <w:tc>
          <w:tcPr>
            <w:tcW w:w="946"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36</w:t>
            </w:r>
          </w:p>
        </w:tc>
        <w:tc>
          <w:tcPr>
            <w:tcW w:w="8672" w:type="dxa"/>
            <w:gridSpan w:val="2"/>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本前附表内容与投标人须知正文不符的，以本前附表为准。</w:t>
            </w:r>
          </w:p>
          <w:p>
            <w:pPr>
              <w:spacing w:line="340" w:lineRule="exact"/>
              <w:rPr>
                <w:rFonts w:hint="eastAsia" w:ascii="仿宋" w:hAnsi="仿宋" w:eastAsia="仿宋" w:cs="仿宋"/>
                <w:b/>
                <w:color w:val="auto"/>
                <w:sz w:val="24"/>
                <w:highlight w:val="none"/>
              </w:rPr>
            </w:pPr>
            <w:r>
              <w:rPr>
                <w:rFonts w:hint="eastAsia" w:ascii="仿宋" w:hAnsi="仿宋" w:eastAsia="仿宋" w:cs="仿宋"/>
                <w:color w:val="auto"/>
                <w:sz w:val="24"/>
                <w:highlight w:val="none"/>
                <w:lang w:val="zh-CN"/>
              </w:rPr>
              <w:t>凡涉及本采购文件的解释权均属于采购人</w:t>
            </w:r>
            <w:r>
              <w:rPr>
                <w:rFonts w:hint="eastAsia" w:ascii="仿宋" w:hAnsi="仿宋" w:eastAsia="仿宋" w:cs="仿宋"/>
                <w:color w:val="auto"/>
                <w:sz w:val="24"/>
                <w:highlight w:val="none"/>
              </w:rPr>
              <w:t>和采购代理机构</w:t>
            </w:r>
            <w:r>
              <w:rPr>
                <w:rFonts w:hint="eastAsia" w:ascii="仿宋" w:hAnsi="仿宋" w:eastAsia="仿宋" w:cs="仿宋"/>
                <w:color w:val="auto"/>
                <w:sz w:val="24"/>
                <w:highlight w:val="none"/>
                <w:lang w:val="zh-CN"/>
              </w:rPr>
              <w:t>。</w:t>
            </w:r>
          </w:p>
        </w:tc>
      </w:tr>
    </w:tbl>
    <w:p>
      <w:pPr>
        <w:pStyle w:val="4"/>
        <w:pageBreakBefore w:val="0"/>
        <w:kinsoku/>
        <w:wordWrap/>
        <w:overflowPunct/>
        <w:topLinePunct w:val="0"/>
        <w:autoSpaceDE/>
        <w:autoSpaceDN/>
        <w:bidi w:val="0"/>
        <w:spacing w:line="420" w:lineRule="exact"/>
        <w:ind w:firstLine="562" w:firstLineChars="200"/>
        <w:textAlignment w:val="auto"/>
        <w:rPr>
          <w:rFonts w:hint="eastAsia" w:ascii="仿宋" w:hAnsi="仿宋" w:eastAsia="仿宋" w:cs="仿宋"/>
          <w:color w:val="auto"/>
          <w:highlight w:val="none"/>
        </w:rPr>
      </w:pPr>
      <w:bookmarkStart w:id="29" w:name="_Toc246996175"/>
      <w:bookmarkStart w:id="30" w:name="_Toc179632546"/>
      <w:bookmarkStart w:id="31" w:name="_Toc246996918"/>
      <w:bookmarkStart w:id="32" w:name="_Toc152042305"/>
      <w:bookmarkStart w:id="33" w:name="_Toc444093603"/>
      <w:bookmarkStart w:id="34" w:name="_Toc144974497"/>
      <w:bookmarkStart w:id="35" w:name="_Toc498955000"/>
      <w:bookmarkStart w:id="36" w:name="_Toc247085689"/>
      <w:bookmarkStart w:id="37" w:name="_Toc152045529"/>
      <w:r>
        <w:rPr>
          <w:rFonts w:hint="eastAsia" w:ascii="仿宋" w:hAnsi="仿宋" w:eastAsia="仿宋" w:cs="仿宋"/>
          <w:color w:val="auto"/>
          <w:highlight w:val="none"/>
        </w:rPr>
        <w:t>一、总则</w:t>
      </w:r>
      <w:bookmarkEnd w:id="29"/>
      <w:bookmarkEnd w:id="30"/>
      <w:bookmarkEnd w:id="31"/>
      <w:bookmarkEnd w:id="32"/>
      <w:bookmarkEnd w:id="33"/>
      <w:bookmarkEnd w:id="34"/>
      <w:bookmarkEnd w:id="35"/>
      <w:bookmarkEnd w:id="36"/>
      <w:bookmarkEnd w:id="37"/>
    </w:p>
    <w:p>
      <w:pPr>
        <w:pStyle w:val="5"/>
        <w:pageBreakBefore w:val="0"/>
        <w:kinsoku/>
        <w:wordWrap/>
        <w:overflowPunct/>
        <w:topLinePunct w:val="0"/>
        <w:autoSpaceDE/>
        <w:autoSpaceDN/>
        <w:bidi w:val="0"/>
        <w:spacing w:line="420" w:lineRule="exact"/>
        <w:ind w:firstLine="562"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（一）定义</w:t>
      </w:r>
    </w:p>
    <w:p>
      <w:pPr>
        <w:pageBreakBefore w:val="0"/>
        <w:kinsoku/>
        <w:wordWrap/>
        <w:overflowPunct/>
        <w:topLinePunct w:val="0"/>
        <w:autoSpaceDE/>
        <w:autoSpaceDN/>
        <w:bidi w:val="0"/>
        <w:snapToGrid w:val="0"/>
        <w:spacing w:line="42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采购人”：是指投标人须知前附表说明的单位，在招标采购阶段称为采购人，在签订和执行合同阶段或被称为建设单位或业主或甲方或买方。为便于招标文件及附件直接转化为经济合同条款，在招标文件中被称为建设单位或业主或甲方或买方的招标投标阶段均指采购人。</w:t>
      </w:r>
    </w:p>
    <w:p>
      <w:pPr>
        <w:pageBreakBefore w:val="0"/>
        <w:kinsoku/>
        <w:wordWrap/>
        <w:overflowPunct/>
        <w:topLinePunct w:val="0"/>
        <w:autoSpaceDE/>
        <w:autoSpaceDN/>
        <w:bidi w:val="0"/>
        <w:snapToGrid w:val="0"/>
        <w:spacing w:line="42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2.“采购代理机构”：是指依法取得招标（采购）资格、从事招标（采购）代理业务并提供相关服务的专业机构，本文特指</w:t>
      </w:r>
      <w:r>
        <w:rPr>
          <w:rFonts w:hint="eastAsia" w:ascii="仿宋" w:hAnsi="仿宋" w:eastAsia="仿宋" w:cs="仿宋"/>
          <w:color w:val="auto"/>
          <w:sz w:val="24"/>
          <w:highlight w:val="none"/>
          <w:u w:val="single"/>
          <w:lang w:eastAsia="zh-CN"/>
        </w:rPr>
        <w:t>浙江宁和工程管理有限公司</w:t>
      </w:r>
      <w:r>
        <w:rPr>
          <w:rFonts w:hint="eastAsia" w:ascii="仿宋" w:hAnsi="仿宋" w:eastAsia="仿宋" w:cs="仿宋"/>
          <w:color w:val="auto"/>
          <w:sz w:val="24"/>
          <w:highlight w:val="none"/>
        </w:rPr>
        <w:t>。是本次整个采购活动的组织者，依法负责编制和发布招标文件，对招标文件拥有最终的解释权。</w:t>
      </w:r>
    </w:p>
    <w:p>
      <w:pPr>
        <w:pageBreakBefore w:val="0"/>
        <w:kinsoku/>
        <w:wordWrap/>
        <w:overflowPunct/>
        <w:topLinePunct w:val="0"/>
        <w:autoSpaceDE/>
        <w:autoSpaceDN/>
        <w:bidi w:val="0"/>
        <w:snapToGrid w:val="0"/>
        <w:spacing w:line="42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3.“投标人”系指是指响应招标、参加投标竞争的法人、其他组织。</w:t>
      </w:r>
    </w:p>
    <w:p>
      <w:pPr>
        <w:pageBreakBefore w:val="0"/>
        <w:kinsoku/>
        <w:wordWrap/>
        <w:overflowPunct/>
        <w:topLinePunct w:val="0"/>
        <w:autoSpaceDE/>
        <w:autoSpaceDN/>
        <w:bidi w:val="0"/>
        <w:snapToGrid w:val="0"/>
        <w:spacing w:line="42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4.“监督管理部门”：是指负责对采购人、采购代理机构、投标供应商（投标单位）和评审专家进行监督检查的相关部门。</w:t>
      </w:r>
    </w:p>
    <w:p>
      <w:pPr>
        <w:pageBreakBefore w:val="0"/>
        <w:kinsoku/>
        <w:wordWrap/>
        <w:overflowPunct/>
        <w:topLinePunct w:val="0"/>
        <w:autoSpaceDE/>
        <w:autoSpaceDN/>
        <w:bidi w:val="0"/>
        <w:snapToGrid w:val="0"/>
        <w:spacing w:line="42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5.“项目”系指投标人按招标采购文件规定向采购人提供的产品和服务。</w:t>
      </w:r>
    </w:p>
    <w:p>
      <w:pPr>
        <w:pageBreakBefore w:val="0"/>
        <w:kinsoku/>
        <w:wordWrap/>
        <w:overflowPunct/>
        <w:topLinePunct w:val="0"/>
        <w:autoSpaceDE/>
        <w:autoSpaceDN/>
        <w:bidi w:val="0"/>
        <w:snapToGrid w:val="0"/>
        <w:spacing w:line="42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6.“产品”系指供方按招标采购文件规定，须向采购人提供的一切设备、保险、税金、备品备件、工具、手册及其他有关技术资料和材料。</w:t>
      </w:r>
    </w:p>
    <w:p>
      <w:pPr>
        <w:pageBreakBefore w:val="0"/>
        <w:kinsoku/>
        <w:wordWrap/>
        <w:overflowPunct/>
        <w:topLinePunct w:val="0"/>
        <w:autoSpaceDE/>
        <w:autoSpaceDN/>
        <w:bidi w:val="0"/>
        <w:snapToGrid w:val="0"/>
        <w:spacing w:line="42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7.“服务”系指招标采购文件规定投标人须承担的安装、调试、技术协助、校准、培训、技术指导以及其他类似的义务。</w:t>
      </w:r>
    </w:p>
    <w:p>
      <w:pPr>
        <w:pageBreakBefore w:val="0"/>
        <w:kinsoku/>
        <w:wordWrap/>
        <w:overflowPunct/>
        <w:topLinePunct w:val="0"/>
        <w:autoSpaceDE/>
        <w:autoSpaceDN/>
        <w:bidi w:val="0"/>
        <w:snapToGrid w:val="0"/>
        <w:spacing w:line="42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8.“日期、天数、时间”：除非本招标文件另有规定，均为公历日（天）及北京时间。</w:t>
      </w:r>
    </w:p>
    <w:p>
      <w:pPr>
        <w:pageBreakBefore w:val="0"/>
        <w:kinsoku/>
        <w:wordWrap/>
        <w:overflowPunct/>
        <w:topLinePunct w:val="0"/>
        <w:autoSpaceDE/>
        <w:autoSpaceDN/>
        <w:bidi w:val="0"/>
        <w:snapToGrid w:val="0"/>
        <w:spacing w:line="42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9.“书面形式”包括信函、传真、电报、邮件等。</w:t>
      </w:r>
    </w:p>
    <w:p>
      <w:pPr>
        <w:pageBreakBefore w:val="0"/>
        <w:kinsoku/>
        <w:wordWrap/>
        <w:overflowPunct/>
        <w:topLinePunct w:val="0"/>
        <w:autoSpaceDE/>
        <w:autoSpaceDN/>
        <w:bidi w:val="0"/>
        <w:snapToGrid w:val="0"/>
        <w:spacing w:line="42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10.“公章”系指单位法定名称章。</w:t>
      </w:r>
    </w:p>
    <w:p>
      <w:pPr>
        <w:pageBreakBefore w:val="0"/>
        <w:kinsoku/>
        <w:wordWrap/>
        <w:overflowPunct/>
        <w:topLinePunct w:val="0"/>
        <w:autoSpaceDE/>
        <w:autoSpaceDN/>
        <w:bidi w:val="0"/>
        <w:snapToGrid w:val="0"/>
        <w:spacing w:line="42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11.“★”系指实质性要求条款，“▲”系指重要技术参数。</w:t>
      </w:r>
    </w:p>
    <w:p>
      <w:pPr>
        <w:pStyle w:val="5"/>
        <w:pageBreakBefore w:val="0"/>
        <w:kinsoku/>
        <w:wordWrap/>
        <w:overflowPunct/>
        <w:topLinePunct w:val="0"/>
        <w:autoSpaceDE/>
        <w:autoSpaceDN/>
        <w:bidi w:val="0"/>
        <w:spacing w:line="420" w:lineRule="exact"/>
        <w:ind w:firstLine="562" w:firstLineChars="200"/>
        <w:textAlignment w:val="auto"/>
        <w:rPr>
          <w:rFonts w:hint="eastAsia" w:ascii="仿宋" w:hAnsi="仿宋" w:eastAsia="仿宋" w:cs="仿宋"/>
          <w:color w:val="auto"/>
          <w:highlight w:val="none"/>
        </w:rPr>
      </w:pPr>
      <w:bookmarkStart w:id="38" w:name="_Toc247085690"/>
      <w:bookmarkStart w:id="39" w:name="_Toc444093604"/>
      <w:bookmarkStart w:id="40" w:name="_Toc152042306"/>
      <w:bookmarkStart w:id="41" w:name="_Toc246996919"/>
      <w:bookmarkStart w:id="42" w:name="_Toc246996176"/>
      <w:bookmarkStart w:id="43" w:name="_Toc179632547"/>
      <w:bookmarkStart w:id="44" w:name="_Toc498955001"/>
      <w:bookmarkStart w:id="45" w:name="_Toc144974498"/>
      <w:bookmarkStart w:id="46" w:name="_Toc152045530"/>
      <w:bookmarkStart w:id="47" w:name="_Toc144974503"/>
      <w:bookmarkStart w:id="48" w:name="_Toc247085694"/>
      <w:bookmarkStart w:id="49" w:name="_Toc152042311"/>
      <w:bookmarkStart w:id="50" w:name="_Toc246996180"/>
      <w:bookmarkStart w:id="51" w:name="_Toc246996923"/>
      <w:bookmarkStart w:id="52" w:name="_Toc152045535"/>
      <w:bookmarkStart w:id="53" w:name="_Toc179632552"/>
      <w:bookmarkStart w:id="54" w:name="_Toc444093608"/>
      <w:r>
        <w:rPr>
          <w:rFonts w:hint="eastAsia" w:ascii="仿宋" w:hAnsi="仿宋" w:eastAsia="仿宋" w:cs="仿宋"/>
          <w:color w:val="auto"/>
          <w:highlight w:val="none"/>
        </w:rPr>
        <w:t>（二）采购项目概况</w:t>
      </w:r>
      <w:bookmarkEnd w:id="38"/>
      <w:bookmarkEnd w:id="39"/>
      <w:bookmarkEnd w:id="40"/>
      <w:bookmarkEnd w:id="41"/>
      <w:bookmarkEnd w:id="42"/>
      <w:bookmarkEnd w:id="43"/>
      <w:bookmarkEnd w:id="44"/>
      <w:bookmarkEnd w:id="45"/>
      <w:bookmarkEnd w:id="46"/>
    </w:p>
    <w:p>
      <w:pPr>
        <w:pageBreakBefore w:val="0"/>
        <w:kinsoku/>
        <w:wordWrap/>
        <w:overflowPunct/>
        <w:topLinePunct w:val="0"/>
        <w:autoSpaceDE/>
        <w:autoSpaceDN/>
        <w:bidi w:val="0"/>
        <w:snapToGrid w:val="0"/>
        <w:spacing w:line="420" w:lineRule="exact"/>
        <w:ind w:firstLine="480" w:firstLineChars="200"/>
        <w:jc w:val="left"/>
        <w:textAlignment w:val="auto"/>
        <w:rPr>
          <w:rFonts w:hint="eastAsia" w:ascii="仿宋" w:hAnsi="仿宋" w:eastAsia="仿宋" w:cs="仿宋"/>
          <w:color w:val="auto"/>
          <w:sz w:val="24"/>
          <w:highlight w:val="none"/>
        </w:rPr>
      </w:pPr>
      <w:bookmarkStart w:id="55" w:name="_Toc144974499"/>
      <w:bookmarkStart w:id="56" w:name="_Toc152042307"/>
      <w:bookmarkStart w:id="57" w:name="_Toc247085691"/>
      <w:bookmarkStart w:id="58" w:name="_Toc152045531"/>
      <w:bookmarkStart w:id="59" w:name="_Toc246996920"/>
      <w:bookmarkStart w:id="60" w:name="_Toc246996177"/>
      <w:bookmarkStart w:id="61" w:name="_Toc444093605"/>
      <w:bookmarkStart w:id="62" w:name="_Toc179632548"/>
      <w:r>
        <w:rPr>
          <w:rFonts w:hint="eastAsia" w:ascii="仿宋" w:hAnsi="仿宋" w:eastAsia="仿宋" w:cs="仿宋"/>
          <w:color w:val="auto"/>
          <w:sz w:val="24"/>
          <w:highlight w:val="none"/>
        </w:rPr>
        <w:t>1.参照有关法律、法规和规章的规定，本采购项目已具备采购条件，现对本项目进行采购。</w:t>
      </w:r>
    </w:p>
    <w:p>
      <w:pPr>
        <w:pageBreakBefore w:val="0"/>
        <w:kinsoku/>
        <w:wordWrap/>
        <w:overflowPunct/>
        <w:topLinePunct w:val="0"/>
        <w:autoSpaceDE/>
        <w:autoSpaceDN/>
        <w:bidi w:val="0"/>
        <w:snapToGrid w:val="0"/>
        <w:spacing w:line="42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2.采购人：见投标人须知前附表。</w:t>
      </w:r>
    </w:p>
    <w:p>
      <w:pPr>
        <w:pageBreakBefore w:val="0"/>
        <w:kinsoku/>
        <w:wordWrap/>
        <w:overflowPunct/>
        <w:topLinePunct w:val="0"/>
        <w:autoSpaceDE/>
        <w:autoSpaceDN/>
        <w:bidi w:val="0"/>
        <w:snapToGrid w:val="0"/>
        <w:spacing w:line="42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3.采购代理机构：见投标人须知前附表。</w:t>
      </w:r>
    </w:p>
    <w:p>
      <w:pPr>
        <w:pageBreakBefore w:val="0"/>
        <w:kinsoku/>
        <w:wordWrap/>
        <w:overflowPunct/>
        <w:topLinePunct w:val="0"/>
        <w:autoSpaceDE/>
        <w:autoSpaceDN/>
        <w:bidi w:val="0"/>
        <w:snapToGrid w:val="0"/>
        <w:spacing w:line="42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4.采购项目名称：见投标人须知前附表。</w:t>
      </w:r>
    </w:p>
    <w:p>
      <w:pPr>
        <w:pageBreakBefore w:val="0"/>
        <w:kinsoku/>
        <w:wordWrap/>
        <w:overflowPunct/>
        <w:topLinePunct w:val="0"/>
        <w:autoSpaceDE/>
        <w:autoSpaceDN/>
        <w:bidi w:val="0"/>
        <w:snapToGrid w:val="0"/>
        <w:spacing w:line="42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5.项目地点：见投标人须知前附表。</w:t>
      </w:r>
    </w:p>
    <w:p>
      <w:pPr>
        <w:pageBreakBefore w:val="0"/>
        <w:kinsoku/>
        <w:wordWrap/>
        <w:overflowPunct/>
        <w:topLinePunct w:val="0"/>
        <w:autoSpaceDE/>
        <w:autoSpaceDN/>
        <w:bidi w:val="0"/>
        <w:snapToGrid w:val="0"/>
        <w:spacing w:line="420" w:lineRule="exact"/>
        <w:ind w:firstLine="48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4"/>
          <w:highlight w:val="none"/>
        </w:rPr>
        <w:t>6.项目属性：见投标人须知前附表。</w:t>
      </w:r>
    </w:p>
    <w:bookmarkEnd w:id="55"/>
    <w:bookmarkEnd w:id="56"/>
    <w:bookmarkEnd w:id="57"/>
    <w:bookmarkEnd w:id="58"/>
    <w:bookmarkEnd w:id="59"/>
    <w:bookmarkEnd w:id="60"/>
    <w:bookmarkEnd w:id="61"/>
    <w:bookmarkEnd w:id="62"/>
    <w:p>
      <w:pPr>
        <w:pStyle w:val="5"/>
        <w:pageBreakBefore w:val="0"/>
        <w:kinsoku/>
        <w:wordWrap/>
        <w:overflowPunct/>
        <w:topLinePunct w:val="0"/>
        <w:autoSpaceDE/>
        <w:autoSpaceDN/>
        <w:bidi w:val="0"/>
        <w:spacing w:line="420" w:lineRule="exact"/>
        <w:ind w:firstLine="562" w:firstLineChars="200"/>
        <w:textAlignment w:val="auto"/>
        <w:rPr>
          <w:rFonts w:hint="eastAsia" w:ascii="仿宋" w:hAnsi="仿宋" w:eastAsia="仿宋" w:cs="仿宋"/>
          <w:color w:val="auto"/>
          <w:highlight w:val="none"/>
        </w:rPr>
      </w:pPr>
      <w:bookmarkStart w:id="63" w:name="_Toc498955002"/>
      <w:bookmarkStart w:id="64" w:name="_Toc247085693"/>
      <w:bookmarkStart w:id="65" w:name="_Toc444093607"/>
      <w:bookmarkStart w:id="66" w:name="_Toc246996179"/>
      <w:bookmarkStart w:id="67" w:name="_Toc152045534"/>
      <w:bookmarkStart w:id="68" w:name="_Toc152042310"/>
      <w:bookmarkStart w:id="69" w:name="_Toc144974502"/>
      <w:bookmarkStart w:id="70" w:name="_Toc498955004"/>
      <w:bookmarkStart w:id="71" w:name="_Toc246996922"/>
      <w:bookmarkStart w:id="72" w:name="_Toc179632551"/>
      <w:r>
        <w:rPr>
          <w:rFonts w:hint="eastAsia" w:ascii="仿宋" w:hAnsi="仿宋" w:eastAsia="仿宋" w:cs="仿宋"/>
          <w:color w:val="auto"/>
          <w:highlight w:val="none"/>
        </w:rPr>
        <w:t>（三）采购项目的资金来源</w:t>
      </w:r>
      <w:bookmarkEnd w:id="63"/>
      <w:r>
        <w:rPr>
          <w:rFonts w:hint="eastAsia" w:ascii="仿宋" w:hAnsi="仿宋" w:eastAsia="仿宋" w:cs="仿宋"/>
          <w:color w:val="auto"/>
          <w:highlight w:val="none"/>
        </w:rPr>
        <w:t>和付款单位</w:t>
      </w:r>
    </w:p>
    <w:bookmarkEnd w:id="64"/>
    <w:bookmarkEnd w:id="65"/>
    <w:bookmarkEnd w:id="66"/>
    <w:bookmarkEnd w:id="67"/>
    <w:bookmarkEnd w:id="68"/>
    <w:bookmarkEnd w:id="69"/>
    <w:bookmarkEnd w:id="70"/>
    <w:bookmarkEnd w:id="71"/>
    <w:bookmarkEnd w:id="72"/>
    <w:p>
      <w:pPr>
        <w:pageBreakBefore w:val="0"/>
        <w:kinsoku/>
        <w:wordWrap/>
        <w:overflowPunct/>
        <w:topLinePunct w:val="0"/>
        <w:autoSpaceDE/>
        <w:autoSpaceDN/>
        <w:bidi w:val="0"/>
        <w:snapToGrid w:val="0"/>
        <w:spacing w:line="42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1.资金来源：见投标人须知前附表。</w:t>
      </w:r>
    </w:p>
    <w:p>
      <w:pPr>
        <w:keepNext/>
        <w:keepLines/>
        <w:pageBreakBefore w:val="0"/>
        <w:kinsoku/>
        <w:wordWrap/>
        <w:overflowPunct/>
        <w:topLinePunct w:val="0"/>
        <w:autoSpaceDE/>
        <w:autoSpaceDN/>
        <w:bidi w:val="0"/>
        <w:spacing w:line="420" w:lineRule="exact"/>
        <w:ind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2.付款单位：见投标人须知前附表。</w:t>
      </w:r>
    </w:p>
    <w:p>
      <w:pPr>
        <w:pStyle w:val="5"/>
        <w:pageBreakBefore w:val="0"/>
        <w:kinsoku/>
        <w:wordWrap/>
        <w:overflowPunct/>
        <w:topLinePunct w:val="0"/>
        <w:autoSpaceDE/>
        <w:autoSpaceDN/>
        <w:bidi w:val="0"/>
        <w:spacing w:line="420" w:lineRule="exact"/>
        <w:ind w:firstLine="562"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（四）投标人资格要求</w:t>
      </w:r>
    </w:p>
    <w:p>
      <w:pPr>
        <w:pageBreakBefore w:val="0"/>
        <w:kinsoku/>
        <w:wordWrap/>
        <w:overflowPunct/>
        <w:topLinePunct w:val="0"/>
        <w:autoSpaceDE/>
        <w:autoSpaceDN/>
        <w:bidi w:val="0"/>
        <w:snapToGrid w:val="0"/>
        <w:spacing w:line="42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1.投标人应具备承担本采购项目资格（资质）条件、能力和信誉；</w:t>
      </w:r>
    </w:p>
    <w:p>
      <w:pPr>
        <w:pageBreakBefore w:val="0"/>
        <w:kinsoku/>
        <w:wordWrap/>
        <w:overflowPunct/>
        <w:topLinePunct w:val="0"/>
        <w:autoSpaceDE/>
        <w:autoSpaceDN/>
        <w:bidi w:val="0"/>
        <w:snapToGrid w:val="0"/>
        <w:spacing w:line="42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金融、保险、通讯等特定行业的全国性企业所设立的区域性分支机构，如果已经依法办理了工商、税务和社保登记手续，并且获得总公司（总机构）授权（在投标文件中提供相关材料），证明其具备实际承担责任的能力和法定的缔结合同能力，可以独立参加投标活动，由单位负责人签署相关文件材料。</w:t>
      </w:r>
    </w:p>
    <w:p>
      <w:pPr>
        <w:pStyle w:val="17"/>
        <w:pageBreakBefore w:val="0"/>
        <w:kinsoku/>
        <w:wordWrap/>
        <w:overflowPunct/>
        <w:topLinePunct w:val="0"/>
        <w:autoSpaceDE/>
        <w:autoSpaceDN/>
        <w:bidi w:val="0"/>
        <w:spacing w:before="0" w:beforeLines="0" w:after="0" w:afterLines="0" w:line="420" w:lineRule="exact"/>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2.如以联合体形式参加投标活动的，联合体各方应当指定牵头人，授权其代表所有联合体成员负责投标和合同实施阶段的主办、协调工作，并应当向采购代理机构提交由所有联合体成员各方</w:t>
      </w:r>
      <w:r>
        <w:rPr>
          <w:rFonts w:hint="eastAsia" w:ascii="仿宋" w:hAnsi="仿宋" w:eastAsia="仿宋" w:cs="仿宋"/>
          <w:color w:val="auto"/>
          <w:highlight w:val="none"/>
          <w:lang w:eastAsia="zh-CN"/>
        </w:rPr>
        <w:t>法定代表人</w:t>
      </w:r>
      <w:r>
        <w:rPr>
          <w:rFonts w:hint="eastAsia" w:ascii="仿宋" w:hAnsi="仿宋" w:eastAsia="仿宋" w:cs="仿宋"/>
          <w:color w:val="auto"/>
          <w:highlight w:val="none"/>
        </w:rPr>
        <w:t>签署的授权书，同时应当提交联合体协议，载明联合体各方承担的工作和义务。联合体协议中应当注明由联合体各成员方共同与采购人签订合同，并就采购合同约定的事项对采购人承担连带责任。</w:t>
      </w:r>
    </w:p>
    <w:p>
      <w:pPr>
        <w:pStyle w:val="17"/>
        <w:pageBreakBefore w:val="0"/>
        <w:kinsoku/>
        <w:wordWrap/>
        <w:overflowPunct/>
        <w:topLinePunct w:val="0"/>
        <w:autoSpaceDE/>
        <w:autoSpaceDN/>
        <w:bidi w:val="0"/>
        <w:spacing w:before="0" w:beforeLines="0" w:after="0" w:afterLines="0" w:line="420" w:lineRule="exact"/>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3.联合体各方不得再以自己名义单独或参加其他联合体在本采购项目中投标，否则各相关投标均无效。</w:t>
      </w:r>
    </w:p>
    <w:p>
      <w:pPr>
        <w:pageBreakBefore w:val="0"/>
        <w:kinsoku/>
        <w:wordWrap/>
        <w:overflowPunct/>
        <w:topLinePunct w:val="0"/>
        <w:autoSpaceDE/>
        <w:autoSpaceDN/>
        <w:bidi w:val="0"/>
        <w:snapToGrid w:val="0"/>
        <w:spacing w:line="42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4.投标人不得存在下列情形之一：</w:t>
      </w:r>
    </w:p>
    <w:p>
      <w:pPr>
        <w:pageBreakBefore w:val="0"/>
        <w:kinsoku/>
        <w:wordWrap/>
        <w:overflowPunct/>
        <w:topLinePunct w:val="0"/>
        <w:autoSpaceDE/>
        <w:autoSpaceDN/>
        <w:bidi w:val="0"/>
        <w:snapToGrid w:val="0"/>
        <w:spacing w:line="42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（1）为采购人不具有独立法人资格的附属机构（单位）；</w:t>
      </w:r>
    </w:p>
    <w:p>
      <w:pPr>
        <w:pageBreakBefore w:val="0"/>
        <w:kinsoku/>
        <w:wordWrap/>
        <w:overflowPunct/>
        <w:topLinePunct w:val="0"/>
        <w:autoSpaceDE/>
        <w:autoSpaceDN/>
        <w:bidi w:val="0"/>
        <w:snapToGrid w:val="0"/>
        <w:spacing w:line="42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（2）与采购人存在利害关系且可能影响招标公正性；</w:t>
      </w:r>
    </w:p>
    <w:p>
      <w:pPr>
        <w:pageBreakBefore w:val="0"/>
        <w:kinsoku/>
        <w:wordWrap/>
        <w:overflowPunct/>
        <w:topLinePunct w:val="0"/>
        <w:autoSpaceDE/>
        <w:autoSpaceDN/>
        <w:bidi w:val="0"/>
        <w:snapToGrid w:val="0"/>
        <w:spacing w:line="42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（3）与本采购项目的其他投标人为同一个单位负责人；</w:t>
      </w:r>
    </w:p>
    <w:p>
      <w:pPr>
        <w:pageBreakBefore w:val="0"/>
        <w:kinsoku/>
        <w:wordWrap/>
        <w:overflowPunct/>
        <w:topLinePunct w:val="0"/>
        <w:autoSpaceDE/>
        <w:autoSpaceDN/>
        <w:bidi w:val="0"/>
        <w:snapToGrid w:val="0"/>
        <w:spacing w:line="42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（4）与本采购项目的其他投标人存在控股、管理关系；</w:t>
      </w:r>
    </w:p>
    <w:p>
      <w:pPr>
        <w:pageBreakBefore w:val="0"/>
        <w:kinsoku/>
        <w:wordWrap/>
        <w:overflowPunct/>
        <w:topLinePunct w:val="0"/>
        <w:autoSpaceDE/>
        <w:autoSpaceDN/>
        <w:bidi w:val="0"/>
        <w:snapToGrid w:val="0"/>
        <w:spacing w:line="42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（5）为本采购项目的设计单位、规范编制或者项目管理、监理、检测等服务的供应商；</w:t>
      </w:r>
    </w:p>
    <w:p>
      <w:pPr>
        <w:pageBreakBefore w:val="0"/>
        <w:kinsoku/>
        <w:wordWrap/>
        <w:overflowPunct/>
        <w:topLinePunct w:val="0"/>
        <w:autoSpaceDE/>
        <w:autoSpaceDN/>
        <w:bidi w:val="0"/>
        <w:snapToGrid w:val="0"/>
        <w:spacing w:line="42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（6）为本采购项目的采购代理机构；</w:t>
      </w:r>
    </w:p>
    <w:p>
      <w:pPr>
        <w:pageBreakBefore w:val="0"/>
        <w:kinsoku/>
        <w:wordWrap/>
        <w:overflowPunct/>
        <w:topLinePunct w:val="0"/>
        <w:autoSpaceDE/>
        <w:autoSpaceDN/>
        <w:bidi w:val="0"/>
        <w:snapToGrid w:val="0"/>
        <w:spacing w:line="42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（7）与本采购项目的采购代理机构同为一个</w:t>
      </w:r>
      <w:r>
        <w:rPr>
          <w:rFonts w:hint="eastAsia" w:ascii="仿宋" w:hAnsi="仿宋" w:eastAsia="仿宋" w:cs="仿宋"/>
          <w:color w:val="auto"/>
          <w:sz w:val="24"/>
          <w:highlight w:val="none"/>
          <w:lang w:eastAsia="zh-CN"/>
        </w:rPr>
        <w:t>法定代表人（负责人）</w:t>
      </w:r>
      <w:r>
        <w:rPr>
          <w:rFonts w:hint="eastAsia" w:ascii="仿宋" w:hAnsi="仿宋" w:eastAsia="仿宋" w:cs="仿宋"/>
          <w:color w:val="auto"/>
          <w:sz w:val="24"/>
          <w:highlight w:val="none"/>
        </w:rPr>
        <w:t>；</w:t>
      </w:r>
    </w:p>
    <w:p>
      <w:pPr>
        <w:pageBreakBefore w:val="0"/>
        <w:kinsoku/>
        <w:wordWrap/>
        <w:overflowPunct/>
        <w:topLinePunct w:val="0"/>
        <w:autoSpaceDE/>
        <w:autoSpaceDN/>
        <w:bidi w:val="0"/>
        <w:snapToGrid w:val="0"/>
        <w:spacing w:line="42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（8）与本采购项目的采购代理机构存在控股或参股关系；</w:t>
      </w:r>
    </w:p>
    <w:p>
      <w:pPr>
        <w:pageBreakBefore w:val="0"/>
        <w:kinsoku/>
        <w:wordWrap/>
        <w:overflowPunct/>
        <w:topLinePunct w:val="0"/>
        <w:autoSpaceDE/>
        <w:autoSpaceDN/>
        <w:bidi w:val="0"/>
        <w:snapToGrid w:val="0"/>
        <w:spacing w:line="42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（9）被依法暂停或者取消投标资格；</w:t>
      </w:r>
    </w:p>
    <w:p>
      <w:pPr>
        <w:pageBreakBefore w:val="0"/>
        <w:kinsoku/>
        <w:wordWrap/>
        <w:overflowPunct/>
        <w:topLinePunct w:val="0"/>
        <w:autoSpaceDE/>
        <w:autoSpaceDN/>
        <w:bidi w:val="0"/>
        <w:snapToGrid w:val="0"/>
        <w:spacing w:line="42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（10）被责令停产停业、暂扣或者吊销许可证、暂扣或者吊销执照；</w:t>
      </w:r>
    </w:p>
    <w:p>
      <w:pPr>
        <w:pageBreakBefore w:val="0"/>
        <w:kinsoku/>
        <w:wordWrap/>
        <w:overflowPunct/>
        <w:topLinePunct w:val="0"/>
        <w:autoSpaceDE/>
        <w:autoSpaceDN/>
        <w:bidi w:val="0"/>
        <w:snapToGrid w:val="0"/>
        <w:spacing w:line="42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（11）进入清算程序，或被宣告破产，或其他丧失履约能力的情形；</w:t>
      </w:r>
    </w:p>
    <w:p>
      <w:pPr>
        <w:pageBreakBefore w:val="0"/>
        <w:kinsoku/>
        <w:wordWrap/>
        <w:overflowPunct/>
        <w:topLinePunct w:val="0"/>
        <w:autoSpaceDE/>
        <w:autoSpaceDN/>
        <w:bidi w:val="0"/>
        <w:snapToGrid w:val="0"/>
        <w:spacing w:line="42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（12）被“信用中国”、“中国</w:t>
      </w:r>
      <w:r>
        <w:rPr>
          <w:rFonts w:hint="eastAsia" w:ascii="仿宋" w:hAnsi="仿宋" w:eastAsia="仿宋" w:cs="仿宋"/>
          <w:color w:val="auto"/>
          <w:sz w:val="24"/>
          <w:highlight w:val="none"/>
          <w:lang w:eastAsia="zh-CN"/>
        </w:rPr>
        <w:t>采购</w:t>
      </w:r>
      <w:r>
        <w:rPr>
          <w:rFonts w:hint="eastAsia" w:ascii="仿宋" w:hAnsi="仿宋" w:eastAsia="仿宋" w:cs="仿宋"/>
          <w:color w:val="auto"/>
          <w:sz w:val="24"/>
          <w:highlight w:val="none"/>
        </w:rPr>
        <w:t>网”列入失信被执行人、重大税收违法案件当事人名单、投标严重违法失信行为记录名单或尚在行政处罚期内的；</w:t>
      </w:r>
    </w:p>
    <w:p>
      <w:pPr>
        <w:pageBreakBefore w:val="0"/>
        <w:kinsoku/>
        <w:wordWrap/>
        <w:overflowPunct/>
        <w:topLinePunct w:val="0"/>
        <w:autoSpaceDE/>
        <w:autoSpaceDN/>
        <w:bidi w:val="0"/>
        <w:snapToGrid w:val="0"/>
        <w:spacing w:line="42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（13）法律法规或投标人须知前附表规定的其他情形。</w:t>
      </w:r>
    </w:p>
    <w:p>
      <w:pPr>
        <w:pageBreakBefore w:val="0"/>
        <w:kinsoku/>
        <w:wordWrap/>
        <w:overflowPunct/>
        <w:topLinePunct w:val="0"/>
        <w:autoSpaceDE/>
        <w:autoSpaceDN/>
        <w:bidi w:val="0"/>
        <w:snapToGrid w:val="0"/>
        <w:spacing w:line="42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5.单位负责人为同一人或者存在直接控股、管理关系的不同供应商，不得参加同一合同项下的投标活动。</w:t>
      </w:r>
    </w:p>
    <w:p>
      <w:pPr>
        <w:pageBreakBefore w:val="0"/>
        <w:widowControl/>
        <w:kinsoku/>
        <w:wordWrap/>
        <w:overflowPunct/>
        <w:topLinePunct w:val="0"/>
        <w:autoSpaceDE/>
        <w:autoSpaceDN/>
        <w:bidi w:val="0"/>
        <w:spacing w:line="42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6.公益一类事业单位不得参与承接政府购买服务。</w:t>
      </w:r>
    </w:p>
    <w:bookmarkEnd w:id="47"/>
    <w:bookmarkEnd w:id="48"/>
    <w:bookmarkEnd w:id="49"/>
    <w:bookmarkEnd w:id="50"/>
    <w:bookmarkEnd w:id="51"/>
    <w:bookmarkEnd w:id="52"/>
    <w:bookmarkEnd w:id="53"/>
    <w:bookmarkEnd w:id="54"/>
    <w:p>
      <w:pPr>
        <w:pStyle w:val="5"/>
        <w:pageBreakBefore w:val="0"/>
        <w:kinsoku/>
        <w:wordWrap/>
        <w:overflowPunct/>
        <w:topLinePunct w:val="0"/>
        <w:autoSpaceDE/>
        <w:autoSpaceDN/>
        <w:bidi w:val="0"/>
        <w:spacing w:line="420" w:lineRule="exact"/>
        <w:ind w:firstLine="562" w:firstLineChars="200"/>
        <w:textAlignment w:val="auto"/>
        <w:rPr>
          <w:rFonts w:hint="eastAsia" w:ascii="仿宋" w:hAnsi="仿宋" w:eastAsia="仿宋" w:cs="仿宋"/>
          <w:color w:val="auto"/>
          <w:highlight w:val="none"/>
        </w:rPr>
      </w:pPr>
      <w:bookmarkStart w:id="73" w:name="_Toc498955005"/>
      <w:bookmarkStart w:id="74" w:name="_Toc246996930"/>
      <w:bookmarkStart w:id="75" w:name="_Toc144974510"/>
      <w:bookmarkStart w:id="76" w:name="_Toc152045542"/>
      <w:bookmarkStart w:id="77" w:name="_Toc152042318"/>
      <w:bookmarkStart w:id="78" w:name="_Toc179632560"/>
      <w:bookmarkStart w:id="79" w:name="_Toc246996187"/>
      <w:bookmarkStart w:id="80" w:name="_Toc444093615"/>
      <w:bookmarkStart w:id="81" w:name="_Toc247085701"/>
      <w:r>
        <w:rPr>
          <w:rFonts w:hint="eastAsia" w:ascii="仿宋" w:hAnsi="仿宋" w:eastAsia="仿宋" w:cs="仿宋"/>
          <w:color w:val="auto"/>
          <w:highlight w:val="none"/>
        </w:rPr>
        <w:t>（五）</w:t>
      </w:r>
      <w:bookmarkEnd w:id="73"/>
      <w:bookmarkStart w:id="82" w:name="_Toc144974504"/>
      <w:bookmarkStart w:id="83" w:name="_Toc444093609"/>
      <w:bookmarkStart w:id="84" w:name="_Toc179632553"/>
      <w:bookmarkStart w:id="85" w:name="_Toc152045536"/>
      <w:bookmarkStart w:id="86" w:name="_Toc152042312"/>
      <w:bookmarkStart w:id="87" w:name="_Toc246996924"/>
      <w:bookmarkStart w:id="88" w:name="_Toc247085695"/>
      <w:bookmarkStart w:id="89" w:name="_Toc246996181"/>
      <w:r>
        <w:rPr>
          <w:rFonts w:hint="eastAsia" w:ascii="仿宋" w:hAnsi="仿宋" w:eastAsia="仿宋" w:cs="仿宋"/>
          <w:color w:val="auto"/>
          <w:highlight w:val="none"/>
        </w:rPr>
        <w:t>投标费用和安全责任</w:t>
      </w:r>
    </w:p>
    <w:p>
      <w:pPr>
        <w:pageBreakBefore w:val="0"/>
        <w:kinsoku/>
        <w:wordWrap/>
        <w:overflowPunct/>
        <w:topLinePunct w:val="0"/>
        <w:autoSpaceDE/>
        <w:autoSpaceDN/>
        <w:bidi w:val="0"/>
        <w:snapToGrid w:val="0"/>
        <w:spacing w:line="42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1.投标人准备和参加投标活动发生的费用自理。不论投标结果如何，投标人均应自行承担所有与投标有关的全部费用。</w:t>
      </w:r>
    </w:p>
    <w:p>
      <w:pPr>
        <w:pageBreakBefore w:val="0"/>
        <w:kinsoku/>
        <w:wordWrap/>
        <w:overflowPunct/>
        <w:topLinePunct w:val="0"/>
        <w:autoSpaceDE/>
        <w:autoSpaceDN/>
        <w:bidi w:val="0"/>
        <w:snapToGrid w:val="0"/>
        <w:spacing w:line="42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2.在采购及合同执行过程中，供应商应承担由于其行为所造成的人身伤害、财产损失或损坏的责任，无论何种原因所造成的，采购人均不负责。</w:t>
      </w:r>
    </w:p>
    <w:bookmarkEnd w:id="82"/>
    <w:bookmarkEnd w:id="83"/>
    <w:bookmarkEnd w:id="84"/>
    <w:bookmarkEnd w:id="85"/>
    <w:bookmarkEnd w:id="86"/>
    <w:bookmarkEnd w:id="87"/>
    <w:bookmarkEnd w:id="88"/>
    <w:bookmarkEnd w:id="89"/>
    <w:p>
      <w:pPr>
        <w:pStyle w:val="5"/>
        <w:pageBreakBefore w:val="0"/>
        <w:kinsoku/>
        <w:wordWrap/>
        <w:overflowPunct/>
        <w:topLinePunct w:val="0"/>
        <w:autoSpaceDE/>
        <w:autoSpaceDN/>
        <w:bidi w:val="0"/>
        <w:spacing w:line="420" w:lineRule="exact"/>
        <w:ind w:firstLine="562" w:firstLineChars="200"/>
        <w:textAlignment w:val="auto"/>
        <w:rPr>
          <w:rFonts w:hint="eastAsia" w:ascii="仿宋" w:hAnsi="仿宋" w:eastAsia="仿宋" w:cs="仿宋"/>
          <w:color w:val="auto"/>
          <w:highlight w:val="none"/>
        </w:rPr>
      </w:pPr>
      <w:bookmarkStart w:id="90" w:name="_Toc144974505"/>
      <w:bookmarkStart w:id="91" w:name="_Toc246996925"/>
      <w:bookmarkStart w:id="92" w:name="_Toc152045537"/>
      <w:bookmarkStart w:id="93" w:name="_Toc152042313"/>
      <w:bookmarkStart w:id="94" w:name="_Toc247085696"/>
      <w:bookmarkStart w:id="95" w:name="_Toc498955007"/>
      <w:bookmarkStart w:id="96" w:name="_Toc246996182"/>
      <w:bookmarkStart w:id="97" w:name="_Toc179632554"/>
      <w:bookmarkStart w:id="98" w:name="_Toc444093610"/>
      <w:r>
        <w:rPr>
          <w:rFonts w:hint="eastAsia" w:ascii="仿宋" w:hAnsi="仿宋" w:eastAsia="仿宋" w:cs="仿宋"/>
          <w:color w:val="auto"/>
          <w:highlight w:val="none"/>
        </w:rPr>
        <w:t>（六）语言</w:t>
      </w:r>
      <w:bookmarkEnd w:id="90"/>
      <w:r>
        <w:rPr>
          <w:rFonts w:hint="eastAsia" w:ascii="仿宋" w:hAnsi="仿宋" w:eastAsia="仿宋" w:cs="仿宋"/>
          <w:color w:val="auto"/>
          <w:highlight w:val="none"/>
        </w:rPr>
        <w:t>文字</w:t>
      </w:r>
      <w:bookmarkEnd w:id="91"/>
      <w:bookmarkEnd w:id="92"/>
      <w:bookmarkEnd w:id="93"/>
      <w:bookmarkEnd w:id="94"/>
      <w:bookmarkEnd w:id="95"/>
      <w:bookmarkEnd w:id="96"/>
      <w:bookmarkEnd w:id="97"/>
      <w:bookmarkEnd w:id="98"/>
      <w:r>
        <w:rPr>
          <w:rFonts w:hint="eastAsia" w:ascii="仿宋" w:hAnsi="仿宋" w:eastAsia="仿宋" w:cs="仿宋"/>
          <w:color w:val="auto"/>
          <w:highlight w:val="none"/>
        </w:rPr>
        <w:t>和计量</w:t>
      </w:r>
      <w:bookmarkStart w:id="99" w:name="_Toc246996926"/>
      <w:bookmarkStart w:id="100" w:name="_Toc498955008"/>
      <w:bookmarkStart w:id="101" w:name="_Toc152045538"/>
      <w:bookmarkStart w:id="102" w:name="_Toc152042314"/>
      <w:bookmarkStart w:id="103" w:name="_Toc247085697"/>
      <w:bookmarkStart w:id="104" w:name="_Toc179632555"/>
      <w:bookmarkStart w:id="105" w:name="_Toc144974506"/>
      <w:bookmarkStart w:id="106" w:name="_Toc444093611"/>
      <w:bookmarkStart w:id="107" w:name="_Toc246996183"/>
    </w:p>
    <w:p>
      <w:pPr>
        <w:pageBreakBefore w:val="0"/>
        <w:kinsoku/>
        <w:wordWrap/>
        <w:overflowPunct/>
        <w:topLinePunct w:val="0"/>
        <w:autoSpaceDE/>
        <w:autoSpaceDN/>
        <w:bidi w:val="0"/>
        <w:snapToGrid w:val="0"/>
        <w:spacing w:line="42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1.招标投标文件使用的语言文字为中文。专用术语使用外文的，应附有中文注释。</w:t>
      </w:r>
    </w:p>
    <w:p>
      <w:pPr>
        <w:pageBreakBefore w:val="0"/>
        <w:kinsoku/>
        <w:wordWrap/>
        <w:overflowPunct/>
        <w:topLinePunct w:val="0"/>
        <w:autoSpaceDE/>
        <w:autoSpaceDN/>
        <w:bidi w:val="0"/>
        <w:snapToGrid w:val="0"/>
        <w:spacing w:line="42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2.投标计量单位，招标采购文件已有明确规定的，使用招标采购文件规定的计量单位；招标采购文件没有规定的，应采用中华人民共和国法定计量单位（货币单位：人民币元），否则视同未响应。</w:t>
      </w:r>
    </w:p>
    <w:p>
      <w:pPr>
        <w:pStyle w:val="5"/>
        <w:pageBreakBefore w:val="0"/>
        <w:kinsoku/>
        <w:wordWrap/>
        <w:overflowPunct/>
        <w:topLinePunct w:val="0"/>
        <w:autoSpaceDE/>
        <w:autoSpaceDN/>
        <w:bidi w:val="0"/>
        <w:spacing w:line="420" w:lineRule="exact"/>
        <w:ind w:firstLine="562"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（七）计量单位</w:t>
      </w:r>
      <w:bookmarkEnd w:id="99"/>
      <w:bookmarkEnd w:id="100"/>
      <w:bookmarkEnd w:id="101"/>
      <w:bookmarkEnd w:id="102"/>
      <w:bookmarkEnd w:id="103"/>
      <w:bookmarkEnd w:id="104"/>
      <w:bookmarkEnd w:id="105"/>
      <w:bookmarkEnd w:id="106"/>
      <w:bookmarkEnd w:id="107"/>
    </w:p>
    <w:p>
      <w:pPr>
        <w:pageBreakBefore w:val="0"/>
        <w:kinsoku/>
        <w:wordWrap/>
        <w:overflowPunct/>
        <w:topLinePunct w:val="0"/>
        <w:autoSpaceDE/>
        <w:autoSpaceDN/>
        <w:bidi w:val="0"/>
        <w:snapToGrid w:val="0"/>
        <w:spacing w:line="42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所有计量均采用中华人民共和国法定计量单位。</w:t>
      </w:r>
    </w:p>
    <w:p>
      <w:pPr>
        <w:pStyle w:val="5"/>
        <w:pageBreakBefore w:val="0"/>
        <w:kinsoku/>
        <w:wordWrap/>
        <w:overflowPunct/>
        <w:topLinePunct w:val="0"/>
        <w:autoSpaceDE/>
        <w:autoSpaceDN/>
        <w:bidi w:val="0"/>
        <w:spacing w:line="420" w:lineRule="exact"/>
        <w:ind w:firstLine="562" w:firstLineChars="200"/>
        <w:textAlignment w:val="auto"/>
        <w:rPr>
          <w:rFonts w:hint="eastAsia" w:ascii="仿宋" w:hAnsi="仿宋" w:eastAsia="仿宋" w:cs="仿宋"/>
          <w:color w:val="auto"/>
          <w:highlight w:val="none"/>
        </w:rPr>
      </w:pPr>
      <w:bookmarkStart w:id="108" w:name="_Toc444093612"/>
      <w:bookmarkStart w:id="109" w:name="_Toc498955009"/>
      <w:bookmarkStart w:id="110" w:name="_Toc247592876"/>
      <w:bookmarkStart w:id="111" w:name="_Toc152045539"/>
      <w:bookmarkStart w:id="112" w:name="_Toc152042315"/>
      <w:bookmarkStart w:id="113" w:name="_Toc247527563"/>
      <w:bookmarkStart w:id="114" w:name="_Toc144974507"/>
      <w:bookmarkStart w:id="115" w:name="_Toc247513962"/>
      <w:r>
        <w:rPr>
          <w:rFonts w:hint="eastAsia" w:ascii="仿宋" w:hAnsi="仿宋" w:eastAsia="仿宋" w:cs="仿宋"/>
          <w:color w:val="auto"/>
          <w:highlight w:val="none"/>
        </w:rPr>
        <w:t>（八）踏勘现场</w:t>
      </w:r>
      <w:bookmarkEnd w:id="108"/>
      <w:bookmarkEnd w:id="109"/>
      <w:bookmarkEnd w:id="110"/>
      <w:bookmarkEnd w:id="111"/>
      <w:bookmarkEnd w:id="112"/>
      <w:bookmarkEnd w:id="113"/>
      <w:bookmarkEnd w:id="114"/>
      <w:bookmarkEnd w:id="115"/>
    </w:p>
    <w:p>
      <w:pPr>
        <w:pageBreakBefore w:val="0"/>
        <w:kinsoku/>
        <w:wordWrap/>
        <w:overflowPunct/>
        <w:topLinePunct w:val="0"/>
        <w:autoSpaceDE/>
        <w:autoSpaceDN/>
        <w:bidi w:val="0"/>
        <w:snapToGrid w:val="0"/>
        <w:spacing w:line="420" w:lineRule="exact"/>
        <w:ind w:firstLine="480" w:firstLineChars="200"/>
        <w:jc w:val="left"/>
        <w:textAlignment w:val="auto"/>
        <w:rPr>
          <w:rFonts w:hint="eastAsia" w:ascii="仿宋" w:hAnsi="仿宋" w:eastAsia="仿宋" w:cs="仿宋"/>
          <w:color w:val="auto"/>
          <w:sz w:val="24"/>
          <w:highlight w:val="none"/>
        </w:rPr>
      </w:pPr>
      <w:bookmarkStart w:id="116" w:name="_Toc247527564"/>
      <w:bookmarkStart w:id="117" w:name="_Toc444093613"/>
      <w:bookmarkStart w:id="118" w:name="_Toc247592877"/>
      <w:bookmarkStart w:id="119" w:name="_Toc144974508"/>
      <w:bookmarkStart w:id="120" w:name="_Toc152045540"/>
      <w:bookmarkStart w:id="121" w:name="_Toc247513963"/>
      <w:bookmarkStart w:id="122" w:name="_Toc152042316"/>
      <w:r>
        <w:rPr>
          <w:rFonts w:hint="eastAsia" w:ascii="仿宋" w:hAnsi="仿宋" w:eastAsia="仿宋" w:cs="仿宋"/>
          <w:color w:val="auto"/>
          <w:sz w:val="24"/>
          <w:highlight w:val="none"/>
        </w:rPr>
        <w:t>1.投标人须知前附表规定组织踏勘现场的，采购人按投标人须知前附表规定的时间、地点组织投标人踏勘项目现场。部分投标人未按时参加踏勘现场的，不影响踏勘现场的正常进行。</w:t>
      </w:r>
    </w:p>
    <w:p>
      <w:pPr>
        <w:pageBreakBefore w:val="0"/>
        <w:kinsoku/>
        <w:wordWrap/>
        <w:overflowPunct/>
        <w:topLinePunct w:val="0"/>
        <w:autoSpaceDE/>
        <w:autoSpaceDN/>
        <w:bidi w:val="0"/>
        <w:snapToGrid w:val="0"/>
        <w:spacing w:line="42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2.投标人踏勘现场发生的费用自理。</w:t>
      </w:r>
    </w:p>
    <w:p>
      <w:pPr>
        <w:pageBreakBefore w:val="0"/>
        <w:kinsoku/>
        <w:wordWrap/>
        <w:overflowPunct/>
        <w:topLinePunct w:val="0"/>
        <w:autoSpaceDE/>
        <w:autoSpaceDN/>
        <w:bidi w:val="0"/>
        <w:snapToGrid w:val="0"/>
        <w:spacing w:line="42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3.除采购人的原因外，投标人自行负责在踏勘现场中所发生的人员伤亡和财产损失。</w:t>
      </w:r>
    </w:p>
    <w:p>
      <w:pPr>
        <w:pageBreakBefore w:val="0"/>
        <w:kinsoku/>
        <w:wordWrap/>
        <w:overflowPunct/>
        <w:topLinePunct w:val="0"/>
        <w:autoSpaceDE/>
        <w:autoSpaceDN/>
        <w:bidi w:val="0"/>
        <w:snapToGrid w:val="0"/>
        <w:spacing w:line="42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4.采购人在踏勘现场中介绍的场地和相关的周边环境情况，供投标人在编制投标文件时参考，采购人不对投标人据此作出的判断和决策负责。</w:t>
      </w:r>
    </w:p>
    <w:bookmarkEnd w:id="116"/>
    <w:bookmarkEnd w:id="117"/>
    <w:bookmarkEnd w:id="118"/>
    <w:bookmarkEnd w:id="119"/>
    <w:bookmarkEnd w:id="120"/>
    <w:bookmarkEnd w:id="121"/>
    <w:bookmarkEnd w:id="122"/>
    <w:p>
      <w:pPr>
        <w:pStyle w:val="5"/>
        <w:pageBreakBefore w:val="0"/>
        <w:kinsoku/>
        <w:wordWrap/>
        <w:overflowPunct/>
        <w:topLinePunct w:val="0"/>
        <w:autoSpaceDE/>
        <w:autoSpaceDN/>
        <w:bidi w:val="0"/>
        <w:spacing w:line="420" w:lineRule="exact"/>
        <w:ind w:firstLine="562"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（九）标前答疑会</w:t>
      </w:r>
    </w:p>
    <w:p>
      <w:pPr>
        <w:pageBreakBefore w:val="0"/>
        <w:kinsoku/>
        <w:wordWrap/>
        <w:overflowPunct/>
        <w:topLinePunct w:val="0"/>
        <w:autoSpaceDE/>
        <w:autoSpaceDN/>
        <w:bidi w:val="0"/>
        <w:snapToGrid w:val="0"/>
        <w:spacing w:line="420" w:lineRule="exact"/>
        <w:ind w:firstLine="480" w:firstLineChars="200"/>
        <w:jc w:val="left"/>
        <w:textAlignment w:val="auto"/>
        <w:rPr>
          <w:rFonts w:hint="eastAsia" w:ascii="仿宋" w:hAnsi="仿宋" w:eastAsia="仿宋" w:cs="仿宋"/>
          <w:color w:val="auto"/>
          <w:sz w:val="24"/>
          <w:highlight w:val="none"/>
        </w:rPr>
      </w:pPr>
      <w:bookmarkStart w:id="123" w:name="_Toc444093614"/>
      <w:r>
        <w:rPr>
          <w:rFonts w:hint="eastAsia" w:ascii="仿宋" w:hAnsi="仿宋" w:eastAsia="仿宋" w:cs="仿宋"/>
          <w:color w:val="auto"/>
          <w:sz w:val="24"/>
          <w:highlight w:val="none"/>
        </w:rPr>
        <w:t>1.投标人须知前附表规定召开标前答疑会的，采购人按投标人须知前附表规定的时间和地点召开标前答疑会，澄清投标人提出的问题。</w:t>
      </w:r>
    </w:p>
    <w:p>
      <w:pPr>
        <w:pageBreakBefore w:val="0"/>
        <w:kinsoku/>
        <w:wordWrap/>
        <w:overflowPunct/>
        <w:topLinePunct w:val="0"/>
        <w:autoSpaceDE/>
        <w:autoSpaceDN/>
        <w:bidi w:val="0"/>
        <w:snapToGrid w:val="0"/>
        <w:spacing w:line="42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2.投标人应按投标人须知前附表规定的时间和形式将提出的问题送达采购人，以便采购人在会议期间澄清。</w:t>
      </w:r>
    </w:p>
    <w:p>
      <w:pPr>
        <w:pageBreakBefore w:val="0"/>
        <w:kinsoku/>
        <w:wordWrap/>
        <w:overflowPunct/>
        <w:topLinePunct w:val="0"/>
        <w:autoSpaceDE/>
        <w:autoSpaceDN/>
        <w:bidi w:val="0"/>
        <w:snapToGrid w:val="0"/>
        <w:spacing w:line="42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3.标前答疑会后，采购人将对投标人所提问题的澄清，以投标人须知前附表规定的形式通知潜在投标人。该澄清内容为招标采购文件的组成部分。</w:t>
      </w:r>
    </w:p>
    <w:bookmarkEnd w:id="123"/>
    <w:p>
      <w:pPr>
        <w:pStyle w:val="5"/>
        <w:pageBreakBefore w:val="0"/>
        <w:kinsoku/>
        <w:wordWrap/>
        <w:overflowPunct/>
        <w:topLinePunct w:val="0"/>
        <w:autoSpaceDE/>
        <w:autoSpaceDN/>
        <w:bidi w:val="0"/>
        <w:spacing w:line="420" w:lineRule="exact"/>
        <w:ind w:firstLine="562" w:firstLineChars="200"/>
        <w:textAlignment w:val="auto"/>
        <w:rPr>
          <w:rFonts w:hint="eastAsia" w:ascii="仿宋" w:hAnsi="仿宋" w:eastAsia="仿宋" w:cs="仿宋"/>
          <w:color w:val="auto"/>
          <w:highlight w:val="none"/>
        </w:rPr>
      </w:pPr>
      <w:bookmarkStart w:id="124" w:name="_Toc498955011"/>
      <w:r>
        <w:rPr>
          <w:rFonts w:hint="eastAsia" w:ascii="仿宋" w:hAnsi="仿宋" w:eastAsia="仿宋" w:cs="仿宋"/>
          <w:color w:val="auto"/>
          <w:highlight w:val="none"/>
        </w:rPr>
        <w:t>（十）转包与分包</w:t>
      </w:r>
      <w:bookmarkEnd w:id="124"/>
      <w:bookmarkStart w:id="125" w:name="_Toc498955012"/>
    </w:p>
    <w:bookmarkEnd w:id="125"/>
    <w:p>
      <w:pPr>
        <w:pStyle w:val="17"/>
        <w:pageBreakBefore w:val="0"/>
        <w:kinsoku/>
        <w:wordWrap/>
        <w:overflowPunct/>
        <w:topLinePunct w:val="0"/>
        <w:autoSpaceDE/>
        <w:autoSpaceDN/>
        <w:bidi w:val="0"/>
        <w:snapToGrid w:val="0"/>
        <w:spacing w:before="0" w:beforeLines="0" w:after="0" w:afterLines="0" w:line="420" w:lineRule="exact"/>
        <w:ind w:firstLine="480" w:firstLineChars="200"/>
        <w:textAlignment w:val="auto"/>
        <w:outlineLvl w:val="9"/>
        <w:rPr>
          <w:rFonts w:hint="eastAsia" w:ascii="仿宋" w:hAnsi="仿宋" w:eastAsia="仿宋" w:cs="仿宋"/>
          <w:color w:val="auto"/>
          <w:highlight w:val="none"/>
        </w:rPr>
      </w:pPr>
      <w:r>
        <w:rPr>
          <w:rFonts w:hint="eastAsia" w:ascii="仿宋" w:hAnsi="仿宋" w:eastAsia="仿宋" w:cs="仿宋"/>
          <w:color w:val="auto"/>
          <w:highlight w:val="none"/>
        </w:rPr>
        <w:t>1.本项目不允许转包；</w:t>
      </w:r>
    </w:p>
    <w:p>
      <w:pPr>
        <w:pStyle w:val="17"/>
        <w:pageBreakBefore w:val="0"/>
        <w:kinsoku/>
        <w:wordWrap/>
        <w:overflowPunct/>
        <w:topLinePunct w:val="0"/>
        <w:autoSpaceDE/>
        <w:autoSpaceDN/>
        <w:bidi w:val="0"/>
        <w:snapToGrid w:val="0"/>
        <w:spacing w:before="0" w:beforeLines="0" w:after="0" w:afterLines="0" w:line="420" w:lineRule="exact"/>
        <w:ind w:firstLine="480" w:firstLineChars="200"/>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highlight w:val="none"/>
        </w:rPr>
        <w:t>2.本项目</w:t>
      </w:r>
      <w:r>
        <w:rPr>
          <w:rFonts w:hint="eastAsia" w:ascii="仿宋" w:hAnsi="仿宋" w:eastAsia="仿宋" w:cs="仿宋"/>
          <w:color w:val="auto"/>
          <w:highlight w:val="none"/>
          <w:lang w:eastAsia="zh-CN"/>
        </w:rPr>
        <w:t>不</w:t>
      </w:r>
      <w:r>
        <w:rPr>
          <w:rFonts w:hint="eastAsia" w:ascii="仿宋" w:hAnsi="仿宋" w:eastAsia="仿宋" w:cs="仿宋"/>
          <w:color w:val="auto"/>
          <w:highlight w:val="none"/>
        </w:rPr>
        <w:t>允许分包。</w:t>
      </w:r>
    </w:p>
    <w:bookmarkEnd w:id="74"/>
    <w:bookmarkEnd w:id="75"/>
    <w:bookmarkEnd w:id="76"/>
    <w:bookmarkEnd w:id="77"/>
    <w:bookmarkEnd w:id="78"/>
    <w:bookmarkEnd w:id="79"/>
    <w:bookmarkEnd w:id="80"/>
    <w:bookmarkEnd w:id="81"/>
    <w:p>
      <w:pPr>
        <w:pStyle w:val="4"/>
        <w:pageBreakBefore w:val="0"/>
        <w:kinsoku/>
        <w:wordWrap/>
        <w:overflowPunct/>
        <w:topLinePunct w:val="0"/>
        <w:autoSpaceDE/>
        <w:autoSpaceDN/>
        <w:bidi w:val="0"/>
        <w:spacing w:line="420" w:lineRule="exact"/>
        <w:ind w:firstLine="562"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二、招标采购文件</w:t>
      </w:r>
    </w:p>
    <w:p>
      <w:pPr>
        <w:pStyle w:val="5"/>
        <w:pageBreakBefore w:val="0"/>
        <w:kinsoku/>
        <w:wordWrap/>
        <w:overflowPunct/>
        <w:topLinePunct w:val="0"/>
        <w:autoSpaceDE/>
        <w:autoSpaceDN/>
        <w:bidi w:val="0"/>
        <w:spacing w:line="420" w:lineRule="exact"/>
        <w:ind w:firstLine="562" w:firstLineChars="200"/>
        <w:textAlignment w:val="auto"/>
        <w:rPr>
          <w:rFonts w:hint="eastAsia" w:ascii="仿宋" w:hAnsi="仿宋" w:eastAsia="仿宋" w:cs="仿宋"/>
          <w:color w:val="auto"/>
          <w:highlight w:val="none"/>
        </w:rPr>
      </w:pPr>
      <w:bookmarkStart w:id="126" w:name="_Toc246996188"/>
      <w:bookmarkStart w:id="127" w:name="_Toc247085702"/>
      <w:bookmarkStart w:id="128" w:name="_Toc152042319"/>
      <w:bookmarkStart w:id="129" w:name="_Toc152045543"/>
      <w:bookmarkStart w:id="130" w:name="_Toc246996931"/>
      <w:bookmarkStart w:id="131" w:name="_Toc179632561"/>
      <w:bookmarkStart w:id="132" w:name="_Toc444093616"/>
      <w:bookmarkStart w:id="133" w:name="_Toc144974511"/>
      <w:bookmarkStart w:id="134" w:name="_Toc498955014"/>
      <w:r>
        <w:rPr>
          <w:rFonts w:hint="eastAsia" w:ascii="仿宋" w:hAnsi="仿宋" w:eastAsia="仿宋" w:cs="仿宋"/>
          <w:color w:val="auto"/>
          <w:highlight w:val="none"/>
        </w:rPr>
        <w:t>（一）招标采购文件的组成</w:t>
      </w:r>
      <w:bookmarkEnd w:id="126"/>
      <w:bookmarkEnd w:id="127"/>
      <w:bookmarkEnd w:id="128"/>
      <w:bookmarkEnd w:id="129"/>
      <w:bookmarkEnd w:id="130"/>
      <w:bookmarkEnd w:id="131"/>
      <w:bookmarkEnd w:id="132"/>
      <w:bookmarkEnd w:id="133"/>
      <w:bookmarkEnd w:id="134"/>
    </w:p>
    <w:p>
      <w:pPr>
        <w:pageBreakBefore w:val="0"/>
        <w:kinsoku/>
        <w:wordWrap/>
        <w:overflowPunct/>
        <w:topLinePunct w:val="0"/>
        <w:autoSpaceDE/>
        <w:autoSpaceDN/>
        <w:bidi w:val="0"/>
        <w:snapToGrid w:val="0"/>
        <w:spacing w:line="420" w:lineRule="exact"/>
        <w:ind w:firstLine="480" w:firstLineChars="200"/>
        <w:jc w:val="left"/>
        <w:textAlignment w:val="auto"/>
        <w:rPr>
          <w:rFonts w:hint="eastAsia" w:ascii="仿宋" w:hAnsi="仿宋" w:eastAsia="仿宋" w:cs="仿宋"/>
          <w:color w:val="auto"/>
          <w:sz w:val="24"/>
          <w:highlight w:val="none"/>
        </w:rPr>
      </w:pPr>
      <w:bookmarkStart w:id="135" w:name="_Toc152042320"/>
      <w:bookmarkStart w:id="136" w:name="_Toc444093617"/>
      <w:bookmarkStart w:id="137" w:name="_Toc144974512"/>
      <w:bookmarkStart w:id="138" w:name="_Toc179632562"/>
      <w:bookmarkStart w:id="139" w:name="_Toc247085703"/>
      <w:bookmarkStart w:id="140" w:name="_Toc152045544"/>
      <w:bookmarkStart w:id="141" w:name="_Toc246996189"/>
      <w:bookmarkStart w:id="142" w:name="_Toc246996932"/>
      <w:r>
        <w:rPr>
          <w:rFonts w:hint="eastAsia" w:ascii="仿宋" w:hAnsi="仿宋" w:eastAsia="仿宋" w:cs="仿宋"/>
          <w:color w:val="auto"/>
          <w:sz w:val="24"/>
          <w:highlight w:val="none"/>
        </w:rPr>
        <w:t>本招标采购文件包括：</w:t>
      </w:r>
    </w:p>
    <w:p>
      <w:pPr>
        <w:pageBreakBefore w:val="0"/>
        <w:kinsoku/>
        <w:wordWrap/>
        <w:overflowPunct/>
        <w:topLinePunct w:val="0"/>
        <w:autoSpaceDE/>
        <w:autoSpaceDN/>
        <w:bidi w:val="0"/>
        <w:snapToGrid w:val="0"/>
        <w:spacing w:line="42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1.招标公告；</w:t>
      </w:r>
    </w:p>
    <w:p>
      <w:pPr>
        <w:pageBreakBefore w:val="0"/>
        <w:kinsoku/>
        <w:wordWrap/>
        <w:overflowPunct/>
        <w:topLinePunct w:val="0"/>
        <w:autoSpaceDE/>
        <w:autoSpaceDN/>
        <w:bidi w:val="0"/>
        <w:snapToGrid w:val="0"/>
        <w:spacing w:line="42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2.投标人须知；</w:t>
      </w:r>
    </w:p>
    <w:p>
      <w:pPr>
        <w:pageBreakBefore w:val="0"/>
        <w:kinsoku/>
        <w:wordWrap/>
        <w:overflowPunct/>
        <w:topLinePunct w:val="0"/>
        <w:autoSpaceDE/>
        <w:autoSpaceDN/>
        <w:bidi w:val="0"/>
        <w:snapToGrid w:val="0"/>
        <w:spacing w:line="42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3.招标采购需求；</w:t>
      </w:r>
    </w:p>
    <w:p>
      <w:pPr>
        <w:pageBreakBefore w:val="0"/>
        <w:kinsoku/>
        <w:wordWrap/>
        <w:overflowPunct/>
        <w:topLinePunct w:val="0"/>
        <w:autoSpaceDE/>
        <w:autoSpaceDN/>
        <w:bidi w:val="0"/>
        <w:snapToGrid w:val="0"/>
        <w:spacing w:line="42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4.合同主要条款；</w:t>
      </w:r>
    </w:p>
    <w:p>
      <w:pPr>
        <w:pageBreakBefore w:val="0"/>
        <w:kinsoku/>
        <w:wordWrap/>
        <w:overflowPunct/>
        <w:topLinePunct w:val="0"/>
        <w:autoSpaceDE/>
        <w:autoSpaceDN/>
        <w:bidi w:val="0"/>
        <w:snapToGrid w:val="0"/>
        <w:spacing w:line="42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5.评标办法；</w:t>
      </w:r>
    </w:p>
    <w:p>
      <w:pPr>
        <w:pageBreakBefore w:val="0"/>
        <w:kinsoku/>
        <w:wordWrap/>
        <w:overflowPunct/>
        <w:topLinePunct w:val="0"/>
        <w:autoSpaceDE/>
        <w:autoSpaceDN/>
        <w:bidi w:val="0"/>
        <w:snapToGrid w:val="0"/>
        <w:spacing w:line="42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6.投标文件格式；</w:t>
      </w:r>
    </w:p>
    <w:p>
      <w:pPr>
        <w:pageBreakBefore w:val="0"/>
        <w:kinsoku/>
        <w:wordWrap/>
        <w:overflowPunct/>
        <w:topLinePunct w:val="0"/>
        <w:autoSpaceDE/>
        <w:autoSpaceDN/>
        <w:bidi w:val="0"/>
        <w:snapToGrid w:val="0"/>
        <w:spacing w:line="42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7.投标人须知前附表规定的其他资料；</w:t>
      </w:r>
    </w:p>
    <w:p>
      <w:pPr>
        <w:pageBreakBefore w:val="0"/>
        <w:kinsoku/>
        <w:wordWrap/>
        <w:overflowPunct/>
        <w:topLinePunct w:val="0"/>
        <w:autoSpaceDE/>
        <w:autoSpaceDN/>
        <w:bidi w:val="0"/>
        <w:snapToGrid w:val="0"/>
        <w:spacing w:line="42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8.本项目招标采购文件的更正、澄清、修改的内容，构成招标采购文件的组成部分。</w:t>
      </w:r>
    </w:p>
    <w:p>
      <w:pPr>
        <w:pStyle w:val="5"/>
        <w:pageBreakBefore w:val="0"/>
        <w:kinsoku/>
        <w:wordWrap/>
        <w:overflowPunct/>
        <w:topLinePunct w:val="0"/>
        <w:autoSpaceDE/>
        <w:autoSpaceDN/>
        <w:bidi w:val="0"/>
        <w:spacing w:line="420" w:lineRule="exact"/>
        <w:ind w:firstLine="562"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（二）投标人的风险</w:t>
      </w:r>
    </w:p>
    <w:p>
      <w:pPr>
        <w:pageBreakBefore w:val="0"/>
        <w:kinsoku/>
        <w:wordWrap/>
        <w:overflowPunct/>
        <w:topLinePunct w:val="0"/>
        <w:autoSpaceDE/>
        <w:autoSpaceDN/>
        <w:bidi w:val="0"/>
        <w:snapToGrid w:val="0"/>
        <w:spacing w:line="42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投标人未按照招标采购文件要求提供全部资料，或者投标人未对招标采购文件在各方面作出实质性响应是投标人的风险，并可能导致其投标被拒绝。</w:t>
      </w:r>
      <w:bookmarkEnd w:id="135"/>
      <w:bookmarkEnd w:id="136"/>
      <w:bookmarkEnd w:id="137"/>
      <w:bookmarkEnd w:id="138"/>
      <w:bookmarkEnd w:id="139"/>
      <w:bookmarkEnd w:id="140"/>
      <w:bookmarkEnd w:id="141"/>
      <w:bookmarkEnd w:id="142"/>
    </w:p>
    <w:p>
      <w:pPr>
        <w:pStyle w:val="5"/>
        <w:pageBreakBefore w:val="0"/>
        <w:kinsoku/>
        <w:wordWrap/>
        <w:overflowPunct/>
        <w:topLinePunct w:val="0"/>
        <w:autoSpaceDE/>
        <w:autoSpaceDN/>
        <w:bidi w:val="0"/>
        <w:spacing w:line="420" w:lineRule="exact"/>
        <w:ind w:firstLine="562"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（三）招标采购文件的澄清与修改</w:t>
      </w:r>
    </w:p>
    <w:p>
      <w:pPr>
        <w:pageBreakBefore w:val="0"/>
        <w:kinsoku/>
        <w:wordWrap/>
        <w:overflowPunct/>
        <w:topLinePunct w:val="0"/>
        <w:autoSpaceDE/>
        <w:autoSpaceDN/>
        <w:bidi w:val="0"/>
        <w:snapToGrid w:val="0"/>
        <w:spacing w:line="42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投标人应认真阅读本招标采购文件，发现其中有误或有不合理要求的，投标人必须在投标人须知前附表规定的时间前以书面形式要求采购代理机构澄清。采购代理机构对已发出的招标采购文件进行必要更正、澄清、修改的，应当在招标采购文件要求提交投标文件截止时间15日前，</w:t>
      </w:r>
      <w:r>
        <w:rPr>
          <w:rFonts w:hint="eastAsia" w:ascii="仿宋" w:hAnsi="仿宋" w:eastAsia="仿宋" w:cs="仿宋"/>
          <w:color w:val="auto"/>
          <w:sz w:val="24"/>
          <w:highlight w:val="none"/>
          <w:lang w:eastAsia="zh-CN"/>
        </w:rPr>
        <w:t>浙江政府采购网或武义县公共资源交易网</w:t>
      </w:r>
      <w:r>
        <w:rPr>
          <w:rFonts w:hint="eastAsia" w:ascii="仿宋" w:hAnsi="仿宋" w:eastAsia="仿宋" w:cs="仿宋"/>
          <w:color w:val="auto"/>
          <w:sz w:val="24"/>
          <w:highlight w:val="none"/>
        </w:rPr>
        <w:t>发布更正公告。</w:t>
      </w:r>
    </w:p>
    <w:p>
      <w:pPr>
        <w:pageBreakBefore w:val="0"/>
        <w:kinsoku/>
        <w:wordWrap/>
        <w:overflowPunct/>
        <w:topLinePunct w:val="0"/>
        <w:autoSpaceDE/>
        <w:autoSpaceDN/>
        <w:bidi w:val="0"/>
        <w:snapToGrid w:val="0"/>
        <w:spacing w:line="42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2.采购代理机构必须以</w:t>
      </w:r>
      <w:r>
        <w:rPr>
          <w:rFonts w:hint="eastAsia" w:ascii="仿宋" w:hAnsi="仿宋" w:eastAsia="仿宋" w:cs="仿宋"/>
          <w:color w:val="auto"/>
          <w:sz w:val="24"/>
          <w:highlight w:val="none"/>
          <w:lang w:eastAsia="zh-CN"/>
        </w:rPr>
        <w:t>网上发布公告的形式</w:t>
      </w:r>
      <w:r>
        <w:rPr>
          <w:rFonts w:hint="eastAsia" w:ascii="仿宋" w:hAnsi="仿宋" w:eastAsia="仿宋" w:cs="仿宋"/>
          <w:color w:val="auto"/>
          <w:sz w:val="24"/>
          <w:highlight w:val="none"/>
        </w:rPr>
        <w:t>答复投标人要求澄清的问题，并将不包含问题来源的答复书面通知潜在投标人；除</w:t>
      </w:r>
      <w:r>
        <w:rPr>
          <w:rFonts w:hint="eastAsia" w:ascii="仿宋" w:hAnsi="仿宋" w:eastAsia="仿宋" w:cs="仿宋"/>
          <w:color w:val="auto"/>
          <w:sz w:val="24"/>
          <w:highlight w:val="none"/>
          <w:lang w:eastAsia="zh-CN"/>
        </w:rPr>
        <w:t>网上发布公告形式的</w:t>
      </w:r>
      <w:r>
        <w:rPr>
          <w:rFonts w:hint="eastAsia" w:ascii="仿宋" w:hAnsi="仿宋" w:eastAsia="仿宋" w:cs="仿宋"/>
          <w:color w:val="auto"/>
          <w:sz w:val="24"/>
          <w:highlight w:val="none"/>
        </w:rPr>
        <w:t>答复以外的其他澄清方式及澄清内容均无效。</w:t>
      </w:r>
    </w:p>
    <w:p>
      <w:pPr>
        <w:pageBreakBefore w:val="0"/>
        <w:kinsoku/>
        <w:wordWrap/>
        <w:overflowPunct/>
        <w:topLinePunct w:val="0"/>
        <w:autoSpaceDE/>
        <w:autoSpaceDN/>
        <w:bidi w:val="0"/>
        <w:snapToGrid w:val="0"/>
        <w:spacing w:line="42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3.招标采购文件更正、澄清、修改的内容为招标采购文件的组成部分。当招标采购文件与招标采购文件的更正、澄清、修改内容就同一内容的表述不一致时，以最后发出的公告为准。</w:t>
      </w:r>
    </w:p>
    <w:p>
      <w:pPr>
        <w:pageBreakBefore w:val="0"/>
        <w:kinsoku/>
        <w:wordWrap/>
        <w:overflowPunct/>
        <w:topLinePunct w:val="0"/>
        <w:autoSpaceDE/>
        <w:autoSpaceDN/>
        <w:bidi w:val="0"/>
        <w:snapToGrid w:val="0"/>
        <w:spacing w:line="42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4.招标采购文件的更正、澄清、修改都应该通过采购代理机构以法定形式发布，采购人非通过采购代理机构，不得擅自更正、澄清、修改招标采购文件。</w:t>
      </w:r>
    </w:p>
    <w:p>
      <w:pPr>
        <w:pageBreakBefore w:val="0"/>
        <w:kinsoku/>
        <w:wordWrap/>
        <w:overflowPunct/>
        <w:topLinePunct w:val="0"/>
        <w:autoSpaceDE/>
        <w:autoSpaceDN/>
        <w:bidi w:val="0"/>
        <w:snapToGrid w:val="0"/>
        <w:spacing w:line="42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5.采购人可以视采购具体情况，延长投标截止时间和开标时间，并依法在招标采购文件要求提交投标文件的截止时间5日前，将变更时间在</w:t>
      </w:r>
      <w:r>
        <w:rPr>
          <w:rFonts w:hint="eastAsia" w:ascii="仿宋" w:hAnsi="仿宋" w:eastAsia="仿宋" w:cs="仿宋"/>
          <w:color w:val="auto"/>
          <w:sz w:val="24"/>
          <w:highlight w:val="none"/>
          <w:lang w:eastAsia="zh-CN"/>
        </w:rPr>
        <w:t>浙江政府采购网或武义县公共资源交易网</w:t>
      </w:r>
      <w:r>
        <w:rPr>
          <w:rFonts w:hint="eastAsia" w:ascii="仿宋" w:hAnsi="仿宋" w:eastAsia="仿宋" w:cs="仿宋"/>
          <w:color w:val="auto"/>
          <w:sz w:val="24"/>
          <w:highlight w:val="none"/>
        </w:rPr>
        <w:t>上发布变更公告。</w:t>
      </w:r>
      <w:bookmarkStart w:id="143" w:name="_Toc246996191"/>
      <w:bookmarkStart w:id="144" w:name="_Toc498955018"/>
      <w:bookmarkStart w:id="145" w:name="_Toc444093619"/>
      <w:bookmarkStart w:id="146" w:name="_Toc179632564"/>
      <w:bookmarkStart w:id="147" w:name="_Toc144974514"/>
      <w:bookmarkStart w:id="148" w:name="_Toc152045546"/>
      <w:bookmarkStart w:id="149" w:name="_Toc246996934"/>
      <w:bookmarkStart w:id="150" w:name="_Toc152042322"/>
      <w:bookmarkStart w:id="151" w:name="_Toc247085705"/>
    </w:p>
    <w:bookmarkEnd w:id="143"/>
    <w:bookmarkEnd w:id="144"/>
    <w:bookmarkEnd w:id="145"/>
    <w:bookmarkEnd w:id="146"/>
    <w:bookmarkEnd w:id="147"/>
    <w:bookmarkEnd w:id="148"/>
    <w:bookmarkEnd w:id="149"/>
    <w:bookmarkEnd w:id="150"/>
    <w:bookmarkEnd w:id="151"/>
    <w:p>
      <w:pPr>
        <w:pStyle w:val="4"/>
        <w:pageBreakBefore w:val="0"/>
        <w:kinsoku/>
        <w:wordWrap/>
        <w:overflowPunct/>
        <w:topLinePunct w:val="0"/>
        <w:autoSpaceDE/>
        <w:autoSpaceDN/>
        <w:bidi w:val="0"/>
        <w:spacing w:line="420" w:lineRule="exact"/>
        <w:ind w:firstLine="562"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三、投标文件</w:t>
      </w:r>
    </w:p>
    <w:p>
      <w:pPr>
        <w:pStyle w:val="5"/>
        <w:pageBreakBefore w:val="0"/>
        <w:kinsoku/>
        <w:wordWrap/>
        <w:overflowPunct/>
        <w:topLinePunct w:val="0"/>
        <w:autoSpaceDE/>
        <w:autoSpaceDN/>
        <w:bidi w:val="0"/>
        <w:spacing w:line="420" w:lineRule="exact"/>
        <w:ind w:firstLine="562"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（一）投标文件的组成</w:t>
      </w:r>
      <w:bookmarkStart w:id="152" w:name="_Toc152045547"/>
      <w:bookmarkStart w:id="153" w:name="_Toc152042323"/>
      <w:bookmarkStart w:id="154" w:name="_Toc247085706"/>
      <w:bookmarkStart w:id="155" w:name="_Toc246996192"/>
      <w:bookmarkStart w:id="156" w:name="_Toc179632565"/>
      <w:bookmarkStart w:id="157" w:name="_Toc144974515"/>
      <w:bookmarkStart w:id="158" w:name="_Toc498955019"/>
      <w:bookmarkStart w:id="159" w:name="_Toc246996935"/>
      <w:bookmarkStart w:id="160" w:name="_Toc444093620"/>
      <w:bookmarkStart w:id="161" w:name="_Toc246996936"/>
      <w:bookmarkStart w:id="162" w:name="_Toc498955020"/>
      <w:bookmarkStart w:id="163" w:name="_Toc152042324"/>
      <w:bookmarkStart w:id="164" w:name="_Toc179632566"/>
      <w:bookmarkStart w:id="165" w:name="_Toc246996193"/>
      <w:bookmarkStart w:id="166" w:name="_Toc444093621"/>
      <w:bookmarkStart w:id="167" w:name="_Toc152045548"/>
      <w:bookmarkStart w:id="168" w:name="_Toc144974516"/>
      <w:bookmarkStart w:id="169" w:name="_Toc247085707"/>
    </w:p>
    <w:p>
      <w:pPr>
        <w:pageBreakBefore w:val="0"/>
        <w:kinsoku/>
        <w:wordWrap/>
        <w:overflowPunct/>
        <w:topLinePunct w:val="0"/>
        <w:autoSpaceDE/>
        <w:autoSpaceDN/>
        <w:bidi w:val="0"/>
        <w:snapToGrid w:val="0"/>
        <w:spacing w:line="42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投标文件的组成</w:t>
      </w:r>
      <w:bookmarkEnd w:id="152"/>
      <w:bookmarkEnd w:id="153"/>
      <w:bookmarkEnd w:id="154"/>
      <w:bookmarkEnd w:id="155"/>
      <w:bookmarkEnd w:id="156"/>
      <w:bookmarkEnd w:id="157"/>
      <w:bookmarkEnd w:id="158"/>
      <w:bookmarkEnd w:id="159"/>
      <w:bookmarkEnd w:id="160"/>
      <w:r>
        <w:rPr>
          <w:rFonts w:hint="eastAsia" w:ascii="仿宋" w:hAnsi="仿宋" w:eastAsia="仿宋" w:cs="仿宋"/>
          <w:color w:val="auto"/>
          <w:sz w:val="24"/>
          <w:highlight w:val="none"/>
        </w:rPr>
        <w:t>在投标人须知前附表中载明；投标人在评标过程中作出的符合法律法规和招标采购文件规定的澄清确认，构成投标文件的组成部分。</w:t>
      </w:r>
    </w:p>
    <w:p>
      <w:pPr>
        <w:pStyle w:val="5"/>
        <w:pageBreakBefore w:val="0"/>
        <w:kinsoku/>
        <w:wordWrap/>
        <w:overflowPunct/>
        <w:topLinePunct w:val="0"/>
        <w:autoSpaceDE/>
        <w:autoSpaceDN/>
        <w:bidi w:val="0"/>
        <w:spacing w:line="420" w:lineRule="exact"/>
        <w:ind w:firstLine="562"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（二）投标报价</w:t>
      </w:r>
      <w:bookmarkEnd w:id="161"/>
      <w:bookmarkEnd w:id="162"/>
      <w:bookmarkEnd w:id="163"/>
      <w:bookmarkEnd w:id="164"/>
      <w:bookmarkEnd w:id="165"/>
      <w:bookmarkEnd w:id="166"/>
      <w:bookmarkEnd w:id="167"/>
      <w:bookmarkEnd w:id="168"/>
      <w:bookmarkEnd w:id="169"/>
      <w:bookmarkStart w:id="170" w:name="_Toc246996194"/>
      <w:bookmarkStart w:id="171" w:name="_Toc152045549"/>
      <w:bookmarkStart w:id="172" w:name="_Toc498955021"/>
      <w:bookmarkStart w:id="173" w:name="_Toc247085708"/>
      <w:bookmarkStart w:id="174" w:name="_Toc444093622"/>
      <w:bookmarkStart w:id="175" w:name="_Toc152042325"/>
      <w:bookmarkStart w:id="176" w:name="_Toc144974517"/>
      <w:bookmarkStart w:id="177" w:name="_Toc246996937"/>
      <w:bookmarkStart w:id="178" w:name="_Toc179632567"/>
      <w:r>
        <w:rPr>
          <w:rFonts w:hint="eastAsia" w:ascii="仿宋" w:hAnsi="仿宋" w:eastAsia="仿宋" w:cs="仿宋"/>
          <w:color w:val="auto"/>
          <w:highlight w:val="none"/>
        </w:rPr>
        <w:t xml:space="preserve"> </w:t>
      </w:r>
    </w:p>
    <w:p>
      <w:pPr>
        <w:pageBreakBefore w:val="0"/>
        <w:kinsoku/>
        <w:wordWrap/>
        <w:overflowPunct/>
        <w:topLinePunct w:val="0"/>
        <w:autoSpaceDE/>
        <w:autoSpaceDN/>
        <w:bidi w:val="0"/>
        <w:spacing w:line="42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1.投标报价应包括国家规定的增值税税金，除投标人须知前附表另有规定外。</w:t>
      </w:r>
    </w:p>
    <w:p>
      <w:pPr>
        <w:pageBreakBefore w:val="0"/>
        <w:kinsoku/>
        <w:wordWrap/>
        <w:overflowPunct/>
        <w:topLinePunct w:val="0"/>
        <w:autoSpaceDE/>
        <w:autoSpaceDN/>
        <w:bidi w:val="0"/>
        <w:spacing w:line="42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2.投标人应充分了解该项目的总体情况以及影响投标报价的其他要素。</w:t>
      </w:r>
    </w:p>
    <w:p>
      <w:pPr>
        <w:pageBreakBefore w:val="0"/>
        <w:kinsoku/>
        <w:wordWrap/>
        <w:overflowPunct/>
        <w:topLinePunct w:val="0"/>
        <w:autoSpaceDE/>
        <w:autoSpaceDN/>
        <w:bidi w:val="0"/>
        <w:spacing w:line="42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3.本项目的报价方式见投标人须知前附表。投标人在投标截止时间前修改报价一览表中的投标报价，应同时修改投标文件“清单报价”中的相应报价。</w:t>
      </w:r>
    </w:p>
    <w:p>
      <w:pPr>
        <w:pageBreakBefore w:val="0"/>
        <w:kinsoku/>
        <w:wordWrap/>
        <w:overflowPunct/>
        <w:topLinePunct w:val="0"/>
        <w:autoSpaceDE/>
        <w:autoSpaceDN/>
        <w:bidi w:val="0"/>
        <w:spacing w:line="42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4.采购人设有最高限价的，投标人的投标报价不得超过最高限价，最高限价在投标人须知前附表中载明。</w:t>
      </w:r>
    </w:p>
    <w:p>
      <w:pPr>
        <w:pageBreakBefore w:val="0"/>
        <w:kinsoku/>
        <w:wordWrap/>
        <w:overflowPunct/>
        <w:topLinePunct w:val="0"/>
        <w:autoSpaceDE/>
        <w:autoSpaceDN/>
        <w:bidi w:val="0"/>
        <w:spacing w:line="42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5.投标报价的其他要求见投标人须知前附表。</w:t>
      </w:r>
    </w:p>
    <w:p>
      <w:pPr>
        <w:pStyle w:val="5"/>
        <w:pageBreakBefore w:val="0"/>
        <w:kinsoku/>
        <w:wordWrap/>
        <w:overflowPunct/>
        <w:topLinePunct w:val="0"/>
        <w:autoSpaceDE/>
        <w:autoSpaceDN/>
        <w:bidi w:val="0"/>
        <w:spacing w:line="420" w:lineRule="exact"/>
        <w:ind w:firstLine="562"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（三）投标有效期</w:t>
      </w:r>
      <w:bookmarkEnd w:id="170"/>
      <w:bookmarkEnd w:id="171"/>
      <w:bookmarkEnd w:id="172"/>
      <w:bookmarkEnd w:id="173"/>
      <w:bookmarkEnd w:id="174"/>
      <w:bookmarkEnd w:id="175"/>
      <w:bookmarkEnd w:id="176"/>
      <w:bookmarkEnd w:id="177"/>
      <w:bookmarkEnd w:id="178"/>
    </w:p>
    <w:p>
      <w:pPr>
        <w:pageBreakBefore w:val="0"/>
        <w:kinsoku/>
        <w:wordWrap/>
        <w:overflowPunct/>
        <w:topLinePunct w:val="0"/>
        <w:autoSpaceDE/>
        <w:autoSpaceDN/>
        <w:bidi w:val="0"/>
        <w:spacing w:line="420" w:lineRule="exact"/>
        <w:ind w:firstLine="480" w:firstLineChars="200"/>
        <w:textAlignment w:val="auto"/>
        <w:rPr>
          <w:rFonts w:hint="eastAsia" w:ascii="仿宋" w:hAnsi="仿宋" w:eastAsia="仿宋" w:cs="仿宋"/>
          <w:color w:val="auto"/>
          <w:sz w:val="24"/>
          <w:highlight w:val="none"/>
        </w:rPr>
      </w:pPr>
      <w:bookmarkStart w:id="179" w:name="_Toc179632568"/>
      <w:bookmarkStart w:id="180" w:name="_Toc247085709"/>
      <w:bookmarkStart w:id="181" w:name="_Toc152045550"/>
      <w:bookmarkStart w:id="182" w:name="_Toc144974518"/>
      <w:bookmarkStart w:id="183" w:name="_Toc246996195"/>
      <w:bookmarkStart w:id="184" w:name="_Toc444093623"/>
      <w:bookmarkStart w:id="185" w:name="_Toc498955022"/>
      <w:bookmarkStart w:id="186" w:name="_Toc246996938"/>
      <w:bookmarkStart w:id="187" w:name="_Toc152042326"/>
      <w:r>
        <w:rPr>
          <w:rFonts w:hint="eastAsia" w:ascii="仿宋" w:hAnsi="仿宋" w:eastAsia="仿宋" w:cs="仿宋"/>
          <w:color w:val="auto"/>
          <w:sz w:val="24"/>
          <w:highlight w:val="none"/>
        </w:rPr>
        <w:t>1.除投标人须知前附表另有规定外，投标有效期为90天。</w:t>
      </w:r>
    </w:p>
    <w:p>
      <w:pPr>
        <w:pageBreakBefore w:val="0"/>
        <w:kinsoku/>
        <w:wordWrap/>
        <w:overflowPunct/>
        <w:topLinePunct w:val="0"/>
        <w:autoSpaceDE/>
        <w:autoSpaceDN/>
        <w:bidi w:val="0"/>
        <w:spacing w:line="42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2.在投标有效期内，投标人撤销投标文件的，应承担招标采购文件和法律规定的责任。</w:t>
      </w:r>
    </w:p>
    <w:p>
      <w:pPr>
        <w:pageBreakBefore w:val="0"/>
        <w:kinsoku/>
        <w:wordWrap/>
        <w:overflowPunct/>
        <w:topLinePunct w:val="0"/>
        <w:autoSpaceDE/>
        <w:autoSpaceDN/>
        <w:bidi w:val="0"/>
        <w:spacing w:line="42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3.出现特殊情况需要延长投标有效期的，采购人以书面形式通知所有投标人延长投标有效期。投标人应予以书面答复，同意延长但不得要求或被允许修改其投标文件；投标人拒绝延长的，其投标失效。</w:t>
      </w:r>
    </w:p>
    <w:p>
      <w:pPr>
        <w:pStyle w:val="5"/>
        <w:pageBreakBefore w:val="0"/>
        <w:kinsoku/>
        <w:wordWrap/>
        <w:overflowPunct/>
        <w:topLinePunct w:val="0"/>
        <w:autoSpaceDE/>
        <w:autoSpaceDN/>
        <w:bidi w:val="0"/>
        <w:spacing w:line="420" w:lineRule="exact"/>
        <w:ind w:firstLine="562" w:firstLineChars="200"/>
        <w:textAlignment w:val="auto"/>
        <w:rPr>
          <w:rFonts w:hint="eastAsia" w:ascii="仿宋" w:hAnsi="仿宋" w:eastAsia="仿宋" w:cs="仿宋"/>
          <w:color w:val="auto"/>
          <w:highlight w:val="none"/>
        </w:rPr>
      </w:pPr>
      <w:r>
        <w:rPr>
          <w:rFonts w:hint="eastAsia" w:ascii="仿宋" w:hAnsi="仿宋" w:eastAsia="仿宋" w:cs="仿宋"/>
          <w:b/>
          <w:bCs/>
          <w:color w:val="auto"/>
          <w:highlight w:val="none"/>
        </w:rPr>
        <w:t>（四）投标保证金</w:t>
      </w:r>
      <w:bookmarkEnd w:id="179"/>
      <w:bookmarkEnd w:id="180"/>
      <w:bookmarkEnd w:id="181"/>
      <w:bookmarkEnd w:id="182"/>
      <w:bookmarkEnd w:id="183"/>
      <w:bookmarkEnd w:id="184"/>
      <w:bookmarkEnd w:id="185"/>
      <w:bookmarkEnd w:id="186"/>
      <w:bookmarkEnd w:id="187"/>
      <w:r>
        <w:rPr>
          <w:rFonts w:hint="eastAsia" w:ascii="仿宋" w:hAnsi="仿宋" w:eastAsia="仿宋" w:cs="仿宋"/>
          <w:b/>
          <w:bCs/>
          <w:color w:val="auto"/>
          <w:highlight w:val="none"/>
        </w:rPr>
        <w:t>（见</w:t>
      </w:r>
      <w:r>
        <w:rPr>
          <w:rFonts w:hint="eastAsia" w:ascii="仿宋" w:hAnsi="仿宋" w:eastAsia="仿宋" w:cs="仿宋"/>
          <w:b/>
          <w:bCs/>
          <w:color w:val="auto"/>
          <w:highlight w:val="none"/>
          <w:lang w:eastAsia="zh-CN"/>
        </w:rPr>
        <w:t>本章前附表</w:t>
      </w:r>
      <w:r>
        <w:rPr>
          <w:rFonts w:hint="eastAsia" w:ascii="仿宋" w:hAnsi="仿宋" w:eastAsia="仿宋" w:cs="仿宋"/>
          <w:color w:val="auto"/>
          <w:highlight w:val="none"/>
        </w:rPr>
        <w:t>）</w:t>
      </w:r>
    </w:p>
    <w:p>
      <w:pPr>
        <w:pStyle w:val="5"/>
        <w:pageBreakBefore w:val="0"/>
        <w:kinsoku/>
        <w:wordWrap/>
        <w:overflowPunct/>
        <w:topLinePunct w:val="0"/>
        <w:autoSpaceDE/>
        <w:autoSpaceDN/>
        <w:bidi w:val="0"/>
        <w:spacing w:line="420" w:lineRule="exact"/>
        <w:ind w:firstLine="562" w:firstLineChars="200"/>
        <w:textAlignment w:val="auto"/>
        <w:rPr>
          <w:rFonts w:hint="eastAsia" w:ascii="仿宋" w:hAnsi="仿宋" w:eastAsia="仿宋" w:cs="仿宋"/>
          <w:color w:val="auto"/>
          <w:highlight w:val="none"/>
        </w:rPr>
      </w:pPr>
      <w:bookmarkStart w:id="188" w:name="_Toc516904472"/>
      <w:bookmarkStart w:id="189" w:name="_Toc516904560"/>
      <w:bookmarkStart w:id="190" w:name="_Toc490652487"/>
      <w:r>
        <w:rPr>
          <w:rFonts w:hint="eastAsia" w:ascii="仿宋" w:hAnsi="仿宋" w:eastAsia="仿宋" w:cs="仿宋"/>
          <w:color w:val="auto"/>
          <w:highlight w:val="none"/>
        </w:rPr>
        <w:t>（五）资格审查资料</w:t>
      </w:r>
      <w:bookmarkEnd w:id="188"/>
      <w:bookmarkEnd w:id="189"/>
      <w:bookmarkEnd w:id="190"/>
    </w:p>
    <w:p>
      <w:pPr>
        <w:pageBreakBefore w:val="0"/>
        <w:kinsoku/>
        <w:wordWrap/>
        <w:overflowPunct/>
        <w:topLinePunct w:val="0"/>
        <w:autoSpaceDE/>
        <w:autoSpaceDN/>
        <w:bidi w:val="0"/>
        <w:spacing w:line="42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投标人应按要求提交资格文件及符合招标文件规定的文件。</w:t>
      </w:r>
    </w:p>
    <w:p>
      <w:pPr>
        <w:pStyle w:val="5"/>
        <w:pageBreakBefore w:val="0"/>
        <w:kinsoku/>
        <w:wordWrap/>
        <w:overflowPunct/>
        <w:topLinePunct w:val="0"/>
        <w:autoSpaceDE/>
        <w:autoSpaceDN/>
        <w:bidi w:val="0"/>
        <w:spacing w:line="420" w:lineRule="exact"/>
        <w:ind w:firstLine="562" w:firstLineChars="200"/>
        <w:textAlignment w:val="auto"/>
        <w:rPr>
          <w:rFonts w:hint="eastAsia" w:ascii="仿宋" w:hAnsi="仿宋" w:eastAsia="仿宋" w:cs="仿宋"/>
          <w:color w:val="auto"/>
          <w:highlight w:val="none"/>
        </w:rPr>
      </w:pPr>
      <w:bookmarkStart w:id="191" w:name="_Toc444093625"/>
      <w:bookmarkStart w:id="192" w:name="_Toc179632571"/>
      <w:bookmarkStart w:id="193" w:name="_Toc246996940"/>
      <w:bookmarkStart w:id="194" w:name="_Toc498955025"/>
      <w:bookmarkStart w:id="195" w:name="_Toc144974521"/>
      <w:bookmarkStart w:id="196" w:name="_Toc246996197"/>
      <w:bookmarkStart w:id="197" w:name="_Toc152042329"/>
      <w:bookmarkStart w:id="198" w:name="_Toc247085711"/>
      <w:bookmarkStart w:id="199" w:name="_Toc152045553"/>
      <w:r>
        <w:rPr>
          <w:rFonts w:hint="eastAsia" w:ascii="仿宋" w:hAnsi="仿宋" w:eastAsia="仿宋" w:cs="仿宋"/>
          <w:color w:val="auto"/>
          <w:highlight w:val="none"/>
        </w:rPr>
        <w:t>（六）投标文件的编制</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color w:val="auto"/>
          <w:sz w:val="24"/>
          <w:szCs w:val="24"/>
          <w:highlight w:val="none"/>
        </w:rPr>
      </w:pPr>
      <w:bookmarkStart w:id="200" w:name="_Toc14577355"/>
      <w:bookmarkStart w:id="201" w:name="_Toc49090508"/>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投标文件</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资格文件、商务技术文件和</w:t>
      </w:r>
      <w:r>
        <w:rPr>
          <w:rFonts w:hint="eastAsia" w:ascii="仿宋" w:hAnsi="仿宋" w:eastAsia="仿宋" w:cs="仿宋"/>
          <w:color w:val="auto"/>
          <w:sz w:val="24"/>
          <w:szCs w:val="24"/>
          <w:highlight w:val="none"/>
          <w:lang w:eastAsia="zh-CN"/>
        </w:rPr>
        <w:t>报价文件）</w:t>
      </w:r>
      <w:r>
        <w:rPr>
          <w:rFonts w:hint="eastAsia" w:ascii="仿宋" w:hAnsi="仿宋" w:eastAsia="仿宋" w:cs="仿宋"/>
          <w:color w:val="auto"/>
          <w:sz w:val="24"/>
          <w:szCs w:val="24"/>
          <w:highlight w:val="none"/>
        </w:rPr>
        <w:t>应按第六章“投标文件格式”进行编写，如有必要，可以增加附页，作为投标文件的组成部分。在满足</w:t>
      </w:r>
      <w:r>
        <w:rPr>
          <w:rFonts w:hint="eastAsia" w:ascii="仿宋" w:hAnsi="仿宋" w:eastAsia="仿宋" w:cs="仿宋"/>
          <w:color w:val="auto"/>
          <w:sz w:val="24"/>
          <w:szCs w:val="24"/>
          <w:highlight w:val="none"/>
          <w:lang w:eastAsia="zh-CN"/>
        </w:rPr>
        <w:t>招标采购文件</w:t>
      </w:r>
      <w:r>
        <w:rPr>
          <w:rFonts w:hint="eastAsia" w:ascii="仿宋" w:hAnsi="仿宋" w:eastAsia="仿宋" w:cs="仿宋"/>
          <w:color w:val="auto"/>
          <w:sz w:val="24"/>
          <w:szCs w:val="24"/>
          <w:highlight w:val="none"/>
        </w:rPr>
        <w:t>实质性要求的基础上，可以提出比</w:t>
      </w:r>
      <w:r>
        <w:rPr>
          <w:rFonts w:hint="eastAsia" w:ascii="仿宋" w:hAnsi="仿宋" w:eastAsia="仿宋" w:cs="仿宋"/>
          <w:color w:val="auto"/>
          <w:sz w:val="24"/>
          <w:szCs w:val="24"/>
          <w:highlight w:val="none"/>
          <w:lang w:eastAsia="zh-CN"/>
        </w:rPr>
        <w:t>招标采购文件</w:t>
      </w:r>
      <w:r>
        <w:rPr>
          <w:rFonts w:hint="eastAsia" w:ascii="仿宋" w:hAnsi="仿宋" w:eastAsia="仿宋" w:cs="仿宋"/>
          <w:color w:val="auto"/>
          <w:sz w:val="24"/>
          <w:szCs w:val="24"/>
          <w:highlight w:val="none"/>
        </w:rPr>
        <w:t>要求更有利于采购人的承诺。</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投标文件应当对</w:t>
      </w:r>
      <w:r>
        <w:rPr>
          <w:rFonts w:hint="eastAsia" w:ascii="仿宋" w:hAnsi="仿宋" w:eastAsia="仿宋" w:cs="仿宋"/>
          <w:color w:val="auto"/>
          <w:sz w:val="24"/>
          <w:szCs w:val="24"/>
          <w:highlight w:val="none"/>
          <w:lang w:eastAsia="zh-CN"/>
        </w:rPr>
        <w:t>招标采购文件</w:t>
      </w:r>
      <w:r>
        <w:rPr>
          <w:rFonts w:hint="eastAsia" w:ascii="仿宋" w:hAnsi="仿宋" w:eastAsia="仿宋" w:cs="仿宋"/>
          <w:color w:val="auto"/>
          <w:sz w:val="24"/>
          <w:szCs w:val="24"/>
          <w:highlight w:val="none"/>
        </w:rPr>
        <w:t>有关服务期限、投标有效期、</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要求、招标范围等实质性内容作出响应。</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投标文件（</w:t>
      </w:r>
      <w:r>
        <w:rPr>
          <w:rFonts w:hint="eastAsia" w:ascii="仿宋" w:hAnsi="仿宋" w:eastAsia="仿宋" w:cs="仿宋"/>
          <w:color w:val="auto"/>
          <w:sz w:val="24"/>
          <w:szCs w:val="24"/>
          <w:highlight w:val="none"/>
          <w:lang w:eastAsia="zh-CN"/>
        </w:rPr>
        <w:t>资格文件、商务技术文件</w:t>
      </w:r>
      <w:r>
        <w:rPr>
          <w:rFonts w:hint="eastAsia" w:ascii="仿宋" w:hAnsi="仿宋" w:eastAsia="仿宋" w:cs="仿宋"/>
          <w:color w:val="auto"/>
          <w:sz w:val="24"/>
          <w:szCs w:val="24"/>
          <w:highlight w:val="none"/>
        </w:rPr>
        <w:t>和报价文件）份数见投标人须知前附表。</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投标文件（</w:t>
      </w:r>
      <w:r>
        <w:rPr>
          <w:rFonts w:hint="eastAsia" w:ascii="仿宋" w:hAnsi="仿宋" w:eastAsia="仿宋" w:cs="仿宋"/>
          <w:color w:val="auto"/>
          <w:sz w:val="24"/>
          <w:szCs w:val="24"/>
          <w:highlight w:val="none"/>
          <w:lang w:eastAsia="zh-CN"/>
        </w:rPr>
        <w:t>资格文件、商务技术文件</w:t>
      </w:r>
      <w:r>
        <w:rPr>
          <w:rFonts w:hint="eastAsia" w:ascii="仿宋" w:hAnsi="仿宋" w:eastAsia="仿宋" w:cs="仿宋"/>
          <w:color w:val="auto"/>
          <w:sz w:val="24"/>
          <w:szCs w:val="24"/>
          <w:highlight w:val="none"/>
        </w:rPr>
        <w:t>和报价文件）应分别制作，并编制目录和页码。投标文件需具体要求见投标人须知前附表规定。</w:t>
      </w:r>
    </w:p>
    <w:p>
      <w:pPr>
        <w:pStyle w:val="5"/>
        <w:pageBreakBefore w:val="0"/>
        <w:kinsoku/>
        <w:wordWrap/>
        <w:overflowPunct/>
        <w:topLinePunct w:val="0"/>
        <w:autoSpaceDE/>
        <w:autoSpaceDN/>
        <w:bidi w:val="0"/>
        <w:spacing w:line="420" w:lineRule="exact"/>
        <w:ind w:firstLine="562"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（七）投标产品配置与分项报价</w:t>
      </w:r>
      <w:bookmarkEnd w:id="200"/>
      <w:bookmarkStart w:id="202" w:name="_Hlt26670373"/>
      <w:bookmarkEnd w:id="202"/>
      <w:r>
        <w:rPr>
          <w:rFonts w:hint="eastAsia" w:ascii="仿宋" w:hAnsi="仿宋" w:eastAsia="仿宋" w:cs="仿宋"/>
          <w:color w:val="auto"/>
          <w:highlight w:val="none"/>
        </w:rPr>
        <w:t>表</w:t>
      </w:r>
      <w:bookmarkEnd w:id="201"/>
    </w:p>
    <w:p>
      <w:pPr>
        <w:pageBreakBefore w:val="0"/>
        <w:kinsoku/>
        <w:wordWrap/>
        <w:overflowPunct/>
        <w:topLinePunct w:val="0"/>
        <w:autoSpaceDE/>
        <w:autoSpaceDN/>
        <w:bidi w:val="0"/>
        <w:spacing w:line="42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1.投</w:t>
      </w:r>
      <w:bookmarkStart w:id="203" w:name="_Hlt26954840"/>
      <w:bookmarkEnd w:id="203"/>
      <w:r>
        <w:rPr>
          <w:rFonts w:hint="eastAsia" w:ascii="仿宋" w:hAnsi="仿宋" w:eastAsia="仿宋" w:cs="仿宋"/>
          <w:color w:val="auto"/>
          <w:sz w:val="24"/>
          <w:highlight w:val="none"/>
        </w:rPr>
        <w:t>标人应按照招标文件规定格式填报投标产品配置与分项报价表</w:t>
      </w:r>
      <w:bookmarkStart w:id="204" w:name="_Hlt26670399"/>
      <w:bookmarkEnd w:id="204"/>
      <w:r>
        <w:rPr>
          <w:rFonts w:hint="eastAsia" w:ascii="仿宋" w:hAnsi="仿宋" w:eastAsia="仿宋" w:cs="仿宋"/>
          <w:color w:val="auto"/>
          <w:sz w:val="24"/>
          <w:highlight w:val="none"/>
        </w:rPr>
        <w:t>，在表中标明所提供的设备品牌或服务名称、规格、型号、原产地。每项货物和服务等只允许有一个报价，任何有选择的报价将不予接受(如有备选配件，备选配件的报价不属于选择的报价)；</w:t>
      </w:r>
    </w:p>
    <w:p>
      <w:pPr>
        <w:pageBreakBefore w:val="0"/>
        <w:kinsoku/>
        <w:wordWrap/>
        <w:overflowPunct/>
        <w:topLinePunct w:val="0"/>
        <w:autoSpaceDE/>
        <w:autoSpaceDN/>
        <w:bidi w:val="0"/>
        <w:spacing w:line="42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2.投标产品配置与分项报价表上的价格应按下列方式分开填写；</w:t>
      </w:r>
    </w:p>
    <w:p>
      <w:pPr>
        <w:pageBreakBefore w:val="0"/>
        <w:kinsoku/>
        <w:wordWrap/>
        <w:overflowPunct/>
        <w:topLinePunct w:val="0"/>
        <w:autoSpaceDE/>
        <w:autoSpaceDN/>
        <w:bidi w:val="0"/>
        <w:spacing w:line="42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3.技术参数及服务要求响应及偏离表、商务条款响应及偏离表及投标货物说明；</w:t>
      </w:r>
    </w:p>
    <w:p>
      <w:pPr>
        <w:pageBreakBefore w:val="0"/>
        <w:kinsoku/>
        <w:wordWrap/>
        <w:overflowPunct/>
        <w:topLinePunct w:val="0"/>
        <w:autoSpaceDE/>
        <w:autoSpaceDN/>
        <w:bidi w:val="0"/>
        <w:spacing w:line="42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4.对招标文件中的技术与商务条款要求逐项做出响应或偏离，并说明原因；</w:t>
      </w:r>
    </w:p>
    <w:p>
      <w:pPr>
        <w:pageBreakBefore w:val="0"/>
        <w:kinsoku/>
        <w:wordWrap/>
        <w:overflowPunct/>
        <w:topLinePunct w:val="0"/>
        <w:autoSpaceDE/>
        <w:autoSpaceDN/>
        <w:bidi w:val="0"/>
        <w:spacing w:line="42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5.详细阐述所投货物的主要组成部分、功能设计、实现思路及关键技术；</w:t>
      </w:r>
    </w:p>
    <w:p>
      <w:pPr>
        <w:pageBreakBefore w:val="0"/>
        <w:kinsoku/>
        <w:wordWrap/>
        <w:overflowPunct/>
        <w:topLinePunct w:val="0"/>
        <w:autoSpaceDE/>
        <w:autoSpaceDN/>
        <w:bidi w:val="0"/>
        <w:spacing w:line="420" w:lineRule="exact"/>
        <w:ind w:firstLine="48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4"/>
          <w:highlight w:val="none"/>
        </w:rPr>
        <w:t>6.投标人的服务承诺应按不低于招标文件中商务要求的标准。</w:t>
      </w:r>
    </w:p>
    <w:bookmarkEnd w:id="191"/>
    <w:bookmarkEnd w:id="192"/>
    <w:bookmarkEnd w:id="193"/>
    <w:bookmarkEnd w:id="194"/>
    <w:bookmarkEnd w:id="195"/>
    <w:bookmarkEnd w:id="196"/>
    <w:bookmarkEnd w:id="197"/>
    <w:bookmarkEnd w:id="198"/>
    <w:bookmarkEnd w:id="199"/>
    <w:p>
      <w:pPr>
        <w:pStyle w:val="4"/>
        <w:pageBreakBefore w:val="0"/>
        <w:kinsoku/>
        <w:wordWrap/>
        <w:overflowPunct/>
        <w:topLinePunct w:val="0"/>
        <w:autoSpaceDE/>
        <w:autoSpaceDN/>
        <w:bidi w:val="0"/>
        <w:spacing w:line="420" w:lineRule="exact"/>
        <w:ind w:firstLine="562" w:firstLineChars="200"/>
        <w:textAlignment w:val="auto"/>
        <w:rPr>
          <w:rFonts w:hint="eastAsia" w:ascii="仿宋" w:hAnsi="仿宋" w:eastAsia="仿宋" w:cs="仿宋"/>
          <w:color w:val="auto"/>
          <w:highlight w:val="none"/>
        </w:rPr>
      </w:pPr>
      <w:bookmarkStart w:id="205" w:name="_Toc179632584"/>
      <w:bookmarkStart w:id="206" w:name="_Toc152045566"/>
      <w:bookmarkStart w:id="207" w:name="_Toc246996210"/>
      <w:bookmarkStart w:id="208" w:name="_Toc444093639"/>
      <w:bookmarkStart w:id="209" w:name="_Toc247085724"/>
      <w:bookmarkStart w:id="210" w:name="_Toc152042342"/>
      <w:bookmarkStart w:id="211" w:name="_Toc144974534"/>
      <w:bookmarkStart w:id="212" w:name="_Toc246996953"/>
      <w:bookmarkStart w:id="213" w:name="_Toc498955039"/>
      <w:bookmarkStart w:id="214" w:name="_Toc247085722"/>
      <w:bookmarkStart w:id="215" w:name="_Toc246996951"/>
      <w:bookmarkStart w:id="216" w:name="_Toc444093636"/>
      <w:bookmarkStart w:id="217" w:name="_Toc246996208"/>
      <w:bookmarkStart w:id="218" w:name="_Toc179632582"/>
      <w:bookmarkStart w:id="219" w:name="_Toc144974532"/>
      <w:bookmarkStart w:id="220" w:name="_Toc152045564"/>
      <w:bookmarkStart w:id="221" w:name="_Toc152042340"/>
      <w:bookmarkStart w:id="222" w:name="_Toc498955037"/>
      <w:r>
        <w:rPr>
          <w:rFonts w:hint="eastAsia" w:ascii="仿宋" w:hAnsi="仿宋" w:eastAsia="仿宋" w:cs="仿宋"/>
          <w:color w:val="auto"/>
          <w:highlight w:val="none"/>
        </w:rPr>
        <w:t>四、投标</w:t>
      </w:r>
    </w:p>
    <w:p>
      <w:pPr>
        <w:pStyle w:val="5"/>
        <w:pageBreakBefore w:val="0"/>
        <w:kinsoku/>
        <w:wordWrap/>
        <w:overflowPunct/>
        <w:topLinePunct w:val="0"/>
        <w:autoSpaceDE/>
        <w:autoSpaceDN/>
        <w:bidi w:val="0"/>
        <w:spacing w:line="420" w:lineRule="exact"/>
        <w:ind w:firstLine="562" w:firstLineChars="200"/>
        <w:textAlignment w:val="auto"/>
        <w:rPr>
          <w:rFonts w:hint="eastAsia" w:ascii="仿宋" w:hAnsi="仿宋" w:eastAsia="仿宋" w:cs="仿宋"/>
          <w:color w:val="auto"/>
          <w:highlight w:val="none"/>
        </w:rPr>
      </w:pPr>
      <w:bookmarkStart w:id="223" w:name="_Toc444093627"/>
      <w:bookmarkStart w:id="224" w:name="_Toc246996200"/>
      <w:bookmarkStart w:id="225" w:name="_Toc498955027"/>
      <w:bookmarkStart w:id="226" w:name="_Toc247085714"/>
      <w:bookmarkStart w:id="227" w:name="_Toc144974524"/>
      <w:bookmarkStart w:id="228" w:name="_Toc152042332"/>
      <w:bookmarkStart w:id="229" w:name="_Toc179632574"/>
      <w:bookmarkStart w:id="230" w:name="_Toc246996943"/>
      <w:bookmarkStart w:id="231" w:name="_Toc152045556"/>
      <w:r>
        <w:rPr>
          <w:rFonts w:hint="eastAsia" w:ascii="仿宋" w:hAnsi="仿宋" w:eastAsia="仿宋" w:cs="仿宋"/>
          <w:color w:val="auto"/>
          <w:highlight w:val="none"/>
        </w:rPr>
        <w:t>（一）投标文件的密封和标记</w:t>
      </w:r>
      <w:bookmarkEnd w:id="223"/>
      <w:bookmarkEnd w:id="224"/>
      <w:bookmarkEnd w:id="225"/>
      <w:bookmarkEnd w:id="226"/>
      <w:bookmarkEnd w:id="227"/>
      <w:bookmarkEnd w:id="228"/>
      <w:bookmarkEnd w:id="229"/>
      <w:bookmarkEnd w:id="230"/>
      <w:bookmarkEnd w:id="231"/>
      <w:r>
        <w:rPr>
          <w:rFonts w:hint="eastAsia" w:ascii="仿宋" w:hAnsi="仿宋" w:eastAsia="仿宋" w:cs="仿宋"/>
          <w:b/>
          <w:bCs/>
          <w:color w:val="auto"/>
          <w:sz w:val="28"/>
          <w:szCs w:val="28"/>
          <w:highlight w:val="none"/>
          <w:lang w:eastAsia="zh-CN"/>
        </w:rPr>
        <w:t>（</w:t>
      </w:r>
      <w:r>
        <w:rPr>
          <w:rFonts w:hint="eastAsia" w:ascii="仿宋" w:hAnsi="仿宋" w:eastAsia="仿宋" w:cs="仿宋"/>
          <w:b/>
          <w:bCs/>
          <w:color w:val="auto"/>
          <w:sz w:val="28"/>
          <w:szCs w:val="28"/>
          <w:highlight w:val="none"/>
          <w:lang w:val="en-US" w:eastAsia="zh-CN"/>
        </w:rPr>
        <w:t>本项目不适用</w:t>
      </w:r>
      <w:r>
        <w:rPr>
          <w:rFonts w:hint="eastAsia" w:ascii="仿宋" w:hAnsi="仿宋" w:eastAsia="仿宋" w:cs="仿宋"/>
          <w:b/>
          <w:bCs/>
          <w:color w:val="auto"/>
          <w:sz w:val="28"/>
          <w:szCs w:val="28"/>
          <w:highlight w:val="none"/>
          <w:lang w:eastAsia="zh-CN"/>
        </w:rPr>
        <w:t>）</w:t>
      </w:r>
    </w:p>
    <w:p>
      <w:pPr>
        <w:pageBreakBefore w:val="0"/>
        <w:kinsoku/>
        <w:wordWrap/>
        <w:overflowPunct/>
        <w:topLinePunct w:val="0"/>
        <w:autoSpaceDE/>
        <w:autoSpaceDN/>
        <w:bidi w:val="0"/>
        <w:spacing w:line="420" w:lineRule="exact"/>
        <w:ind w:firstLine="480" w:firstLineChars="200"/>
        <w:textAlignment w:val="auto"/>
        <w:rPr>
          <w:rFonts w:hint="eastAsia" w:ascii="仿宋" w:hAnsi="仿宋" w:eastAsia="仿宋" w:cs="仿宋"/>
          <w:color w:val="auto"/>
          <w:sz w:val="24"/>
          <w:highlight w:val="none"/>
        </w:rPr>
      </w:pPr>
      <w:bookmarkStart w:id="232" w:name="_Toc152042333"/>
      <w:bookmarkStart w:id="233" w:name="_Toc152045557"/>
      <w:bookmarkStart w:id="234" w:name="_Toc246996944"/>
      <w:bookmarkStart w:id="235" w:name="_Toc144974525"/>
      <w:bookmarkStart w:id="236" w:name="_Toc444093628"/>
      <w:bookmarkStart w:id="237" w:name="_Toc246996201"/>
      <w:bookmarkStart w:id="238" w:name="_Toc179632575"/>
      <w:bookmarkStart w:id="239" w:name="_Toc247085715"/>
      <w:r>
        <w:rPr>
          <w:rFonts w:hint="eastAsia" w:ascii="仿宋" w:hAnsi="仿宋" w:eastAsia="仿宋" w:cs="仿宋"/>
          <w:color w:val="auto"/>
          <w:sz w:val="24"/>
          <w:highlight w:val="none"/>
        </w:rPr>
        <w:t>1.投标文件应密封包装，并加盖投标人单位公章。</w:t>
      </w:r>
    </w:p>
    <w:p>
      <w:pPr>
        <w:pageBreakBefore w:val="0"/>
        <w:kinsoku/>
        <w:wordWrap/>
        <w:overflowPunct/>
        <w:topLinePunct w:val="0"/>
        <w:autoSpaceDE/>
        <w:autoSpaceDN/>
        <w:bidi w:val="0"/>
        <w:spacing w:line="42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2.投标文件封套上应写明的内容见投标人须知前附表。</w:t>
      </w:r>
    </w:p>
    <w:p>
      <w:pPr>
        <w:pageBreakBefore w:val="0"/>
        <w:kinsoku/>
        <w:wordWrap/>
        <w:overflowPunct/>
        <w:topLinePunct w:val="0"/>
        <w:autoSpaceDE/>
        <w:autoSpaceDN/>
        <w:bidi w:val="0"/>
        <w:spacing w:line="42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3.未按本章要求密封的投标文件，采购人将予以拒收。</w:t>
      </w:r>
    </w:p>
    <w:p>
      <w:pPr>
        <w:pStyle w:val="5"/>
        <w:pageBreakBefore w:val="0"/>
        <w:kinsoku/>
        <w:wordWrap/>
        <w:overflowPunct/>
        <w:topLinePunct w:val="0"/>
        <w:autoSpaceDE/>
        <w:autoSpaceDN/>
        <w:bidi w:val="0"/>
        <w:spacing w:line="420" w:lineRule="exact"/>
        <w:ind w:firstLine="562" w:firstLineChars="200"/>
        <w:textAlignment w:val="auto"/>
        <w:rPr>
          <w:rFonts w:hint="eastAsia" w:ascii="仿宋" w:hAnsi="仿宋" w:eastAsia="仿宋" w:cs="仿宋"/>
          <w:color w:val="auto"/>
          <w:highlight w:val="none"/>
          <w:lang w:eastAsia="zh-CN"/>
        </w:rPr>
      </w:pPr>
      <w:bookmarkStart w:id="240" w:name="_Toc498955028"/>
      <w:r>
        <w:rPr>
          <w:rFonts w:hint="eastAsia" w:ascii="仿宋" w:hAnsi="仿宋" w:eastAsia="仿宋" w:cs="仿宋"/>
          <w:color w:val="auto"/>
          <w:highlight w:val="none"/>
        </w:rPr>
        <w:t>（二）投标文件的</w:t>
      </w:r>
      <w:bookmarkEnd w:id="232"/>
      <w:bookmarkEnd w:id="233"/>
      <w:bookmarkEnd w:id="234"/>
      <w:bookmarkEnd w:id="235"/>
      <w:bookmarkEnd w:id="236"/>
      <w:bookmarkEnd w:id="237"/>
      <w:bookmarkEnd w:id="238"/>
      <w:bookmarkEnd w:id="239"/>
      <w:bookmarkEnd w:id="240"/>
      <w:r>
        <w:rPr>
          <w:rFonts w:hint="eastAsia" w:ascii="仿宋" w:hAnsi="仿宋" w:eastAsia="仿宋" w:cs="仿宋"/>
          <w:color w:val="auto"/>
          <w:highlight w:val="none"/>
          <w:lang w:eastAsia="zh-CN"/>
        </w:rPr>
        <w:t>上传</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color w:val="auto"/>
          <w:sz w:val="24"/>
          <w:szCs w:val="24"/>
          <w:highlight w:val="none"/>
        </w:rPr>
      </w:pPr>
      <w:bookmarkStart w:id="241" w:name="_Toc152045558"/>
      <w:bookmarkStart w:id="242" w:name="_Toc498955029"/>
      <w:bookmarkStart w:id="243" w:name="_Toc246996202"/>
      <w:bookmarkStart w:id="244" w:name="_Toc144974526"/>
      <w:bookmarkStart w:id="245" w:name="_Toc247085716"/>
      <w:bookmarkStart w:id="246" w:name="_Toc246996945"/>
      <w:bookmarkStart w:id="247" w:name="_Toc179632576"/>
      <w:bookmarkStart w:id="248" w:name="_Toc444093629"/>
      <w:bookmarkStart w:id="249" w:name="_Toc152042334"/>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投标人应在投标人须知前附表规定的投标截止时间前</w:t>
      </w:r>
      <w:r>
        <w:rPr>
          <w:rFonts w:hint="eastAsia" w:ascii="仿宋" w:hAnsi="仿宋" w:eastAsia="仿宋" w:cs="仿宋"/>
          <w:color w:val="auto"/>
          <w:sz w:val="24"/>
          <w:szCs w:val="24"/>
          <w:highlight w:val="none"/>
          <w:lang w:val="en-US" w:eastAsia="zh-CN"/>
        </w:rPr>
        <w:t>上传</w:t>
      </w:r>
      <w:r>
        <w:rPr>
          <w:rFonts w:hint="eastAsia" w:ascii="仿宋" w:hAnsi="仿宋" w:eastAsia="仿宋" w:cs="仿宋"/>
          <w:color w:val="auto"/>
          <w:sz w:val="24"/>
          <w:szCs w:val="24"/>
          <w:highlight w:val="none"/>
        </w:rPr>
        <w:t>投标文件。</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投标人</w:t>
      </w:r>
      <w:r>
        <w:rPr>
          <w:rFonts w:hint="eastAsia" w:ascii="仿宋" w:hAnsi="仿宋" w:eastAsia="仿宋" w:cs="仿宋"/>
          <w:color w:val="auto"/>
          <w:sz w:val="24"/>
          <w:szCs w:val="24"/>
          <w:highlight w:val="none"/>
          <w:lang w:eastAsia="zh-CN"/>
        </w:rPr>
        <w:t>上传</w:t>
      </w:r>
      <w:r>
        <w:rPr>
          <w:rFonts w:hint="eastAsia" w:ascii="仿宋" w:hAnsi="仿宋" w:eastAsia="仿宋" w:cs="仿宋"/>
          <w:color w:val="auto"/>
          <w:sz w:val="24"/>
          <w:szCs w:val="24"/>
          <w:highlight w:val="none"/>
        </w:rPr>
        <w:t>投标文件的地点</w:t>
      </w:r>
      <w:r>
        <w:rPr>
          <w:rFonts w:hint="eastAsia" w:ascii="仿宋" w:hAnsi="仿宋" w:eastAsia="仿宋" w:cs="仿宋"/>
          <w:color w:val="auto"/>
          <w:sz w:val="24"/>
          <w:szCs w:val="24"/>
          <w:highlight w:val="none"/>
          <w:lang w:val="en-US" w:eastAsia="zh-CN"/>
        </w:rPr>
        <w:t>及方式</w:t>
      </w:r>
      <w:r>
        <w:rPr>
          <w:rFonts w:hint="eastAsia" w:ascii="仿宋" w:hAnsi="仿宋" w:eastAsia="仿宋" w:cs="仿宋"/>
          <w:color w:val="auto"/>
          <w:sz w:val="24"/>
          <w:szCs w:val="24"/>
          <w:highlight w:val="none"/>
        </w:rPr>
        <w:t>：见投标人须知前附表。</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除投标人须知前附表另有规定外，投标人所</w:t>
      </w:r>
      <w:r>
        <w:rPr>
          <w:rFonts w:hint="eastAsia" w:ascii="仿宋" w:hAnsi="仿宋" w:eastAsia="仿宋" w:cs="仿宋"/>
          <w:color w:val="auto"/>
          <w:sz w:val="24"/>
          <w:szCs w:val="24"/>
          <w:highlight w:val="none"/>
          <w:lang w:eastAsia="zh-CN"/>
        </w:rPr>
        <w:t>上传</w:t>
      </w:r>
      <w:r>
        <w:rPr>
          <w:rFonts w:hint="eastAsia" w:ascii="仿宋" w:hAnsi="仿宋" w:eastAsia="仿宋" w:cs="仿宋"/>
          <w:color w:val="auto"/>
          <w:sz w:val="24"/>
          <w:szCs w:val="24"/>
          <w:highlight w:val="none"/>
        </w:rPr>
        <w:t>的投标文件不予退还。</w:t>
      </w:r>
    </w:p>
    <w:p>
      <w:pPr>
        <w:pStyle w:val="5"/>
        <w:pageBreakBefore w:val="0"/>
        <w:kinsoku/>
        <w:wordWrap/>
        <w:overflowPunct/>
        <w:topLinePunct w:val="0"/>
        <w:autoSpaceDE/>
        <w:autoSpaceDN/>
        <w:bidi w:val="0"/>
        <w:spacing w:line="420" w:lineRule="exact"/>
        <w:ind w:firstLine="562"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（三）投标文件的修改与撤回</w:t>
      </w:r>
      <w:bookmarkEnd w:id="241"/>
      <w:bookmarkEnd w:id="242"/>
      <w:bookmarkEnd w:id="243"/>
      <w:bookmarkEnd w:id="244"/>
      <w:bookmarkEnd w:id="245"/>
      <w:bookmarkEnd w:id="246"/>
      <w:bookmarkEnd w:id="247"/>
      <w:bookmarkEnd w:id="248"/>
      <w:bookmarkEnd w:id="249"/>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color w:val="auto"/>
          <w:sz w:val="24"/>
          <w:szCs w:val="24"/>
          <w:highlight w:val="none"/>
        </w:rPr>
      </w:pPr>
      <w:bookmarkStart w:id="250" w:name="_Toc498955030"/>
      <w:bookmarkStart w:id="251" w:name="_Toc179632577"/>
      <w:bookmarkStart w:id="252" w:name="_Toc247085717"/>
      <w:bookmarkStart w:id="253" w:name="_Toc152045559"/>
      <w:bookmarkStart w:id="254" w:name="_Toc444093630"/>
      <w:bookmarkStart w:id="255" w:name="_Toc152042335"/>
      <w:bookmarkStart w:id="256" w:name="_Toc144974527"/>
      <w:bookmarkStart w:id="257" w:name="_Toc246996203"/>
      <w:bookmarkStart w:id="258" w:name="_Toc246996946"/>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投标人应在投标人须知前附表规定的投标截止时间前，投标人可以修改或撤回已</w:t>
      </w:r>
      <w:r>
        <w:rPr>
          <w:rFonts w:hint="eastAsia" w:ascii="仿宋" w:hAnsi="仿宋" w:eastAsia="仿宋" w:cs="仿宋"/>
          <w:color w:val="auto"/>
          <w:sz w:val="24"/>
          <w:szCs w:val="24"/>
          <w:highlight w:val="none"/>
          <w:lang w:val="en-US" w:eastAsia="zh-CN"/>
        </w:rPr>
        <w:t>上传</w:t>
      </w:r>
      <w:r>
        <w:rPr>
          <w:rFonts w:hint="eastAsia" w:ascii="仿宋" w:hAnsi="仿宋" w:eastAsia="仿宋" w:cs="仿宋"/>
          <w:color w:val="auto"/>
          <w:sz w:val="24"/>
          <w:szCs w:val="24"/>
          <w:highlight w:val="none"/>
        </w:rPr>
        <w:t>的投标文件。</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修改的内容为投标文件的组成部分。修改的投标文件应按照</w:t>
      </w:r>
      <w:r>
        <w:rPr>
          <w:rFonts w:hint="eastAsia" w:ascii="仿宋" w:hAnsi="仿宋" w:eastAsia="仿宋" w:cs="仿宋"/>
          <w:color w:val="auto"/>
          <w:sz w:val="24"/>
          <w:szCs w:val="24"/>
          <w:highlight w:val="none"/>
          <w:lang w:eastAsia="zh-CN"/>
        </w:rPr>
        <w:t>招标采购文件</w:t>
      </w:r>
      <w:r>
        <w:rPr>
          <w:rFonts w:hint="eastAsia" w:ascii="仿宋" w:hAnsi="仿宋" w:eastAsia="仿宋" w:cs="仿宋"/>
          <w:color w:val="auto"/>
          <w:sz w:val="24"/>
          <w:szCs w:val="24"/>
          <w:highlight w:val="none"/>
        </w:rPr>
        <w:t>规定进行编制</w:t>
      </w:r>
      <w:r>
        <w:rPr>
          <w:rFonts w:hint="eastAsia" w:ascii="仿宋" w:hAnsi="仿宋" w:eastAsia="仿宋" w:cs="仿宋"/>
          <w:color w:val="auto"/>
          <w:sz w:val="24"/>
          <w:szCs w:val="24"/>
          <w:highlight w:val="none"/>
          <w:lang w:val="en-US" w:eastAsia="zh-CN"/>
        </w:rPr>
        <w:t>及上传</w:t>
      </w:r>
      <w:r>
        <w:rPr>
          <w:rFonts w:hint="eastAsia" w:ascii="仿宋" w:hAnsi="仿宋" w:eastAsia="仿宋" w:cs="仿宋"/>
          <w:color w:val="auto"/>
          <w:sz w:val="24"/>
          <w:szCs w:val="24"/>
          <w:highlight w:val="none"/>
        </w:rPr>
        <w:t>，并标明“修改”字样。</w:t>
      </w:r>
    </w:p>
    <w:p>
      <w:pPr>
        <w:pStyle w:val="4"/>
        <w:pageBreakBefore w:val="0"/>
        <w:kinsoku/>
        <w:wordWrap/>
        <w:overflowPunct/>
        <w:topLinePunct w:val="0"/>
        <w:autoSpaceDE/>
        <w:autoSpaceDN/>
        <w:bidi w:val="0"/>
        <w:spacing w:line="420" w:lineRule="exact"/>
        <w:ind w:firstLine="562"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五、开标</w:t>
      </w:r>
      <w:bookmarkEnd w:id="250"/>
      <w:bookmarkEnd w:id="251"/>
      <w:bookmarkEnd w:id="252"/>
      <w:bookmarkEnd w:id="253"/>
      <w:bookmarkEnd w:id="254"/>
      <w:bookmarkEnd w:id="255"/>
      <w:bookmarkEnd w:id="256"/>
      <w:bookmarkEnd w:id="257"/>
      <w:bookmarkEnd w:id="258"/>
    </w:p>
    <w:p>
      <w:pPr>
        <w:pStyle w:val="5"/>
        <w:pageBreakBefore w:val="0"/>
        <w:kinsoku/>
        <w:wordWrap/>
        <w:overflowPunct/>
        <w:topLinePunct w:val="0"/>
        <w:autoSpaceDE/>
        <w:autoSpaceDN/>
        <w:bidi w:val="0"/>
        <w:spacing w:line="420" w:lineRule="exact"/>
        <w:ind w:firstLine="562" w:firstLineChars="200"/>
        <w:textAlignment w:val="auto"/>
        <w:rPr>
          <w:rFonts w:hint="eastAsia" w:ascii="仿宋" w:hAnsi="仿宋" w:eastAsia="仿宋" w:cs="仿宋"/>
          <w:color w:val="auto"/>
          <w:highlight w:val="none"/>
        </w:rPr>
      </w:pPr>
      <w:bookmarkStart w:id="259" w:name="_Toc498955031"/>
      <w:bookmarkStart w:id="260" w:name="_Toc247085718"/>
      <w:bookmarkStart w:id="261" w:name="_Toc152045560"/>
      <w:bookmarkStart w:id="262" w:name="_Toc246996204"/>
      <w:bookmarkStart w:id="263" w:name="_Toc444093631"/>
      <w:bookmarkStart w:id="264" w:name="_Toc179632578"/>
      <w:bookmarkStart w:id="265" w:name="_Toc152042336"/>
      <w:bookmarkStart w:id="266" w:name="_Toc246996947"/>
      <w:bookmarkStart w:id="267" w:name="_Toc144974528"/>
      <w:bookmarkStart w:id="268" w:name="_Toc498955035"/>
      <w:bookmarkStart w:id="269" w:name="_Toc444093634"/>
      <w:bookmarkStart w:id="270" w:name="_Toc179632580"/>
      <w:bookmarkStart w:id="271" w:name="_Toc152042338"/>
      <w:bookmarkStart w:id="272" w:name="_Toc247085720"/>
      <w:bookmarkStart w:id="273" w:name="_Toc246996949"/>
      <w:bookmarkStart w:id="274" w:name="_Toc246996206"/>
      <w:bookmarkStart w:id="275" w:name="_Toc144974530"/>
      <w:bookmarkStart w:id="276" w:name="_Toc152045562"/>
      <w:r>
        <w:rPr>
          <w:rFonts w:hint="eastAsia" w:ascii="仿宋" w:hAnsi="仿宋" w:eastAsia="仿宋" w:cs="仿宋"/>
          <w:color w:val="auto"/>
          <w:highlight w:val="none"/>
        </w:rPr>
        <w:t>（一）开标时间和地点</w:t>
      </w:r>
      <w:bookmarkEnd w:id="259"/>
      <w:bookmarkEnd w:id="260"/>
      <w:bookmarkEnd w:id="261"/>
      <w:bookmarkEnd w:id="262"/>
      <w:bookmarkEnd w:id="263"/>
      <w:bookmarkEnd w:id="264"/>
      <w:bookmarkEnd w:id="265"/>
      <w:bookmarkEnd w:id="266"/>
      <w:bookmarkEnd w:id="267"/>
    </w:p>
    <w:p>
      <w:pPr>
        <w:pageBreakBefore w:val="0"/>
        <w:kinsoku/>
        <w:wordWrap/>
        <w:overflowPunct/>
        <w:topLinePunct w:val="0"/>
        <w:autoSpaceDE/>
        <w:autoSpaceDN/>
        <w:bidi w:val="0"/>
        <w:spacing w:line="42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采购人在投标人须知前附表规定的开标时间和投标人须知前附表规定的地点公开开标，并邀请所有投标人的</w:t>
      </w:r>
      <w:r>
        <w:rPr>
          <w:rFonts w:hint="eastAsia" w:ascii="仿宋" w:hAnsi="仿宋" w:eastAsia="仿宋" w:cs="仿宋"/>
          <w:color w:val="auto"/>
          <w:sz w:val="24"/>
          <w:highlight w:val="none"/>
          <w:lang w:eastAsia="zh-CN"/>
        </w:rPr>
        <w:t>法定代表人</w:t>
      </w:r>
      <w:r>
        <w:rPr>
          <w:rFonts w:hint="eastAsia" w:ascii="仿宋" w:hAnsi="仿宋" w:eastAsia="仿宋" w:cs="仿宋"/>
          <w:color w:val="auto"/>
          <w:sz w:val="24"/>
          <w:highlight w:val="none"/>
        </w:rPr>
        <w:t>或其委托代理人准时参加</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并邀请所有投标人的</w:t>
      </w:r>
      <w:r>
        <w:rPr>
          <w:rFonts w:hint="eastAsia" w:ascii="仿宋" w:hAnsi="仿宋" w:eastAsia="仿宋" w:cs="仿宋"/>
          <w:color w:val="auto"/>
          <w:sz w:val="24"/>
          <w:highlight w:val="none"/>
          <w:lang w:eastAsia="zh-CN"/>
        </w:rPr>
        <w:t>法定代表人</w:t>
      </w:r>
      <w:r>
        <w:rPr>
          <w:rFonts w:hint="eastAsia" w:ascii="仿宋" w:hAnsi="仿宋" w:eastAsia="仿宋" w:cs="仿宋"/>
          <w:color w:val="auto"/>
          <w:sz w:val="24"/>
          <w:highlight w:val="none"/>
        </w:rPr>
        <w:t>（或其委托代理人）进入钉钉直播群开标。</w:t>
      </w:r>
    </w:p>
    <w:p>
      <w:pPr>
        <w:pStyle w:val="5"/>
        <w:pageBreakBefore w:val="0"/>
        <w:kinsoku/>
        <w:wordWrap/>
        <w:overflowPunct/>
        <w:topLinePunct w:val="0"/>
        <w:autoSpaceDE/>
        <w:autoSpaceDN/>
        <w:bidi w:val="0"/>
        <w:spacing w:line="420" w:lineRule="exact"/>
        <w:ind w:firstLine="562"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（二）开标程序</w:t>
      </w:r>
    </w:p>
    <w:p>
      <w:pPr>
        <w:pageBreakBefore w:val="0"/>
        <w:kinsoku/>
        <w:wordWrap/>
        <w:overflowPunct/>
        <w:topLinePunct w:val="0"/>
        <w:autoSpaceDE/>
        <w:autoSpaceDN/>
        <w:bidi w:val="0"/>
        <w:spacing w:line="42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1.具体开标程序详见投标人须知前附表。</w:t>
      </w:r>
    </w:p>
    <w:p>
      <w:pPr>
        <w:pageBreakBefore w:val="0"/>
        <w:kinsoku/>
        <w:wordWrap/>
        <w:overflowPunct/>
        <w:topLinePunct w:val="0"/>
        <w:autoSpaceDE/>
        <w:autoSpaceDN/>
        <w:bidi w:val="0"/>
        <w:spacing w:line="420" w:lineRule="exact"/>
        <w:ind w:firstLine="480" w:firstLineChars="200"/>
        <w:textAlignment w:val="auto"/>
        <w:rPr>
          <w:rFonts w:hint="eastAsia" w:ascii="仿宋" w:hAnsi="仿宋" w:eastAsia="仿宋" w:cs="仿宋"/>
          <w:color w:val="auto"/>
          <w:sz w:val="24"/>
          <w:highlight w:val="none"/>
        </w:rPr>
      </w:pPr>
      <w:bookmarkStart w:id="277" w:name="_Toc444093633"/>
      <w:bookmarkStart w:id="278" w:name="_Toc498955034"/>
      <w:r>
        <w:rPr>
          <w:rFonts w:hint="eastAsia" w:ascii="仿宋" w:hAnsi="仿宋" w:eastAsia="仿宋" w:cs="仿宋"/>
          <w:color w:val="auto"/>
          <w:sz w:val="24"/>
          <w:highlight w:val="none"/>
        </w:rPr>
        <w:t>2.若采购人宣读的内容与投标文件不符时，投标人有权在钉钉直播群中提出异议，经监标人当场核查确认之后，可重新宣读其投标文件。若投标人现场未提出异议，则认为投标人已确认采购人宣读的内容。</w:t>
      </w:r>
    </w:p>
    <w:p>
      <w:pPr>
        <w:pStyle w:val="5"/>
        <w:pageBreakBefore w:val="0"/>
        <w:kinsoku/>
        <w:wordWrap/>
        <w:overflowPunct/>
        <w:topLinePunct w:val="0"/>
        <w:autoSpaceDE/>
        <w:autoSpaceDN/>
        <w:bidi w:val="0"/>
        <w:spacing w:line="420" w:lineRule="exact"/>
        <w:ind w:firstLine="562"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（三）开标异议</w:t>
      </w:r>
      <w:bookmarkEnd w:id="277"/>
      <w:bookmarkEnd w:id="278"/>
    </w:p>
    <w:p>
      <w:pPr>
        <w:pageBreakBefore w:val="0"/>
        <w:kinsoku/>
        <w:wordWrap/>
        <w:overflowPunct/>
        <w:topLinePunct w:val="0"/>
        <w:autoSpaceDE/>
        <w:autoSpaceDN/>
        <w:bidi w:val="0"/>
        <w:spacing w:line="42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1.投标人对开标有异议的，应当在钉钉直播群中提出，在质疑材料上加盖单位公章后拍照上传直播群中，采购人当场作出答复，并制作记录。</w:t>
      </w:r>
    </w:p>
    <w:p>
      <w:pPr>
        <w:pageBreakBefore w:val="0"/>
        <w:kinsoku/>
        <w:wordWrap/>
        <w:overflowPunct/>
        <w:topLinePunct w:val="0"/>
        <w:autoSpaceDE/>
        <w:autoSpaceDN/>
        <w:bidi w:val="0"/>
        <w:spacing w:line="42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投标人认为采购过程或中标结果使自己的合法权益受到损害的，应当在中标候选人公示期间内以书面形式向采购代理机构提出质疑，逾期提出质疑的将不予受理、答复。投标人对招标采购单位的质疑答复不满意或者招标采购单位未在规定时间内作出答复的，可以在答复期满后十五个工作日内向采购活动管理部门申请调解，也可以依据民事法律的规定，直接向法院提起民事诉讼。</w:t>
      </w:r>
    </w:p>
    <w:p>
      <w:pPr>
        <w:pageBreakBefore w:val="0"/>
        <w:kinsoku/>
        <w:wordWrap/>
        <w:overflowPunct/>
        <w:topLinePunct w:val="0"/>
        <w:autoSpaceDE/>
        <w:autoSpaceDN/>
        <w:bidi w:val="0"/>
        <w:spacing w:line="42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质疑应当采用书面形式，质疑书均应明确阐述招标采购过程或中标结果中使自己合法权益受到损害的实质性内容，提供相关事实、依据和证据及其来源或线索，便于有关单位调查、答复和处理，否则，将不予受理。</w:t>
      </w:r>
    </w:p>
    <w:p>
      <w:pPr>
        <w:pStyle w:val="4"/>
        <w:pageBreakBefore w:val="0"/>
        <w:kinsoku/>
        <w:wordWrap/>
        <w:overflowPunct/>
        <w:topLinePunct w:val="0"/>
        <w:autoSpaceDE/>
        <w:autoSpaceDN/>
        <w:bidi w:val="0"/>
        <w:spacing w:line="420" w:lineRule="exact"/>
        <w:ind w:firstLine="562"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六、评标</w:t>
      </w:r>
      <w:bookmarkEnd w:id="268"/>
      <w:bookmarkEnd w:id="269"/>
      <w:bookmarkEnd w:id="270"/>
      <w:bookmarkEnd w:id="271"/>
      <w:bookmarkEnd w:id="272"/>
      <w:bookmarkEnd w:id="273"/>
      <w:bookmarkEnd w:id="274"/>
      <w:bookmarkEnd w:id="275"/>
      <w:bookmarkEnd w:id="276"/>
    </w:p>
    <w:p>
      <w:pPr>
        <w:pStyle w:val="5"/>
        <w:pageBreakBefore w:val="0"/>
        <w:kinsoku/>
        <w:wordWrap/>
        <w:overflowPunct/>
        <w:topLinePunct w:val="0"/>
        <w:autoSpaceDE/>
        <w:autoSpaceDN/>
        <w:bidi w:val="0"/>
        <w:spacing w:line="420" w:lineRule="exact"/>
        <w:ind w:firstLine="562"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（一）组建评标委员会</w:t>
      </w:r>
    </w:p>
    <w:p>
      <w:pPr>
        <w:pageBreakBefore w:val="0"/>
        <w:kinsoku/>
        <w:wordWrap/>
        <w:overflowPunct/>
        <w:topLinePunct w:val="0"/>
        <w:autoSpaceDE/>
        <w:autoSpaceDN/>
        <w:bidi w:val="0"/>
        <w:spacing w:line="42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1.评标由采购人依法组建的评标委员会负责。评标委员会由采购人有关技术、经济等方面的专家组成。</w:t>
      </w:r>
    </w:p>
    <w:p>
      <w:pPr>
        <w:pageBreakBefore w:val="0"/>
        <w:kinsoku/>
        <w:wordWrap/>
        <w:overflowPunct/>
        <w:topLinePunct w:val="0"/>
        <w:autoSpaceDE/>
        <w:autoSpaceDN/>
        <w:bidi w:val="0"/>
        <w:spacing w:line="42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2.评标委员会成员有下列情形之一的，应当回避：</w:t>
      </w:r>
    </w:p>
    <w:p>
      <w:pPr>
        <w:pageBreakBefore w:val="0"/>
        <w:kinsoku/>
        <w:wordWrap/>
        <w:overflowPunct/>
        <w:topLinePunct w:val="0"/>
        <w:autoSpaceDE/>
        <w:autoSpaceDN/>
        <w:bidi w:val="0"/>
        <w:spacing w:line="42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（1）参加采购活动前三年内，与供应商存在劳动关系，或者担任过供应商的董事、监事，或者是供应商的控股股东或实际控制人；</w:t>
      </w:r>
    </w:p>
    <w:p>
      <w:pPr>
        <w:pageBreakBefore w:val="0"/>
        <w:kinsoku/>
        <w:wordWrap/>
        <w:overflowPunct/>
        <w:topLinePunct w:val="0"/>
        <w:autoSpaceDE/>
        <w:autoSpaceDN/>
        <w:bidi w:val="0"/>
        <w:spacing w:line="42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（2）与供应商的</w:t>
      </w:r>
      <w:r>
        <w:rPr>
          <w:rFonts w:hint="eastAsia" w:ascii="仿宋" w:hAnsi="仿宋" w:eastAsia="仿宋" w:cs="仿宋"/>
          <w:color w:val="auto"/>
          <w:sz w:val="24"/>
          <w:highlight w:val="none"/>
          <w:lang w:eastAsia="zh-CN"/>
        </w:rPr>
        <w:t>法定代表人</w:t>
      </w:r>
      <w:r>
        <w:rPr>
          <w:rFonts w:hint="eastAsia" w:ascii="仿宋" w:hAnsi="仿宋" w:eastAsia="仿宋" w:cs="仿宋"/>
          <w:color w:val="auto"/>
          <w:sz w:val="24"/>
          <w:highlight w:val="none"/>
        </w:rPr>
        <w:t>或者负责人有夫妻、直系血亲、三代以内旁系血亲或者近姻亲关系；</w:t>
      </w:r>
    </w:p>
    <w:p>
      <w:pPr>
        <w:pageBreakBefore w:val="0"/>
        <w:kinsoku/>
        <w:wordWrap/>
        <w:overflowPunct/>
        <w:topLinePunct w:val="0"/>
        <w:autoSpaceDE/>
        <w:autoSpaceDN/>
        <w:bidi w:val="0"/>
        <w:spacing w:line="42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（3）与供应商有其他可能影响投标活动公平、公正进行的关系。</w:t>
      </w:r>
    </w:p>
    <w:p>
      <w:pPr>
        <w:pageBreakBefore w:val="0"/>
        <w:kinsoku/>
        <w:wordWrap/>
        <w:overflowPunct/>
        <w:topLinePunct w:val="0"/>
        <w:autoSpaceDE/>
        <w:autoSpaceDN/>
        <w:bidi w:val="0"/>
        <w:spacing w:line="42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（4）评审专家发现本人与参加采购活动的供应商有利害关系的，或者已参加过该项目采购文件等论证活动的，应当主动提出回避。</w:t>
      </w:r>
    </w:p>
    <w:p>
      <w:pPr>
        <w:pageBreakBefore w:val="0"/>
        <w:kinsoku/>
        <w:wordWrap/>
        <w:overflowPunct/>
        <w:topLinePunct w:val="0"/>
        <w:autoSpaceDE/>
        <w:autoSpaceDN/>
        <w:bidi w:val="0"/>
        <w:spacing w:line="42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（5）采购活动管理部门工作人员，不得作为评审专家参与招标项目的评审活动。</w:t>
      </w:r>
    </w:p>
    <w:p>
      <w:pPr>
        <w:pageBreakBefore w:val="0"/>
        <w:kinsoku/>
        <w:wordWrap/>
        <w:overflowPunct/>
        <w:topLinePunct w:val="0"/>
        <w:autoSpaceDE/>
        <w:autoSpaceDN/>
        <w:bidi w:val="0"/>
        <w:spacing w:line="42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（6）采购代理机构工作人员不得参加由本机构代理的招标项目的评审。</w:t>
      </w:r>
    </w:p>
    <w:p>
      <w:pPr>
        <w:pageBreakBefore w:val="0"/>
        <w:kinsoku/>
        <w:wordWrap/>
        <w:overflowPunct/>
        <w:topLinePunct w:val="0"/>
        <w:autoSpaceDE/>
        <w:autoSpaceDN/>
        <w:bidi w:val="0"/>
        <w:spacing w:line="42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（7）评审专家对本单位的招标项目只能作为采购人代表参与评审活动。</w:t>
      </w:r>
    </w:p>
    <w:p>
      <w:pPr>
        <w:pageBreakBefore w:val="0"/>
        <w:kinsoku/>
        <w:wordWrap/>
        <w:overflowPunct/>
        <w:topLinePunct w:val="0"/>
        <w:autoSpaceDE/>
        <w:autoSpaceDN/>
        <w:bidi w:val="0"/>
        <w:spacing w:line="42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（8）曾因在招标、评标以及其他与招标投标有关活动中从事违法行为而受过行政处罚或刑事处罚的。</w:t>
      </w:r>
    </w:p>
    <w:p>
      <w:pPr>
        <w:pageBreakBefore w:val="0"/>
        <w:kinsoku/>
        <w:wordWrap/>
        <w:overflowPunct/>
        <w:topLinePunct w:val="0"/>
        <w:autoSpaceDE/>
        <w:autoSpaceDN/>
        <w:bidi w:val="0"/>
        <w:spacing w:line="42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3.评标过程中，评标委员会成员有回避事由、擅离职守或者因健康等原因不能继续评标的，采购人有权更换。被更换的评标委员会成员作出的评审结论无效，由更换后的评标委员会成员重新进行评审。</w:t>
      </w:r>
    </w:p>
    <w:p>
      <w:pPr>
        <w:pStyle w:val="5"/>
        <w:pageBreakBefore w:val="0"/>
        <w:kinsoku/>
        <w:wordWrap/>
        <w:overflowPunct/>
        <w:topLinePunct w:val="0"/>
        <w:autoSpaceDE/>
        <w:autoSpaceDN/>
        <w:bidi w:val="0"/>
        <w:spacing w:line="420" w:lineRule="exact"/>
        <w:ind w:firstLine="562"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（二）评标原则</w:t>
      </w:r>
    </w:p>
    <w:p>
      <w:pPr>
        <w:pageBreakBefore w:val="0"/>
        <w:kinsoku/>
        <w:wordWrap/>
        <w:overflowPunct/>
        <w:topLinePunct w:val="0"/>
        <w:autoSpaceDE/>
        <w:autoSpaceDN/>
        <w:bidi w:val="0"/>
        <w:spacing w:line="42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评标活动遵循公平、公正、科学和择优的原则。本项目采用不公开方式评标，评标的依据为招标采购文件和投标文件。</w:t>
      </w:r>
      <w:bookmarkStart w:id="279" w:name="_Toc498955038"/>
      <w:bookmarkStart w:id="280" w:name="_Toc152042341"/>
      <w:bookmarkStart w:id="281" w:name="_Toc246996209"/>
      <w:bookmarkStart w:id="282" w:name="_Toc247085723"/>
      <w:bookmarkStart w:id="283" w:name="_Toc444093637"/>
      <w:bookmarkStart w:id="284" w:name="_Toc144974533"/>
      <w:bookmarkStart w:id="285" w:name="_Toc246996952"/>
      <w:bookmarkStart w:id="286" w:name="_Toc152045565"/>
      <w:bookmarkStart w:id="287" w:name="_Toc179632583"/>
    </w:p>
    <w:p>
      <w:pPr>
        <w:pStyle w:val="5"/>
        <w:pageBreakBefore w:val="0"/>
        <w:kinsoku/>
        <w:wordWrap/>
        <w:overflowPunct/>
        <w:topLinePunct w:val="0"/>
        <w:autoSpaceDE/>
        <w:autoSpaceDN/>
        <w:bidi w:val="0"/>
        <w:spacing w:line="420" w:lineRule="exact"/>
        <w:ind w:firstLine="562"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（三）评标</w:t>
      </w:r>
      <w:bookmarkEnd w:id="279"/>
      <w:bookmarkEnd w:id="280"/>
      <w:bookmarkEnd w:id="281"/>
      <w:bookmarkEnd w:id="282"/>
      <w:bookmarkEnd w:id="283"/>
      <w:bookmarkEnd w:id="284"/>
      <w:bookmarkEnd w:id="285"/>
      <w:bookmarkEnd w:id="286"/>
      <w:bookmarkEnd w:id="287"/>
    </w:p>
    <w:p>
      <w:pPr>
        <w:pageBreakBefore w:val="0"/>
        <w:kinsoku/>
        <w:wordWrap/>
        <w:overflowPunct/>
        <w:topLinePunct w:val="0"/>
        <w:autoSpaceDE/>
        <w:autoSpaceDN/>
        <w:bidi w:val="0"/>
        <w:spacing w:line="42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1.评标委员会按照第五章“评标办法”规定的方法、评审因素、标准和程序对投标文件进行评审。“评标办法”没有规定的方法、评审因素和标准，不作为评标依据。</w:t>
      </w:r>
    </w:p>
    <w:p>
      <w:pPr>
        <w:pageBreakBefore w:val="0"/>
        <w:kinsoku/>
        <w:wordWrap/>
        <w:overflowPunct/>
        <w:topLinePunct w:val="0"/>
        <w:autoSpaceDE/>
        <w:autoSpaceDN/>
        <w:bidi w:val="0"/>
        <w:spacing w:line="42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2.评标完成后，评标委员会应当向采购人提交书面评标报告和中标候选人名单。评标委员会推荐中标候选人的人数见投标人须知前附表。</w:t>
      </w:r>
    </w:p>
    <w:p>
      <w:pPr>
        <w:pageBreakBefore w:val="0"/>
        <w:kinsoku/>
        <w:wordWrap/>
        <w:overflowPunct/>
        <w:topLinePunct w:val="0"/>
        <w:autoSpaceDE/>
        <w:autoSpaceDN/>
        <w:bidi w:val="0"/>
        <w:adjustRightInd/>
        <w:spacing w:line="420" w:lineRule="exact"/>
        <w:ind w:firstLine="482" w:firstLineChars="200"/>
        <w:jc w:val="both"/>
        <w:textAlignment w:val="auto"/>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3.本项目评标过程实行全程录音、录像监控，投标人在评标过程中所进行的试图影响评标结果的不公正活动，可能导致其投标被拒绝。</w:t>
      </w:r>
    </w:p>
    <w:bookmarkEnd w:id="205"/>
    <w:bookmarkEnd w:id="206"/>
    <w:bookmarkEnd w:id="207"/>
    <w:bookmarkEnd w:id="208"/>
    <w:bookmarkEnd w:id="209"/>
    <w:bookmarkEnd w:id="210"/>
    <w:bookmarkEnd w:id="211"/>
    <w:bookmarkEnd w:id="212"/>
    <w:bookmarkEnd w:id="213"/>
    <w:p>
      <w:pPr>
        <w:pStyle w:val="4"/>
        <w:pageBreakBefore w:val="0"/>
        <w:kinsoku/>
        <w:wordWrap/>
        <w:overflowPunct/>
        <w:topLinePunct w:val="0"/>
        <w:autoSpaceDE/>
        <w:autoSpaceDN/>
        <w:bidi w:val="0"/>
        <w:spacing w:line="420" w:lineRule="exact"/>
        <w:ind w:firstLine="562"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七、合同授予</w:t>
      </w:r>
    </w:p>
    <w:p>
      <w:pPr>
        <w:pStyle w:val="5"/>
        <w:pageBreakBefore w:val="0"/>
        <w:kinsoku/>
        <w:wordWrap/>
        <w:overflowPunct/>
        <w:topLinePunct w:val="0"/>
        <w:autoSpaceDE/>
        <w:autoSpaceDN/>
        <w:bidi w:val="0"/>
        <w:spacing w:line="420" w:lineRule="exact"/>
        <w:ind w:firstLine="562"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（一）中标结果公告</w:t>
      </w:r>
    </w:p>
    <w:p>
      <w:pPr>
        <w:pageBreakBefore w:val="0"/>
        <w:kinsoku/>
        <w:wordWrap/>
        <w:overflowPunct/>
        <w:topLinePunct w:val="0"/>
        <w:autoSpaceDE/>
        <w:autoSpaceDN/>
        <w:bidi w:val="0"/>
        <w:spacing w:line="420" w:lineRule="exact"/>
        <w:ind w:firstLine="480" w:firstLineChars="200"/>
        <w:textAlignment w:val="auto"/>
        <w:rPr>
          <w:rFonts w:hint="eastAsia" w:ascii="仿宋" w:hAnsi="仿宋" w:eastAsia="仿宋" w:cs="仿宋"/>
          <w:color w:val="auto"/>
          <w:sz w:val="24"/>
          <w:highlight w:val="none"/>
        </w:rPr>
      </w:pPr>
      <w:bookmarkStart w:id="288" w:name="_Toc179632586"/>
      <w:bookmarkStart w:id="289" w:name="_Toc144974536"/>
      <w:bookmarkStart w:id="290" w:name="_Toc246996955"/>
      <w:bookmarkStart w:id="291" w:name="_Toc152042344"/>
      <w:bookmarkStart w:id="292" w:name="_Toc246996212"/>
      <w:bookmarkStart w:id="293" w:name="_Toc152045568"/>
      <w:bookmarkStart w:id="294" w:name="_Toc247085726"/>
      <w:bookmarkStart w:id="295" w:name="_Toc444093642"/>
      <w:r>
        <w:rPr>
          <w:rFonts w:hint="eastAsia" w:ascii="仿宋" w:hAnsi="仿宋" w:eastAsia="仿宋" w:cs="仿宋"/>
          <w:color w:val="auto"/>
          <w:sz w:val="24"/>
          <w:highlight w:val="none"/>
        </w:rPr>
        <w:t>1.采购人在收到评标报告之日起2日个工作日内，按照投标人须知前附表规定的公示媒介和期限公示中标候选人，公示期不得少于1个工作日。</w:t>
      </w:r>
    </w:p>
    <w:p>
      <w:pPr>
        <w:pageBreakBefore w:val="0"/>
        <w:tabs>
          <w:tab w:val="left" w:pos="8931"/>
        </w:tabs>
        <w:kinsoku/>
        <w:wordWrap/>
        <w:overflowPunct/>
        <w:topLinePunct w:val="0"/>
        <w:autoSpaceDE/>
        <w:autoSpaceDN/>
        <w:bidi w:val="0"/>
        <w:spacing w:line="420" w:lineRule="exact"/>
        <w:ind w:firstLine="480" w:firstLineChars="200"/>
        <w:textAlignment w:val="auto"/>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2.中标结果公告内容包括采购人及其委托的采购代理机构的名称、地址、联系方式，项目名称，中标人名称、地址和中标金额，主要中标标的的名称、规格型号、数量、单价、服务要求，中标公告期限以及评审专家名单。</w:t>
      </w:r>
    </w:p>
    <w:p>
      <w:pPr>
        <w:pStyle w:val="5"/>
        <w:pageBreakBefore w:val="0"/>
        <w:kinsoku/>
        <w:wordWrap/>
        <w:overflowPunct/>
        <w:topLinePunct w:val="0"/>
        <w:autoSpaceDE/>
        <w:autoSpaceDN/>
        <w:bidi w:val="0"/>
        <w:spacing w:line="420" w:lineRule="exact"/>
        <w:ind w:firstLine="562" w:firstLineChars="200"/>
        <w:textAlignment w:val="auto"/>
        <w:rPr>
          <w:rFonts w:hint="eastAsia" w:ascii="仿宋" w:hAnsi="仿宋" w:eastAsia="仿宋" w:cs="仿宋"/>
          <w:color w:val="auto"/>
          <w:highlight w:val="none"/>
        </w:rPr>
      </w:pPr>
      <w:bookmarkStart w:id="296" w:name="_Toc498955041"/>
      <w:bookmarkStart w:id="297" w:name="_Toc444093641"/>
      <w:r>
        <w:rPr>
          <w:rFonts w:hint="eastAsia" w:ascii="仿宋" w:hAnsi="仿宋" w:eastAsia="仿宋" w:cs="仿宋"/>
          <w:color w:val="auto"/>
          <w:highlight w:val="none"/>
        </w:rPr>
        <w:t>（二）评标结果异议</w:t>
      </w:r>
      <w:bookmarkEnd w:id="296"/>
      <w:bookmarkEnd w:id="297"/>
    </w:p>
    <w:p>
      <w:pPr>
        <w:pageBreakBefore w:val="0"/>
        <w:kinsoku/>
        <w:wordWrap/>
        <w:overflowPunct/>
        <w:topLinePunct w:val="0"/>
        <w:autoSpaceDE/>
        <w:autoSpaceDN/>
        <w:bidi w:val="0"/>
        <w:spacing w:line="42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1.投标人或者其他利害关系人对评标结果有异议的，应当在中标结果公告期限内提出。采购人将在收到异议之日起7个工作日内作出答复；作出答复前，将暂停招标。逾期提出质疑的将不予受理、答复。</w:t>
      </w:r>
    </w:p>
    <w:p>
      <w:pPr>
        <w:pageBreakBefore w:val="0"/>
        <w:kinsoku/>
        <w:wordWrap/>
        <w:overflowPunct/>
        <w:topLinePunct w:val="0"/>
        <w:autoSpaceDE/>
        <w:autoSpaceDN/>
        <w:bidi w:val="0"/>
        <w:spacing w:line="42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2.若投标人或其他利害关系人未在中标结果公告期限时间内提出质疑的，视为默认招标采购文件或评标结果。</w:t>
      </w:r>
    </w:p>
    <w:p>
      <w:pPr>
        <w:pStyle w:val="5"/>
        <w:pageBreakBefore w:val="0"/>
        <w:kinsoku/>
        <w:wordWrap/>
        <w:overflowPunct/>
        <w:topLinePunct w:val="0"/>
        <w:autoSpaceDE/>
        <w:autoSpaceDN/>
        <w:bidi w:val="0"/>
        <w:spacing w:line="420" w:lineRule="exact"/>
        <w:ind w:firstLine="562" w:firstLineChars="200"/>
        <w:textAlignment w:val="auto"/>
        <w:rPr>
          <w:rFonts w:hint="eastAsia" w:ascii="仿宋" w:hAnsi="仿宋" w:eastAsia="仿宋" w:cs="仿宋"/>
          <w:color w:val="auto"/>
          <w:highlight w:val="none"/>
        </w:rPr>
      </w:pPr>
      <w:bookmarkStart w:id="298" w:name="_Toc498955042"/>
      <w:r>
        <w:rPr>
          <w:rFonts w:hint="eastAsia" w:ascii="仿宋" w:hAnsi="仿宋" w:eastAsia="仿宋" w:cs="仿宋"/>
          <w:color w:val="auto"/>
          <w:highlight w:val="none"/>
        </w:rPr>
        <w:t>（三）中标候选人履约能力审查</w:t>
      </w:r>
      <w:bookmarkEnd w:id="288"/>
      <w:bookmarkEnd w:id="289"/>
      <w:bookmarkEnd w:id="290"/>
      <w:bookmarkEnd w:id="291"/>
      <w:bookmarkEnd w:id="292"/>
      <w:bookmarkEnd w:id="293"/>
      <w:bookmarkEnd w:id="294"/>
      <w:bookmarkEnd w:id="295"/>
      <w:bookmarkEnd w:id="298"/>
    </w:p>
    <w:p>
      <w:pPr>
        <w:pageBreakBefore w:val="0"/>
        <w:kinsoku/>
        <w:wordWrap/>
        <w:overflowPunct/>
        <w:topLinePunct w:val="0"/>
        <w:autoSpaceDE/>
        <w:autoSpaceDN/>
        <w:bidi w:val="0"/>
        <w:spacing w:line="420" w:lineRule="exact"/>
        <w:ind w:firstLine="480" w:firstLineChars="200"/>
        <w:textAlignment w:val="auto"/>
        <w:rPr>
          <w:rFonts w:hint="eastAsia" w:ascii="仿宋" w:hAnsi="仿宋" w:eastAsia="仿宋" w:cs="仿宋"/>
          <w:color w:val="auto"/>
          <w:sz w:val="24"/>
          <w:highlight w:val="none"/>
        </w:rPr>
      </w:pPr>
      <w:bookmarkStart w:id="299" w:name="_Toc179632587"/>
      <w:bookmarkStart w:id="300" w:name="_Toc144974537"/>
      <w:bookmarkStart w:id="301" w:name="_Toc246996956"/>
      <w:bookmarkStart w:id="302" w:name="_Toc246996213"/>
      <w:bookmarkStart w:id="303" w:name="_Toc444093643"/>
      <w:bookmarkStart w:id="304" w:name="_Toc152042345"/>
      <w:bookmarkStart w:id="305" w:name="_Toc247085727"/>
      <w:bookmarkStart w:id="306" w:name="_Toc152045569"/>
      <w:r>
        <w:rPr>
          <w:rFonts w:hint="eastAsia" w:ascii="仿宋" w:hAnsi="仿宋" w:eastAsia="仿宋" w:cs="仿宋"/>
          <w:color w:val="auto"/>
          <w:sz w:val="24"/>
          <w:highlight w:val="none"/>
        </w:rPr>
        <w:t>中标候选人的经营、财务状况发生较大变化或存在违法行为，采购人认为可能影响其履约能力的，将在发出中标通知书前提请原评标委员会按照招标采购文件规定的标准和方法进行审查确认。</w:t>
      </w:r>
    </w:p>
    <w:p>
      <w:pPr>
        <w:pStyle w:val="5"/>
        <w:pageBreakBefore w:val="0"/>
        <w:kinsoku/>
        <w:wordWrap/>
        <w:overflowPunct/>
        <w:topLinePunct w:val="0"/>
        <w:autoSpaceDE/>
        <w:autoSpaceDN/>
        <w:bidi w:val="0"/>
        <w:spacing w:line="420" w:lineRule="exact"/>
        <w:ind w:firstLine="562" w:firstLineChars="200"/>
        <w:textAlignment w:val="auto"/>
        <w:rPr>
          <w:rFonts w:hint="eastAsia" w:ascii="仿宋" w:hAnsi="仿宋" w:eastAsia="仿宋" w:cs="仿宋"/>
          <w:color w:val="auto"/>
          <w:highlight w:val="none"/>
        </w:rPr>
      </w:pPr>
      <w:bookmarkStart w:id="307" w:name="_Toc498955043"/>
      <w:r>
        <w:rPr>
          <w:rFonts w:hint="eastAsia" w:ascii="仿宋" w:hAnsi="仿宋" w:eastAsia="仿宋" w:cs="仿宋"/>
          <w:color w:val="auto"/>
          <w:highlight w:val="none"/>
        </w:rPr>
        <w:t>（四）定标</w:t>
      </w:r>
      <w:bookmarkEnd w:id="307"/>
    </w:p>
    <w:p>
      <w:pPr>
        <w:pageBreakBefore w:val="0"/>
        <w:kinsoku/>
        <w:wordWrap/>
        <w:overflowPunct/>
        <w:topLinePunct w:val="0"/>
        <w:autoSpaceDE/>
        <w:autoSpaceDN/>
        <w:bidi w:val="0"/>
        <w:spacing w:line="42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按照投标人须知前附表的规定，采购人或采购人委托的评标委员会依法确定中标人。</w:t>
      </w:r>
    </w:p>
    <w:p>
      <w:pPr>
        <w:pStyle w:val="5"/>
        <w:pageBreakBefore w:val="0"/>
        <w:kinsoku/>
        <w:wordWrap/>
        <w:overflowPunct/>
        <w:topLinePunct w:val="0"/>
        <w:autoSpaceDE/>
        <w:autoSpaceDN/>
        <w:bidi w:val="0"/>
        <w:spacing w:line="420" w:lineRule="exact"/>
        <w:ind w:firstLine="562" w:firstLineChars="200"/>
        <w:textAlignment w:val="auto"/>
        <w:rPr>
          <w:rFonts w:hint="eastAsia" w:ascii="仿宋" w:hAnsi="仿宋" w:eastAsia="仿宋" w:cs="仿宋"/>
          <w:color w:val="auto"/>
          <w:highlight w:val="none"/>
        </w:rPr>
      </w:pPr>
      <w:bookmarkStart w:id="308" w:name="_Toc498955044"/>
      <w:r>
        <w:rPr>
          <w:rFonts w:hint="eastAsia" w:ascii="仿宋" w:hAnsi="仿宋" w:eastAsia="仿宋" w:cs="仿宋"/>
          <w:color w:val="auto"/>
          <w:highlight w:val="none"/>
        </w:rPr>
        <w:t>（五）中标通知</w:t>
      </w:r>
      <w:bookmarkEnd w:id="308"/>
    </w:p>
    <w:p>
      <w:pPr>
        <w:pageBreakBefore w:val="0"/>
        <w:kinsoku/>
        <w:wordWrap/>
        <w:overflowPunct/>
        <w:topLinePunct w:val="0"/>
        <w:autoSpaceDE/>
        <w:autoSpaceDN/>
        <w:bidi w:val="0"/>
        <w:spacing w:line="42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在本章规定的投标有效期内，采购人以书面形式向中标人发出中标通知书。</w:t>
      </w:r>
    </w:p>
    <w:p>
      <w:pPr>
        <w:pStyle w:val="5"/>
        <w:pageBreakBefore w:val="0"/>
        <w:kinsoku/>
        <w:wordWrap/>
        <w:overflowPunct/>
        <w:topLinePunct w:val="0"/>
        <w:autoSpaceDE/>
        <w:autoSpaceDN/>
        <w:bidi w:val="0"/>
        <w:spacing w:line="420" w:lineRule="exact"/>
        <w:ind w:firstLine="562" w:firstLineChars="200"/>
        <w:textAlignment w:val="auto"/>
        <w:rPr>
          <w:rFonts w:hint="eastAsia" w:ascii="仿宋" w:hAnsi="仿宋" w:eastAsia="仿宋" w:cs="仿宋"/>
          <w:color w:val="auto"/>
          <w:highlight w:val="none"/>
        </w:rPr>
      </w:pPr>
      <w:bookmarkStart w:id="309" w:name="_Toc498955046"/>
      <w:r>
        <w:rPr>
          <w:rFonts w:hint="eastAsia" w:ascii="仿宋" w:hAnsi="仿宋" w:eastAsia="仿宋" w:cs="仿宋"/>
          <w:color w:val="auto"/>
          <w:highlight w:val="none"/>
        </w:rPr>
        <w:t>（六）履约保证金</w:t>
      </w:r>
      <w:bookmarkEnd w:id="299"/>
      <w:bookmarkEnd w:id="300"/>
      <w:bookmarkEnd w:id="301"/>
      <w:bookmarkEnd w:id="302"/>
      <w:bookmarkEnd w:id="303"/>
      <w:bookmarkEnd w:id="304"/>
      <w:bookmarkEnd w:id="305"/>
      <w:bookmarkEnd w:id="306"/>
      <w:bookmarkEnd w:id="309"/>
    </w:p>
    <w:p>
      <w:pPr>
        <w:pageBreakBefore w:val="0"/>
        <w:kinsoku/>
        <w:wordWrap/>
        <w:overflowPunct/>
        <w:topLinePunct w:val="0"/>
        <w:autoSpaceDE/>
        <w:autoSpaceDN/>
        <w:bidi w:val="0"/>
        <w:spacing w:line="42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中标人应按投标人须知前附表规定的担保形式、金额和招标采购文件第四章“合同条款及格式”规定的或者事先经过采购人书面认可的履约保证金形式向采购人提交履约保证金。联合体中标的，其履约保证金以联合体各方或者联合体中牵头人的名义提交。</w:t>
      </w:r>
    </w:p>
    <w:p>
      <w:pPr>
        <w:pageBreakBefore w:val="0"/>
        <w:widowControl w:val="0"/>
        <w:kinsoku/>
        <w:wordWrap/>
        <w:overflowPunct/>
        <w:topLinePunct w:val="0"/>
        <w:autoSpaceDE/>
        <w:autoSpaceDN/>
        <w:bidi w:val="0"/>
        <w:spacing w:line="4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2.中标人不能按本章要求提交履约保证金的，视为放弃中标，中标人应当对采购人的损失予以赔偿。</w:t>
      </w:r>
      <w:bookmarkStart w:id="310" w:name="_Toc246996957"/>
      <w:bookmarkStart w:id="311" w:name="_Toc152042346"/>
      <w:bookmarkStart w:id="312" w:name="_Toc246996214"/>
      <w:bookmarkStart w:id="313" w:name="_Toc444093644"/>
      <w:bookmarkStart w:id="314" w:name="_Toc152045570"/>
      <w:bookmarkStart w:id="315" w:name="_Toc144974538"/>
      <w:bookmarkStart w:id="316" w:name="_Toc179632588"/>
      <w:bookmarkStart w:id="317" w:name="_Toc247085728"/>
      <w:bookmarkStart w:id="318" w:name="_Toc498955047"/>
    </w:p>
    <w:p>
      <w:pPr>
        <w:pStyle w:val="5"/>
        <w:pageBreakBefore w:val="0"/>
        <w:widowControl w:val="0"/>
        <w:kinsoku/>
        <w:wordWrap/>
        <w:overflowPunct/>
        <w:topLinePunct w:val="0"/>
        <w:autoSpaceDE/>
        <w:autoSpaceDN/>
        <w:bidi w:val="0"/>
        <w:spacing w:line="400" w:lineRule="exact"/>
        <w:ind w:firstLine="562"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（七）签订合同</w:t>
      </w:r>
      <w:bookmarkEnd w:id="310"/>
      <w:bookmarkEnd w:id="311"/>
      <w:bookmarkEnd w:id="312"/>
      <w:bookmarkEnd w:id="313"/>
      <w:bookmarkEnd w:id="314"/>
      <w:bookmarkEnd w:id="315"/>
      <w:bookmarkEnd w:id="316"/>
      <w:bookmarkEnd w:id="317"/>
      <w:bookmarkEnd w:id="318"/>
    </w:p>
    <w:p>
      <w:pPr>
        <w:pageBreakBefore w:val="0"/>
        <w:widowControl w:val="0"/>
        <w:kinsoku/>
        <w:wordWrap/>
        <w:overflowPunct/>
        <w:topLinePunct w:val="0"/>
        <w:autoSpaceDE/>
        <w:autoSpaceDN/>
        <w:bidi w:val="0"/>
        <w:spacing w:line="400" w:lineRule="exact"/>
        <w:ind w:firstLine="480" w:firstLineChars="200"/>
        <w:textAlignment w:val="auto"/>
        <w:rPr>
          <w:rFonts w:hint="eastAsia" w:ascii="仿宋" w:hAnsi="仿宋" w:eastAsia="仿宋" w:cs="仿宋"/>
          <w:i/>
          <w:iCs/>
          <w:color w:val="auto"/>
          <w:sz w:val="24"/>
          <w:highlight w:val="none"/>
          <w:u w:val="single"/>
        </w:rPr>
      </w:pPr>
      <w:r>
        <w:rPr>
          <w:rFonts w:hint="eastAsia" w:ascii="仿宋" w:hAnsi="仿宋" w:eastAsia="仿宋" w:cs="仿宋"/>
          <w:color w:val="auto"/>
          <w:sz w:val="24"/>
          <w:highlight w:val="none"/>
        </w:rPr>
        <w:t>1.采购人和中标人应当在中标通知书发出之日起</w:t>
      </w:r>
      <w:r>
        <w:rPr>
          <w:rFonts w:hint="eastAsia" w:ascii="仿宋" w:hAnsi="仿宋" w:eastAsia="仿宋" w:cs="仿宋"/>
          <w:color w:val="auto"/>
          <w:sz w:val="24"/>
          <w:highlight w:val="none"/>
          <w:lang w:eastAsia="zh-CN"/>
        </w:rPr>
        <w:t>20日历天</w:t>
      </w:r>
      <w:r>
        <w:rPr>
          <w:rFonts w:hint="eastAsia" w:ascii="仿宋" w:hAnsi="仿宋" w:eastAsia="仿宋" w:cs="仿宋"/>
          <w:color w:val="auto"/>
          <w:sz w:val="24"/>
          <w:highlight w:val="none"/>
        </w:rPr>
        <w:t>内，根据招标采购文件和中标人的投标文件订立书面合同，所签订的合同不得对招标文件确定的事项和中标人投标文件作实质性修改。采购人不得向中标人提出任何不合理的要求作为签订合同的条件。中标人无正当理由拒签合同，在签订合同时向采购人提出附加条件，或者不按照招标采购文件要求提交履约保证金的，采购人有权取消其中标资格，给采购人造成损失的，中标人应当对采购人的损失予以赔偿。并上报采购活动管理部门列入黑名单、失信名单。</w:t>
      </w:r>
    </w:p>
    <w:p>
      <w:pPr>
        <w:pageBreakBefore w:val="0"/>
        <w:widowControl w:val="0"/>
        <w:kinsoku/>
        <w:wordWrap/>
        <w:overflowPunct/>
        <w:topLinePunct w:val="0"/>
        <w:autoSpaceDE/>
        <w:autoSpaceDN/>
        <w:bidi w:val="0"/>
        <w:spacing w:line="4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2.联合体中标的，联合体各方应当共同与采购人签订合同，就中标项目向采购人承担连带责任。</w:t>
      </w:r>
    </w:p>
    <w:p>
      <w:pPr>
        <w:pageBreakBefore w:val="0"/>
        <w:widowControl w:val="0"/>
        <w:kinsoku/>
        <w:wordWrap/>
        <w:overflowPunct/>
        <w:topLinePunct w:val="0"/>
        <w:autoSpaceDE/>
        <w:autoSpaceDN/>
        <w:bidi w:val="0"/>
        <w:spacing w:line="4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投标人在本招标项目的竞争中应自觉遵循诚实信用原则，不得存在腐败、欺诈或其他违背诚信原则的行为。如果采购人有证据表明投标人在本招标项目的竞争中存在腐败、欺诈、失信记录或其他严重违背诚信原则的行为，则将拒绝其投标，或中标无效。</w:t>
      </w:r>
    </w:p>
    <w:p>
      <w:pPr>
        <w:pStyle w:val="5"/>
        <w:pageBreakBefore w:val="0"/>
        <w:widowControl w:val="0"/>
        <w:kinsoku/>
        <w:wordWrap/>
        <w:overflowPunct/>
        <w:topLinePunct w:val="0"/>
        <w:autoSpaceDE/>
        <w:autoSpaceDN/>
        <w:bidi w:val="0"/>
        <w:spacing w:line="400" w:lineRule="exact"/>
        <w:ind w:firstLine="562"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（八）验收</w:t>
      </w:r>
    </w:p>
    <w:p>
      <w:pPr>
        <w:pageBreakBefore w:val="0"/>
        <w:widowControl w:val="0"/>
        <w:kinsoku/>
        <w:wordWrap/>
        <w:overflowPunct/>
        <w:topLinePunct w:val="0"/>
        <w:autoSpaceDE/>
        <w:autoSpaceDN/>
        <w:bidi w:val="0"/>
        <w:spacing w:line="4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采购人组织对供应商履约的验收。大型或者复杂的采购项目，应当邀请国家认可的质量检测机构参加验收工作。验收方成员应当在验收书上签字，并承担相应的法律责任。如果发现与合同中要求不符，供应商须承担由此发生的一切损失和费用，并接受相应的处理。</w:t>
      </w:r>
    </w:p>
    <w:p>
      <w:pPr>
        <w:pageBreakBefore w:val="0"/>
        <w:widowControl w:val="0"/>
        <w:kinsoku/>
        <w:wordWrap/>
        <w:overflowPunct/>
        <w:topLinePunct w:val="0"/>
        <w:autoSpaceDE/>
        <w:autoSpaceDN/>
        <w:bidi w:val="0"/>
        <w:spacing w:line="4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2.采购人可以邀请参加本项目的其他投标人或者第三方机构参与验收。参与验收的投标人或者第三方机构的意见作为验收书的参考资料一并存档。</w:t>
      </w:r>
    </w:p>
    <w:p>
      <w:pPr>
        <w:pageBreakBefore w:val="0"/>
        <w:widowControl w:val="0"/>
        <w:kinsoku/>
        <w:wordWrap/>
        <w:overflowPunct/>
        <w:topLinePunct w:val="0"/>
        <w:autoSpaceDE/>
        <w:autoSpaceDN/>
        <w:bidi w:val="0"/>
        <w:spacing w:line="4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pStyle w:val="17"/>
        <w:pageBreakBefore w:val="0"/>
        <w:widowControl w:val="0"/>
        <w:kinsoku/>
        <w:wordWrap/>
        <w:overflowPunct/>
        <w:topLinePunct w:val="0"/>
        <w:autoSpaceDE/>
        <w:autoSpaceDN/>
        <w:bidi w:val="0"/>
        <w:spacing w:before="0" w:beforeLines="0" w:after="0" w:afterLines="0" w:line="400" w:lineRule="exact"/>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相关法律法规规定的违法违规情形的，采购人应当及时报告采购活动管理部门。</w:t>
      </w:r>
    </w:p>
    <w:p>
      <w:pPr>
        <w:pStyle w:val="4"/>
        <w:pageBreakBefore w:val="0"/>
        <w:widowControl w:val="0"/>
        <w:kinsoku/>
        <w:wordWrap/>
        <w:overflowPunct/>
        <w:topLinePunct w:val="0"/>
        <w:autoSpaceDE/>
        <w:autoSpaceDN/>
        <w:bidi w:val="0"/>
        <w:spacing w:line="400" w:lineRule="exact"/>
        <w:ind w:firstLine="562"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八、纪律和监督</w:t>
      </w:r>
    </w:p>
    <w:p>
      <w:pPr>
        <w:pStyle w:val="5"/>
        <w:pageBreakBefore w:val="0"/>
        <w:widowControl w:val="0"/>
        <w:kinsoku/>
        <w:wordWrap/>
        <w:overflowPunct/>
        <w:topLinePunct w:val="0"/>
        <w:autoSpaceDE/>
        <w:autoSpaceDN/>
        <w:bidi w:val="0"/>
        <w:spacing w:line="400" w:lineRule="exact"/>
        <w:ind w:firstLine="562"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（一）对采购人的纪律要求</w:t>
      </w:r>
    </w:p>
    <w:p>
      <w:pPr>
        <w:pageBreakBefore w:val="0"/>
        <w:widowControl w:val="0"/>
        <w:kinsoku/>
        <w:wordWrap/>
        <w:overflowPunct/>
        <w:topLinePunct w:val="0"/>
        <w:autoSpaceDE/>
        <w:autoSpaceDN/>
        <w:bidi w:val="0"/>
        <w:spacing w:line="4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采购人不得泄露招标投标活动中应当保密的情况和资料，不得与投标人串通损害国家利益、社会公共利益或者他人合法权益。</w:t>
      </w:r>
    </w:p>
    <w:p>
      <w:pPr>
        <w:pStyle w:val="5"/>
        <w:pageBreakBefore w:val="0"/>
        <w:widowControl w:val="0"/>
        <w:kinsoku/>
        <w:wordWrap/>
        <w:overflowPunct/>
        <w:topLinePunct w:val="0"/>
        <w:autoSpaceDE/>
        <w:autoSpaceDN/>
        <w:bidi w:val="0"/>
        <w:spacing w:line="400" w:lineRule="exact"/>
        <w:ind w:firstLine="562"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（二）对投标人的纪律要求</w:t>
      </w:r>
    </w:p>
    <w:p>
      <w:pPr>
        <w:pageBreakBefore w:val="0"/>
        <w:widowControl w:val="0"/>
        <w:kinsoku/>
        <w:wordWrap/>
        <w:overflowPunct/>
        <w:topLinePunct w:val="0"/>
        <w:autoSpaceDE/>
        <w:autoSpaceDN/>
        <w:bidi w:val="0"/>
        <w:spacing w:line="4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投标人不得相互串通投标或者与采购人串通投标，不得向采购人或者评标委员会成员行贿谋取中标，不得以他人名义投标或者以其他方式弄虚作假骗取中标；投标人不得以任何方式干扰、影响评标工作。</w:t>
      </w:r>
    </w:p>
    <w:p>
      <w:pPr>
        <w:pStyle w:val="5"/>
        <w:pageBreakBefore w:val="0"/>
        <w:widowControl w:val="0"/>
        <w:kinsoku/>
        <w:wordWrap/>
        <w:overflowPunct/>
        <w:topLinePunct w:val="0"/>
        <w:autoSpaceDE/>
        <w:autoSpaceDN/>
        <w:bidi w:val="0"/>
        <w:spacing w:line="400" w:lineRule="exact"/>
        <w:ind w:firstLine="562"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（三）对评标委员会成员的纪律要求</w:t>
      </w:r>
    </w:p>
    <w:p>
      <w:pPr>
        <w:pageBreakBefore w:val="0"/>
        <w:widowControl w:val="0"/>
        <w:kinsoku/>
        <w:wordWrap/>
        <w:overflowPunct/>
        <w:topLinePunct w:val="0"/>
        <w:autoSpaceDE/>
        <w:autoSpaceDN/>
        <w:bidi w:val="0"/>
        <w:spacing w:line="4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评标委员会成员不得收受他人的财物或者其他好处，不得向他人透露对投标文件的评审和比较、中标候选人的推荐情况以及评标有关的其他情况。在评标活动中，评标委员会成员应当客观、公正地履行职责，遵守职业道德，不得擅离职守，影响评标程序正常进行，不得使用第五章“评标办法”没有规定的评审因素和标准进行评标。</w:t>
      </w:r>
    </w:p>
    <w:p>
      <w:pPr>
        <w:pStyle w:val="5"/>
        <w:pageBreakBefore w:val="0"/>
        <w:widowControl w:val="0"/>
        <w:kinsoku/>
        <w:wordWrap/>
        <w:overflowPunct/>
        <w:topLinePunct w:val="0"/>
        <w:autoSpaceDE/>
        <w:autoSpaceDN/>
        <w:bidi w:val="0"/>
        <w:spacing w:line="400" w:lineRule="exact"/>
        <w:ind w:firstLine="562"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（四）对与评标活动有关的工作人员的纪律要求</w:t>
      </w:r>
    </w:p>
    <w:p>
      <w:pPr>
        <w:pageBreakBefore w:val="0"/>
        <w:widowControl w:val="0"/>
        <w:kinsoku/>
        <w:wordWrap/>
        <w:overflowPunct/>
        <w:topLinePunct w:val="0"/>
        <w:autoSpaceDE/>
        <w:autoSpaceDN/>
        <w:bidi w:val="0"/>
        <w:spacing w:line="4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p>
    <w:p>
      <w:pPr>
        <w:pStyle w:val="4"/>
        <w:pageBreakBefore w:val="0"/>
        <w:widowControl w:val="0"/>
        <w:kinsoku/>
        <w:wordWrap/>
        <w:overflowPunct/>
        <w:topLinePunct w:val="0"/>
        <w:autoSpaceDE/>
        <w:autoSpaceDN/>
        <w:bidi w:val="0"/>
        <w:spacing w:line="400" w:lineRule="exact"/>
        <w:ind w:firstLine="562"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九、采购方式改变</w:t>
      </w:r>
    </w:p>
    <w:p>
      <w:pPr>
        <w:pStyle w:val="17"/>
        <w:pageBreakBefore w:val="0"/>
        <w:widowControl w:val="0"/>
        <w:kinsoku/>
        <w:wordWrap/>
        <w:overflowPunct/>
        <w:topLinePunct w:val="0"/>
        <w:autoSpaceDE/>
        <w:autoSpaceDN/>
        <w:bidi w:val="0"/>
        <w:snapToGrid w:val="0"/>
        <w:spacing w:before="0" w:beforeLines="0" w:after="0" w:afterLines="0" w:line="400" w:lineRule="exact"/>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（一）在符合资格的投标人不足规定数量或投标人提供的货物（服务）及其报价、售后服务承诺等不能满足采购人要求，以及招标采购过程中出现其他不正常情况时，采购人将需要重新选择合适的方式进行采购。</w:t>
      </w:r>
    </w:p>
    <w:p>
      <w:pPr>
        <w:pStyle w:val="17"/>
        <w:pageBreakBefore w:val="0"/>
        <w:widowControl w:val="0"/>
        <w:kinsoku/>
        <w:wordWrap/>
        <w:overflowPunct/>
        <w:topLinePunct w:val="0"/>
        <w:autoSpaceDE/>
        <w:autoSpaceDN/>
        <w:bidi w:val="0"/>
        <w:snapToGrid w:val="0"/>
        <w:spacing w:before="0" w:beforeLines="0" w:after="0" w:afterLines="0" w:line="400" w:lineRule="exact"/>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（二）出现下列情形之一的，应予废标：</w:t>
      </w:r>
    </w:p>
    <w:p>
      <w:pPr>
        <w:pStyle w:val="17"/>
        <w:pageBreakBefore w:val="0"/>
        <w:widowControl w:val="0"/>
        <w:kinsoku/>
        <w:wordWrap/>
        <w:overflowPunct/>
        <w:topLinePunct w:val="0"/>
        <w:autoSpaceDE/>
        <w:autoSpaceDN/>
        <w:bidi w:val="0"/>
        <w:snapToGrid w:val="0"/>
        <w:spacing w:before="0" w:beforeLines="0" w:after="0" w:afterLines="0" w:line="400" w:lineRule="exact"/>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1.投标截止时间止，投标人少于三家的；</w:t>
      </w:r>
    </w:p>
    <w:p>
      <w:pPr>
        <w:pStyle w:val="17"/>
        <w:pageBreakBefore w:val="0"/>
        <w:widowControl w:val="0"/>
        <w:kinsoku/>
        <w:wordWrap/>
        <w:overflowPunct/>
        <w:topLinePunct w:val="0"/>
        <w:autoSpaceDE/>
        <w:autoSpaceDN/>
        <w:bidi w:val="0"/>
        <w:snapToGrid w:val="0"/>
        <w:spacing w:before="0" w:beforeLines="0" w:after="0" w:afterLines="0" w:line="400" w:lineRule="exact"/>
        <w:ind w:firstLine="480" w:firstLineChars="200"/>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rPr>
        <w:t>2.符合专业条件的供应商或者对招标文件作实质响应的供应商不足三家的</w:t>
      </w:r>
      <w:r>
        <w:rPr>
          <w:rFonts w:hint="eastAsia" w:ascii="仿宋" w:hAnsi="仿宋" w:eastAsia="仿宋" w:cs="仿宋"/>
          <w:color w:val="auto"/>
          <w:highlight w:val="none"/>
          <w:lang w:eastAsia="zh-CN"/>
        </w:rPr>
        <w:t>；</w:t>
      </w:r>
    </w:p>
    <w:p>
      <w:pPr>
        <w:pStyle w:val="17"/>
        <w:pageBreakBefore w:val="0"/>
        <w:widowControl w:val="0"/>
        <w:kinsoku/>
        <w:wordWrap/>
        <w:overflowPunct/>
        <w:topLinePunct w:val="0"/>
        <w:autoSpaceDE/>
        <w:autoSpaceDN/>
        <w:bidi w:val="0"/>
        <w:snapToGrid w:val="0"/>
        <w:spacing w:before="0" w:beforeLines="0" w:after="0" w:afterLines="0" w:line="400" w:lineRule="exact"/>
        <w:ind w:firstLine="480" w:firstLineChars="200"/>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rPr>
        <w:t>3.出现影响采购公正的违法、违规行为的</w:t>
      </w:r>
      <w:r>
        <w:rPr>
          <w:rFonts w:hint="eastAsia" w:ascii="仿宋" w:hAnsi="仿宋" w:eastAsia="仿宋" w:cs="仿宋"/>
          <w:color w:val="auto"/>
          <w:highlight w:val="none"/>
          <w:lang w:eastAsia="zh-CN"/>
        </w:rPr>
        <w:t>；</w:t>
      </w:r>
    </w:p>
    <w:p>
      <w:pPr>
        <w:pStyle w:val="17"/>
        <w:pageBreakBefore w:val="0"/>
        <w:widowControl w:val="0"/>
        <w:kinsoku/>
        <w:wordWrap/>
        <w:overflowPunct/>
        <w:topLinePunct w:val="0"/>
        <w:autoSpaceDE/>
        <w:autoSpaceDN/>
        <w:bidi w:val="0"/>
        <w:snapToGrid w:val="0"/>
        <w:spacing w:before="0" w:beforeLines="0" w:after="0" w:afterLines="0" w:line="400" w:lineRule="exact"/>
        <w:ind w:firstLine="480" w:firstLineChars="200"/>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rPr>
        <w:t>4.投标人的报价均超过了采购预算，采购人不能支付的</w:t>
      </w:r>
      <w:r>
        <w:rPr>
          <w:rFonts w:hint="eastAsia" w:ascii="仿宋" w:hAnsi="仿宋" w:eastAsia="仿宋" w:cs="仿宋"/>
          <w:color w:val="auto"/>
          <w:highlight w:val="none"/>
          <w:lang w:eastAsia="zh-CN"/>
        </w:rPr>
        <w:t>；</w:t>
      </w:r>
    </w:p>
    <w:p>
      <w:pPr>
        <w:pStyle w:val="17"/>
        <w:pageBreakBefore w:val="0"/>
        <w:widowControl w:val="0"/>
        <w:kinsoku/>
        <w:wordWrap/>
        <w:overflowPunct/>
        <w:topLinePunct w:val="0"/>
        <w:autoSpaceDE/>
        <w:autoSpaceDN/>
        <w:bidi w:val="0"/>
        <w:snapToGrid w:val="0"/>
        <w:spacing w:before="0" w:beforeLines="0" w:after="0" w:afterLines="0" w:line="400" w:lineRule="exact"/>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5.因重大变故，采购任务取消的；</w:t>
      </w:r>
    </w:p>
    <w:p>
      <w:pPr>
        <w:pStyle w:val="17"/>
        <w:pageBreakBefore w:val="0"/>
        <w:widowControl w:val="0"/>
        <w:kinsoku/>
        <w:wordWrap/>
        <w:overflowPunct/>
        <w:topLinePunct w:val="0"/>
        <w:autoSpaceDE/>
        <w:autoSpaceDN/>
        <w:bidi w:val="0"/>
        <w:snapToGrid w:val="0"/>
        <w:spacing w:before="0" w:beforeLines="0" w:after="0" w:afterLines="0" w:line="400" w:lineRule="exact"/>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6.法律、法规规定应当重新招标的其他情形。</w:t>
      </w:r>
    </w:p>
    <w:p>
      <w:pPr>
        <w:pStyle w:val="4"/>
        <w:pageBreakBefore w:val="0"/>
        <w:widowControl w:val="0"/>
        <w:kinsoku/>
        <w:wordWrap/>
        <w:overflowPunct/>
        <w:topLinePunct w:val="0"/>
        <w:autoSpaceDE/>
        <w:autoSpaceDN/>
        <w:bidi w:val="0"/>
        <w:snapToGrid w:val="0"/>
        <w:spacing w:line="400" w:lineRule="exact"/>
        <w:ind w:firstLine="562"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十、询问、质疑、调解</w:t>
      </w:r>
    </w:p>
    <w:p>
      <w:pPr>
        <w:pStyle w:val="5"/>
        <w:pageBreakBefore w:val="0"/>
        <w:widowControl w:val="0"/>
        <w:kinsoku/>
        <w:wordWrap/>
        <w:overflowPunct/>
        <w:topLinePunct w:val="0"/>
        <w:autoSpaceDE/>
        <w:autoSpaceDN/>
        <w:bidi w:val="0"/>
        <w:snapToGrid w:val="0"/>
        <w:spacing w:line="400" w:lineRule="exact"/>
        <w:ind w:firstLine="562"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（一）供应商询问</w:t>
      </w:r>
    </w:p>
    <w:p>
      <w:pPr>
        <w:pStyle w:val="17"/>
        <w:pageBreakBefore w:val="0"/>
        <w:widowControl w:val="0"/>
        <w:kinsoku/>
        <w:wordWrap/>
        <w:overflowPunct/>
        <w:topLinePunct w:val="0"/>
        <w:autoSpaceDE/>
        <w:autoSpaceDN/>
        <w:bidi w:val="0"/>
        <w:snapToGrid w:val="0"/>
        <w:spacing w:before="0" w:beforeLines="0" w:after="0" w:afterLines="0" w:line="400" w:lineRule="exact"/>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供应商可以就采购文件中特定资格条件、采购需求、评分办法及采购过程中有关现场考察或开标前答疑会事项向采购人提出询问，采购人将对此作出答复；供应商可以就采购活动中的其他事项向采购代理机构提出询问，采购代理机构将对此作出答复。答复的内容不得涉及商业秘密。</w:t>
      </w:r>
    </w:p>
    <w:p>
      <w:pPr>
        <w:pStyle w:val="5"/>
        <w:pageBreakBefore w:val="0"/>
        <w:widowControl w:val="0"/>
        <w:kinsoku/>
        <w:wordWrap/>
        <w:overflowPunct/>
        <w:topLinePunct w:val="0"/>
        <w:autoSpaceDE/>
        <w:autoSpaceDN/>
        <w:bidi w:val="0"/>
        <w:snapToGrid w:val="0"/>
        <w:spacing w:line="400" w:lineRule="exact"/>
        <w:ind w:firstLine="562"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（二）供应商质疑</w:t>
      </w:r>
    </w:p>
    <w:p>
      <w:pPr>
        <w:pStyle w:val="17"/>
        <w:pageBreakBefore w:val="0"/>
        <w:widowControl w:val="0"/>
        <w:kinsoku/>
        <w:wordWrap/>
        <w:overflowPunct/>
        <w:topLinePunct w:val="0"/>
        <w:autoSpaceDE/>
        <w:autoSpaceDN/>
        <w:bidi w:val="0"/>
        <w:snapToGrid w:val="0"/>
        <w:spacing w:before="0" w:beforeLines="0" w:after="0" w:afterLines="0" w:line="400" w:lineRule="exact"/>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1.提出质疑的供应商应当是参与所质疑项目采购活动的供应商。潜在供应商已依法获取其可质疑的采购文件的，可以对该文件提出质疑。</w:t>
      </w:r>
    </w:p>
    <w:p>
      <w:pPr>
        <w:pStyle w:val="17"/>
        <w:keepNext w:val="0"/>
        <w:keepLines w:val="0"/>
        <w:pageBreakBefore w:val="0"/>
        <w:widowControl w:val="0"/>
        <w:kinsoku/>
        <w:wordWrap/>
        <w:overflowPunct/>
        <w:topLinePunct w:val="0"/>
        <w:autoSpaceDE/>
        <w:autoSpaceDN/>
        <w:bidi w:val="0"/>
        <w:adjustRightInd/>
        <w:snapToGrid w:val="0"/>
        <w:spacing w:before="0" w:beforeLines="0" w:after="0" w:afterLines="0" w:line="400" w:lineRule="exact"/>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2.供应商认为采购文件、采购过程和成交结果使自己的权益受到损害的，可以在中标候选人公示期内，以书面形式向采购人或者采购代理机构提出质疑，否则，采购人或者采购代理机构不予受理：</w:t>
      </w:r>
    </w:p>
    <w:p>
      <w:pPr>
        <w:pStyle w:val="17"/>
        <w:keepNext w:val="0"/>
        <w:keepLines w:val="0"/>
        <w:pageBreakBefore w:val="0"/>
        <w:widowControl w:val="0"/>
        <w:kinsoku/>
        <w:wordWrap/>
        <w:overflowPunct/>
        <w:topLinePunct w:val="0"/>
        <w:autoSpaceDE/>
        <w:autoSpaceDN/>
        <w:bidi w:val="0"/>
        <w:adjustRightInd/>
        <w:snapToGrid w:val="0"/>
        <w:spacing w:before="0" w:beforeLines="0" w:after="0" w:afterLines="0" w:line="400" w:lineRule="exact"/>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1）对采购文件提出质疑的，质疑期限为自公告发布之日起7日内。根据采购人与采购代理机构签订的委托协议的规定：对采购文件中特定资格条件、采购需求、评分办法提出的质疑，原则上由采购人负责答复；对采购文件中其他内容提出的质疑，原则上由采购代理机构负责答复。</w:t>
      </w:r>
    </w:p>
    <w:p>
      <w:pPr>
        <w:pStyle w:val="17"/>
        <w:keepNext w:val="0"/>
        <w:keepLines w:val="0"/>
        <w:pageBreakBefore w:val="0"/>
        <w:widowControl w:val="0"/>
        <w:kinsoku/>
        <w:wordWrap/>
        <w:overflowPunct/>
        <w:topLinePunct w:val="0"/>
        <w:autoSpaceDE/>
        <w:autoSpaceDN/>
        <w:bidi w:val="0"/>
        <w:adjustRightInd/>
        <w:snapToGrid w:val="0"/>
        <w:spacing w:before="0" w:beforeLines="0" w:after="0" w:afterLines="0" w:line="400" w:lineRule="exact"/>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2）对采购过程提出质疑的，质疑期限为中标结果公告期限内。对同一采购程序环节的质疑，供应商须一次性提出。根据采购人与采购代理机构签订的委托协议的规定：对采购过程中有关现场考察或开标前答疑会事项提出的质疑，原则上由采购人负责答复；对采购过程中其他事项提出的质疑，原则上由采购代理机构负责答复。</w:t>
      </w:r>
    </w:p>
    <w:p>
      <w:pPr>
        <w:pStyle w:val="17"/>
        <w:keepNext w:val="0"/>
        <w:keepLines w:val="0"/>
        <w:pageBreakBefore w:val="0"/>
        <w:widowControl w:val="0"/>
        <w:kinsoku/>
        <w:wordWrap/>
        <w:overflowPunct/>
        <w:topLinePunct w:val="0"/>
        <w:autoSpaceDE/>
        <w:autoSpaceDN/>
        <w:bidi w:val="0"/>
        <w:adjustRightInd/>
        <w:snapToGrid w:val="0"/>
        <w:spacing w:before="0" w:beforeLines="0" w:after="0" w:afterLines="0" w:line="400" w:lineRule="exact"/>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（3）对采购结果提出质疑的，质疑期限为中标结果公告期限内。对采购结果提出质疑的，采购代理机构负责答复。</w:t>
      </w:r>
    </w:p>
    <w:p>
      <w:pPr>
        <w:pStyle w:val="17"/>
        <w:pageBreakBefore w:val="0"/>
        <w:widowControl w:val="0"/>
        <w:kinsoku/>
        <w:wordWrap/>
        <w:overflowPunct/>
        <w:topLinePunct w:val="0"/>
        <w:autoSpaceDE/>
        <w:autoSpaceDN/>
        <w:bidi w:val="0"/>
        <w:snapToGrid w:val="0"/>
        <w:spacing w:before="0" w:beforeLines="0" w:after="0" w:afterLines="0" w:line="400" w:lineRule="exact"/>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3.供应商提出质疑应当提交质疑函和必要的相关材料。质疑函应当包括下列内容：</w:t>
      </w:r>
    </w:p>
    <w:p>
      <w:pPr>
        <w:pStyle w:val="17"/>
        <w:pageBreakBefore w:val="0"/>
        <w:widowControl w:val="0"/>
        <w:kinsoku/>
        <w:wordWrap/>
        <w:overflowPunct/>
        <w:topLinePunct w:val="0"/>
        <w:autoSpaceDE/>
        <w:autoSpaceDN/>
        <w:bidi w:val="0"/>
        <w:snapToGrid w:val="0"/>
        <w:spacing w:before="0" w:beforeLines="0" w:after="0" w:afterLines="0" w:line="400" w:lineRule="exact"/>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（1）供应商的姓名或者名称、地址、邮编、联系人及联系电话；</w:t>
      </w:r>
    </w:p>
    <w:p>
      <w:pPr>
        <w:pStyle w:val="17"/>
        <w:pageBreakBefore w:val="0"/>
        <w:widowControl w:val="0"/>
        <w:kinsoku/>
        <w:wordWrap/>
        <w:overflowPunct/>
        <w:topLinePunct w:val="0"/>
        <w:autoSpaceDE/>
        <w:autoSpaceDN/>
        <w:bidi w:val="0"/>
        <w:snapToGrid w:val="0"/>
        <w:spacing w:before="0" w:beforeLines="0" w:after="0" w:afterLines="0" w:line="400" w:lineRule="exact"/>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（2）质疑项目的名称；</w:t>
      </w:r>
    </w:p>
    <w:p>
      <w:pPr>
        <w:pStyle w:val="17"/>
        <w:pageBreakBefore w:val="0"/>
        <w:widowControl w:val="0"/>
        <w:kinsoku/>
        <w:wordWrap/>
        <w:overflowPunct/>
        <w:topLinePunct w:val="0"/>
        <w:autoSpaceDE/>
        <w:autoSpaceDN/>
        <w:bidi w:val="0"/>
        <w:snapToGrid w:val="0"/>
        <w:spacing w:before="0" w:beforeLines="0" w:after="0" w:afterLines="0" w:line="400" w:lineRule="exact"/>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（3）具体、明确的质疑事项和与质疑事项相关的请求；</w:t>
      </w:r>
    </w:p>
    <w:p>
      <w:pPr>
        <w:pStyle w:val="17"/>
        <w:pageBreakBefore w:val="0"/>
        <w:widowControl w:val="0"/>
        <w:kinsoku/>
        <w:wordWrap/>
        <w:overflowPunct/>
        <w:topLinePunct w:val="0"/>
        <w:autoSpaceDE/>
        <w:autoSpaceDN/>
        <w:bidi w:val="0"/>
        <w:snapToGrid w:val="0"/>
        <w:spacing w:before="0" w:beforeLines="0" w:after="0" w:afterLines="0" w:line="400" w:lineRule="exact"/>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（4）事实依据；</w:t>
      </w:r>
    </w:p>
    <w:p>
      <w:pPr>
        <w:pStyle w:val="17"/>
        <w:pageBreakBefore w:val="0"/>
        <w:widowControl w:val="0"/>
        <w:kinsoku/>
        <w:wordWrap/>
        <w:overflowPunct/>
        <w:topLinePunct w:val="0"/>
        <w:autoSpaceDE/>
        <w:autoSpaceDN/>
        <w:bidi w:val="0"/>
        <w:snapToGrid w:val="0"/>
        <w:spacing w:before="0" w:beforeLines="0" w:after="0" w:afterLines="0" w:line="400" w:lineRule="exact"/>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（5）必要的法律依据；</w:t>
      </w:r>
    </w:p>
    <w:p>
      <w:pPr>
        <w:pStyle w:val="17"/>
        <w:pageBreakBefore w:val="0"/>
        <w:widowControl w:val="0"/>
        <w:kinsoku/>
        <w:wordWrap/>
        <w:overflowPunct/>
        <w:topLinePunct w:val="0"/>
        <w:autoSpaceDE/>
        <w:autoSpaceDN/>
        <w:bidi w:val="0"/>
        <w:snapToGrid w:val="0"/>
        <w:spacing w:before="0" w:beforeLines="0" w:after="0" w:afterLines="0" w:line="400" w:lineRule="exact"/>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（6）提出质疑的日期。</w:t>
      </w:r>
    </w:p>
    <w:p>
      <w:pPr>
        <w:pStyle w:val="17"/>
        <w:pageBreakBefore w:val="0"/>
        <w:widowControl w:val="0"/>
        <w:kinsoku/>
        <w:wordWrap/>
        <w:overflowPunct/>
        <w:topLinePunct w:val="0"/>
        <w:autoSpaceDE/>
        <w:autoSpaceDN/>
        <w:bidi w:val="0"/>
        <w:snapToGrid w:val="0"/>
        <w:spacing w:before="0" w:beforeLines="0" w:after="0" w:afterLines="0" w:line="400" w:lineRule="exact"/>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供应商提交的质疑函需一式三份。应当由</w:t>
      </w:r>
      <w:r>
        <w:rPr>
          <w:rFonts w:hint="eastAsia" w:ascii="仿宋" w:hAnsi="仿宋" w:eastAsia="仿宋" w:cs="仿宋"/>
          <w:color w:val="auto"/>
          <w:highlight w:val="none"/>
          <w:lang w:eastAsia="zh-CN"/>
        </w:rPr>
        <w:t>法定代表人（负责人）</w:t>
      </w:r>
      <w:r>
        <w:rPr>
          <w:rFonts w:hint="eastAsia" w:ascii="仿宋" w:hAnsi="仿宋" w:eastAsia="仿宋" w:cs="仿宋"/>
          <w:color w:val="auto"/>
          <w:highlight w:val="none"/>
        </w:rPr>
        <w:t>、主要负责人，或者其授权代表签字或者盖章，并加盖公章。</w:t>
      </w:r>
    </w:p>
    <w:p>
      <w:pPr>
        <w:pStyle w:val="17"/>
        <w:pageBreakBefore w:val="0"/>
        <w:widowControl w:val="0"/>
        <w:kinsoku/>
        <w:wordWrap/>
        <w:overflowPunct/>
        <w:topLinePunct w:val="0"/>
        <w:autoSpaceDE/>
        <w:autoSpaceDN/>
        <w:bidi w:val="0"/>
        <w:snapToGrid w:val="0"/>
        <w:spacing w:before="0" w:beforeLines="0" w:after="0" w:afterLines="0" w:line="400" w:lineRule="exact"/>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4.采购人或者采购代理机构应当在收到供应商的书面质疑后七个工作日内作出答复，并以书面形式通知质疑供应商和其他与质疑处理结果有利害关系的采购当事人，但答复的内容不得涉及商业秘密。</w:t>
      </w:r>
    </w:p>
    <w:p>
      <w:pPr>
        <w:pStyle w:val="17"/>
        <w:pageBreakBefore w:val="0"/>
        <w:widowControl w:val="0"/>
        <w:kinsoku/>
        <w:wordWrap/>
        <w:overflowPunct/>
        <w:topLinePunct w:val="0"/>
        <w:autoSpaceDE/>
        <w:autoSpaceDN/>
        <w:bidi w:val="0"/>
        <w:snapToGrid w:val="0"/>
        <w:spacing w:before="0" w:beforeLines="0" w:after="0" w:afterLines="0" w:line="400" w:lineRule="exact"/>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5.询问或者质疑事项可能影响采购结果的，采购人应当暂停签订合同，已经签订合同的，应当中止履行合同。</w:t>
      </w:r>
    </w:p>
    <w:p>
      <w:pPr>
        <w:pStyle w:val="5"/>
        <w:pageBreakBefore w:val="0"/>
        <w:widowControl w:val="0"/>
        <w:kinsoku/>
        <w:wordWrap/>
        <w:overflowPunct/>
        <w:topLinePunct w:val="0"/>
        <w:autoSpaceDE/>
        <w:autoSpaceDN/>
        <w:bidi w:val="0"/>
        <w:snapToGrid w:val="0"/>
        <w:spacing w:line="400" w:lineRule="exact"/>
        <w:ind w:firstLine="562"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（三）调解</w:t>
      </w:r>
    </w:p>
    <w:p>
      <w:pPr>
        <w:pStyle w:val="17"/>
        <w:pageBreakBefore w:val="0"/>
        <w:widowControl w:val="0"/>
        <w:kinsoku/>
        <w:wordWrap/>
        <w:overflowPunct/>
        <w:topLinePunct w:val="0"/>
        <w:autoSpaceDE/>
        <w:autoSpaceDN/>
        <w:bidi w:val="0"/>
        <w:snapToGrid w:val="0"/>
        <w:spacing w:before="0" w:beforeLines="0" w:after="0" w:afterLines="0" w:line="400" w:lineRule="exact"/>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1.质疑供应商对采购人、采购代理机构的答复不满意或者采购人、采购代理机构未在规定的时间内作出答复的，可以在答复期满后十五个工作日内向采购活动管理部门申请调解，也可以依据民事法律的规定，直接向法院提起民事诉讼。</w:t>
      </w:r>
    </w:p>
    <w:p>
      <w:pPr>
        <w:pStyle w:val="17"/>
        <w:pageBreakBefore w:val="0"/>
        <w:widowControl w:val="0"/>
        <w:kinsoku/>
        <w:wordWrap/>
        <w:overflowPunct/>
        <w:topLinePunct w:val="0"/>
        <w:autoSpaceDE/>
        <w:autoSpaceDN/>
        <w:bidi w:val="0"/>
        <w:snapToGrid w:val="0"/>
        <w:spacing w:before="0" w:beforeLines="0" w:after="0" w:afterLines="0" w:line="400" w:lineRule="exact"/>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2.供应商调解的事项不得超出已质疑事项的范围，基于质疑答复内容提出的调解事项除外。</w:t>
      </w:r>
    </w:p>
    <w:p>
      <w:pPr>
        <w:pStyle w:val="17"/>
        <w:pageBreakBefore w:val="0"/>
        <w:widowControl w:val="0"/>
        <w:kinsoku/>
        <w:wordWrap/>
        <w:overflowPunct/>
        <w:topLinePunct w:val="0"/>
        <w:autoSpaceDE/>
        <w:autoSpaceDN/>
        <w:bidi w:val="0"/>
        <w:snapToGrid w:val="0"/>
        <w:spacing w:before="0" w:beforeLines="0" w:after="0" w:afterLines="0" w:line="400" w:lineRule="exact"/>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3.供应商应当有明确的调解请求和必要的佐证材料。</w:t>
      </w:r>
    </w:p>
    <w:p>
      <w:pPr>
        <w:pStyle w:val="17"/>
        <w:pageBreakBefore w:val="0"/>
        <w:widowControl w:val="0"/>
        <w:kinsoku/>
        <w:wordWrap/>
        <w:overflowPunct/>
        <w:topLinePunct w:val="0"/>
        <w:autoSpaceDE/>
        <w:autoSpaceDN/>
        <w:bidi w:val="0"/>
        <w:snapToGrid w:val="0"/>
        <w:spacing w:before="0" w:beforeLines="0" w:after="0" w:afterLines="0" w:line="400" w:lineRule="exact"/>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4.以联合体形式参加投标活动的，其应当由组成联合体的所有供应商共同提出调解。</w:t>
      </w:r>
    </w:p>
    <w:p>
      <w:pPr>
        <w:pStyle w:val="4"/>
        <w:pageBreakBefore w:val="0"/>
        <w:widowControl w:val="0"/>
        <w:kinsoku/>
        <w:wordWrap/>
        <w:overflowPunct/>
        <w:topLinePunct w:val="0"/>
        <w:autoSpaceDE/>
        <w:autoSpaceDN/>
        <w:bidi w:val="0"/>
        <w:snapToGrid w:val="0"/>
        <w:spacing w:line="400" w:lineRule="exact"/>
        <w:ind w:firstLine="562"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十一、需要补充的其他内容</w:t>
      </w:r>
    </w:p>
    <w:p>
      <w:pPr>
        <w:pStyle w:val="17"/>
        <w:pageBreakBefore w:val="0"/>
        <w:widowControl w:val="0"/>
        <w:kinsoku/>
        <w:wordWrap/>
        <w:overflowPunct/>
        <w:topLinePunct w:val="0"/>
        <w:autoSpaceDE/>
        <w:autoSpaceDN/>
        <w:bidi w:val="0"/>
        <w:snapToGrid w:val="0"/>
        <w:spacing w:before="0" w:beforeLines="0" w:after="0" w:afterLines="0" w:line="400" w:lineRule="exact"/>
        <w:ind w:firstLine="480" w:firstLineChars="200"/>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highlight w:val="none"/>
        </w:rPr>
        <w:t>需要补充的其他内容：见投标人须知前附表。</w:t>
      </w:r>
    </w:p>
    <w:bookmarkEnd w:id="214"/>
    <w:bookmarkEnd w:id="215"/>
    <w:bookmarkEnd w:id="216"/>
    <w:bookmarkEnd w:id="217"/>
    <w:bookmarkEnd w:id="218"/>
    <w:bookmarkEnd w:id="219"/>
    <w:bookmarkEnd w:id="220"/>
    <w:bookmarkEnd w:id="221"/>
    <w:bookmarkEnd w:id="222"/>
    <w:p>
      <w:pPr>
        <w:pStyle w:val="3"/>
        <w:pageBreakBefore w:val="0"/>
        <w:widowControl w:val="0"/>
        <w:numPr>
          <w:ilvl w:val="0"/>
          <w:numId w:val="6"/>
        </w:numPr>
        <w:kinsoku/>
        <w:wordWrap/>
        <w:overflowPunct/>
        <w:topLinePunct w:val="0"/>
        <w:autoSpaceDE/>
        <w:autoSpaceDN/>
        <w:bidi w:val="0"/>
        <w:spacing w:line="480" w:lineRule="exact"/>
        <w:jc w:val="center"/>
        <w:textAlignment w:val="auto"/>
        <w:rPr>
          <w:rFonts w:hint="eastAsia" w:ascii="仿宋" w:hAnsi="仿宋" w:eastAsia="仿宋" w:cs="仿宋"/>
          <w:color w:val="auto"/>
          <w:highlight w:val="none"/>
        </w:rPr>
      </w:pPr>
      <w:r>
        <w:rPr>
          <w:rFonts w:hint="eastAsia" w:ascii="仿宋" w:hAnsi="仿宋" w:eastAsia="仿宋" w:cs="仿宋"/>
          <w:bCs/>
          <w:color w:val="auto"/>
          <w:sz w:val="36"/>
          <w:szCs w:val="36"/>
          <w:highlight w:val="none"/>
        </w:rPr>
        <w:br w:type="page"/>
      </w:r>
      <w:bookmarkStart w:id="319" w:name="_Toc29891"/>
      <w:r>
        <w:rPr>
          <w:rFonts w:hint="eastAsia" w:ascii="仿宋" w:hAnsi="仿宋" w:eastAsia="仿宋" w:cs="仿宋"/>
          <w:color w:val="auto"/>
          <w:highlight w:val="none"/>
        </w:rPr>
        <w:t xml:space="preserve"> 招标采购需求</w:t>
      </w:r>
      <w:bookmarkEnd w:id="319"/>
    </w:p>
    <w:p>
      <w:pPr>
        <w:jc w:val="center"/>
        <w:rPr>
          <w:rFonts w:hint="eastAsia" w:ascii="仿宋" w:hAnsi="仿宋" w:eastAsia="仿宋" w:cs="仿宋"/>
          <w:b/>
          <w:sz w:val="24"/>
        </w:rPr>
      </w:pPr>
      <w:r>
        <w:rPr>
          <w:rFonts w:hint="eastAsia" w:ascii="仿宋" w:hAnsi="仿宋" w:eastAsia="仿宋" w:cs="仿宋"/>
          <w:b/>
          <w:sz w:val="24"/>
        </w:rPr>
        <w:t>（</w:t>
      </w:r>
      <w:r>
        <w:rPr>
          <w:rFonts w:hint="eastAsia" w:ascii="仿宋" w:hAnsi="仿宋" w:eastAsia="仿宋" w:cs="仿宋"/>
          <w:b/>
          <w:sz w:val="24"/>
          <w:u w:val="single"/>
        </w:rPr>
        <w:t>如有带“</w:t>
      </w:r>
      <w:r>
        <w:rPr>
          <w:rFonts w:hint="eastAsia" w:ascii="仿宋" w:hAnsi="仿宋" w:eastAsia="仿宋" w:cs="仿宋"/>
          <w:b/>
          <w:kern w:val="0"/>
          <w:sz w:val="24"/>
          <w:u w:val="single"/>
        </w:rPr>
        <w:t>★</w:t>
      </w:r>
      <w:r>
        <w:rPr>
          <w:rFonts w:hint="eastAsia" w:ascii="仿宋" w:hAnsi="仿宋" w:eastAsia="仿宋" w:cs="仿宋"/>
          <w:b/>
          <w:sz w:val="24"/>
          <w:u w:val="single"/>
        </w:rPr>
        <w:t>”符号部分为必须满足，</w:t>
      </w:r>
      <w:r>
        <w:rPr>
          <w:rFonts w:hint="eastAsia" w:ascii="仿宋" w:hAnsi="仿宋" w:eastAsia="仿宋" w:cs="仿宋"/>
          <w:b/>
          <w:sz w:val="24"/>
          <w:u w:val="single"/>
          <w:lang w:val="en-US" w:eastAsia="zh-CN"/>
        </w:rPr>
        <w:t>负偏离</w:t>
      </w:r>
      <w:r>
        <w:rPr>
          <w:rFonts w:hint="eastAsia" w:ascii="仿宋" w:hAnsi="仿宋" w:eastAsia="仿宋" w:cs="仿宋"/>
          <w:b/>
          <w:sz w:val="24"/>
          <w:u w:val="single"/>
        </w:rPr>
        <w:t>视为无效投标。</w:t>
      </w:r>
      <w:r>
        <w:rPr>
          <w:rFonts w:hint="eastAsia" w:ascii="仿宋" w:hAnsi="仿宋" w:eastAsia="仿宋" w:cs="仿宋"/>
          <w:b/>
          <w:sz w:val="24"/>
        </w:rPr>
        <w:t>）</w:t>
      </w:r>
    </w:p>
    <w:p>
      <w:pPr>
        <w:numPr>
          <w:ilvl w:val="0"/>
          <w:numId w:val="0"/>
        </w:numPr>
        <w:rPr>
          <w:rFonts w:hint="eastAsia"/>
        </w:rPr>
      </w:pPr>
    </w:p>
    <w:p>
      <w:pPr>
        <w:pStyle w:val="80"/>
        <w:ind w:firstLine="602" w:firstLineChars="200"/>
        <w:rPr>
          <w:rFonts w:hint="eastAsia" w:ascii="仿宋" w:hAnsi="仿宋" w:eastAsia="仿宋" w:cs="仿宋"/>
          <w:b/>
          <w:color w:val="000000" w:themeColor="text1"/>
          <w:sz w:val="30"/>
          <w:szCs w:val="30"/>
          <w14:textFill>
            <w14:solidFill>
              <w14:schemeClr w14:val="tx1"/>
            </w14:solidFill>
          </w14:textFill>
        </w:rPr>
      </w:pPr>
      <w:bookmarkStart w:id="320" w:name="_Toc7345"/>
      <w:r>
        <w:rPr>
          <w:rFonts w:hint="eastAsia" w:ascii="仿宋" w:hAnsi="仿宋" w:eastAsia="仿宋" w:cs="仿宋"/>
          <w:b/>
          <w:color w:val="000000" w:themeColor="text1"/>
          <w:sz w:val="30"/>
          <w:szCs w:val="30"/>
          <w:lang w:val="en-US" w:eastAsia="zh-CN"/>
          <w14:textFill>
            <w14:solidFill>
              <w14:schemeClr w14:val="tx1"/>
            </w14:solidFill>
          </w14:textFill>
        </w:rPr>
        <w:t>一、</w:t>
      </w:r>
      <w:r>
        <w:rPr>
          <w:rFonts w:hint="eastAsia" w:ascii="仿宋" w:hAnsi="仿宋" w:eastAsia="仿宋" w:cs="仿宋"/>
          <w:b/>
          <w:color w:val="000000" w:themeColor="text1"/>
          <w:sz w:val="30"/>
          <w:szCs w:val="30"/>
          <w14:textFill>
            <w14:solidFill>
              <w14:schemeClr w14:val="tx1"/>
            </w14:solidFill>
          </w14:textFill>
        </w:rPr>
        <w:t>项目</w:t>
      </w:r>
      <w:r>
        <w:rPr>
          <w:rFonts w:hint="eastAsia" w:ascii="仿宋" w:hAnsi="仿宋" w:eastAsia="仿宋" w:cs="仿宋"/>
          <w:b/>
          <w:color w:val="000000" w:themeColor="text1"/>
          <w:sz w:val="30"/>
          <w:szCs w:val="30"/>
          <w:lang w:val="en-US" w:eastAsia="zh-CN"/>
          <w14:textFill>
            <w14:solidFill>
              <w14:schemeClr w14:val="tx1"/>
            </w14:solidFill>
          </w14:textFill>
        </w:rPr>
        <w:t>概况</w:t>
      </w:r>
    </w:p>
    <w:tbl>
      <w:tblPr>
        <w:tblStyle w:val="31"/>
        <w:tblW w:w="511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1"/>
        <w:gridCol w:w="1226"/>
        <w:gridCol w:w="5119"/>
        <w:gridCol w:w="2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427" w:type="pct"/>
            <w:tcBorders>
              <w:top w:val="single" w:color="auto" w:sz="4" w:space="0"/>
              <w:left w:val="single" w:color="auto" w:sz="4" w:space="0"/>
              <w:bottom w:val="single" w:color="auto" w:sz="4" w:space="0"/>
              <w:right w:val="single" w:color="auto" w:sz="4" w:space="0"/>
            </w:tcBorders>
            <w:vAlign w:val="center"/>
          </w:tcPr>
          <w:p>
            <w:pPr>
              <w:autoSpaceDE w:val="0"/>
              <w:spacing w:line="288" w:lineRule="auto"/>
              <w:jc w:val="center"/>
              <w:rPr>
                <w:rFonts w:hint="default" w:ascii="仿宋" w:hAnsi="仿宋" w:eastAsia="仿宋" w:cs="仿宋"/>
                <w:b/>
                <w:bCs/>
                <w:szCs w:val="21"/>
                <w:lang w:val="en-US" w:eastAsia="zh-CN"/>
              </w:rPr>
            </w:pPr>
            <w:bookmarkStart w:id="321" w:name="_Toc21603411"/>
            <w:r>
              <w:rPr>
                <w:rFonts w:hint="eastAsia" w:ascii="仿宋" w:hAnsi="仿宋" w:eastAsia="仿宋" w:cs="仿宋"/>
                <w:b/>
                <w:bCs/>
                <w:szCs w:val="21"/>
                <w:lang w:val="en-US" w:eastAsia="zh-CN"/>
              </w:rPr>
              <w:t>名称</w:t>
            </w:r>
          </w:p>
        </w:tc>
        <w:tc>
          <w:tcPr>
            <w:tcW w:w="653" w:type="pct"/>
            <w:tcBorders>
              <w:top w:val="single" w:color="auto" w:sz="4" w:space="0"/>
              <w:left w:val="nil"/>
              <w:bottom w:val="single" w:color="auto" w:sz="4" w:space="0"/>
              <w:right w:val="single" w:color="auto" w:sz="4" w:space="0"/>
            </w:tcBorders>
            <w:vAlign w:val="center"/>
          </w:tcPr>
          <w:p>
            <w:pPr>
              <w:autoSpaceDE w:val="0"/>
              <w:spacing w:line="288" w:lineRule="auto"/>
              <w:jc w:val="center"/>
              <w:rPr>
                <w:rFonts w:hint="eastAsia" w:ascii="仿宋" w:hAnsi="仿宋" w:eastAsia="仿宋" w:cs="仿宋"/>
                <w:b/>
                <w:bCs/>
                <w:szCs w:val="21"/>
                <w:lang w:eastAsia="zh-CN"/>
              </w:rPr>
            </w:pPr>
            <w:r>
              <w:rPr>
                <w:rFonts w:hint="eastAsia" w:ascii="仿宋" w:hAnsi="仿宋" w:eastAsia="仿宋" w:cs="仿宋"/>
                <w:b/>
                <w:bCs/>
                <w:szCs w:val="21"/>
                <w:lang w:val="en-US" w:eastAsia="zh-CN" w:bidi="ar"/>
              </w:rPr>
              <w:t>参数</w:t>
            </w:r>
          </w:p>
        </w:tc>
        <w:tc>
          <w:tcPr>
            <w:tcW w:w="2729" w:type="pct"/>
            <w:tcBorders>
              <w:top w:val="single" w:color="auto" w:sz="4" w:space="0"/>
              <w:left w:val="nil"/>
              <w:bottom w:val="single" w:color="auto" w:sz="4" w:space="0"/>
              <w:right w:val="single" w:color="auto" w:sz="4" w:space="0"/>
            </w:tcBorders>
            <w:vAlign w:val="center"/>
          </w:tcPr>
          <w:p>
            <w:pPr>
              <w:autoSpaceDE w:val="0"/>
              <w:spacing w:line="288" w:lineRule="auto"/>
              <w:jc w:val="center"/>
              <w:rPr>
                <w:rFonts w:ascii="仿宋" w:hAnsi="仿宋" w:eastAsia="仿宋" w:cs="仿宋"/>
                <w:b/>
                <w:bCs/>
                <w:szCs w:val="21"/>
              </w:rPr>
            </w:pPr>
            <w:r>
              <w:rPr>
                <w:rFonts w:ascii="仿宋" w:hAnsi="仿宋" w:eastAsia="仿宋" w:cs="仿宋"/>
                <w:b/>
                <w:bCs/>
                <w:szCs w:val="21"/>
                <w:lang w:bidi="ar"/>
              </w:rPr>
              <w:t>规格型号</w:t>
            </w:r>
          </w:p>
        </w:tc>
        <w:tc>
          <w:tcPr>
            <w:tcW w:w="1190" w:type="pct"/>
            <w:tcBorders>
              <w:top w:val="single" w:color="auto" w:sz="4" w:space="0"/>
              <w:left w:val="nil"/>
              <w:bottom w:val="single" w:color="auto" w:sz="4" w:space="0"/>
              <w:right w:val="single" w:color="auto" w:sz="4" w:space="0"/>
            </w:tcBorders>
            <w:vAlign w:val="center"/>
          </w:tcPr>
          <w:p>
            <w:pPr>
              <w:autoSpaceDE w:val="0"/>
              <w:spacing w:line="288" w:lineRule="auto"/>
              <w:jc w:val="center"/>
              <w:rPr>
                <w:rFonts w:ascii="仿宋" w:hAnsi="仿宋" w:eastAsia="仿宋" w:cs="仿宋"/>
                <w:b/>
                <w:bCs/>
                <w:szCs w:val="21"/>
                <w:lang w:bidi="ar"/>
              </w:rPr>
            </w:pPr>
            <w:r>
              <w:rPr>
                <w:rFonts w:hint="eastAsia" w:ascii="仿宋" w:hAnsi="仿宋" w:eastAsia="仿宋" w:cs="仿宋"/>
                <w:b/>
                <w:bCs/>
                <w:szCs w:val="21"/>
                <w:lang w:bidi="ar"/>
              </w:rPr>
              <w:t>推荐品牌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427" w:type="pct"/>
            <w:vMerge w:val="restart"/>
            <w:tcBorders>
              <w:top w:val="single" w:color="auto" w:sz="4" w:space="0"/>
              <w:left w:val="single" w:color="auto" w:sz="4" w:space="0"/>
              <w:right w:val="single" w:color="auto" w:sz="4" w:space="0"/>
            </w:tcBorders>
            <w:vAlign w:val="center"/>
          </w:tcPr>
          <w:p>
            <w:pPr>
              <w:spacing w:line="360" w:lineRule="auto"/>
              <w:jc w:val="center"/>
              <w:rPr>
                <w:rFonts w:hint="eastAsia" w:ascii="仿宋" w:hAnsi="仿宋" w:eastAsia="仿宋" w:cs="仿宋"/>
                <w:b/>
                <w:bCs/>
                <w:szCs w:val="21"/>
                <w:lang w:eastAsia="zh-CN" w:bidi="ar"/>
              </w:rPr>
            </w:pPr>
            <w:r>
              <w:rPr>
                <w:rFonts w:hint="eastAsia" w:ascii="仿宋" w:hAnsi="仿宋" w:eastAsia="仿宋" w:cs="仿宋"/>
                <w:sz w:val="24"/>
                <w:lang w:val="en-US" w:eastAsia="zh-CN"/>
              </w:rPr>
              <w:t>装载机</w:t>
            </w:r>
          </w:p>
        </w:tc>
        <w:tc>
          <w:tcPr>
            <w:tcW w:w="653" w:type="pct"/>
            <w:tcBorders>
              <w:top w:val="single" w:color="auto" w:sz="4" w:space="0"/>
              <w:left w:val="nil"/>
              <w:bottom w:val="single" w:color="auto" w:sz="4" w:space="0"/>
              <w:right w:val="single" w:color="auto" w:sz="4" w:space="0"/>
            </w:tcBorders>
            <w:vAlign w:val="center"/>
          </w:tcPr>
          <w:p>
            <w:pPr>
              <w:spacing w:line="360" w:lineRule="auto"/>
              <w:jc w:val="center"/>
              <w:rPr>
                <w:rFonts w:hint="default" w:ascii="仿宋" w:hAnsi="仿宋" w:eastAsia="仿宋" w:cs="仿宋"/>
                <w:b/>
                <w:bCs/>
                <w:szCs w:val="21"/>
                <w:lang w:val="en-US" w:eastAsia="zh-CN" w:bidi="ar"/>
              </w:rPr>
            </w:pPr>
            <w:r>
              <w:rPr>
                <w:rFonts w:hint="eastAsia" w:ascii="仿宋" w:hAnsi="仿宋" w:eastAsia="仿宋" w:cs="仿宋"/>
                <w:sz w:val="24"/>
                <w:lang w:val="en-US" w:eastAsia="zh-CN"/>
              </w:rPr>
              <w:t>整机参数</w:t>
            </w:r>
          </w:p>
        </w:tc>
        <w:tc>
          <w:tcPr>
            <w:tcW w:w="2729" w:type="pct"/>
            <w:tcBorders>
              <w:top w:val="single" w:color="auto" w:sz="4" w:space="0"/>
              <w:left w:val="nil"/>
              <w:bottom w:val="single" w:color="auto" w:sz="4" w:space="0"/>
              <w:right w:val="single" w:color="auto" w:sz="4" w:space="0"/>
            </w:tcBorders>
            <w:vAlign w:val="center"/>
          </w:tcPr>
          <w:p>
            <w:pPr>
              <w:spacing w:line="360" w:lineRule="auto"/>
              <w:jc w:val="left"/>
              <w:rPr>
                <w:rFonts w:hint="eastAsia" w:ascii="仿宋" w:hAnsi="仿宋" w:eastAsia="仿宋" w:cs="仿宋"/>
                <w:sz w:val="24"/>
                <w:lang w:val="en-US" w:eastAsia="zh-CN"/>
              </w:rPr>
            </w:pPr>
            <w:r>
              <w:rPr>
                <w:rFonts w:hint="eastAsia" w:ascii="仿宋" w:hAnsi="仿宋" w:eastAsia="仿宋" w:cs="仿宋"/>
                <w:b/>
                <w:kern w:val="0"/>
                <w:sz w:val="24"/>
                <w:u w:val="single"/>
              </w:rPr>
              <w:t>★</w:t>
            </w:r>
            <w:r>
              <w:rPr>
                <w:rFonts w:hint="eastAsia" w:ascii="仿宋" w:hAnsi="仿宋" w:eastAsia="仿宋" w:cs="仿宋"/>
                <w:sz w:val="24"/>
                <w:lang w:val="en-US" w:eastAsia="zh-CN"/>
              </w:rPr>
              <w:t>额定载荷：≥6500KG</w:t>
            </w:r>
          </w:p>
          <w:p>
            <w:pPr>
              <w:spacing w:line="360" w:lineRule="auto"/>
              <w:jc w:val="left"/>
              <w:rPr>
                <w:rFonts w:hint="eastAsia" w:ascii="仿宋" w:hAnsi="仿宋" w:eastAsia="仿宋" w:cs="仿宋"/>
                <w:sz w:val="24"/>
                <w:lang w:val="en-US" w:eastAsia="zh-CN"/>
              </w:rPr>
            </w:pPr>
            <w:r>
              <w:rPr>
                <w:rFonts w:hint="eastAsia" w:ascii="仿宋" w:hAnsi="仿宋" w:eastAsia="仿宋" w:cs="仿宋"/>
                <w:b/>
                <w:kern w:val="0"/>
                <w:sz w:val="24"/>
                <w:u w:val="single"/>
              </w:rPr>
              <w:t>★</w:t>
            </w:r>
            <w:r>
              <w:rPr>
                <w:rFonts w:hint="eastAsia" w:ascii="仿宋" w:hAnsi="仿宋" w:eastAsia="仿宋" w:cs="仿宋"/>
                <w:sz w:val="24"/>
                <w:lang w:val="en-US" w:eastAsia="zh-CN"/>
              </w:rPr>
              <w:t>斗容容量：≥3.0-≥6.0m³（区间）</w:t>
            </w:r>
          </w:p>
          <w:p>
            <w:pPr>
              <w:spacing w:line="360" w:lineRule="auto"/>
              <w:jc w:val="left"/>
              <w:rPr>
                <w:rFonts w:hint="eastAsia" w:ascii="仿宋" w:hAnsi="仿宋" w:eastAsia="仿宋" w:cs="仿宋"/>
                <w:sz w:val="24"/>
                <w:lang w:val="en-US" w:eastAsia="zh-CN"/>
              </w:rPr>
            </w:pPr>
            <w:r>
              <w:rPr>
                <w:rFonts w:hint="eastAsia" w:ascii="仿宋" w:hAnsi="仿宋" w:eastAsia="仿宋" w:cs="仿宋"/>
                <w:b/>
                <w:kern w:val="0"/>
                <w:sz w:val="24"/>
                <w:u w:val="single"/>
              </w:rPr>
              <w:t>★</w:t>
            </w:r>
            <w:r>
              <w:rPr>
                <w:rFonts w:hint="eastAsia" w:ascii="仿宋" w:hAnsi="仿宋" w:eastAsia="仿宋" w:cs="仿宋"/>
                <w:sz w:val="24"/>
                <w:lang w:val="en-US" w:eastAsia="zh-CN"/>
              </w:rPr>
              <w:t>额定功率：≥192KW</w:t>
            </w:r>
          </w:p>
          <w:p>
            <w:pPr>
              <w:spacing w:line="360" w:lineRule="auto"/>
              <w:jc w:val="left"/>
              <w:rPr>
                <w:rFonts w:hint="eastAsia" w:ascii="仿宋" w:hAnsi="仿宋" w:eastAsia="仿宋" w:cs="仿宋"/>
                <w:sz w:val="24"/>
                <w:lang w:val="en-US" w:eastAsia="zh-CN"/>
              </w:rPr>
            </w:pPr>
            <w:r>
              <w:rPr>
                <w:rFonts w:hint="eastAsia" w:ascii="仿宋" w:hAnsi="仿宋" w:eastAsia="仿宋" w:cs="仿宋"/>
                <w:sz w:val="24"/>
                <w:lang w:val="en-US" w:eastAsia="zh-CN"/>
              </w:rPr>
              <w:t>最大崛起力：≥200KN</w:t>
            </w:r>
          </w:p>
          <w:p>
            <w:pPr>
              <w:spacing w:line="360" w:lineRule="auto"/>
              <w:jc w:val="left"/>
              <w:rPr>
                <w:rFonts w:hint="default" w:ascii="仿宋" w:hAnsi="仿宋" w:eastAsia="仿宋" w:cs="仿宋"/>
                <w:sz w:val="24"/>
                <w:lang w:val="en-US" w:eastAsia="zh-CN"/>
              </w:rPr>
            </w:pPr>
            <w:r>
              <w:rPr>
                <w:rFonts w:hint="eastAsia" w:ascii="仿宋" w:hAnsi="仿宋" w:eastAsia="仿宋" w:cs="仿宋"/>
                <w:sz w:val="24"/>
                <w:lang w:val="en-US" w:eastAsia="zh-CN"/>
              </w:rPr>
              <w:t>前进车速（一/二档）≥14/40km/h</w:t>
            </w:r>
          </w:p>
          <w:p>
            <w:pPr>
              <w:spacing w:line="360" w:lineRule="auto"/>
              <w:jc w:val="left"/>
              <w:rPr>
                <w:rFonts w:hint="default" w:ascii="仿宋" w:hAnsi="仿宋" w:eastAsia="仿宋" w:cs="仿宋"/>
                <w:sz w:val="24"/>
                <w:lang w:val="en-US" w:eastAsia="zh-CN"/>
              </w:rPr>
            </w:pPr>
            <w:r>
              <w:rPr>
                <w:rFonts w:hint="eastAsia" w:ascii="仿宋" w:hAnsi="仿宋" w:eastAsia="仿宋" w:cs="仿宋"/>
                <w:sz w:val="24"/>
                <w:lang w:val="en-US" w:eastAsia="zh-CN"/>
              </w:rPr>
              <w:t>后退车速（一）≥18km/h</w:t>
            </w:r>
          </w:p>
        </w:tc>
        <w:tc>
          <w:tcPr>
            <w:tcW w:w="1190" w:type="pct"/>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仿宋" w:hAnsi="仿宋" w:eastAsia="仿宋" w:cs="仿宋"/>
                <w:sz w:val="24"/>
                <w:lang w:val="en-US" w:eastAsia="zh-CN"/>
              </w:rPr>
              <w:t>国内外知名品牌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427" w:type="pct"/>
            <w:vMerge w:val="continue"/>
            <w:tcBorders>
              <w:left w:val="single" w:color="auto" w:sz="4" w:space="0"/>
              <w:right w:val="single" w:color="auto" w:sz="4" w:space="0"/>
            </w:tcBorders>
            <w:vAlign w:val="center"/>
          </w:tcPr>
          <w:p>
            <w:pPr>
              <w:spacing w:line="360" w:lineRule="auto"/>
              <w:jc w:val="center"/>
              <w:rPr>
                <w:rFonts w:hint="eastAsia" w:ascii="仿宋" w:hAnsi="仿宋" w:eastAsia="仿宋" w:cs="仿宋"/>
                <w:sz w:val="24"/>
              </w:rPr>
            </w:pPr>
          </w:p>
        </w:tc>
        <w:tc>
          <w:tcPr>
            <w:tcW w:w="653" w:type="pct"/>
            <w:tcBorders>
              <w:top w:val="single" w:color="auto" w:sz="4" w:space="0"/>
              <w:left w:val="nil"/>
              <w:bottom w:val="single" w:color="auto" w:sz="4" w:space="0"/>
              <w:right w:val="single" w:color="auto" w:sz="4" w:space="0"/>
            </w:tcBorders>
            <w:vAlign w:val="center"/>
          </w:tcPr>
          <w:p>
            <w:pPr>
              <w:spacing w:line="360" w:lineRule="auto"/>
              <w:jc w:val="center"/>
              <w:rPr>
                <w:rFonts w:hint="eastAsia" w:ascii="仿宋" w:hAnsi="仿宋" w:eastAsia="仿宋" w:cs="仿宋"/>
                <w:sz w:val="24"/>
                <w:lang w:val="en-US" w:eastAsia="zh-CN"/>
              </w:rPr>
            </w:pPr>
            <w:r>
              <w:rPr>
                <w:rFonts w:hint="eastAsia" w:ascii="仿宋" w:hAnsi="仿宋" w:eastAsia="仿宋" w:cs="仿宋"/>
                <w:sz w:val="24"/>
                <w:lang w:val="en-US" w:eastAsia="zh-CN"/>
              </w:rPr>
              <w:t>发动机</w:t>
            </w:r>
          </w:p>
        </w:tc>
        <w:tc>
          <w:tcPr>
            <w:tcW w:w="2729" w:type="pct"/>
            <w:tcBorders>
              <w:top w:val="single" w:color="auto" w:sz="4" w:space="0"/>
              <w:left w:val="nil"/>
              <w:bottom w:val="single" w:color="auto" w:sz="4" w:space="0"/>
              <w:right w:val="single" w:color="auto" w:sz="4" w:space="0"/>
            </w:tcBorders>
            <w:vAlign w:val="center"/>
          </w:tcPr>
          <w:p>
            <w:pPr>
              <w:spacing w:line="360" w:lineRule="auto"/>
              <w:jc w:val="left"/>
              <w:rPr>
                <w:rFonts w:hint="eastAsia" w:ascii="仿宋" w:hAnsi="仿宋" w:eastAsia="仿宋" w:cs="仿宋"/>
                <w:sz w:val="24"/>
                <w:lang w:val="en-US" w:eastAsia="zh-CN"/>
              </w:rPr>
            </w:pPr>
            <w:r>
              <w:rPr>
                <w:rFonts w:hint="eastAsia" w:ascii="仿宋" w:hAnsi="仿宋" w:eastAsia="仿宋" w:cs="仿宋"/>
                <w:b/>
                <w:kern w:val="0"/>
                <w:sz w:val="24"/>
                <w:u w:val="single"/>
              </w:rPr>
              <w:t>★</w:t>
            </w:r>
            <w:r>
              <w:rPr>
                <w:rFonts w:hint="eastAsia" w:ascii="仿宋" w:hAnsi="仿宋" w:eastAsia="仿宋" w:cs="仿宋"/>
                <w:sz w:val="24"/>
                <w:lang w:val="en-US" w:eastAsia="zh-CN"/>
              </w:rPr>
              <w:t>排放标准：国四</w:t>
            </w:r>
          </w:p>
          <w:p>
            <w:pPr>
              <w:spacing w:line="360" w:lineRule="auto"/>
              <w:jc w:val="left"/>
              <w:rPr>
                <w:rFonts w:hint="default" w:ascii="仿宋" w:hAnsi="仿宋" w:eastAsia="仿宋" w:cs="仿宋"/>
                <w:sz w:val="24"/>
                <w:lang w:val="en-US" w:eastAsia="zh-CN"/>
              </w:rPr>
            </w:pPr>
            <w:r>
              <w:rPr>
                <w:rFonts w:hint="eastAsia" w:ascii="仿宋" w:hAnsi="仿宋" w:eastAsia="仿宋" w:cs="仿宋"/>
                <w:b/>
                <w:kern w:val="0"/>
                <w:sz w:val="24"/>
                <w:u w:val="single"/>
              </w:rPr>
              <w:t>★</w:t>
            </w:r>
            <w:r>
              <w:rPr>
                <w:rFonts w:hint="eastAsia" w:ascii="仿宋" w:hAnsi="仿宋" w:eastAsia="仿宋" w:cs="仿宋"/>
                <w:sz w:val="24"/>
                <w:lang w:val="en-US" w:eastAsia="zh-CN"/>
              </w:rPr>
              <w:t>额定功率：≥192KW</w:t>
            </w:r>
          </w:p>
        </w:tc>
        <w:tc>
          <w:tcPr>
            <w:tcW w:w="1190" w:type="pct"/>
            <w:tcBorders>
              <w:top w:val="single" w:color="auto" w:sz="4" w:space="0"/>
              <w:left w:val="nil"/>
              <w:bottom w:val="single" w:color="auto" w:sz="4" w:space="0"/>
              <w:right w:val="single" w:color="auto" w:sz="4" w:space="0"/>
            </w:tcBorders>
            <w:vAlign w:val="center"/>
          </w:tcPr>
          <w:p>
            <w:pPr>
              <w:spacing w:line="360" w:lineRule="auto"/>
              <w:jc w:val="center"/>
              <w:rPr>
                <w:rFonts w:hint="default" w:ascii="仿宋" w:hAnsi="仿宋" w:eastAsia="仿宋" w:cs="仿宋"/>
                <w:sz w:val="24"/>
                <w:lang w:val="en-US" w:eastAsia="zh-CN"/>
              </w:rPr>
            </w:pPr>
            <w:r>
              <w:rPr>
                <w:rFonts w:hint="eastAsia" w:ascii="仿宋" w:hAnsi="仿宋" w:eastAsia="仿宋" w:cs="仿宋"/>
                <w:sz w:val="24"/>
                <w:lang w:val="en-US" w:eastAsia="zh-CN"/>
              </w:rPr>
              <w:t>国内外知名品牌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427" w:type="pct"/>
            <w:vMerge w:val="continue"/>
            <w:tcBorders>
              <w:left w:val="single" w:color="auto" w:sz="4" w:space="0"/>
              <w:right w:val="single" w:color="auto" w:sz="4" w:space="0"/>
            </w:tcBorders>
            <w:vAlign w:val="center"/>
          </w:tcPr>
          <w:p>
            <w:pPr>
              <w:spacing w:line="360" w:lineRule="auto"/>
              <w:jc w:val="center"/>
              <w:rPr>
                <w:rFonts w:hint="eastAsia" w:ascii="仿宋" w:hAnsi="仿宋" w:eastAsia="仿宋" w:cs="仿宋"/>
                <w:sz w:val="24"/>
              </w:rPr>
            </w:pPr>
          </w:p>
        </w:tc>
        <w:tc>
          <w:tcPr>
            <w:tcW w:w="653" w:type="pct"/>
            <w:tcBorders>
              <w:top w:val="single" w:color="auto" w:sz="4" w:space="0"/>
              <w:left w:val="nil"/>
              <w:bottom w:val="single" w:color="auto" w:sz="4" w:space="0"/>
              <w:right w:val="single" w:color="auto" w:sz="4" w:space="0"/>
            </w:tcBorders>
            <w:vAlign w:val="center"/>
          </w:tcPr>
          <w:p>
            <w:pPr>
              <w:spacing w:line="240" w:lineRule="auto"/>
              <w:jc w:val="center"/>
              <w:rPr>
                <w:rFonts w:hint="default" w:ascii="仿宋" w:hAnsi="仿宋" w:eastAsia="仿宋" w:cs="仿宋"/>
                <w:sz w:val="24"/>
                <w:lang w:val="en-US" w:eastAsia="zh-CN"/>
              </w:rPr>
            </w:pPr>
            <w:r>
              <w:rPr>
                <w:rFonts w:hint="eastAsia" w:ascii="仿宋" w:hAnsi="仿宋" w:eastAsia="仿宋" w:cs="仿宋"/>
                <w:sz w:val="24"/>
                <w:lang w:val="en-US" w:eastAsia="zh-CN"/>
              </w:rPr>
              <w:t>空调系统</w:t>
            </w:r>
          </w:p>
        </w:tc>
        <w:tc>
          <w:tcPr>
            <w:tcW w:w="2729" w:type="pct"/>
            <w:tcBorders>
              <w:top w:val="single" w:color="auto" w:sz="4" w:space="0"/>
              <w:left w:val="nil"/>
              <w:bottom w:val="single" w:color="auto" w:sz="4" w:space="0"/>
              <w:right w:val="single" w:color="auto" w:sz="4" w:space="0"/>
            </w:tcBorders>
            <w:vAlign w:val="center"/>
          </w:tcPr>
          <w:p>
            <w:pPr>
              <w:spacing w:line="360" w:lineRule="auto"/>
              <w:jc w:val="left"/>
              <w:rPr>
                <w:rFonts w:hint="eastAsia" w:ascii="仿宋" w:hAnsi="仿宋" w:eastAsia="仿宋" w:cs="仿宋"/>
                <w:sz w:val="24"/>
                <w:lang w:val="en-US" w:eastAsia="zh-CN"/>
              </w:rPr>
            </w:pPr>
            <w:r>
              <w:rPr>
                <w:rFonts w:hint="eastAsia" w:ascii="仿宋" w:hAnsi="仿宋" w:eastAsia="仿宋" w:cs="仿宋"/>
                <w:b/>
                <w:kern w:val="0"/>
                <w:sz w:val="24"/>
                <w:u w:val="single"/>
              </w:rPr>
              <w:t>★</w:t>
            </w:r>
            <w:r>
              <w:rPr>
                <w:rFonts w:hint="eastAsia" w:ascii="仿宋" w:hAnsi="仿宋" w:eastAsia="仿宋" w:cs="仿宋"/>
                <w:sz w:val="24"/>
                <w:lang w:val="en-US" w:eastAsia="zh-CN"/>
              </w:rPr>
              <w:t>系统形式：冷暖空调</w:t>
            </w:r>
          </w:p>
          <w:p>
            <w:pPr>
              <w:spacing w:line="360" w:lineRule="auto"/>
              <w:jc w:val="left"/>
              <w:rPr>
                <w:rFonts w:hint="default" w:ascii="仿宋" w:hAnsi="仿宋" w:eastAsia="仿宋" w:cs="仿宋"/>
                <w:sz w:val="24"/>
                <w:lang w:val="en-US" w:eastAsia="zh-CN"/>
              </w:rPr>
            </w:pPr>
            <w:r>
              <w:rPr>
                <w:rFonts w:hint="eastAsia" w:ascii="仿宋" w:hAnsi="仿宋" w:eastAsia="仿宋" w:cs="仿宋"/>
                <w:sz w:val="24"/>
                <w:lang w:val="en-US" w:eastAsia="zh-CN"/>
              </w:rPr>
              <w:t>制热量：≥5800W</w:t>
            </w:r>
          </w:p>
          <w:p>
            <w:pPr>
              <w:spacing w:line="360" w:lineRule="auto"/>
              <w:jc w:val="left"/>
              <w:rPr>
                <w:rFonts w:hint="default" w:ascii="仿宋" w:hAnsi="仿宋" w:eastAsia="仿宋" w:cs="仿宋"/>
                <w:sz w:val="24"/>
                <w:lang w:val="en-US" w:eastAsia="zh-CN"/>
              </w:rPr>
            </w:pPr>
            <w:r>
              <w:rPr>
                <w:rFonts w:hint="eastAsia" w:ascii="仿宋" w:hAnsi="仿宋" w:eastAsia="仿宋" w:cs="仿宋"/>
                <w:sz w:val="24"/>
                <w:lang w:val="en-US" w:eastAsia="zh-CN"/>
              </w:rPr>
              <w:t>制冷量：≥5000W</w:t>
            </w:r>
          </w:p>
        </w:tc>
        <w:tc>
          <w:tcPr>
            <w:tcW w:w="1190" w:type="pct"/>
            <w:tcBorders>
              <w:top w:val="single" w:color="auto" w:sz="4" w:space="0"/>
              <w:left w:val="nil"/>
              <w:bottom w:val="single" w:color="auto" w:sz="4" w:space="0"/>
              <w:right w:val="single" w:color="auto" w:sz="4" w:space="0"/>
            </w:tcBorders>
            <w:vAlign w:val="center"/>
          </w:tcPr>
          <w:p>
            <w:pPr>
              <w:spacing w:line="360" w:lineRule="auto"/>
              <w:jc w:val="center"/>
              <w:rPr>
                <w:rFonts w:hint="eastAsia" w:ascii="仿宋" w:hAnsi="仿宋" w:eastAsia="仿宋" w:cs="仿宋"/>
                <w:sz w:val="24"/>
                <w:lang w:val="en-US" w:eastAsia="zh-CN"/>
              </w:rPr>
            </w:pPr>
            <w:r>
              <w:rPr>
                <w:rFonts w:hint="eastAsia" w:ascii="仿宋" w:hAnsi="仿宋" w:eastAsia="仿宋" w:cs="仿宋"/>
                <w:sz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427" w:type="pct"/>
            <w:vMerge w:val="continue"/>
            <w:tcBorders>
              <w:left w:val="single" w:color="auto" w:sz="4" w:space="0"/>
              <w:right w:val="single" w:color="auto" w:sz="4" w:space="0"/>
            </w:tcBorders>
            <w:vAlign w:val="center"/>
          </w:tcPr>
          <w:p>
            <w:pPr>
              <w:spacing w:line="360" w:lineRule="auto"/>
              <w:jc w:val="center"/>
              <w:rPr>
                <w:rFonts w:hint="eastAsia" w:ascii="仿宋" w:hAnsi="仿宋" w:eastAsia="仿宋" w:cs="仿宋"/>
                <w:sz w:val="24"/>
              </w:rPr>
            </w:pPr>
          </w:p>
        </w:tc>
        <w:tc>
          <w:tcPr>
            <w:tcW w:w="653" w:type="pct"/>
            <w:tcBorders>
              <w:top w:val="single" w:color="auto" w:sz="4" w:space="0"/>
              <w:left w:val="nil"/>
              <w:bottom w:val="single" w:color="auto" w:sz="4" w:space="0"/>
              <w:right w:val="single" w:color="auto" w:sz="4" w:space="0"/>
            </w:tcBorders>
            <w:vAlign w:val="center"/>
          </w:tcPr>
          <w:p>
            <w:pPr>
              <w:spacing w:line="240" w:lineRule="auto"/>
              <w:jc w:val="center"/>
              <w:rPr>
                <w:rFonts w:hint="default" w:ascii="仿宋" w:hAnsi="仿宋" w:eastAsia="仿宋" w:cs="仿宋"/>
                <w:sz w:val="24"/>
                <w:lang w:val="en-US" w:eastAsia="zh-CN"/>
              </w:rPr>
            </w:pPr>
            <w:r>
              <w:rPr>
                <w:rFonts w:hint="eastAsia" w:ascii="仿宋" w:hAnsi="仿宋" w:eastAsia="仿宋" w:cs="仿宋"/>
                <w:sz w:val="24"/>
                <w:lang w:val="en-US" w:eastAsia="zh-CN"/>
              </w:rPr>
              <w:t>外形尺寸</w:t>
            </w:r>
          </w:p>
        </w:tc>
        <w:tc>
          <w:tcPr>
            <w:tcW w:w="2729" w:type="pct"/>
            <w:tcBorders>
              <w:top w:val="single" w:color="auto" w:sz="4" w:space="0"/>
              <w:left w:val="nil"/>
              <w:bottom w:val="single" w:color="auto" w:sz="4" w:space="0"/>
              <w:right w:val="single" w:color="auto" w:sz="4" w:space="0"/>
            </w:tcBorders>
            <w:vAlign w:val="center"/>
          </w:tcPr>
          <w:p>
            <w:pPr>
              <w:spacing w:line="360" w:lineRule="auto"/>
              <w:jc w:val="left"/>
              <w:rPr>
                <w:rFonts w:hint="eastAsia" w:ascii="仿宋" w:hAnsi="仿宋" w:eastAsia="仿宋" w:cs="仿宋"/>
                <w:sz w:val="24"/>
                <w:lang w:val="en-US" w:eastAsia="zh-CN"/>
              </w:rPr>
            </w:pPr>
            <w:r>
              <w:rPr>
                <w:rFonts w:hint="eastAsia" w:ascii="仿宋" w:hAnsi="仿宋" w:eastAsia="仿宋" w:cs="仿宋"/>
                <w:sz w:val="24"/>
                <w:lang w:val="en-US" w:eastAsia="zh-CN"/>
              </w:rPr>
              <w:t>整机长度：≥8900mm</w:t>
            </w:r>
          </w:p>
          <w:p>
            <w:pPr>
              <w:spacing w:line="360" w:lineRule="auto"/>
              <w:jc w:val="left"/>
              <w:rPr>
                <w:rFonts w:hint="eastAsia" w:ascii="仿宋" w:hAnsi="仿宋" w:eastAsia="仿宋" w:cs="仿宋"/>
                <w:sz w:val="24"/>
                <w:lang w:val="en-US" w:eastAsia="zh-CN"/>
              </w:rPr>
            </w:pPr>
            <w:r>
              <w:rPr>
                <w:rFonts w:hint="eastAsia" w:ascii="仿宋" w:hAnsi="仿宋" w:eastAsia="仿宋" w:cs="仿宋"/>
                <w:sz w:val="24"/>
                <w:lang w:val="en-US" w:eastAsia="zh-CN"/>
              </w:rPr>
              <w:t>整机高度：≥3500mm</w:t>
            </w:r>
          </w:p>
          <w:p>
            <w:pPr>
              <w:spacing w:line="360" w:lineRule="auto"/>
              <w:jc w:val="left"/>
              <w:rPr>
                <w:rFonts w:hint="default" w:ascii="仿宋" w:hAnsi="仿宋" w:eastAsia="仿宋" w:cs="仿宋"/>
                <w:sz w:val="24"/>
                <w:lang w:val="en-US" w:eastAsia="zh-CN"/>
              </w:rPr>
            </w:pPr>
            <w:r>
              <w:rPr>
                <w:rFonts w:hint="eastAsia" w:ascii="仿宋" w:hAnsi="仿宋" w:eastAsia="仿宋" w:cs="仿宋"/>
                <w:sz w:val="24"/>
                <w:lang w:val="en-US" w:eastAsia="zh-CN"/>
              </w:rPr>
              <w:t>整机宽度(铲斗外侧）：≥3200mm</w:t>
            </w:r>
          </w:p>
          <w:p>
            <w:pPr>
              <w:spacing w:line="360" w:lineRule="auto"/>
              <w:jc w:val="left"/>
              <w:rPr>
                <w:rFonts w:hint="default" w:ascii="仿宋" w:hAnsi="仿宋" w:eastAsia="仿宋" w:cs="仿宋"/>
                <w:sz w:val="24"/>
                <w:lang w:val="en-US" w:eastAsia="zh-CN"/>
              </w:rPr>
            </w:pPr>
            <w:r>
              <w:rPr>
                <w:rFonts w:hint="eastAsia" w:ascii="仿宋" w:hAnsi="仿宋" w:eastAsia="仿宋" w:cs="仿宋"/>
                <w:sz w:val="24"/>
                <w:lang w:val="en-US" w:eastAsia="zh-CN"/>
              </w:rPr>
              <w:t>卸载高度：≥3200mm</w:t>
            </w:r>
          </w:p>
          <w:p>
            <w:pPr>
              <w:spacing w:line="360" w:lineRule="auto"/>
              <w:jc w:val="left"/>
              <w:rPr>
                <w:rFonts w:hint="default" w:ascii="仿宋" w:hAnsi="仿宋" w:eastAsia="仿宋" w:cs="仿宋"/>
                <w:sz w:val="24"/>
                <w:lang w:val="en-US" w:eastAsia="zh-CN"/>
              </w:rPr>
            </w:pPr>
            <w:r>
              <w:rPr>
                <w:rFonts w:hint="eastAsia" w:ascii="仿宋" w:hAnsi="仿宋" w:eastAsia="仿宋" w:cs="仿宋"/>
                <w:sz w:val="24"/>
                <w:lang w:val="en-US" w:eastAsia="zh-CN"/>
              </w:rPr>
              <w:t>卸载距离：≥1100mm</w:t>
            </w:r>
          </w:p>
          <w:p>
            <w:pPr>
              <w:spacing w:line="360" w:lineRule="auto"/>
              <w:jc w:val="left"/>
              <w:rPr>
                <w:rFonts w:hint="default" w:ascii="仿宋" w:hAnsi="仿宋" w:eastAsia="仿宋" w:cs="仿宋"/>
                <w:sz w:val="24"/>
                <w:lang w:val="en-US" w:eastAsia="zh-CN"/>
              </w:rPr>
            </w:pPr>
            <w:r>
              <w:rPr>
                <w:rFonts w:hint="eastAsia" w:ascii="仿宋" w:hAnsi="仿宋" w:eastAsia="仿宋" w:cs="仿宋"/>
                <w:sz w:val="24"/>
                <w:lang w:val="en-US" w:eastAsia="zh-CN"/>
              </w:rPr>
              <w:t>最大下挖深度：≥57mm</w:t>
            </w:r>
          </w:p>
          <w:p>
            <w:pPr>
              <w:spacing w:line="360" w:lineRule="auto"/>
              <w:jc w:val="left"/>
              <w:rPr>
                <w:rFonts w:hint="default" w:ascii="仿宋" w:hAnsi="仿宋" w:eastAsia="仿宋" w:cs="仿宋"/>
                <w:sz w:val="24"/>
                <w:lang w:val="en-US" w:eastAsia="zh-CN"/>
              </w:rPr>
            </w:pPr>
            <w:r>
              <w:rPr>
                <w:rFonts w:hint="eastAsia" w:ascii="仿宋" w:hAnsi="仿宋" w:eastAsia="仿宋" w:cs="仿宋"/>
                <w:sz w:val="24"/>
                <w:lang w:val="en-US" w:eastAsia="zh-CN"/>
              </w:rPr>
              <w:t>轴距：≥3500mm</w:t>
            </w:r>
          </w:p>
          <w:p>
            <w:pPr>
              <w:spacing w:line="360" w:lineRule="auto"/>
              <w:jc w:val="left"/>
              <w:rPr>
                <w:rFonts w:hint="default"/>
                <w:lang w:val="en-US" w:eastAsia="zh-CN"/>
              </w:rPr>
            </w:pPr>
            <w:r>
              <w:rPr>
                <w:rFonts w:hint="eastAsia" w:ascii="仿宋" w:hAnsi="仿宋" w:eastAsia="仿宋" w:cs="仿宋"/>
                <w:sz w:val="24"/>
                <w:lang w:val="en-US" w:eastAsia="zh-CN"/>
              </w:rPr>
              <w:t>轮距：≥2200mm</w:t>
            </w:r>
          </w:p>
        </w:tc>
        <w:tc>
          <w:tcPr>
            <w:tcW w:w="1190" w:type="pct"/>
            <w:tcBorders>
              <w:top w:val="single" w:color="auto" w:sz="4" w:space="0"/>
              <w:left w:val="nil"/>
              <w:bottom w:val="single" w:color="auto" w:sz="4" w:space="0"/>
              <w:right w:val="single" w:color="auto" w:sz="4" w:space="0"/>
            </w:tcBorders>
            <w:vAlign w:val="center"/>
          </w:tcPr>
          <w:p>
            <w:pPr>
              <w:spacing w:line="360" w:lineRule="auto"/>
              <w:jc w:val="center"/>
              <w:rPr>
                <w:rFonts w:hint="eastAsia" w:ascii="仿宋" w:hAnsi="仿宋" w:eastAsia="仿宋" w:cs="仿宋"/>
                <w:sz w:val="24"/>
                <w:lang w:val="en-US" w:eastAsia="zh-CN"/>
              </w:rPr>
            </w:pPr>
            <w:r>
              <w:rPr>
                <w:rFonts w:hint="eastAsia" w:ascii="仿宋" w:hAnsi="仿宋" w:eastAsia="仿宋" w:cs="仿宋"/>
                <w:sz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427" w:type="pct"/>
            <w:vMerge w:val="continue"/>
            <w:tcBorders>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rPr>
            </w:pPr>
          </w:p>
        </w:tc>
        <w:tc>
          <w:tcPr>
            <w:tcW w:w="653" w:type="pct"/>
            <w:tcBorders>
              <w:top w:val="single" w:color="auto" w:sz="4" w:space="0"/>
              <w:left w:val="nil"/>
              <w:bottom w:val="single" w:color="auto" w:sz="4" w:space="0"/>
              <w:right w:val="single" w:color="auto" w:sz="4" w:space="0"/>
            </w:tcBorders>
            <w:vAlign w:val="center"/>
          </w:tcPr>
          <w:p>
            <w:pPr>
              <w:spacing w:line="240" w:lineRule="auto"/>
              <w:jc w:val="center"/>
              <w:rPr>
                <w:rFonts w:hint="default" w:ascii="仿宋" w:hAnsi="仿宋" w:eastAsia="仿宋" w:cs="仿宋"/>
                <w:sz w:val="24"/>
                <w:lang w:val="en-US" w:eastAsia="zh-CN"/>
              </w:rPr>
            </w:pPr>
            <w:r>
              <w:rPr>
                <w:rFonts w:hint="eastAsia" w:ascii="仿宋" w:hAnsi="仿宋" w:eastAsia="仿宋" w:cs="仿宋"/>
                <w:sz w:val="24"/>
                <w:lang w:val="en-US" w:eastAsia="zh-CN"/>
              </w:rPr>
              <w:t>其它</w:t>
            </w:r>
          </w:p>
        </w:tc>
        <w:tc>
          <w:tcPr>
            <w:tcW w:w="2729" w:type="pct"/>
            <w:tcBorders>
              <w:top w:val="single" w:color="auto" w:sz="4" w:space="0"/>
              <w:left w:val="nil"/>
              <w:bottom w:val="single" w:color="auto" w:sz="4" w:space="0"/>
              <w:right w:val="single" w:color="auto" w:sz="4" w:space="0"/>
            </w:tcBorders>
            <w:vAlign w:val="center"/>
          </w:tcPr>
          <w:p>
            <w:pPr>
              <w:spacing w:line="360" w:lineRule="auto"/>
              <w:jc w:val="left"/>
              <w:rPr>
                <w:rFonts w:hint="eastAsia" w:ascii="仿宋" w:hAnsi="仿宋" w:eastAsia="仿宋" w:cs="仿宋"/>
                <w:sz w:val="24"/>
                <w:lang w:val="en-US" w:eastAsia="zh-CN"/>
              </w:rPr>
            </w:pPr>
            <w:r>
              <w:rPr>
                <w:rFonts w:hint="eastAsia" w:ascii="仿宋" w:hAnsi="仿宋" w:eastAsia="仿宋" w:cs="仿宋"/>
                <w:b/>
                <w:kern w:val="0"/>
                <w:sz w:val="24"/>
                <w:u w:val="single"/>
              </w:rPr>
              <w:t>★</w:t>
            </w:r>
            <w:r>
              <w:rPr>
                <w:rFonts w:hint="eastAsia" w:ascii="仿宋" w:hAnsi="仿宋" w:eastAsia="仿宋" w:cs="仿宋"/>
                <w:sz w:val="24"/>
                <w:lang w:val="en-US" w:eastAsia="zh-CN"/>
              </w:rPr>
              <w:t>工作液压系统形式：定变量 双泵合流</w:t>
            </w:r>
          </w:p>
          <w:p>
            <w:pPr>
              <w:spacing w:line="360" w:lineRule="auto"/>
              <w:jc w:val="left"/>
              <w:rPr>
                <w:rFonts w:hint="eastAsia" w:ascii="仿宋" w:hAnsi="仿宋" w:eastAsia="仿宋" w:cs="仿宋"/>
                <w:sz w:val="24"/>
                <w:lang w:val="en-US" w:eastAsia="zh-CN"/>
              </w:rPr>
            </w:pPr>
            <w:r>
              <w:rPr>
                <w:rFonts w:hint="eastAsia" w:ascii="仿宋" w:hAnsi="仿宋" w:eastAsia="仿宋" w:cs="仿宋"/>
                <w:b/>
                <w:kern w:val="0"/>
                <w:sz w:val="24"/>
                <w:u w:val="single"/>
              </w:rPr>
              <w:t>★</w:t>
            </w:r>
            <w:r>
              <w:rPr>
                <w:rFonts w:hint="eastAsia" w:ascii="仿宋" w:hAnsi="仿宋" w:eastAsia="仿宋" w:cs="仿宋"/>
                <w:sz w:val="24"/>
                <w:lang w:val="en-US" w:eastAsia="zh-CN"/>
              </w:rPr>
              <w:t>行车制动形式：盘式全液压制动</w:t>
            </w:r>
          </w:p>
          <w:p>
            <w:pPr>
              <w:spacing w:line="360" w:lineRule="auto"/>
              <w:jc w:val="left"/>
              <w:rPr>
                <w:rFonts w:hint="eastAsia" w:ascii="仿宋" w:hAnsi="仿宋" w:eastAsia="仿宋" w:cs="仿宋"/>
                <w:sz w:val="24"/>
                <w:lang w:val="en-US" w:eastAsia="zh-CN"/>
              </w:rPr>
            </w:pPr>
            <w:r>
              <w:rPr>
                <w:rFonts w:hint="eastAsia" w:ascii="仿宋" w:hAnsi="仿宋" w:eastAsia="仿宋" w:cs="仿宋"/>
                <w:sz w:val="24"/>
                <w:lang w:val="en-US" w:eastAsia="zh-CN"/>
              </w:rPr>
              <w:t>停车制动形式：鼓式制动</w:t>
            </w:r>
          </w:p>
          <w:p>
            <w:pPr>
              <w:spacing w:line="360" w:lineRule="auto"/>
              <w:jc w:val="left"/>
              <w:rPr>
                <w:rFonts w:hint="eastAsia" w:ascii="仿宋" w:hAnsi="仿宋" w:eastAsia="仿宋" w:cs="仿宋"/>
                <w:sz w:val="24"/>
                <w:lang w:val="en-US" w:eastAsia="zh-CN"/>
              </w:rPr>
            </w:pPr>
            <w:r>
              <w:rPr>
                <w:rFonts w:hint="eastAsia" w:ascii="仿宋" w:hAnsi="仿宋" w:eastAsia="仿宋" w:cs="仿宋"/>
                <w:sz w:val="24"/>
                <w:lang w:val="en-US" w:eastAsia="zh-CN"/>
              </w:rPr>
              <w:t>蓄电池容量：≥120Ah</w:t>
            </w:r>
          </w:p>
          <w:p>
            <w:pPr>
              <w:spacing w:line="360" w:lineRule="auto"/>
              <w:jc w:val="left"/>
              <w:rPr>
                <w:rFonts w:hint="eastAsia" w:ascii="仿宋" w:hAnsi="仿宋" w:eastAsia="仿宋" w:cs="仿宋"/>
                <w:sz w:val="24"/>
                <w:lang w:val="en-US" w:eastAsia="zh-CN"/>
              </w:rPr>
            </w:pPr>
            <w:r>
              <w:rPr>
                <w:rFonts w:hint="eastAsia" w:ascii="仿宋" w:hAnsi="仿宋" w:eastAsia="仿宋" w:cs="仿宋"/>
                <w:sz w:val="24"/>
                <w:lang w:val="en-US" w:eastAsia="zh-CN"/>
              </w:rPr>
              <w:t>转向液压系统形式：流量放大</w:t>
            </w:r>
          </w:p>
          <w:p>
            <w:pPr>
              <w:spacing w:line="360" w:lineRule="auto"/>
              <w:jc w:val="left"/>
              <w:rPr>
                <w:rFonts w:hint="eastAsia" w:ascii="仿宋" w:hAnsi="仿宋" w:eastAsia="仿宋" w:cs="仿宋"/>
                <w:sz w:val="24"/>
                <w:lang w:val="en-US" w:eastAsia="zh-CN"/>
              </w:rPr>
            </w:pPr>
            <w:r>
              <w:rPr>
                <w:rFonts w:hint="eastAsia" w:ascii="仿宋" w:hAnsi="仿宋" w:eastAsia="仿宋" w:cs="仿宋"/>
                <w:sz w:val="24"/>
                <w:lang w:val="en-US" w:eastAsia="zh-CN"/>
              </w:rPr>
              <w:t>转向液压系统压力：≥21Mpa</w:t>
            </w:r>
          </w:p>
          <w:p>
            <w:pPr>
              <w:spacing w:line="360" w:lineRule="auto"/>
              <w:jc w:val="left"/>
              <w:rPr>
                <w:rFonts w:hint="eastAsia" w:ascii="仿宋" w:hAnsi="仿宋" w:eastAsia="仿宋" w:cs="仿宋"/>
                <w:sz w:val="24"/>
                <w:lang w:val="en-US" w:eastAsia="zh-CN"/>
              </w:rPr>
            </w:pPr>
            <w:r>
              <w:rPr>
                <w:rFonts w:hint="eastAsia" w:ascii="仿宋" w:hAnsi="仿宋" w:eastAsia="仿宋" w:cs="仿宋"/>
                <w:sz w:val="24"/>
                <w:lang w:val="en-US" w:eastAsia="zh-CN"/>
              </w:rPr>
              <w:t>转向液压系统流量：≥175</w:t>
            </w:r>
            <w:r>
              <w:rPr>
                <w:rFonts w:hint="default" w:ascii="仿宋" w:hAnsi="仿宋" w:eastAsia="仿宋" w:cs="仿宋"/>
                <w:sz w:val="24"/>
                <w:lang w:val="en-US" w:eastAsia="zh-CN"/>
              </w:rPr>
              <w:t>L/min</w:t>
            </w:r>
          </w:p>
          <w:p>
            <w:pPr>
              <w:spacing w:line="360" w:lineRule="auto"/>
              <w:jc w:val="left"/>
              <w:rPr>
                <w:rFonts w:hint="default" w:ascii="仿宋" w:hAnsi="仿宋" w:eastAsia="仿宋" w:cs="仿宋"/>
                <w:sz w:val="24"/>
                <w:lang w:val="en-US" w:eastAsia="zh-CN"/>
              </w:rPr>
            </w:pPr>
            <w:r>
              <w:rPr>
                <w:rFonts w:hint="eastAsia" w:ascii="仿宋" w:hAnsi="仿宋" w:eastAsia="仿宋" w:cs="仿宋"/>
                <w:b/>
                <w:kern w:val="0"/>
                <w:sz w:val="24"/>
                <w:u w:val="single"/>
              </w:rPr>
              <w:t>★</w:t>
            </w:r>
            <w:r>
              <w:rPr>
                <w:rFonts w:hint="eastAsia" w:ascii="仿宋" w:hAnsi="仿宋" w:eastAsia="仿宋" w:cs="仿宋"/>
                <w:sz w:val="24"/>
                <w:lang w:val="en-US" w:eastAsia="zh-CN"/>
              </w:rPr>
              <w:t>质保期：≥2年</w:t>
            </w:r>
          </w:p>
          <w:p>
            <w:pPr>
              <w:spacing w:line="360" w:lineRule="auto"/>
              <w:jc w:val="left"/>
              <w:rPr>
                <w:rFonts w:hint="eastAsia" w:ascii="仿宋" w:hAnsi="仿宋" w:eastAsia="仿宋" w:cs="仿宋"/>
                <w:sz w:val="24"/>
                <w:lang w:val="en-US" w:eastAsia="zh-CN"/>
              </w:rPr>
            </w:pPr>
            <w:r>
              <w:rPr>
                <w:rFonts w:hint="eastAsia" w:ascii="仿宋" w:hAnsi="仿宋" w:eastAsia="仿宋" w:cs="仿宋"/>
                <w:b/>
                <w:kern w:val="0"/>
                <w:sz w:val="24"/>
                <w:u w:val="single"/>
              </w:rPr>
              <w:t>★</w:t>
            </w:r>
            <w:r>
              <w:rPr>
                <w:rFonts w:hint="eastAsia" w:ascii="仿宋" w:hAnsi="仿宋" w:eastAsia="仿宋" w:cs="仿宋"/>
                <w:sz w:val="24"/>
                <w:lang w:val="en-US" w:eastAsia="zh-CN"/>
              </w:rPr>
              <w:t>免费提供装载机发动动机首次保养（含更换机油）。</w:t>
            </w:r>
          </w:p>
          <w:p>
            <w:pPr>
              <w:spacing w:line="360" w:lineRule="auto"/>
              <w:jc w:val="left"/>
              <w:rPr>
                <w:rFonts w:hint="eastAsia"/>
                <w:lang w:val="en-US" w:eastAsia="zh-CN"/>
              </w:rPr>
            </w:pPr>
            <w:r>
              <w:rPr>
                <w:rFonts w:hint="eastAsia" w:ascii="仿宋" w:hAnsi="仿宋" w:eastAsia="仿宋" w:cs="仿宋"/>
                <w:b/>
                <w:kern w:val="0"/>
                <w:sz w:val="24"/>
                <w:u w:val="single"/>
              </w:rPr>
              <w:t>★</w:t>
            </w:r>
            <w:r>
              <w:rPr>
                <w:rFonts w:hint="eastAsia" w:ascii="仿宋" w:hAnsi="仿宋" w:eastAsia="仿宋" w:cs="仿宋"/>
                <w:sz w:val="24"/>
                <w:lang w:val="en-US" w:eastAsia="zh-CN"/>
              </w:rPr>
              <w:t>提供的设备：全新</w:t>
            </w:r>
          </w:p>
        </w:tc>
        <w:tc>
          <w:tcPr>
            <w:tcW w:w="1190" w:type="pct"/>
            <w:tcBorders>
              <w:top w:val="single" w:color="auto" w:sz="4" w:space="0"/>
              <w:left w:val="nil"/>
              <w:bottom w:val="single" w:color="auto" w:sz="4" w:space="0"/>
              <w:right w:val="single" w:color="auto" w:sz="4" w:space="0"/>
            </w:tcBorders>
            <w:vAlign w:val="center"/>
          </w:tcPr>
          <w:p>
            <w:pPr>
              <w:spacing w:line="360" w:lineRule="auto"/>
              <w:jc w:val="center"/>
              <w:rPr>
                <w:rFonts w:hint="eastAsia" w:ascii="仿宋" w:hAnsi="仿宋" w:eastAsia="仿宋" w:cs="仿宋"/>
                <w:sz w:val="24"/>
                <w:lang w:val="en-US" w:eastAsia="zh-CN"/>
              </w:rPr>
            </w:pPr>
            <w:r>
              <w:rPr>
                <w:rFonts w:hint="eastAsia" w:ascii="仿宋" w:hAnsi="仿宋" w:eastAsia="仿宋" w:cs="仿宋"/>
                <w:sz w:val="24"/>
                <w:lang w:val="en-US" w:eastAsia="zh-CN"/>
              </w:rPr>
              <w:t>/</w:t>
            </w:r>
          </w:p>
        </w:tc>
      </w:tr>
      <w:bookmarkEnd w:id="321"/>
    </w:tbl>
    <w:p>
      <w:pPr>
        <w:pStyle w:val="82"/>
        <w:numPr>
          <w:ilvl w:val="0"/>
          <w:numId w:val="0"/>
        </w:numPr>
        <w:ind w:leftChars="-300" w:firstLine="960" w:firstLineChars="400"/>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（二）设备须配备：</w:t>
      </w:r>
    </w:p>
    <w:p>
      <w:pPr>
        <w:pStyle w:val="82"/>
        <w:numPr>
          <w:ilvl w:val="0"/>
          <w:numId w:val="0"/>
        </w:numPr>
        <w:ind w:leftChars="196"/>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1、提供全套维修保养专用工具，列入投标总价中；</w:t>
      </w:r>
    </w:p>
    <w:p>
      <w:pPr>
        <w:pStyle w:val="82"/>
        <w:numPr>
          <w:ilvl w:val="0"/>
          <w:numId w:val="0"/>
        </w:numPr>
        <w:ind w:leftChars="196"/>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2、质保期内的备品、备件，该项费用计入投标总价中。</w:t>
      </w:r>
    </w:p>
    <w:p>
      <w:pPr>
        <w:pStyle w:val="82"/>
        <w:numPr>
          <w:ilvl w:val="0"/>
          <w:numId w:val="0"/>
        </w:numPr>
        <w:ind w:leftChars="-300" w:firstLine="960" w:firstLineChars="400"/>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（三）随机应提供的技术文件</w:t>
      </w:r>
    </w:p>
    <w:p>
      <w:pPr>
        <w:pStyle w:val="82"/>
        <w:numPr>
          <w:ilvl w:val="0"/>
          <w:numId w:val="0"/>
        </w:numPr>
        <w:ind w:leftChars="196"/>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1、主要零部件（生产厂家、型号、数量和单价）</w:t>
      </w:r>
    </w:p>
    <w:p>
      <w:pPr>
        <w:pStyle w:val="82"/>
        <w:numPr>
          <w:ilvl w:val="0"/>
          <w:numId w:val="0"/>
        </w:numPr>
        <w:ind w:leftChars="196"/>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2、产品和外购配套件的合格证明书</w:t>
      </w:r>
    </w:p>
    <w:p>
      <w:pPr>
        <w:pStyle w:val="82"/>
        <w:numPr>
          <w:ilvl w:val="0"/>
          <w:numId w:val="0"/>
        </w:numPr>
        <w:ind w:leftChars="196"/>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3、产品和外购配套件的使用、保养和维修说明书，提供中文3套。</w:t>
      </w:r>
    </w:p>
    <w:p>
      <w:pPr>
        <w:pStyle w:val="5"/>
        <w:keepNext/>
        <w:keepLines/>
        <w:pageBreakBefore w:val="0"/>
        <w:widowControl w:val="0"/>
        <w:numPr>
          <w:ilvl w:val="0"/>
          <w:numId w:val="0"/>
        </w:numPr>
        <w:kinsoku/>
        <w:wordWrap/>
        <w:overflowPunct/>
        <w:topLinePunct w:val="0"/>
        <w:autoSpaceDE/>
        <w:autoSpaceDN/>
        <w:bidi w:val="0"/>
        <w:adjustRightInd/>
        <w:snapToGrid/>
        <w:spacing w:before="20" w:after="140" w:line="360" w:lineRule="auto"/>
        <w:ind w:left="210" w:leftChars="0"/>
        <w:textAlignment w:val="auto"/>
        <w:rPr>
          <w:rFonts w:hint="eastAsia" w:ascii="仿宋" w:hAnsi="仿宋" w:eastAsia="仿宋" w:cs="仿宋"/>
          <w:color w:val="auto"/>
          <w:sz w:val="28"/>
          <w:szCs w:val="28"/>
          <w:highlight w:val="none"/>
        </w:rPr>
      </w:pPr>
      <w:r>
        <w:rPr>
          <w:rFonts w:hint="eastAsia" w:ascii="仿宋" w:hAnsi="仿宋" w:eastAsia="仿宋" w:cs="仿宋"/>
          <w:b/>
          <w:color w:val="000000" w:themeColor="text1"/>
          <w:sz w:val="30"/>
          <w:szCs w:val="30"/>
          <w:lang w:val="en-US" w:eastAsia="zh-CN"/>
          <w14:textFill>
            <w14:solidFill>
              <w14:schemeClr w14:val="tx1"/>
            </w14:solidFill>
          </w14:textFill>
        </w:rPr>
        <w:t>二</w:t>
      </w:r>
      <w:r>
        <w:rPr>
          <w:rFonts w:hint="eastAsia" w:ascii="仿宋" w:hAnsi="仿宋" w:eastAsia="仿宋" w:cs="仿宋"/>
          <w:b/>
          <w:color w:val="000000" w:themeColor="text1"/>
          <w:sz w:val="30"/>
          <w:szCs w:val="30"/>
          <w14:textFill>
            <w14:solidFill>
              <w14:schemeClr w14:val="tx1"/>
            </w14:solidFill>
          </w14:textFill>
        </w:rPr>
        <w:t>、</w:t>
      </w:r>
      <w:r>
        <w:rPr>
          <w:rFonts w:hint="eastAsia" w:ascii="仿宋" w:hAnsi="仿宋" w:eastAsia="仿宋" w:cs="仿宋"/>
          <w:b/>
          <w:color w:val="auto"/>
          <w:sz w:val="28"/>
          <w:szCs w:val="28"/>
          <w:highlight w:val="none"/>
        </w:rPr>
        <w:t>工作范围与基本要求</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中标人需按本技术规格书的要求完成设备的设计、制造、运输、安装调试及售后服务等工作。按工作顺序提交所需的技术资料，所有资料必须符合本技术规格书的要求。无论其是否被明细列在合同文件中。</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提供的设备须包括以下工作服务但不仅限于以下：</w:t>
      </w:r>
    </w:p>
    <w:p>
      <w:pPr>
        <w:keepNext w:val="0"/>
        <w:keepLines w:val="0"/>
        <w:pageBreakBefore w:val="0"/>
        <w:widowControl w:val="0"/>
        <w:kinsoku/>
        <w:wordWrap/>
        <w:overflowPunct/>
        <w:topLinePunct w:val="0"/>
        <w:autoSpaceDE/>
        <w:autoSpaceDN/>
        <w:bidi w:val="0"/>
        <w:adjustRightInd/>
        <w:snapToGrid w:val="0"/>
        <w:spacing w:line="360" w:lineRule="auto"/>
        <w:ind w:left="960" w:hanging="96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（1） 按招标人需要完成设备的具体设计；</w:t>
      </w:r>
    </w:p>
    <w:p>
      <w:pPr>
        <w:keepNext w:val="0"/>
        <w:keepLines w:val="0"/>
        <w:pageBreakBefore w:val="0"/>
        <w:widowControl w:val="0"/>
        <w:kinsoku/>
        <w:wordWrap/>
        <w:overflowPunct/>
        <w:topLinePunct w:val="0"/>
        <w:autoSpaceDE/>
        <w:autoSpaceDN/>
        <w:bidi w:val="0"/>
        <w:adjustRightInd/>
        <w:snapToGrid w:val="0"/>
        <w:spacing w:line="360" w:lineRule="auto"/>
        <w:ind w:firstLine="960" w:firstLineChars="4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 在设备交货时须提供详细的设备样本和使用操作说明书；</w:t>
      </w:r>
    </w:p>
    <w:p>
      <w:pPr>
        <w:keepNext w:val="0"/>
        <w:keepLines w:val="0"/>
        <w:pageBreakBefore w:val="0"/>
        <w:widowControl w:val="0"/>
        <w:kinsoku/>
        <w:wordWrap/>
        <w:overflowPunct/>
        <w:topLinePunct w:val="0"/>
        <w:autoSpaceDE/>
        <w:autoSpaceDN/>
        <w:bidi w:val="0"/>
        <w:adjustRightInd/>
        <w:snapToGrid w:val="0"/>
        <w:spacing w:line="360" w:lineRule="auto"/>
        <w:ind w:firstLine="960" w:firstLineChars="4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 运输及装卸：由中标人运输到用户地。</w:t>
      </w:r>
    </w:p>
    <w:p>
      <w:pPr>
        <w:keepNext w:val="0"/>
        <w:keepLines w:val="0"/>
        <w:pageBreakBefore w:val="0"/>
        <w:widowControl w:val="0"/>
        <w:kinsoku/>
        <w:wordWrap/>
        <w:overflowPunct/>
        <w:topLinePunct w:val="0"/>
        <w:autoSpaceDE/>
        <w:autoSpaceDN/>
        <w:bidi w:val="0"/>
        <w:adjustRightInd/>
        <w:snapToGrid w:val="0"/>
        <w:spacing w:line="360" w:lineRule="auto"/>
        <w:ind w:firstLine="960" w:firstLineChars="4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 设备或其主要部件若有“3C”认证要求，必须提供“3C”认证证明。</w:t>
      </w:r>
    </w:p>
    <w:p>
      <w:pPr>
        <w:keepNext w:val="0"/>
        <w:keepLines w:val="0"/>
        <w:pageBreakBefore w:val="0"/>
        <w:widowControl w:val="0"/>
        <w:kinsoku/>
        <w:wordWrap/>
        <w:overflowPunct/>
        <w:topLinePunct w:val="0"/>
        <w:autoSpaceDE/>
        <w:autoSpaceDN/>
        <w:bidi w:val="0"/>
        <w:adjustRightInd/>
        <w:snapToGrid w:val="0"/>
        <w:spacing w:line="360" w:lineRule="auto"/>
        <w:ind w:firstLine="960" w:firstLineChars="400"/>
        <w:textAlignment w:val="auto"/>
        <w:rPr>
          <w:rFonts w:hint="eastAsia" w:ascii="仿宋" w:hAnsi="仿宋" w:eastAsia="仿宋" w:cs="仿宋"/>
          <w:b/>
          <w:color w:val="auto"/>
          <w:szCs w:val="21"/>
          <w:highlight w:val="none"/>
          <w:u w:val="single"/>
        </w:rPr>
      </w:pPr>
      <w:r>
        <w:rPr>
          <w:rFonts w:hint="eastAsia" w:ascii="仿宋" w:hAnsi="仿宋" w:eastAsia="仿宋" w:cs="仿宋"/>
          <w:color w:val="auto"/>
          <w:sz w:val="24"/>
          <w:highlight w:val="none"/>
        </w:rPr>
        <w:t>（5） 安装调试：</w:t>
      </w:r>
      <w:r>
        <w:rPr>
          <w:rFonts w:hint="eastAsia" w:ascii="仿宋" w:hAnsi="仿宋" w:eastAsia="仿宋" w:cs="仿宋"/>
          <w:b/>
          <w:color w:val="auto"/>
          <w:sz w:val="24"/>
          <w:highlight w:val="none"/>
          <w:u w:val="single"/>
        </w:rPr>
        <w:t>本设备的安装调试工作全部由中标人完成。</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这份规格书只是对一些原则性要求，并不是详尽的要求，投标人有责任对设备符合技术规范、标准负责。</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整套设备及其主要部件的生产国家须明确地标明在投标文件中。在交货时应附上</w:t>
      </w:r>
      <w:r>
        <w:rPr>
          <w:rFonts w:hint="eastAsia" w:ascii="仿宋" w:hAnsi="仿宋" w:eastAsia="仿宋" w:cs="仿宋"/>
          <w:b/>
          <w:bCs/>
          <w:color w:val="auto"/>
          <w:sz w:val="24"/>
          <w:highlight w:val="none"/>
        </w:rPr>
        <w:t>出厂证明文件、产地出厂合格证书、产地装箱清单</w:t>
      </w:r>
      <w:r>
        <w:rPr>
          <w:rFonts w:hint="eastAsia" w:ascii="仿宋" w:hAnsi="仿宋" w:eastAsia="仿宋" w:cs="仿宋"/>
          <w:color w:val="auto"/>
          <w:sz w:val="24"/>
          <w:highlight w:val="none"/>
        </w:rPr>
        <w:t>。（中文说明）</w:t>
      </w:r>
    </w:p>
    <w:p>
      <w:pPr>
        <w:keepNext w:val="0"/>
        <w:keepLines w:val="0"/>
        <w:pageBreakBefore w:val="0"/>
        <w:widowControl w:val="0"/>
        <w:kinsoku/>
        <w:wordWrap/>
        <w:overflowPunct/>
        <w:topLinePunct w:val="0"/>
        <w:autoSpaceDE/>
        <w:autoSpaceDN/>
        <w:bidi w:val="0"/>
        <w:adjustRightInd/>
        <w:snapToGrid w:val="0"/>
        <w:spacing w:line="360" w:lineRule="auto"/>
        <w:ind w:firstLine="489" w:firstLineChars="204"/>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设备的防护、包装及运输</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设备的防护及油漆</w:t>
      </w:r>
    </w:p>
    <w:p>
      <w:pPr>
        <w:keepNext w:val="0"/>
        <w:keepLines w:val="0"/>
        <w:pageBreakBefore w:val="0"/>
        <w:widowControl w:val="0"/>
        <w:kinsoku/>
        <w:wordWrap/>
        <w:overflowPunct/>
        <w:topLinePunct w:val="0"/>
        <w:autoSpaceDE/>
        <w:autoSpaceDN/>
        <w:bidi w:val="0"/>
        <w:adjustRightInd/>
        <w:snapToGrid w:val="0"/>
        <w:spacing w:line="360" w:lineRule="auto"/>
        <w:ind w:left="181" w:firstLine="48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设备内、外表面应洁净。投标人在投标时须提供设备的具体防护措施供业主认可，并对此工作负责。油漆表面应光洁，无折皱和剥落。</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所有设备应合理、有效包装，以使其有效防止各种损坏，如受潮、受热、剥落、腐蚀、变形等。</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零部件、备品备件等散件应木箱包装。这些箱盒应适合于储存，储存年限应在包装上予以说明。</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设备的包装费应包括在投标总价中，这些包装材料应属于业主所有。</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在包装箱中，应附有产品合格证书（包括机组合格证、部件合格证、材料合格证等）、产品说明书、装箱单、易损件备件及专用工具清单，一套完整的经批准的图纸及有关技术文件资料。包装箱外面应注明数量、设备名称、编号、起吊位置、警示标志、外形尺寸、毛重等。所有文字应为中文。</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中标人应对设备的整个交货过程负责，包括装卸的安全。</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随包装箱带的文件、资料应防潮密封，并放置在包装箱内明显处。</w:t>
      </w:r>
    </w:p>
    <w:p>
      <w:pPr>
        <w:pStyle w:val="17"/>
        <w:keepNext w:val="0"/>
        <w:keepLines w:val="0"/>
        <w:pageBreakBefore w:val="0"/>
        <w:widowControl w:val="0"/>
        <w:kinsoku/>
        <w:wordWrap/>
        <w:overflowPunct/>
        <w:topLinePunct w:val="0"/>
        <w:autoSpaceDE/>
        <w:autoSpaceDN/>
        <w:bidi w:val="0"/>
        <w:adjustRightInd/>
        <w:spacing w:before="120" w:after="120"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验收与交接：</w:t>
      </w:r>
    </w:p>
    <w:p>
      <w:pPr>
        <w:pStyle w:val="17"/>
        <w:keepNext w:val="0"/>
        <w:keepLines w:val="0"/>
        <w:pageBreakBefore w:val="0"/>
        <w:widowControl w:val="0"/>
        <w:kinsoku/>
        <w:wordWrap/>
        <w:overflowPunct/>
        <w:topLinePunct w:val="0"/>
        <w:autoSpaceDE/>
        <w:autoSpaceDN/>
        <w:bidi w:val="0"/>
        <w:adjustRightInd/>
        <w:spacing w:before="120" w:after="120"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验收应由双方技术人员按招标文件要求、中标单位投标文件的承诺、有关合同、到货清单及产品说明书等技术资料共同进行数量清点，对于买方认为不必检查的项目，卖方应提供合格证明。验收合格后，方予交货。</w:t>
      </w:r>
    </w:p>
    <w:p>
      <w:pPr>
        <w:pStyle w:val="17"/>
        <w:keepNext w:val="0"/>
        <w:keepLines w:val="0"/>
        <w:pageBreakBefore w:val="0"/>
        <w:widowControl w:val="0"/>
        <w:kinsoku/>
        <w:wordWrap/>
        <w:overflowPunct/>
        <w:topLinePunct w:val="0"/>
        <w:autoSpaceDE/>
        <w:autoSpaceDN/>
        <w:bidi w:val="0"/>
        <w:adjustRightInd/>
        <w:spacing w:before="120" w:after="120" w:line="360" w:lineRule="auto"/>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卖方须遵循现行国家有关的设计与验收标准。卖方所交付的品种、型号、规格、数量、质量不符合合同规定标准的或与投标文件不符，买方有权拒收，所造成的损失均由卖方承担，同时履约保证金将予以没收。</w:t>
      </w:r>
    </w:p>
    <w:p>
      <w:pPr>
        <w:keepNext w:val="0"/>
        <w:keepLines w:val="0"/>
        <w:pageBreakBefore w:val="0"/>
        <w:kinsoku/>
        <w:wordWrap/>
        <w:overflowPunct/>
        <w:topLinePunct w:val="0"/>
        <w:bidi w:val="0"/>
        <w:spacing w:line="360" w:lineRule="auto"/>
        <w:rPr>
          <w:rFonts w:hint="eastAsia" w:ascii="仿宋" w:hAnsi="仿宋" w:eastAsia="仿宋" w:cs="仿宋"/>
          <w:b/>
          <w:color w:val="auto"/>
          <w:sz w:val="24"/>
          <w:szCs w:val="24"/>
        </w:rPr>
      </w:pPr>
      <w:r>
        <w:rPr>
          <w:rFonts w:hint="eastAsia" w:ascii="仿宋" w:hAnsi="仿宋" w:eastAsia="仿宋" w:cs="仿宋"/>
          <w:color w:val="auto"/>
          <w:sz w:val="28"/>
          <w:szCs w:val="28"/>
          <w:highlight w:val="none"/>
          <w:lang w:val="en-US" w:eastAsia="zh-CN"/>
        </w:rPr>
        <w:t>三、</w:t>
      </w:r>
      <w:r>
        <w:rPr>
          <w:rFonts w:hint="eastAsia" w:ascii="仿宋" w:hAnsi="仿宋" w:eastAsia="仿宋" w:cs="仿宋"/>
          <w:b/>
          <w:color w:val="auto"/>
          <w:sz w:val="28"/>
          <w:szCs w:val="28"/>
        </w:rPr>
        <w:t>质量保证与售后服务：</w:t>
      </w:r>
    </w:p>
    <w:p>
      <w:pPr>
        <w:keepNext w:val="0"/>
        <w:keepLines w:val="0"/>
        <w:pageBreakBefore w:val="0"/>
        <w:kinsoku/>
        <w:wordWrap/>
        <w:overflowPunct/>
        <w:topLinePunct w:val="0"/>
        <w:bidi w:val="0"/>
        <w:spacing w:line="360" w:lineRule="auto"/>
        <w:ind w:firstLine="480" w:firstLineChars="200"/>
        <w:rPr>
          <w:rFonts w:hint="eastAsia" w:ascii="仿宋" w:hAnsi="仿宋" w:eastAsia="仿宋" w:cs="仿宋"/>
          <w:color w:val="auto"/>
          <w:sz w:val="24"/>
          <w:highlight w:val="none"/>
        </w:rPr>
      </w:pPr>
      <w:bookmarkStart w:id="322" w:name="_Toc11933257"/>
      <w:bookmarkStart w:id="323" w:name="_Toc11616322"/>
      <w:r>
        <w:rPr>
          <w:rFonts w:hint="eastAsia" w:ascii="仿宋" w:hAnsi="仿宋" w:eastAsia="仿宋" w:cs="仿宋"/>
          <w:color w:val="auto"/>
          <w:sz w:val="24"/>
          <w:highlight w:val="none"/>
        </w:rPr>
        <w:t>1、质保期</w:t>
      </w:r>
      <w:r>
        <w:rPr>
          <w:rFonts w:hint="eastAsia" w:ascii="仿宋" w:hAnsi="仿宋" w:eastAsia="仿宋" w:cs="仿宋"/>
          <w:color w:val="auto"/>
          <w:sz w:val="21"/>
          <w:szCs w:val="21"/>
          <w:highlight w:val="none"/>
        </w:rPr>
        <w:t>≥</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年，</w:t>
      </w:r>
      <w:bookmarkEnd w:id="322"/>
      <w:bookmarkEnd w:id="323"/>
      <w:r>
        <w:rPr>
          <w:rFonts w:hint="eastAsia" w:ascii="仿宋" w:hAnsi="仿宋" w:eastAsia="仿宋" w:cs="仿宋"/>
          <w:color w:val="auto"/>
          <w:sz w:val="24"/>
          <w:highlight w:val="none"/>
        </w:rPr>
        <w:t>卖方应提供质保期内的免费保修和终身维修，质保期内维修不得向用户收取任何费用</w:t>
      </w:r>
      <w:r>
        <w:rPr>
          <w:rFonts w:hint="eastAsia" w:ascii="仿宋" w:hAnsi="仿宋" w:eastAsia="仿宋" w:cs="仿宋"/>
          <w:color w:val="auto"/>
          <w:sz w:val="24"/>
          <w:highlight w:val="none"/>
          <w:lang w:eastAsia="zh-CN"/>
        </w:rPr>
        <w:t>，每半年</w:t>
      </w:r>
      <w:r>
        <w:rPr>
          <w:rFonts w:hint="eastAsia" w:ascii="仿宋" w:hAnsi="仿宋" w:eastAsia="仿宋" w:cs="仿宋"/>
          <w:color w:val="auto"/>
          <w:sz w:val="24"/>
          <w:highlight w:val="none"/>
        </w:rPr>
        <w:t>巡回检查保养一次。质保期从安装调试完毕、最终验收合格之日开始计算。</w:t>
      </w:r>
    </w:p>
    <w:p>
      <w:pPr>
        <w:keepNext w:val="0"/>
        <w:keepLines w:val="0"/>
        <w:pageBreakBefore w:val="0"/>
        <w:kinsoku/>
        <w:wordWrap/>
        <w:overflowPunct/>
        <w:topLinePunct w:val="0"/>
        <w:bidi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所供应的商品是最新生产的符合国家相关技术标准和质量要求的出厂原装合格产品。如发生所供商品与合同不符，甲方有权拒收或退货，由此产生的一切责任和后果由乙方承担。</w:t>
      </w:r>
    </w:p>
    <w:p>
      <w:pPr>
        <w:keepNext w:val="0"/>
        <w:keepLines w:val="0"/>
        <w:pageBreakBefore w:val="0"/>
        <w:widowControl/>
        <w:suppressLineNumbers w:val="0"/>
        <w:kinsoku/>
        <w:wordWrap/>
        <w:overflowPunct/>
        <w:topLinePunct w:val="0"/>
        <w:bidi w:val="0"/>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质保期内因不能排除的故障而影响工作的情况每发生一次，其质保期相应延长60天，质保期内因货物本身缺陷造成各种故障应由供应商免费予以更换，</w:t>
      </w:r>
      <w:r>
        <w:rPr>
          <w:rFonts w:hint="eastAsia" w:ascii="仿宋" w:hAnsi="仿宋" w:eastAsia="仿宋" w:cs="仿宋"/>
          <w:color w:val="auto"/>
          <w:kern w:val="0"/>
          <w:sz w:val="24"/>
          <w:szCs w:val="24"/>
          <w:lang w:val="en-US" w:eastAsia="zh-CN" w:bidi="ar"/>
        </w:rPr>
        <w:t>提供 24 小时售后免费现场技术支持服务，包括故障排除、性能调优、技术咨询保障要求等。</w:t>
      </w:r>
      <w:r>
        <w:rPr>
          <w:rFonts w:hint="eastAsia" w:ascii="仿宋" w:hAnsi="仿宋" w:eastAsia="仿宋" w:cs="仿宋"/>
          <w:color w:val="auto"/>
          <w:sz w:val="24"/>
          <w:szCs w:val="24"/>
        </w:rPr>
        <w:t>否则将扣除</w:t>
      </w:r>
      <w:r>
        <w:rPr>
          <w:rFonts w:hint="eastAsia" w:ascii="仿宋" w:hAnsi="仿宋" w:eastAsia="仿宋" w:cs="仿宋"/>
          <w:color w:val="auto"/>
          <w:sz w:val="24"/>
          <w:szCs w:val="24"/>
          <w:lang w:eastAsia="zh-CN"/>
        </w:rPr>
        <w:t>履约保证金</w:t>
      </w:r>
      <w:r>
        <w:rPr>
          <w:rFonts w:hint="eastAsia" w:ascii="仿宋" w:hAnsi="仿宋" w:eastAsia="仿宋" w:cs="仿宋"/>
          <w:color w:val="auto"/>
          <w:sz w:val="24"/>
          <w:szCs w:val="24"/>
        </w:rPr>
        <w:t>作为对采购人的补偿。</w:t>
      </w:r>
    </w:p>
    <w:p>
      <w:pPr>
        <w:keepNext w:val="0"/>
        <w:keepLines w:val="0"/>
        <w:pageBreakBefore w:val="0"/>
        <w:widowControl/>
        <w:suppressLineNumbers w:val="0"/>
        <w:kinsoku/>
        <w:wordWrap/>
        <w:overflowPunct/>
        <w:topLinePunct w:val="0"/>
        <w:bidi w:val="0"/>
        <w:spacing w:line="360" w:lineRule="auto"/>
        <w:ind w:firstLine="480" w:firstLineChars="200"/>
        <w:jc w:val="left"/>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4、在质保期内，甲方有故障申报，乙方提供24小时全天候服务支持，30分钟内响应，2小时内到达现场，12小时内解决故障。如遇重大故障，48小时内不能解决的，乙方准备替代装载机机，确保甲方生产的正常开展，由此产生的费用由乙方承担。</w:t>
      </w:r>
    </w:p>
    <w:p>
      <w:pPr>
        <w:keepNext w:val="0"/>
        <w:keepLines w:val="0"/>
        <w:pageBreakBefore w:val="0"/>
        <w:widowControl/>
        <w:suppressLineNumbers w:val="0"/>
        <w:kinsoku/>
        <w:wordWrap/>
        <w:overflowPunct/>
        <w:topLinePunct w:val="0"/>
        <w:bidi w:val="0"/>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5、本项目为交钥匙工程，采购人不再另行支付其它任何运输、安装、调试、检测等所需的费用。 如发生所供设备与招标文件中规定的设备不符，由此产生的一切责任和后果由中标人承担。</w:t>
      </w:r>
      <w:r>
        <w:rPr>
          <w:rFonts w:hint="eastAsia" w:ascii="仿宋" w:hAnsi="仿宋" w:eastAsia="仿宋" w:cs="仿宋"/>
          <w:color w:val="auto"/>
          <w:sz w:val="24"/>
          <w:szCs w:val="24"/>
        </w:rPr>
        <w:t>设备到货后，由供应商负责派</w:t>
      </w:r>
      <w:r>
        <w:rPr>
          <w:rFonts w:hint="eastAsia" w:ascii="仿宋" w:hAnsi="仿宋" w:eastAsia="仿宋" w:cs="仿宋"/>
          <w:color w:val="auto"/>
          <w:sz w:val="24"/>
          <w:szCs w:val="24"/>
          <w:lang w:val="en-US" w:eastAsia="zh-CN"/>
        </w:rPr>
        <w:t>具有</w:t>
      </w:r>
      <w:r>
        <w:rPr>
          <w:rFonts w:hint="eastAsia" w:ascii="仿宋" w:hAnsi="仿宋" w:eastAsia="仿宋" w:cs="仿宋"/>
          <w:color w:val="auto"/>
          <w:kern w:val="0"/>
          <w:sz w:val="24"/>
          <w:szCs w:val="24"/>
          <w:lang w:val="en-US" w:eastAsia="zh-CN" w:bidi="ar"/>
        </w:rPr>
        <w:t>专业资质安装</w:t>
      </w:r>
      <w:r>
        <w:rPr>
          <w:rFonts w:hint="eastAsia" w:ascii="仿宋" w:hAnsi="仿宋" w:eastAsia="仿宋" w:cs="仿宋"/>
          <w:color w:val="auto"/>
          <w:sz w:val="24"/>
          <w:szCs w:val="24"/>
        </w:rPr>
        <w:t>技术人员到采购人指定的现场进行足够工作日的设备安装、调试、试运行</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供应商所派技术人员在采购人所在地的食宿及市内交通费用由供应商自行承担。</w:t>
      </w:r>
    </w:p>
    <w:p>
      <w:pPr>
        <w:keepNext w:val="0"/>
        <w:keepLines w:val="0"/>
        <w:pageBreakBefore w:val="0"/>
        <w:kinsoku/>
        <w:wordWrap/>
        <w:overflowPunct/>
        <w:topLinePunct w:val="0"/>
        <w:autoSpaceDE w:val="0"/>
        <w:autoSpaceDN w:val="0"/>
        <w:bidi w:val="0"/>
        <w:adjustRightInd w:val="0"/>
        <w:snapToGrid w:val="0"/>
        <w:spacing w:line="360" w:lineRule="auto"/>
        <w:textAlignment w:val="bottom"/>
        <w:rPr>
          <w:rFonts w:hint="eastAsia" w:ascii="仿宋" w:hAnsi="仿宋" w:eastAsia="仿宋" w:cs="仿宋"/>
          <w:color w:val="auto"/>
          <w:sz w:val="24"/>
          <w:szCs w:val="24"/>
        </w:rPr>
      </w:pPr>
      <w:r>
        <w:rPr>
          <w:rFonts w:hint="eastAsia" w:ascii="仿宋" w:hAnsi="仿宋" w:eastAsia="仿宋" w:cs="仿宋"/>
          <w:color w:val="auto"/>
          <w:sz w:val="24"/>
          <w:szCs w:val="24"/>
        </w:rPr>
        <w:t xml:space="preserve">   </w:t>
      </w: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rPr>
        <w:t>为便于采购人在质保期期间识别需召回和需修理或更换的部件，供应商应提供适用的零部件系列号和零部件跟踪服务管理体系，所有零部件应采用国际公制度量标准。</w:t>
      </w:r>
    </w:p>
    <w:p>
      <w:pPr>
        <w:keepNext w:val="0"/>
        <w:keepLines w:val="0"/>
        <w:pageBreakBefore w:val="0"/>
        <w:kinsoku/>
        <w:wordWrap/>
        <w:overflowPunct/>
        <w:topLinePunct w:val="0"/>
        <w:autoSpaceDE w:val="0"/>
        <w:autoSpaceDN w:val="0"/>
        <w:bidi w:val="0"/>
        <w:adjustRightInd w:val="0"/>
        <w:snapToGrid w:val="0"/>
        <w:spacing w:line="360" w:lineRule="auto"/>
        <w:textAlignment w:val="bottom"/>
        <w:rPr>
          <w:rFonts w:hint="eastAsia" w:ascii="仿宋" w:hAnsi="仿宋" w:eastAsia="仿宋" w:cs="仿宋"/>
          <w:color w:val="auto"/>
          <w:sz w:val="24"/>
          <w:szCs w:val="24"/>
        </w:rPr>
      </w:pPr>
      <w:r>
        <w:rPr>
          <w:rFonts w:hint="eastAsia" w:ascii="仿宋" w:hAnsi="仿宋" w:eastAsia="仿宋" w:cs="仿宋"/>
          <w:color w:val="auto"/>
          <w:sz w:val="24"/>
          <w:szCs w:val="24"/>
        </w:rPr>
        <w:t xml:space="preserve">   </w:t>
      </w: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rPr>
        <w:t>供应商的服务机构（提供营业执照等相关证明材料），有足够的服务人员和足够数量的零件储备，需提供各种技术支持方式和详细的维修基地、备件仓库地址及联系方式（表格自制）。</w:t>
      </w:r>
    </w:p>
    <w:p>
      <w:pPr>
        <w:pStyle w:val="5"/>
        <w:numPr>
          <w:ilvl w:val="0"/>
          <w:numId w:val="0"/>
        </w:numPr>
        <w:spacing w:before="20" w:after="140"/>
        <w:ind w:left="210" w:leftChars="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四</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交货时间及地点</w:t>
      </w:r>
    </w:p>
    <w:p>
      <w:pPr>
        <w:spacing w:line="360" w:lineRule="auto"/>
        <w:ind w:firstLine="480" w:firstLineChars="200"/>
        <w:rPr>
          <w:rFonts w:hint="eastAsia" w:ascii="仿宋" w:hAnsi="仿宋" w:eastAsia="仿宋" w:cs="仿宋"/>
          <w:color w:val="auto"/>
          <w:sz w:val="24"/>
          <w:highlight w:val="none"/>
        </w:rPr>
      </w:pPr>
      <w:bookmarkStart w:id="324" w:name="_Toc11963892"/>
      <w:bookmarkStart w:id="325" w:name="_Toc11933259"/>
      <w:bookmarkStart w:id="326" w:name="_Toc11616324"/>
      <w:r>
        <w:rPr>
          <w:rFonts w:hint="eastAsia" w:ascii="仿宋" w:hAnsi="仿宋" w:eastAsia="仿宋" w:cs="仿宋"/>
          <w:color w:val="auto"/>
          <w:sz w:val="24"/>
          <w:highlight w:val="none"/>
        </w:rPr>
        <w:t>签订合同后</w:t>
      </w:r>
      <w:r>
        <w:rPr>
          <w:rFonts w:hint="eastAsia" w:ascii="仿宋" w:hAnsi="仿宋" w:eastAsia="仿宋" w:cs="仿宋"/>
          <w:color w:val="auto"/>
          <w:sz w:val="24"/>
          <w:highlight w:val="none"/>
          <w:lang w:val="en-US" w:eastAsia="zh-CN"/>
        </w:rPr>
        <w:t>20</w:t>
      </w:r>
      <w:r>
        <w:rPr>
          <w:rFonts w:hint="eastAsia" w:ascii="仿宋" w:hAnsi="仿宋" w:eastAsia="仿宋" w:cs="仿宋"/>
          <w:color w:val="auto"/>
          <w:sz w:val="24"/>
          <w:highlight w:val="none"/>
        </w:rPr>
        <w:t>天内到采购人指定地点并验收完毕。</w:t>
      </w:r>
      <w:bookmarkEnd w:id="324"/>
      <w:bookmarkEnd w:id="325"/>
      <w:bookmarkEnd w:id="326"/>
    </w:p>
    <w:p>
      <w:pPr>
        <w:pStyle w:val="5"/>
        <w:keepNext/>
        <w:keepLines/>
        <w:pageBreakBefore w:val="0"/>
        <w:widowControl w:val="0"/>
        <w:numPr>
          <w:ilvl w:val="0"/>
          <w:numId w:val="0"/>
        </w:numPr>
        <w:kinsoku/>
        <w:wordWrap/>
        <w:overflowPunct/>
        <w:topLinePunct w:val="0"/>
        <w:autoSpaceDE/>
        <w:autoSpaceDN/>
        <w:bidi w:val="0"/>
        <w:adjustRightInd/>
        <w:snapToGrid/>
        <w:spacing w:before="20" w:after="140" w:line="360" w:lineRule="auto"/>
        <w:ind w:left="210" w:leftChars="0"/>
        <w:textAlignment w:val="auto"/>
        <w:rPr>
          <w:rFonts w:hint="eastAsia" w:ascii="仿宋" w:hAnsi="仿宋" w:eastAsia="仿宋" w:cs="仿宋"/>
          <w:b/>
          <w:color w:val="auto"/>
          <w:sz w:val="28"/>
          <w:szCs w:val="28"/>
          <w:highlight w:val="none"/>
        </w:rPr>
      </w:pPr>
      <w:bookmarkStart w:id="327" w:name="_Toc32219"/>
      <w:bookmarkStart w:id="328" w:name="_Toc5550"/>
      <w:bookmarkStart w:id="329" w:name="_Toc11963893"/>
      <w:bookmarkStart w:id="330" w:name="_Toc4908"/>
      <w:bookmarkStart w:id="331" w:name="_Toc16762"/>
      <w:r>
        <w:rPr>
          <w:rFonts w:hint="eastAsia" w:ascii="仿宋" w:hAnsi="仿宋" w:eastAsia="仿宋" w:cs="仿宋"/>
          <w:b/>
          <w:color w:val="auto"/>
          <w:sz w:val="28"/>
          <w:szCs w:val="28"/>
          <w:highlight w:val="none"/>
          <w:lang w:val="en-US" w:eastAsia="zh-CN"/>
        </w:rPr>
        <w:t>五</w:t>
      </w:r>
      <w:r>
        <w:rPr>
          <w:rFonts w:hint="eastAsia" w:ascii="仿宋" w:hAnsi="仿宋" w:eastAsia="仿宋" w:cs="仿宋"/>
          <w:b/>
          <w:color w:val="auto"/>
          <w:sz w:val="28"/>
          <w:szCs w:val="28"/>
          <w:highlight w:val="none"/>
          <w:lang w:eastAsia="zh-CN"/>
        </w:rPr>
        <w:t>、</w:t>
      </w:r>
      <w:r>
        <w:rPr>
          <w:rFonts w:hint="eastAsia" w:ascii="仿宋" w:hAnsi="仿宋" w:eastAsia="仿宋" w:cs="仿宋"/>
          <w:b/>
          <w:color w:val="auto"/>
          <w:sz w:val="28"/>
          <w:szCs w:val="28"/>
          <w:highlight w:val="none"/>
        </w:rPr>
        <w:t>付款方式</w:t>
      </w:r>
      <w:bookmarkEnd w:id="327"/>
      <w:bookmarkEnd w:id="328"/>
      <w:bookmarkEnd w:id="329"/>
      <w:bookmarkEnd w:id="330"/>
      <w:bookmarkEnd w:id="331"/>
    </w:p>
    <w:p>
      <w:pPr>
        <w:spacing w:line="360" w:lineRule="auto"/>
        <w:ind w:firstLine="480" w:firstLineChars="200"/>
        <w:rPr>
          <w:rFonts w:hint="eastAsia" w:ascii="仿宋" w:hAnsi="仿宋" w:eastAsia="仿宋" w:cs="仿宋"/>
          <w:color w:val="auto"/>
          <w:sz w:val="24"/>
          <w:highlight w:val="none"/>
        </w:rPr>
      </w:pPr>
      <w:bookmarkStart w:id="332" w:name="_Toc11963895"/>
      <w:bookmarkStart w:id="333" w:name="_Toc12453"/>
      <w:bookmarkStart w:id="334" w:name="_Toc8804"/>
      <w:bookmarkStart w:id="335" w:name="_Toc22809"/>
      <w:r>
        <w:rPr>
          <w:rFonts w:hint="eastAsia" w:ascii="仿宋" w:hAnsi="仿宋" w:eastAsia="仿宋" w:cs="仿宋"/>
          <w:color w:val="auto"/>
          <w:sz w:val="24"/>
          <w:highlight w:val="none"/>
        </w:rPr>
        <w:t>合同签订且具备实施条件后 15 日内支付合同价款的30%，装载机完成交付且验收合格后 30日内支付合同价款的60%,无质量问题验收合格之日起满一年后 30 日内支付合同价款 5%，剩余5%质保期满无质量问题进行支付。</w:t>
      </w:r>
    </w:p>
    <w:p>
      <w:pPr>
        <w:spacing w:line="360" w:lineRule="auto"/>
        <w:ind w:firstLine="281" w:firstLineChars="100"/>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lang w:val="en-US" w:eastAsia="zh-CN"/>
        </w:rPr>
        <w:t>六</w:t>
      </w:r>
      <w:r>
        <w:rPr>
          <w:rFonts w:hint="eastAsia" w:ascii="仿宋" w:hAnsi="仿宋" w:eastAsia="仿宋" w:cs="仿宋"/>
          <w:b/>
          <w:bCs/>
          <w:color w:val="auto"/>
          <w:sz w:val="28"/>
          <w:szCs w:val="28"/>
          <w:highlight w:val="none"/>
        </w:rPr>
        <w:t>、其他要求</w:t>
      </w:r>
      <w:bookmarkEnd w:id="332"/>
      <w:bookmarkEnd w:id="333"/>
      <w:bookmarkEnd w:id="334"/>
      <w:bookmarkEnd w:id="335"/>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1、本项目所涉及的货物、税收、人工费、安装费、运费等一切与之相关的所有费用都需包含在报价中。</w:t>
      </w:r>
    </w:p>
    <w:p>
      <w:pPr>
        <w:pStyle w:val="83"/>
        <w:adjustRightInd w:val="0"/>
        <w:snapToGrid w:val="0"/>
        <w:spacing w:line="320" w:lineRule="exact"/>
        <w:ind w:right="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2.本招标文件中带“★”的条款内容，为本次招标的实质性内容，投标人必须全部响应，否则将作无效标处理。</w:t>
      </w:r>
    </w:p>
    <w:p>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color w:val="auto"/>
          <w:sz w:val="24"/>
          <w:szCs w:val="24"/>
          <w:highlight w:val="none"/>
          <w:lang w:val="en-US" w:eastAsia="zh-CN"/>
        </w:rPr>
        <w:t>3.本招标文件仅对采购货物提出原则性要求，并不是详尽的要求，投标人有责任对技术参数符合现行的相关技术规范、标准负责。</w:t>
      </w:r>
    </w:p>
    <w:p>
      <w:pPr>
        <w:rPr>
          <w:rFonts w:hint="eastAsia" w:ascii="仿宋" w:hAnsi="仿宋" w:eastAsia="仿宋" w:cs="仿宋"/>
          <w:color w:val="auto"/>
          <w:sz w:val="24"/>
          <w:highlight w:val="none"/>
        </w:rPr>
      </w:pPr>
      <w:r>
        <w:rPr>
          <w:rFonts w:hint="eastAsia" w:ascii="仿宋" w:hAnsi="仿宋" w:eastAsia="仿宋" w:cs="仿宋"/>
          <w:bCs/>
          <w:color w:val="auto"/>
          <w:sz w:val="24"/>
          <w:highlight w:val="none"/>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jc w:val="center"/>
        <w:textAlignment w:val="auto"/>
        <w:outlineLvl w:val="0"/>
        <w:rPr>
          <w:rFonts w:hint="eastAsia" w:ascii="仿宋" w:hAnsi="仿宋" w:eastAsia="仿宋" w:cs="仿宋"/>
          <w:b/>
          <w:color w:val="auto"/>
          <w:kern w:val="44"/>
          <w:sz w:val="44"/>
          <w:szCs w:val="20"/>
          <w:highlight w:val="none"/>
          <w:lang w:val="en-US" w:eastAsia="zh-CN" w:bidi="ar-SA"/>
        </w:rPr>
      </w:pPr>
      <w:r>
        <w:rPr>
          <w:rFonts w:hint="eastAsia" w:ascii="仿宋" w:hAnsi="仿宋" w:eastAsia="仿宋" w:cs="仿宋"/>
          <w:b/>
          <w:color w:val="auto"/>
          <w:kern w:val="44"/>
          <w:sz w:val="44"/>
          <w:szCs w:val="20"/>
          <w:highlight w:val="none"/>
          <w:lang w:val="en-US" w:eastAsia="zh-CN" w:bidi="ar-SA"/>
        </w:rPr>
        <w:t>第四章  合同条款及格式</w:t>
      </w:r>
      <w:bookmarkEnd w:id="320"/>
    </w:p>
    <w:p>
      <w:pPr>
        <w:adjustRightInd w:val="0"/>
        <w:snapToGrid w:val="0"/>
        <w:spacing w:after="60" w:line="360" w:lineRule="auto"/>
        <w:jc w:val="center"/>
        <w:rPr>
          <w:rFonts w:hint="eastAsia" w:ascii="仿宋" w:hAnsi="仿宋" w:eastAsia="仿宋" w:cs="仿宋"/>
          <w:b/>
          <w:sz w:val="22"/>
          <w:szCs w:val="21"/>
        </w:rPr>
      </w:pPr>
      <w:bookmarkStart w:id="336" w:name="_Toc21755"/>
      <w:r>
        <w:rPr>
          <w:rFonts w:hint="eastAsia" w:ascii="仿宋" w:hAnsi="仿宋" w:eastAsia="仿宋" w:cs="仿宋"/>
          <w:b/>
          <w:sz w:val="22"/>
          <w:szCs w:val="21"/>
        </w:rPr>
        <w:t>（本合同为样稿，最终稿由甲乙双方协商后确定，但不允许偏离招投标文件）</w:t>
      </w:r>
    </w:p>
    <w:bookmarkEnd w:id="336"/>
    <w:p>
      <w:pPr>
        <w:widowControl/>
        <w:snapToGrid w:val="0"/>
        <w:spacing w:line="480" w:lineRule="exact"/>
        <w:ind w:firstLine="480" w:firstLineChars="200"/>
        <w:rPr>
          <w:rFonts w:ascii="仿宋" w:hAnsi="仿宋" w:eastAsia="仿宋" w:cs="仿宋"/>
          <w:kern w:val="0"/>
          <w:sz w:val="24"/>
        </w:rPr>
      </w:pPr>
      <w:bookmarkStart w:id="337" w:name="_Toc106"/>
      <w:r>
        <w:rPr>
          <w:rFonts w:hint="eastAsia" w:ascii="仿宋" w:hAnsi="仿宋" w:eastAsia="仿宋" w:cs="仿宋"/>
          <w:kern w:val="0"/>
          <w:sz w:val="24"/>
        </w:rPr>
        <w:t xml:space="preserve">                                     合同编号：</w:t>
      </w:r>
    </w:p>
    <w:p>
      <w:pPr>
        <w:widowControl/>
        <w:snapToGrid w:val="0"/>
        <w:spacing w:line="480" w:lineRule="exact"/>
        <w:ind w:firstLine="480" w:firstLineChars="200"/>
        <w:rPr>
          <w:rFonts w:ascii="仿宋" w:hAnsi="仿宋" w:eastAsia="仿宋" w:cs="仿宋"/>
          <w:kern w:val="0"/>
          <w:sz w:val="24"/>
        </w:rPr>
      </w:pPr>
      <w:r>
        <w:rPr>
          <w:rFonts w:hint="eastAsia" w:ascii="仿宋" w:hAnsi="仿宋" w:eastAsia="仿宋" w:cs="仿宋"/>
          <w:kern w:val="0"/>
          <w:sz w:val="24"/>
        </w:rPr>
        <w:t xml:space="preserve">                                     确认书号：</w:t>
      </w:r>
    </w:p>
    <w:p>
      <w:pPr>
        <w:widowControl/>
        <w:snapToGrid w:val="0"/>
        <w:spacing w:line="480" w:lineRule="exact"/>
        <w:ind w:firstLine="480" w:firstLineChars="200"/>
        <w:rPr>
          <w:rFonts w:ascii="仿宋" w:hAnsi="仿宋" w:eastAsia="仿宋" w:cs="仿宋"/>
          <w:kern w:val="0"/>
          <w:sz w:val="24"/>
        </w:rPr>
      </w:pPr>
      <w:r>
        <w:rPr>
          <w:rFonts w:hint="eastAsia" w:ascii="仿宋" w:hAnsi="仿宋" w:eastAsia="仿宋" w:cs="仿宋"/>
          <w:kern w:val="0"/>
          <w:sz w:val="24"/>
        </w:rPr>
        <w:t xml:space="preserve">甲方（采购人）： </w:t>
      </w:r>
    </w:p>
    <w:p>
      <w:pPr>
        <w:widowControl/>
        <w:snapToGrid w:val="0"/>
        <w:spacing w:line="480" w:lineRule="exact"/>
        <w:ind w:firstLine="480" w:firstLineChars="200"/>
        <w:rPr>
          <w:rFonts w:ascii="仿宋" w:hAnsi="仿宋" w:eastAsia="仿宋" w:cs="仿宋"/>
          <w:kern w:val="0"/>
          <w:sz w:val="24"/>
        </w:rPr>
      </w:pPr>
      <w:r>
        <w:rPr>
          <w:rFonts w:hint="eastAsia" w:ascii="仿宋" w:hAnsi="仿宋" w:eastAsia="仿宋" w:cs="仿宋"/>
          <w:kern w:val="0"/>
          <w:sz w:val="24"/>
        </w:rPr>
        <w:t xml:space="preserve">乙方（供应商）： </w:t>
      </w:r>
    </w:p>
    <w:p>
      <w:pPr>
        <w:widowControl/>
        <w:snapToGrid w:val="0"/>
        <w:spacing w:line="480" w:lineRule="exact"/>
        <w:ind w:firstLine="480" w:firstLineChars="200"/>
        <w:rPr>
          <w:rFonts w:ascii="仿宋" w:hAnsi="仿宋" w:eastAsia="仿宋" w:cs="仿宋"/>
          <w:kern w:val="0"/>
          <w:sz w:val="24"/>
        </w:rPr>
      </w:pPr>
    </w:p>
    <w:p>
      <w:pPr>
        <w:widowControl/>
        <w:snapToGrid w:val="0"/>
        <w:spacing w:line="480" w:lineRule="exact"/>
        <w:ind w:firstLine="480" w:firstLineChars="200"/>
        <w:rPr>
          <w:rFonts w:ascii="仿宋" w:hAnsi="仿宋" w:eastAsia="仿宋" w:cs="仿宋"/>
          <w:kern w:val="0"/>
          <w:sz w:val="24"/>
        </w:rPr>
      </w:pPr>
      <w:r>
        <w:rPr>
          <w:rFonts w:hint="eastAsia" w:ascii="仿宋" w:hAnsi="仿宋" w:eastAsia="仿宋" w:cs="仿宋"/>
          <w:kern w:val="0"/>
          <w:sz w:val="24"/>
        </w:rPr>
        <w:t>甲、乙双方根据</w:t>
      </w:r>
      <w:r>
        <w:rPr>
          <w:rFonts w:hint="eastAsia" w:ascii="仿宋" w:hAnsi="仿宋" w:eastAsia="仿宋" w:cs="仿宋"/>
          <w:kern w:val="0"/>
          <w:sz w:val="24"/>
          <w:u w:val="single"/>
        </w:rPr>
        <w:t xml:space="preserve">    （填写采购代理机构名称）   </w:t>
      </w:r>
      <w:r>
        <w:rPr>
          <w:rFonts w:hint="eastAsia" w:ascii="仿宋" w:hAnsi="仿宋" w:eastAsia="仿宋" w:cs="仿宋"/>
          <w:kern w:val="0"/>
          <w:sz w:val="24"/>
        </w:rPr>
        <w:t>关于项目编号为      的（标项及名称）项目的国企采购交易结果，签署本合同。</w:t>
      </w:r>
    </w:p>
    <w:p>
      <w:pPr>
        <w:widowControl/>
        <w:snapToGrid w:val="0"/>
        <w:spacing w:line="480" w:lineRule="exact"/>
        <w:ind w:firstLine="482" w:firstLineChars="200"/>
        <w:rPr>
          <w:rFonts w:ascii="仿宋" w:hAnsi="仿宋" w:eastAsia="仿宋" w:cs="仿宋"/>
          <w:b/>
          <w:bCs/>
          <w:kern w:val="0"/>
          <w:sz w:val="24"/>
        </w:rPr>
      </w:pPr>
      <w:r>
        <w:rPr>
          <w:rFonts w:hint="eastAsia" w:ascii="仿宋" w:hAnsi="仿宋" w:eastAsia="仿宋" w:cs="仿宋"/>
          <w:b/>
          <w:bCs/>
          <w:kern w:val="0"/>
          <w:sz w:val="24"/>
        </w:rPr>
        <w:t>一、项目内容及合同价格</w:t>
      </w:r>
    </w:p>
    <w:p>
      <w:pPr>
        <w:widowControl/>
        <w:snapToGrid w:val="0"/>
        <w:spacing w:line="480" w:lineRule="exact"/>
        <w:ind w:firstLine="480" w:firstLineChars="200"/>
        <w:jc w:val="right"/>
        <w:rPr>
          <w:rFonts w:ascii="仿宋" w:hAnsi="仿宋" w:eastAsia="仿宋" w:cs="仿宋"/>
          <w:kern w:val="0"/>
          <w:sz w:val="24"/>
        </w:rPr>
      </w:pPr>
      <w:r>
        <w:rPr>
          <w:rFonts w:hint="eastAsia" w:ascii="仿宋" w:hAnsi="仿宋" w:eastAsia="仿宋" w:cs="仿宋"/>
          <w:kern w:val="0"/>
          <w:sz w:val="24"/>
        </w:rPr>
        <w:t xml:space="preserve">金额单位：元 </w:t>
      </w: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0"/>
        <w:gridCol w:w="3240"/>
        <w:gridCol w:w="1080"/>
        <w:gridCol w:w="1260"/>
        <w:gridCol w:w="1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pStyle w:val="17"/>
              <w:snapToGrid w:val="0"/>
              <w:spacing w:before="120" w:after="120" w:line="460" w:lineRule="exact"/>
              <w:jc w:val="center"/>
              <w:rPr>
                <w:rFonts w:ascii="仿宋" w:hAnsi="仿宋" w:eastAsia="仿宋" w:cs="仿宋"/>
                <w:sz w:val="24"/>
                <w:szCs w:val="24"/>
              </w:rPr>
            </w:pPr>
            <w:r>
              <w:rPr>
                <w:rFonts w:hint="eastAsia" w:ascii="仿宋" w:hAnsi="仿宋" w:eastAsia="仿宋" w:cs="仿宋"/>
                <w:sz w:val="24"/>
                <w:szCs w:val="24"/>
              </w:rPr>
              <w:t>项目名称</w:t>
            </w:r>
          </w:p>
        </w:tc>
        <w:tc>
          <w:tcPr>
            <w:tcW w:w="3240" w:type="dxa"/>
            <w:tcBorders>
              <w:top w:val="single" w:color="auto" w:sz="4" w:space="0"/>
              <w:left w:val="single" w:color="auto" w:sz="4" w:space="0"/>
              <w:bottom w:val="single" w:color="auto" w:sz="4" w:space="0"/>
              <w:right w:val="single" w:color="auto" w:sz="4" w:space="0"/>
            </w:tcBorders>
            <w:vAlign w:val="center"/>
          </w:tcPr>
          <w:p>
            <w:pPr>
              <w:pStyle w:val="17"/>
              <w:snapToGrid w:val="0"/>
              <w:spacing w:before="120" w:after="120" w:line="460" w:lineRule="exact"/>
              <w:jc w:val="center"/>
              <w:rPr>
                <w:rFonts w:ascii="仿宋" w:hAnsi="仿宋" w:eastAsia="仿宋" w:cs="仿宋"/>
                <w:sz w:val="24"/>
                <w:szCs w:val="24"/>
              </w:rPr>
            </w:pPr>
            <w:r>
              <w:rPr>
                <w:rFonts w:hint="eastAsia" w:ascii="仿宋" w:hAnsi="仿宋" w:eastAsia="仿宋" w:cs="仿宋"/>
                <w:sz w:val="24"/>
                <w:szCs w:val="24"/>
              </w:rPr>
              <w:t>技术需求</w:t>
            </w:r>
          </w:p>
        </w:tc>
        <w:tc>
          <w:tcPr>
            <w:tcW w:w="1080" w:type="dxa"/>
            <w:tcBorders>
              <w:top w:val="single" w:color="auto" w:sz="4" w:space="0"/>
              <w:left w:val="single" w:color="auto" w:sz="4" w:space="0"/>
              <w:bottom w:val="single" w:color="auto" w:sz="4" w:space="0"/>
              <w:right w:val="single" w:color="auto" w:sz="4" w:space="0"/>
            </w:tcBorders>
            <w:vAlign w:val="center"/>
          </w:tcPr>
          <w:p>
            <w:pPr>
              <w:pStyle w:val="17"/>
              <w:snapToGrid w:val="0"/>
              <w:spacing w:before="120" w:after="120" w:line="460" w:lineRule="exact"/>
              <w:ind w:left="-108"/>
              <w:jc w:val="center"/>
              <w:rPr>
                <w:rFonts w:ascii="仿宋" w:hAnsi="仿宋" w:eastAsia="仿宋" w:cs="仿宋"/>
                <w:sz w:val="24"/>
                <w:szCs w:val="24"/>
              </w:rPr>
            </w:pPr>
            <w:r>
              <w:rPr>
                <w:rFonts w:hint="eastAsia" w:ascii="仿宋" w:hAnsi="仿宋" w:eastAsia="仿宋" w:cs="仿宋"/>
                <w:sz w:val="24"/>
                <w:szCs w:val="24"/>
              </w:rPr>
              <w:t>数量</w:t>
            </w:r>
          </w:p>
        </w:tc>
        <w:tc>
          <w:tcPr>
            <w:tcW w:w="1260" w:type="dxa"/>
            <w:tcBorders>
              <w:top w:val="single" w:color="auto" w:sz="4" w:space="0"/>
              <w:left w:val="single" w:color="auto" w:sz="4" w:space="0"/>
              <w:bottom w:val="single" w:color="auto" w:sz="4" w:space="0"/>
              <w:right w:val="single" w:color="auto" w:sz="4" w:space="0"/>
            </w:tcBorders>
            <w:vAlign w:val="center"/>
          </w:tcPr>
          <w:p>
            <w:pPr>
              <w:pStyle w:val="17"/>
              <w:snapToGrid w:val="0"/>
              <w:spacing w:before="120" w:after="120" w:line="460" w:lineRule="exact"/>
              <w:ind w:left="-108"/>
              <w:jc w:val="center"/>
              <w:rPr>
                <w:rFonts w:ascii="仿宋" w:hAnsi="仿宋" w:eastAsia="仿宋" w:cs="仿宋"/>
                <w:sz w:val="24"/>
                <w:szCs w:val="24"/>
              </w:rPr>
            </w:pPr>
            <w:r>
              <w:rPr>
                <w:rFonts w:hint="eastAsia" w:ascii="仿宋" w:hAnsi="仿宋" w:eastAsia="仿宋" w:cs="仿宋"/>
                <w:sz w:val="24"/>
                <w:szCs w:val="24"/>
              </w:rPr>
              <w:t>单价</w:t>
            </w:r>
          </w:p>
        </w:tc>
        <w:tc>
          <w:tcPr>
            <w:tcW w:w="1212" w:type="dxa"/>
            <w:tcBorders>
              <w:top w:val="single" w:color="auto" w:sz="4" w:space="0"/>
              <w:left w:val="single" w:color="auto" w:sz="4" w:space="0"/>
              <w:bottom w:val="single" w:color="auto" w:sz="4" w:space="0"/>
              <w:right w:val="single" w:color="auto" w:sz="4" w:space="0"/>
            </w:tcBorders>
            <w:vAlign w:val="center"/>
          </w:tcPr>
          <w:p>
            <w:pPr>
              <w:pStyle w:val="17"/>
              <w:snapToGrid w:val="0"/>
              <w:spacing w:before="120" w:after="120" w:line="460" w:lineRule="exact"/>
              <w:jc w:val="center"/>
              <w:rPr>
                <w:rFonts w:ascii="仿宋" w:hAnsi="仿宋" w:eastAsia="仿宋" w:cs="仿宋"/>
                <w:sz w:val="24"/>
                <w:szCs w:val="24"/>
              </w:rPr>
            </w:pPr>
            <w:r>
              <w:rPr>
                <w:rFonts w:hint="eastAsia" w:ascii="仿宋" w:hAnsi="仿宋" w:eastAsia="仿宋" w:cs="仿宋"/>
                <w:sz w:val="24"/>
                <w:szCs w:val="24"/>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2" w:hRule="atLeast"/>
          <w:jc w:val="center"/>
        </w:trPr>
        <w:tc>
          <w:tcPr>
            <w:tcW w:w="2340"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sz w:val="24"/>
              </w:rPr>
            </w:pPr>
          </w:p>
        </w:tc>
        <w:tc>
          <w:tcPr>
            <w:tcW w:w="3240"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仿宋" w:hAnsi="仿宋" w:eastAsia="仿宋" w:cs="仿宋"/>
                <w:sz w:val="24"/>
              </w:rPr>
            </w:pPr>
          </w:p>
        </w:tc>
        <w:tc>
          <w:tcPr>
            <w:tcW w:w="1080" w:type="dxa"/>
            <w:tcBorders>
              <w:top w:val="single" w:color="auto" w:sz="4" w:space="0"/>
              <w:left w:val="single" w:color="auto" w:sz="4" w:space="0"/>
              <w:bottom w:val="single" w:color="auto" w:sz="4" w:space="0"/>
              <w:right w:val="single" w:color="auto" w:sz="4" w:space="0"/>
            </w:tcBorders>
          </w:tcPr>
          <w:p>
            <w:pPr>
              <w:spacing w:line="460" w:lineRule="exact"/>
              <w:ind w:firstLine="511" w:firstLineChars="213"/>
              <w:rPr>
                <w:rFonts w:ascii="仿宋" w:hAnsi="仿宋" w:eastAsia="仿宋" w:cs="仿宋"/>
                <w:sz w:val="24"/>
              </w:rPr>
            </w:pPr>
          </w:p>
        </w:tc>
        <w:tc>
          <w:tcPr>
            <w:tcW w:w="1260" w:type="dxa"/>
            <w:tcBorders>
              <w:top w:val="single" w:color="auto" w:sz="4" w:space="0"/>
              <w:left w:val="single" w:color="auto" w:sz="4" w:space="0"/>
              <w:bottom w:val="single" w:color="auto" w:sz="4" w:space="0"/>
              <w:right w:val="single" w:color="auto" w:sz="4" w:space="0"/>
            </w:tcBorders>
          </w:tcPr>
          <w:p>
            <w:pPr>
              <w:pStyle w:val="84"/>
              <w:spacing w:after="120" w:line="460" w:lineRule="exact"/>
              <w:ind w:firstLine="511" w:firstLineChars="213"/>
              <w:rPr>
                <w:rFonts w:ascii="仿宋" w:hAnsi="仿宋" w:eastAsia="仿宋" w:cs="仿宋"/>
                <w:color w:val="auto"/>
                <w:kern w:val="2"/>
                <w:szCs w:val="24"/>
              </w:rPr>
            </w:pPr>
          </w:p>
        </w:tc>
        <w:tc>
          <w:tcPr>
            <w:tcW w:w="1212" w:type="dxa"/>
            <w:tcBorders>
              <w:top w:val="single" w:color="auto" w:sz="4" w:space="0"/>
              <w:left w:val="single" w:color="auto" w:sz="4" w:space="0"/>
              <w:bottom w:val="single" w:color="auto" w:sz="4" w:space="0"/>
              <w:right w:val="single" w:color="auto" w:sz="4" w:space="0"/>
            </w:tcBorders>
          </w:tcPr>
          <w:p>
            <w:pPr>
              <w:pStyle w:val="84"/>
              <w:spacing w:after="120" w:line="460" w:lineRule="exact"/>
              <w:ind w:left="570" w:firstLine="400"/>
              <w:rPr>
                <w:rFonts w:ascii="仿宋" w:hAnsi="仿宋" w:eastAsia="仿宋" w:cs="仿宋"/>
                <w:color w:val="auto"/>
                <w:kern w:val="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jc w:val="center"/>
        </w:trPr>
        <w:tc>
          <w:tcPr>
            <w:tcW w:w="5580" w:type="dxa"/>
            <w:gridSpan w:val="2"/>
            <w:tcBorders>
              <w:top w:val="single" w:color="auto" w:sz="4" w:space="0"/>
              <w:left w:val="single" w:color="auto" w:sz="4" w:space="0"/>
              <w:bottom w:val="single" w:color="auto" w:sz="4" w:space="0"/>
              <w:right w:val="single" w:color="auto" w:sz="4" w:space="0"/>
            </w:tcBorders>
          </w:tcPr>
          <w:p>
            <w:pPr>
              <w:pStyle w:val="17"/>
              <w:snapToGrid w:val="0"/>
              <w:spacing w:before="120" w:after="120" w:line="460" w:lineRule="exact"/>
              <w:ind w:firstLine="511" w:firstLineChars="213"/>
              <w:jc w:val="center"/>
              <w:rPr>
                <w:rFonts w:ascii="仿宋" w:hAnsi="仿宋" w:eastAsia="仿宋" w:cs="仿宋"/>
                <w:sz w:val="24"/>
                <w:szCs w:val="24"/>
              </w:rPr>
            </w:pPr>
            <w:r>
              <w:rPr>
                <w:rFonts w:hint="eastAsia" w:ascii="仿宋" w:hAnsi="仿宋" w:eastAsia="仿宋" w:cs="仿宋"/>
                <w:sz w:val="24"/>
                <w:szCs w:val="24"/>
              </w:rPr>
              <w:t>合            计</w:t>
            </w:r>
          </w:p>
        </w:tc>
        <w:tc>
          <w:tcPr>
            <w:tcW w:w="1080" w:type="dxa"/>
            <w:tcBorders>
              <w:top w:val="single" w:color="auto" w:sz="4" w:space="0"/>
              <w:left w:val="single" w:color="auto" w:sz="4" w:space="0"/>
              <w:bottom w:val="single" w:color="auto" w:sz="4" w:space="0"/>
              <w:right w:val="single" w:color="auto" w:sz="4" w:space="0"/>
            </w:tcBorders>
          </w:tcPr>
          <w:p>
            <w:pPr>
              <w:pStyle w:val="17"/>
              <w:snapToGrid w:val="0"/>
              <w:spacing w:before="120" w:after="120" w:line="460" w:lineRule="exact"/>
              <w:ind w:firstLine="511" w:firstLineChars="213"/>
              <w:jc w:val="center"/>
              <w:rPr>
                <w:rFonts w:ascii="仿宋" w:hAnsi="仿宋" w:eastAsia="仿宋" w:cs="仿宋"/>
                <w:sz w:val="24"/>
                <w:szCs w:val="24"/>
              </w:rPr>
            </w:pPr>
          </w:p>
        </w:tc>
        <w:tc>
          <w:tcPr>
            <w:tcW w:w="2472" w:type="dxa"/>
            <w:gridSpan w:val="2"/>
            <w:tcBorders>
              <w:top w:val="single" w:color="auto" w:sz="4" w:space="0"/>
              <w:left w:val="single" w:color="auto" w:sz="4" w:space="0"/>
              <w:bottom w:val="single" w:color="auto" w:sz="4" w:space="0"/>
              <w:right w:val="single" w:color="auto" w:sz="4" w:space="0"/>
            </w:tcBorders>
          </w:tcPr>
          <w:p>
            <w:pPr>
              <w:pStyle w:val="84"/>
              <w:spacing w:after="120" w:line="460" w:lineRule="exact"/>
              <w:ind w:firstLine="511" w:firstLineChars="213"/>
              <w:rPr>
                <w:rFonts w:ascii="仿宋" w:hAnsi="仿宋" w:eastAsia="仿宋" w:cs="仿宋"/>
                <w:color w:val="auto"/>
                <w:kern w:val="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jc w:val="center"/>
        </w:trPr>
        <w:tc>
          <w:tcPr>
            <w:tcW w:w="9132" w:type="dxa"/>
            <w:gridSpan w:val="5"/>
            <w:tcBorders>
              <w:top w:val="single" w:color="auto" w:sz="4" w:space="0"/>
              <w:left w:val="single" w:color="auto" w:sz="4" w:space="0"/>
              <w:bottom w:val="single" w:color="auto" w:sz="4" w:space="0"/>
              <w:right w:val="single" w:color="auto" w:sz="4" w:space="0"/>
            </w:tcBorders>
          </w:tcPr>
          <w:p>
            <w:pPr>
              <w:pStyle w:val="17"/>
              <w:snapToGrid w:val="0"/>
              <w:spacing w:before="120" w:after="120" w:line="460" w:lineRule="exact"/>
              <w:rPr>
                <w:rFonts w:ascii="仿宋" w:hAnsi="仿宋" w:eastAsia="仿宋" w:cs="仿宋"/>
                <w:sz w:val="24"/>
                <w:szCs w:val="24"/>
              </w:rPr>
            </w:pPr>
            <w:r>
              <w:rPr>
                <w:rFonts w:hint="eastAsia" w:ascii="仿宋" w:hAnsi="仿宋" w:eastAsia="仿宋" w:cs="仿宋"/>
                <w:sz w:val="24"/>
                <w:szCs w:val="24"/>
              </w:rPr>
              <w:t>合同总价大写：                                      小写：￥</w:t>
            </w:r>
          </w:p>
        </w:tc>
      </w:tr>
    </w:tbl>
    <w:p>
      <w:pPr>
        <w:widowControl/>
        <w:snapToGrid w:val="0"/>
        <w:spacing w:line="480" w:lineRule="exact"/>
        <w:ind w:firstLine="480" w:firstLineChars="200"/>
        <w:rPr>
          <w:rFonts w:ascii="仿宋" w:hAnsi="仿宋" w:eastAsia="仿宋" w:cs="仿宋"/>
          <w:kern w:val="0"/>
          <w:sz w:val="24"/>
        </w:rPr>
      </w:pPr>
      <w:r>
        <w:rPr>
          <w:rFonts w:hint="eastAsia" w:ascii="仿宋" w:hAnsi="仿宋" w:eastAsia="仿宋" w:cs="仿宋"/>
          <w:kern w:val="0"/>
          <w:sz w:val="24"/>
        </w:rPr>
        <w:t>注：1.项目具体技术需求详见采购文件、投标文件以及询标记录。</w:t>
      </w:r>
    </w:p>
    <w:p>
      <w:pPr>
        <w:widowControl/>
        <w:snapToGrid w:val="0"/>
        <w:spacing w:line="480" w:lineRule="exact"/>
        <w:ind w:firstLine="480" w:firstLineChars="200"/>
        <w:rPr>
          <w:rFonts w:ascii="仿宋" w:hAnsi="仿宋" w:eastAsia="仿宋" w:cs="仿宋"/>
          <w:kern w:val="0"/>
          <w:sz w:val="24"/>
        </w:rPr>
      </w:pPr>
      <w:r>
        <w:rPr>
          <w:rFonts w:hint="eastAsia" w:ascii="仿宋" w:hAnsi="仿宋" w:eastAsia="仿宋" w:cs="仿宋"/>
          <w:kern w:val="0"/>
          <w:sz w:val="24"/>
        </w:rPr>
        <w:t>　2.以上合同总价包含项目达到预期使用效果所需的一切费用。</w:t>
      </w:r>
    </w:p>
    <w:p>
      <w:pPr>
        <w:widowControl/>
        <w:snapToGrid w:val="0"/>
        <w:spacing w:line="480" w:lineRule="exact"/>
        <w:ind w:firstLine="482" w:firstLineChars="200"/>
        <w:rPr>
          <w:rFonts w:ascii="仿宋" w:hAnsi="仿宋" w:eastAsia="仿宋" w:cs="仿宋"/>
          <w:b/>
          <w:bCs/>
          <w:kern w:val="0"/>
          <w:sz w:val="24"/>
        </w:rPr>
      </w:pPr>
      <w:r>
        <w:rPr>
          <w:rFonts w:hint="eastAsia" w:ascii="仿宋" w:hAnsi="仿宋" w:eastAsia="仿宋" w:cs="仿宋"/>
          <w:b/>
          <w:bCs/>
          <w:kern w:val="0"/>
          <w:sz w:val="24"/>
        </w:rPr>
        <w:t>二、技术资料</w:t>
      </w:r>
    </w:p>
    <w:p>
      <w:pPr>
        <w:widowControl/>
        <w:snapToGrid w:val="0"/>
        <w:spacing w:line="480" w:lineRule="exact"/>
        <w:ind w:firstLine="480" w:firstLineChars="200"/>
        <w:rPr>
          <w:rFonts w:ascii="仿宋" w:hAnsi="仿宋" w:eastAsia="仿宋" w:cs="仿宋"/>
          <w:kern w:val="0"/>
          <w:sz w:val="24"/>
        </w:rPr>
      </w:pPr>
      <w:r>
        <w:rPr>
          <w:rFonts w:hint="eastAsia" w:ascii="仿宋" w:hAnsi="仿宋" w:eastAsia="仿宋" w:cs="仿宋"/>
          <w:kern w:val="0"/>
          <w:sz w:val="24"/>
        </w:rPr>
        <w:t>1.乙方应按采购文件规定的时间向甲方提供使用项目的有关技术资料。</w:t>
      </w:r>
    </w:p>
    <w:p>
      <w:pPr>
        <w:widowControl/>
        <w:snapToGrid w:val="0"/>
        <w:spacing w:line="480" w:lineRule="exact"/>
        <w:ind w:firstLine="480" w:firstLineChars="200"/>
        <w:rPr>
          <w:rFonts w:ascii="仿宋" w:hAnsi="仿宋" w:eastAsia="仿宋" w:cs="仿宋"/>
          <w:kern w:val="0"/>
          <w:sz w:val="24"/>
        </w:rPr>
      </w:pPr>
      <w:r>
        <w:rPr>
          <w:rFonts w:hint="eastAsia" w:ascii="仿宋" w:hAnsi="仿宋" w:eastAsia="仿宋" w:cs="仿宋"/>
          <w:kern w:val="0"/>
          <w:sz w:val="24"/>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widowControl/>
        <w:snapToGrid w:val="0"/>
        <w:spacing w:line="480" w:lineRule="exact"/>
        <w:ind w:firstLine="482" w:firstLineChars="200"/>
        <w:rPr>
          <w:rFonts w:ascii="仿宋" w:hAnsi="仿宋" w:eastAsia="仿宋" w:cs="仿宋"/>
          <w:b/>
          <w:bCs/>
          <w:kern w:val="0"/>
          <w:sz w:val="24"/>
        </w:rPr>
      </w:pPr>
      <w:r>
        <w:rPr>
          <w:rFonts w:hint="eastAsia" w:ascii="仿宋" w:hAnsi="仿宋" w:eastAsia="仿宋" w:cs="仿宋"/>
          <w:b/>
          <w:bCs/>
          <w:kern w:val="0"/>
          <w:sz w:val="24"/>
        </w:rPr>
        <w:t>三、知识产权</w:t>
      </w:r>
    </w:p>
    <w:p>
      <w:pPr>
        <w:widowControl/>
        <w:snapToGrid w:val="0"/>
        <w:spacing w:line="480" w:lineRule="exact"/>
        <w:ind w:firstLine="480" w:firstLineChars="200"/>
        <w:rPr>
          <w:rFonts w:ascii="仿宋" w:hAnsi="仿宋" w:eastAsia="仿宋" w:cs="仿宋"/>
          <w:kern w:val="0"/>
          <w:sz w:val="24"/>
        </w:rPr>
      </w:pPr>
      <w:r>
        <w:rPr>
          <w:rFonts w:hint="eastAsia" w:ascii="仿宋" w:hAnsi="仿宋" w:eastAsia="仿宋" w:cs="仿宋"/>
          <w:kern w:val="0"/>
          <w:sz w:val="24"/>
        </w:rPr>
        <w:t>乙方应保证所提供的货物或其任何一部分均不会侵犯任何第三方的知识产权。</w:t>
      </w:r>
    </w:p>
    <w:p>
      <w:pPr>
        <w:widowControl/>
        <w:snapToGrid w:val="0"/>
        <w:spacing w:line="480" w:lineRule="exact"/>
        <w:ind w:firstLine="482" w:firstLineChars="200"/>
        <w:rPr>
          <w:rFonts w:ascii="仿宋" w:hAnsi="仿宋" w:eastAsia="仿宋" w:cs="仿宋"/>
          <w:b/>
          <w:bCs/>
          <w:kern w:val="0"/>
          <w:sz w:val="24"/>
        </w:rPr>
      </w:pPr>
      <w:r>
        <w:rPr>
          <w:rFonts w:hint="eastAsia" w:ascii="仿宋" w:hAnsi="仿宋" w:eastAsia="仿宋" w:cs="仿宋"/>
          <w:b/>
          <w:bCs/>
          <w:kern w:val="0"/>
          <w:sz w:val="24"/>
        </w:rPr>
        <w:t>四、产权担保</w:t>
      </w:r>
    </w:p>
    <w:p>
      <w:pPr>
        <w:widowControl/>
        <w:snapToGrid w:val="0"/>
        <w:spacing w:line="480" w:lineRule="exact"/>
        <w:ind w:firstLine="480" w:firstLineChars="200"/>
        <w:rPr>
          <w:rFonts w:ascii="仿宋" w:hAnsi="仿宋" w:eastAsia="仿宋" w:cs="仿宋"/>
          <w:kern w:val="0"/>
          <w:sz w:val="24"/>
        </w:rPr>
      </w:pPr>
      <w:r>
        <w:rPr>
          <w:rFonts w:hint="eastAsia" w:ascii="仿宋" w:hAnsi="仿宋" w:eastAsia="仿宋" w:cs="仿宋"/>
          <w:kern w:val="0"/>
          <w:sz w:val="24"/>
        </w:rPr>
        <w:t>乙方保证所交付的货物的所有权完全属于乙方且无任何抵押、查封等产权瑕疵。</w:t>
      </w:r>
    </w:p>
    <w:p>
      <w:pPr>
        <w:widowControl/>
        <w:snapToGrid w:val="0"/>
        <w:spacing w:line="480" w:lineRule="exact"/>
        <w:ind w:firstLine="482" w:firstLineChars="200"/>
        <w:rPr>
          <w:rFonts w:ascii="仿宋" w:hAnsi="仿宋" w:eastAsia="仿宋" w:cs="仿宋"/>
          <w:b/>
          <w:bCs/>
          <w:kern w:val="0"/>
          <w:sz w:val="24"/>
        </w:rPr>
      </w:pPr>
      <w:r>
        <w:rPr>
          <w:rFonts w:hint="eastAsia" w:ascii="仿宋" w:hAnsi="仿宋" w:eastAsia="仿宋" w:cs="仿宋"/>
          <w:b/>
          <w:bCs/>
          <w:kern w:val="0"/>
          <w:sz w:val="24"/>
        </w:rPr>
        <w:t>五、转包或分包</w:t>
      </w:r>
    </w:p>
    <w:p>
      <w:pPr>
        <w:widowControl/>
        <w:snapToGrid w:val="0"/>
        <w:spacing w:line="480" w:lineRule="exact"/>
        <w:ind w:firstLine="480" w:firstLineChars="200"/>
        <w:rPr>
          <w:rFonts w:ascii="仿宋" w:hAnsi="仿宋" w:eastAsia="仿宋" w:cs="仿宋"/>
          <w:kern w:val="0"/>
          <w:sz w:val="24"/>
        </w:rPr>
      </w:pPr>
      <w:r>
        <w:rPr>
          <w:rFonts w:hint="eastAsia" w:ascii="仿宋" w:hAnsi="仿宋" w:eastAsia="仿宋" w:cs="仿宋"/>
          <w:kern w:val="0"/>
          <w:sz w:val="24"/>
        </w:rPr>
        <w:t>不允许转包。</w:t>
      </w:r>
    </w:p>
    <w:p>
      <w:pPr>
        <w:widowControl/>
        <w:snapToGrid w:val="0"/>
        <w:spacing w:line="480" w:lineRule="exact"/>
        <w:ind w:firstLine="480" w:firstLineChars="200"/>
        <w:rPr>
          <w:rFonts w:ascii="仿宋" w:hAnsi="仿宋" w:eastAsia="仿宋" w:cs="仿宋"/>
          <w:kern w:val="0"/>
          <w:sz w:val="24"/>
        </w:rPr>
      </w:pPr>
      <w:r>
        <w:rPr>
          <w:rFonts w:hint="eastAsia" w:ascii="仿宋" w:hAnsi="仿宋" w:eastAsia="仿宋" w:cs="仿宋"/>
          <w:kern w:val="0"/>
          <w:sz w:val="24"/>
        </w:rPr>
        <w:t>允许分包部分。</w:t>
      </w:r>
    </w:p>
    <w:p>
      <w:pPr>
        <w:widowControl/>
        <w:snapToGrid w:val="0"/>
        <w:spacing w:line="480" w:lineRule="exact"/>
        <w:ind w:firstLine="480" w:firstLineChars="200"/>
        <w:rPr>
          <w:rFonts w:ascii="仿宋" w:hAnsi="仿宋" w:eastAsia="仿宋" w:cs="仿宋"/>
          <w:kern w:val="0"/>
          <w:sz w:val="24"/>
        </w:rPr>
      </w:pPr>
      <w:r>
        <w:rPr>
          <w:rFonts w:hint="eastAsia" w:ascii="仿宋" w:hAnsi="仿宋" w:eastAsia="仿宋" w:cs="仿宋"/>
          <w:kern w:val="0"/>
          <w:sz w:val="24"/>
        </w:rPr>
        <w:t>如乙方将项目转包或将不允许分包部分进行了分包，甲方有权解除合同，没收履约保证金并追究乙方的违约责任。</w:t>
      </w:r>
    </w:p>
    <w:p>
      <w:pPr>
        <w:widowControl/>
        <w:snapToGrid w:val="0"/>
        <w:spacing w:line="480" w:lineRule="exact"/>
        <w:ind w:firstLine="482" w:firstLineChars="200"/>
        <w:rPr>
          <w:rFonts w:ascii="仿宋" w:hAnsi="仿宋" w:eastAsia="仿宋" w:cs="仿宋"/>
          <w:b/>
          <w:bCs/>
          <w:kern w:val="0"/>
          <w:sz w:val="24"/>
        </w:rPr>
      </w:pPr>
      <w:r>
        <w:rPr>
          <w:rFonts w:hint="eastAsia" w:ascii="仿宋" w:hAnsi="仿宋" w:eastAsia="仿宋" w:cs="仿宋"/>
          <w:b/>
          <w:bCs/>
          <w:kern w:val="0"/>
          <w:sz w:val="24"/>
        </w:rPr>
        <w:t>六、质保期和履约保证金</w:t>
      </w:r>
    </w:p>
    <w:p>
      <w:pPr>
        <w:widowControl/>
        <w:snapToGrid w:val="0"/>
        <w:spacing w:line="480" w:lineRule="exact"/>
        <w:ind w:firstLine="480" w:firstLineChars="200"/>
        <w:rPr>
          <w:rFonts w:ascii="微软雅黑" w:hAnsi="微软雅黑" w:eastAsia="微软雅黑" w:cs="微软雅黑"/>
          <w:i w:val="0"/>
          <w:iCs w:val="0"/>
          <w:caps w:val="0"/>
          <w:color w:val="171A1D"/>
          <w:spacing w:val="0"/>
          <w:sz w:val="21"/>
          <w:szCs w:val="21"/>
          <w:shd w:val="clear" w:fill="FFFFFF"/>
        </w:rPr>
      </w:pPr>
      <w:r>
        <w:rPr>
          <w:rFonts w:hint="eastAsia" w:ascii="仿宋" w:hAnsi="仿宋" w:eastAsia="仿宋" w:cs="仿宋"/>
          <w:kern w:val="0"/>
          <w:sz w:val="24"/>
        </w:rPr>
        <w:t>1.质保期：本项目质保期两年，至验收合格之日起计算。在质保期内，甲方有故障申报，乙方提供24小时全天候服务支持，30分钟内响应，2小时内到达现场，12小时内解决故障。如遇重大故障，48小时内不能解决的，乙方准备替代装载机机，确保甲方生产的正常开展，由此产生的费用由乙方承担。</w:t>
      </w:r>
    </w:p>
    <w:p>
      <w:pPr>
        <w:widowControl/>
        <w:snapToGrid w:val="0"/>
        <w:spacing w:line="480" w:lineRule="exact"/>
        <w:ind w:firstLine="480" w:firstLineChars="200"/>
        <w:rPr>
          <w:rFonts w:ascii="仿宋" w:hAnsi="仿宋" w:eastAsia="仿宋" w:cs="仿宋"/>
          <w:kern w:val="0"/>
          <w:sz w:val="24"/>
        </w:rPr>
      </w:pPr>
      <w:r>
        <w:rPr>
          <w:rFonts w:hint="eastAsia" w:ascii="仿宋" w:hAnsi="仿宋" w:eastAsia="仿宋" w:cs="仿宋"/>
          <w:kern w:val="0"/>
          <w:sz w:val="24"/>
        </w:rPr>
        <w:t>2.履约保证金   元。[履约保证金交至采购人处，在合同约定交货验收合格无息退还]</w:t>
      </w:r>
    </w:p>
    <w:p>
      <w:pPr>
        <w:widowControl/>
        <w:snapToGrid w:val="0"/>
        <w:spacing w:line="480" w:lineRule="exact"/>
        <w:ind w:firstLine="482" w:firstLineChars="200"/>
        <w:rPr>
          <w:rFonts w:ascii="仿宋" w:hAnsi="仿宋" w:eastAsia="仿宋" w:cs="仿宋"/>
          <w:b/>
          <w:bCs/>
          <w:kern w:val="0"/>
          <w:sz w:val="24"/>
        </w:rPr>
      </w:pPr>
      <w:r>
        <w:rPr>
          <w:rFonts w:hint="eastAsia" w:ascii="仿宋" w:hAnsi="仿宋" w:eastAsia="仿宋" w:cs="仿宋"/>
          <w:b/>
          <w:bCs/>
          <w:kern w:val="0"/>
          <w:sz w:val="24"/>
        </w:rPr>
        <w:t>七、项目工期及实施地点</w:t>
      </w:r>
    </w:p>
    <w:p>
      <w:pPr>
        <w:widowControl/>
        <w:snapToGrid w:val="0"/>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1.交货期：详见招标文件</w:t>
      </w:r>
      <w:r>
        <w:rPr>
          <w:rFonts w:hint="eastAsia" w:ascii="仿宋" w:hAnsi="仿宋" w:eastAsia="仿宋" w:cs="仿宋"/>
          <w:sz w:val="24"/>
          <w:lang w:val="zh-CN"/>
        </w:rPr>
        <w:t xml:space="preserve"> </w:t>
      </w:r>
      <w:r>
        <w:rPr>
          <w:rFonts w:hint="eastAsia" w:ascii="仿宋" w:hAnsi="仿宋" w:eastAsia="仿宋" w:cs="仿宋"/>
          <w:kern w:val="0"/>
          <w:sz w:val="24"/>
        </w:rPr>
        <w:t xml:space="preserve"> </w:t>
      </w:r>
    </w:p>
    <w:p>
      <w:pPr>
        <w:widowControl/>
        <w:snapToGrid w:val="0"/>
        <w:spacing w:line="480" w:lineRule="exact"/>
        <w:ind w:firstLine="480" w:firstLineChars="200"/>
        <w:rPr>
          <w:rFonts w:ascii="仿宋" w:hAnsi="仿宋" w:eastAsia="仿宋" w:cs="仿宋"/>
          <w:kern w:val="0"/>
          <w:sz w:val="24"/>
        </w:rPr>
      </w:pPr>
      <w:r>
        <w:rPr>
          <w:rFonts w:hint="eastAsia" w:ascii="仿宋" w:hAnsi="仿宋" w:eastAsia="仿宋" w:cs="仿宋"/>
          <w:kern w:val="0"/>
          <w:sz w:val="24"/>
        </w:rPr>
        <w:t>2.实施地点：</w:t>
      </w:r>
    </w:p>
    <w:p>
      <w:pPr>
        <w:widowControl/>
        <w:snapToGrid w:val="0"/>
        <w:spacing w:line="480" w:lineRule="exact"/>
        <w:ind w:firstLine="482" w:firstLineChars="200"/>
        <w:rPr>
          <w:rFonts w:ascii="仿宋" w:hAnsi="仿宋" w:eastAsia="仿宋" w:cs="仿宋"/>
          <w:b/>
          <w:bCs/>
          <w:kern w:val="0"/>
          <w:sz w:val="24"/>
        </w:rPr>
      </w:pPr>
      <w:r>
        <w:rPr>
          <w:rFonts w:hint="eastAsia" w:ascii="仿宋" w:hAnsi="仿宋" w:eastAsia="仿宋" w:cs="仿宋"/>
          <w:b/>
          <w:bCs/>
          <w:kern w:val="0"/>
          <w:sz w:val="24"/>
        </w:rPr>
        <w:t>八、货款支付</w:t>
      </w:r>
    </w:p>
    <w:p>
      <w:pPr>
        <w:widowControl/>
        <w:snapToGrid w:val="0"/>
        <w:spacing w:line="480" w:lineRule="exact"/>
        <w:ind w:firstLine="480" w:firstLineChars="200"/>
        <w:rPr>
          <w:rFonts w:hint="eastAsia" w:ascii="仿宋" w:hAnsi="仿宋" w:eastAsia="仿宋" w:cs="仿宋"/>
          <w:kern w:val="0"/>
          <w:sz w:val="24"/>
        </w:rPr>
      </w:pPr>
      <w:r>
        <w:rPr>
          <w:rFonts w:hint="eastAsia" w:ascii="仿宋" w:hAnsi="仿宋" w:eastAsia="仿宋" w:cs="仿宋"/>
          <w:kern w:val="0"/>
          <w:sz w:val="24"/>
        </w:rPr>
        <w:t xml:space="preserve"> 付款方式：合同签订且具备实施条件后 15 日内支付合同价款的30%，装载机完成交付且验收合格后 30日内支付合同价款的60%,无质量问题验收合格之日起满一年后 30 日内支付合同价款 5%，剩余5%质保期满无质量问题进行支付。</w:t>
      </w:r>
    </w:p>
    <w:p>
      <w:pPr>
        <w:widowControl/>
        <w:snapToGrid w:val="0"/>
        <w:spacing w:line="480" w:lineRule="exact"/>
        <w:ind w:firstLine="482" w:firstLineChars="200"/>
        <w:rPr>
          <w:rFonts w:ascii="仿宋" w:hAnsi="仿宋" w:eastAsia="仿宋" w:cs="仿宋"/>
          <w:b/>
          <w:bCs/>
          <w:kern w:val="0"/>
          <w:sz w:val="24"/>
        </w:rPr>
      </w:pPr>
      <w:r>
        <w:rPr>
          <w:rFonts w:hint="eastAsia" w:ascii="仿宋" w:hAnsi="仿宋" w:eastAsia="仿宋" w:cs="仿宋"/>
          <w:b/>
          <w:bCs/>
          <w:kern w:val="0"/>
          <w:sz w:val="24"/>
        </w:rPr>
        <w:t>九、税费</w:t>
      </w:r>
    </w:p>
    <w:p>
      <w:pPr>
        <w:widowControl/>
        <w:snapToGrid w:val="0"/>
        <w:spacing w:line="480" w:lineRule="exact"/>
        <w:ind w:firstLine="480" w:firstLineChars="200"/>
        <w:rPr>
          <w:rFonts w:ascii="仿宋" w:hAnsi="仿宋" w:eastAsia="仿宋" w:cs="仿宋"/>
          <w:kern w:val="0"/>
          <w:sz w:val="24"/>
        </w:rPr>
      </w:pPr>
      <w:r>
        <w:rPr>
          <w:rFonts w:hint="eastAsia" w:ascii="仿宋" w:hAnsi="仿宋" w:eastAsia="仿宋" w:cs="仿宋"/>
          <w:kern w:val="0"/>
          <w:sz w:val="24"/>
        </w:rPr>
        <w:t>本合同执行中相关的一切税费均由乙方负担。</w:t>
      </w:r>
    </w:p>
    <w:p>
      <w:pPr>
        <w:widowControl/>
        <w:snapToGrid w:val="0"/>
        <w:spacing w:line="480" w:lineRule="exact"/>
        <w:ind w:firstLine="482" w:firstLineChars="200"/>
        <w:rPr>
          <w:rFonts w:ascii="仿宋" w:hAnsi="仿宋" w:eastAsia="仿宋" w:cs="仿宋"/>
          <w:b/>
          <w:bCs/>
          <w:kern w:val="0"/>
          <w:sz w:val="24"/>
        </w:rPr>
      </w:pPr>
      <w:r>
        <w:rPr>
          <w:rFonts w:hint="eastAsia" w:ascii="仿宋" w:hAnsi="仿宋" w:eastAsia="仿宋" w:cs="仿宋"/>
          <w:b/>
          <w:bCs/>
          <w:kern w:val="0"/>
          <w:sz w:val="24"/>
        </w:rPr>
        <w:t>十、质量保证及售后服务</w:t>
      </w:r>
    </w:p>
    <w:p>
      <w:pPr>
        <w:widowControl/>
        <w:snapToGrid w:val="0"/>
        <w:spacing w:line="480" w:lineRule="exact"/>
        <w:ind w:firstLine="480" w:firstLineChars="200"/>
        <w:rPr>
          <w:rFonts w:ascii="仿宋" w:hAnsi="仿宋" w:eastAsia="仿宋" w:cs="仿宋"/>
          <w:kern w:val="0"/>
          <w:sz w:val="24"/>
        </w:rPr>
      </w:pPr>
      <w:r>
        <w:rPr>
          <w:rFonts w:hint="eastAsia" w:ascii="仿宋" w:hAnsi="仿宋" w:eastAsia="仿宋" w:cs="仿宋"/>
          <w:kern w:val="0"/>
          <w:sz w:val="24"/>
        </w:rPr>
        <w:t>详见采购文件（签订时需细化）。</w:t>
      </w:r>
    </w:p>
    <w:p>
      <w:pPr>
        <w:widowControl/>
        <w:snapToGrid w:val="0"/>
        <w:spacing w:line="480" w:lineRule="exact"/>
        <w:ind w:firstLine="482" w:firstLineChars="200"/>
        <w:rPr>
          <w:rFonts w:ascii="仿宋" w:hAnsi="仿宋" w:eastAsia="仿宋" w:cs="仿宋"/>
          <w:b/>
          <w:bCs/>
          <w:kern w:val="0"/>
          <w:sz w:val="24"/>
        </w:rPr>
      </w:pPr>
      <w:r>
        <w:rPr>
          <w:rFonts w:hint="eastAsia" w:ascii="仿宋" w:hAnsi="仿宋" w:eastAsia="仿宋" w:cs="仿宋"/>
          <w:b/>
          <w:bCs/>
          <w:kern w:val="0"/>
          <w:sz w:val="24"/>
        </w:rPr>
        <w:t>十一、调试和验收</w:t>
      </w:r>
    </w:p>
    <w:p>
      <w:pPr>
        <w:widowControl/>
        <w:snapToGrid w:val="0"/>
        <w:spacing w:line="480" w:lineRule="exact"/>
        <w:ind w:firstLine="480" w:firstLineChars="200"/>
        <w:rPr>
          <w:rFonts w:ascii="仿宋" w:hAnsi="仿宋" w:eastAsia="仿宋" w:cs="仿宋"/>
          <w:kern w:val="0"/>
          <w:sz w:val="24"/>
        </w:rPr>
      </w:pPr>
      <w:r>
        <w:rPr>
          <w:rFonts w:hint="eastAsia" w:ascii="仿宋" w:hAnsi="仿宋" w:eastAsia="仿宋" w:cs="仿宋"/>
          <w:kern w:val="0"/>
          <w:sz w:val="24"/>
        </w:rPr>
        <w:t>详见采购文件（签订时需细化）。</w:t>
      </w:r>
    </w:p>
    <w:p>
      <w:pPr>
        <w:widowControl/>
        <w:snapToGrid w:val="0"/>
        <w:spacing w:line="480" w:lineRule="exact"/>
        <w:ind w:firstLine="482" w:firstLineChars="200"/>
        <w:rPr>
          <w:rFonts w:ascii="仿宋" w:hAnsi="仿宋" w:eastAsia="仿宋" w:cs="仿宋"/>
          <w:b/>
          <w:bCs/>
          <w:kern w:val="0"/>
          <w:sz w:val="24"/>
        </w:rPr>
      </w:pPr>
      <w:r>
        <w:rPr>
          <w:rFonts w:hint="eastAsia" w:ascii="仿宋" w:hAnsi="仿宋" w:eastAsia="仿宋" w:cs="仿宋"/>
          <w:b/>
          <w:bCs/>
          <w:kern w:val="0"/>
          <w:sz w:val="24"/>
        </w:rPr>
        <w:t>十二、货物包装</w:t>
      </w:r>
    </w:p>
    <w:p>
      <w:pPr>
        <w:widowControl/>
        <w:snapToGrid w:val="0"/>
        <w:spacing w:line="480" w:lineRule="exact"/>
        <w:ind w:firstLine="480" w:firstLineChars="200"/>
        <w:rPr>
          <w:rFonts w:ascii="仿宋" w:hAnsi="仿宋" w:eastAsia="仿宋" w:cs="仿宋"/>
          <w:kern w:val="0"/>
          <w:sz w:val="24"/>
        </w:rPr>
      </w:pPr>
      <w:r>
        <w:rPr>
          <w:rFonts w:hint="eastAsia" w:ascii="仿宋" w:hAnsi="仿宋" w:eastAsia="仿宋" w:cs="仿宋"/>
          <w:kern w:val="0"/>
          <w:sz w:val="24"/>
        </w:rPr>
        <w:t>详见采购文件（签订时需细化）。</w:t>
      </w:r>
    </w:p>
    <w:p>
      <w:pPr>
        <w:widowControl/>
        <w:numPr>
          <w:ilvl w:val="0"/>
          <w:numId w:val="7"/>
        </w:numPr>
        <w:snapToGrid w:val="0"/>
        <w:spacing w:line="480" w:lineRule="exact"/>
        <w:ind w:firstLine="482" w:firstLineChars="200"/>
        <w:rPr>
          <w:rFonts w:ascii="仿宋" w:hAnsi="仿宋" w:eastAsia="仿宋" w:cs="仿宋"/>
          <w:b/>
          <w:bCs/>
          <w:kern w:val="0"/>
          <w:sz w:val="24"/>
        </w:rPr>
      </w:pPr>
      <w:r>
        <w:rPr>
          <w:rFonts w:hint="eastAsia" w:ascii="仿宋" w:hAnsi="仿宋" w:eastAsia="仿宋" w:cs="仿宋"/>
          <w:b/>
          <w:bCs/>
          <w:kern w:val="0"/>
          <w:sz w:val="24"/>
        </w:rPr>
        <w:t>违约责任</w:t>
      </w:r>
    </w:p>
    <w:p>
      <w:pPr>
        <w:widowControl/>
        <w:snapToGrid w:val="0"/>
        <w:spacing w:line="480" w:lineRule="exact"/>
        <w:ind w:firstLine="480" w:firstLineChars="200"/>
        <w:rPr>
          <w:rFonts w:ascii="仿宋" w:hAnsi="仿宋" w:eastAsia="仿宋" w:cs="仿宋"/>
          <w:kern w:val="0"/>
          <w:sz w:val="24"/>
        </w:rPr>
      </w:pPr>
      <w:r>
        <w:rPr>
          <w:rFonts w:hint="eastAsia" w:ascii="仿宋" w:hAnsi="仿宋" w:eastAsia="仿宋" w:cs="仿宋"/>
          <w:kern w:val="0"/>
          <w:sz w:val="24"/>
        </w:rPr>
        <w:t>详见采购文件（签订时需细化）。</w:t>
      </w:r>
    </w:p>
    <w:p>
      <w:pPr>
        <w:widowControl/>
        <w:snapToGrid w:val="0"/>
        <w:spacing w:line="360" w:lineRule="auto"/>
        <w:ind w:firstLine="482" w:firstLineChars="200"/>
        <w:rPr>
          <w:rFonts w:ascii="仿宋" w:hAnsi="仿宋" w:eastAsia="仿宋" w:cs="仿宋"/>
          <w:b/>
          <w:bCs/>
          <w:kern w:val="0"/>
          <w:sz w:val="24"/>
        </w:rPr>
      </w:pPr>
      <w:r>
        <w:rPr>
          <w:rFonts w:hint="eastAsia" w:ascii="仿宋" w:hAnsi="仿宋" w:eastAsia="仿宋" w:cs="仿宋"/>
          <w:b/>
          <w:bCs/>
          <w:kern w:val="0"/>
          <w:sz w:val="24"/>
        </w:rPr>
        <w:t>十四、不可抗力事件处理</w:t>
      </w:r>
    </w:p>
    <w:p>
      <w:pPr>
        <w:widowControl/>
        <w:snapToGrid w:val="0"/>
        <w:spacing w:line="480" w:lineRule="exact"/>
        <w:ind w:firstLine="480" w:firstLineChars="200"/>
        <w:rPr>
          <w:rFonts w:ascii="仿宋" w:hAnsi="仿宋" w:eastAsia="仿宋" w:cs="仿宋"/>
          <w:kern w:val="0"/>
          <w:sz w:val="24"/>
        </w:rPr>
      </w:pPr>
      <w:r>
        <w:rPr>
          <w:rFonts w:hint="eastAsia" w:ascii="仿宋" w:hAnsi="仿宋" w:eastAsia="仿宋" w:cs="仿宋"/>
          <w:kern w:val="0"/>
          <w:sz w:val="24"/>
        </w:rPr>
        <w:t>1.在合同有效期内，任何一方因不可抗力事件导致不能履行合同，则合同履行期可延长，其延长期与不可抗力影响期相同。</w:t>
      </w:r>
    </w:p>
    <w:p>
      <w:pPr>
        <w:widowControl/>
        <w:snapToGrid w:val="0"/>
        <w:spacing w:line="480" w:lineRule="exact"/>
        <w:ind w:firstLine="480" w:firstLineChars="200"/>
        <w:rPr>
          <w:rFonts w:ascii="仿宋" w:hAnsi="仿宋" w:eastAsia="仿宋" w:cs="仿宋"/>
          <w:kern w:val="0"/>
          <w:sz w:val="24"/>
        </w:rPr>
      </w:pPr>
      <w:r>
        <w:rPr>
          <w:rFonts w:hint="eastAsia" w:ascii="仿宋" w:hAnsi="仿宋" w:eastAsia="仿宋" w:cs="仿宋"/>
          <w:kern w:val="0"/>
          <w:sz w:val="24"/>
        </w:rPr>
        <w:t>2.不可抗力事件发生后，应立即通知对方，并寄送有关权威机构出具的证明。</w:t>
      </w:r>
    </w:p>
    <w:p>
      <w:pPr>
        <w:widowControl/>
        <w:snapToGrid w:val="0"/>
        <w:spacing w:line="480" w:lineRule="exact"/>
        <w:ind w:firstLine="480" w:firstLineChars="200"/>
        <w:rPr>
          <w:rFonts w:ascii="仿宋" w:hAnsi="仿宋" w:eastAsia="仿宋" w:cs="仿宋"/>
          <w:kern w:val="0"/>
          <w:sz w:val="24"/>
        </w:rPr>
      </w:pPr>
      <w:r>
        <w:rPr>
          <w:rFonts w:hint="eastAsia" w:ascii="仿宋" w:hAnsi="仿宋" w:eastAsia="仿宋" w:cs="仿宋"/>
          <w:kern w:val="0"/>
          <w:sz w:val="24"/>
        </w:rPr>
        <w:t>3.不可抗力事件延续120天以上，双方应通过友好协商，确定是否继续履行合同。</w:t>
      </w:r>
    </w:p>
    <w:p>
      <w:pPr>
        <w:widowControl/>
        <w:snapToGrid w:val="0"/>
        <w:spacing w:line="480" w:lineRule="exact"/>
        <w:ind w:firstLine="482" w:firstLineChars="200"/>
        <w:rPr>
          <w:rFonts w:ascii="仿宋" w:hAnsi="仿宋" w:eastAsia="仿宋" w:cs="仿宋"/>
          <w:b/>
          <w:bCs/>
          <w:kern w:val="0"/>
          <w:sz w:val="24"/>
        </w:rPr>
      </w:pPr>
      <w:r>
        <w:rPr>
          <w:rFonts w:hint="eastAsia" w:ascii="仿宋" w:hAnsi="仿宋" w:eastAsia="仿宋" w:cs="仿宋"/>
          <w:b/>
          <w:bCs/>
          <w:kern w:val="0"/>
          <w:sz w:val="24"/>
        </w:rPr>
        <w:t>十五、诉讼</w:t>
      </w:r>
    </w:p>
    <w:p>
      <w:pPr>
        <w:widowControl/>
        <w:snapToGrid w:val="0"/>
        <w:spacing w:line="480" w:lineRule="exact"/>
        <w:ind w:firstLine="480" w:firstLineChars="200"/>
        <w:rPr>
          <w:rFonts w:ascii="仿宋" w:hAnsi="仿宋" w:eastAsia="仿宋" w:cs="仿宋"/>
          <w:kern w:val="0"/>
          <w:sz w:val="24"/>
        </w:rPr>
      </w:pPr>
      <w:r>
        <w:rPr>
          <w:rFonts w:hint="eastAsia" w:ascii="仿宋" w:hAnsi="仿宋" w:eastAsia="仿宋" w:cs="仿宋"/>
          <w:kern w:val="0"/>
          <w:sz w:val="24"/>
        </w:rPr>
        <w:t>双方在执行合同中所发生的一切争议，应通过协商解决。如协商不成，可向甲方所在地法院起诉。</w:t>
      </w:r>
    </w:p>
    <w:p>
      <w:pPr>
        <w:widowControl/>
        <w:snapToGrid w:val="0"/>
        <w:spacing w:line="480" w:lineRule="exact"/>
        <w:ind w:firstLine="482" w:firstLineChars="200"/>
        <w:rPr>
          <w:rFonts w:ascii="仿宋" w:hAnsi="仿宋" w:eastAsia="仿宋" w:cs="仿宋"/>
          <w:b/>
          <w:bCs/>
          <w:kern w:val="0"/>
          <w:sz w:val="24"/>
        </w:rPr>
      </w:pPr>
      <w:r>
        <w:rPr>
          <w:rFonts w:hint="eastAsia" w:ascii="仿宋" w:hAnsi="仿宋" w:eastAsia="仿宋" w:cs="仿宋"/>
          <w:b/>
          <w:bCs/>
          <w:kern w:val="0"/>
          <w:sz w:val="24"/>
        </w:rPr>
        <w:t>十六、合同生效及其他</w:t>
      </w:r>
    </w:p>
    <w:p>
      <w:pPr>
        <w:widowControl/>
        <w:snapToGrid w:val="0"/>
        <w:spacing w:line="480" w:lineRule="exact"/>
        <w:ind w:firstLine="480" w:firstLineChars="200"/>
        <w:rPr>
          <w:rFonts w:ascii="仿宋" w:hAnsi="仿宋" w:eastAsia="仿宋" w:cs="仿宋"/>
          <w:kern w:val="0"/>
          <w:sz w:val="24"/>
        </w:rPr>
      </w:pPr>
      <w:r>
        <w:rPr>
          <w:rFonts w:hint="eastAsia" w:ascii="仿宋" w:hAnsi="仿宋" w:eastAsia="仿宋" w:cs="仿宋"/>
          <w:kern w:val="0"/>
          <w:sz w:val="24"/>
        </w:rPr>
        <w:t>1.合同经甲、乙双方签名并加盖单位公章后生效。</w:t>
      </w:r>
    </w:p>
    <w:p>
      <w:pPr>
        <w:widowControl/>
        <w:snapToGrid w:val="0"/>
        <w:spacing w:line="480" w:lineRule="exact"/>
        <w:ind w:firstLine="480" w:firstLineChars="200"/>
        <w:rPr>
          <w:rFonts w:ascii="仿宋" w:hAnsi="仿宋" w:eastAsia="仿宋" w:cs="仿宋"/>
          <w:kern w:val="0"/>
          <w:sz w:val="24"/>
        </w:rPr>
      </w:pPr>
      <w:r>
        <w:rPr>
          <w:rFonts w:hint="eastAsia" w:ascii="仿宋" w:hAnsi="仿宋" w:eastAsia="仿宋" w:cs="仿宋"/>
          <w:kern w:val="0"/>
          <w:sz w:val="24"/>
        </w:rPr>
        <w:t>2.采购文件、投标文件与本合同具有同等法律效力。</w:t>
      </w:r>
    </w:p>
    <w:p>
      <w:pPr>
        <w:widowControl/>
        <w:snapToGrid w:val="0"/>
        <w:spacing w:line="480" w:lineRule="exact"/>
        <w:ind w:firstLine="480" w:firstLineChars="200"/>
        <w:rPr>
          <w:rFonts w:ascii="仿宋" w:hAnsi="仿宋" w:eastAsia="仿宋" w:cs="仿宋"/>
          <w:kern w:val="0"/>
          <w:sz w:val="24"/>
        </w:rPr>
      </w:pPr>
      <w:r>
        <w:rPr>
          <w:rFonts w:hint="eastAsia" w:ascii="仿宋" w:hAnsi="仿宋" w:eastAsia="仿宋" w:cs="仿宋"/>
          <w:kern w:val="0"/>
          <w:sz w:val="24"/>
        </w:rPr>
        <w:t>3.本合同未尽事宜，遵照《民法典》有关条文执行。</w:t>
      </w:r>
    </w:p>
    <w:p>
      <w:pPr>
        <w:widowControl/>
        <w:snapToGrid w:val="0"/>
        <w:spacing w:line="480" w:lineRule="exact"/>
        <w:ind w:firstLine="480" w:firstLineChars="200"/>
        <w:rPr>
          <w:rFonts w:ascii="仿宋" w:hAnsi="仿宋" w:eastAsia="仿宋" w:cs="仿宋"/>
          <w:kern w:val="0"/>
          <w:sz w:val="24"/>
        </w:rPr>
      </w:pPr>
      <w:r>
        <w:rPr>
          <w:rFonts w:hint="eastAsia" w:ascii="仿宋" w:hAnsi="仿宋" w:eastAsia="仿宋" w:cs="仿宋"/>
          <w:kern w:val="0"/>
          <w:sz w:val="24"/>
        </w:rPr>
        <w:t>4.本合同一式五份，具有同等法律效力，甲、乙双方各执二份，采购代理机构一份。</w:t>
      </w:r>
    </w:p>
    <w:p>
      <w:pPr>
        <w:widowControl/>
        <w:snapToGrid w:val="0"/>
        <w:spacing w:line="480" w:lineRule="exact"/>
        <w:ind w:firstLine="480" w:firstLineChars="200"/>
        <w:rPr>
          <w:rFonts w:ascii="仿宋" w:hAnsi="仿宋" w:eastAsia="仿宋" w:cs="仿宋"/>
          <w:kern w:val="0"/>
          <w:sz w:val="24"/>
        </w:rPr>
      </w:pPr>
    </w:p>
    <w:p>
      <w:pPr>
        <w:widowControl/>
        <w:snapToGrid w:val="0"/>
        <w:spacing w:line="480" w:lineRule="exact"/>
        <w:rPr>
          <w:rFonts w:ascii="仿宋" w:hAnsi="仿宋" w:eastAsia="仿宋" w:cs="仿宋"/>
          <w:kern w:val="0"/>
          <w:sz w:val="24"/>
        </w:rPr>
      </w:pPr>
    </w:p>
    <w:p>
      <w:pPr>
        <w:rPr>
          <w:rFonts w:ascii="仿宋" w:hAnsi="仿宋" w:eastAsia="仿宋" w:cs="仿宋"/>
        </w:rPr>
      </w:pPr>
    </w:p>
    <w:p>
      <w:pPr>
        <w:widowControl/>
        <w:snapToGrid w:val="0"/>
        <w:spacing w:line="480" w:lineRule="exact"/>
        <w:ind w:firstLine="480" w:firstLineChars="200"/>
        <w:rPr>
          <w:rFonts w:ascii="仿宋" w:hAnsi="仿宋" w:eastAsia="仿宋" w:cs="仿宋"/>
          <w:kern w:val="0"/>
          <w:sz w:val="24"/>
        </w:rPr>
      </w:pPr>
      <w:r>
        <w:rPr>
          <w:rFonts w:hint="eastAsia" w:ascii="仿宋" w:hAnsi="仿宋" w:eastAsia="仿宋" w:cs="仿宋"/>
          <w:kern w:val="0"/>
          <w:sz w:val="24"/>
        </w:rPr>
        <w:t xml:space="preserve">甲方（盖章）：                                   </w:t>
      </w:r>
    </w:p>
    <w:p>
      <w:pPr>
        <w:widowControl/>
        <w:snapToGrid w:val="0"/>
        <w:spacing w:line="480" w:lineRule="exact"/>
        <w:ind w:firstLine="480" w:firstLineChars="200"/>
        <w:rPr>
          <w:rFonts w:ascii="仿宋" w:hAnsi="仿宋" w:eastAsia="仿宋" w:cs="仿宋"/>
          <w:kern w:val="0"/>
          <w:sz w:val="24"/>
        </w:rPr>
      </w:pPr>
      <w:r>
        <w:rPr>
          <w:rFonts w:hint="eastAsia" w:ascii="仿宋" w:hAnsi="仿宋" w:eastAsia="仿宋" w:cs="仿宋"/>
          <w:kern w:val="0"/>
          <w:sz w:val="24"/>
        </w:rPr>
        <w:t xml:space="preserve">地址：                                   </w:t>
      </w:r>
    </w:p>
    <w:p>
      <w:pPr>
        <w:widowControl/>
        <w:snapToGrid w:val="0"/>
        <w:spacing w:line="480" w:lineRule="exact"/>
        <w:ind w:firstLine="480" w:firstLineChars="200"/>
        <w:rPr>
          <w:rFonts w:ascii="仿宋" w:hAnsi="仿宋" w:eastAsia="仿宋" w:cs="仿宋"/>
          <w:kern w:val="0"/>
          <w:sz w:val="24"/>
        </w:rPr>
      </w:pPr>
      <w:r>
        <w:rPr>
          <w:rFonts w:hint="eastAsia" w:ascii="仿宋" w:hAnsi="仿宋" w:eastAsia="仿宋" w:cs="仿宋"/>
          <w:kern w:val="0"/>
          <w:sz w:val="24"/>
        </w:rPr>
        <w:t xml:space="preserve">法定（授权）代表人：                   </w:t>
      </w:r>
    </w:p>
    <w:p>
      <w:pPr>
        <w:widowControl/>
        <w:snapToGrid w:val="0"/>
        <w:spacing w:line="480" w:lineRule="exact"/>
        <w:ind w:firstLine="480" w:firstLineChars="200"/>
        <w:rPr>
          <w:rFonts w:ascii="仿宋" w:hAnsi="仿宋" w:eastAsia="仿宋" w:cs="仿宋"/>
          <w:kern w:val="0"/>
          <w:sz w:val="24"/>
        </w:rPr>
      </w:pPr>
      <w:r>
        <w:rPr>
          <w:rFonts w:hint="eastAsia" w:ascii="仿宋" w:hAnsi="仿宋" w:eastAsia="仿宋" w:cs="仿宋"/>
          <w:kern w:val="0"/>
          <w:sz w:val="24"/>
        </w:rPr>
        <w:t xml:space="preserve">签名日期：     年   月   日           </w:t>
      </w:r>
    </w:p>
    <w:p>
      <w:pPr>
        <w:widowControl/>
        <w:snapToGrid w:val="0"/>
        <w:spacing w:line="480" w:lineRule="exact"/>
        <w:ind w:firstLine="480" w:firstLineChars="200"/>
        <w:rPr>
          <w:rFonts w:ascii="仿宋" w:hAnsi="仿宋" w:eastAsia="仿宋" w:cs="仿宋"/>
          <w:kern w:val="0"/>
          <w:sz w:val="24"/>
        </w:rPr>
      </w:pPr>
    </w:p>
    <w:p>
      <w:pPr>
        <w:widowControl/>
        <w:snapToGrid w:val="0"/>
        <w:spacing w:line="480" w:lineRule="exact"/>
        <w:ind w:firstLine="480" w:firstLineChars="200"/>
        <w:rPr>
          <w:rFonts w:ascii="仿宋" w:hAnsi="仿宋" w:eastAsia="仿宋" w:cs="仿宋"/>
          <w:kern w:val="0"/>
          <w:sz w:val="24"/>
        </w:rPr>
      </w:pPr>
      <w:r>
        <w:rPr>
          <w:rFonts w:hint="eastAsia" w:ascii="仿宋" w:hAnsi="仿宋" w:eastAsia="仿宋" w:cs="仿宋"/>
          <w:kern w:val="0"/>
          <w:sz w:val="24"/>
        </w:rPr>
        <w:t>乙方（盖章）：</w:t>
      </w:r>
    </w:p>
    <w:p>
      <w:pPr>
        <w:widowControl/>
        <w:snapToGrid w:val="0"/>
        <w:spacing w:line="480" w:lineRule="exact"/>
        <w:ind w:firstLine="480" w:firstLineChars="200"/>
        <w:rPr>
          <w:rFonts w:ascii="仿宋" w:hAnsi="仿宋" w:eastAsia="仿宋" w:cs="仿宋"/>
          <w:kern w:val="0"/>
          <w:sz w:val="24"/>
        </w:rPr>
      </w:pPr>
      <w:r>
        <w:rPr>
          <w:rFonts w:hint="eastAsia" w:ascii="仿宋" w:hAnsi="仿宋" w:eastAsia="仿宋" w:cs="仿宋"/>
          <w:kern w:val="0"/>
          <w:sz w:val="24"/>
        </w:rPr>
        <w:t xml:space="preserve">地址： </w:t>
      </w:r>
    </w:p>
    <w:p>
      <w:pPr>
        <w:widowControl/>
        <w:snapToGrid w:val="0"/>
        <w:spacing w:line="480" w:lineRule="exact"/>
        <w:ind w:firstLine="480" w:firstLineChars="200"/>
        <w:rPr>
          <w:rFonts w:ascii="仿宋" w:hAnsi="仿宋" w:eastAsia="仿宋" w:cs="仿宋"/>
          <w:kern w:val="0"/>
          <w:sz w:val="24"/>
        </w:rPr>
      </w:pPr>
      <w:r>
        <w:rPr>
          <w:rFonts w:hint="eastAsia" w:ascii="仿宋" w:hAnsi="仿宋" w:eastAsia="仿宋" w:cs="仿宋"/>
          <w:kern w:val="0"/>
          <w:sz w:val="24"/>
        </w:rPr>
        <w:t>开户行：</w:t>
      </w:r>
    </w:p>
    <w:p>
      <w:pPr>
        <w:widowControl/>
        <w:snapToGrid w:val="0"/>
        <w:spacing w:line="480" w:lineRule="exact"/>
        <w:ind w:firstLine="480" w:firstLineChars="200"/>
        <w:rPr>
          <w:rFonts w:ascii="仿宋" w:hAnsi="仿宋" w:eastAsia="仿宋" w:cs="仿宋"/>
          <w:kern w:val="0"/>
          <w:sz w:val="24"/>
        </w:rPr>
      </w:pPr>
      <w:r>
        <w:rPr>
          <w:rFonts w:hint="eastAsia" w:ascii="仿宋" w:hAnsi="仿宋" w:eastAsia="仿宋" w:cs="仿宋"/>
          <w:kern w:val="0"/>
          <w:sz w:val="24"/>
        </w:rPr>
        <w:t>开户账号：</w:t>
      </w:r>
    </w:p>
    <w:p>
      <w:pPr>
        <w:widowControl/>
        <w:snapToGrid w:val="0"/>
        <w:spacing w:line="480" w:lineRule="exact"/>
        <w:ind w:firstLine="480" w:firstLineChars="200"/>
        <w:rPr>
          <w:rFonts w:ascii="仿宋" w:hAnsi="仿宋" w:eastAsia="仿宋" w:cs="仿宋"/>
          <w:kern w:val="0"/>
          <w:sz w:val="24"/>
        </w:rPr>
      </w:pPr>
      <w:r>
        <w:rPr>
          <w:rFonts w:hint="eastAsia" w:ascii="仿宋" w:hAnsi="仿宋" w:eastAsia="仿宋" w:cs="仿宋"/>
          <w:kern w:val="0"/>
          <w:sz w:val="24"/>
        </w:rPr>
        <w:t>法定（授权）代表人：</w:t>
      </w:r>
    </w:p>
    <w:p>
      <w:pPr>
        <w:widowControl/>
        <w:adjustRightInd/>
        <w:snapToGrid w:val="0"/>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签名日期：      年   月   日</w:t>
      </w:r>
    </w:p>
    <w:p>
      <w:pPr>
        <w:pStyle w:val="2"/>
        <w:rPr>
          <w:rFonts w:hint="eastAsia" w:ascii="仿宋" w:hAnsi="仿宋" w:eastAsia="仿宋" w:cs="仿宋"/>
          <w:kern w:val="0"/>
          <w:sz w:val="24"/>
        </w:rPr>
      </w:pPr>
    </w:p>
    <w:p>
      <w:pPr>
        <w:rPr>
          <w:rFonts w:hint="eastAsia"/>
        </w:rPr>
      </w:pPr>
    </w:p>
    <w:p>
      <w:pPr>
        <w:pStyle w:val="2"/>
        <w:rPr>
          <w:rFonts w:hint="eastAsia"/>
        </w:rPr>
      </w:pPr>
    </w:p>
    <w:p>
      <w:pPr>
        <w:pStyle w:val="2"/>
        <w:rPr>
          <w:rFonts w:hint="eastAsia"/>
        </w:rPr>
      </w:pPr>
    </w:p>
    <w:p>
      <w:pPr>
        <w:rPr>
          <w:rFonts w:hint="eastAsia"/>
        </w:rPr>
      </w:pPr>
    </w:p>
    <w:p>
      <w:pPr>
        <w:pStyle w:val="2"/>
        <w:rPr>
          <w:rFonts w:hint="eastAsia" w:ascii="仿宋" w:hAnsi="仿宋" w:eastAsia="仿宋" w:cs="仿宋"/>
          <w:kern w:val="0"/>
          <w:sz w:val="24"/>
        </w:rPr>
      </w:pPr>
    </w:p>
    <w:p>
      <w:pPr>
        <w:rPr>
          <w:rFonts w:hint="eastAsia"/>
        </w:rPr>
      </w:pPr>
    </w:p>
    <w:p>
      <w:pPr>
        <w:pStyle w:val="3"/>
        <w:jc w:val="both"/>
        <w:rPr>
          <w:rFonts w:hint="eastAsia" w:ascii="仿宋" w:hAnsi="仿宋" w:eastAsia="仿宋" w:cs="仿宋"/>
          <w:color w:val="auto"/>
          <w:highlight w:val="none"/>
        </w:rPr>
      </w:pPr>
    </w:p>
    <w:p>
      <w:pPr>
        <w:pStyle w:val="3"/>
        <w:jc w:val="center"/>
        <w:rPr>
          <w:rFonts w:hint="eastAsia" w:ascii="仿宋" w:hAnsi="仿宋" w:eastAsia="仿宋" w:cs="仿宋"/>
          <w:color w:val="auto"/>
          <w:highlight w:val="none"/>
        </w:rPr>
      </w:pPr>
      <w:r>
        <w:rPr>
          <w:rFonts w:hint="eastAsia" w:ascii="仿宋" w:hAnsi="仿宋" w:eastAsia="仿宋" w:cs="仿宋"/>
          <w:color w:val="auto"/>
          <w:highlight w:val="none"/>
        </w:rPr>
        <w:t>第五章  评标办法</w:t>
      </w:r>
      <w:bookmarkEnd w:id="337"/>
    </w:p>
    <w:p>
      <w:pPr>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为保证评标的公平和公正，维护招标投标活动当事人的合法权益，根据有关法律法规的规定，并结合本项目的实际，制定本办法。</w:t>
      </w:r>
    </w:p>
    <w:p>
      <w:pPr>
        <w:pStyle w:val="4"/>
        <w:pageBreakBefore w:val="0"/>
        <w:widowControl w:val="0"/>
        <w:kinsoku/>
        <w:wordWrap/>
        <w:overflowPunct/>
        <w:topLinePunct w:val="0"/>
        <w:autoSpaceDE/>
        <w:autoSpaceDN/>
        <w:bidi w:val="0"/>
        <w:adjustRightInd w:val="0"/>
        <w:snapToGrid w:val="0"/>
        <w:spacing w:line="440" w:lineRule="exact"/>
        <w:ind w:firstLine="562"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一、评标原则</w:t>
      </w:r>
    </w:p>
    <w:p>
      <w:pPr>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评标应遵循公平、公正、科学、择优的原则。</w:t>
      </w:r>
    </w:p>
    <w:p>
      <w:pPr>
        <w:pStyle w:val="4"/>
        <w:pageBreakBefore w:val="0"/>
        <w:widowControl w:val="0"/>
        <w:kinsoku/>
        <w:wordWrap/>
        <w:overflowPunct/>
        <w:topLinePunct w:val="0"/>
        <w:autoSpaceDE/>
        <w:autoSpaceDN/>
        <w:bidi w:val="0"/>
        <w:adjustRightInd w:val="0"/>
        <w:snapToGrid w:val="0"/>
        <w:spacing w:line="440" w:lineRule="exact"/>
        <w:ind w:firstLine="562"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二、评标组织</w:t>
      </w:r>
    </w:p>
    <w:p>
      <w:pPr>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（一）评标工作由采购人依法组建的评标委员会负责。评标委员会的组建见投标人须知前附表。</w:t>
      </w:r>
    </w:p>
    <w:p>
      <w:pPr>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二）评标委员会应推举产生评标委员会负责人。评标委员会负责人负责组织评标、掌握评标进程、主持询标、编写评标报告等工作。评标委员会负责人与其他成员具有同等的权利。评标委员会成员对所提出的评审意见承担个人责任。</w:t>
      </w:r>
    </w:p>
    <w:p>
      <w:pPr>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（三）评标委员会应当按照招标采购文件确定的评标标准和方法，客观、公正地对投标文件进行评审和比较。招标采购文件没有规定的评标标准和方法不得作为评标的依据。</w:t>
      </w:r>
    </w:p>
    <w:p>
      <w:pPr>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（四）评标委员会对投标文件作出的评审结论，应当符合有关法律、法规、规章和招标采购文件的规定。</w:t>
      </w:r>
    </w:p>
    <w:p>
      <w:pPr>
        <w:pStyle w:val="4"/>
        <w:pageBreakBefore w:val="0"/>
        <w:widowControl w:val="0"/>
        <w:kinsoku/>
        <w:wordWrap/>
        <w:overflowPunct/>
        <w:topLinePunct w:val="0"/>
        <w:autoSpaceDE/>
        <w:autoSpaceDN/>
        <w:bidi w:val="0"/>
        <w:adjustRightInd w:val="0"/>
        <w:snapToGrid w:val="0"/>
        <w:spacing w:line="440" w:lineRule="exact"/>
        <w:ind w:firstLine="562"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三、评标办法前附表</w:t>
      </w:r>
    </w:p>
    <w:tbl>
      <w:tblPr>
        <w:tblStyle w:val="31"/>
        <w:tblW w:w="9284" w:type="dxa"/>
        <w:tblInd w:w="9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13"/>
        <w:gridCol w:w="121"/>
        <w:gridCol w:w="1823"/>
        <w:gridCol w:w="615"/>
        <w:gridCol w:w="4847"/>
        <w:gridCol w:w="1261"/>
        <w:gridCol w:w="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4" w:type="dxa"/>
          <w:trHeight w:val="23" w:hRule="atLeast"/>
        </w:trPr>
        <w:tc>
          <w:tcPr>
            <w:tcW w:w="734" w:type="dxa"/>
            <w:gridSpan w:val="2"/>
            <w:tcBorders>
              <w:top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8546"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编列内容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4" w:type="dxa"/>
          <w:trHeight w:val="23" w:hRule="atLeast"/>
        </w:trPr>
        <w:tc>
          <w:tcPr>
            <w:tcW w:w="734" w:type="dxa"/>
            <w:gridSpan w:val="2"/>
            <w:tcBorders>
              <w:top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b/>
                <w:color w:val="auto"/>
                <w:highlight w:val="none"/>
              </w:rPr>
            </w:pPr>
            <w:r>
              <w:rPr>
                <w:rFonts w:hint="eastAsia" w:ascii="仿宋" w:hAnsi="仿宋" w:eastAsia="仿宋" w:cs="仿宋"/>
                <w:b/>
                <w:color w:val="auto"/>
                <w:highlight w:val="none"/>
              </w:rPr>
              <w:t>1</w:t>
            </w:r>
          </w:p>
        </w:tc>
        <w:tc>
          <w:tcPr>
            <w:tcW w:w="8546"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firstLineChars="200"/>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1.本次评标采用</w:t>
            </w:r>
            <w:r>
              <w:rPr>
                <w:rFonts w:hint="eastAsia" w:ascii="仿宋" w:hAnsi="仿宋" w:eastAsia="仿宋" w:cs="仿宋"/>
                <w:color w:val="auto"/>
                <w:sz w:val="24"/>
                <w:highlight w:val="none"/>
                <w:lang w:eastAsia="zh-CN"/>
              </w:rPr>
              <w:t>综合评分法</w:t>
            </w:r>
            <w:r>
              <w:rPr>
                <w:rFonts w:hint="eastAsia" w:ascii="仿宋" w:hAnsi="仿宋" w:eastAsia="仿宋" w:cs="仿宋"/>
                <w:color w:val="auto"/>
                <w:sz w:val="24"/>
                <w:highlight w:val="none"/>
              </w:rPr>
              <w:t>。</w:t>
            </w:r>
          </w:p>
          <w:p>
            <w:pPr>
              <w:spacing w:line="360" w:lineRule="auto"/>
              <w:ind w:firstLine="480" w:firstLineChars="200"/>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评标委员会先对投标文件进行</w:t>
            </w:r>
            <w:r>
              <w:rPr>
                <w:rFonts w:hint="eastAsia" w:ascii="仿宋" w:hAnsi="仿宋" w:eastAsia="仿宋" w:cs="仿宋"/>
                <w:color w:val="auto"/>
                <w:sz w:val="24"/>
                <w:highlight w:val="none"/>
                <w:lang w:eastAsia="zh-CN"/>
              </w:rPr>
              <w:t>资格审查、</w:t>
            </w:r>
            <w:r>
              <w:rPr>
                <w:rFonts w:hint="eastAsia" w:ascii="仿宋" w:hAnsi="仿宋" w:eastAsia="仿宋" w:cs="仿宋"/>
                <w:color w:val="auto"/>
                <w:sz w:val="24"/>
                <w:highlight w:val="none"/>
              </w:rPr>
              <w:t>符合性审查，对满足招标采购文件实质性要求的投标文件再进行商务技术评审，最后进行报价评审。</w:t>
            </w:r>
          </w:p>
          <w:p>
            <w:pPr>
              <w:spacing w:line="360" w:lineRule="auto"/>
              <w:ind w:firstLine="480" w:firstLineChars="200"/>
              <w:jc w:val="left"/>
              <w:rPr>
                <w:rFonts w:hint="eastAsia" w:ascii="仿宋" w:hAnsi="仿宋" w:eastAsia="仿宋" w:cs="仿宋"/>
                <w:color w:val="auto"/>
                <w:highlight w:val="none"/>
              </w:rPr>
            </w:pP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.投标人的</w:t>
            </w:r>
            <w:r>
              <w:rPr>
                <w:rFonts w:hint="eastAsia" w:ascii="仿宋" w:hAnsi="仿宋" w:eastAsia="仿宋" w:cs="仿宋"/>
                <w:b/>
                <w:bCs/>
                <w:color w:val="auto"/>
                <w:sz w:val="24"/>
                <w:szCs w:val="24"/>
                <w:highlight w:val="none"/>
                <w:lang w:eastAsia="zh-CN"/>
              </w:rPr>
              <w:t>评标总得分=商务技术得分</w:t>
            </w:r>
            <w:r>
              <w:rPr>
                <w:rFonts w:hint="eastAsia" w:ascii="仿宋" w:hAnsi="仿宋" w:eastAsia="仿宋" w:cs="仿宋"/>
                <w:b/>
                <w:bCs/>
                <w:color w:val="auto"/>
                <w:sz w:val="24"/>
                <w:szCs w:val="24"/>
                <w:highlight w:val="none"/>
                <w:lang w:val="en-US" w:eastAsia="zh-CN"/>
              </w:rPr>
              <w:t>+</w:t>
            </w:r>
            <w:r>
              <w:rPr>
                <w:rFonts w:hint="eastAsia" w:ascii="仿宋" w:hAnsi="仿宋" w:eastAsia="仿宋" w:cs="仿宋"/>
                <w:b/>
                <w:bCs/>
                <w:color w:val="auto"/>
                <w:sz w:val="24"/>
                <w:szCs w:val="24"/>
                <w:highlight w:val="none"/>
                <w:lang w:eastAsia="zh-CN"/>
              </w:rPr>
              <w:t>报价得分</w:t>
            </w:r>
            <w:r>
              <w:rPr>
                <w:rFonts w:hint="eastAsia" w:ascii="仿宋" w:hAnsi="仿宋" w:eastAsia="仿宋" w:cs="仿宋"/>
                <w:color w:val="auto"/>
                <w:sz w:val="24"/>
                <w:highlight w:val="none"/>
              </w:rPr>
              <w:t>；评标委员会按照投标人最终总得分从高到低的顺序对投标人排名并编号，确定第一名为中标候选人。如出现总得分相同的，以商务技术文件得分高者优先；若商务技术得分和报价得分均相同的，由评标委员会进行投票表决得票多者为中标候选人（或现场抽签方式确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4" w:type="dxa"/>
          <w:trHeight w:val="23" w:hRule="atLeast"/>
        </w:trPr>
        <w:tc>
          <w:tcPr>
            <w:tcW w:w="9280" w:type="dxa"/>
            <w:gridSpan w:val="6"/>
            <w:tcBorders>
              <w:top w:val="single" w:color="auto" w:sz="4" w:space="0"/>
              <w:bottom w:val="single" w:color="auto" w:sz="4" w:space="0"/>
              <w:right w:val="single" w:color="auto" w:sz="4" w:space="0"/>
            </w:tcBorders>
            <w:noWrap w:val="0"/>
            <w:vAlign w:val="center"/>
          </w:tcPr>
          <w:p>
            <w:pPr>
              <w:spacing w:line="360" w:lineRule="auto"/>
              <w:jc w:val="left"/>
              <w:rPr>
                <w:rFonts w:hint="eastAsia" w:ascii="仿宋" w:hAnsi="仿宋" w:eastAsia="仿宋" w:cs="仿宋"/>
                <w:color w:val="auto"/>
                <w:highlight w:val="none"/>
              </w:rPr>
            </w:pPr>
            <w:r>
              <w:rPr>
                <w:rFonts w:hint="eastAsia" w:ascii="仿宋" w:hAnsi="仿宋" w:eastAsia="仿宋" w:cs="仿宋"/>
                <w:b/>
                <w:color w:val="auto"/>
                <w:sz w:val="24"/>
                <w:szCs w:val="32"/>
                <w:highlight w:val="none"/>
              </w:rPr>
              <w:t>（一）资格评审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4" w:type="dxa"/>
          <w:trHeight w:val="23" w:hRule="atLeast"/>
        </w:trPr>
        <w:tc>
          <w:tcPr>
            <w:tcW w:w="734" w:type="dxa"/>
            <w:gridSpan w:val="2"/>
            <w:tcBorders>
              <w:top w:val="single" w:color="auto" w:sz="4" w:space="0"/>
              <w:bottom w:val="single" w:color="auto" w:sz="4" w:space="0"/>
              <w:right w:val="single" w:color="auto" w:sz="4" w:space="0"/>
            </w:tcBorders>
            <w:noWrap w:val="0"/>
            <w:vAlign w:val="center"/>
          </w:tcPr>
          <w:p>
            <w:pPr>
              <w:spacing w:line="360" w:lineRule="auto"/>
              <w:rPr>
                <w:rFonts w:hint="eastAsia" w:ascii="仿宋" w:hAnsi="仿宋" w:eastAsia="仿宋" w:cs="仿宋"/>
                <w:b/>
                <w:color w:val="auto"/>
                <w:highlight w:val="none"/>
              </w:rPr>
            </w:pPr>
            <w:r>
              <w:rPr>
                <w:rFonts w:hint="eastAsia" w:ascii="仿宋" w:hAnsi="仿宋" w:eastAsia="仿宋" w:cs="仿宋"/>
                <w:b/>
                <w:bCs/>
                <w:color w:val="auto"/>
                <w:szCs w:val="21"/>
                <w:highlight w:val="none"/>
              </w:rPr>
              <w:t>序号</w:t>
            </w:r>
          </w:p>
        </w:tc>
        <w:tc>
          <w:tcPr>
            <w:tcW w:w="2438"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auto"/>
                <w:highlight w:val="none"/>
              </w:rPr>
            </w:pPr>
            <w:r>
              <w:rPr>
                <w:rFonts w:hint="eastAsia" w:ascii="仿宋" w:hAnsi="仿宋" w:eastAsia="仿宋" w:cs="仿宋"/>
                <w:b/>
                <w:bCs/>
                <w:color w:val="auto"/>
                <w:sz w:val="24"/>
                <w:szCs w:val="32"/>
                <w:highlight w:val="none"/>
              </w:rPr>
              <w:t>评审因素</w:t>
            </w:r>
          </w:p>
        </w:tc>
        <w:tc>
          <w:tcPr>
            <w:tcW w:w="6108"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auto"/>
                <w:highlight w:val="none"/>
              </w:rPr>
            </w:pPr>
            <w:r>
              <w:rPr>
                <w:rFonts w:hint="eastAsia" w:ascii="仿宋" w:hAnsi="仿宋" w:eastAsia="仿宋" w:cs="仿宋"/>
                <w:b/>
                <w:color w:val="auto"/>
                <w:sz w:val="24"/>
                <w:szCs w:val="32"/>
                <w:highlight w:val="none"/>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4" w:type="dxa"/>
          <w:trHeight w:val="23" w:hRule="atLeast"/>
        </w:trPr>
        <w:tc>
          <w:tcPr>
            <w:tcW w:w="734" w:type="dxa"/>
            <w:gridSpan w:val="2"/>
            <w:tcBorders>
              <w:top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color w:val="auto"/>
                <w:sz w:val="20"/>
                <w:szCs w:val="22"/>
                <w:highlight w:val="none"/>
              </w:rPr>
            </w:pPr>
            <w:r>
              <w:rPr>
                <w:rFonts w:hint="eastAsia" w:ascii="仿宋" w:hAnsi="仿宋" w:eastAsia="仿宋" w:cs="仿宋"/>
                <w:color w:val="auto"/>
                <w:sz w:val="20"/>
                <w:szCs w:val="20"/>
                <w:highlight w:val="none"/>
              </w:rPr>
              <w:t>1</w:t>
            </w:r>
          </w:p>
        </w:tc>
        <w:tc>
          <w:tcPr>
            <w:tcW w:w="243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4"/>
                <w:highlight w:val="none"/>
              </w:rPr>
            </w:pPr>
            <w:r>
              <w:rPr>
                <w:rFonts w:hint="eastAsia" w:ascii="仿宋" w:hAnsi="仿宋" w:eastAsia="仿宋" w:cs="仿宋"/>
                <w:bCs/>
                <w:color w:val="auto"/>
                <w:sz w:val="24"/>
                <w:highlight w:val="none"/>
              </w:rPr>
              <w:t>营业执照</w:t>
            </w:r>
          </w:p>
        </w:tc>
        <w:tc>
          <w:tcPr>
            <w:tcW w:w="610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highlight w:val="none"/>
              </w:rPr>
            </w:pPr>
            <w:r>
              <w:rPr>
                <w:rFonts w:hint="eastAsia" w:ascii="仿宋" w:hAnsi="仿宋" w:eastAsia="仿宋" w:cs="仿宋"/>
                <w:bCs/>
                <w:color w:val="auto"/>
                <w:sz w:val="24"/>
                <w:highlight w:val="none"/>
                <w:lang w:eastAsia="zh-CN"/>
              </w:rPr>
              <w:t>具备</w:t>
            </w:r>
            <w:r>
              <w:rPr>
                <w:rFonts w:hint="eastAsia" w:ascii="仿宋" w:hAnsi="仿宋" w:eastAsia="仿宋" w:cs="仿宋"/>
                <w:bCs/>
                <w:color w:val="auto"/>
                <w:sz w:val="24"/>
                <w:highlight w:val="none"/>
              </w:rPr>
              <w:t>有效的营业执照(或事业法人登记证书)。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4" w:type="dxa"/>
          <w:trHeight w:val="23" w:hRule="atLeast"/>
        </w:trPr>
        <w:tc>
          <w:tcPr>
            <w:tcW w:w="734" w:type="dxa"/>
            <w:gridSpan w:val="2"/>
            <w:tcBorders>
              <w:top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color w:val="auto"/>
                <w:sz w:val="20"/>
                <w:szCs w:val="22"/>
                <w:highlight w:val="none"/>
              </w:rPr>
            </w:pPr>
            <w:r>
              <w:rPr>
                <w:rFonts w:hint="eastAsia" w:ascii="仿宋" w:hAnsi="仿宋" w:eastAsia="仿宋" w:cs="仿宋"/>
                <w:color w:val="auto"/>
                <w:sz w:val="20"/>
                <w:szCs w:val="20"/>
                <w:highlight w:val="none"/>
              </w:rPr>
              <w:t>2</w:t>
            </w:r>
          </w:p>
        </w:tc>
        <w:tc>
          <w:tcPr>
            <w:tcW w:w="243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信用记录</w:t>
            </w:r>
          </w:p>
        </w:tc>
        <w:tc>
          <w:tcPr>
            <w:tcW w:w="610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highlight w:val="none"/>
              </w:rPr>
            </w:pPr>
            <w:r>
              <w:rPr>
                <w:rFonts w:hint="eastAsia" w:ascii="仿宋" w:hAnsi="仿宋" w:eastAsia="仿宋" w:cs="仿宋"/>
                <w:bCs/>
                <w:color w:val="auto"/>
                <w:sz w:val="24"/>
                <w:highlight w:val="none"/>
              </w:rPr>
              <w:t>未被“信用中国”、“中国</w:t>
            </w:r>
            <w:r>
              <w:rPr>
                <w:rFonts w:hint="eastAsia" w:ascii="仿宋" w:hAnsi="仿宋" w:eastAsia="仿宋" w:cs="仿宋"/>
                <w:bCs/>
                <w:color w:val="auto"/>
                <w:sz w:val="24"/>
                <w:highlight w:val="none"/>
                <w:lang w:eastAsia="zh-CN"/>
              </w:rPr>
              <w:t>采购</w:t>
            </w:r>
            <w:r>
              <w:rPr>
                <w:rFonts w:hint="eastAsia" w:ascii="仿宋" w:hAnsi="仿宋" w:eastAsia="仿宋" w:cs="仿宋"/>
                <w:bCs/>
                <w:color w:val="auto"/>
                <w:sz w:val="24"/>
                <w:highlight w:val="none"/>
              </w:rPr>
              <w:t>网”列入失信被执行人、重大税收违法案件当事人名单、投标严重违法失信行为记录名单或尚在行政处罚期内的。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4" w:type="dxa"/>
          <w:trHeight w:val="23" w:hRule="atLeast"/>
        </w:trPr>
        <w:tc>
          <w:tcPr>
            <w:tcW w:w="734" w:type="dxa"/>
            <w:gridSpan w:val="2"/>
            <w:tcBorders>
              <w:top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3</w:t>
            </w:r>
          </w:p>
        </w:tc>
        <w:tc>
          <w:tcPr>
            <w:tcW w:w="243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投标声明函</w:t>
            </w:r>
          </w:p>
        </w:tc>
        <w:tc>
          <w:tcPr>
            <w:tcW w:w="610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bCs/>
                <w:color w:val="auto"/>
                <w:sz w:val="24"/>
                <w:highlight w:val="none"/>
                <w:lang w:eastAsia="zh-CN"/>
              </w:rPr>
            </w:pPr>
            <w:r>
              <w:rPr>
                <w:rFonts w:hint="eastAsia" w:ascii="仿宋" w:hAnsi="仿宋" w:eastAsia="仿宋" w:cs="仿宋"/>
                <w:bCs/>
                <w:color w:val="auto"/>
                <w:sz w:val="24"/>
                <w:highlight w:val="none"/>
                <w:lang w:eastAsia="zh-CN"/>
              </w:rPr>
              <w:t>具备有效的投标声明函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4" w:type="dxa"/>
          <w:trHeight w:val="23" w:hRule="atLeast"/>
        </w:trPr>
        <w:tc>
          <w:tcPr>
            <w:tcW w:w="734" w:type="dxa"/>
            <w:gridSpan w:val="2"/>
            <w:tcBorders>
              <w:top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4</w:t>
            </w:r>
          </w:p>
        </w:tc>
        <w:tc>
          <w:tcPr>
            <w:tcW w:w="243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基本资质</w:t>
            </w:r>
          </w:p>
        </w:tc>
        <w:tc>
          <w:tcPr>
            <w:tcW w:w="610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bCs/>
                <w:color w:val="auto"/>
                <w:sz w:val="24"/>
                <w:highlight w:val="none"/>
                <w:lang w:eastAsia="zh-CN"/>
              </w:rPr>
            </w:pPr>
            <w:r>
              <w:rPr>
                <w:rFonts w:hint="eastAsia" w:ascii="仿宋" w:hAnsi="仿宋" w:eastAsia="仿宋" w:cs="仿宋"/>
                <w:bCs/>
                <w:color w:val="auto"/>
                <w:sz w:val="24"/>
                <w:highlight w:val="none"/>
                <w:lang w:eastAsia="zh-CN"/>
              </w:rPr>
              <w:t>具有履行合同所需的场地、设备和专业技术能力的承诺函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4" w:type="dxa"/>
          <w:trHeight w:val="23" w:hRule="atLeast"/>
        </w:trPr>
        <w:tc>
          <w:tcPr>
            <w:tcW w:w="734" w:type="dxa"/>
            <w:gridSpan w:val="2"/>
            <w:tcBorders>
              <w:top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color w:val="auto"/>
                <w:sz w:val="20"/>
                <w:szCs w:val="20"/>
                <w:highlight w:val="none"/>
                <w:lang w:val="en-US" w:eastAsia="zh-CN"/>
              </w:rPr>
              <w:t>5</w:t>
            </w:r>
          </w:p>
        </w:tc>
        <w:tc>
          <w:tcPr>
            <w:tcW w:w="243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基本资质</w:t>
            </w:r>
          </w:p>
        </w:tc>
        <w:tc>
          <w:tcPr>
            <w:tcW w:w="610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bCs/>
                <w:color w:val="auto"/>
                <w:sz w:val="24"/>
                <w:highlight w:val="none"/>
                <w:lang w:eastAsia="zh-CN"/>
              </w:rPr>
            </w:pPr>
            <w:r>
              <w:rPr>
                <w:rFonts w:hint="eastAsia" w:ascii="仿宋" w:hAnsi="仿宋" w:eastAsia="仿宋" w:cs="仿宋"/>
                <w:bCs/>
                <w:color w:val="auto"/>
                <w:sz w:val="24"/>
                <w:highlight w:val="none"/>
                <w:lang w:eastAsia="zh-CN"/>
              </w:rPr>
              <w:t>参加投标活动前</w:t>
            </w:r>
            <w:r>
              <w:rPr>
                <w:rFonts w:hint="eastAsia" w:ascii="仿宋" w:hAnsi="仿宋" w:eastAsia="仿宋" w:cs="仿宋"/>
                <w:bCs/>
                <w:color w:val="auto"/>
                <w:sz w:val="24"/>
                <w:highlight w:val="none"/>
                <w:lang w:val="en-US" w:eastAsia="zh-CN"/>
              </w:rPr>
              <w:t>3年内在营业活动中没有重大违法记录的声明函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4" w:type="dxa"/>
          <w:trHeight w:val="23" w:hRule="atLeast"/>
        </w:trPr>
        <w:tc>
          <w:tcPr>
            <w:tcW w:w="734" w:type="dxa"/>
            <w:gridSpan w:val="2"/>
            <w:tcBorders>
              <w:top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color w:val="auto"/>
                <w:sz w:val="20"/>
                <w:szCs w:val="20"/>
                <w:highlight w:val="none"/>
                <w:lang w:val="en-US" w:eastAsia="zh-CN"/>
              </w:rPr>
              <w:t>6</w:t>
            </w:r>
          </w:p>
        </w:tc>
        <w:tc>
          <w:tcPr>
            <w:tcW w:w="243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基本资质</w:t>
            </w:r>
          </w:p>
        </w:tc>
        <w:tc>
          <w:tcPr>
            <w:tcW w:w="610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法定代表人资格书或法定代表人授权委托书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4" w:type="dxa"/>
          <w:trHeight w:val="23" w:hRule="atLeast"/>
        </w:trPr>
        <w:tc>
          <w:tcPr>
            <w:tcW w:w="734" w:type="dxa"/>
            <w:gridSpan w:val="2"/>
            <w:tcBorders>
              <w:top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color w:val="auto"/>
                <w:kern w:val="2"/>
                <w:sz w:val="20"/>
                <w:szCs w:val="20"/>
                <w:highlight w:val="none"/>
                <w:lang w:val="en-US" w:eastAsia="zh-CN" w:bidi="ar-SA"/>
              </w:rPr>
              <w:t>7</w:t>
            </w:r>
          </w:p>
        </w:tc>
        <w:tc>
          <w:tcPr>
            <w:tcW w:w="243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其他要求</w:t>
            </w:r>
          </w:p>
        </w:tc>
        <w:tc>
          <w:tcPr>
            <w:tcW w:w="610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bCs/>
                <w:color w:val="auto"/>
                <w:sz w:val="24"/>
                <w:highlight w:val="none"/>
                <w:lang w:val="en-US" w:eastAsia="zh-CN"/>
              </w:rPr>
            </w:pPr>
            <w:r>
              <w:rPr>
                <w:rFonts w:hint="eastAsia" w:ascii="仿宋" w:hAnsi="仿宋" w:eastAsia="仿宋" w:cs="仿宋"/>
                <w:color w:val="auto"/>
                <w:sz w:val="24"/>
                <w:highlight w:val="none"/>
                <w:lang w:val="en-US" w:eastAsia="zh-CN"/>
              </w:rPr>
              <w:t>其它</w:t>
            </w:r>
            <w:r>
              <w:rPr>
                <w:rFonts w:hint="eastAsia" w:ascii="仿宋" w:hAnsi="仿宋" w:eastAsia="仿宋" w:cs="仿宋"/>
                <w:bCs/>
                <w:color w:val="auto"/>
                <w:sz w:val="24"/>
                <w:highlight w:val="none"/>
              </w:rPr>
              <w:t>符合招标文件中规定的资格要求。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4" w:type="dxa"/>
          <w:trHeight w:val="23" w:hRule="atLeast"/>
        </w:trPr>
        <w:tc>
          <w:tcPr>
            <w:tcW w:w="9280" w:type="dxa"/>
            <w:gridSpan w:val="6"/>
            <w:tcBorders>
              <w:top w:val="single" w:color="auto" w:sz="4" w:space="0"/>
              <w:bottom w:val="single" w:color="auto" w:sz="4" w:space="0"/>
              <w:right w:val="single" w:color="auto" w:sz="4" w:space="0"/>
            </w:tcBorders>
            <w:noWrap w:val="0"/>
            <w:vAlign w:val="center"/>
          </w:tcPr>
          <w:p>
            <w:pPr>
              <w:spacing w:line="360" w:lineRule="auto"/>
              <w:jc w:val="left"/>
              <w:rPr>
                <w:rFonts w:hint="eastAsia" w:ascii="仿宋" w:hAnsi="仿宋" w:eastAsia="仿宋" w:cs="仿宋"/>
                <w:b/>
                <w:color w:val="auto"/>
                <w:sz w:val="24"/>
                <w:szCs w:val="32"/>
                <w:highlight w:val="none"/>
              </w:rPr>
            </w:pPr>
            <w:r>
              <w:rPr>
                <w:rFonts w:hint="eastAsia" w:ascii="仿宋" w:hAnsi="仿宋" w:eastAsia="仿宋" w:cs="仿宋"/>
                <w:b/>
                <w:color w:val="auto"/>
                <w:sz w:val="24"/>
                <w:szCs w:val="32"/>
                <w:highlight w:val="none"/>
              </w:rPr>
              <w:t>（二）符合性评审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4" w:type="dxa"/>
          <w:trHeight w:val="23" w:hRule="atLeast"/>
        </w:trPr>
        <w:tc>
          <w:tcPr>
            <w:tcW w:w="734" w:type="dxa"/>
            <w:gridSpan w:val="2"/>
            <w:tcBorders>
              <w:top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b/>
                <w:color w:val="auto"/>
                <w:sz w:val="24"/>
                <w:szCs w:val="32"/>
                <w:highlight w:val="none"/>
              </w:rPr>
            </w:pPr>
            <w:r>
              <w:rPr>
                <w:rFonts w:hint="eastAsia" w:ascii="仿宋" w:hAnsi="仿宋" w:eastAsia="仿宋" w:cs="仿宋"/>
                <w:b/>
                <w:color w:val="auto"/>
                <w:sz w:val="24"/>
                <w:szCs w:val="32"/>
                <w:highlight w:val="none"/>
              </w:rPr>
              <w:t>序号</w:t>
            </w:r>
          </w:p>
        </w:tc>
        <w:tc>
          <w:tcPr>
            <w:tcW w:w="2438"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b/>
                <w:color w:val="auto"/>
                <w:sz w:val="24"/>
                <w:szCs w:val="32"/>
                <w:highlight w:val="none"/>
              </w:rPr>
            </w:pPr>
            <w:r>
              <w:rPr>
                <w:rFonts w:hint="eastAsia" w:ascii="仿宋" w:hAnsi="仿宋" w:eastAsia="仿宋" w:cs="仿宋"/>
                <w:b/>
                <w:color w:val="auto"/>
                <w:sz w:val="24"/>
                <w:szCs w:val="32"/>
                <w:highlight w:val="none"/>
              </w:rPr>
              <w:t>评审因素</w:t>
            </w:r>
          </w:p>
        </w:tc>
        <w:tc>
          <w:tcPr>
            <w:tcW w:w="6108"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b/>
                <w:color w:val="auto"/>
                <w:sz w:val="24"/>
                <w:szCs w:val="32"/>
                <w:highlight w:val="none"/>
              </w:rPr>
            </w:pPr>
            <w:r>
              <w:rPr>
                <w:rFonts w:hint="eastAsia" w:ascii="仿宋" w:hAnsi="仿宋" w:eastAsia="仿宋" w:cs="仿宋"/>
                <w:b/>
                <w:color w:val="auto"/>
                <w:sz w:val="24"/>
                <w:szCs w:val="32"/>
                <w:highlight w:val="none"/>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4" w:type="dxa"/>
          <w:cantSplit/>
          <w:trHeight w:val="23" w:hRule="atLeast"/>
        </w:trPr>
        <w:tc>
          <w:tcPr>
            <w:tcW w:w="734" w:type="dxa"/>
            <w:gridSpan w:val="2"/>
            <w:tcBorders>
              <w:top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1</w:t>
            </w:r>
          </w:p>
        </w:tc>
        <w:tc>
          <w:tcPr>
            <w:tcW w:w="2438"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投标人名称</w:t>
            </w:r>
          </w:p>
        </w:tc>
        <w:tc>
          <w:tcPr>
            <w:tcW w:w="6108"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与有效的营业执照一致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4" w:type="dxa"/>
          <w:cantSplit/>
          <w:trHeight w:val="23" w:hRule="atLeast"/>
        </w:trPr>
        <w:tc>
          <w:tcPr>
            <w:tcW w:w="734" w:type="dxa"/>
            <w:gridSpan w:val="2"/>
            <w:tcBorders>
              <w:top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w:t>
            </w:r>
          </w:p>
        </w:tc>
        <w:tc>
          <w:tcPr>
            <w:tcW w:w="2438"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投标文件签字盖章</w:t>
            </w:r>
          </w:p>
        </w:tc>
        <w:tc>
          <w:tcPr>
            <w:tcW w:w="6108"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符合招标采购文件要求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4" w:type="dxa"/>
          <w:cantSplit/>
          <w:trHeight w:val="23" w:hRule="atLeast"/>
        </w:trPr>
        <w:tc>
          <w:tcPr>
            <w:tcW w:w="734" w:type="dxa"/>
            <w:gridSpan w:val="2"/>
            <w:tcBorders>
              <w:top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3</w:t>
            </w:r>
          </w:p>
        </w:tc>
        <w:tc>
          <w:tcPr>
            <w:tcW w:w="2438"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投标文件格式</w:t>
            </w:r>
          </w:p>
        </w:tc>
        <w:tc>
          <w:tcPr>
            <w:tcW w:w="6108"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符合招标采购文件要求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4" w:type="dxa"/>
          <w:cantSplit/>
          <w:trHeight w:val="23" w:hRule="atLeast"/>
        </w:trPr>
        <w:tc>
          <w:tcPr>
            <w:tcW w:w="734" w:type="dxa"/>
            <w:gridSpan w:val="2"/>
            <w:tcBorders>
              <w:top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4</w:t>
            </w:r>
          </w:p>
        </w:tc>
        <w:tc>
          <w:tcPr>
            <w:tcW w:w="2438"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投标内容</w:t>
            </w:r>
          </w:p>
        </w:tc>
        <w:tc>
          <w:tcPr>
            <w:tcW w:w="6108"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符合招标采购文件要求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4" w:type="dxa"/>
          <w:cantSplit/>
          <w:trHeight w:val="450" w:hRule="atLeast"/>
        </w:trPr>
        <w:tc>
          <w:tcPr>
            <w:tcW w:w="734" w:type="dxa"/>
            <w:gridSpan w:val="2"/>
            <w:tcBorders>
              <w:top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5</w:t>
            </w:r>
          </w:p>
        </w:tc>
        <w:tc>
          <w:tcPr>
            <w:tcW w:w="2438"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投标有效期</w:t>
            </w:r>
          </w:p>
        </w:tc>
        <w:tc>
          <w:tcPr>
            <w:tcW w:w="6108"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符合招标采购文件要求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4" w:type="dxa"/>
          <w:cantSplit/>
          <w:trHeight w:val="23" w:hRule="atLeast"/>
        </w:trPr>
        <w:tc>
          <w:tcPr>
            <w:tcW w:w="734" w:type="dxa"/>
            <w:gridSpan w:val="2"/>
            <w:tcBorders>
              <w:top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6</w:t>
            </w:r>
          </w:p>
        </w:tc>
        <w:tc>
          <w:tcPr>
            <w:tcW w:w="2438"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投标报价</w:t>
            </w:r>
          </w:p>
        </w:tc>
        <w:tc>
          <w:tcPr>
            <w:tcW w:w="6108"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符合招标采购文件要求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4" w:type="dxa"/>
          <w:cantSplit/>
          <w:trHeight w:val="23" w:hRule="atLeast"/>
        </w:trPr>
        <w:tc>
          <w:tcPr>
            <w:tcW w:w="734" w:type="dxa"/>
            <w:gridSpan w:val="2"/>
            <w:tcBorders>
              <w:top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auto"/>
                <w:kern w:val="2"/>
                <w:sz w:val="21"/>
                <w:szCs w:val="24"/>
                <w:highlight w:val="none"/>
                <w:lang w:val="en-US" w:eastAsia="zh-CN" w:bidi="ar-SA"/>
              </w:rPr>
            </w:pPr>
            <w:r>
              <w:rPr>
                <w:rFonts w:hint="eastAsia" w:ascii="仿宋" w:hAnsi="仿宋" w:eastAsia="仿宋" w:cs="仿宋"/>
                <w:color w:val="auto"/>
                <w:highlight w:val="none"/>
                <w:lang w:val="en-US" w:eastAsia="zh-CN"/>
              </w:rPr>
              <w:t>7</w:t>
            </w:r>
          </w:p>
        </w:tc>
        <w:tc>
          <w:tcPr>
            <w:tcW w:w="2438"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eastAsia="zh-CN"/>
              </w:rPr>
              <w:t>服务期</w:t>
            </w:r>
          </w:p>
        </w:tc>
        <w:tc>
          <w:tcPr>
            <w:tcW w:w="6108"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符合招标采购文件要求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4" w:type="dxa"/>
          <w:cantSplit/>
          <w:trHeight w:val="23" w:hRule="atLeast"/>
        </w:trPr>
        <w:tc>
          <w:tcPr>
            <w:tcW w:w="9280" w:type="dxa"/>
            <w:gridSpan w:val="6"/>
            <w:tcBorders>
              <w:top w:val="single" w:color="auto" w:sz="4" w:space="0"/>
              <w:right w:val="single" w:color="auto" w:sz="4" w:space="0"/>
            </w:tcBorders>
            <w:noWrap w:val="0"/>
            <w:vAlign w:val="center"/>
          </w:tcPr>
          <w:p>
            <w:pPr>
              <w:pStyle w:val="64"/>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kern w:val="2"/>
                <w:sz w:val="24"/>
                <w:szCs w:val="24"/>
                <w:highlight w:val="none"/>
                <w:u w:val="none"/>
                <w:shd w:val="clear" w:color="auto" w:fill="auto"/>
                <w:lang w:val="zh-TW" w:eastAsia="zh-CN" w:bidi="zh-TW"/>
              </w:rPr>
              <w:t>（三）</w:t>
            </w:r>
            <w:r>
              <w:rPr>
                <w:rFonts w:hint="eastAsia" w:ascii="仿宋" w:hAnsi="仿宋" w:eastAsia="仿宋" w:cs="仿宋"/>
                <w:b/>
                <w:bCs/>
                <w:color w:val="auto"/>
                <w:sz w:val="24"/>
                <w:szCs w:val="24"/>
                <w:highlight w:val="none"/>
                <w:lang w:eastAsia="zh-CN"/>
              </w:rPr>
              <w:t>商务技术分</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70分</w:t>
            </w:r>
            <w:r>
              <w:rPr>
                <w:rFonts w:hint="eastAsia" w:ascii="仿宋" w:hAnsi="仿宋" w:eastAsia="仿宋" w:cs="仿宋"/>
                <w:b/>
                <w:bCs/>
                <w:color w:val="auto"/>
                <w:sz w:val="24"/>
                <w:szCs w:val="24"/>
                <w:highlight w:val="none"/>
              </w:rPr>
              <w:t>）</w:t>
            </w:r>
          </w:p>
          <w:p>
            <w:pPr>
              <w:pStyle w:val="64"/>
              <w:keepNext w:val="0"/>
              <w:keepLines w:val="0"/>
              <w:pageBreakBefore w:val="0"/>
              <w:widowControl w:val="0"/>
              <w:shd w:val="clear" w:color="auto" w:fill="auto"/>
              <w:kinsoku/>
              <w:wordWrap/>
              <w:overflowPunct/>
              <w:topLinePunct w:val="0"/>
              <w:autoSpaceDE/>
              <w:autoSpaceDN/>
              <w:bidi w:val="0"/>
              <w:adjustRightInd/>
              <w:snapToGrid/>
              <w:spacing w:line="360" w:lineRule="exact"/>
              <w:ind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评标委员会成员应独立对投标供应商的投标文件打分，打分时保留小数1位，投标人最终得分为评标委员会所有成员的算术平均值，评分分值计算保留小数点后两位，小数点后第三位</w:t>
            </w:r>
            <w:r>
              <w:rPr>
                <w:rFonts w:hint="eastAsia" w:ascii="仿宋" w:hAnsi="仿宋" w:eastAsia="仿宋" w:cs="仿宋"/>
                <w:color w:val="auto"/>
                <w:sz w:val="24"/>
                <w:szCs w:val="24"/>
                <w:highlight w:val="none"/>
                <w:lang w:val="zh-CN" w:eastAsia="zh-CN" w:bidi="zh-CN"/>
              </w:rPr>
              <w:t>“四舍</w:t>
            </w:r>
            <w:r>
              <w:rPr>
                <w:rFonts w:hint="eastAsia" w:ascii="仿宋" w:hAnsi="仿宋" w:eastAsia="仿宋" w:cs="仿宋"/>
                <w:color w:val="auto"/>
                <w:sz w:val="24"/>
                <w:szCs w:val="24"/>
                <w:highlight w:val="none"/>
              </w:rPr>
              <w:t>五入”。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4" w:type="dxa"/>
          <w:cantSplit/>
          <w:trHeight w:val="462" w:hRule="atLeast"/>
        </w:trPr>
        <w:tc>
          <w:tcPr>
            <w:tcW w:w="613" w:type="dxa"/>
            <w:tcBorders>
              <w:top w:val="single" w:color="auto" w:sz="4" w:space="0"/>
              <w:bottom w:val="single" w:color="auto" w:sz="4" w:space="0"/>
              <w:right w:val="single" w:color="auto" w:sz="4" w:space="0"/>
            </w:tcBorders>
            <w:noWrap w:val="0"/>
            <w:vAlign w:val="center"/>
          </w:tcPr>
          <w:p>
            <w:pPr>
              <w:spacing w:line="280" w:lineRule="exact"/>
              <w:jc w:val="center"/>
              <w:rPr>
                <w:rFonts w:hint="eastAsia" w:ascii="仿宋" w:hAnsi="仿宋" w:eastAsia="仿宋" w:cs="仿宋"/>
                <w:b/>
                <w:bCs/>
                <w:color w:val="auto"/>
                <w:sz w:val="24"/>
                <w:szCs w:val="24"/>
                <w:highlight w:val="none"/>
                <w:lang w:eastAsia="zh-CN"/>
              </w:rPr>
            </w:pPr>
            <w:bookmarkStart w:id="338" w:name="_Toc498955058"/>
            <w:bookmarkStart w:id="339" w:name="_Toc455680136"/>
            <w:bookmarkStart w:id="340" w:name="_Toc247085759"/>
            <w:bookmarkStart w:id="341" w:name="_Toc455680137"/>
            <w:bookmarkStart w:id="342" w:name="_Toc246996244"/>
            <w:bookmarkStart w:id="343" w:name="_Toc144974568"/>
            <w:bookmarkStart w:id="344" w:name="_Toc498955059"/>
            <w:bookmarkStart w:id="345" w:name="_Toc246996987"/>
            <w:bookmarkStart w:id="346" w:name="_Toc152042378"/>
            <w:bookmarkStart w:id="347" w:name="_Toc179632619"/>
            <w:bookmarkStart w:id="348" w:name="_Toc152045601"/>
            <w:r>
              <w:rPr>
                <w:rFonts w:hint="eastAsia" w:ascii="仿宋" w:hAnsi="仿宋" w:eastAsia="仿宋" w:cs="仿宋"/>
                <w:sz w:val="24"/>
                <w:szCs w:val="24"/>
              </w:rPr>
              <w:t>序号</w:t>
            </w:r>
          </w:p>
        </w:tc>
        <w:tc>
          <w:tcPr>
            <w:tcW w:w="7406" w:type="dxa"/>
            <w:gridSpan w:val="4"/>
            <w:tcBorders>
              <w:top w:val="single" w:color="auto" w:sz="4" w:space="0"/>
              <w:bottom w:val="single" w:color="auto" w:sz="4" w:space="0"/>
              <w:right w:val="single" w:color="auto" w:sz="4" w:space="0"/>
            </w:tcBorders>
            <w:noWrap w:val="0"/>
            <w:vAlign w:val="center"/>
          </w:tcPr>
          <w:p>
            <w:pPr>
              <w:spacing w:line="280" w:lineRule="exact"/>
              <w:jc w:val="center"/>
              <w:rPr>
                <w:rFonts w:hint="eastAsia" w:ascii="仿宋" w:hAnsi="仿宋" w:eastAsia="仿宋" w:cs="仿宋"/>
                <w:b/>
                <w:bCs/>
                <w:color w:val="auto"/>
                <w:sz w:val="24"/>
                <w:szCs w:val="24"/>
                <w:highlight w:val="none"/>
                <w:lang w:eastAsia="zh-CN"/>
              </w:rPr>
            </w:pPr>
            <w:r>
              <w:rPr>
                <w:rFonts w:hint="eastAsia" w:ascii="仿宋" w:hAnsi="仿宋" w:eastAsia="仿宋" w:cs="仿宋"/>
                <w:sz w:val="24"/>
                <w:szCs w:val="24"/>
              </w:rPr>
              <w:t>评分标准</w:t>
            </w:r>
          </w:p>
        </w:tc>
        <w:tc>
          <w:tcPr>
            <w:tcW w:w="1261" w:type="dxa"/>
            <w:tcBorders>
              <w:top w:val="single" w:color="auto" w:sz="4" w:space="0"/>
              <w:right w:val="single" w:color="auto" w:sz="4" w:space="0"/>
            </w:tcBorders>
            <w:noWrap w:val="0"/>
            <w:vAlign w:val="center"/>
          </w:tcPr>
          <w:p>
            <w:pPr>
              <w:spacing w:line="280" w:lineRule="exact"/>
              <w:jc w:val="center"/>
              <w:rPr>
                <w:rFonts w:hint="eastAsia" w:ascii="仿宋" w:hAnsi="仿宋" w:eastAsia="仿宋" w:cs="仿宋"/>
                <w:b/>
                <w:bCs/>
                <w:color w:val="auto"/>
                <w:sz w:val="24"/>
                <w:szCs w:val="24"/>
                <w:highlight w:val="none"/>
                <w:lang w:eastAsia="zh-CN"/>
              </w:rPr>
            </w:pPr>
            <w:r>
              <w:rPr>
                <w:rFonts w:hint="eastAsia" w:ascii="仿宋" w:hAnsi="仿宋" w:eastAsia="仿宋" w:cs="仿宋"/>
                <w:sz w:val="24"/>
                <w:szCs w:val="24"/>
              </w:rPr>
              <w:t>分值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4" w:type="dxa"/>
          <w:cantSplit/>
          <w:trHeight w:val="1671" w:hRule="atLeast"/>
        </w:trPr>
        <w:tc>
          <w:tcPr>
            <w:tcW w:w="613" w:type="dxa"/>
            <w:tcBorders>
              <w:top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000000"/>
                <w:kern w:val="0"/>
                <w:sz w:val="24"/>
                <w:szCs w:val="24"/>
              </w:rPr>
              <w:t>1</w:t>
            </w:r>
          </w:p>
        </w:tc>
        <w:tc>
          <w:tcPr>
            <w:tcW w:w="1944"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000000"/>
                <w:kern w:val="0"/>
                <w:sz w:val="24"/>
                <w:szCs w:val="24"/>
                <w:lang w:val="en-US" w:eastAsia="zh-CN"/>
              </w:rPr>
              <w:t>业绩能力</w:t>
            </w:r>
            <w:r>
              <w:rPr>
                <w:rFonts w:hint="eastAsia" w:ascii="仿宋" w:hAnsi="仿宋" w:eastAsia="仿宋" w:cs="仿宋"/>
                <w:color w:val="000000"/>
                <w:kern w:val="0"/>
                <w:sz w:val="24"/>
                <w:szCs w:val="24"/>
              </w:rPr>
              <w:t>（</w:t>
            </w:r>
            <w:r>
              <w:rPr>
                <w:rFonts w:hint="eastAsia" w:ascii="仿宋" w:hAnsi="仿宋" w:eastAsia="仿宋" w:cs="仿宋"/>
                <w:color w:val="000000"/>
                <w:kern w:val="0"/>
                <w:sz w:val="24"/>
                <w:szCs w:val="24"/>
                <w:lang w:val="en-US" w:eastAsia="zh-CN"/>
              </w:rPr>
              <w:t>3</w:t>
            </w:r>
            <w:r>
              <w:rPr>
                <w:rFonts w:hint="eastAsia" w:ascii="仿宋" w:hAnsi="仿宋" w:eastAsia="仿宋" w:cs="仿宋"/>
                <w:color w:val="000000"/>
                <w:kern w:val="0"/>
                <w:sz w:val="24"/>
                <w:szCs w:val="24"/>
              </w:rPr>
              <w:t>分）</w:t>
            </w:r>
          </w:p>
        </w:tc>
        <w:tc>
          <w:tcPr>
            <w:tcW w:w="5462" w:type="dxa"/>
            <w:gridSpan w:val="2"/>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hint="eastAsia" w:ascii="仿宋" w:hAnsi="仿宋" w:eastAsia="仿宋" w:cs="仿宋"/>
                <w:sz w:val="24"/>
                <w:szCs w:val="24"/>
                <w:lang w:val="en-US" w:eastAsia="zh-CN"/>
              </w:rPr>
            </w:pPr>
            <w:r>
              <w:rPr>
                <w:rFonts w:hint="eastAsia" w:ascii="仿宋" w:hAnsi="仿宋" w:eastAsia="仿宋" w:cs="仿宋"/>
                <w:color w:val="000000"/>
                <w:kern w:val="0"/>
                <w:sz w:val="24"/>
                <w:szCs w:val="24"/>
                <w:lang w:val="en-US" w:eastAsia="zh-CN"/>
              </w:rPr>
              <w:t>投标人或制造商自2019年7月1日以来具有类似项目业绩的，每提供一个得1分，最高得3分（需提供合同及中标通知书扫描件，</w:t>
            </w:r>
            <w:bookmarkStart w:id="407" w:name="_GoBack"/>
            <w:bookmarkEnd w:id="407"/>
            <w:r>
              <w:rPr>
                <w:rFonts w:hint="eastAsia" w:ascii="仿宋" w:hAnsi="仿宋" w:eastAsia="仿宋" w:cs="仿宋"/>
                <w:color w:val="000000"/>
                <w:kern w:val="0"/>
                <w:sz w:val="24"/>
                <w:szCs w:val="24"/>
                <w:lang w:val="en-US" w:eastAsia="zh-CN"/>
              </w:rPr>
              <w:t>否则不得分）。</w:t>
            </w:r>
          </w:p>
        </w:tc>
        <w:tc>
          <w:tcPr>
            <w:tcW w:w="1261" w:type="dxa"/>
            <w:tcBorders>
              <w:top w:val="single" w:color="auto" w:sz="4" w:space="0"/>
              <w:right w:val="single" w:color="auto" w:sz="4" w:space="0"/>
            </w:tcBorders>
            <w:noWrap w:val="0"/>
            <w:vAlign w:val="center"/>
          </w:tcPr>
          <w:p>
            <w:pPr>
              <w:spacing w:line="280" w:lineRule="exact"/>
              <w:jc w:val="center"/>
              <w:rPr>
                <w:rFonts w:hint="eastAsia" w:ascii="仿宋" w:hAnsi="仿宋" w:eastAsia="仿宋" w:cs="仿宋"/>
                <w:color w:val="auto"/>
                <w:sz w:val="24"/>
                <w:szCs w:val="24"/>
                <w:highlight w:val="none"/>
                <w:lang w:eastAsia="zh-CN"/>
              </w:rPr>
            </w:pPr>
            <w:r>
              <w:rPr>
                <w:rFonts w:hint="eastAsia" w:ascii="仿宋" w:hAnsi="仿宋" w:eastAsia="仿宋" w:cs="仿宋"/>
                <w:sz w:val="24"/>
                <w:szCs w:val="24"/>
              </w:rPr>
              <w:t>0-</w:t>
            </w:r>
            <w:r>
              <w:rPr>
                <w:rFonts w:hint="eastAsia" w:ascii="仿宋" w:hAnsi="仿宋" w:eastAsia="仿宋" w:cs="仿宋"/>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4" w:type="dxa"/>
          <w:cantSplit/>
          <w:trHeight w:val="1590" w:hRule="atLeast"/>
        </w:trPr>
        <w:tc>
          <w:tcPr>
            <w:tcW w:w="613" w:type="dxa"/>
            <w:tcBorders>
              <w:top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auto"/>
                <w:kern w:val="2"/>
                <w:sz w:val="24"/>
                <w:szCs w:val="24"/>
                <w:highlight w:val="none"/>
                <w:u w:val="none"/>
                <w:shd w:val="clear" w:color="auto" w:fill="auto"/>
                <w:lang w:val="en-US" w:eastAsia="zh-CN" w:bidi="zh-TW"/>
              </w:rPr>
            </w:pPr>
            <w:r>
              <w:rPr>
                <w:rFonts w:hint="eastAsia" w:ascii="仿宋" w:hAnsi="仿宋" w:eastAsia="仿宋" w:cs="仿宋"/>
                <w:color w:val="000000"/>
                <w:kern w:val="0"/>
                <w:sz w:val="24"/>
                <w:szCs w:val="24"/>
              </w:rPr>
              <w:t>2</w:t>
            </w:r>
          </w:p>
        </w:tc>
        <w:tc>
          <w:tcPr>
            <w:tcW w:w="1944" w:type="dxa"/>
            <w:gridSpan w:val="2"/>
            <w:tcBorders>
              <w:top w:val="single" w:color="auto" w:sz="4" w:space="0"/>
              <w:bottom w:val="single" w:color="auto" w:sz="4" w:space="0"/>
              <w:right w:val="single" w:color="auto" w:sz="4" w:space="0"/>
            </w:tcBorders>
            <w:noWrap w:val="0"/>
            <w:vAlign w:val="center"/>
          </w:tcPr>
          <w:p>
            <w:pPr>
              <w:spacing w:line="500" w:lineRule="exact"/>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000000"/>
                <w:kern w:val="0"/>
                <w:sz w:val="24"/>
                <w:szCs w:val="24"/>
                <w:lang w:val="en-US" w:eastAsia="zh-CN"/>
              </w:rPr>
              <w:t>知识产权</w:t>
            </w:r>
            <w:r>
              <w:rPr>
                <w:rFonts w:hint="eastAsia" w:ascii="仿宋" w:hAnsi="仿宋" w:eastAsia="仿宋" w:cs="仿宋"/>
                <w:color w:val="000000"/>
                <w:kern w:val="0"/>
                <w:sz w:val="24"/>
                <w:szCs w:val="24"/>
              </w:rPr>
              <w:t>（5分）</w:t>
            </w:r>
          </w:p>
        </w:tc>
        <w:tc>
          <w:tcPr>
            <w:tcW w:w="5462" w:type="dxa"/>
            <w:gridSpan w:val="2"/>
            <w:tcBorders>
              <w:top w:val="single" w:color="auto" w:sz="4" w:space="0"/>
              <w:bottom w:val="single" w:color="auto" w:sz="4" w:space="0"/>
              <w:right w:val="single" w:color="auto" w:sz="4" w:space="0"/>
            </w:tcBorders>
            <w:noWrap w:val="0"/>
            <w:vAlign w:val="center"/>
          </w:tcPr>
          <w:p>
            <w:pPr>
              <w:spacing w:line="500" w:lineRule="exac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投标产品制造商具有与所投产品相关的知识产权文件或专利证书的每提供1个得1分，最高得5分</w:t>
            </w:r>
            <w:r>
              <w:rPr>
                <w:rFonts w:hint="eastAsia" w:ascii="仿宋" w:hAnsi="仿宋" w:eastAsia="仿宋" w:cs="仿宋"/>
                <w:color w:val="000000"/>
                <w:kern w:val="0"/>
                <w:sz w:val="24"/>
                <w:szCs w:val="24"/>
                <w:lang w:val="zh-CN" w:eastAsia="zh-CN"/>
              </w:rPr>
              <w:t>（需</w:t>
            </w:r>
            <w:r>
              <w:rPr>
                <w:rFonts w:hint="eastAsia" w:ascii="仿宋" w:hAnsi="仿宋" w:eastAsia="仿宋" w:cs="仿宋"/>
                <w:color w:val="000000"/>
                <w:kern w:val="0"/>
                <w:sz w:val="24"/>
                <w:szCs w:val="24"/>
                <w:lang w:val="en-US" w:eastAsia="zh-CN"/>
              </w:rPr>
              <w:t>提供证明材料扫描件，并加盖投标人公章，扫描件进入投标文件，否则不得分</w:t>
            </w:r>
            <w:r>
              <w:rPr>
                <w:rFonts w:hint="eastAsia" w:ascii="仿宋" w:hAnsi="仿宋" w:eastAsia="仿宋" w:cs="仿宋"/>
                <w:color w:val="000000"/>
                <w:kern w:val="0"/>
                <w:sz w:val="24"/>
                <w:szCs w:val="24"/>
                <w:lang w:val="zh-CN" w:eastAsia="zh-CN"/>
              </w:rPr>
              <w:t>）</w:t>
            </w:r>
            <w:r>
              <w:rPr>
                <w:rFonts w:hint="eastAsia" w:ascii="仿宋" w:hAnsi="仿宋" w:eastAsia="仿宋" w:cs="仿宋"/>
                <w:color w:val="000000"/>
                <w:kern w:val="0"/>
                <w:sz w:val="24"/>
                <w:szCs w:val="24"/>
                <w:lang w:val="en-US" w:eastAsia="zh-CN"/>
              </w:rPr>
              <w:t>。</w:t>
            </w:r>
          </w:p>
        </w:tc>
        <w:tc>
          <w:tcPr>
            <w:tcW w:w="1261" w:type="dxa"/>
            <w:tcBorders>
              <w:top w:val="single" w:color="auto" w:sz="4" w:space="0"/>
              <w:right w:val="single" w:color="auto" w:sz="4" w:space="0"/>
            </w:tcBorders>
            <w:noWrap w:val="0"/>
            <w:vAlign w:val="center"/>
          </w:tcPr>
          <w:p>
            <w:pPr>
              <w:spacing w:line="28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rPr>
              <w:t>0-5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4" w:type="dxa"/>
          <w:cantSplit/>
          <w:trHeight w:val="1590" w:hRule="atLeast"/>
        </w:trPr>
        <w:tc>
          <w:tcPr>
            <w:tcW w:w="613" w:type="dxa"/>
            <w:tcBorders>
              <w:top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3</w:t>
            </w:r>
          </w:p>
        </w:tc>
        <w:tc>
          <w:tcPr>
            <w:tcW w:w="1944" w:type="dxa"/>
            <w:gridSpan w:val="2"/>
            <w:tcBorders>
              <w:top w:val="single" w:color="auto" w:sz="4" w:space="0"/>
              <w:bottom w:val="single" w:color="auto" w:sz="4" w:space="0"/>
              <w:right w:val="single" w:color="auto" w:sz="4" w:space="0"/>
            </w:tcBorders>
            <w:noWrap w:val="0"/>
            <w:vAlign w:val="center"/>
          </w:tcPr>
          <w:p>
            <w:pPr>
              <w:spacing w:line="500" w:lineRule="exact"/>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体系证书认证（3分）</w:t>
            </w:r>
          </w:p>
        </w:tc>
        <w:tc>
          <w:tcPr>
            <w:tcW w:w="5462" w:type="dxa"/>
            <w:gridSpan w:val="2"/>
            <w:tcBorders>
              <w:top w:val="single" w:color="auto" w:sz="4" w:space="0"/>
              <w:bottom w:val="single" w:color="auto" w:sz="4" w:space="0"/>
              <w:right w:val="single" w:color="auto" w:sz="4" w:space="0"/>
            </w:tcBorders>
            <w:noWrap w:val="0"/>
            <w:vAlign w:val="center"/>
          </w:tcPr>
          <w:p>
            <w:pPr>
              <w:spacing w:line="500" w:lineRule="exac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投标人或制造商具有质量管理体系认证、环境管理体系认证、职业健康安全管理体系认证的，每提供一个认证证书得1分，本项最高得3分。[需提供认证证书扫描件和中国国家认证认可监督管理委员会（http://www.cnca.gov.cn/）网页截图，证书扫描件和网页截图进入投标文件，否则不得分]。</w:t>
            </w:r>
          </w:p>
        </w:tc>
        <w:tc>
          <w:tcPr>
            <w:tcW w:w="1261" w:type="dxa"/>
            <w:tcBorders>
              <w:top w:val="single" w:color="auto" w:sz="4" w:space="0"/>
              <w:right w:val="single" w:color="auto" w:sz="4" w:space="0"/>
            </w:tcBorders>
            <w:noWrap w:val="0"/>
            <w:vAlign w:val="center"/>
          </w:tcPr>
          <w:p>
            <w:pPr>
              <w:jc w:val="center"/>
              <w:rPr>
                <w:rFonts w:hint="eastAsia" w:ascii="仿宋" w:hAnsi="仿宋" w:eastAsia="仿宋" w:cs="仿宋"/>
                <w:sz w:val="24"/>
                <w:szCs w:val="24"/>
                <w:lang w:val="en-US" w:eastAsia="zh-CN"/>
              </w:rPr>
            </w:pPr>
            <w:r>
              <w:rPr>
                <w:rFonts w:hint="eastAsia" w:ascii="宋体" w:hAnsi="宋体" w:eastAsia="宋体" w:cs="宋体"/>
                <w:color w:val="auto"/>
                <w:sz w:val="24"/>
                <w:szCs w:val="24"/>
                <w:highlight w:val="none"/>
              </w:rPr>
              <w:t>0—3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4" w:type="dxa"/>
          <w:cantSplit/>
          <w:trHeight w:val="1590" w:hRule="atLeast"/>
        </w:trPr>
        <w:tc>
          <w:tcPr>
            <w:tcW w:w="613" w:type="dxa"/>
            <w:vMerge w:val="restart"/>
            <w:tcBorders>
              <w:top w:val="single" w:color="auto" w:sz="4" w:space="0"/>
              <w:right w:val="single" w:color="auto" w:sz="4" w:space="0"/>
            </w:tcBorders>
            <w:noWrap w:val="0"/>
            <w:vAlign w:val="center"/>
          </w:tcPr>
          <w:p>
            <w:pPr>
              <w:widowControl/>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rPr>
              <w:t>4</w:t>
            </w:r>
          </w:p>
        </w:tc>
        <w:tc>
          <w:tcPr>
            <w:tcW w:w="1944" w:type="dxa"/>
            <w:gridSpan w:val="2"/>
            <w:vMerge w:val="restart"/>
            <w:tcBorders>
              <w:top w:val="single" w:color="auto" w:sz="4" w:space="0"/>
              <w:right w:val="single" w:color="auto" w:sz="4" w:space="0"/>
            </w:tcBorders>
            <w:noWrap w:val="0"/>
            <w:vAlign w:val="center"/>
          </w:tcPr>
          <w:p>
            <w:pPr>
              <w:widowControl/>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产品配置（24分）</w:t>
            </w:r>
          </w:p>
        </w:tc>
        <w:tc>
          <w:tcPr>
            <w:tcW w:w="5462" w:type="dxa"/>
            <w:gridSpan w:val="2"/>
            <w:tcBorders>
              <w:top w:val="single" w:color="auto" w:sz="4" w:space="0"/>
              <w:bottom w:val="single" w:color="auto" w:sz="4" w:space="0"/>
              <w:right w:val="single" w:color="auto" w:sz="4" w:space="0"/>
            </w:tcBorders>
            <w:noWrap w:val="0"/>
            <w:vAlign w:val="center"/>
          </w:tcPr>
          <w:p>
            <w:pPr>
              <w:spacing w:line="500" w:lineRule="exac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zh-CN" w:eastAsia="zh-CN"/>
              </w:rPr>
              <w:t>所投产品参数基本满足招标需求的得</w:t>
            </w:r>
            <w:r>
              <w:rPr>
                <w:rFonts w:hint="eastAsia" w:ascii="仿宋" w:hAnsi="仿宋" w:eastAsia="仿宋" w:cs="仿宋"/>
                <w:color w:val="000000"/>
                <w:kern w:val="0"/>
                <w:sz w:val="24"/>
                <w:szCs w:val="24"/>
                <w:lang w:val="en-US" w:eastAsia="zh-CN"/>
              </w:rPr>
              <w:t>18</w:t>
            </w:r>
            <w:r>
              <w:rPr>
                <w:rFonts w:hint="eastAsia" w:ascii="仿宋" w:hAnsi="仿宋" w:eastAsia="仿宋" w:cs="仿宋"/>
                <w:color w:val="000000"/>
                <w:kern w:val="0"/>
                <w:sz w:val="24"/>
                <w:szCs w:val="24"/>
                <w:lang w:val="zh-CN" w:eastAsia="zh-CN"/>
              </w:rPr>
              <w:t>分, 出现非实质性负偏离每项扣3分，依次类推，扣完为止；非实质性负偏离10项以上（不含）或有实质性负偏离的，作无效标处理[注：参数</w:t>
            </w:r>
            <w:r>
              <w:rPr>
                <w:rFonts w:hint="eastAsia" w:ascii="仿宋" w:hAnsi="仿宋" w:eastAsia="仿宋" w:cs="仿宋"/>
                <w:color w:val="000000"/>
                <w:kern w:val="0"/>
                <w:sz w:val="24"/>
                <w:szCs w:val="24"/>
                <w:lang w:val="en-US" w:eastAsia="zh-CN"/>
              </w:rPr>
              <w:t>均须提供制造商确认的</w:t>
            </w:r>
            <w:r>
              <w:rPr>
                <w:rFonts w:hint="eastAsia" w:ascii="仿宋" w:hAnsi="仿宋" w:eastAsia="仿宋" w:cs="仿宋"/>
                <w:color w:val="000000"/>
                <w:kern w:val="0"/>
                <w:sz w:val="24"/>
                <w:szCs w:val="24"/>
                <w:lang w:val="zh-CN" w:eastAsia="zh-CN"/>
              </w:rPr>
              <w:t>，</w:t>
            </w:r>
            <w:r>
              <w:rPr>
                <w:rFonts w:hint="eastAsia" w:ascii="仿宋" w:hAnsi="仿宋" w:eastAsia="仿宋" w:cs="仿宋"/>
                <w:color w:val="000000"/>
                <w:kern w:val="0"/>
                <w:sz w:val="24"/>
                <w:szCs w:val="24"/>
                <w:lang w:val="en-US" w:eastAsia="zh-CN"/>
              </w:rPr>
              <w:t>同时</w:t>
            </w:r>
            <w:r>
              <w:rPr>
                <w:rFonts w:hint="eastAsia" w:ascii="仿宋" w:hAnsi="仿宋" w:eastAsia="仿宋" w:cs="仿宋"/>
                <w:color w:val="000000"/>
                <w:kern w:val="0"/>
                <w:sz w:val="24"/>
                <w:szCs w:val="24"/>
                <w:lang w:val="zh-CN" w:eastAsia="zh-CN"/>
              </w:rPr>
              <w:t>以上技术参数如出现偏离必须在《技术响应表》中完整体现，如有虚假应标，将作无效标处理]。</w:t>
            </w:r>
          </w:p>
        </w:tc>
        <w:tc>
          <w:tcPr>
            <w:tcW w:w="1261" w:type="dxa"/>
            <w:tcBorders>
              <w:top w:val="single" w:color="auto" w:sz="4" w:space="0"/>
              <w:right w:val="single" w:color="auto" w:sz="4" w:space="0"/>
            </w:tcBorders>
            <w:noWrap w:val="0"/>
            <w:vAlign w:val="center"/>
          </w:tcPr>
          <w:p>
            <w:pPr>
              <w:spacing w:line="28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rPr>
              <w:t>0-</w:t>
            </w:r>
            <w:r>
              <w:rPr>
                <w:rFonts w:hint="eastAsia" w:ascii="仿宋" w:hAnsi="仿宋" w:eastAsia="仿宋" w:cs="仿宋"/>
                <w:sz w:val="24"/>
                <w:szCs w:val="24"/>
                <w:lang w:val="en-US" w:eastAsia="zh-CN"/>
              </w:rPr>
              <w:t>18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4" w:type="dxa"/>
          <w:cantSplit/>
          <w:trHeight w:val="1590" w:hRule="atLeast"/>
        </w:trPr>
        <w:tc>
          <w:tcPr>
            <w:tcW w:w="613" w:type="dxa"/>
            <w:vMerge w:val="continue"/>
            <w:tcBorders>
              <w:right w:val="single" w:color="auto" w:sz="4" w:space="0"/>
            </w:tcBorders>
            <w:noWrap w:val="0"/>
            <w:vAlign w:val="center"/>
          </w:tcPr>
          <w:p>
            <w:pPr>
              <w:widowControl/>
              <w:jc w:val="center"/>
              <w:rPr>
                <w:rFonts w:hint="eastAsia" w:ascii="仿宋" w:hAnsi="仿宋" w:eastAsia="仿宋" w:cs="仿宋"/>
                <w:color w:val="000000"/>
                <w:kern w:val="0"/>
              </w:rPr>
            </w:pPr>
          </w:p>
        </w:tc>
        <w:tc>
          <w:tcPr>
            <w:tcW w:w="1944" w:type="dxa"/>
            <w:gridSpan w:val="2"/>
            <w:vMerge w:val="continue"/>
            <w:tcBorders>
              <w:right w:val="single" w:color="auto" w:sz="4" w:space="0"/>
            </w:tcBorders>
            <w:noWrap w:val="0"/>
            <w:vAlign w:val="center"/>
          </w:tcPr>
          <w:p>
            <w:pPr>
              <w:widowControl/>
              <w:jc w:val="center"/>
              <w:rPr>
                <w:rFonts w:hint="eastAsia" w:ascii="仿宋" w:hAnsi="仿宋" w:eastAsia="仿宋" w:cs="仿宋"/>
                <w:color w:val="000000"/>
                <w:kern w:val="0"/>
                <w:sz w:val="24"/>
                <w:szCs w:val="24"/>
                <w:lang w:val="en-US" w:eastAsia="zh-CN"/>
              </w:rPr>
            </w:pPr>
          </w:p>
        </w:tc>
        <w:tc>
          <w:tcPr>
            <w:tcW w:w="5462" w:type="dxa"/>
            <w:gridSpan w:val="2"/>
            <w:tcBorders>
              <w:top w:val="single" w:color="auto" w:sz="4" w:space="0"/>
              <w:bottom w:val="single" w:color="auto" w:sz="4" w:space="0"/>
              <w:right w:val="single" w:color="auto" w:sz="4" w:space="0"/>
            </w:tcBorders>
            <w:noWrap w:val="0"/>
            <w:vAlign w:val="center"/>
          </w:tcPr>
          <w:p>
            <w:pPr>
              <w:spacing w:line="500" w:lineRule="exac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投标人或制造商所投产品的生产检测工艺、“表面处理”工艺、车辆结构强度、焊接工艺、组装工艺、制造工艺等情况进行打分,不足一处扣1分，扣完为止。</w:t>
            </w:r>
          </w:p>
        </w:tc>
        <w:tc>
          <w:tcPr>
            <w:tcW w:w="1261" w:type="dxa"/>
            <w:tcBorders>
              <w:top w:val="single" w:color="auto" w:sz="4" w:space="0"/>
              <w:right w:val="single" w:color="auto" w:sz="4" w:space="0"/>
            </w:tcBorders>
            <w:noWrap w:val="0"/>
            <w:vAlign w:val="center"/>
          </w:tcPr>
          <w:p>
            <w:pPr>
              <w:spacing w:line="28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0-5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4" w:type="dxa"/>
          <w:cantSplit/>
          <w:trHeight w:val="1590" w:hRule="atLeast"/>
        </w:trPr>
        <w:tc>
          <w:tcPr>
            <w:tcW w:w="613" w:type="dxa"/>
            <w:vMerge w:val="continue"/>
            <w:tcBorders>
              <w:right w:val="single" w:color="auto" w:sz="4" w:space="0"/>
            </w:tcBorders>
            <w:noWrap w:val="0"/>
            <w:vAlign w:val="center"/>
          </w:tcPr>
          <w:p>
            <w:pPr>
              <w:widowControl/>
              <w:jc w:val="center"/>
              <w:rPr>
                <w:rFonts w:hint="eastAsia" w:ascii="仿宋" w:hAnsi="仿宋" w:eastAsia="仿宋" w:cs="仿宋"/>
                <w:color w:val="000000"/>
                <w:kern w:val="0"/>
              </w:rPr>
            </w:pPr>
          </w:p>
        </w:tc>
        <w:tc>
          <w:tcPr>
            <w:tcW w:w="1944" w:type="dxa"/>
            <w:gridSpan w:val="2"/>
            <w:vMerge w:val="continue"/>
            <w:tcBorders>
              <w:right w:val="single" w:color="auto" w:sz="4" w:space="0"/>
            </w:tcBorders>
            <w:noWrap w:val="0"/>
            <w:vAlign w:val="center"/>
          </w:tcPr>
          <w:p>
            <w:pPr>
              <w:widowControl/>
              <w:jc w:val="center"/>
              <w:rPr>
                <w:rFonts w:hint="eastAsia" w:ascii="仿宋" w:hAnsi="仿宋" w:eastAsia="仿宋" w:cs="仿宋"/>
                <w:color w:val="000000"/>
                <w:kern w:val="0"/>
                <w:sz w:val="24"/>
                <w:szCs w:val="24"/>
                <w:lang w:val="en-US" w:eastAsia="zh-CN"/>
              </w:rPr>
            </w:pPr>
          </w:p>
        </w:tc>
        <w:tc>
          <w:tcPr>
            <w:tcW w:w="5462" w:type="dxa"/>
            <w:gridSpan w:val="2"/>
            <w:tcBorders>
              <w:top w:val="single" w:color="auto" w:sz="4" w:space="0"/>
              <w:bottom w:val="single" w:color="auto" w:sz="4" w:space="0"/>
              <w:right w:val="single" w:color="auto" w:sz="4" w:space="0"/>
            </w:tcBorders>
            <w:noWrap w:val="0"/>
            <w:vAlign w:val="center"/>
          </w:tcPr>
          <w:p>
            <w:pPr>
              <w:spacing w:line="500" w:lineRule="exact"/>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发动机额定功率&gt;192KW的加1分（需提供发动机铭牌照片）</w:t>
            </w:r>
          </w:p>
        </w:tc>
        <w:tc>
          <w:tcPr>
            <w:tcW w:w="1261" w:type="dxa"/>
            <w:tcBorders>
              <w:top w:val="single" w:color="auto" w:sz="4" w:space="0"/>
              <w:right w:val="single" w:color="auto" w:sz="4" w:space="0"/>
            </w:tcBorders>
            <w:noWrap w:val="0"/>
            <w:vAlign w:val="center"/>
          </w:tcPr>
          <w:p>
            <w:pPr>
              <w:spacing w:line="28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0-1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4" w:type="dxa"/>
          <w:cantSplit/>
          <w:trHeight w:val="1590" w:hRule="atLeast"/>
        </w:trPr>
        <w:tc>
          <w:tcPr>
            <w:tcW w:w="613" w:type="dxa"/>
            <w:tcBorders>
              <w:top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val="en-US" w:eastAsia="zh-CN"/>
              </w:rPr>
              <w:t>5</w:t>
            </w:r>
          </w:p>
        </w:tc>
        <w:tc>
          <w:tcPr>
            <w:tcW w:w="1944" w:type="dxa"/>
            <w:gridSpan w:val="2"/>
            <w:tcBorders>
              <w:top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rPr>
              <w:t>供货、安装、调试、验收方案（5分）</w:t>
            </w:r>
          </w:p>
        </w:tc>
        <w:tc>
          <w:tcPr>
            <w:tcW w:w="5462" w:type="dxa"/>
            <w:gridSpan w:val="2"/>
            <w:tcBorders>
              <w:top w:val="single" w:color="auto" w:sz="4" w:space="0"/>
              <w:bottom w:val="single" w:color="auto" w:sz="4" w:space="0"/>
              <w:right w:val="single" w:color="auto" w:sz="4" w:space="0"/>
            </w:tcBorders>
            <w:noWrap w:val="0"/>
            <w:vAlign w:val="center"/>
          </w:tcPr>
          <w:p>
            <w:pPr>
              <w:spacing w:line="500" w:lineRule="exact"/>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lang w:val="en-US" w:eastAsia="zh-CN"/>
              </w:rPr>
              <w:t>根据投标人或制造商提供的组织供货、安装、调试、验收方案进行综合打分。</w:t>
            </w:r>
          </w:p>
        </w:tc>
        <w:tc>
          <w:tcPr>
            <w:tcW w:w="1261" w:type="dxa"/>
            <w:tcBorders>
              <w:top w:val="single" w:color="auto" w:sz="4" w:space="0"/>
              <w:bottom w:val="single" w:color="auto" w:sz="4" w:space="0"/>
              <w:right w:val="single" w:color="auto" w:sz="4" w:space="0"/>
            </w:tcBorders>
            <w:noWrap w:val="0"/>
            <w:vAlign w:val="center"/>
          </w:tcPr>
          <w:p>
            <w:pPr>
              <w:spacing w:line="280" w:lineRule="exact"/>
              <w:jc w:val="center"/>
              <w:rPr>
                <w:rFonts w:hint="eastAsia" w:ascii="仿宋" w:hAnsi="仿宋" w:eastAsia="仿宋" w:cs="仿宋"/>
                <w:sz w:val="24"/>
                <w:szCs w:val="24"/>
                <w:lang w:eastAsia="zh-CN"/>
              </w:rPr>
            </w:pPr>
            <w:r>
              <w:rPr>
                <w:rFonts w:hint="eastAsia" w:ascii="仿宋" w:hAnsi="仿宋" w:eastAsia="仿宋" w:cs="仿宋"/>
                <w:sz w:val="24"/>
                <w:szCs w:val="24"/>
              </w:rPr>
              <w:t>0-</w:t>
            </w:r>
            <w:r>
              <w:rPr>
                <w:rFonts w:hint="eastAsia" w:ascii="仿宋" w:hAnsi="仿宋" w:eastAsia="仿宋" w:cs="仿宋"/>
                <w:sz w:val="24"/>
                <w:szCs w:val="24"/>
                <w:lang w:val="en-US" w:eastAsia="zh-CN"/>
              </w:rPr>
              <w:t>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4" w:type="dxa"/>
          <w:cantSplit/>
          <w:trHeight w:val="842" w:hRule="atLeast"/>
        </w:trPr>
        <w:tc>
          <w:tcPr>
            <w:tcW w:w="613" w:type="dxa"/>
            <w:tcBorders>
              <w:top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kern w:val="0"/>
                <w:sz w:val="24"/>
                <w:szCs w:val="24"/>
                <w:lang w:eastAsia="zh-CN"/>
              </w:rPr>
            </w:pPr>
            <w:r>
              <w:rPr>
                <w:rFonts w:hint="eastAsia" w:ascii="仿宋" w:hAnsi="仿宋" w:eastAsia="仿宋" w:cs="仿宋"/>
                <w:b w:val="0"/>
                <w:bCs/>
                <w:color w:val="000000"/>
                <w:sz w:val="24"/>
                <w:szCs w:val="24"/>
                <w:lang w:val="en-US" w:eastAsia="zh-CN"/>
              </w:rPr>
              <w:t>6</w:t>
            </w:r>
          </w:p>
        </w:tc>
        <w:tc>
          <w:tcPr>
            <w:tcW w:w="1944" w:type="dxa"/>
            <w:gridSpan w:val="2"/>
            <w:tcBorders>
              <w:top w:val="single" w:color="auto" w:sz="4" w:space="0"/>
              <w:bottom w:val="single" w:color="auto" w:sz="4" w:space="0"/>
              <w:right w:val="single" w:color="auto" w:sz="4" w:space="0"/>
            </w:tcBorders>
            <w:noWrap w:val="0"/>
            <w:vAlign w:val="center"/>
          </w:tcPr>
          <w:p>
            <w:pPr>
              <w:spacing w:line="500" w:lineRule="exact"/>
              <w:jc w:val="center"/>
              <w:rPr>
                <w:rFonts w:hint="eastAsia" w:ascii="仿宋" w:hAnsi="仿宋" w:eastAsia="仿宋" w:cs="仿宋"/>
                <w:color w:val="000000"/>
                <w:kern w:val="0"/>
                <w:sz w:val="24"/>
                <w:szCs w:val="24"/>
              </w:rPr>
            </w:pPr>
            <w:r>
              <w:rPr>
                <w:rFonts w:hint="eastAsia" w:ascii="仿宋" w:hAnsi="仿宋" w:eastAsia="仿宋" w:cs="仿宋"/>
                <w:sz w:val="24"/>
                <w:szCs w:val="24"/>
                <w:lang w:val="en-US" w:eastAsia="zh-CN"/>
              </w:rPr>
              <w:t>性能稳定性</w:t>
            </w:r>
            <w:r>
              <w:rPr>
                <w:rFonts w:hint="eastAsia" w:ascii="仿宋" w:hAnsi="仿宋" w:eastAsia="仿宋" w:cs="仿宋"/>
                <w:sz w:val="24"/>
                <w:szCs w:val="24"/>
              </w:rPr>
              <w:t>（</w:t>
            </w:r>
            <w:r>
              <w:rPr>
                <w:rFonts w:hint="eastAsia" w:ascii="仿宋" w:hAnsi="仿宋" w:eastAsia="仿宋" w:cs="仿宋"/>
                <w:sz w:val="24"/>
                <w:szCs w:val="24"/>
                <w:lang w:val="en-US" w:eastAsia="zh-CN"/>
              </w:rPr>
              <w:t>5</w:t>
            </w:r>
            <w:r>
              <w:rPr>
                <w:rFonts w:hint="eastAsia" w:ascii="仿宋" w:hAnsi="仿宋" w:eastAsia="仿宋" w:cs="仿宋"/>
                <w:sz w:val="24"/>
                <w:szCs w:val="24"/>
              </w:rPr>
              <w:t>分）</w:t>
            </w:r>
          </w:p>
        </w:tc>
        <w:tc>
          <w:tcPr>
            <w:tcW w:w="5462" w:type="dxa"/>
            <w:gridSpan w:val="2"/>
            <w:tcBorders>
              <w:top w:val="single" w:color="auto" w:sz="4" w:space="0"/>
              <w:bottom w:val="single" w:color="auto" w:sz="4" w:space="0"/>
              <w:right w:val="single" w:color="auto" w:sz="4" w:space="0"/>
            </w:tcBorders>
            <w:noWrap w:val="0"/>
            <w:vAlign w:val="top"/>
          </w:tcPr>
          <w:p>
            <w:pPr>
              <w:spacing w:line="500" w:lineRule="exac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rPr>
              <w:t>根据投标项目整体实施方案是否技术先进、经济合理、实用可靠等，评委在分值范围内进行打分，不足一处扣1分，扣完为止。</w:t>
            </w:r>
          </w:p>
        </w:tc>
        <w:tc>
          <w:tcPr>
            <w:tcW w:w="1261" w:type="dxa"/>
            <w:tcBorders>
              <w:top w:val="single" w:color="auto" w:sz="4" w:space="0"/>
              <w:right w:val="single" w:color="auto" w:sz="4" w:space="0"/>
            </w:tcBorders>
            <w:noWrap w:val="0"/>
            <w:vAlign w:val="center"/>
          </w:tcPr>
          <w:p>
            <w:pPr>
              <w:spacing w:line="280" w:lineRule="exact"/>
              <w:jc w:val="center"/>
              <w:rPr>
                <w:rFonts w:hint="eastAsia" w:ascii="仿宋" w:hAnsi="仿宋" w:eastAsia="仿宋" w:cs="仿宋"/>
                <w:sz w:val="24"/>
                <w:szCs w:val="24"/>
                <w:lang w:eastAsia="zh-CN"/>
              </w:rPr>
            </w:pPr>
            <w:r>
              <w:rPr>
                <w:rFonts w:hint="eastAsia" w:ascii="仿宋" w:hAnsi="仿宋" w:eastAsia="仿宋" w:cs="仿宋"/>
                <w:sz w:val="24"/>
                <w:szCs w:val="24"/>
              </w:rPr>
              <w:t>0-</w:t>
            </w:r>
            <w:r>
              <w:rPr>
                <w:rFonts w:hint="eastAsia" w:ascii="仿宋" w:hAnsi="仿宋" w:eastAsia="仿宋" w:cs="仿宋"/>
                <w:sz w:val="24"/>
                <w:szCs w:val="24"/>
                <w:lang w:val="en-US" w:eastAsia="zh-CN"/>
              </w:rPr>
              <w:t>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4" w:type="dxa"/>
          <w:cantSplit/>
          <w:trHeight w:val="2490" w:hRule="atLeast"/>
        </w:trPr>
        <w:tc>
          <w:tcPr>
            <w:tcW w:w="613" w:type="dxa"/>
            <w:tcBorders>
              <w:top w:val="single" w:color="auto" w:sz="4" w:space="0"/>
              <w:right w:val="single" w:color="auto" w:sz="4" w:space="0"/>
            </w:tcBorders>
            <w:noWrap w:val="0"/>
            <w:vAlign w:val="center"/>
          </w:tcPr>
          <w:p>
            <w:pPr>
              <w:jc w:val="center"/>
              <w:rPr>
                <w:rFonts w:hint="eastAsia" w:ascii="仿宋" w:hAnsi="仿宋" w:eastAsia="仿宋" w:cs="仿宋"/>
                <w:b/>
                <w:color w:val="000000"/>
                <w:sz w:val="24"/>
                <w:szCs w:val="24"/>
                <w:lang w:eastAsia="zh-CN"/>
              </w:rPr>
            </w:pPr>
            <w:r>
              <w:rPr>
                <w:rFonts w:hint="eastAsia" w:ascii="仿宋" w:hAnsi="仿宋" w:eastAsia="仿宋" w:cs="仿宋"/>
                <w:color w:val="000000"/>
                <w:sz w:val="24"/>
                <w:szCs w:val="24"/>
                <w:lang w:val="en-US" w:eastAsia="zh-CN"/>
              </w:rPr>
              <w:t>7</w:t>
            </w:r>
          </w:p>
        </w:tc>
        <w:tc>
          <w:tcPr>
            <w:tcW w:w="1944" w:type="dxa"/>
            <w:gridSpan w:val="2"/>
            <w:tcBorders>
              <w:top w:val="single" w:color="auto" w:sz="4" w:space="0"/>
              <w:right w:val="single" w:color="auto" w:sz="4" w:space="0"/>
            </w:tcBorders>
            <w:noWrap w:val="0"/>
            <w:vAlign w:val="center"/>
          </w:tcPr>
          <w:p>
            <w:pPr>
              <w:spacing w:line="500" w:lineRule="exact"/>
              <w:jc w:val="center"/>
              <w:rPr>
                <w:rFonts w:hint="eastAsia" w:ascii="仿宋" w:hAnsi="仿宋" w:eastAsia="仿宋" w:cs="仿宋"/>
                <w:sz w:val="24"/>
                <w:szCs w:val="24"/>
              </w:rPr>
            </w:pPr>
            <w:r>
              <w:rPr>
                <w:rFonts w:hint="eastAsia" w:ascii="仿宋" w:hAnsi="仿宋" w:eastAsia="仿宋" w:cs="仿宋"/>
                <w:sz w:val="24"/>
                <w:szCs w:val="24"/>
                <w:lang w:val="en-US" w:eastAsia="zh-CN"/>
              </w:rPr>
              <w:t>培训方案</w:t>
            </w:r>
            <w:r>
              <w:rPr>
                <w:rFonts w:hint="eastAsia" w:ascii="仿宋" w:hAnsi="仿宋" w:eastAsia="仿宋" w:cs="仿宋"/>
                <w:sz w:val="24"/>
                <w:szCs w:val="24"/>
              </w:rPr>
              <w:t>（</w:t>
            </w:r>
            <w:r>
              <w:rPr>
                <w:rFonts w:hint="eastAsia" w:ascii="仿宋" w:hAnsi="仿宋" w:eastAsia="仿宋" w:cs="仿宋"/>
                <w:sz w:val="24"/>
                <w:szCs w:val="24"/>
                <w:lang w:val="en-US" w:eastAsia="zh-CN"/>
              </w:rPr>
              <w:t>4</w:t>
            </w:r>
            <w:r>
              <w:rPr>
                <w:rFonts w:hint="eastAsia" w:ascii="仿宋" w:hAnsi="仿宋" w:eastAsia="仿宋" w:cs="仿宋"/>
                <w:sz w:val="24"/>
                <w:szCs w:val="24"/>
              </w:rPr>
              <w:t>分）</w:t>
            </w:r>
          </w:p>
        </w:tc>
        <w:tc>
          <w:tcPr>
            <w:tcW w:w="5462" w:type="dxa"/>
            <w:gridSpan w:val="2"/>
            <w:tcBorders>
              <w:top w:val="single" w:color="auto" w:sz="4" w:space="0"/>
              <w:right w:val="single" w:color="auto" w:sz="4" w:space="0"/>
            </w:tcBorders>
            <w:noWrap w:val="0"/>
            <w:vAlign w:val="top"/>
          </w:tcPr>
          <w:p>
            <w:pPr>
              <w:spacing w:line="500" w:lineRule="exac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rPr>
              <w:t>根据投标人或制造商针对本项目制定的培训方案进行评价,培训方案应至少包括①培训时间、地点；②培训的主要内容(至少包含使用及日常维护内容)；③培训讲师的资历；④预期培训效果等内容进行打分；不足一处扣1分，扣完为止。</w:t>
            </w:r>
          </w:p>
        </w:tc>
        <w:tc>
          <w:tcPr>
            <w:tcW w:w="1261" w:type="dxa"/>
            <w:tcBorders>
              <w:top w:val="single" w:color="auto" w:sz="4" w:space="0"/>
              <w:right w:val="single" w:color="auto" w:sz="4" w:space="0"/>
            </w:tcBorders>
            <w:noWrap w:val="0"/>
            <w:vAlign w:val="center"/>
          </w:tcPr>
          <w:p>
            <w:pPr>
              <w:spacing w:line="28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rPr>
              <w:t>0-</w:t>
            </w:r>
            <w:r>
              <w:rPr>
                <w:rFonts w:hint="eastAsia" w:ascii="仿宋" w:hAnsi="仿宋" w:eastAsia="仿宋" w:cs="仿宋"/>
                <w:sz w:val="24"/>
                <w:szCs w:val="24"/>
                <w:lang w:val="en-US" w:eastAsia="zh-CN"/>
              </w:rPr>
              <w:t>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4" w:type="dxa"/>
          <w:cantSplit/>
          <w:trHeight w:val="2490" w:hRule="atLeast"/>
        </w:trPr>
        <w:tc>
          <w:tcPr>
            <w:tcW w:w="613" w:type="dxa"/>
            <w:tcBorders>
              <w:top w:val="single" w:color="auto" w:sz="4" w:space="0"/>
              <w:right w:val="single" w:color="auto" w:sz="4" w:space="0"/>
            </w:tcBorders>
            <w:noWrap w:val="0"/>
            <w:vAlign w:val="center"/>
          </w:tcPr>
          <w:p>
            <w:pPr>
              <w:jc w:val="center"/>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8</w:t>
            </w:r>
          </w:p>
        </w:tc>
        <w:tc>
          <w:tcPr>
            <w:tcW w:w="1944" w:type="dxa"/>
            <w:gridSpan w:val="2"/>
            <w:tcBorders>
              <w:top w:val="single" w:color="auto" w:sz="4" w:space="0"/>
              <w:right w:val="single" w:color="auto" w:sz="4" w:space="0"/>
            </w:tcBorders>
            <w:noWrap w:val="0"/>
            <w:vAlign w:val="center"/>
          </w:tcPr>
          <w:p>
            <w:pPr>
              <w:spacing w:line="50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优惠条件和承诺情况（6分）</w:t>
            </w:r>
          </w:p>
        </w:tc>
        <w:tc>
          <w:tcPr>
            <w:tcW w:w="5462" w:type="dxa"/>
            <w:gridSpan w:val="2"/>
            <w:tcBorders>
              <w:top w:val="single" w:color="auto" w:sz="4" w:space="0"/>
              <w:right w:val="single" w:color="auto" w:sz="4" w:space="0"/>
            </w:tcBorders>
            <w:noWrap w:val="0"/>
            <w:vAlign w:val="center"/>
          </w:tcPr>
          <w:p>
            <w:pPr>
              <w:spacing w:line="50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投标人或制造商提出的优惠条件和承诺情况，包括投标设备的配件、附件、备品备件的准备和保障措施情况进行打分，不足一处扣1分，扣完为止。</w:t>
            </w:r>
          </w:p>
        </w:tc>
        <w:tc>
          <w:tcPr>
            <w:tcW w:w="1261" w:type="dxa"/>
            <w:tcBorders>
              <w:top w:val="single" w:color="auto" w:sz="4" w:space="0"/>
              <w:right w:val="single" w:color="auto" w:sz="4" w:space="0"/>
            </w:tcBorders>
            <w:noWrap w:val="0"/>
            <w:vAlign w:val="center"/>
          </w:tcPr>
          <w:p>
            <w:pPr>
              <w:spacing w:line="28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0-6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4" w:type="dxa"/>
          <w:cantSplit/>
          <w:trHeight w:val="2490" w:hRule="atLeast"/>
        </w:trPr>
        <w:tc>
          <w:tcPr>
            <w:tcW w:w="613" w:type="dxa"/>
            <w:vMerge w:val="restart"/>
            <w:tcBorders>
              <w:top w:val="single" w:color="auto" w:sz="4" w:space="0"/>
              <w:right w:val="single" w:color="auto" w:sz="4" w:space="0"/>
            </w:tcBorders>
            <w:noWrap w:val="0"/>
            <w:vAlign w:val="center"/>
          </w:tcPr>
          <w:p>
            <w:pPr>
              <w:jc w:val="center"/>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9</w:t>
            </w:r>
          </w:p>
          <w:p>
            <w:pPr>
              <w:pStyle w:val="12"/>
              <w:rPr>
                <w:rFonts w:hint="eastAsia" w:ascii="仿宋" w:hAnsi="仿宋" w:eastAsia="仿宋" w:cs="仿宋"/>
                <w:color w:val="000000"/>
                <w:sz w:val="24"/>
                <w:szCs w:val="24"/>
                <w:lang w:val="en-US" w:eastAsia="zh-CN"/>
              </w:rPr>
            </w:pPr>
          </w:p>
          <w:p>
            <w:pPr>
              <w:pStyle w:val="13"/>
              <w:rPr>
                <w:rFonts w:hint="eastAsia" w:ascii="仿宋" w:hAnsi="仿宋" w:eastAsia="仿宋" w:cs="仿宋"/>
                <w:color w:val="000000"/>
                <w:sz w:val="24"/>
                <w:szCs w:val="24"/>
                <w:lang w:val="en-US" w:eastAsia="zh-CN"/>
              </w:rPr>
            </w:pPr>
          </w:p>
          <w:p>
            <w:pPr>
              <w:rPr>
                <w:rFonts w:hint="eastAsia"/>
                <w:lang w:val="en-US" w:eastAsia="zh-CN"/>
              </w:rPr>
            </w:pPr>
          </w:p>
        </w:tc>
        <w:tc>
          <w:tcPr>
            <w:tcW w:w="1944" w:type="dxa"/>
            <w:gridSpan w:val="2"/>
            <w:vMerge w:val="restart"/>
            <w:tcBorders>
              <w:top w:val="single" w:color="auto" w:sz="4" w:space="0"/>
              <w:right w:val="single" w:color="auto" w:sz="4" w:space="0"/>
            </w:tcBorders>
            <w:noWrap w:val="0"/>
            <w:vAlign w:val="center"/>
          </w:tcPr>
          <w:p>
            <w:pPr>
              <w:spacing w:line="50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售后服务（7分）</w:t>
            </w:r>
          </w:p>
        </w:tc>
        <w:tc>
          <w:tcPr>
            <w:tcW w:w="5462" w:type="dxa"/>
            <w:gridSpan w:val="2"/>
            <w:tcBorders>
              <w:top w:val="single" w:color="auto" w:sz="4" w:space="0"/>
              <w:right w:val="single" w:color="auto" w:sz="4" w:space="0"/>
            </w:tcBorders>
            <w:noWrap w:val="0"/>
            <w:vAlign w:val="center"/>
          </w:tcPr>
          <w:p>
            <w:pPr>
              <w:spacing w:line="50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投标人或制造商通过五星级售后服务认证以上的得2分,认证依据《商品售后服务评价体系》(GB/T27922-2011)标淮（需提供认证证书扫描件并加盖投标人公章，并提供中国国家认证认可监督管理委员会（http://www.cnca.gov.cn/）网页截图，证书扫描件和网页截图进入投标文件，否则不得分）。</w:t>
            </w:r>
          </w:p>
        </w:tc>
        <w:tc>
          <w:tcPr>
            <w:tcW w:w="1261" w:type="dxa"/>
            <w:tcBorders>
              <w:top w:val="single" w:color="auto" w:sz="4" w:space="0"/>
              <w:right w:val="single" w:color="auto" w:sz="4" w:space="0"/>
            </w:tcBorders>
            <w:noWrap w:val="0"/>
            <w:vAlign w:val="center"/>
          </w:tcPr>
          <w:p>
            <w:pPr>
              <w:spacing w:line="28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0-2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4" w:type="dxa"/>
          <w:cantSplit/>
          <w:trHeight w:val="2490" w:hRule="atLeast"/>
        </w:trPr>
        <w:tc>
          <w:tcPr>
            <w:tcW w:w="613" w:type="dxa"/>
            <w:vMerge w:val="continue"/>
            <w:tcBorders>
              <w:right w:val="single" w:color="auto" w:sz="4" w:space="0"/>
            </w:tcBorders>
            <w:noWrap w:val="0"/>
            <w:vAlign w:val="center"/>
          </w:tcPr>
          <w:p>
            <w:pPr>
              <w:rPr>
                <w:rFonts w:hint="eastAsia"/>
                <w:lang w:val="en-US" w:eastAsia="zh-CN"/>
              </w:rPr>
            </w:pPr>
          </w:p>
        </w:tc>
        <w:tc>
          <w:tcPr>
            <w:tcW w:w="1944" w:type="dxa"/>
            <w:gridSpan w:val="2"/>
            <w:vMerge w:val="continue"/>
            <w:tcBorders>
              <w:right w:val="single" w:color="auto" w:sz="4" w:space="0"/>
            </w:tcBorders>
            <w:noWrap w:val="0"/>
            <w:vAlign w:val="center"/>
          </w:tcPr>
          <w:p>
            <w:pPr>
              <w:spacing w:line="500" w:lineRule="exact"/>
              <w:jc w:val="center"/>
              <w:rPr>
                <w:rFonts w:hint="eastAsia" w:ascii="仿宋" w:hAnsi="仿宋" w:eastAsia="仿宋" w:cs="仿宋"/>
                <w:sz w:val="24"/>
                <w:szCs w:val="24"/>
                <w:lang w:val="en-US" w:eastAsia="zh-CN"/>
              </w:rPr>
            </w:pPr>
          </w:p>
        </w:tc>
        <w:tc>
          <w:tcPr>
            <w:tcW w:w="5462" w:type="dxa"/>
            <w:gridSpan w:val="2"/>
            <w:tcBorders>
              <w:top w:val="single" w:color="auto" w:sz="4" w:space="0"/>
              <w:right w:val="single" w:color="auto" w:sz="4" w:space="0"/>
            </w:tcBorders>
            <w:noWrap w:val="0"/>
            <w:vAlign w:val="center"/>
          </w:tcPr>
          <w:p>
            <w:pPr>
              <w:spacing w:line="50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根据投标人或制造商提供的其他实质性服务内容（包括售后服务维修队伍、维护周期及维护执行流程、服务响应时间、零配件供应情况），且措施和承诺切实可行，进行打分，不足一处扣1分，扣完为止。</w:t>
            </w:r>
          </w:p>
        </w:tc>
        <w:tc>
          <w:tcPr>
            <w:tcW w:w="1261" w:type="dxa"/>
            <w:tcBorders>
              <w:top w:val="single" w:color="auto" w:sz="4" w:space="0"/>
              <w:right w:val="single" w:color="auto" w:sz="4" w:space="0"/>
            </w:tcBorders>
            <w:noWrap w:val="0"/>
            <w:vAlign w:val="center"/>
          </w:tcPr>
          <w:p>
            <w:pPr>
              <w:spacing w:line="28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0-5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4" w:type="dxa"/>
          <w:cantSplit/>
          <w:trHeight w:val="2490" w:hRule="atLeast"/>
        </w:trPr>
        <w:tc>
          <w:tcPr>
            <w:tcW w:w="613" w:type="dxa"/>
            <w:tcBorders>
              <w:top w:val="single" w:color="auto" w:sz="4" w:space="0"/>
              <w:right w:val="single" w:color="auto" w:sz="4" w:space="0"/>
            </w:tcBorders>
            <w:noWrap w:val="0"/>
            <w:vAlign w:val="center"/>
          </w:tcPr>
          <w:p>
            <w:pPr>
              <w:rPr>
                <w:rFonts w:hint="eastAsia"/>
                <w:lang w:val="en-US" w:eastAsia="zh-CN"/>
              </w:rPr>
            </w:pPr>
          </w:p>
          <w:p>
            <w:pPr>
              <w:pStyle w:val="12"/>
              <w:ind w:left="0" w:leftChars="0" w:firstLine="0" w:firstLineChars="0"/>
              <w:rPr>
                <w:rFonts w:hint="default"/>
                <w:lang w:val="en-US" w:eastAsia="zh-CN"/>
              </w:rPr>
            </w:pPr>
            <w:r>
              <w:rPr>
                <w:rFonts w:hint="eastAsia"/>
                <w:lang w:val="en-US" w:eastAsia="zh-CN"/>
              </w:rPr>
              <w:t>10</w:t>
            </w:r>
          </w:p>
          <w:p>
            <w:pPr>
              <w:pStyle w:val="13"/>
              <w:rPr>
                <w:rFonts w:hint="eastAsia"/>
                <w:lang w:val="en-US" w:eastAsia="zh-CN"/>
              </w:rPr>
            </w:pPr>
          </w:p>
          <w:p>
            <w:pPr>
              <w:rPr>
                <w:rFonts w:hint="eastAsia"/>
                <w:lang w:val="en-US" w:eastAsia="zh-CN"/>
              </w:rPr>
            </w:pPr>
          </w:p>
        </w:tc>
        <w:tc>
          <w:tcPr>
            <w:tcW w:w="1944" w:type="dxa"/>
            <w:gridSpan w:val="2"/>
            <w:tcBorders>
              <w:top w:val="single" w:color="auto" w:sz="4" w:space="0"/>
              <w:right w:val="single" w:color="auto" w:sz="4" w:space="0"/>
            </w:tcBorders>
            <w:noWrap w:val="0"/>
            <w:vAlign w:val="center"/>
          </w:tcPr>
          <w:p>
            <w:pPr>
              <w:spacing w:line="50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设备应急方案（6分）</w:t>
            </w:r>
          </w:p>
        </w:tc>
        <w:tc>
          <w:tcPr>
            <w:tcW w:w="5462" w:type="dxa"/>
            <w:gridSpan w:val="2"/>
            <w:tcBorders>
              <w:top w:val="single" w:color="auto" w:sz="4" w:space="0"/>
              <w:right w:val="single" w:color="auto" w:sz="4" w:space="0"/>
            </w:tcBorders>
            <w:noWrap w:val="0"/>
            <w:vAlign w:val="center"/>
          </w:tcPr>
          <w:p>
            <w:pPr>
              <w:spacing w:line="50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产品遇到突发故障时或在遇到抢险任务时，根据投标人或制造商采取的应急措施和保障措施及方案，进行打分，不足一处扣1分，扣完为止。 </w:t>
            </w:r>
          </w:p>
        </w:tc>
        <w:tc>
          <w:tcPr>
            <w:tcW w:w="1261" w:type="dxa"/>
            <w:tcBorders>
              <w:top w:val="single" w:color="auto" w:sz="4" w:space="0"/>
              <w:right w:val="single" w:color="auto" w:sz="4" w:space="0"/>
            </w:tcBorders>
            <w:noWrap w:val="0"/>
            <w:vAlign w:val="center"/>
          </w:tcPr>
          <w:p>
            <w:pPr>
              <w:spacing w:line="28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0-6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4" w:type="dxa"/>
          <w:cantSplit/>
          <w:trHeight w:val="2490" w:hRule="atLeast"/>
        </w:trPr>
        <w:tc>
          <w:tcPr>
            <w:tcW w:w="613" w:type="dxa"/>
            <w:tcBorders>
              <w:top w:val="single" w:color="auto" w:sz="4" w:space="0"/>
              <w:right w:val="single" w:color="auto" w:sz="4" w:space="0"/>
            </w:tcBorders>
            <w:noWrap w:val="0"/>
            <w:vAlign w:val="center"/>
          </w:tcPr>
          <w:p>
            <w:pPr>
              <w:jc w:val="center"/>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11</w:t>
            </w:r>
          </w:p>
        </w:tc>
        <w:tc>
          <w:tcPr>
            <w:tcW w:w="1944" w:type="dxa"/>
            <w:gridSpan w:val="2"/>
            <w:tcBorders>
              <w:top w:val="single" w:color="auto" w:sz="4" w:space="0"/>
              <w:right w:val="single" w:color="auto" w:sz="4" w:space="0"/>
            </w:tcBorders>
            <w:noWrap w:val="0"/>
            <w:vAlign w:val="center"/>
          </w:tcPr>
          <w:p>
            <w:pPr>
              <w:spacing w:line="50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质保期（2分）</w:t>
            </w:r>
          </w:p>
        </w:tc>
        <w:tc>
          <w:tcPr>
            <w:tcW w:w="5462" w:type="dxa"/>
            <w:gridSpan w:val="2"/>
            <w:tcBorders>
              <w:top w:val="single" w:color="auto" w:sz="4" w:space="0"/>
              <w:right w:val="single" w:color="auto" w:sz="4" w:space="0"/>
            </w:tcBorders>
            <w:noWrap w:val="0"/>
            <w:vAlign w:val="center"/>
          </w:tcPr>
          <w:p>
            <w:pPr>
              <w:spacing w:line="50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质保期满足招标文件要求的，不得分；在此基础上，质保期超过招标文件规定的，每增加半年得1分，最多得2分。</w:t>
            </w:r>
          </w:p>
        </w:tc>
        <w:tc>
          <w:tcPr>
            <w:tcW w:w="1261" w:type="dxa"/>
            <w:tcBorders>
              <w:top w:val="single" w:color="auto" w:sz="4" w:space="0"/>
              <w:right w:val="single" w:color="auto" w:sz="4" w:space="0"/>
            </w:tcBorders>
            <w:noWrap w:val="0"/>
            <w:vAlign w:val="center"/>
          </w:tcPr>
          <w:p>
            <w:pPr>
              <w:spacing w:line="28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0-2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30" w:hRule="atLeast"/>
        </w:trPr>
        <w:tc>
          <w:tcPr>
            <w:tcW w:w="9284" w:type="dxa"/>
            <w:gridSpan w:val="7"/>
            <w:tcBorders>
              <w:top w:val="single" w:color="auto" w:sz="4" w:space="0"/>
              <w:right w:val="single" w:color="auto" w:sz="4" w:space="0"/>
            </w:tcBorders>
            <w:noWrap w:val="0"/>
            <w:vAlign w:val="center"/>
          </w:tcPr>
          <w:p>
            <w:pPr>
              <w:pStyle w:val="49"/>
              <w:jc w:val="left"/>
              <w:rPr>
                <w:rFonts w:hint="eastAsia" w:ascii="仿宋" w:hAnsi="仿宋" w:eastAsia="仿宋" w:cs="仿宋"/>
                <w:b/>
                <w:bCs/>
                <w:szCs w:val="21"/>
              </w:rPr>
            </w:pPr>
            <w:r>
              <w:rPr>
                <w:rFonts w:hint="eastAsia" w:ascii="仿宋" w:hAnsi="仿宋" w:eastAsia="仿宋" w:cs="仿宋"/>
                <w:b/>
                <w:bCs/>
                <w:szCs w:val="21"/>
              </w:rPr>
              <w:t>注：1.如在投标文件中未涉及上述评分内容的，均按0分计。</w:t>
            </w:r>
          </w:p>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 w:hAnsi="仿宋" w:eastAsia="仿宋" w:cs="仿宋"/>
                <w:b/>
                <w:bCs/>
                <w:szCs w:val="21"/>
              </w:rPr>
            </w:pPr>
            <w:r>
              <w:rPr>
                <w:rFonts w:hint="eastAsia" w:ascii="仿宋" w:hAnsi="仿宋" w:eastAsia="仿宋" w:cs="仿宋"/>
                <w:b/>
                <w:bCs/>
                <w:szCs w:val="21"/>
              </w:rPr>
              <w:t>投标文件中提供的材料均应清晰可辨，否则不得分。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161" w:hRule="atLeast"/>
        </w:trPr>
        <w:tc>
          <w:tcPr>
            <w:tcW w:w="9284" w:type="dxa"/>
            <w:gridSpan w:val="7"/>
            <w:tcBorders>
              <w:top w:val="single" w:color="auto" w:sz="4" w:space="0"/>
              <w:right w:val="single" w:color="auto" w:sz="4" w:space="0"/>
            </w:tcBorders>
            <w:noWrap w:val="0"/>
            <w:vAlign w:val="center"/>
          </w:tcPr>
          <w:p>
            <w:pPr>
              <w:pStyle w:val="64"/>
              <w:keepNext w:val="0"/>
              <w:keepLines w:val="0"/>
              <w:pageBreakBefore w:val="0"/>
              <w:widowControl w:val="0"/>
              <w:numPr>
                <w:ilvl w:val="0"/>
                <w:numId w:val="8"/>
              </w:numPr>
              <w:kinsoku/>
              <w:wordWrap/>
              <w:overflowPunct/>
              <w:topLinePunct w:val="0"/>
              <w:autoSpaceDE/>
              <w:autoSpaceDN/>
              <w:bidi w:val="0"/>
              <w:adjustRightInd/>
              <w:snapToGrid/>
              <w:spacing w:line="360" w:lineRule="exact"/>
              <w:ind w:firstLine="0"/>
              <w:jc w:val="left"/>
              <w:textAlignment w:val="auto"/>
              <w:rPr>
                <w:rFonts w:hint="eastAsia" w:ascii="仿宋" w:hAnsi="仿宋" w:eastAsia="仿宋" w:cs="仿宋"/>
                <w:b/>
                <w:bCs/>
                <w:color w:val="000000"/>
                <w:sz w:val="24"/>
                <w:szCs w:val="24"/>
                <w:lang w:val="en-US" w:eastAsia="zh-CN"/>
              </w:rPr>
            </w:pPr>
            <w:r>
              <w:rPr>
                <w:rFonts w:hint="eastAsia" w:ascii="仿宋" w:hAnsi="仿宋" w:eastAsia="仿宋" w:cs="仿宋"/>
                <w:b/>
                <w:bCs/>
                <w:color w:val="000000"/>
                <w:sz w:val="24"/>
                <w:szCs w:val="24"/>
                <w:lang w:val="en-US" w:eastAsia="zh-CN"/>
              </w:rPr>
              <w:t>报价分（30分）</w:t>
            </w:r>
          </w:p>
          <w:p>
            <w:pPr>
              <w:pStyle w:val="14"/>
              <w:keepNext w:val="0"/>
              <w:keepLines w:val="0"/>
              <w:pageBreakBefore w:val="0"/>
              <w:widowControl w:val="0"/>
              <w:numPr>
                <w:ilvl w:val="0"/>
                <w:numId w:val="9"/>
              </w:numPr>
              <w:kinsoku/>
              <w:wordWrap/>
              <w:overflowPunct/>
              <w:topLinePunct w:val="0"/>
              <w:autoSpaceDE/>
              <w:autoSpaceDN/>
              <w:bidi w:val="0"/>
              <w:adjustRightInd/>
              <w:snapToGrid/>
              <w:spacing w:line="360" w:lineRule="exact"/>
              <w:ind w:left="0" w:leftChars="0" w:firstLine="464" w:firstLineChars="200"/>
              <w:textAlignment w:val="auto"/>
              <w:rPr>
                <w:rFonts w:hint="eastAsia" w:ascii="仿宋" w:hAnsi="仿宋" w:eastAsia="仿宋" w:cs="仿宋"/>
                <w:b/>
                <w:bCs/>
                <w:sz w:val="24"/>
              </w:rPr>
            </w:pPr>
            <w:r>
              <w:rPr>
                <w:rFonts w:hint="eastAsia" w:ascii="仿宋" w:hAnsi="仿宋" w:eastAsia="仿宋" w:cs="仿宋"/>
                <w:sz w:val="24"/>
              </w:rPr>
              <w:t>评定评标基准价：</w:t>
            </w:r>
            <w:r>
              <w:rPr>
                <w:rFonts w:hint="eastAsia" w:ascii="仿宋" w:hAnsi="仿宋" w:eastAsia="仿宋" w:cs="仿宋"/>
                <w:b/>
                <w:bCs/>
                <w:sz w:val="24"/>
              </w:rPr>
              <w:t>以合格投标人且</w:t>
            </w:r>
            <w:r>
              <w:rPr>
                <w:rFonts w:hint="eastAsia" w:ascii="仿宋" w:hAnsi="仿宋" w:eastAsia="仿宋" w:cs="仿宋"/>
                <w:b/>
                <w:bCs/>
                <w:sz w:val="24"/>
                <w:lang w:eastAsia="zh-CN"/>
              </w:rPr>
              <w:t>投标</w:t>
            </w:r>
            <w:r>
              <w:rPr>
                <w:rFonts w:hint="eastAsia" w:ascii="仿宋" w:hAnsi="仿宋" w:eastAsia="仿宋" w:cs="仿宋"/>
                <w:b/>
                <w:bCs/>
                <w:sz w:val="24"/>
                <w:lang w:val="en-US" w:eastAsia="zh-CN"/>
              </w:rPr>
              <w:t>报价最低</w:t>
            </w:r>
            <w:r>
              <w:rPr>
                <w:rFonts w:hint="eastAsia" w:ascii="仿宋" w:hAnsi="仿宋" w:eastAsia="仿宋" w:cs="仿宋"/>
                <w:b/>
                <w:bCs/>
                <w:sz w:val="24"/>
              </w:rPr>
              <w:t>的投标</w:t>
            </w:r>
            <w:r>
              <w:rPr>
                <w:rFonts w:hint="eastAsia" w:ascii="仿宋" w:hAnsi="仿宋" w:eastAsia="仿宋" w:cs="仿宋"/>
                <w:b/>
                <w:bCs/>
                <w:sz w:val="24"/>
                <w:lang w:eastAsia="zh-CN"/>
              </w:rPr>
              <w:t>报价</w:t>
            </w:r>
            <w:r>
              <w:rPr>
                <w:rFonts w:hint="eastAsia" w:ascii="仿宋" w:hAnsi="仿宋" w:eastAsia="仿宋" w:cs="仿宋"/>
                <w:b/>
                <w:bCs/>
                <w:sz w:val="24"/>
              </w:rPr>
              <w:t>为评标基准</w:t>
            </w:r>
            <w:r>
              <w:rPr>
                <w:rFonts w:hint="eastAsia" w:ascii="仿宋" w:hAnsi="仿宋" w:eastAsia="仿宋" w:cs="仿宋"/>
                <w:b/>
                <w:bCs/>
                <w:sz w:val="24"/>
                <w:lang w:eastAsia="zh-CN"/>
              </w:rPr>
              <w:t>价</w:t>
            </w:r>
            <w:r>
              <w:rPr>
                <w:rFonts w:hint="eastAsia" w:ascii="仿宋" w:hAnsi="仿宋" w:eastAsia="仿宋" w:cs="仿宋"/>
                <w:b/>
                <w:bCs/>
                <w:sz w:val="24"/>
              </w:rPr>
              <w:t>，其报价分为满分。</w:t>
            </w:r>
          </w:p>
          <w:p>
            <w:pPr>
              <w:pStyle w:val="14"/>
              <w:keepNext w:val="0"/>
              <w:keepLines w:val="0"/>
              <w:pageBreakBefore w:val="0"/>
              <w:widowControl w:val="0"/>
              <w:kinsoku/>
              <w:wordWrap/>
              <w:overflowPunct/>
              <w:topLinePunct w:val="0"/>
              <w:autoSpaceDE/>
              <w:autoSpaceDN/>
              <w:bidi w:val="0"/>
              <w:adjustRightInd/>
              <w:snapToGrid/>
              <w:spacing w:line="360" w:lineRule="exact"/>
              <w:ind w:left="0" w:leftChars="0" w:firstLine="464" w:firstLineChars="200"/>
              <w:textAlignment w:val="auto"/>
              <w:rPr>
                <w:rFonts w:hint="eastAsia" w:ascii="仿宋" w:hAnsi="仿宋" w:eastAsia="仿宋" w:cs="仿宋"/>
                <w:b/>
                <w:bCs/>
                <w:sz w:val="24"/>
              </w:rPr>
            </w:pPr>
            <w:r>
              <w:rPr>
                <w:rFonts w:hint="eastAsia" w:ascii="仿宋" w:hAnsi="仿宋" w:eastAsia="仿宋" w:cs="仿宋"/>
                <w:sz w:val="24"/>
              </w:rPr>
              <w:t>价格分按照下列公式计算：</w:t>
            </w:r>
          </w:p>
          <w:p>
            <w:pPr>
              <w:pStyle w:val="14"/>
              <w:keepNext w:val="0"/>
              <w:keepLines w:val="0"/>
              <w:pageBreakBefore w:val="0"/>
              <w:widowControl w:val="0"/>
              <w:kinsoku/>
              <w:wordWrap/>
              <w:overflowPunct/>
              <w:topLinePunct w:val="0"/>
              <w:autoSpaceDE/>
              <w:autoSpaceDN/>
              <w:bidi w:val="0"/>
              <w:adjustRightInd/>
              <w:snapToGrid/>
              <w:spacing w:line="360" w:lineRule="exact"/>
              <w:ind w:left="0" w:leftChars="0" w:firstLine="466" w:firstLineChars="200"/>
              <w:textAlignment w:val="auto"/>
              <w:rPr>
                <w:rFonts w:hint="eastAsia" w:ascii="仿宋" w:hAnsi="仿宋" w:eastAsia="仿宋" w:cs="仿宋"/>
                <w:b/>
                <w:bCs/>
                <w:sz w:val="24"/>
                <w:lang w:val="en-US" w:eastAsia="zh-CN"/>
              </w:rPr>
            </w:pPr>
            <w:r>
              <w:rPr>
                <w:rFonts w:hint="eastAsia" w:ascii="仿宋" w:hAnsi="仿宋" w:eastAsia="仿宋" w:cs="仿宋"/>
                <w:b/>
                <w:bCs/>
                <w:sz w:val="24"/>
                <w:highlight w:val="none"/>
              </w:rPr>
              <w:t>报价得分=（评标基准</w:t>
            </w:r>
            <w:r>
              <w:rPr>
                <w:rFonts w:hint="eastAsia" w:ascii="仿宋" w:hAnsi="仿宋" w:eastAsia="仿宋" w:cs="仿宋"/>
                <w:b/>
                <w:bCs/>
                <w:sz w:val="24"/>
                <w:highlight w:val="none"/>
                <w:lang w:eastAsia="zh-CN"/>
              </w:rPr>
              <w:t>价</w:t>
            </w:r>
            <w:r>
              <w:rPr>
                <w:rFonts w:hint="eastAsia" w:ascii="仿宋" w:hAnsi="仿宋" w:eastAsia="仿宋" w:cs="仿宋"/>
                <w:b/>
                <w:bCs/>
                <w:sz w:val="24"/>
                <w:highlight w:val="none"/>
              </w:rPr>
              <w:t>/投标</w:t>
            </w:r>
            <w:r>
              <w:rPr>
                <w:rFonts w:hint="eastAsia" w:ascii="仿宋" w:hAnsi="仿宋" w:eastAsia="仿宋" w:cs="仿宋"/>
                <w:b/>
                <w:bCs/>
                <w:sz w:val="24"/>
                <w:highlight w:val="none"/>
                <w:lang w:val="en-US" w:eastAsia="zh-CN"/>
              </w:rPr>
              <w:t>报价</w:t>
            </w:r>
            <w:r>
              <w:rPr>
                <w:rFonts w:hint="eastAsia" w:ascii="仿宋" w:hAnsi="仿宋" w:eastAsia="仿宋" w:cs="仿宋"/>
                <w:b/>
                <w:bCs/>
                <w:sz w:val="24"/>
                <w:highlight w:val="none"/>
              </w:rPr>
              <w:t>）×</w:t>
            </w:r>
            <w:r>
              <w:rPr>
                <w:rFonts w:hint="eastAsia" w:ascii="仿宋" w:hAnsi="仿宋" w:eastAsia="仿宋" w:cs="仿宋"/>
                <w:b/>
                <w:bCs/>
                <w:sz w:val="24"/>
                <w:highlight w:val="none"/>
                <w:lang w:val="en-US" w:eastAsia="zh-CN"/>
              </w:rPr>
              <w:t>30</w:t>
            </w:r>
            <w:r>
              <w:rPr>
                <w:rFonts w:hint="eastAsia" w:ascii="仿宋" w:hAnsi="仿宋" w:eastAsia="仿宋" w:cs="仿宋"/>
                <w:b/>
                <w:bCs/>
                <w:sz w:val="24"/>
                <w:highlight w:val="none"/>
              </w:rPr>
              <w:t>,计算结果保留2位小数。</w:t>
            </w:r>
          </w:p>
        </w:tc>
      </w:tr>
    </w:tbl>
    <w:p>
      <w:pPr>
        <w:pStyle w:val="4"/>
        <w:pageBreakBefore w:val="0"/>
        <w:widowControl w:val="0"/>
        <w:kinsoku/>
        <w:wordWrap/>
        <w:overflowPunct/>
        <w:topLinePunct w:val="0"/>
        <w:autoSpaceDE/>
        <w:autoSpaceDN/>
        <w:bidi w:val="0"/>
        <w:spacing w:line="440" w:lineRule="exact"/>
        <w:textAlignment w:val="auto"/>
        <w:rPr>
          <w:rFonts w:hint="eastAsia" w:ascii="仿宋" w:hAnsi="仿宋" w:eastAsia="仿宋" w:cs="仿宋"/>
          <w:color w:val="auto"/>
          <w:highlight w:val="none"/>
        </w:rPr>
      </w:pPr>
      <w:r>
        <w:rPr>
          <w:rFonts w:hint="eastAsia" w:ascii="仿宋" w:hAnsi="仿宋" w:eastAsia="仿宋" w:cs="仿宋"/>
          <w:color w:val="auto"/>
          <w:highlight w:val="none"/>
        </w:rPr>
        <w:t>四、评标办法</w:t>
      </w:r>
      <w:bookmarkEnd w:id="338"/>
      <w:bookmarkEnd w:id="339"/>
    </w:p>
    <w:p>
      <w:pPr>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详见评标办法前附表。</w:t>
      </w:r>
    </w:p>
    <w:p>
      <w:pPr>
        <w:pStyle w:val="4"/>
        <w:pageBreakBefore w:val="0"/>
        <w:widowControl w:val="0"/>
        <w:kinsoku/>
        <w:wordWrap/>
        <w:overflowPunct/>
        <w:topLinePunct w:val="0"/>
        <w:autoSpaceDE/>
        <w:autoSpaceDN/>
        <w:bidi w:val="0"/>
        <w:spacing w:line="440" w:lineRule="exact"/>
        <w:textAlignment w:val="auto"/>
        <w:rPr>
          <w:rFonts w:hint="eastAsia" w:ascii="仿宋" w:hAnsi="仿宋" w:eastAsia="仿宋" w:cs="仿宋"/>
          <w:color w:val="auto"/>
          <w:highlight w:val="none"/>
        </w:rPr>
      </w:pPr>
      <w:r>
        <w:rPr>
          <w:rFonts w:hint="eastAsia" w:ascii="仿宋" w:hAnsi="仿宋" w:eastAsia="仿宋" w:cs="仿宋"/>
          <w:color w:val="auto"/>
          <w:highlight w:val="none"/>
        </w:rPr>
        <w:t>五、评审标准</w:t>
      </w:r>
      <w:bookmarkEnd w:id="340"/>
      <w:bookmarkEnd w:id="341"/>
      <w:bookmarkEnd w:id="342"/>
      <w:bookmarkEnd w:id="343"/>
      <w:bookmarkEnd w:id="344"/>
      <w:bookmarkEnd w:id="345"/>
      <w:bookmarkEnd w:id="346"/>
      <w:bookmarkEnd w:id="347"/>
      <w:bookmarkEnd w:id="348"/>
    </w:p>
    <w:p>
      <w:pPr>
        <w:pStyle w:val="5"/>
        <w:pageBreakBefore w:val="0"/>
        <w:widowControl w:val="0"/>
        <w:kinsoku/>
        <w:wordWrap/>
        <w:overflowPunct/>
        <w:topLinePunct w:val="0"/>
        <w:autoSpaceDE/>
        <w:autoSpaceDN/>
        <w:bidi w:val="0"/>
        <w:spacing w:line="440" w:lineRule="exact"/>
        <w:textAlignment w:val="auto"/>
        <w:rPr>
          <w:rFonts w:hint="eastAsia" w:ascii="仿宋" w:hAnsi="仿宋" w:eastAsia="仿宋" w:cs="仿宋"/>
          <w:color w:val="auto"/>
          <w:highlight w:val="none"/>
        </w:rPr>
      </w:pPr>
      <w:bookmarkStart w:id="349" w:name="_Toc455680138"/>
      <w:bookmarkStart w:id="350" w:name="_Toc152045602"/>
      <w:bookmarkStart w:id="351" w:name="_Toc152042379"/>
      <w:bookmarkStart w:id="352" w:name="_Toc498955060"/>
      <w:bookmarkStart w:id="353" w:name="_Toc247085760"/>
      <w:bookmarkStart w:id="354" w:name="_Toc246996988"/>
      <w:bookmarkStart w:id="355" w:name="_Toc246996245"/>
      <w:bookmarkStart w:id="356" w:name="_Toc179632620"/>
      <w:bookmarkStart w:id="357" w:name="_Toc144974569"/>
      <w:r>
        <w:rPr>
          <w:rFonts w:hint="eastAsia" w:ascii="仿宋" w:hAnsi="仿宋" w:eastAsia="仿宋" w:cs="仿宋"/>
          <w:color w:val="auto"/>
          <w:highlight w:val="none"/>
        </w:rPr>
        <w:t>（一）符合性评审标准</w:t>
      </w:r>
      <w:bookmarkEnd w:id="349"/>
      <w:bookmarkEnd w:id="350"/>
      <w:bookmarkEnd w:id="351"/>
      <w:bookmarkEnd w:id="352"/>
      <w:bookmarkEnd w:id="353"/>
      <w:bookmarkEnd w:id="354"/>
      <w:bookmarkEnd w:id="355"/>
      <w:bookmarkEnd w:id="356"/>
      <w:bookmarkEnd w:id="357"/>
    </w:p>
    <w:p>
      <w:pPr>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评审标准：见评标办法前附表。</w:t>
      </w:r>
    </w:p>
    <w:p>
      <w:pPr>
        <w:pStyle w:val="5"/>
        <w:pageBreakBefore w:val="0"/>
        <w:widowControl w:val="0"/>
        <w:kinsoku/>
        <w:wordWrap/>
        <w:overflowPunct/>
        <w:topLinePunct w:val="0"/>
        <w:autoSpaceDE/>
        <w:autoSpaceDN/>
        <w:bidi w:val="0"/>
        <w:spacing w:line="440" w:lineRule="exact"/>
        <w:textAlignment w:val="auto"/>
        <w:rPr>
          <w:rFonts w:hint="eastAsia" w:ascii="仿宋" w:hAnsi="仿宋" w:eastAsia="仿宋" w:cs="仿宋"/>
          <w:color w:val="auto"/>
          <w:highlight w:val="none"/>
        </w:rPr>
      </w:pPr>
      <w:bookmarkStart w:id="358" w:name="_Toc498955061"/>
      <w:bookmarkStart w:id="359" w:name="_Toc246996989"/>
      <w:bookmarkStart w:id="360" w:name="_Toc246996246"/>
      <w:bookmarkStart w:id="361" w:name="_Toc247085761"/>
      <w:bookmarkStart w:id="362" w:name="_Toc144974570"/>
      <w:bookmarkStart w:id="363" w:name="_Toc152045603"/>
      <w:bookmarkStart w:id="364" w:name="_Toc152042380"/>
      <w:bookmarkStart w:id="365" w:name="_Toc179632621"/>
      <w:bookmarkStart w:id="366" w:name="_Toc455680139"/>
      <w:r>
        <w:rPr>
          <w:rFonts w:hint="eastAsia" w:ascii="仿宋" w:hAnsi="仿宋" w:eastAsia="仿宋" w:cs="仿宋"/>
          <w:color w:val="auto"/>
          <w:highlight w:val="none"/>
        </w:rPr>
        <w:t>（二）分值构成与评分标准</w:t>
      </w:r>
      <w:bookmarkEnd w:id="358"/>
      <w:bookmarkEnd w:id="359"/>
      <w:bookmarkEnd w:id="360"/>
      <w:bookmarkEnd w:id="361"/>
      <w:bookmarkEnd w:id="362"/>
      <w:bookmarkEnd w:id="363"/>
      <w:bookmarkEnd w:id="364"/>
      <w:bookmarkEnd w:id="365"/>
      <w:bookmarkEnd w:id="366"/>
    </w:p>
    <w:p>
      <w:pPr>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 分值构成</w:t>
      </w:r>
    </w:p>
    <w:p>
      <w:pPr>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报价部分：见评标办法前附表；</w:t>
      </w:r>
    </w:p>
    <w:p>
      <w:pPr>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2.评标基准价计算</w:t>
      </w:r>
    </w:p>
    <w:p>
      <w:pPr>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评标基准价计算方法：见评标办法前附表。</w:t>
      </w:r>
    </w:p>
    <w:p>
      <w:pPr>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 投标报价的计算方式</w:t>
      </w:r>
    </w:p>
    <w:p>
      <w:pPr>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报价得分计算公式：见评标办法前附表。</w:t>
      </w:r>
    </w:p>
    <w:p>
      <w:pPr>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4.评分标准</w:t>
      </w:r>
      <w:bookmarkStart w:id="367" w:name="_Toc246996990"/>
      <w:bookmarkStart w:id="368" w:name="_Toc152045604"/>
      <w:bookmarkStart w:id="369" w:name="_Toc179632622"/>
      <w:bookmarkStart w:id="370" w:name="_Toc144974571"/>
      <w:bookmarkStart w:id="371" w:name="_Toc455680140"/>
      <w:bookmarkStart w:id="372" w:name="_Toc246996247"/>
      <w:bookmarkStart w:id="373" w:name="_Toc152042381"/>
      <w:bookmarkStart w:id="374" w:name="_Toc247085762"/>
    </w:p>
    <w:p>
      <w:pPr>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eastAsia="zh-CN"/>
        </w:rPr>
        <w:t>商务技术</w:t>
      </w:r>
      <w:r>
        <w:rPr>
          <w:rFonts w:hint="eastAsia" w:ascii="仿宋" w:hAnsi="仿宋" w:eastAsia="仿宋" w:cs="仿宋"/>
          <w:color w:val="auto"/>
          <w:sz w:val="24"/>
          <w:highlight w:val="none"/>
        </w:rPr>
        <w:t>评分标准：见评标办法前附表；</w:t>
      </w:r>
    </w:p>
    <w:p>
      <w:pPr>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（2）投标报价评分标准：见评标办法前附表；</w:t>
      </w:r>
    </w:p>
    <w:p>
      <w:pPr>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5.投标人综合得分=</w:t>
      </w:r>
      <w:r>
        <w:rPr>
          <w:rFonts w:hint="eastAsia" w:ascii="仿宋" w:hAnsi="仿宋" w:eastAsia="仿宋" w:cs="仿宋"/>
          <w:color w:val="auto"/>
          <w:sz w:val="24"/>
          <w:highlight w:val="none"/>
          <w:lang w:eastAsia="zh-CN"/>
        </w:rPr>
        <w:t>商务技术分</w:t>
      </w:r>
      <w:r>
        <w:rPr>
          <w:rFonts w:hint="eastAsia" w:ascii="仿宋" w:hAnsi="仿宋" w:eastAsia="仿宋" w:cs="仿宋"/>
          <w:color w:val="auto"/>
          <w:sz w:val="24"/>
          <w:highlight w:val="none"/>
        </w:rPr>
        <w:t>+报价分</w:t>
      </w:r>
    </w:p>
    <w:bookmarkEnd w:id="367"/>
    <w:bookmarkEnd w:id="368"/>
    <w:bookmarkEnd w:id="369"/>
    <w:bookmarkEnd w:id="370"/>
    <w:bookmarkEnd w:id="371"/>
    <w:bookmarkEnd w:id="372"/>
    <w:bookmarkEnd w:id="373"/>
    <w:bookmarkEnd w:id="374"/>
    <w:p>
      <w:pPr>
        <w:pStyle w:val="5"/>
        <w:pageBreakBefore w:val="0"/>
        <w:widowControl w:val="0"/>
        <w:kinsoku/>
        <w:wordWrap/>
        <w:overflowPunct/>
        <w:topLinePunct w:val="0"/>
        <w:autoSpaceDE/>
        <w:autoSpaceDN/>
        <w:bidi w:val="0"/>
        <w:spacing w:line="440" w:lineRule="exact"/>
        <w:textAlignment w:val="auto"/>
        <w:rPr>
          <w:rFonts w:hint="eastAsia" w:ascii="仿宋" w:hAnsi="仿宋" w:eastAsia="仿宋" w:cs="仿宋"/>
          <w:color w:val="auto"/>
          <w:highlight w:val="none"/>
        </w:rPr>
      </w:pPr>
      <w:bookmarkStart w:id="375" w:name="_Toc455680143"/>
      <w:bookmarkStart w:id="376" w:name="_Toc498955065"/>
      <w:bookmarkStart w:id="377" w:name="_Toc179632625"/>
      <w:bookmarkStart w:id="378" w:name="_Toc247085765"/>
      <w:bookmarkStart w:id="379" w:name="_Toc246996250"/>
      <w:bookmarkStart w:id="380" w:name="_Toc246996993"/>
      <w:bookmarkStart w:id="381" w:name="_Toc144974575"/>
      <w:bookmarkStart w:id="382" w:name="_Toc152045607"/>
      <w:bookmarkStart w:id="383" w:name="_Toc152042385"/>
      <w:r>
        <w:rPr>
          <w:rFonts w:hint="eastAsia" w:ascii="仿宋" w:hAnsi="仿宋" w:eastAsia="仿宋" w:cs="仿宋"/>
          <w:color w:val="auto"/>
          <w:highlight w:val="none"/>
        </w:rPr>
        <w:t>（三）投标文件的澄清</w:t>
      </w:r>
      <w:bookmarkEnd w:id="375"/>
      <w:bookmarkEnd w:id="376"/>
      <w:bookmarkEnd w:id="377"/>
      <w:bookmarkEnd w:id="378"/>
      <w:bookmarkEnd w:id="379"/>
      <w:bookmarkEnd w:id="380"/>
      <w:bookmarkEnd w:id="381"/>
      <w:bookmarkEnd w:id="382"/>
      <w:bookmarkEnd w:id="383"/>
    </w:p>
    <w:p>
      <w:pPr>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color w:val="auto"/>
          <w:sz w:val="24"/>
          <w:highlight w:val="none"/>
        </w:rPr>
      </w:pPr>
      <w:bookmarkStart w:id="384" w:name="_Toc152045608"/>
      <w:bookmarkStart w:id="385" w:name="_Toc144974576"/>
      <w:bookmarkStart w:id="386" w:name="_Toc246996994"/>
      <w:bookmarkStart w:id="387" w:name="_Toc455680144"/>
      <w:bookmarkStart w:id="388" w:name="_Toc152042386"/>
      <w:bookmarkStart w:id="389" w:name="_Toc179632626"/>
      <w:bookmarkStart w:id="390" w:name="_Toc246996251"/>
      <w:bookmarkStart w:id="391" w:name="_Toc247085766"/>
      <w:r>
        <w:rPr>
          <w:rFonts w:hint="eastAsia" w:ascii="仿宋" w:hAnsi="仿宋" w:eastAsia="仿宋" w:cs="仿宋"/>
          <w:color w:val="auto"/>
          <w:sz w:val="24"/>
          <w:highlight w:val="none"/>
        </w:rPr>
        <w:t>1.在评标过程中，评标委员会可以书面形式要求投标人对投标文件中含义不明确、对同类问题表述不一致或者有明显文字和计算错误的内容做必要的澄清、说明或补正。澄清、说明或补正应以书面方式进行。评标委员会不接受投标人主动提出的澄清、说明或补正。</w:t>
      </w:r>
    </w:p>
    <w:p>
      <w:pPr>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对于投标文件中含义不明确、同类问题表述不一致或者有明显文字和计算错误的内容，评标委员会应当采用通过书面形式要求投标人作出必要的澄清、说明或者补正。投标人拒不澄清确认的，评标委员会应当否决其投标。</w:t>
      </w:r>
    </w:p>
    <w:p>
      <w:pPr>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3.投标人的澄清、说明或者补正应当采用通过书面形式，并加盖单位公章。投标人的澄清、说明或者补正不得超出投标文件的范围或者改变投标文件的实质性内容。</w:t>
      </w:r>
    </w:p>
    <w:p>
      <w:pPr>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（1）投标文件中报价一览表内容与投标文件中相应内容不一致的，以报价一览表为准；</w:t>
      </w:r>
    </w:p>
    <w:p>
      <w:pPr>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（2）大写金额和小写金额不一致的，以大写金额为准；</w:t>
      </w:r>
    </w:p>
    <w:p>
      <w:pPr>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（3）单价金额小数点或者百分比有明显错位的，以报价一览表的总价为准，并修改单价；</w:t>
      </w:r>
    </w:p>
    <w:p>
      <w:pPr>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（4）总价金额与按单价汇总金额不一致的，以单价金额计算结果为准。</w:t>
      </w:r>
    </w:p>
    <w:p>
      <w:pPr>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同时出现两种以上不一致的，按照前款规定的顺序修正。修正后的报价投标人确认后产生约束力，投标人不确认的，其投标无效。</w:t>
      </w:r>
    </w:p>
    <w:p>
      <w:pPr>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4.澄清、说明或补正不得超出投标文件的范围且不得改变投标文件的实质性内容，并构成投标文件的组成部分。</w:t>
      </w:r>
    </w:p>
    <w:p>
      <w:pPr>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5.评标委员会对投标人提交的澄清、说明或补正有疑问的，可以要求投标人进一步澄清、说明或补正，直至满足评标委员会的要求。</w:t>
      </w:r>
    </w:p>
    <w:p>
      <w:pPr>
        <w:pStyle w:val="11"/>
        <w:pageBreakBefore w:val="0"/>
        <w:widowControl w:val="0"/>
        <w:kinsoku/>
        <w:wordWrap/>
        <w:overflowPunct/>
        <w:topLinePunct w:val="0"/>
        <w:autoSpaceDE/>
        <w:autoSpaceDN/>
        <w:bidi w:val="0"/>
        <w:spacing w:after="0"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根据相关法律法规的规定，评标委员会认为投标人的报价明显低于其他通过符合性审查投标人的报价，有可能影响产品质量或者不能诚信履约的，应当要求其在评标现场合理的时间内通过钉钉直播群提供线上说明，必要时提交相关证明材料。投标人不能在规定时间内合理说明原因并提供证明材料的，评标委员会应当将该投标人的投标文件作无效处理，并在评标报告中说明。 </w:t>
      </w:r>
    </w:p>
    <w:p>
      <w:pPr>
        <w:pStyle w:val="5"/>
        <w:pageBreakBefore w:val="0"/>
        <w:widowControl w:val="0"/>
        <w:kinsoku/>
        <w:wordWrap/>
        <w:overflowPunct/>
        <w:topLinePunct w:val="0"/>
        <w:autoSpaceDE/>
        <w:autoSpaceDN/>
        <w:bidi w:val="0"/>
        <w:spacing w:line="440" w:lineRule="exact"/>
        <w:textAlignment w:val="auto"/>
        <w:rPr>
          <w:rFonts w:hint="eastAsia" w:ascii="仿宋" w:hAnsi="仿宋" w:eastAsia="仿宋" w:cs="仿宋"/>
          <w:color w:val="auto"/>
          <w:highlight w:val="none"/>
        </w:rPr>
      </w:pPr>
      <w:r>
        <w:rPr>
          <w:rFonts w:hint="eastAsia" w:ascii="仿宋" w:hAnsi="仿宋" w:eastAsia="仿宋" w:cs="仿宋"/>
          <w:color w:val="auto"/>
          <w:highlight w:val="none"/>
        </w:rPr>
        <w:t>（四）有下列情况之一的，投标无效：</w:t>
      </w:r>
    </w:p>
    <w:p>
      <w:pPr>
        <w:pageBreakBefore w:val="0"/>
        <w:widowControl w:val="0"/>
        <w:kinsoku/>
        <w:wordWrap/>
        <w:overflowPunct/>
        <w:topLinePunct w:val="0"/>
        <w:autoSpaceDE/>
        <w:autoSpaceDN/>
        <w:bidi w:val="0"/>
        <w:snapToGrid w:val="0"/>
        <w:spacing w:line="44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1.投标人不具备招标文件中规定的资格要求的（投标人未提供有效的</w:t>
      </w:r>
      <w:r>
        <w:rPr>
          <w:rFonts w:hint="eastAsia" w:ascii="仿宋" w:hAnsi="仿宋" w:eastAsia="仿宋" w:cs="仿宋"/>
          <w:color w:val="auto"/>
          <w:sz w:val="24"/>
          <w:highlight w:val="none"/>
          <w:lang w:eastAsia="zh-CN"/>
        </w:rPr>
        <w:t>资格文件</w:t>
      </w:r>
      <w:r>
        <w:rPr>
          <w:rFonts w:hint="eastAsia" w:ascii="仿宋" w:hAnsi="仿宋" w:eastAsia="仿宋" w:cs="仿宋"/>
          <w:color w:val="auto"/>
          <w:sz w:val="24"/>
          <w:highlight w:val="none"/>
        </w:rPr>
        <w:t>的）；</w:t>
      </w:r>
    </w:p>
    <w:p>
      <w:pPr>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2.如以联合体形式参加投标的，联合体协议不符合招标文件规定的联合体协议要求的；</w:t>
      </w:r>
    </w:p>
    <w:p>
      <w:pPr>
        <w:pStyle w:val="14"/>
        <w:pageBreakBefore w:val="0"/>
        <w:widowControl w:val="0"/>
        <w:kinsoku/>
        <w:wordWrap/>
        <w:overflowPunct/>
        <w:topLinePunct w:val="0"/>
        <w:autoSpaceDE/>
        <w:autoSpaceDN/>
        <w:bidi w:val="0"/>
        <w:snapToGrid w:val="0"/>
        <w:spacing w:line="440" w:lineRule="exact"/>
        <w:ind w:firstLine="464"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3.投标文件未按招标文件及更正、澄清后的内容编制，又不符合实质性要求的；</w:t>
      </w:r>
    </w:p>
    <w:p>
      <w:pPr>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4.投标文件中</w:t>
      </w:r>
      <w:r>
        <w:rPr>
          <w:rFonts w:hint="eastAsia" w:ascii="仿宋" w:hAnsi="仿宋" w:eastAsia="仿宋" w:cs="仿宋"/>
          <w:color w:val="auto"/>
          <w:sz w:val="24"/>
          <w:highlight w:val="none"/>
          <w:lang w:eastAsia="zh-CN"/>
        </w:rPr>
        <w:t>法定代表人</w:t>
      </w:r>
      <w:r>
        <w:rPr>
          <w:rFonts w:hint="eastAsia" w:ascii="仿宋" w:hAnsi="仿宋" w:eastAsia="仿宋" w:cs="仿宋"/>
          <w:color w:val="auto"/>
          <w:sz w:val="24"/>
          <w:highlight w:val="none"/>
        </w:rPr>
        <w:t>授权书所载内容与本项目内容有异的；</w:t>
      </w:r>
    </w:p>
    <w:p>
      <w:pPr>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5.投标文件未按照招标文件要求编制、签署、盖章的；</w:t>
      </w:r>
    </w:p>
    <w:p>
      <w:pPr>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6.未在规定时间内提交投标文件的；</w:t>
      </w:r>
    </w:p>
    <w:p>
      <w:pPr>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7.投标文件中承诺的投标有效期、服务期、质保期等商务条款不能满足招标采购文件要求的；</w:t>
      </w:r>
    </w:p>
    <w:p>
      <w:pPr>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8.投标文件含有采购人不能接受的附加条件的；</w:t>
      </w:r>
    </w:p>
    <w:p>
      <w:pPr>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9.投标文件内容不符合采购需求中实质性要求的；</w:t>
      </w:r>
    </w:p>
    <w:p>
      <w:pPr>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10.投标技术方案不明确，存在一个或一个以上备选（替代）投标方案的；</w:t>
      </w:r>
    </w:p>
    <w:p>
      <w:pPr>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11.投标文件出现不是唯一的、有选择性投标报价的,未采用人民币报价或者未按照招标采购文件标明的方式报价的;</w:t>
      </w:r>
    </w:p>
    <w:p>
      <w:pPr>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12.投标报价高于本项目采购预算或者最高限价的;</w:t>
      </w:r>
    </w:p>
    <w:p>
      <w:pPr>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13.报价明显低于其他通过符合性审查投标人的报价，有可能影响产品质量或者不能诚信履约的，未能按要求提供书面说明或者提交相关证明材料，不能证明其报价合理性的;</w:t>
      </w:r>
    </w:p>
    <w:p>
      <w:pPr>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14.投标文件内容填写不完整或字迹不能辨认或有漏项的；</w:t>
      </w:r>
    </w:p>
    <w:p>
      <w:pPr>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15.投标人对根据修正原则修正后的报价不确认的；</w:t>
      </w:r>
    </w:p>
    <w:p>
      <w:pPr>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16.投标文件对招标采购文件的偏差超出招标采购文件规定的偏差范围或最高项数；</w:t>
      </w:r>
    </w:p>
    <w:p>
      <w:pPr>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17.采购人拟采购的产品属于政府强制采购的节能产品品目清单范围的，投标人未按招标文件要求提供国家确定的认证机构出具的、处于有效期之内的节能产品认证证书的；</w:t>
      </w:r>
    </w:p>
    <w:p>
      <w:pPr>
        <w:keepNext w:val="0"/>
        <w:keepLines w:val="0"/>
        <w:pageBreakBefore w:val="0"/>
        <w:widowControl w:val="0"/>
        <w:kinsoku/>
        <w:wordWrap/>
        <w:overflowPunct/>
        <w:topLinePunct w:val="0"/>
        <w:autoSpaceDE/>
        <w:autoSpaceDN/>
        <w:bidi w:val="0"/>
        <w:adjustRightInd/>
        <w:snapToGrid/>
        <w:spacing w:line="43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18.投标人提供虚假材料投标的；（包括但不限于以下情节）；</w:t>
      </w:r>
    </w:p>
    <w:p>
      <w:pPr>
        <w:keepNext w:val="0"/>
        <w:keepLines w:val="0"/>
        <w:pageBreakBefore w:val="0"/>
        <w:widowControl w:val="0"/>
        <w:kinsoku/>
        <w:wordWrap/>
        <w:overflowPunct/>
        <w:topLinePunct w:val="0"/>
        <w:autoSpaceDE/>
        <w:autoSpaceDN/>
        <w:bidi w:val="0"/>
        <w:adjustRightInd/>
        <w:snapToGrid/>
        <w:spacing w:line="430" w:lineRule="exact"/>
        <w:ind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（1）使用伪造、变造的许可证件；</w:t>
      </w:r>
    </w:p>
    <w:p>
      <w:pPr>
        <w:keepNext w:val="0"/>
        <w:keepLines w:val="0"/>
        <w:pageBreakBefore w:val="0"/>
        <w:widowControl w:val="0"/>
        <w:kinsoku/>
        <w:wordWrap/>
        <w:overflowPunct/>
        <w:topLinePunct w:val="0"/>
        <w:autoSpaceDE/>
        <w:autoSpaceDN/>
        <w:bidi w:val="0"/>
        <w:adjustRightInd/>
        <w:snapToGrid/>
        <w:spacing w:line="430" w:lineRule="exact"/>
        <w:ind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（2）提供虚假的财务状况或者业绩；</w:t>
      </w:r>
    </w:p>
    <w:p>
      <w:pPr>
        <w:keepNext w:val="0"/>
        <w:keepLines w:val="0"/>
        <w:pageBreakBefore w:val="0"/>
        <w:widowControl w:val="0"/>
        <w:kinsoku/>
        <w:wordWrap/>
        <w:overflowPunct/>
        <w:topLinePunct w:val="0"/>
        <w:autoSpaceDE/>
        <w:autoSpaceDN/>
        <w:bidi w:val="0"/>
        <w:adjustRightInd/>
        <w:snapToGrid/>
        <w:spacing w:line="430" w:lineRule="exact"/>
        <w:ind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（3）提供虚假的</w:t>
      </w:r>
      <w:r>
        <w:rPr>
          <w:rFonts w:hint="eastAsia" w:ascii="仿宋" w:hAnsi="仿宋" w:eastAsia="仿宋" w:cs="仿宋"/>
          <w:color w:val="auto"/>
          <w:sz w:val="24"/>
          <w:highlight w:val="none"/>
          <w:lang w:eastAsia="zh-CN"/>
        </w:rPr>
        <w:t>项目负责人</w:t>
      </w:r>
      <w:r>
        <w:rPr>
          <w:rFonts w:hint="eastAsia" w:ascii="仿宋" w:hAnsi="仿宋" w:eastAsia="仿宋" w:cs="仿宋"/>
          <w:color w:val="auto"/>
          <w:sz w:val="24"/>
          <w:highlight w:val="none"/>
        </w:rPr>
        <w:t>或者主要技术人员简历、劳动关系证明、社保证明；</w:t>
      </w:r>
    </w:p>
    <w:p>
      <w:pPr>
        <w:keepNext w:val="0"/>
        <w:keepLines w:val="0"/>
        <w:pageBreakBefore w:val="0"/>
        <w:widowControl w:val="0"/>
        <w:kinsoku/>
        <w:wordWrap/>
        <w:overflowPunct/>
        <w:topLinePunct w:val="0"/>
        <w:autoSpaceDE/>
        <w:autoSpaceDN/>
        <w:bidi w:val="0"/>
        <w:adjustRightInd/>
        <w:snapToGrid/>
        <w:spacing w:line="430" w:lineRule="exact"/>
        <w:ind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（4）提供虚假的信用状况；</w:t>
      </w:r>
    </w:p>
    <w:p>
      <w:pPr>
        <w:keepNext w:val="0"/>
        <w:keepLines w:val="0"/>
        <w:pageBreakBefore w:val="0"/>
        <w:widowControl w:val="0"/>
        <w:kinsoku/>
        <w:wordWrap/>
        <w:overflowPunct/>
        <w:topLinePunct w:val="0"/>
        <w:autoSpaceDE/>
        <w:autoSpaceDN/>
        <w:bidi w:val="0"/>
        <w:adjustRightInd/>
        <w:snapToGrid/>
        <w:spacing w:line="43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（5）其他弄虚作假的行为。</w:t>
      </w:r>
    </w:p>
    <w:p>
      <w:pPr>
        <w:keepNext w:val="0"/>
        <w:keepLines w:val="0"/>
        <w:pageBreakBefore w:val="0"/>
        <w:widowControl w:val="0"/>
        <w:kinsoku/>
        <w:wordWrap/>
        <w:overflowPunct/>
        <w:topLinePunct w:val="0"/>
        <w:autoSpaceDE/>
        <w:autoSpaceDN/>
        <w:bidi w:val="0"/>
        <w:adjustRightInd/>
        <w:snapToGrid/>
        <w:spacing w:line="43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19.投标人有恶意串通、妨碍其他投标人的竞争行为、损害采购人或者其他投标人的合法权益情形的；有下列情形之一的，属于或视为恶意串通，其投标无效；</w:t>
      </w:r>
    </w:p>
    <w:p>
      <w:pPr>
        <w:keepNext w:val="0"/>
        <w:keepLines w:val="0"/>
        <w:pageBreakBefore w:val="0"/>
        <w:widowControl w:val="0"/>
        <w:kinsoku/>
        <w:wordWrap/>
        <w:overflowPunct/>
        <w:topLinePunct w:val="0"/>
        <w:autoSpaceDE/>
        <w:autoSpaceDN/>
        <w:bidi w:val="0"/>
        <w:adjustRightInd/>
        <w:snapToGrid/>
        <w:spacing w:line="43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（1）供应商直接或者间接从采购人或者采购代理机构处获得其他供应商的相关情况并修改其投标文件或者响应文件；</w:t>
      </w:r>
    </w:p>
    <w:p>
      <w:pPr>
        <w:keepNext w:val="0"/>
        <w:keepLines w:val="0"/>
        <w:pageBreakBefore w:val="0"/>
        <w:widowControl w:val="0"/>
        <w:kinsoku/>
        <w:wordWrap/>
        <w:overflowPunct/>
        <w:topLinePunct w:val="0"/>
        <w:autoSpaceDE/>
        <w:autoSpaceDN/>
        <w:bidi w:val="0"/>
        <w:adjustRightInd/>
        <w:snapToGrid/>
        <w:spacing w:line="43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（2）供应商按照采购人或者采购代理机构的授意撤换、修改投标文件或者响应文件；</w:t>
      </w:r>
    </w:p>
    <w:p>
      <w:pPr>
        <w:keepNext w:val="0"/>
        <w:keepLines w:val="0"/>
        <w:pageBreakBefore w:val="0"/>
        <w:widowControl w:val="0"/>
        <w:kinsoku/>
        <w:wordWrap/>
        <w:overflowPunct/>
        <w:topLinePunct w:val="0"/>
        <w:autoSpaceDE/>
        <w:autoSpaceDN/>
        <w:bidi w:val="0"/>
        <w:adjustRightInd/>
        <w:snapToGrid/>
        <w:spacing w:line="43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（3）供应商之间协商报价、技术方案等投标文件或者响应文件的实质性内容；</w:t>
      </w:r>
    </w:p>
    <w:p>
      <w:pPr>
        <w:keepNext w:val="0"/>
        <w:keepLines w:val="0"/>
        <w:pageBreakBefore w:val="0"/>
        <w:widowControl w:val="0"/>
        <w:kinsoku/>
        <w:wordWrap/>
        <w:overflowPunct/>
        <w:topLinePunct w:val="0"/>
        <w:autoSpaceDE/>
        <w:autoSpaceDN/>
        <w:bidi w:val="0"/>
        <w:adjustRightInd/>
        <w:snapToGrid/>
        <w:spacing w:line="43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（4）属于同一集团、协会、商会等组织成员的供应商按照该组织要求协同参加投标；</w:t>
      </w:r>
    </w:p>
    <w:p>
      <w:pPr>
        <w:keepNext w:val="0"/>
        <w:keepLines w:val="0"/>
        <w:pageBreakBefore w:val="0"/>
        <w:widowControl w:val="0"/>
        <w:kinsoku/>
        <w:wordWrap/>
        <w:overflowPunct/>
        <w:topLinePunct w:val="0"/>
        <w:autoSpaceDE/>
        <w:autoSpaceDN/>
        <w:bidi w:val="0"/>
        <w:adjustRightInd/>
        <w:snapToGrid/>
        <w:spacing w:line="43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（5）供应商之间事先约定由某一特定供应商中标、成交；</w:t>
      </w:r>
    </w:p>
    <w:p>
      <w:pPr>
        <w:keepNext w:val="0"/>
        <w:keepLines w:val="0"/>
        <w:pageBreakBefore w:val="0"/>
        <w:widowControl w:val="0"/>
        <w:kinsoku/>
        <w:wordWrap/>
        <w:overflowPunct/>
        <w:topLinePunct w:val="0"/>
        <w:autoSpaceDE/>
        <w:autoSpaceDN/>
        <w:bidi w:val="0"/>
        <w:adjustRightInd/>
        <w:snapToGrid/>
        <w:spacing w:line="43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（6）供应商之间商定部分供应商放弃参加投标或者放弃中标、成交；</w:t>
      </w:r>
    </w:p>
    <w:p>
      <w:pPr>
        <w:keepNext w:val="0"/>
        <w:keepLines w:val="0"/>
        <w:pageBreakBefore w:val="0"/>
        <w:widowControl w:val="0"/>
        <w:kinsoku/>
        <w:wordWrap/>
        <w:overflowPunct/>
        <w:topLinePunct w:val="0"/>
        <w:autoSpaceDE/>
        <w:autoSpaceDN/>
        <w:bidi w:val="0"/>
        <w:adjustRightInd/>
        <w:snapToGrid/>
        <w:spacing w:line="43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（7）供应商与采购人或者采购代理机构之间、供应商相互之间，为谋求特定供应商中标、成交或者排斥其他供应商的其他串通行为。</w:t>
      </w:r>
    </w:p>
    <w:p>
      <w:pPr>
        <w:keepNext w:val="0"/>
        <w:keepLines w:val="0"/>
        <w:pageBreakBefore w:val="0"/>
        <w:widowControl w:val="0"/>
        <w:kinsoku/>
        <w:wordWrap/>
        <w:overflowPunct/>
        <w:topLinePunct w:val="0"/>
        <w:autoSpaceDE/>
        <w:autoSpaceDN/>
        <w:bidi w:val="0"/>
        <w:adjustRightInd/>
        <w:snapToGrid/>
        <w:spacing w:line="43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（8）不同投标人的投标文件由同一单位或者个人编制；</w:t>
      </w:r>
    </w:p>
    <w:p>
      <w:pPr>
        <w:keepNext w:val="0"/>
        <w:keepLines w:val="0"/>
        <w:pageBreakBefore w:val="0"/>
        <w:widowControl w:val="0"/>
        <w:kinsoku/>
        <w:wordWrap/>
        <w:overflowPunct/>
        <w:topLinePunct w:val="0"/>
        <w:autoSpaceDE/>
        <w:autoSpaceDN/>
        <w:bidi w:val="0"/>
        <w:adjustRightInd/>
        <w:snapToGrid/>
        <w:spacing w:line="43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（9）不同投标人委托同一单位或者个人办理投标事宜；</w:t>
      </w:r>
    </w:p>
    <w:p>
      <w:pPr>
        <w:keepNext w:val="0"/>
        <w:keepLines w:val="0"/>
        <w:pageBreakBefore w:val="0"/>
        <w:widowControl w:val="0"/>
        <w:kinsoku/>
        <w:wordWrap/>
        <w:overflowPunct/>
        <w:topLinePunct w:val="0"/>
        <w:autoSpaceDE/>
        <w:autoSpaceDN/>
        <w:bidi w:val="0"/>
        <w:adjustRightInd/>
        <w:snapToGrid/>
        <w:spacing w:line="43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（10）不同投标人的投标文件载明的项目管理成员或者联系人员为同一人；</w:t>
      </w:r>
    </w:p>
    <w:p>
      <w:pPr>
        <w:keepNext w:val="0"/>
        <w:keepLines w:val="0"/>
        <w:pageBreakBefore w:val="0"/>
        <w:widowControl w:val="0"/>
        <w:kinsoku/>
        <w:wordWrap/>
        <w:overflowPunct/>
        <w:topLinePunct w:val="0"/>
        <w:autoSpaceDE/>
        <w:autoSpaceDN/>
        <w:bidi w:val="0"/>
        <w:adjustRightInd/>
        <w:snapToGrid/>
        <w:spacing w:line="43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（11）不同投标人的投标文件异常一致或者投标报价呈规律性差异。</w:t>
      </w:r>
    </w:p>
    <w:p>
      <w:pPr>
        <w:keepNext w:val="0"/>
        <w:keepLines w:val="0"/>
        <w:pageBreakBefore w:val="0"/>
        <w:widowControl w:val="0"/>
        <w:kinsoku/>
        <w:wordWrap/>
        <w:overflowPunct/>
        <w:topLinePunct w:val="0"/>
        <w:autoSpaceDE/>
        <w:autoSpaceDN/>
        <w:bidi w:val="0"/>
        <w:adjustRightInd/>
        <w:snapToGrid/>
        <w:spacing w:line="430" w:lineRule="exact"/>
        <w:ind w:firstLine="48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4"/>
          <w:highlight w:val="none"/>
        </w:rPr>
        <w:t>20.法律、法规、规章（适用本县的）及省级以上规范性文件（适用本县的）规定的其他无效情形。</w:t>
      </w:r>
    </w:p>
    <w:p>
      <w:pPr>
        <w:pStyle w:val="5"/>
        <w:pageBreakBefore w:val="0"/>
        <w:widowControl w:val="0"/>
        <w:kinsoku/>
        <w:wordWrap/>
        <w:overflowPunct/>
        <w:topLinePunct w:val="0"/>
        <w:autoSpaceDE/>
        <w:autoSpaceDN/>
        <w:bidi w:val="0"/>
        <w:spacing w:line="430" w:lineRule="exact"/>
        <w:textAlignment w:val="auto"/>
        <w:rPr>
          <w:rFonts w:hint="eastAsia" w:ascii="仿宋" w:hAnsi="仿宋" w:eastAsia="仿宋" w:cs="仿宋"/>
          <w:color w:val="auto"/>
          <w:highlight w:val="none"/>
        </w:rPr>
      </w:pPr>
      <w:bookmarkStart w:id="392" w:name="_Toc498955066"/>
      <w:r>
        <w:rPr>
          <w:rFonts w:hint="eastAsia" w:ascii="仿宋" w:hAnsi="仿宋" w:eastAsia="仿宋" w:cs="仿宋"/>
          <w:color w:val="auto"/>
          <w:highlight w:val="none"/>
        </w:rPr>
        <w:t>（五）</w:t>
      </w:r>
      <w:bookmarkEnd w:id="384"/>
      <w:bookmarkEnd w:id="385"/>
      <w:bookmarkEnd w:id="386"/>
      <w:bookmarkEnd w:id="387"/>
      <w:bookmarkEnd w:id="388"/>
      <w:bookmarkEnd w:id="389"/>
      <w:bookmarkEnd w:id="390"/>
      <w:bookmarkEnd w:id="391"/>
      <w:bookmarkEnd w:id="392"/>
      <w:r>
        <w:rPr>
          <w:rFonts w:hint="eastAsia" w:ascii="仿宋" w:hAnsi="仿宋" w:eastAsia="仿宋" w:cs="仿宋"/>
          <w:color w:val="auto"/>
          <w:highlight w:val="none"/>
        </w:rPr>
        <w:t>评标报告</w:t>
      </w:r>
    </w:p>
    <w:p>
      <w:pPr>
        <w:pageBreakBefore w:val="0"/>
        <w:widowControl w:val="0"/>
        <w:kinsoku/>
        <w:wordWrap/>
        <w:overflowPunct/>
        <w:topLinePunct w:val="0"/>
        <w:autoSpaceDE/>
        <w:autoSpaceDN/>
        <w:bidi w:val="0"/>
        <w:spacing w:line="43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1.评标报告与推荐中标候选人。评标委员会根据全体评标成员签字的原始评标记录和评标结果编写评标报告，并推荐中标候选人，评审报告由评标委员会成员签字确认提交。</w:t>
      </w:r>
    </w:p>
    <w:p>
      <w:pPr>
        <w:pageBreakBefore w:val="0"/>
        <w:widowControl w:val="0"/>
        <w:kinsoku/>
        <w:wordWrap/>
        <w:overflowPunct/>
        <w:topLinePunct w:val="0"/>
        <w:autoSpaceDE/>
        <w:autoSpaceDN/>
        <w:bidi w:val="0"/>
        <w:spacing w:line="43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2.评标争议事项处理。评标委员会成员对需要共同认定的事项存在争议的，应当按照少数服从多数的原则作出结论。持不同意见的评标委员会成员应当在评标报告上签署不同意见及理由，否则视为同意评标报告。</w:t>
      </w:r>
      <w:bookmarkStart w:id="393" w:name="_Toc25961"/>
    </w:p>
    <w:p>
      <w:pPr>
        <w:pStyle w:val="3"/>
        <w:rPr>
          <w:rFonts w:hint="eastAsia" w:ascii="仿宋" w:hAnsi="仿宋" w:eastAsia="仿宋" w:cs="仿宋"/>
          <w:color w:val="auto"/>
          <w:szCs w:val="21"/>
          <w:highlight w:val="none"/>
        </w:rPr>
      </w:pPr>
      <w:r>
        <w:rPr>
          <w:rFonts w:hint="eastAsia" w:ascii="仿宋" w:hAnsi="仿宋" w:eastAsia="仿宋" w:cs="仿宋"/>
          <w:color w:val="auto"/>
          <w:szCs w:val="28"/>
          <w:highlight w:val="none"/>
        </w:rPr>
        <w:br w:type="page"/>
      </w:r>
      <w:r>
        <w:rPr>
          <w:rFonts w:hint="eastAsia" w:ascii="仿宋" w:hAnsi="仿宋" w:eastAsia="仿宋" w:cs="仿宋"/>
          <w:color w:val="auto"/>
          <w:highlight w:val="none"/>
        </w:rPr>
        <w:t>第六章  投标文件格式</w:t>
      </w:r>
      <w:bookmarkEnd w:id="393"/>
    </w:p>
    <w:p>
      <w:pPr>
        <w:pStyle w:val="23"/>
        <w:rPr>
          <w:rFonts w:hint="eastAsia" w:ascii="仿宋" w:hAnsi="仿宋" w:eastAsia="仿宋" w:cs="仿宋"/>
          <w:color w:val="auto"/>
          <w:sz w:val="60"/>
          <w:szCs w:val="60"/>
          <w:highlight w:val="none"/>
        </w:rPr>
      </w:pPr>
      <w:r>
        <w:rPr>
          <w:rFonts w:hint="eastAsia" w:ascii="仿宋" w:hAnsi="仿宋" w:eastAsia="仿宋" w:cs="仿宋"/>
          <w:color w:val="auto"/>
          <w:highlight w:val="none"/>
        </w:rPr>
        <w:t>投标文件封面格式(可选用)</w:t>
      </w:r>
      <w:r>
        <w:rPr>
          <w:rFonts w:hint="eastAsia" w:ascii="仿宋" w:hAnsi="仿宋" w:eastAsia="仿宋" w:cs="仿宋"/>
          <w:color w:val="auto"/>
          <w:sz w:val="60"/>
          <w:szCs w:val="60"/>
          <w:highlight w:val="none"/>
        </w:rPr>
        <w:t xml:space="preserve">          </w:t>
      </w:r>
    </w:p>
    <w:p>
      <w:pPr>
        <w:jc w:val="left"/>
        <w:rPr>
          <w:rFonts w:hint="eastAsia" w:ascii="仿宋" w:hAnsi="仿宋" w:eastAsia="仿宋" w:cs="仿宋"/>
          <w:color w:val="auto"/>
          <w:sz w:val="60"/>
          <w:szCs w:val="60"/>
          <w:highlight w:val="none"/>
        </w:rPr>
      </w:pPr>
    </w:p>
    <w:p>
      <w:pPr>
        <w:jc w:val="right"/>
        <w:rPr>
          <w:rFonts w:hint="eastAsia" w:ascii="仿宋" w:hAnsi="仿宋" w:eastAsia="仿宋" w:cs="仿宋"/>
          <w:color w:val="auto"/>
          <w:sz w:val="32"/>
          <w:szCs w:val="32"/>
          <w:highlight w:val="none"/>
        </w:rPr>
      </w:pPr>
      <w:r>
        <w:rPr>
          <w:rFonts w:hint="eastAsia" w:ascii="仿宋" w:hAnsi="仿宋" w:eastAsia="仿宋" w:cs="仿宋"/>
          <w:color w:val="auto"/>
          <w:sz w:val="60"/>
          <w:szCs w:val="60"/>
          <w:highlight w:val="none"/>
        </w:rPr>
        <w:t xml:space="preserve">  </w:t>
      </w:r>
      <w:r>
        <w:rPr>
          <w:rFonts w:hint="eastAsia" w:ascii="仿宋" w:hAnsi="仿宋" w:eastAsia="仿宋" w:cs="仿宋"/>
          <w:color w:val="auto"/>
          <w:sz w:val="32"/>
          <w:szCs w:val="32"/>
          <w:highlight w:val="none"/>
        </w:rPr>
        <w:t>正本/副本</w:t>
      </w:r>
    </w:p>
    <w:p>
      <w:pPr>
        <w:jc w:val="both"/>
        <w:rPr>
          <w:rFonts w:hint="eastAsia" w:ascii="仿宋" w:hAnsi="仿宋" w:eastAsia="仿宋" w:cs="仿宋"/>
          <w:color w:val="auto"/>
          <w:sz w:val="120"/>
          <w:szCs w:val="120"/>
          <w:highlight w:val="none"/>
        </w:rPr>
      </w:pPr>
    </w:p>
    <w:p>
      <w:pPr>
        <w:jc w:val="center"/>
        <w:rPr>
          <w:rFonts w:hint="eastAsia" w:ascii="仿宋" w:hAnsi="仿宋" w:eastAsia="仿宋" w:cs="仿宋"/>
          <w:color w:val="auto"/>
          <w:sz w:val="96"/>
          <w:szCs w:val="96"/>
          <w:highlight w:val="none"/>
        </w:rPr>
      </w:pPr>
      <w:r>
        <w:rPr>
          <w:rFonts w:hint="eastAsia" w:ascii="仿宋" w:hAnsi="仿宋" w:eastAsia="仿宋" w:cs="仿宋"/>
          <w:color w:val="auto"/>
          <w:sz w:val="96"/>
          <w:szCs w:val="96"/>
          <w:highlight w:val="none"/>
        </w:rPr>
        <w:t>投标文件</w:t>
      </w:r>
    </w:p>
    <w:p>
      <w:pPr>
        <w:jc w:val="center"/>
        <w:rPr>
          <w:rFonts w:hint="eastAsia" w:ascii="仿宋" w:hAnsi="仿宋" w:eastAsia="仿宋" w:cs="仿宋"/>
          <w:color w:val="auto"/>
          <w:sz w:val="56"/>
          <w:szCs w:val="56"/>
          <w:highlight w:val="none"/>
        </w:rPr>
      </w:pPr>
      <w:r>
        <w:rPr>
          <w:rFonts w:hint="eastAsia" w:ascii="仿宋" w:hAnsi="仿宋" w:eastAsia="仿宋" w:cs="仿宋"/>
          <w:color w:val="auto"/>
          <w:sz w:val="44"/>
          <w:szCs w:val="44"/>
          <w:highlight w:val="none"/>
        </w:rPr>
        <w:t>（</w:t>
      </w:r>
      <w:r>
        <w:rPr>
          <w:rFonts w:hint="eastAsia" w:ascii="仿宋" w:hAnsi="仿宋" w:eastAsia="仿宋" w:cs="仿宋"/>
          <w:color w:val="auto"/>
          <w:sz w:val="44"/>
          <w:szCs w:val="44"/>
          <w:highlight w:val="none"/>
          <w:lang w:eastAsia="zh-CN"/>
        </w:rPr>
        <w:t>资格文件</w:t>
      </w:r>
      <w:r>
        <w:rPr>
          <w:rFonts w:hint="eastAsia" w:ascii="仿宋" w:hAnsi="仿宋" w:eastAsia="仿宋" w:cs="仿宋"/>
          <w:color w:val="auto"/>
          <w:sz w:val="44"/>
          <w:szCs w:val="44"/>
          <w:highlight w:val="none"/>
          <w:lang w:val="en-US" w:eastAsia="zh-CN"/>
        </w:rPr>
        <w:t>/</w:t>
      </w:r>
      <w:r>
        <w:rPr>
          <w:rFonts w:hint="eastAsia" w:ascii="仿宋" w:hAnsi="仿宋" w:eastAsia="仿宋" w:cs="仿宋"/>
          <w:color w:val="auto"/>
          <w:sz w:val="44"/>
          <w:szCs w:val="44"/>
          <w:highlight w:val="none"/>
          <w:lang w:eastAsia="zh-CN"/>
        </w:rPr>
        <w:t>商务技术文件</w:t>
      </w:r>
      <w:r>
        <w:rPr>
          <w:rFonts w:hint="eastAsia" w:ascii="仿宋" w:hAnsi="仿宋" w:eastAsia="仿宋" w:cs="仿宋"/>
          <w:b/>
          <w:bCs/>
          <w:color w:val="auto"/>
          <w:sz w:val="44"/>
          <w:szCs w:val="44"/>
          <w:highlight w:val="none"/>
        </w:rPr>
        <w:t>/</w:t>
      </w:r>
      <w:r>
        <w:rPr>
          <w:rFonts w:hint="eastAsia" w:ascii="仿宋" w:hAnsi="仿宋" w:eastAsia="仿宋" w:cs="仿宋"/>
          <w:color w:val="auto"/>
          <w:sz w:val="44"/>
          <w:szCs w:val="44"/>
          <w:highlight w:val="none"/>
        </w:rPr>
        <w:t>报价文件）</w:t>
      </w:r>
    </w:p>
    <w:p>
      <w:pPr>
        <w:jc w:val="center"/>
        <w:rPr>
          <w:rFonts w:hint="eastAsia" w:ascii="仿宋" w:hAnsi="仿宋" w:eastAsia="仿宋" w:cs="仿宋"/>
          <w:color w:val="auto"/>
          <w:sz w:val="110"/>
          <w:szCs w:val="110"/>
          <w:highlight w:val="none"/>
        </w:rPr>
      </w:pPr>
    </w:p>
    <w:p>
      <w:pPr>
        <w:ind w:left="2860" w:leftChars="600" w:hanging="1600" w:hangingChars="500"/>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项目名称：</w:t>
      </w:r>
    </w:p>
    <w:p>
      <w:pPr>
        <w:ind w:firstLine="1280" w:firstLineChars="400"/>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项目编号：</w:t>
      </w:r>
    </w:p>
    <w:p>
      <w:pPr>
        <w:ind w:firstLine="1280" w:firstLineChars="400"/>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投标人名称（</w:t>
      </w:r>
      <w:r>
        <w:rPr>
          <w:rFonts w:hint="eastAsia" w:ascii="仿宋" w:hAnsi="仿宋" w:eastAsia="仿宋" w:cs="仿宋"/>
          <w:color w:val="auto"/>
          <w:sz w:val="32"/>
          <w:szCs w:val="32"/>
          <w:highlight w:val="none"/>
          <w:lang w:eastAsia="zh-CN"/>
        </w:rPr>
        <w:t>盖章</w:t>
      </w:r>
      <w:r>
        <w:rPr>
          <w:rFonts w:hint="eastAsia" w:ascii="仿宋" w:hAnsi="仿宋" w:eastAsia="仿宋" w:cs="仿宋"/>
          <w:color w:val="auto"/>
          <w:sz w:val="32"/>
          <w:szCs w:val="32"/>
          <w:highlight w:val="none"/>
        </w:rPr>
        <w:t>）：</w:t>
      </w:r>
    </w:p>
    <w:p>
      <w:pPr>
        <w:ind w:firstLine="1280" w:firstLineChars="400"/>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zh-TW" w:eastAsia="zh-TW"/>
        </w:rPr>
        <w:t>法人代表或委托代理人</w:t>
      </w:r>
      <w:r>
        <w:rPr>
          <w:rFonts w:hint="eastAsia" w:ascii="仿宋" w:hAnsi="仿宋" w:eastAsia="仿宋" w:cs="仿宋"/>
          <w:color w:val="auto"/>
          <w:sz w:val="32"/>
          <w:szCs w:val="32"/>
          <w:highlight w:val="none"/>
          <w:u w:val="single"/>
          <w:lang w:val="zh-TW" w:eastAsia="zh-TW"/>
        </w:rPr>
        <w:t>（签字或盖章）</w:t>
      </w:r>
      <w:r>
        <w:rPr>
          <w:rFonts w:hint="eastAsia" w:ascii="仿宋" w:hAnsi="仿宋" w:eastAsia="仿宋" w:cs="仿宋"/>
          <w:color w:val="auto"/>
          <w:sz w:val="32"/>
          <w:szCs w:val="32"/>
          <w:highlight w:val="none"/>
          <w:lang w:val="zh-TW" w:eastAsia="zh-TW"/>
        </w:rPr>
        <w:t>：</w:t>
      </w:r>
    </w:p>
    <w:p>
      <w:pPr>
        <w:ind w:firstLine="1280" w:firstLineChars="400"/>
        <w:jc w:val="left"/>
        <w:rPr>
          <w:rFonts w:hint="eastAsia" w:ascii="仿宋" w:hAnsi="仿宋" w:eastAsia="仿宋" w:cs="仿宋"/>
          <w:color w:val="auto"/>
          <w:sz w:val="32"/>
          <w:szCs w:val="32"/>
          <w:highlight w:val="none"/>
          <w:lang w:val="zh-TW"/>
        </w:rPr>
      </w:pPr>
      <w:r>
        <w:rPr>
          <w:rFonts w:hint="eastAsia" w:ascii="仿宋" w:hAnsi="仿宋" w:eastAsia="仿宋" w:cs="仿宋"/>
          <w:color w:val="auto"/>
          <w:sz w:val="32"/>
          <w:szCs w:val="32"/>
          <w:highlight w:val="none"/>
          <w:lang w:val="zh-TW"/>
        </w:rPr>
        <w:t>日期：</w:t>
      </w:r>
    </w:p>
    <w:p>
      <w:pPr>
        <w:pStyle w:val="30"/>
        <w:rPr>
          <w:rFonts w:hint="eastAsia" w:ascii="仿宋" w:hAnsi="仿宋" w:eastAsia="仿宋" w:cs="仿宋"/>
          <w:color w:val="auto"/>
          <w:sz w:val="32"/>
          <w:szCs w:val="32"/>
          <w:highlight w:val="none"/>
          <w:lang w:val="zh-TW"/>
        </w:rPr>
      </w:pPr>
    </w:p>
    <w:p>
      <w:pPr>
        <w:rPr>
          <w:rFonts w:hint="eastAsia" w:ascii="仿宋" w:hAnsi="仿宋" w:eastAsia="仿宋" w:cs="仿宋"/>
          <w:color w:val="auto"/>
          <w:highlight w:val="none"/>
        </w:rPr>
      </w:pPr>
    </w:p>
    <w:p>
      <w:pPr>
        <w:pStyle w:val="23"/>
        <w:rPr>
          <w:rFonts w:hint="eastAsia" w:ascii="仿宋" w:hAnsi="仿宋" w:eastAsia="仿宋" w:cs="仿宋"/>
          <w:color w:val="auto"/>
          <w:highlight w:val="none"/>
        </w:rPr>
      </w:pPr>
      <w:r>
        <w:rPr>
          <w:rFonts w:hint="eastAsia" w:ascii="仿宋" w:hAnsi="仿宋" w:eastAsia="仿宋" w:cs="仿宋"/>
          <w:color w:val="auto"/>
          <w:highlight w:val="none"/>
        </w:rPr>
        <w:br w:type="page"/>
      </w:r>
      <w:r>
        <w:rPr>
          <w:rFonts w:hint="eastAsia" w:ascii="仿宋" w:hAnsi="仿宋" w:eastAsia="仿宋" w:cs="仿宋"/>
          <w:color w:val="auto"/>
          <w:highlight w:val="none"/>
        </w:rPr>
        <w:t>目录</w:t>
      </w:r>
    </w:p>
    <w:p>
      <w:pPr>
        <w:spacing w:line="360" w:lineRule="exact"/>
        <w:jc w:val="left"/>
        <w:rPr>
          <w:rFonts w:hint="eastAsia" w:ascii="仿宋" w:hAnsi="仿宋" w:eastAsia="仿宋" w:cs="仿宋"/>
          <w:b/>
          <w:bCs/>
          <w:color w:val="auto"/>
          <w:sz w:val="24"/>
          <w:highlight w:val="none"/>
          <w:lang w:eastAsia="zh-CN"/>
        </w:rPr>
      </w:pPr>
      <w:r>
        <w:rPr>
          <w:rFonts w:hint="eastAsia" w:ascii="仿宋" w:hAnsi="仿宋" w:eastAsia="仿宋" w:cs="仿宋"/>
          <w:b/>
          <w:bCs/>
          <w:color w:val="auto"/>
          <w:sz w:val="24"/>
          <w:highlight w:val="none"/>
          <w:lang w:val="en-US" w:eastAsia="zh-CN"/>
        </w:rPr>
        <w:t>一、</w:t>
      </w:r>
      <w:r>
        <w:rPr>
          <w:rFonts w:hint="eastAsia" w:ascii="仿宋" w:hAnsi="仿宋" w:eastAsia="仿宋" w:cs="仿宋"/>
          <w:b/>
          <w:bCs/>
          <w:color w:val="auto"/>
          <w:sz w:val="24"/>
          <w:highlight w:val="none"/>
          <w:lang w:eastAsia="zh-CN"/>
        </w:rPr>
        <w:t>资格文件：</w:t>
      </w:r>
    </w:p>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（1）投标声明</w:t>
      </w:r>
      <w:r>
        <w:rPr>
          <w:rFonts w:hint="eastAsia" w:ascii="仿宋" w:hAnsi="仿宋" w:eastAsia="仿宋" w:cs="仿宋"/>
          <w:b w:val="0"/>
          <w:bCs w:val="0"/>
          <w:color w:val="auto"/>
          <w:sz w:val="24"/>
          <w:highlight w:val="none"/>
          <w:lang w:eastAsia="zh-CN"/>
        </w:rPr>
        <w:t>函</w:t>
      </w:r>
      <w:r>
        <w:rPr>
          <w:rFonts w:hint="eastAsia" w:ascii="仿宋" w:hAnsi="仿宋" w:eastAsia="仿宋" w:cs="仿宋"/>
          <w:b w:val="0"/>
          <w:bCs w:val="0"/>
          <w:color w:val="auto"/>
          <w:sz w:val="24"/>
          <w:highlight w:val="none"/>
        </w:rPr>
        <w:t>；</w:t>
      </w:r>
    </w:p>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（2）提供有效的营业执照复印件；</w:t>
      </w:r>
    </w:p>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（3）具有履行合同所必需的</w:t>
      </w:r>
      <w:r>
        <w:rPr>
          <w:rFonts w:hint="eastAsia" w:ascii="仿宋" w:hAnsi="仿宋" w:eastAsia="仿宋" w:cs="仿宋"/>
          <w:b w:val="0"/>
          <w:bCs w:val="0"/>
          <w:color w:val="auto"/>
          <w:sz w:val="24"/>
          <w:highlight w:val="none"/>
          <w:lang w:eastAsia="zh-CN"/>
        </w:rPr>
        <w:t>场地、</w:t>
      </w:r>
      <w:r>
        <w:rPr>
          <w:rFonts w:hint="eastAsia" w:ascii="仿宋" w:hAnsi="仿宋" w:eastAsia="仿宋" w:cs="仿宋"/>
          <w:b w:val="0"/>
          <w:bCs w:val="0"/>
          <w:color w:val="auto"/>
          <w:sz w:val="24"/>
          <w:highlight w:val="none"/>
        </w:rPr>
        <w:t>设备和专业技术能力的承诺函；</w:t>
      </w:r>
    </w:p>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w:t>
      </w:r>
      <w:r>
        <w:rPr>
          <w:rFonts w:hint="eastAsia" w:ascii="仿宋" w:hAnsi="仿宋" w:eastAsia="仿宋" w:cs="仿宋"/>
          <w:b w:val="0"/>
          <w:bCs w:val="0"/>
          <w:color w:val="auto"/>
          <w:sz w:val="24"/>
          <w:highlight w:val="none"/>
          <w:lang w:val="en-US" w:eastAsia="zh-CN"/>
        </w:rPr>
        <w:t>4</w:t>
      </w:r>
      <w:r>
        <w:rPr>
          <w:rFonts w:hint="eastAsia" w:ascii="仿宋" w:hAnsi="仿宋" w:eastAsia="仿宋" w:cs="仿宋"/>
          <w:b w:val="0"/>
          <w:bCs w:val="0"/>
          <w:color w:val="auto"/>
          <w:sz w:val="24"/>
          <w:highlight w:val="none"/>
        </w:rPr>
        <w:t>）参加</w:t>
      </w:r>
      <w:r>
        <w:rPr>
          <w:rFonts w:hint="eastAsia" w:ascii="仿宋" w:hAnsi="仿宋" w:eastAsia="仿宋" w:cs="仿宋"/>
          <w:b w:val="0"/>
          <w:bCs w:val="0"/>
          <w:color w:val="auto"/>
          <w:sz w:val="24"/>
          <w:highlight w:val="none"/>
          <w:lang w:eastAsia="zh-CN"/>
        </w:rPr>
        <w:t>投标</w:t>
      </w:r>
      <w:r>
        <w:rPr>
          <w:rFonts w:hint="eastAsia" w:ascii="仿宋" w:hAnsi="仿宋" w:eastAsia="仿宋" w:cs="仿宋"/>
          <w:b w:val="0"/>
          <w:bCs w:val="0"/>
          <w:color w:val="auto"/>
          <w:sz w:val="24"/>
          <w:highlight w:val="none"/>
        </w:rPr>
        <w:t>活动前</w:t>
      </w:r>
      <w:r>
        <w:rPr>
          <w:rFonts w:hint="eastAsia" w:ascii="仿宋" w:hAnsi="仿宋" w:eastAsia="仿宋" w:cs="仿宋"/>
          <w:b w:val="0"/>
          <w:bCs w:val="0"/>
          <w:color w:val="auto"/>
          <w:sz w:val="24"/>
          <w:highlight w:val="none"/>
          <w:lang w:val="en-US" w:eastAsia="zh-CN"/>
        </w:rPr>
        <w:t>3</w:t>
      </w:r>
      <w:r>
        <w:rPr>
          <w:rFonts w:hint="eastAsia" w:ascii="仿宋" w:hAnsi="仿宋" w:eastAsia="仿宋" w:cs="仿宋"/>
          <w:b w:val="0"/>
          <w:bCs w:val="0"/>
          <w:color w:val="auto"/>
          <w:sz w:val="24"/>
          <w:highlight w:val="none"/>
        </w:rPr>
        <w:t>年内在经营活动中没有重大违法记录的</w:t>
      </w:r>
      <w:r>
        <w:rPr>
          <w:rFonts w:hint="eastAsia" w:ascii="仿宋" w:hAnsi="仿宋" w:eastAsia="仿宋" w:cs="仿宋"/>
          <w:b w:val="0"/>
          <w:bCs w:val="0"/>
          <w:color w:val="auto"/>
          <w:sz w:val="24"/>
          <w:highlight w:val="none"/>
          <w:lang w:eastAsia="zh-CN"/>
        </w:rPr>
        <w:t>声明函</w:t>
      </w:r>
      <w:r>
        <w:rPr>
          <w:rFonts w:hint="eastAsia" w:ascii="仿宋" w:hAnsi="仿宋" w:eastAsia="仿宋" w:cs="仿宋"/>
          <w:b w:val="0"/>
          <w:bCs w:val="0"/>
          <w:color w:val="auto"/>
          <w:sz w:val="24"/>
          <w:highlight w:val="none"/>
        </w:rPr>
        <w:t>；</w:t>
      </w:r>
    </w:p>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lang w:eastAsia="zh-CN"/>
        </w:rPr>
        <w:t>（</w:t>
      </w:r>
      <w:r>
        <w:rPr>
          <w:rFonts w:hint="eastAsia" w:ascii="仿宋" w:hAnsi="仿宋" w:eastAsia="仿宋" w:cs="仿宋"/>
          <w:b w:val="0"/>
          <w:bCs w:val="0"/>
          <w:color w:val="auto"/>
          <w:sz w:val="24"/>
          <w:highlight w:val="none"/>
          <w:lang w:val="en-US" w:eastAsia="zh-CN"/>
        </w:rPr>
        <w:t>5</w:t>
      </w:r>
      <w:r>
        <w:rPr>
          <w:rFonts w:hint="eastAsia" w:ascii="仿宋" w:hAnsi="仿宋" w:eastAsia="仿宋" w:cs="仿宋"/>
          <w:b w:val="0"/>
          <w:bCs w:val="0"/>
          <w:color w:val="auto"/>
          <w:sz w:val="24"/>
          <w:highlight w:val="none"/>
          <w:lang w:eastAsia="zh-CN"/>
        </w:rPr>
        <w:t>）</w:t>
      </w:r>
      <w:r>
        <w:rPr>
          <w:rFonts w:hint="eastAsia" w:ascii="仿宋" w:hAnsi="仿宋" w:eastAsia="仿宋" w:cs="仿宋"/>
          <w:b w:val="0"/>
          <w:bCs w:val="0"/>
          <w:color w:val="auto"/>
          <w:sz w:val="24"/>
          <w:highlight w:val="none"/>
        </w:rPr>
        <w:t>提供投标人“信用中国”网站(www.creditchina.gov.cn)、“中国</w:t>
      </w:r>
      <w:r>
        <w:rPr>
          <w:rFonts w:hint="eastAsia" w:ascii="仿宋" w:hAnsi="仿宋" w:eastAsia="仿宋" w:cs="仿宋"/>
          <w:b w:val="0"/>
          <w:bCs w:val="0"/>
          <w:color w:val="auto"/>
          <w:sz w:val="24"/>
          <w:highlight w:val="none"/>
          <w:lang w:eastAsia="zh-CN"/>
        </w:rPr>
        <w:t>采购</w:t>
      </w:r>
      <w:r>
        <w:rPr>
          <w:rFonts w:hint="eastAsia" w:ascii="仿宋" w:hAnsi="仿宋" w:eastAsia="仿宋" w:cs="仿宋"/>
          <w:b w:val="0"/>
          <w:bCs w:val="0"/>
          <w:color w:val="auto"/>
          <w:sz w:val="24"/>
          <w:highlight w:val="none"/>
        </w:rPr>
        <w:t>网”(www.ccgp.gov.cn)信用信息查询记录截图；</w:t>
      </w:r>
    </w:p>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仿宋" w:hAnsi="仿宋" w:eastAsia="仿宋" w:cs="仿宋"/>
          <w:b w:val="0"/>
          <w:bCs w:val="0"/>
          <w:color w:val="auto"/>
          <w:sz w:val="24"/>
          <w:highlight w:val="none"/>
          <w:lang w:eastAsia="zh-CN"/>
        </w:rPr>
      </w:pPr>
      <w:r>
        <w:rPr>
          <w:rFonts w:hint="eastAsia" w:ascii="仿宋" w:hAnsi="仿宋" w:eastAsia="仿宋" w:cs="仿宋"/>
          <w:b w:val="0"/>
          <w:bCs w:val="0"/>
          <w:color w:val="auto"/>
          <w:sz w:val="24"/>
          <w:highlight w:val="none"/>
          <w:lang w:eastAsia="zh-CN"/>
        </w:rPr>
        <w:t>（</w:t>
      </w:r>
      <w:r>
        <w:rPr>
          <w:rFonts w:hint="eastAsia" w:ascii="仿宋" w:hAnsi="仿宋" w:eastAsia="仿宋" w:cs="仿宋"/>
          <w:b w:val="0"/>
          <w:bCs w:val="0"/>
          <w:color w:val="auto"/>
          <w:sz w:val="24"/>
          <w:highlight w:val="none"/>
          <w:lang w:val="en-US" w:eastAsia="zh-CN"/>
        </w:rPr>
        <w:t>6</w:t>
      </w:r>
      <w:r>
        <w:rPr>
          <w:rFonts w:hint="eastAsia" w:ascii="仿宋" w:hAnsi="仿宋" w:eastAsia="仿宋" w:cs="仿宋"/>
          <w:b w:val="0"/>
          <w:bCs w:val="0"/>
          <w:color w:val="auto"/>
          <w:sz w:val="24"/>
          <w:highlight w:val="none"/>
          <w:lang w:eastAsia="zh-CN"/>
        </w:rPr>
        <w:t>）法定代表人（</w:t>
      </w:r>
      <w:r>
        <w:rPr>
          <w:rFonts w:hint="eastAsia" w:ascii="仿宋" w:hAnsi="仿宋" w:eastAsia="仿宋" w:cs="仿宋"/>
          <w:b w:val="0"/>
          <w:bCs w:val="0"/>
          <w:color w:val="auto"/>
          <w:sz w:val="24"/>
          <w:highlight w:val="none"/>
        </w:rPr>
        <w:t>资格书或</w:t>
      </w:r>
      <w:r>
        <w:rPr>
          <w:rFonts w:hint="eastAsia" w:ascii="仿宋" w:hAnsi="仿宋" w:eastAsia="仿宋" w:cs="仿宋"/>
          <w:b w:val="0"/>
          <w:bCs w:val="0"/>
          <w:color w:val="auto"/>
          <w:sz w:val="24"/>
          <w:highlight w:val="none"/>
          <w:lang w:eastAsia="zh-CN"/>
        </w:rPr>
        <w:t>法定代表人</w:t>
      </w:r>
      <w:r>
        <w:rPr>
          <w:rFonts w:hint="eastAsia" w:ascii="仿宋" w:hAnsi="仿宋" w:eastAsia="仿宋" w:cs="仿宋"/>
          <w:b w:val="0"/>
          <w:bCs w:val="0"/>
          <w:color w:val="auto"/>
          <w:sz w:val="24"/>
          <w:highlight w:val="none"/>
        </w:rPr>
        <w:t>授权委托书；</w:t>
      </w:r>
    </w:p>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lang w:eastAsia="zh-CN"/>
        </w:rPr>
        <w:t>（</w:t>
      </w:r>
      <w:r>
        <w:rPr>
          <w:rFonts w:hint="eastAsia" w:ascii="仿宋" w:hAnsi="仿宋" w:eastAsia="仿宋" w:cs="仿宋"/>
          <w:b w:val="0"/>
          <w:bCs w:val="0"/>
          <w:color w:val="auto"/>
          <w:sz w:val="24"/>
          <w:highlight w:val="none"/>
          <w:lang w:val="en-US" w:eastAsia="zh-CN"/>
        </w:rPr>
        <w:t>7</w:t>
      </w:r>
      <w:r>
        <w:rPr>
          <w:rFonts w:hint="eastAsia" w:ascii="仿宋" w:hAnsi="仿宋" w:eastAsia="仿宋" w:cs="仿宋"/>
          <w:b w:val="0"/>
          <w:bCs w:val="0"/>
          <w:color w:val="auto"/>
          <w:sz w:val="24"/>
          <w:highlight w:val="none"/>
          <w:lang w:eastAsia="zh-CN"/>
        </w:rPr>
        <w:t>）</w:t>
      </w:r>
      <w:r>
        <w:rPr>
          <w:rFonts w:hint="eastAsia" w:ascii="仿宋" w:hAnsi="仿宋" w:eastAsia="仿宋" w:cs="仿宋"/>
          <w:b w:val="0"/>
          <w:bCs w:val="0"/>
          <w:color w:val="auto"/>
          <w:sz w:val="24"/>
          <w:highlight w:val="none"/>
        </w:rPr>
        <w:t>招标公告中要求需要</w:t>
      </w:r>
      <w:r>
        <w:rPr>
          <w:rFonts w:hint="eastAsia" w:ascii="仿宋" w:hAnsi="仿宋" w:eastAsia="仿宋" w:cs="仿宋"/>
          <w:b w:val="0"/>
          <w:bCs w:val="0"/>
          <w:color w:val="auto"/>
          <w:sz w:val="24"/>
          <w:highlight w:val="none"/>
          <w:lang w:eastAsia="zh-CN"/>
        </w:rPr>
        <w:t>提供</w:t>
      </w:r>
      <w:r>
        <w:rPr>
          <w:rFonts w:hint="eastAsia" w:ascii="仿宋" w:hAnsi="仿宋" w:eastAsia="仿宋" w:cs="仿宋"/>
          <w:b w:val="0"/>
          <w:bCs w:val="0"/>
          <w:color w:val="auto"/>
          <w:sz w:val="24"/>
          <w:highlight w:val="none"/>
        </w:rPr>
        <w:t>的其他资质和说明。</w:t>
      </w:r>
    </w:p>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仿宋" w:hAnsi="仿宋" w:eastAsia="仿宋" w:cs="仿宋"/>
          <w:b/>
          <w:bCs/>
          <w:color w:val="auto"/>
          <w:sz w:val="24"/>
          <w:highlight w:val="none"/>
          <w:lang w:eastAsia="zh-CN"/>
        </w:rPr>
      </w:pPr>
      <w:r>
        <w:rPr>
          <w:rFonts w:hint="eastAsia" w:ascii="仿宋" w:hAnsi="仿宋" w:eastAsia="仿宋" w:cs="仿宋"/>
          <w:b/>
          <w:bCs/>
          <w:color w:val="auto"/>
          <w:sz w:val="24"/>
          <w:highlight w:val="none"/>
          <w:lang w:val="en-US" w:eastAsia="zh-CN"/>
        </w:rPr>
        <w:t>二</w:t>
      </w:r>
      <w:r>
        <w:rPr>
          <w:rFonts w:hint="eastAsia" w:ascii="仿宋" w:hAnsi="仿宋" w:eastAsia="仿宋" w:cs="仿宋"/>
          <w:b/>
          <w:bCs/>
          <w:color w:val="auto"/>
          <w:sz w:val="24"/>
          <w:highlight w:val="none"/>
        </w:rPr>
        <w:t>、</w:t>
      </w:r>
      <w:r>
        <w:rPr>
          <w:rFonts w:hint="eastAsia" w:ascii="仿宋" w:hAnsi="仿宋" w:eastAsia="仿宋" w:cs="仿宋"/>
          <w:b/>
          <w:bCs/>
          <w:color w:val="auto"/>
          <w:sz w:val="24"/>
          <w:highlight w:val="none"/>
          <w:lang w:eastAsia="zh-CN"/>
        </w:rPr>
        <w:t>商务技术</w:t>
      </w:r>
      <w:r>
        <w:rPr>
          <w:rFonts w:hint="eastAsia" w:ascii="仿宋" w:hAnsi="仿宋" w:eastAsia="仿宋" w:cs="仿宋"/>
          <w:b/>
          <w:bCs/>
          <w:color w:val="auto"/>
          <w:sz w:val="24"/>
          <w:highlight w:val="none"/>
        </w:rPr>
        <w:t>文件</w:t>
      </w:r>
      <w:r>
        <w:rPr>
          <w:rFonts w:hint="eastAsia" w:ascii="仿宋" w:hAnsi="仿宋" w:eastAsia="仿宋" w:cs="仿宋"/>
          <w:b/>
          <w:bCs/>
          <w:color w:val="auto"/>
          <w:sz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lang w:eastAsia="zh-CN"/>
        </w:rPr>
        <w:t>（</w:t>
      </w:r>
      <w:r>
        <w:rPr>
          <w:rFonts w:hint="eastAsia" w:ascii="仿宋" w:hAnsi="仿宋" w:eastAsia="仿宋" w:cs="仿宋"/>
          <w:b w:val="0"/>
          <w:bCs w:val="0"/>
          <w:color w:val="auto"/>
          <w:sz w:val="24"/>
          <w:highlight w:val="none"/>
          <w:lang w:val="en-US" w:eastAsia="zh-CN"/>
        </w:rPr>
        <w:t>1</w:t>
      </w:r>
      <w:r>
        <w:rPr>
          <w:rFonts w:hint="eastAsia" w:ascii="仿宋" w:hAnsi="仿宋" w:eastAsia="仿宋" w:cs="仿宋"/>
          <w:b w:val="0"/>
          <w:bCs w:val="0"/>
          <w:color w:val="auto"/>
          <w:sz w:val="24"/>
          <w:highlight w:val="none"/>
          <w:lang w:eastAsia="zh-CN"/>
        </w:rPr>
        <w:t>）商务技术分评分索引</w:t>
      </w:r>
      <w:r>
        <w:rPr>
          <w:rFonts w:hint="eastAsia" w:ascii="仿宋" w:hAnsi="仿宋" w:eastAsia="仿宋" w:cs="仿宋"/>
          <w:b w:val="0"/>
          <w:bCs w:val="0"/>
          <w:color w:val="auto"/>
          <w:sz w:val="24"/>
          <w:highlight w:val="none"/>
        </w:rPr>
        <w:t>；</w:t>
      </w:r>
    </w:p>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lang w:eastAsia="zh-CN"/>
        </w:rPr>
        <w:t>（</w:t>
      </w:r>
      <w:r>
        <w:rPr>
          <w:rFonts w:hint="eastAsia" w:ascii="仿宋" w:hAnsi="仿宋" w:eastAsia="仿宋" w:cs="仿宋"/>
          <w:b w:val="0"/>
          <w:bCs w:val="0"/>
          <w:color w:val="auto"/>
          <w:sz w:val="24"/>
          <w:highlight w:val="none"/>
          <w:lang w:val="en-US" w:eastAsia="zh-CN"/>
        </w:rPr>
        <w:t>2</w:t>
      </w:r>
      <w:r>
        <w:rPr>
          <w:rFonts w:hint="eastAsia" w:ascii="仿宋" w:hAnsi="仿宋" w:eastAsia="仿宋" w:cs="仿宋"/>
          <w:b w:val="0"/>
          <w:bCs w:val="0"/>
          <w:color w:val="auto"/>
          <w:sz w:val="24"/>
          <w:highlight w:val="none"/>
          <w:lang w:eastAsia="zh-CN"/>
        </w:rPr>
        <w:t>）诚信竞投承诺书</w:t>
      </w:r>
      <w:r>
        <w:rPr>
          <w:rFonts w:hint="eastAsia" w:ascii="仿宋" w:hAnsi="仿宋" w:eastAsia="仿宋" w:cs="仿宋"/>
          <w:b w:val="0"/>
          <w:bCs w:val="0"/>
          <w:color w:val="auto"/>
          <w:sz w:val="24"/>
          <w:highlight w:val="none"/>
        </w:rPr>
        <w:t>；</w:t>
      </w:r>
    </w:p>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lang w:eastAsia="zh-CN"/>
        </w:rPr>
        <w:t>（</w:t>
      </w:r>
      <w:r>
        <w:rPr>
          <w:rFonts w:hint="eastAsia" w:ascii="仿宋" w:hAnsi="仿宋" w:eastAsia="仿宋" w:cs="仿宋"/>
          <w:b w:val="0"/>
          <w:bCs w:val="0"/>
          <w:color w:val="auto"/>
          <w:sz w:val="24"/>
          <w:highlight w:val="none"/>
          <w:lang w:val="en-US" w:eastAsia="zh-CN"/>
        </w:rPr>
        <w:t>3</w:t>
      </w:r>
      <w:r>
        <w:rPr>
          <w:rFonts w:hint="eastAsia" w:ascii="仿宋" w:hAnsi="仿宋" w:eastAsia="仿宋" w:cs="仿宋"/>
          <w:b w:val="0"/>
          <w:bCs w:val="0"/>
          <w:color w:val="auto"/>
          <w:sz w:val="24"/>
          <w:highlight w:val="none"/>
          <w:lang w:eastAsia="zh-CN"/>
        </w:rPr>
        <w:t>）投标人情况介绍</w:t>
      </w:r>
      <w:r>
        <w:rPr>
          <w:rFonts w:hint="eastAsia" w:ascii="仿宋" w:hAnsi="仿宋" w:eastAsia="仿宋" w:cs="仿宋"/>
          <w:b w:val="0"/>
          <w:bCs w:val="0"/>
          <w:color w:val="auto"/>
          <w:sz w:val="24"/>
          <w:highlight w:val="none"/>
        </w:rPr>
        <w:t>；</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left"/>
        <w:textAlignment w:val="auto"/>
        <w:rPr>
          <w:rFonts w:hint="eastAsia" w:ascii="仿宋" w:hAnsi="仿宋" w:eastAsia="仿宋" w:cs="仿宋"/>
          <w:b w:val="0"/>
          <w:bCs w:val="0"/>
          <w:color w:val="auto"/>
          <w:sz w:val="24"/>
          <w:highlight w:val="none"/>
          <w:lang w:eastAsia="zh-CN"/>
        </w:rPr>
      </w:pPr>
      <w:r>
        <w:rPr>
          <w:rFonts w:hint="eastAsia" w:ascii="仿宋" w:hAnsi="仿宋" w:eastAsia="仿宋" w:cs="仿宋"/>
          <w:b w:val="0"/>
          <w:bCs w:val="0"/>
          <w:color w:val="auto"/>
          <w:sz w:val="24"/>
          <w:highlight w:val="none"/>
          <w:lang w:val="en-US" w:eastAsia="zh-CN"/>
        </w:rPr>
        <w:t>3.1</w:t>
      </w:r>
      <w:r>
        <w:rPr>
          <w:rFonts w:hint="eastAsia" w:ascii="仿宋" w:hAnsi="仿宋" w:eastAsia="仿宋" w:cs="仿宋"/>
          <w:b w:val="0"/>
          <w:bCs w:val="0"/>
          <w:color w:val="auto"/>
          <w:sz w:val="24"/>
          <w:highlight w:val="none"/>
          <w:lang w:eastAsia="zh-CN"/>
        </w:rPr>
        <w:t>投标人的类似项目业绩；</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left"/>
        <w:textAlignment w:val="auto"/>
        <w:rPr>
          <w:rFonts w:hint="default"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3.2商务技术响应情况表</w:t>
      </w:r>
    </w:p>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（4）</w:t>
      </w:r>
      <w:r>
        <w:rPr>
          <w:rFonts w:hint="eastAsia" w:ascii="仿宋" w:hAnsi="仿宋" w:eastAsia="仿宋" w:cs="仿宋"/>
          <w:b w:val="0"/>
          <w:bCs w:val="0"/>
          <w:color w:val="auto"/>
          <w:sz w:val="24"/>
          <w:highlight w:val="none"/>
          <w:lang w:val="en-US" w:eastAsia="zh-CN"/>
        </w:rPr>
        <w:fldChar w:fldCharType="begin"/>
      </w:r>
      <w:r>
        <w:rPr>
          <w:rFonts w:hint="eastAsia" w:ascii="仿宋" w:hAnsi="仿宋" w:eastAsia="仿宋" w:cs="仿宋"/>
          <w:b w:val="0"/>
          <w:bCs w:val="0"/>
          <w:color w:val="auto"/>
          <w:sz w:val="24"/>
          <w:highlight w:val="none"/>
          <w:lang w:val="en-US" w:eastAsia="zh-CN"/>
        </w:rPr>
        <w:instrText xml:space="preserve"> HYPERLINK \l "_Toc335297862#_Toc335297862" </w:instrText>
      </w:r>
      <w:r>
        <w:rPr>
          <w:rFonts w:hint="eastAsia" w:ascii="仿宋" w:hAnsi="仿宋" w:eastAsia="仿宋" w:cs="仿宋"/>
          <w:b w:val="0"/>
          <w:bCs w:val="0"/>
          <w:color w:val="auto"/>
          <w:sz w:val="24"/>
          <w:highlight w:val="none"/>
          <w:lang w:val="en-US" w:eastAsia="zh-CN"/>
        </w:rPr>
        <w:fldChar w:fldCharType="separate"/>
      </w:r>
      <w:r>
        <w:rPr>
          <w:rFonts w:hint="eastAsia" w:ascii="仿宋" w:hAnsi="仿宋" w:eastAsia="仿宋" w:cs="仿宋"/>
          <w:b w:val="0"/>
          <w:bCs w:val="0"/>
          <w:color w:val="auto"/>
          <w:sz w:val="24"/>
          <w:highlight w:val="none"/>
          <w:lang w:val="en-US" w:eastAsia="zh-CN"/>
        </w:rPr>
        <w:t>货物清单及规格、技术参数偏离表</w:t>
      </w:r>
      <w:r>
        <w:rPr>
          <w:rFonts w:hint="eastAsia" w:ascii="仿宋" w:hAnsi="仿宋" w:eastAsia="仿宋" w:cs="仿宋"/>
          <w:b w:val="0"/>
          <w:bCs w:val="0"/>
          <w:color w:val="auto"/>
          <w:sz w:val="24"/>
          <w:highlight w:val="none"/>
          <w:lang w:val="en-US" w:eastAsia="zh-CN"/>
        </w:rPr>
        <w:fldChar w:fldCharType="end"/>
      </w:r>
      <w:r>
        <w:rPr>
          <w:rFonts w:hint="eastAsia" w:ascii="仿宋" w:hAnsi="仿宋" w:eastAsia="仿宋" w:cs="仿宋"/>
          <w:b w:val="0"/>
          <w:bCs w:val="0"/>
          <w:color w:val="auto"/>
          <w:sz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rPr>
        <w:t>（</w:t>
      </w:r>
      <w:r>
        <w:rPr>
          <w:rFonts w:hint="eastAsia" w:ascii="仿宋" w:hAnsi="仿宋" w:eastAsia="仿宋" w:cs="仿宋"/>
          <w:b w:val="0"/>
          <w:bCs w:val="0"/>
          <w:color w:val="auto"/>
          <w:sz w:val="24"/>
          <w:highlight w:val="none"/>
          <w:lang w:val="en-US" w:eastAsia="zh-CN"/>
        </w:rPr>
        <w:t>5</w:t>
      </w:r>
      <w:r>
        <w:rPr>
          <w:rFonts w:hint="eastAsia" w:ascii="仿宋" w:hAnsi="仿宋" w:eastAsia="仿宋" w:cs="仿宋"/>
          <w:b w:val="0"/>
          <w:bCs w:val="0"/>
          <w:color w:val="auto"/>
          <w:sz w:val="24"/>
          <w:highlight w:val="none"/>
        </w:rPr>
        <w:t>）</w:t>
      </w:r>
      <w:r>
        <w:rPr>
          <w:rFonts w:hint="eastAsia" w:ascii="仿宋" w:hAnsi="仿宋" w:eastAsia="仿宋" w:cs="仿宋"/>
          <w:b w:val="0"/>
          <w:bCs w:val="0"/>
          <w:color w:val="auto"/>
          <w:sz w:val="24"/>
          <w:highlight w:val="none"/>
          <w:lang w:val="zh-CN" w:eastAsia="zh-CN"/>
        </w:rPr>
        <w:t>投标人</w:t>
      </w:r>
      <w:r>
        <w:rPr>
          <w:rFonts w:hint="eastAsia" w:ascii="仿宋" w:hAnsi="仿宋" w:eastAsia="仿宋" w:cs="仿宋"/>
          <w:b w:val="0"/>
          <w:bCs w:val="0"/>
          <w:color w:val="auto"/>
          <w:sz w:val="24"/>
          <w:highlight w:val="none"/>
          <w:lang w:val="en-US" w:eastAsia="zh-CN"/>
        </w:rPr>
        <w:t>根据评标办法所需提供的证明材料</w:t>
      </w:r>
      <w:r>
        <w:rPr>
          <w:rFonts w:hint="eastAsia" w:ascii="仿宋" w:hAnsi="仿宋" w:eastAsia="仿宋" w:cs="仿宋"/>
          <w:b w:val="0"/>
          <w:bCs w:val="0"/>
          <w:color w:val="auto"/>
          <w:sz w:val="24"/>
          <w:highlight w:val="none"/>
          <w:lang w:val="zh-CN" w:eastAsia="zh-CN"/>
        </w:rPr>
        <w:t>（格式自拟)</w:t>
      </w:r>
      <w:r>
        <w:rPr>
          <w:rFonts w:hint="eastAsia" w:ascii="仿宋" w:hAnsi="仿宋" w:eastAsia="仿宋" w:cs="仿宋"/>
          <w:b w:val="0"/>
          <w:bCs w:val="0"/>
          <w:color w:val="auto"/>
          <w:sz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w:t>
      </w:r>
      <w:r>
        <w:rPr>
          <w:rFonts w:hint="eastAsia" w:ascii="仿宋" w:hAnsi="仿宋" w:eastAsia="仿宋" w:cs="仿宋"/>
          <w:b w:val="0"/>
          <w:bCs w:val="0"/>
          <w:color w:val="auto"/>
          <w:sz w:val="24"/>
          <w:highlight w:val="none"/>
          <w:lang w:val="en-US" w:eastAsia="zh-CN"/>
        </w:rPr>
        <w:t>6</w:t>
      </w:r>
      <w:r>
        <w:rPr>
          <w:rFonts w:hint="eastAsia" w:ascii="仿宋" w:hAnsi="仿宋" w:eastAsia="仿宋" w:cs="仿宋"/>
          <w:b w:val="0"/>
          <w:bCs w:val="0"/>
          <w:color w:val="auto"/>
          <w:sz w:val="24"/>
          <w:highlight w:val="none"/>
        </w:rPr>
        <w:t>）投标人</w:t>
      </w:r>
      <w:r>
        <w:rPr>
          <w:rFonts w:hint="eastAsia" w:ascii="仿宋" w:hAnsi="仿宋" w:eastAsia="仿宋" w:cs="仿宋"/>
          <w:b w:val="0"/>
          <w:bCs w:val="0"/>
          <w:color w:val="auto"/>
          <w:sz w:val="24"/>
          <w:highlight w:val="none"/>
          <w:lang w:eastAsia="zh-CN"/>
        </w:rPr>
        <w:t>认为需提交</w:t>
      </w:r>
      <w:r>
        <w:rPr>
          <w:rFonts w:hint="eastAsia" w:ascii="仿宋" w:hAnsi="仿宋" w:eastAsia="仿宋" w:cs="仿宋"/>
          <w:b w:val="0"/>
          <w:bCs w:val="0"/>
          <w:color w:val="auto"/>
          <w:sz w:val="24"/>
          <w:highlight w:val="none"/>
        </w:rPr>
        <w:t>的其他文件和说明。</w:t>
      </w:r>
    </w:p>
    <w:p>
      <w:pPr>
        <w:keepNext w:val="0"/>
        <w:keepLines w:val="0"/>
        <w:pageBreakBefore w:val="0"/>
        <w:widowControl w:val="0"/>
        <w:kinsoku/>
        <w:wordWrap/>
        <w:overflowPunct/>
        <w:topLinePunct w:val="0"/>
        <w:autoSpaceDE/>
        <w:autoSpaceDN/>
        <w:bidi w:val="0"/>
        <w:adjustRightInd/>
        <w:snapToGrid/>
        <w:spacing w:line="420" w:lineRule="exact"/>
        <w:ind w:firstLine="442" w:firstLineChars="200"/>
        <w:jc w:val="left"/>
        <w:textAlignment w:val="auto"/>
        <w:rPr>
          <w:rFonts w:hint="eastAsia" w:ascii="仿宋" w:hAnsi="仿宋" w:eastAsia="仿宋" w:cs="仿宋"/>
          <w:b w:val="0"/>
          <w:bCs w:val="0"/>
          <w:color w:val="auto"/>
          <w:sz w:val="24"/>
          <w:highlight w:val="none"/>
        </w:rPr>
      </w:pPr>
      <w:r>
        <w:rPr>
          <w:rFonts w:hint="eastAsia" w:ascii="仿宋" w:hAnsi="仿宋" w:eastAsia="仿宋" w:cs="仿宋"/>
          <w:b/>
          <w:bCs/>
          <w:color w:val="auto"/>
          <w:sz w:val="22"/>
          <w:szCs w:val="22"/>
          <w:highlight w:val="none"/>
        </w:rPr>
        <w:t>注：投标单位请结合评分要点编制投标文件。</w:t>
      </w:r>
    </w:p>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三</w:t>
      </w:r>
      <w:r>
        <w:rPr>
          <w:rFonts w:hint="eastAsia" w:ascii="仿宋" w:hAnsi="仿宋" w:eastAsia="仿宋" w:cs="仿宋"/>
          <w:b/>
          <w:bCs/>
          <w:color w:val="auto"/>
          <w:sz w:val="24"/>
          <w:highlight w:val="none"/>
        </w:rPr>
        <w:t>、报价文件：</w:t>
      </w:r>
    </w:p>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仿宋" w:hAnsi="仿宋" w:eastAsia="仿宋" w:cs="仿宋"/>
          <w:b w:val="0"/>
          <w:bCs w:val="0"/>
          <w:color w:val="auto"/>
          <w:sz w:val="24"/>
          <w:highlight w:val="none"/>
          <w:lang w:eastAsia="zh-CN"/>
        </w:rPr>
      </w:pPr>
      <w:r>
        <w:rPr>
          <w:rFonts w:hint="eastAsia" w:ascii="仿宋" w:hAnsi="仿宋" w:eastAsia="仿宋" w:cs="仿宋"/>
          <w:b w:val="0"/>
          <w:bCs w:val="0"/>
          <w:color w:val="auto"/>
          <w:sz w:val="24"/>
          <w:highlight w:val="none"/>
        </w:rPr>
        <w:t>（1）</w:t>
      </w:r>
      <w:r>
        <w:rPr>
          <w:rFonts w:hint="eastAsia" w:ascii="仿宋" w:hAnsi="仿宋" w:eastAsia="仿宋" w:cs="仿宋"/>
          <w:b w:val="0"/>
          <w:bCs w:val="0"/>
          <w:color w:val="auto"/>
          <w:sz w:val="24"/>
          <w:highlight w:val="none"/>
          <w:lang w:eastAsia="zh-CN"/>
        </w:rPr>
        <w:t>投标函；</w:t>
      </w:r>
    </w:p>
    <w:p>
      <w:pPr>
        <w:spacing w:line="360" w:lineRule="exact"/>
        <w:jc w:val="left"/>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（2）</w:t>
      </w:r>
      <w:r>
        <w:rPr>
          <w:rFonts w:hint="eastAsia" w:ascii="仿宋" w:hAnsi="仿宋" w:eastAsia="仿宋" w:cs="仿宋"/>
          <w:b w:val="0"/>
          <w:bCs w:val="0"/>
          <w:color w:val="auto"/>
          <w:sz w:val="24"/>
          <w:highlight w:val="none"/>
          <w:lang w:eastAsia="zh-CN"/>
        </w:rPr>
        <w:t>报价</w:t>
      </w:r>
      <w:r>
        <w:rPr>
          <w:rFonts w:hint="eastAsia" w:ascii="仿宋" w:hAnsi="仿宋" w:eastAsia="仿宋" w:cs="仿宋"/>
          <w:b w:val="0"/>
          <w:bCs w:val="0"/>
          <w:color w:val="auto"/>
          <w:sz w:val="24"/>
          <w:highlight w:val="none"/>
        </w:rPr>
        <w:t>一览表；</w:t>
      </w:r>
    </w:p>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lang w:eastAsia="zh-CN"/>
        </w:rPr>
        <w:t>（</w:t>
      </w:r>
      <w:r>
        <w:rPr>
          <w:rFonts w:hint="eastAsia" w:ascii="仿宋" w:hAnsi="仿宋" w:eastAsia="仿宋" w:cs="仿宋"/>
          <w:b w:val="0"/>
          <w:bCs w:val="0"/>
          <w:color w:val="auto"/>
          <w:sz w:val="24"/>
          <w:highlight w:val="none"/>
          <w:lang w:val="en-US" w:eastAsia="zh-CN"/>
        </w:rPr>
        <w:t>3</w:t>
      </w:r>
      <w:r>
        <w:rPr>
          <w:rFonts w:hint="eastAsia" w:ascii="仿宋" w:hAnsi="仿宋" w:eastAsia="仿宋" w:cs="仿宋"/>
          <w:b w:val="0"/>
          <w:bCs w:val="0"/>
          <w:color w:val="auto"/>
          <w:sz w:val="24"/>
          <w:highlight w:val="none"/>
          <w:lang w:eastAsia="zh-CN"/>
        </w:rPr>
        <w:t>）</w:t>
      </w:r>
      <w:r>
        <w:rPr>
          <w:rFonts w:hint="eastAsia" w:ascii="仿宋" w:hAnsi="仿宋" w:eastAsia="仿宋" w:cs="仿宋"/>
          <w:b w:val="0"/>
          <w:bCs w:val="0"/>
          <w:color w:val="auto"/>
          <w:sz w:val="24"/>
          <w:highlight w:val="none"/>
        </w:rPr>
        <w:t>投标人针对报价需要说明的其他文件和说明</w:t>
      </w:r>
      <w:r>
        <w:rPr>
          <w:rFonts w:hint="eastAsia" w:ascii="仿宋" w:hAnsi="仿宋" w:eastAsia="仿宋" w:cs="仿宋"/>
          <w:b w:val="0"/>
          <w:bCs w:val="0"/>
          <w:color w:val="auto"/>
          <w:sz w:val="24"/>
          <w:highlight w:val="none"/>
          <w:lang w:eastAsia="zh-CN"/>
        </w:rPr>
        <w:t>。</w:t>
      </w:r>
    </w:p>
    <w:p>
      <w:pPr>
        <w:pStyle w:val="3"/>
        <w:rPr>
          <w:rFonts w:hint="eastAsia" w:ascii="仿宋" w:hAnsi="仿宋" w:eastAsia="仿宋" w:cs="仿宋"/>
          <w:b w:val="0"/>
          <w:bCs w:val="0"/>
          <w:color w:val="auto"/>
          <w:sz w:val="24"/>
          <w:highlight w:val="none"/>
        </w:rPr>
      </w:pPr>
    </w:p>
    <w:p>
      <w:pPr>
        <w:rPr>
          <w:rFonts w:hint="eastAsia"/>
        </w:rPr>
      </w:pPr>
    </w:p>
    <w:p>
      <w:pPr>
        <w:pStyle w:val="17"/>
        <w:keepNext w:val="0"/>
        <w:keepLines w:val="0"/>
        <w:pageBreakBefore w:val="0"/>
        <w:widowControl w:val="0"/>
        <w:kinsoku/>
        <w:wordWrap/>
        <w:overflowPunct/>
        <w:topLinePunct w:val="0"/>
        <w:autoSpaceDE/>
        <w:autoSpaceDN/>
        <w:bidi w:val="0"/>
        <w:adjustRightInd/>
        <w:snapToGrid/>
        <w:spacing w:before="0" w:beforeLines="0" w:after="0" w:afterLines="0" w:line="240" w:lineRule="auto"/>
        <w:textAlignment w:val="auto"/>
        <w:rPr>
          <w:rFonts w:hint="eastAsia" w:ascii="仿宋" w:hAnsi="仿宋" w:eastAsia="仿宋" w:cs="仿宋"/>
          <w:b/>
          <w:bCs/>
          <w:color w:val="auto"/>
          <w:sz w:val="28"/>
          <w:szCs w:val="28"/>
          <w:highlight w:val="none"/>
        </w:rPr>
      </w:pPr>
      <w:bookmarkStart w:id="394" w:name="_Toc14471"/>
      <w:r>
        <w:rPr>
          <w:rFonts w:hint="eastAsia" w:ascii="仿宋" w:hAnsi="仿宋" w:eastAsia="仿宋" w:cs="仿宋"/>
          <w:b/>
          <w:bCs/>
          <w:color w:val="auto"/>
          <w:sz w:val="28"/>
          <w:szCs w:val="28"/>
          <w:highlight w:val="none"/>
        </w:rPr>
        <w:t>注：未提供格式的由投标人格式自拟</w:t>
      </w:r>
      <w:bookmarkEnd w:id="394"/>
      <w:r>
        <w:rPr>
          <w:rFonts w:hint="eastAsia" w:ascii="仿宋" w:hAnsi="仿宋" w:eastAsia="仿宋" w:cs="仿宋"/>
          <w:b/>
          <w:bCs/>
          <w:color w:val="auto"/>
          <w:sz w:val="28"/>
          <w:szCs w:val="28"/>
          <w:highlight w:val="none"/>
        </w:rPr>
        <w:t>。</w:t>
      </w:r>
    </w:p>
    <w:p>
      <w:pPr>
        <w:jc w:val="center"/>
        <w:outlineLvl w:val="1"/>
        <w:rPr>
          <w:rFonts w:hint="eastAsia" w:ascii="仿宋" w:hAnsi="仿宋" w:eastAsia="仿宋" w:cs="仿宋"/>
          <w:b/>
          <w:bCs/>
          <w:color w:val="auto"/>
          <w:kern w:val="28"/>
          <w:sz w:val="28"/>
          <w:szCs w:val="32"/>
          <w:highlight w:val="none"/>
          <w:lang w:val="en-US" w:eastAsia="zh-CN" w:bidi="ar-SA"/>
        </w:rPr>
      </w:pPr>
      <w:r>
        <w:rPr>
          <w:rFonts w:hint="eastAsia" w:ascii="仿宋" w:hAnsi="仿宋" w:eastAsia="仿宋" w:cs="仿宋"/>
          <w:color w:val="auto"/>
          <w:highlight w:val="none"/>
        </w:rPr>
        <w:br w:type="page"/>
      </w:r>
      <w:r>
        <w:rPr>
          <w:rFonts w:hint="eastAsia" w:ascii="仿宋" w:hAnsi="仿宋" w:eastAsia="仿宋" w:cs="仿宋"/>
          <w:b/>
          <w:bCs/>
          <w:color w:val="auto"/>
          <w:kern w:val="28"/>
          <w:sz w:val="28"/>
          <w:szCs w:val="32"/>
          <w:highlight w:val="none"/>
          <w:lang w:val="en-US" w:eastAsia="zh-CN" w:bidi="ar-SA"/>
        </w:rPr>
        <w:t>一、投标声明函</w:t>
      </w:r>
    </w:p>
    <w:p>
      <w:pPr>
        <w:pStyle w:val="17"/>
        <w:spacing w:before="157" w:after="157" w:line="288" w:lineRule="auto"/>
        <w:rPr>
          <w:rFonts w:hint="eastAsia" w:ascii="仿宋" w:hAnsi="仿宋" w:eastAsia="仿宋" w:cs="仿宋"/>
          <w:color w:val="auto"/>
          <w:highlight w:val="none"/>
        </w:rPr>
      </w:pPr>
      <w:r>
        <w:rPr>
          <w:rFonts w:hint="eastAsia" w:ascii="仿宋" w:hAnsi="仿宋" w:eastAsia="仿宋" w:cs="仿宋"/>
          <w:color w:val="auto"/>
          <w:highlight w:val="none"/>
        </w:rPr>
        <w:t>致：</w:t>
      </w:r>
      <w:r>
        <w:rPr>
          <w:rFonts w:hint="eastAsia" w:ascii="仿宋" w:hAnsi="仿宋" w:eastAsia="仿宋" w:cs="仿宋"/>
          <w:color w:val="auto"/>
          <w:highlight w:val="none"/>
          <w:u w:val="single"/>
        </w:rPr>
        <w:t xml:space="preserve">              （采购人）</w:t>
      </w:r>
    </w:p>
    <w:p>
      <w:pPr>
        <w:snapToGrid w:val="0"/>
        <w:spacing w:line="288"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（投标人名称）系中华人民共和国合法企业，经营地址</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napToGrid w:val="0"/>
        <w:spacing w:line="288"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姓名）系</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（投标人名称）的法定代表人，我方愿意参加贵方组织的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项目的投标，为便于贵方公正、择优地确定中标人，我方就本次投标有关事项郑重声明如下：</w:t>
      </w:r>
    </w:p>
    <w:p>
      <w:pPr>
        <w:snapToGrid w:val="0"/>
        <w:spacing w:line="288"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（一）我方向贵方提交的所有投标文件、资料都是准确的和真实的；</w:t>
      </w:r>
    </w:p>
    <w:p>
      <w:pPr>
        <w:snapToGrid w:val="0"/>
        <w:spacing w:line="288"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（二）我方不是采购人的附属机构；在获知本项目采购信息后，与采购人聘请的为此项目提供咨询服务的公司及其附属机构没有任何联系。</w:t>
      </w:r>
    </w:p>
    <w:p>
      <w:pPr>
        <w:snapToGrid w:val="0"/>
        <w:spacing w:line="288" w:lineRule="auto"/>
        <w:ind w:firstLine="480" w:firstLineChars="200"/>
        <w:rPr>
          <w:rFonts w:hint="eastAsia" w:ascii="仿宋" w:hAnsi="仿宋" w:eastAsia="仿宋" w:cs="仿宋"/>
          <w:b/>
          <w:bCs/>
          <w:color w:val="auto"/>
          <w:highlight w:val="none"/>
          <w:u w:val="single"/>
        </w:rPr>
      </w:pPr>
      <w:r>
        <w:rPr>
          <w:rFonts w:hint="eastAsia" w:ascii="仿宋" w:hAnsi="仿宋" w:eastAsia="仿宋" w:cs="仿宋"/>
          <w:color w:val="auto"/>
          <w:sz w:val="24"/>
          <w:highlight w:val="none"/>
        </w:rPr>
        <w:t>（三）我方拟在中标后将</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工作分包，分包承担主体是</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，我方承诺分包承担主体具备相应资质条件</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，且不再次分包。</w:t>
      </w:r>
      <w:r>
        <w:rPr>
          <w:rFonts w:hint="eastAsia" w:ascii="仿宋" w:hAnsi="仿宋" w:eastAsia="仿宋" w:cs="仿宋"/>
          <w:b/>
          <w:bCs/>
          <w:color w:val="auto"/>
          <w:sz w:val="24"/>
          <w:highlight w:val="none"/>
          <w:u w:val="single"/>
        </w:rPr>
        <w:t>（不再将工作进行分包或本项目不允许分包的，下划线处填写“/”。）</w:t>
      </w:r>
    </w:p>
    <w:p>
      <w:pPr>
        <w:snapToGrid w:val="0"/>
        <w:spacing w:line="288"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四）我方在此声明，所递交的投标文件及有关资料内容完整、真实和准确，如有虚假或隐瞒，我方愿意承担一切后果和责任。严格遵守相关法律法规的规定：投标人有下列情形之一的，处以采购金额5‰以上10‰以下的罚款，列入不良行为记录名单，在一至三年内禁止参加投标活动；如有违法所得并将其没收；情节严重的，由工商行政管理机关吊销营业执照；构成犯罪的，依法追究刑事责任：</w:t>
      </w:r>
    </w:p>
    <w:p>
      <w:pPr>
        <w:snapToGrid w:val="0"/>
        <w:spacing w:line="288" w:lineRule="auto"/>
        <w:ind w:left="420" w:left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1.提供虚假材料谋取中标、成交的；</w:t>
      </w:r>
    </w:p>
    <w:p>
      <w:pPr>
        <w:snapToGrid w:val="0"/>
        <w:spacing w:line="288" w:lineRule="auto"/>
        <w:ind w:left="420" w:left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2.采取不正当手段诋毁、排挤其他投标人的；</w:t>
      </w:r>
    </w:p>
    <w:p>
      <w:pPr>
        <w:snapToGrid w:val="0"/>
        <w:spacing w:line="288" w:lineRule="auto"/>
        <w:ind w:left="420" w:left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3.与其他投标人恶意串通的；</w:t>
      </w:r>
    </w:p>
    <w:p>
      <w:pPr>
        <w:snapToGrid w:val="0"/>
        <w:spacing w:line="288" w:lineRule="auto"/>
        <w:ind w:left="420" w:left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4.向采购单位行贿或者提供其他不正当利益的；</w:t>
      </w:r>
    </w:p>
    <w:p>
      <w:pPr>
        <w:snapToGrid w:val="0"/>
        <w:spacing w:line="288" w:lineRule="auto"/>
        <w:ind w:left="420" w:leftChars="200"/>
        <w:rPr>
          <w:rFonts w:hint="eastAsia" w:ascii="仿宋" w:hAnsi="仿宋" w:eastAsia="仿宋" w:cs="仿宋"/>
          <w:color w:val="auto"/>
          <w:highlight w:val="none"/>
        </w:rPr>
      </w:pPr>
      <w:r>
        <w:rPr>
          <w:rFonts w:hint="eastAsia" w:ascii="仿宋" w:hAnsi="仿宋" w:eastAsia="仿宋" w:cs="仿宋"/>
          <w:color w:val="auto"/>
          <w:sz w:val="24"/>
          <w:highlight w:val="none"/>
        </w:rPr>
        <w:t>5.拒绝有关部门监督检查或提供虚假情况的。</w:t>
      </w:r>
    </w:p>
    <w:p>
      <w:pPr>
        <w:spacing w:line="360" w:lineRule="auto"/>
        <w:ind w:firstLine="3675" w:firstLineChars="1750"/>
        <w:rPr>
          <w:rFonts w:hint="eastAsia" w:ascii="仿宋" w:hAnsi="仿宋" w:eastAsia="仿宋" w:cs="仿宋"/>
          <w:color w:val="auto"/>
          <w:szCs w:val="21"/>
          <w:highlight w:val="none"/>
        </w:rPr>
      </w:pPr>
      <w:r>
        <w:rPr>
          <w:rFonts w:hint="eastAsia" w:ascii="仿宋" w:hAnsi="仿宋" w:eastAsia="仿宋" w:cs="仿宋"/>
          <w:color w:val="auto"/>
          <w:szCs w:val="21"/>
          <w:highlight w:val="none"/>
        </w:rPr>
        <w:t>投 标 人：</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（盖章）</w:t>
      </w:r>
    </w:p>
    <w:p>
      <w:pPr>
        <w:spacing w:line="360" w:lineRule="auto"/>
        <w:ind w:firstLine="3675" w:firstLineChars="1750"/>
        <w:rPr>
          <w:rFonts w:hint="eastAsia" w:ascii="仿宋" w:hAnsi="仿宋" w:eastAsia="仿宋" w:cs="仿宋"/>
          <w:color w:val="auto"/>
          <w:szCs w:val="21"/>
          <w:highlight w:val="none"/>
        </w:rPr>
      </w:pPr>
      <w:r>
        <w:rPr>
          <w:rFonts w:hint="eastAsia" w:ascii="仿宋" w:hAnsi="仿宋" w:eastAsia="仿宋" w:cs="仿宋"/>
          <w:color w:val="auto"/>
          <w:szCs w:val="21"/>
          <w:highlight w:val="none"/>
        </w:rPr>
        <w:t>法定代表人或其委托代理人：</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（签字或盖章）</w:t>
      </w:r>
    </w:p>
    <w:p>
      <w:pPr>
        <w:spacing w:line="360" w:lineRule="auto"/>
        <w:ind w:firstLine="3675" w:firstLineChars="1750"/>
        <w:rPr>
          <w:rFonts w:hint="eastAsia" w:ascii="仿宋" w:hAnsi="仿宋" w:eastAsia="仿宋" w:cs="仿宋"/>
          <w:color w:val="auto"/>
          <w:szCs w:val="21"/>
          <w:highlight w:val="none"/>
        </w:rPr>
      </w:pPr>
      <w:r>
        <w:rPr>
          <w:rFonts w:hint="eastAsia" w:ascii="仿宋" w:hAnsi="仿宋" w:eastAsia="仿宋" w:cs="仿宋"/>
          <w:color w:val="auto"/>
          <w:szCs w:val="21"/>
          <w:highlight w:val="none"/>
        </w:rPr>
        <w:t>电话：</w:t>
      </w:r>
      <w:r>
        <w:rPr>
          <w:rFonts w:hint="eastAsia" w:ascii="仿宋" w:hAnsi="仿宋" w:eastAsia="仿宋" w:cs="仿宋"/>
          <w:color w:val="auto"/>
          <w:szCs w:val="21"/>
          <w:highlight w:val="none"/>
          <w:u w:val="single"/>
        </w:rPr>
        <w:t xml:space="preserve">                                     </w:t>
      </w:r>
    </w:p>
    <w:p>
      <w:pPr>
        <w:spacing w:line="360" w:lineRule="auto"/>
        <w:ind w:firstLine="3675" w:firstLineChars="1750"/>
        <w:rPr>
          <w:rFonts w:hint="eastAsia" w:ascii="仿宋" w:hAnsi="仿宋" w:eastAsia="仿宋" w:cs="仿宋"/>
          <w:color w:val="auto"/>
          <w:sz w:val="24"/>
          <w:highlight w:val="none"/>
        </w:rPr>
      </w:pPr>
      <w:r>
        <w:rPr>
          <w:rFonts w:hint="eastAsia" w:ascii="仿宋" w:hAnsi="仿宋" w:eastAsia="仿宋" w:cs="仿宋"/>
          <w:color w:val="auto"/>
          <w:szCs w:val="21"/>
          <w:highlight w:val="none"/>
        </w:rPr>
        <w:t>电子邮件：</w:t>
      </w:r>
      <w:r>
        <w:rPr>
          <w:rFonts w:hint="eastAsia" w:ascii="仿宋" w:hAnsi="仿宋" w:eastAsia="仿宋" w:cs="仿宋"/>
          <w:color w:val="auto"/>
          <w:szCs w:val="21"/>
          <w:highlight w:val="none"/>
          <w:u w:val="single"/>
        </w:rPr>
        <w:t xml:space="preserve">                                     </w:t>
      </w:r>
    </w:p>
    <w:p>
      <w:pPr>
        <w:pStyle w:val="30"/>
        <w:spacing w:line="460" w:lineRule="exact"/>
        <w:ind w:firstLine="3232" w:firstLineChars="1600"/>
        <w:rPr>
          <w:rFonts w:hint="eastAsia" w:ascii="仿宋" w:hAnsi="仿宋" w:eastAsia="仿宋" w:cs="仿宋"/>
          <w:color w:val="auto"/>
          <w:highlight w:val="none"/>
          <w:u w:val="single"/>
        </w:rPr>
      </w:pPr>
      <w:r>
        <w:rPr>
          <w:rFonts w:hint="eastAsia" w:ascii="仿宋" w:hAnsi="仿宋" w:eastAsia="仿宋" w:cs="仿宋"/>
          <w:color w:val="auto"/>
          <w:highlight w:val="none"/>
        </w:rPr>
        <w:t>日    期：</w:t>
      </w:r>
      <w:r>
        <w:rPr>
          <w:rFonts w:hint="eastAsia" w:ascii="仿宋" w:hAnsi="仿宋" w:eastAsia="仿宋" w:cs="仿宋"/>
          <w:color w:val="auto"/>
          <w:highlight w:val="none"/>
          <w:u w:val="single"/>
        </w:rPr>
        <w:t xml:space="preserve">                                  </w:t>
      </w:r>
    </w:p>
    <w:p>
      <w:pPr>
        <w:pStyle w:val="23"/>
        <w:jc w:val="both"/>
        <w:rPr>
          <w:rFonts w:hint="eastAsia" w:ascii="仿宋" w:hAnsi="仿宋" w:eastAsia="仿宋" w:cs="仿宋"/>
          <w:color w:val="auto"/>
          <w:highlight w:val="none"/>
          <w:lang w:eastAsia="zh-CN"/>
        </w:rPr>
      </w:pPr>
      <w:bookmarkStart w:id="395" w:name="_Toc794"/>
      <w:bookmarkStart w:id="396" w:name="_Toc4718_WPSOffice_Level2"/>
      <w:r>
        <w:rPr>
          <w:rFonts w:hint="eastAsia" w:ascii="仿宋" w:hAnsi="仿宋" w:eastAsia="仿宋" w:cs="仿宋"/>
          <w:color w:val="auto"/>
          <w:szCs w:val="40"/>
          <w:highlight w:val="none"/>
        </w:rPr>
        <w:br w:type="page"/>
      </w:r>
      <w:bookmarkStart w:id="397" w:name="_Toc33194405"/>
      <w:bookmarkStart w:id="398" w:name="_Toc27119254"/>
      <w:r>
        <w:rPr>
          <w:rFonts w:hint="eastAsia" w:ascii="仿宋" w:hAnsi="仿宋" w:eastAsia="仿宋" w:cs="仿宋"/>
          <w:color w:val="auto"/>
          <w:highlight w:val="none"/>
          <w:lang w:eastAsia="zh-CN"/>
        </w:rPr>
        <w:t>二</w:t>
      </w:r>
      <w:r>
        <w:rPr>
          <w:rFonts w:hint="eastAsia" w:ascii="仿宋" w:hAnsi="仿宋" w:eastAsia="仿宋" w:cs="仿宋"/>
          <w:color w:val="auto"/>
          <w:highlight w:val="none"/>
        </w:rPr>
        <w:t>、营业执照(或事业法人登记证书)</w:t>
      </w:r>
    </w:p>
    <w:p>
      <w:pPr>
        <w:pStyle w:val="23"/>
        <w:jc w:val="left"/>
        <w:outlineLvl w:val="9"/>
        <w:rPr>
          <w:rFonts w:hint="eastAsia" w:ascii="仿宋" w:hAnsi="仿宋" w:eastAsia="仿宋" w:cs="仿宋"/>
          <w:color w:val="auto"/>
          <w:highlight w:val="none"/>
        </w:rPr>
      </w:pPr>
    </w:p>
    <w:p>
      <w:pPr>
        <w:rPr>
          <w:rFonts w:hint="eastAsia" w:ascii="仿宋" w:hAnsi="仿宋" w:eastAsia="仿宋" w:cs="仿宋"/>
          <w:color w:val="auto"/>
          <w:highlight w:val="none"/>
        </w:rPr>
      </w:pPr>
    </w:p>
    <w:p>
      <w:pPr>
        <w:pStyle w:val="11"/>
        <w:rPr>
          <w:rFonts w:hint="eastAsia" w:ascii="仿宋" w:hAnsi="仿宋" w:eastAsia="仿宋" w:cs="仿宋"/>
          <w:color w:val="auto"/>
          <w:highlight w:val="none"/>
        </w:rPr>
      </w:pPr>
    </w:p>
    <w:p>
      <w:pPr>
        <w:pStyle w:val="23"/>
        <w:jc w:val="both"/>
        <w:rPr>
          <w:rFonts w:hint="eastAsia" w:ascii="仿宋" w:hAnsi="仿宋" w:eastAsia="仿宋" w:cs="仿宋"/>
          <w:b/>
          <w:bCs/>
          <w:color w:val="auto"/>
          <w:highlight w:val="none"/>
          <w:lang w:eastAsia="zh-CN"/>
        </w:rPr>
      </w:pPr>
      <w:r>
        <w:rPr>
          <w:rFonts w:hint="eastAsia" w:ascii="仿宋" w:hAnsi="仿宋" w:eastAsia="仿宋" w:cs="仿宋"/>
          <w:b/>
          <w:bCs/>
          <w:color w:val="auto"/>
          <w:highlight w:val="none"/>
          <w:lang w:eastAsia="zh-CN"/>
        </w:rPr>
        <w:t>三、</w:t>
      </w:r>
      <w:r>
        <w:rPr>
          <w:rFonts w:hint="eastAsia" w:ascii="仿宋" w:hAnsi="仿宋" w:eastAsia="仿宋" w:cs="仿宋"/>
          <w:b/>
          <w:bCs/>
          <w:color w:val="auto"/>
          <w:highlight w:val="none"/>
        </w:rPr>
        <w:t>具有履行合同所必需的场地、设备和专业技术能力的承诺函</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致：</w:t>
      </w:r>
      <w:r>
        <w:rPr>
          <w:rFonts w:hint="eastAsia" w:ascii="仿宋" w:hAnsi="仿宋" w:eastAsia="仿宋" w:cs="仿宋"/>
          <w:color w:val="auto"/>
          <w:sz w:val="24"/>
          <w:highlight w:val="none"/>
          <w:u w:val="single"/>
        </w:rPr>
        <w:t xml:space="preserve">              （采购人）</w:t>
      </w:r>
    </w:p>
    <w:p>
      <w:pPr>
        <w:widowControl/>
        <w:snapToGrid w:val="0"/>
        <w:spacing w:line="600" w:lineRule="exact"/>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我方</w:t>
      </w:r>
      <w:r>
        <w:rPr>
          <w:rFonts w:hint="eastAsia" w:ascii="仿宋" w:hAnsi="仿宋" w:eastAsia="仿宋" w:cs="仿宋"/>
          <w:color w:val="auto"/>
          <w:kern w:val="0"/>
          <w:sz w:val="24"/>
          <w:highlight w:val="none"/>
          <w:u w:val="single"/>
        </w:rPr>
        <w:t xml:space="preserve">                  （投标人名称）</w:t>
      </w:r>
      <w:r>
        <w:rPr>
          <w:rFonts w:hint="eastAsia" w:ascii="仿宋" w:hAnsi="仿宋" w:eastAsia="仿宋" w:cs="仿宋"/>
          <w:color w:val="auto"/>
          <w:kern w:val="0"/>
          <w:sz w:val="24"/>
          <w:highlight w:val="none"/>
        </w:rPr>
        <w:t>承诺具有履行合同所必需的场地、设备和专业技术能力。如有虚假，采购人可取消我方任何资格（投标/中标/签订合同），我方对此无任何异议。</w:t>
      </w:r>
    </w:p>
    <w:p>
      <w:pPr>
        <w:widowControl/>
        <w:snapToGrid w:val="0"/>
        <w:spacing w:line="600" w:lineRule="exact"/>
        <w:ind w:firstLine="480" w:firstLineChars="200"/>
        <w:jc w:val="left"/>
        <w:rPr>
          <w:rFonts w:hint="eastAsia" w:ascii="仿宋" w:hAnsi="仿宋" w:eastAsia="仿宋" w:cs="仿宋"/>
          <w:color w:val="auto"/>
          <w:kern w:val="0"/>
          <w:sz w:val="24"/>
          <w:highlight w:val="none"/>
        </w:rPr>
      </w:pPr>
    </w:p>
    <w:p>
      <w:pPr>
        <w:widowControl/>
        <w:snapToGrid w:val="0"/>
        <w:spacing w:line="600" w:lineRule="exact"/>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特此承诺！</w:t>
      </w:r>
    </w:p>
    <w:p>
      <w:pPr>
        <w:widowControl/>
        <w:snapToGrid w:val="0"/>
        <w:spacing w:line="600" w:lineRule="exact"/>
        <w:ind w:firstLine="480" w:firstLineChars="200"/>
        <w:jc w:val="left"/>
        <w:rPr>
          <w:rFonts w:hint="eastAsia" w:ascii="仿宋" w:hAnsi="仿宋" w:eastAsia="仿宋" w:cs="仿宋"/>
          <w:color w:val="auto"/>
          <w:kern w:val="0"/>
          <w:sz w:val="24"/>
          <w:highlight w:val="none"/>
        </w:rPr>
      </w:pPr>
    </w:p>
    <w:p>
      <w:pPr>
        <w:keepNext w:val="0"/>
        <w:keepLines w:val="0"/>
        <w:pageBreakBefore w:val="0"/>
        <w:widowControl/>
        <w:kinsoku/>
        <w:wordWrap/>
        <w:overflowPunct/>
        <w:topLinePunct w:val="0"/>
        <w:autoSpaceDE/>
        <w:autoSpaceDN/>
        <w:bidi w:val="0"/>
        <w:adjustRightInd/>
        <w:snapToGrid/>
        <w:ind w:firstLine="3360" w:firstLineChars="14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u w:val="single"/>
          <w:lang w:eastAsia="zh-CN"/>
        </w:rPr>
        <w:t>盖章</w:t>
      </w:r>
      <w:r>
        <w:rPr>
          <w:rFonts w:hint="eastAsia" w:ascii="仿宋" w:hAnsi="仿宋" w:eastAsia="仿宋" w:cs="仿宋"/>
          <w:color w:val="auto"/>
          <w:sz w:val="24"/>
          <w:highlight w:val="none"/>
          <w:u w:val="single"/>
        </w:rPr>
        <w:t>）</w:t>
      </w:r>
    </w:p>
    <w:p>
      <w:pPr>
        <w:keepNext w:val="0"/>
        <w:keepLines w:val="0"/>
        <w:pageBreakBefore w:val="0"/>
        <w:widowControl/>
        <w:kinsoku/>
        <w:wordWrap/>
        <w:overflowPunct/>
        <w:topLinePunct w:val="0"/>
        <w:autoSpaceDE/>
        <w:autoSpaceDN/>
        <w:bidi w:val="0"/>
        <w:adjustRightInd/>
        <w:snapToGrid/>
        <w:ind w:firstLine="3360" w:firstLineChars="1400"/>
        <w:jc w:val="left"/>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法定代表人或委托代理人：</w:t>
      </w:r>
      <w:r>
        <w:rPr>
          <w:rFonts w:hint="eastAsia" w:ascii="仿宋" w:hAnsi="仿宋" w:eastAsia="仿宋" w:cs="仿宋"/>
          <w:b/>
          <w:bCs/>
          <w:color w:val="auto"/>
          <w:sz w:val="24"/>
          <w:highlight w:val="none"/>
          <w:u w:val="single"/>
        </w:rPr>
        <w:t>（签字或盖章）</w:t>
      </w:r>
    </w:p>
    <w:p>
      <w:pPr>
        <w:keepNext w:val="0"/>
        <w:keepLines w:val="0"/>
        <w:pageBreakBefore w:val="0"/>
        <w:widowControl/>
        <w:kinsoku/>
        <w:wordWrap/>
        <w:overflowPunct/>
        <w:topLinePunct w:val="0"/>
        <w:autoSpaceDE/>
        <w:autoSpaceDN/>
        <w:bidi w:val="0"/>
        <w:adjustRightInd/>
        <w:snapToGrid/>
        <w:ind w:firstLine="3360" w:firstLineChars="1400"/>
        <w:jc w:val="left"/>
        <w:textAlignment w:val="auto"/>
        <w:rPr>
          <w:rFonts w:hint="eastAsia" w:ascii="仿宋" w:hAnsi="仿宋" w:eastAsia="仿宋" w:cs="仿宋"/>
          <w:b/>
          <w:bCs/>
          <w:color w:val="auto"/>
          <w:sz w:val="32"/>
          <w:szCs w:val="32"/>
          <w:highlight w:val="none"/>
        </w:rPr>
      </w:pPr>
      <w:r>
        <w:rPr>
          <w:rFonts w:hint="eastAsia" w:ascii="仿宋" w:hAnsi="仿宋" w:eastAsia="仿宋" w:cs="仿宋"/>
          <w:color w:val="auto"/>
          <w:sz w:val="24"/>
          <w:highlight w:val="none"/>
        </w:rPr>
        <w:t xml:space="preserve">日期：    </w:t>
      </w:r>
    </w:p>
    <w:p>
      <w:pPr>
        <w:pStyle w:val="12"/>
        <w:ind w:firstLine="0"/>
        <w:rPr>
          <w:rFonts w:hint="eastAsia" w:ascii="仿宋" w:hAnsi="仿宋" w:eastAsia="仿宋" w:cs="仿宋"/>
          <w:color w:val="auto"/>
          <w:szCs w:val="28"/>
          <w:highlight w:val="none"/>
        </w:rPr>
      </w:pPr>
    </w:p>
    <w:p>
      <w:pPr>
        <w:rPr>
          <w:rFonts w:hint="eastAsia" w:ascii="仿宋" w:hAnsi="仿宋" w:eastAsia="仿宋" w:cs="仿宋"/>
          <w:color w:val="auto"/>
          <w:sz w:val="28"/>
          <w:szCs w:val="28"/>
          <w:highlight w:val="none"/>
        </w:rPr>
      </w:pPr>
    </w:p>
    <w:p>
      <w:pPr>
        <w:rPr>
          <w:rFonts w:hint="eastAsia" w:ascii="仿宋" w:hAnsi="仿宋" w:eastAsia="仿宋" w:cs="仿宋"/>
          <w:color w:val="auto"/>
          <w:highlight w:val="none"/>
        </w:rPr>
      </w:pPr>
    </w:p>
    <w:p>
      <w:pPr>
        <w:pStyle w:val="23"/>
        <w:jc w:val="both"/>
        <w:outlineLvl w:val="9"/>
        <w:rPr>
          <w:rFonts w:hint="eastAsia" w:ascii="仿宋" w:hAnsi="仿宋" w:eastAsia="仿宋" w:cs="仿宋"/>
          <w:b w:val="0"/>
          <w:bCs w:val="0"/>
          <w:color w:val="auto"/>
          <w:kern w:val="2"/>
          <w:sz w:val="24"/>
          <w:szCs w:val="24"/>
          <w:highlight w:val="none"/>
          <w:lang w:val="en-US" w:eastAsia="zh-CN" w:bidi="ar-SA"/>
        </w:rPr>
      </w:pPr>
    </w:p>
    <w:p>
      <w:pPr>
        <w:pStyle w:val="23"/>
        <w:jc w:val="center"/>
        <w:outlineLvl w:val="1"/>
        <w:rPr>
          <w:rFonts w:hint="eastAsia" w:ascii="仿宋" w:hAnsi="仿宋" w:eastAsia="仿宋" w:cs="仿宋"/>
          <w:color w:val="auto"/>
          <w:highlight w:val="none"/>
        </w:rPr>
      </w:pPr>
      <w:r>
        <w:rPr>
          <w:rFonts w:hint="eastAsia" w:ascii="仿宋" w:hAnsi="仿宋" w:eastAsia="仿宋" w:cs="仿宋"/>
          <w:b w:val="0"/>
          <w:bCs w:val="0"/>
          <w:color w:val="auto"/>
          <w:kern w:val="2"/>
          <w:sz w:val="24"/>
          <w:szCs w:val="24"/>
          <w:highlight w:val="none"/>
          <w:lang w:val="en-US" w:eastAsia="zh-CN" w:bidi="ar-SA"/>
        </w:rPr>
        <w:br w:type="page"/>
      </w:r>
      <w:r>
        <w:rPr>
          <w:rFonts w:hint="eastAsia" w:ascii="仿宋" w:hAnsi="仿宋" w:eastAsia="仿宋" w:cs="仿宋"/>
          <w:color w:val="auto"/>
          <w:highlight w:val="none"/>
          <w:lang w:eastAsia="zh-CN"/>
        </w:rPr>
        <w:t>四</w:t>
      </w:r>
      <w:r>
        <w:rPr>
          <w:rFonts w:hint="eastAsia" w:ascii="仿宋" w:hAnsi="仿宋" w:eastAsia="仿宋" w:cs="仿宋"/>
          <w:color w:val="auto"/>
          <w:highlight w:val="none"/>
        </w:rPr>
        <w:t>、</w:t>
      </w:r>
      <w:r>
        <w:rPr>
          <w:rFonts w:hint="eastAsia" w:ascii="仿宋" w:hAnsi="仿宋" w:eastAsia="仿宋" w:cs="仿宋"/>
          <w:b/>
          <w:bCs/>
          <w:color w:val="auto"/>
          <w:kern w:val="2"/>
          <w:sz w:val="28"/>
          <w:highlight w:val="none"/>
        </w:rPr>
        <w:t>参加</w:t>
      </w:r>
      <w:r>
        <w:rPr>
          <w:rFonts w:hint="eastAsia" w:ascii="仿宋" w:hAnsi="仿宋" w:eastAsia="仿宋" w:cs="仿宋"/>
          <w:b/>
          <w:bCs/>
          <w:color w:val="auto"/>
          <w:kern w:val="2"/>
          <w:sz w:val="28"/>
          <w:highlight w:val="none"/>
          <w:lang w:val="en-US" w:eastAsia="zh-CN"/>
        </w:rPr>
        <w:t>投标</w:t>
      </w:r>
      <w:r>
        <w:rPr>
          <w:rFonts w:hint="eastAsia" w:ascii="仿宋" w:hAnsi="仿宋" w:eastAsia="仿宋" w:cs="仿宋"/>
          <w:b/>
          <w:bCs/>
          <w:color w:val="auto"/>
          <w:kern w:val="2"/>
          <w:sz w:val="28"/>
          <w:highlight w:val="none"/>
        </w:rPr>
        <w:t>活动前3年内在经营活动中没有重大违法记录的声明函</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致：</w:t>
      </w:r>
      <w:r>
        <w:rPr>
          <w:rFonts w:hint="eastAsia" w:ascii="仿宋" w:hAnsi="仿宋" w:eastAsia="仿宋" w:cs="仿宋"/>
          <w:color w:val="auto"/>
          <w:sz w:val="24"/>
          <w:highlight w:val="none"/>
          <w:u w:val="single"/>
        </w:rPr>
        <w:t xml:space="preserve">              （采购人）</w:t>
      </w:r>
    </w:p>
    <w:p>
      <w:pPr>
        <w:widowControl/>
        <w:snapToGrid w:val="0"/>
        <w:spacing w:line="600" w:lineRule="exact"/>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我方</w:t>
      </w:r>
      <w:r>
        <w:rPr>
          <w:rFonts w:hint="eastAsia" w:ascii="仿宋" w:hAnsi="仿宋" w:eastAsia="仿宋" w:cs="仿宋"/>
          <w:color w:val="auto"/>
          <w:kern w:val="0"/>
          <w:sz w:val="24"/>
          <w:highlight w:val="none"/>
          <w:u w:val="single"/>
        </w:rPr>
        <w:t xml:space="preserve">                  （投标人名称）</w:t>
      </w:r>
      <w:r>
        <w:rPr>
          <w:rFonts w:hint="eastAsia" w:ascii="仿宋" w:hAnsi="仿宋" w:eastAsia="仿宋" w:cs="仿宋"/>
          <w:color w:val="auto"/>
          <w:kern w:val="0"/>
          <w:sz w:val="24"/>
          <w:highlight w:val="none"/>
        </w:rPr>
        <w:t>具有良好的商业信誉，依法缴纳税收和社会保障资金，未被列入失信被执行人名单、重大税收违法案件当事人名单、投标严重违法失信行为记录名单，参加本次投标活动前3年内在经营活动中没有重大违法记录（没有因违法经营受到刑事处罚，没有被责令停产停业、被吊销许可证或者执照、被处以较大数额罚款等行政处罚，没有因违法经营被禁止参加投标活动的期限未满情形）。如有虚假，采购人可取消我方任何资格（投标/中标/签订合同），我方对此无任何异议。</w:t>
      </w:r>
    </w:p>
    <w:p>
      <w:pPr>
        <w:widowControl/>
        <w:snapToGrid w:val="0"/>
        <w:spacing w:line="600" w:lineRule="exact"/>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特此承诺！</w:t>
      </w:r>
    </w:p>
    <w:p>
      <w:pPr>
        <w:pStyle w:val="46"/>
        <w:rPr>
          <w:rFonts w:hint="eastAsia" w:ascii="仿宋" w:hAnsi="仿宋" w:eastAsia="仿宋" w:cs="仿宋"/>
          <w:color w:val="auto"/>
          <w:kern w:val="0"/>
          <w:sz w:val="24"/>
          <w:highlight w:val="none"/>
        </w:rPr>
      </w:pPr>
    </w:p>
    <w:p>
      <w:pPr>
        <w:pStyle w:val="46"/>
        <w:rPr>
          <w:rFonts w:hint="eastAsia" w:ascii="仿宋" w:hAnsi="仿宋" w:eastAsia="仿宋" w:cs="仿宋"/>
          <w:color w:val="auto"/>
          <w:kern w:val="0"/>
          <w:sz w:val="24"/>
          <w:highlight w:val="none"/>
        </w:rPr>
      </w:pPr>
    </w:p>
    <w:p>
      <w:pPr>
        <w:pStyle w:val="46"/>
        <w:rPr>
          <w:rFonts w:hint="eastAsia" w:ascii="仿宋" w:hAnsi="仿宋" w:eastAsia="仿宋" w:cs="仿宋"/>
          <w:color w:val="auto"/>
          <w:kern w:val="0"/>
          <w:sz w:val="24"/>
          <w:highlight w:val="none"/>
        </w:rPr>
      </w:pPr>
    </w:p>
    <w:p>
      <w:pPr>
        <w:keepNext w:val="0"/>
        <w:keepLines w:val="0"/>
        <w:pageBreakBefore w:val="0"/>
        <w:widowControl/>
        <w:kinsoku/>
        <w:wordWrap/>
        <w:overflowPunct/>
        <w:topLinePunct w:val="0"/>
        <w:autoSpaceDE/>
        <w:autoSpaceDN/>
        <w:bidi w:val="0"/>
        <w:adjustRightInd/>
        <w:snapToGrid/>
        <w:ind w:firstLine="3360" w:firstLineChars="14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u w:val="single"/>
          <w:lang w:eastAsia="zh-CN"/>
        </w:rPr>
        <w:t>盖章</w:t>
      </w:r>
      <w:r>
        <w:rPr>
          <w:rFonts w:hint="eastAsia" w:ascii="仿宋" w:hAnsi="仿宋" w:eastAsia="仿宋" w:cs="仿宋"/>
          <w:color w:val="auto"/>
          <w:sz w:val="24"/>
          <w:highlight w:val="none"/>
          <w:u w:val="single"/>
        </w:rPr>
        <w:t>）</w:t>
      </w:r>
    </w:p>
    <w:p>
      <w:pPr>
        <w:keepNext w:val="0"/>
        <w:keepLines w:val="0"/>
        <w:pageBreakBefore w:val="0"/>
        <w:widowControl/>
        <w:kinsoku/>
        <w:wordWrap/>
        <w:overflowPunct/>
        <w:topLinePunct w:val="0"/>
        <w:autoSpaceDE/>
        <w:autoSpaceDN/>
        <w:bidi w:val="0"/>
        <w:adjustRightInd/>
        <w:snapToGrid/>
        <w:ind w:firstLine="3360" w:firstLineChars="1400"/>
        <w:jc w:val="left"/>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法定代表人或委托代理人：</w:t>
      </w:r>
      <w:r>
        <w:rPr>
          <w:rFonts w:hint="eastAsia" w:ascii="仿宋" w:hAnsi="仿宋" w:eastAsia="仿宋" w:cs="仿宋"/>
          <w:b/>
          <w:bCs/>
          <w:color w:val="auto"/>
          <w:sz w:val="24"/>
          <w:highlight w:val="none"/>
          <w:u w:val="single"/>
        </w:rPr>
        <w:t>（签字或盖章）</w:t>
      </w:r>
    </w:p>
    <w:p>
      <w:pPr>
        <w:keepNext w:val="0"/>
        <w:keepLines w:val="0"/>
        <w:pageBreakBefore w:val="0"/>
        <w:widowControl/>
        <w:kinsoku/>
        <w:wordWrap/>
        <w:overflowPunct/>
        <w:topLinePunct w:val="0"/>
        <w:autoSpaceDE/>
        <w:autoSpaceDN/>
        <w:bidi w:val="0"/>
        <w:adjustRightInd/>
        <w:snapToGrid/>
        <w:ind w:firstLine="3360" w:firstLineChars="1400"/>
        <w:jc w:val="left"/>
        <w:textAlignment w:val="auto"/>
        <w:rPr>
          <w:rFonts w:hint="eastAsia" w:ascii="仿宋" w:hAnsi="仿宋" w:eastAsia="仿宋" w:cs="仿宋"/>
          <w:b/>
          <w:bCs/>
          <w:color w:val="auto"/>
          <w:sz w:val="32"/>
          <w:szCs w:val="32"/>
          <w:highlight w:val="none"/>
        </w:rPr>
      </w:pPr>
      <w:r>
        <w:rPr>
          <w:rFonts w:hint="eastAsia" w:ascii="仿宋" w:hAnsi="仿宋" w:eastAsia="仿宋" w:cs="仿宋"/>
          <w:color w:val="auto"/>
          <w:sz w:val="24"/>
          <w:highlight w:val="none"/>
        </w:rPr>
        <w:t xml:space="preserve">日期：      </w:t>
      </w:r>
    </w:p>
    <w:p>
      <w:pPr>
        <w:pStyle w:val="23"/>
        <w:keepNext w:val="0"/>
        <w:keepLines w:val="0"/>
        <w:pageBreakBefore w:val="0"/>
        <w:widowControl w:val="0"/>
        <w:kinsoku/>
        <w:wordWrap/>
        <w:overflowPunct/>
        <w:topLinePunct w:val="0"/>
        <w:autoSpaceDE/>
        <w:autoSpaceDN/>
        <w:bidi w:val="0"/>
        <w:snapToGrid w:val="0"/>
        <w:spacing w:line="400" w:lineRule="exact"/>
        <w:jc w:val="left"/>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highlight w:val="none"/>
          <w:lang w:eastAsia="zh-CN"/>
        </w:rPr>
        <w:br w:type="page"/>
      </w:r>
      <w:r>
        <w:rPr>
          <w:rFonts w:hint="eastAsia" w:ascii="仿宋" w:hAnsi="仿宋" w:eastAsia="仿宋" w:cs="仿宋"/>
          <w:color w:val="auto"/>
          <w:highlight w:val="none"/>
          <w:lang w:eastAsia="zh-CN"/>
        </w:rPr>
        <w:t>五、</w:t>
      </w:r>
      <w:r>
        <w:rPr>
          <w:rFonts w:hint="eastAsia" w:ascii="仿宋" w:hAnsi="仿宋" w:eastAsia="仿宋" w:cs="仿宋"/>
          <w:color w:val="auto"/>
          <w:highlight w:val="none"/>
        </w:rPr>
        <w:t>“信用中国”、“中国</w:t>
      </w:r>
      <w:r>
        <w:rPr>
          <w:rFonts w:hint="eastAsia" w:ascii="仿宋" w:hAnsi="仿宋" w:eastAsia="仿宋" w:cs="仿宋"/>
          <w:color w:val="auto"/>
          <w:highlight w:val="none"/>
          <w:lang w:eastAsia="zh-CN"/>
        </w:rPr>
        <w:t>采购</w:t>
      </w:r>
      <w:r>
        <w:rPr>
          <w:rFonts w:hint="eastAsia" w:ascii="仿宋" w:hAnsi="仿宋" w:eastAsia="仿宋" w:cs="仿宋"/>
          <w:color w:val="auto"/>
          <w:highlight w:val="none"/>
        </w:rPr>
        <w:t>网”投标截止时间前页面查询结果的网页截图</w:t>
      </w:r>
    </w:p>
    <w:p>
      <w:pPr>
        <w:keepNext w:val="0"/>
        <w:keepLines w:val="0"/>
        <w:pageBreakBefore w:val="0"/>
        <w:widowControl w:val="0"/>
        <w:kinsoku/>
        <w:wordWrap/>
        <w:overflowPunct/>
        <w:topLinePunct w:val="0"/>
        <w:autoSpaceDE/>
        <w:autoSpaceDN/>
        <w:bidi w:val="0"/>
        <w:snapToGrid w:val="0"/>
        <w:spacing w:before="50" w:after="50" w:line="400" w:lineRule="exact"/>
        <w:jc w:val="center"/>
        <w:textAlignment w:val="auto"/>
        <w:rPr>
          <w:rFonts w:hint="eastAsia" w:ascii="仿宋" w:hAnsi="仿宋" w:eastAsia="仿宋" w:cs="仿宋"/>
          <w:b/>
          <w:color w:val="auto"/>
          <w:sz w:val="30"/>
          <w:szCs w:val="30"/>
          <w:highlight w:val="none"/>
        </w:rPr>
      </w:pPr>
      <w:r>
        <w:rPr>
          <w:rFonts w:hint="eastAsia" w:ascii="仿宋" w:hAnsi="仿宋" w:eastAsia="仿宋" w:cs="仿宋"/>
          <w:b/>
          <w:bCs/>
          <w:color w:val="auto"/>
          <w:highlight w:val="none"/>
        </w:rPr>
        <w:drawing>
          <wp:anchor distT="0" distB="0" distL="114300" distR="114300" simplePos="0" relativeHeight="251660288" behindDoc="0" locked="0" layoutInCell="1" allowOverlap="1">
            <wp:simplePos x="0" y="0"/>
            <wp:positionH relativeFrom="column">
              <wp:posOffset>95250</wp:posOffset>
            </wp:positionH>
            <wp:positionV relativeFrom="paragraph">
              <wp:posOffset>4886960</wp:posOffset>
            </wp:positionV>
            <wp:extent cx="5583555" cy="3690620"/>
            <wp:effectExtent l="0" t="0" r="17145" b="5080"/>
            <wp:wrapNone/>
            <wp:docPr id="2" name="图片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84"/>
                    <pic:cNvPicPr>
                      <a:picLocks noChangeAspect="1"/>
                    </pic:cNvPicPr>
                  </pic:nvPicPr>
                  <pic:blipFill>
                    <a:blip r:embed="rId16"/>
                    <a:stretch>
                      <a:fillRect/>
                    </a:stretch>
                  </pic:blipFill>
                  <pic:spPr>
                    <a:xfrm>
                      <a:off x="0" y="0"/>
                      <a:ext cx="5583555" cy="3690620"/>
                    </a:xfrm>
                    <a:prstGeom prst="rect">
                      <a:avLst/>
                    </a:prstGeom>
                    <a:solidFill>
                      <a:srgbClr val="FFC000"/>
                    </a:solidFill>
                    <a:ln>
                      <a:noFill/>
                    </a:ln>
                  </pic:spPr>
                </pic:pic>
              </a:graphicData>
            </a:graphic>
          </wp:anchor>
        </w:drawing>
      </w:r>
      <w:r>
        <w:rPr>
          <w:rFonts w:hint="eastAsia" w:ascii="仿宋" w:hAnsi="仿宋" w:eastAsia="仿宋" w:cs="仿宋"/>
          <w:b/>
          <w:color w:val="auto"/>
          <w:sz w:val="30"/>
          <w:szCs w:val="30"/>
          <w:highlight w:val="none"/>
        </w:rPr>
        <w:drawing>
          <wp:anchor distT="0" distB="0" distL="114300" distR="114300" simplePos="0" relativeHeight="251659264" behindDoc="0" locked="0" layoutInCell="1" allowOverlap="1">
            <wp:simplePos x="0" y="0"/>
            <wp:positionH relativeFrom="column">
              <wp:posOffset>-33020</wp:posOffset>
            </wp:positionH>
            <wp:positionV relativeFrom="paragraph">
              <wp:posOffset>605155</wp:posOffset>
            </wp:positionV>
            <wp:extent cx="5687695" cy="3900805"/>
            <wp:effectExtent l="0" t="0" r="8255" b="4445"/>
            <wp:wrapNone/>
            <wp:docPr id="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1"/>
                    <pic:cNvPicPr>
                      <a:picLocks noChangeAspect="1"/>
                    </pic:cNvPicPr>
                  </pic:nvPicPr>
                  <pic:blipFill>
                    <a:blip r:embed="rId17"/>
                    <a:stretch>
                      <a:fillRect/>
                    </a:stretch>
                  </pic:blipFill>
                  <pic:spPr>
                    <a:xfrm>
                      <a:off x="0" y="0"/>
                      <a:ext cx="5687695" cy="3900805"/>
                    </a:xfrm>
                    <a:prstGeom prst="rect">
                      <a:avLst/>
                    </a:prstGeom>
                    <a:noFill/>
                    <a:ln>
                      <a:noFill/>
                    </a:ln>
                  </pic:spPr>
                </pic:pic>
              </a:graphicData>
            </a:graphic>
          </wp:anchor>
        </w:drawing>
      </w:r>
      <w:r>
        <w:rPr>
          <w:rFonts w:hint="eastAsia" w:ascii="仿宋" w:hAnsi="仿宋" w:eastAsia="仿宋" w:cs="仿宋"/>
          <w:b/>
          <w:color w:val="auto"/>
          <w:sz w:val="30"/>
          <w:szCs w:val="30"/>
          <w:highlight w:val="none"/>
        </w:rPr>
        <w:t>“</w:t>
      </w:r>
      <w:r>
        <w:rPr>
          <w:rFonts w:hint="eastAsia" w:ascii="仿宋" w:hAnsi="仿宋" w:eastAsia="仿宋" w:cs="仿宋"/>
          <w:b/>
          <w:color w:val="auto"/>
          <w:sz w:val="30"/>
          <w:szCs w:val="30"/>
          <w:highlight w:val="none"/>
          <w:lang w:val="zh-CN"/>
        </w:rPr>
        <w:t>信用中国</w:t>
      </w:r>
      <w:r>
        <w:rPr>
          <w:rFonts w:hint="eastAsia" w:ascii="仿宋" w:hAnsi="仿宋" w:eastAsia="仿宋" w:cs="仿宋"/>
          <w:b/>
          <w:color w:val="auto"/>
          <w:sz w:val="30"/>
          <w:szCs w:val="30"/>
          <w:highlight w:val="none"/>
        </w:rPr>
        <w:t>”（www.creditchina.gov.cn）</w:t>
      </w:r>
      <w:r>
        <w:rPr>
          <w:rFonts w:hint="eastAsia" w:ascii="仿宋" w:hAnsi="仿宋" w:eastAsia="仿宋" w:cs="仿宋"/>
          <w:b/>
          <w:color w:val="auto"/>
          <w:sz w:val="30"/>
          <w:szCs w:val="30"/>
          <w:highlight w:val="none"/>
          <w:lang w:val="zh-CN"/>
        </w:rPr>
        <w:t>、</w:t>
      </w:r>
      <w:r>
        <w:rPr>
          <w:rFonts w:hint="eastAsia" w:ascii="仿宋" w:hAnsi="仿宋" w:eastAsia="仿宋" w:cs="仿宋"/>
          <w:b/>
          <w:color w:val="auto"/>
          <w:sz w:val="30"/>
          <w:szCs w:val="30"/>
          <w:highlight w:val="none"/>
        </w:rPr>
        <w:t>“</w:t>
      </w:r>
      <w:r>
        <w:rPr>
          <w:rFonts w:hint="eastAsia" w:ascii="仿宋" w:hAnsi="仿宋" w:eastAsia="仿宋" w:cs="仿宋"/>
          <w:b/>
          <w:color w:val="auto"/>
          <w:sz w:val="30"/>
          <w:szCs w:val="30"/>
          <w:highlight w:val="none"/>
          <w:lang w:val="zh-CN"/>
        </w:rPr>
        <w:t>中国采购网</w:t>
      </w:r>
      <w:r>
        <w:rPr>
          <w:rFonts w:hint="eastAsia" w:ascii="仿宋" w:hAnsi="仿宋" w:eastAsia="仿宋" w:cs="仿宋"/>
          <w:b/>
          <w:color w:val="auto"/>
          <w:sz w:val="30"/>
          <w:szCs w:val="30"/>
          <w:highlight w:val="none"/>
        </w:rPr>
        <w:t>”（www.ccgp.gov.cn）</w:t>
      </w:r>
      <w:r>
        <w:rPr>
          <w:rFonts w:hint="eastAsia" w:ascii="仿宋" w:hAnsi="仿宋" w:eastAsia="仿宋" w:cs="仿宋"/>
          <w:b/>
          <w:color w:val="auto"/>
          <w:sz w:val="30"/>
          <w:szCs w:val="30"/>
          <w:highlight w:val="none"/>
          <w:lang w:val="zh-CN"/>
        </w:rPr>
        <w:t>网页截图模板</w:t>
      </w:r>
    </w:p>
    <w:p>
      <w:pPr>
        <w:rPr>
          <w:rFonts w:hint="eastAsia" w:ascii="仿宋" w:hAnsi="仿宋" w:eastAsia="仿宋" w:cs="仿宋"/>
          <w:color w:val="auto"/>
          <w:highlight w:val="none"/>
        </w:rPr>
        <w:sectPr>
          <w:headerReference r:id="rId7" w:type="default"/>
          <w:footerReference r:id="rId8" w:type="default"/>
          <w:pgSz w:w="11906" w:h="16838"/>
          <w:pgMar w:top="993" w:right="1474" w:bottom="1020" w:left="1474" w:header="851" w:footer="850" w:gutter="0"/>
          <w:pgBorders>
            <w:top w:val="none" w:sz="0" w:space="0"/>
            <w:left w:val="none" w:sz="0" w:space="0"/>
            <w:bottom w:val="none" w:sz="0" w:space="0"/>
            <w:right w:val="none" w:sz="0" w:space="0"/>
          </w:pgBorders>
          <w:pgNumType w:fmt="decimal" w:start="1"/>
          <w:cols w:space="720" w:num="1"/>
          <w:docGrid w:type="lines" w:linePitch="315" w:charSpace="0"/>
        </w:sectPr>
      </w:pPr>
    </w:p>
    <w:p>
      <w:pPr>
        <w:pStyle w:val="23"/>
        <w:rPr>
          <w:rFonts w:hint="eastAsia" w:ascii="仿宋" w:hAnsi="仿宋" w:eastAsia="仿宋" w:cs="仿宋"/>
          <w:color w:val="auto"/>
          <w:szCs w:val="28"/>
          <w:highlight w:val="none"/>
        </w:rPr>
      </w:pPr>
      <w:r>
        <w:rPr>
          <w:rFonts w:hint="eastAsia" w:ascii="仿宋" w:hAnsi="仿宋" w:eastAsia="仿宋" w:cs="仿宋"/>
          <w:color w:val="auto"/>
          <w:highlight w:val="none"/>
          <w:lang w:eastAsia="zh-CN"/>
        </w:rPr>
        <w:t>六</w:t>
      </w:r>
      <w:r>
        <w:rPr>
          <w:rFonts w:hint="eastAsia" w:ascii="仿宋" w:hAnsi="仿宋" w:eastAsia="仿宋" w:cs="仿宋"/>
          <w:color w:val="auto"/>
          <w:highlight w:val="none"/>
        </w:rPr>
        <w:t>、法定代表人资格书</w:t>
      </w:r>
    </w:p>
    <w:p>
      <w:pPr>
        <w:spacing w:line="48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单位名称：</w:t>
      </w:r>
      <w:r>
        <w:rPr>
          <w:rFonts w:hint="eastAsia" w:ascii="仿宋" w:hAnsi="仿宋" w:eastAsia="仿宋" w:cs="仿宋"/>
          <w:color w:val="auto"/>
          <w:sz w:val="24"/>
          <w:highlight w:val="none"/>
          <w:u w:val="single"/>
        </w:rPr>
        <w:t xml:space="preserve">                                             </w:t>
      </w:r>
    </w:p>
    <w:p>
      <w:pPr>
        <w:spacing w:line="48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u w:val="single"/>
        </w:rPr>
        <w:t xml:space="preserve">                                             </w:t>
      </w:r>
    </w:p>
    <w:p>
      <w:pPr>
        <w:spacing w:line="48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姓名：</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性别：</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职务：</w:t>
      </w:r>
      <w:r>
        <w:rPr>
          <w:rFonts w:hint="eastAsia" w:ascii="仿宋" w:hAnsi="仿宋" w:eastAsia="仿宋" w:cs="仿宋"/>
          <w:color w:val="auto"/>
          <w:sz w:val="24"/>
          <w:highlight w:val="none"/>
          <w:u w:val="single"/>
        </w:rPr>
        <w:t xml:space="preserve">        </w:t>
      </w:r>
    </w:p>
    <w:p>
      <w:pPr>
        <w:spacing w:line="48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系</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lang w:eastAsia="zh-CN"/>
        </w:rPr>
        <w:t>法定代表人</w:t>
      </w:r>
      <w:r>
        <w:rPr>
          <w:rFonts w:hint="eastAsia" w:ascii="仿宋" w:hAnsi="仿宋" w:eastAsia="仿宋" w:cs="仿宋"/>
          <w:color w:val="auto"/>
          <w:sz w:val="24"/>
          <w:highlight w:val="none"/>
        </w:rPr>
        <w:t>，为</w:t>
      </w:r>
      <w:r>
        <w:rPr>
          <w:rFonts w:hint="eastAsia" w:ascii="仿宋" w:hAnsi="仿宋" w:eastAsia="仿宋" w:cs="仿宋"/>
          <w:color w:val="auto"/>
          <w:sz w:val="24"/>
          <w:highlight w:val="none"/>
          <w:u w:val="single"/>
        </w:rPr>
        <w:t xml:space="preserve">                  （项目名称）</w:t>
      </w:r>
      <w:r>
        <w:rPr>
          <w:rFonts w:hint="eastAsia" w:ascii="仿宋" w:hAnsi="仿宋" w:eastAsia="仿宋" w:cs="仿宋"/>
          <w:color w:val="auto"/>
          <w:sz w:val="24"/>
          <w:highlight w:val="none"/>
        </w:rPr>
        <w:t>，签署上述投标文件、进行合同谈判、签署合同和处理与之有关的一切事务。</w:t>
      </w:r>
    </w:p>
    <w:p>
      <w:pPr>
        <w:spacing w:line="48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特此说明。</w:t>
      </w:r>
    </w:p>
    <w:p>
      <w:pPr>
        <w:spacing w:line="480" w:lineRule="auto"/>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lang w:eastAsia="zh-CN"/>
        </w:rPr>
        <w:t>法定代表人</w:t>
      </w:r>
      <w:r>
        <w:rPr>
          <w:rFonts w:hint="eastAsia" w:ascii="仿宋" w:hAnsi="仿宋" w:eastAsia="仿宋" w:cs="仿宋"/>
          <w:color w:val="auto"/>
          <w:szCs w:val="21"/>
          <w:highlight w:val="none"/>
        </w:rPr>
        <w:t>身份证号：</w:t>
      </w:r>
      <w:r>
        <w:rPr>
          <w:rFonts w:hint="eastAsia" w:ascii="仿宋" w:hAnsi="仿宋" w:eastAsia="仿宋" w:cs="仿宋"/>
          <w:color w:val="auto"/>
          <w:szCs w:val="21"/>
          <w:highlight w:val="none"/>
          <w:u w:val="single"/>
        </w:rPr>
        <w:t xml:space="preserve">                       </w:t>
      </w:r>
    </w:p>
    <w:p>
      <w:pPr>
        <w:spacing w:line="480" w:lineRule="auto"/>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lang w:eastAsia="zh-CN"/>
        </w:rPr>
        <w:t>法定代表人</w:t>
      </w:r>
      <w:r>
        <w:rPr>
          <w:rFonts w:hint="eastAsia" w:ascii="仿宋" w:hAnsi="仿宋" w:eastAsia="仿宋" w:cs="仿宋"/>
          <w:color w:val="auto"/>
          <w:szCs w:val="21"/>
          <w:highlight w:val="none"/>
        </w:rPr>
        <w:t>联系号码：</w:t>
      </w:r>
      <w:r>
        <w:rPr>
          <w:rFonts w:hint="eastAsia" w:ascii="仿宋" w:hAnsi="仿宋" w:eastAsia="仿宋" w:cs="仿宋"/>
          <w:color w:val="auto"/>
          <w:szCs w:val="21"/>
          <w:highlight w:val="none"/>
          <w:u w:val="single"/>
        </w:rPr>
        <w:t xml:space="preserve">                       </w:t>
      </w:r>
    </w:p>
    <w:tbl>
      <w:tblPr>
        <w:tblStyle w:val="31"/>
        <w:tblpPr w:leftFromText="180" w:rightFromText="180" w:vertAnchor="text" w:horzAnchor="page" w:tblpX="957" w:tblpY="47"/>
        <w:tblOverlap w:val="never"/>
        <w:tblW w:w="0" w:type="auto"/>
        <w:tblInd w:w="0" w:type="dxa"/>
        <w:tblLayout w:type="fixed"/>
        <w:tblCellMar>
          <w:top w:w="0" w:type="dxa"/>
          <w:left w:w="108" w:type="dxa"/>
          <w:bottom w:w="0" w:type="dxa"/>
          <w:right w:w="108" w:type="dxa"/>
        </w:tblCellMar>
      </w:tblPr>
      <w:tblGrid>
        <w:gridCol w:w="4899"/>
        <w:gridCol w:w="4900"/>
      </w:tblGrid>
      <w:tr>
        <w:tblPrEx>
          <w:tblCellMar>
            <w:top w:w="0" w:type="dxa"/>
            <w:left w:w="108" w:type="dxa"/>
            <w:bottom w:w="0" w:type="dxa"/>
            <w:right w:w="108" w:type="dxa"/>
          </w:tblCellMar>
        </w:tblPrEx>
        <w:trPr>
          <w:trHeight w:val="2581" w:hRule="atLeast"/>
        </w:trPr>
        <w:tc>
          <w:tcPr>
            <w:tcW w:w="489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附：法定代表人有效身份证复印件（正面）</w:t>
            </w:r>
          </w:p>
        </w:tc>
        <w:tc>
          <w:tcPr>
            <w:tcW w:w="490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附：法定代表人有效身份证复印件（反面）</w:t>
            </w:r>
          </w:p>
        </w:tc>
      </w:tr>
    </w:tbl>
    <w:p>
      <w:pPr>
        <w:pStyle w:val="30"/>
        <w:ind w:left="0" w:leftChars="0" w:firstLine="0"/>
        <w:rPr>
          <w:rFonts w:hint="eastAsia" w:ascii="仿宋" w:hAnsi="仿宋" w:eastAsia="仿宋" w:cs="仿宋"/>
          <w:color w:val="auto"/>
          <w:highlight w:val="none"/>
        </w:rPr>
      </w:pPr>
    </w:p>
    <w:p>
      <w:pPr>
        <w:spacing w:line="360" w:lineRule="auto"/>
        <w:rPr>
          <w:rFonts w:hint="eastAsia" w:ascii="仿宋" w:hAnsi="仿宋" w:eastAsia="仿宋" w:cs="仿宋"/>
          <w:color w:val="auto"/>
          <w:sz w:val="24"/>
          <w:highlight w:val="none"/>
        </w:rPr>
      </w:pPr>
    </w:p>
    <w:p>
      <w:pPr>
        <w:spacing w:before="120" w:beforeLines="50"/>
        <w:ind w:firstLine="4320" w:firstLineChars="18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u w:val="single"/>
          <w:lang w:eastAsia="zh-CN"/>
        </w:rPr>
        <w:t>盖章</w:t>
      </w:r>
      <w:r>
        <w:rPr>
          <w:rFonts w:hint="eastAsia" w:ascii="仿宋" w:hAnsi="仿宋" w:eastAsia="仿宋" w:cs="仿宋"/>
          <w:color w:val="auto"/>
          <w:sz w:val="24"/>
          <w:highlight w:val="none"/>
          <w:u w:val="single"/>
        </w:rPr>
        <w:t>）</w:t>
      </w:r>
    </w:p>
    <w:p>
      <w:pPr>
        <w:spacing w:before="120" w:beforeLines="50"/>
        <w:ind w:firstLine="4320" w:firstLineChars="1800"/>
        <w:rPr>
          <w:rFonts w:hint="eastAsia" w:ascii="仿宋" w:hAnsi="仿宋" w:eastAsia="仿宋" w:cs="仿宋"/>
          <w:color w:val="auto"/>
          <w:sz w:val="24"/>
          <w:highlight w:val="none"/>
        </w:rPr>
      </w:pPr>
    </w:p>
    <w:p>
      <w:pPr>
        <w:spacing w:before="120" w:beforeLines="50"/>
        <w:ind w:firstLine="4320" w:firstLineChars="18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法定代表人：</w:t>
      </w:r>
      <w:r>
        <w:rPr>
          <w:rFonts w:hint="eastAsia" w:ascii="仿宋" w:hAnsi="仿宋" w:eastAsia="仿宋" w:cs="仿宋"/>
          <w:color w:val="auto"/>
          <w:sz w:val="24"/>
          <w:highlight w:val="none"/>
          <w:u w:val="single"/>
        </w:rPr>
        <w:t>（签字或盖章）</w:t>
      </w:r>
    </w:p>
    <w:p>
      <w:pPr>
        <w:spacing w:before="120" w:beforeLines="50"/>
        <w:ind w:firstLine="4320" w:firstLineChars="1800"/>
        <w:rPr>
          <w:rFonts w:hint="eastAsia" w:ascii="仿宋" w:hAnsi="仿宋" w:eastAsia="仿宋" w:cs="仿宋"/>
          <w:color w:val="auto"/>
          <w:sz w:val="24"/>
          <w:highlight w:val="none"/>
        </w:rPr>
      </w:pPr>
    </w:p>
    <w:p>
      <w:pPr>
        <w:spacing w:before="120" w:beforeLines="50"/>
        <w:ind w:firstLine="4320" w:firstLineChars="18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日    期： </w:t>
      </w:r>
      <w:r>
        <w:rPr>
          <w:rFonts w:hint="eastAsia" w:ascii="仿宋" w:hAnsi="仿宋" w:eastAsia="仿宋" w:cs="仿宋"/>
          <w:color w:val="auto"/>
          <w:sz w:val="24"/>
          <w:highlight w:val="none"/>
          <w:u w:val="single"/>
        </w:rPr>
        <w:t xml:space="preserve">               </w:t>
      </w:r>
    </w:p>
    <w:p>
      <w:pPr>
        <w:pStyle w:val="23"/>
        <w:rPr>
          <w:rFonts w:hint="eastAsia" w:ascii="仿宋" w:hAnsi="仿宋" w:eastAsia="仿宋" w:cs="仿宋"/>
          <w:color w:val="auto"/>
          <w:highlight w:val="none"/>
        </w:rPr>
      </w:pPr>
      <w:r>
        <w:rPr>
          <w:rFonts w:hint="eastAsia" w:ascii="仿宋" w:hAnsi="仿宋" w:eastAsia="仿宋" w:cs="仿宋"/>
          <w:color w:val="auto"/>
          <w:highlight w:val="none"/>
        </w:rPr>
        <w:br w:type="page"/>
      </w:r>
      <w:r>
        <w:rPr>
          <w:rFonts w:hint="eastAsia" w:ascii="仿宋" w:hAnsi="仿宋" w:eastAsia="仿宋" w:cs="仿宋"/>
          <w:color w:val="auto"/>
          <w:highlight w:val="none"/>
        </w:rPr>
        <w:t>或</w:t>
      </w:r>
      <w:r>
        <w:rPr>
          <w:rFonts w:hint="eastAsia" w:ascii="仿宋" w:hAnsi="仿宋" w:eastAsia="仿宋" w:cs="仿宋"/>
          <w:color w:val="auto"/>
          <w:highlight w:val="none"/>
          <w:lang w:eastAsia="zh-CN"/>
        </w:rPr>
        <w:t>六</w:t>
      </w:r>
      <w:r>
        <w:rPr>
          <w:rFonts w:hint="eastAsia" w:ascii="仿宋" w:hAnsi="仿宋" w:eastAsia="仿宋" w:cs="仿宋"/>
          <w:color w:val="auto"/>
          <w:highlight w:val="none"/>
        </w:rPr>
        <w:t>、法定代表人授权委托书</w:t>
      </w:r>
    </w:p>
    <w:p>
      <w:pPr>
        <w:pStyle w:val="12"/>
        <w:ind w:firstLine="562"/>
        <w:jc w:val="center"/>
        <w:rPr>
          <w:rFonts w:hint="eastAsia" w:ascii="仿宋" w:hAnsi="仿宋" w:eastAsia="仿宋" w:cs="仿宋"/>
          <w:color w:val="auto"/>
          <w:sz w:val="24"/>
          <w:szCs w:val="24"/>
          <w:highlight w:val="none"/>
        </w:rPr>
      </w:pPr>
    </w:p>
    <w:p>
      <w:pPr>
        <w:spacing w:before="120" w:beforeLines="50" w:line="360" w:lineRule="auto"/>
        <w:ind w:firstLine="600" w:firstLineChars="250"/>
        <w:rPr>
          <w:rFonts w:hint="eastAsia" w:ascii="仿宋" w:hAnsi="仿宋" w:eastAsia="仿宋" w:cs="仿宋"/>
          <w:color w:val="auto"/>
          <w:sz w:val="24"/>
          <w:highlight w:val="none"/>
        </w:rPr>
      </w:pPr>
      <w:r>
        <w:rPr>
          <w:rFonts w:hint="eastAsia" w:ascii="仿宋" w:hAnsi="仿宋" w:eastAsia="仿宋" w:cs="仿宋"/>
          <w:color w:val="auto"/>
          <w:sz w:val="24"/>
          <w:highlight w:val="none"/>
        </w:rPr>
        <w:t>本人作为</w:t>
      </w:r>
      <w:r>
        <w:rPr>
          <w:rFonts w:hint="eastAsia" w:ascii="仿宋" w:hAnsi="仿宋" w:eastAsia="仿宋" w:cs="仿宋"/>
          <w:color w:val="auto"/>
          <w:sz w:val="24"/>
          <w:highlight w:val="none"/>
          <w:u w:val="single"/>
        </w:rPr>
        <w:t xml:space="preserve">         （投标人名称）</w:t>
      </w:r>
      <w:r>
        <w:rPr>
          <w:rFonts w:hint="eastAsia" w:ascii="仿宋" w:hAnsi="仿宋" w:eastAsia="仿宋" w:cs="仿宋"/>
          <w:color w:val="auto"/>
          <w:sz w:val="24"/>
          <w:highlight w:val="none"/>
        </w:rPr>
        <w:t>的法定代表人，在此授权我公司的</w:t>
      </w:r>
      <w:r>
        <w:rPr>
          <w:rFonts w:hint="eastAsia" w:ascii="仿宋" w:hAnsi="仿宋" w:eastAsia="仿宋" w:cs="仿宋"/>
          <w:i/>
          <w:color w:val="auto"/>
          <w:sz w:val="24"/>
          <w:highlight w:val="none"/>
          <w:u w:val="single"/>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，身份证件号码</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，作为我的合法的委托代理人，以我的名义并代表我公司全权处理</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项目投标的各项事宜。</w:t>
      </w:r>
    </w:p>
    <w:p>
      <w:pPr>
        <w:autoSpaceDE w:val="0"/>
        <w:autoSpaceDN w:val="0"/>
        <w:adjustRightInd w:val="0"/>
        <w:snapToGrid w:val="0"/>
        <w:spacing w:before="120" w:beforeLines="50" w:line="360" w:lineRule="auto"/>
        <w:ind w:firstLine="492" w:firstLineChars="200"/>
        <w:rPr>
          <w:rFonts w:hint="eastAsia" w:ascii="仿宋" w:hAnsi="仿宋" w:eastAsia="仿宋" w:cs="仿宋"/>
          <w:color w:val="auto"/>
          <w:sz w:val="24"/>
          <w:highlight w:val="none"/>
        </w:rPr>
      </w:pPr>
      <w:r>
        <w:rPr>
          <w:rFonts w:hint="eastAsia" w:ascii="仿宋" w:hAnsi="仿宋" w:eastAsia="仿宋" w:cs="仿宋"/>
          <w:color w:val="auto"/>
          <w:spacing w:val="3"/>
          <w:kern w:val="0"/>
          <w:sz w:val="24"/>
          <w:highlight w:val="none"/>
        </w:rPr>
        <w:t>本授权书期限自</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pacing w:val="3"/>
          <w:kern w:val="0"/>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pacing w:val="3"/>
          <w:kern w:val="0"/>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pacing w:val="3"/>
          <w:kern w:val="0"/>
          <w:sz w:val="24"/>
          <w:highlight w:val="none"/>
        </w:rPr>
        <w:t>日起至</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pacing w:val="3"/>
          <w:kern w:val="0"/>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pacing w:val="3"/>
          <w:kern w:val="0"/>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日止。</w:t>
      </w:r>
    </w:p>
    <w:p>
      <w:pPr>
        <w:autoSpaceDE w:val="0"/>
        <w:autoSpaceDN w:val="0"/>
        <w:adjustRightInd w:val="0"/>
        <w:snapToGrid w:val="0"/>
        <w:spacing w:before="120" w:beforeLines="50" w:line="360" w:lineRule="auto"/>
        <w:ind w:firstLine="500" w:firstLineChars="200"/>
        <w:rPr>
          <w:rFonts w:hint="eastAsia" w:ascii="仿宋" w:hAnsi="仿宋" w:eastAsia="仿宋" w:cs="仿宋"/>
          <w:color w:val="auto"/>
          <w:sz w:val="24"/>
          <w:highlight w:val="none"/>
        </w:rPr>
      </w:pPr>
      <w:r>
        <w:rPr>
          <w:rFonts w:hint="eastAsia" w:ascii="仿宋" w:hAnsi="仿宋" w:eastAsia="仿宋" w:cs="仿宋"/>
          <w:color w:val="auto"/>
          <w:spacing w:val="5"/>
          <w:kern w:val="0"/>
          <w:sz w:val="24"/>
          <w:highlight w:val="none"/>
        </w:rPr>
        <w:t>在此授权范围和期限内，被授权人所实施的行为具有法律效力，授权人</w:t>
      </w:r>
      <w:r>
        <w:rPr>
          <w:rFonts w:hint="eastAsia" w:ascii="仿宋" w:hAnsi="仿宋" w:eastAsia="仿宋" w:cs="仿宋"/>
          <w:color w:val="auto"/>
          <w:spacing w:val="4"/>
          <w:kern w:val="0"/>
          <w:sz w:val="24"/>
          <w:highlight w:val="none"/>
        </w:rPr>
        <w:t>予以认可。</w:t>
      </w:r>
    </w:p>
    <w:p>
      <w:pPr>
        <w:autoSpaceDE w:val="0"/>
        <w:autoSpaceDN w:val="0"/>
        <w:adjustRightInd w:val="0"/>
        <w:snapToGrid w:val="0"/>
        <w:spacing w:before="120" w:beforeLines="50"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委托代理人无权转让委托权，特此委托。</w:t>
      </w:r>
    </w:p>
    <w:p>
      <w:pPr>
        <w:spacing w:before="120" w:beforeLines="50"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委托代理人：</w:t>
      </w:r>
      <w:r>
        <w:rPr>
          <w:rFonts w:hint="eastAsia" w:ascii="仿宋" w:hAnsi="仿宋" w:eastAsia="仿宋" w:cs="仿宋"/>
          <w:color w:val="auto"/>
          <w:sz w:val="24"/>
          <w:highlight w:val="none"/>
          <w:u w:val="single"/>
        </w:rPr>
        <w:t>（签字）</w:t>
      </w:r>
      <w:r>
        <w:rPr>
          <w:rFonts w:hint="eastAsia" w:ascii="仿宋" w:hAnsi="仿宋" w:eastAsia="仿宋" w:cs="仿宋"/>
          <w:color w:val="auto"/>
          <w:sz w:val="24"/>
          <w:highlight w:val="none"/>
        </w:rPr>
        <w:t>性别：    年龄：</w:t>
      </w:r>
    </w:p>
    <w:p>
      <w:pPr>
        <w:spacing w:before="120" w:beforeLines="50"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身份证号码：    职务：</w:t>
      </w:r>
    </w:p>
    <w:p>
      <w:pPr>
        <w:spacing w:line="360" w:lineRule="auto"/>
        <w:ind w:firstLine="420" w:firstLineChars="200"/>
        <w:rPr>
          <w:rFonts w:hint="eastAsia" w:ascii="仿宋" w:hAnsi="仿宋" w:eastAsia="仿宋" w:cs="仿宋"/>
          <w:color w:val="auto"/>
          <w:highlight w:val="none"/>
          <w:u w:val="single"/>
        </w:rPr>
      </w:pPr>
      <w:r>
        <w:rPr>
          <w:rFonts w:hint="eastAsia" w:ascii="仿宋" w:hAnsi="仿宋" w:eastAsia="仿宋" w:cs="仿宋"/>
          <w:color w:val="auto"/>
          <w:highlight w:val="none"/>
        </w:rPr>
        <w:t>委托代理人手机号码：</w:t>
      </w:r>
      <w:r>
        <w:rPr>
          <w:rFonts w:hint="eastAsia" w:ascii="仿宋" w:hAnsi="仿宋" w:eastAsia="仿宋" w:cs="仿宋"/>
          <w:color w:val="auto"/>
          <w:highlight w:val="none"/>
          <w:u w:val="single"/>
        </w:rPr>
        <w:t xml:space="preserve">               </w:t>
      </w:r>
    </w:p>
    <w:p>
      <w:pPr>
        <w:spacing w:before="120" w:beforeLines="50" w:line="360" w:lineRule="auto"/>
        <w:ind w:firstLine="420" w:firstLineChars="200"/>
        <w:rPr>
          <w:rFonts w:hint="eastAsia" w:ascii="仿宋" w:hAnsi="仿宋" w:eastAsia="仿宋" w:cs="仿宋"/>
          <w:color w:val="auto"/>
          <w:highlight w:val="none"/>
        </w:rPr>
      </w:pPr>
      <w:r>
        <w:rPr>
          <w:rFonts w:hint="eastAsia" w:ascii="仿宋" w:hAnsi="仿宋" w:eastAsia="仿宋" w:cs="仿宋"/>
          <w:color w:val="auto"/>
          <w:szCs w:val="21"/>
          <w:highlight w:val="none"/>
        </w:rPr>
        <w:t>授权代表钉钉号:</w:t>
      </w:r>
      <w:r>
        <w:rPr>
          <w:rFonts w:hint="eastAsia" w:ascii="仿宋" w:hAnsi="仿宋" w:eastAsia="仿宋" w:cs="仿宋"/>
          <w:color w:val="auto"/>
          <w:szCs w:val="21"/>
          <w:highlight w:val="none"/>
          <w:u w:val="single"/>
        </w:rPr>
        <w:t xml:space="preserve">                      </w:t>
      </w:r>
    </w:p>
    <w:tbl>
      <w:tblPr>
        <w:tblStyle w:val="31"/>
        <w:tblpPr w:leftFromText="180" w:rightFromText="180" w:vertAnchor="text" w:horzAnchor="page" w:tblpX="957" w:tblpY="47"/>
        <w:tblOverlap w:val="never"/>
        <w:tblW w:w="0" w:type="auto"/>
        <w:tblInd w:w="0" w:type="dxa"/>
        <w:tblLayout w:type="fixed"/>
        <w:tblCellMar>
          <w:top w:w="0" w:type="dxa"/>
          <w:left w:w="108" w:type="dxa"/>
          <w:bottom w:w="0" w:type="dxa"/>
          <w:right w:w="108" w:type="dxa"/>
        </w:tblCellMar>
      </w:tblPr>
      <w:tblGrid>
        <w:gridCol w:w="4892"/>
        <w:gridCol w:w="4893"/>
      </w:tblGrid>
      <w:tr>
        <w:tblPrEx>
          <w:tblCellMar>
            <w:top w:w="0" w:type="dxa"/>
            <w:left w:w="108" w:type="dxa"/>
            <w:bottom w:w="0" w:type="dxa"/>
            <w:right w:w="108" w:type="dxa"/>
          </w:tblCellMar>
        </w:tblPrEx>
        <w:trPr>
          <w:trHeight w:val="3041" w:hRule="atLeast"/>
        </w:trPr>
        <w:tc>
          <w:tcPr>
            <w:tcW w:w="489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附：</w:t>
            </w:r>
            <w:r>
              <w:rPr>
                <w:rFonts w:hint="eastAsia" w:ascii="仿宋" w:hAnsi="仿宋" w:eastAsia="仿宋" w:cs="仿宋"/>
                <w:color w:val="auto"/>
                <w:sz w:val="24"/>
                <w:highlight w:val="none"/>
                <w:lang w:eastAsia="zh-CN"/>
              </w:rPr>
              <w:t>法定代表人</w:t>
            </w:r>
            <w:r>
              <w:rPr>
                <w:rFonts w:hint="eastAsia" w:ascii="仿宋" w:hAnsi="仿宋" w:eastAsia="仿宋" w:cs="仿宋"/>
                <w:color w:val="auto"/>
                <w:sz w:val="24"/>
                <w:highlight w:val="none"/>
              </w:rPr>
              <w:t>有效身份证复印件（正反面）</w:t>
            </w:r>
          </w:p>
        </w:tc>
        <w:tc>
          <w:tcPr>
            <w:tcW w:w="489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附：委托代理人有效身份证复印件（正反面）</w:t>
            </w:r>
          </w:p>
        </w:tc>
      </w:tr>
    </w:tbl>
    <w:p>
      <w:pPr>
        <w:spacing w:before="120" w:beforeLines="50" w:line="480" w:lineRule="auto"/>
        <w:ind w:firstLine="3960" w:firstLineChars="1650"/>
        <w:rPr>
          <w:rFonts w:hint="eastAsia" w:ascii="仿宋" w:hAnsi="仿宋" w:eastAsia="仿宋" w:cs="仿宋"/>
          <w:color w:val="auto"/>
          <w:sz w:val="24"/>
          <w:highlight w:val="none"/>
        </w:rPr>
      </w:pPr>
    </w:p>
    <w:p>
      <w:pPr>
        <w:spacing w:before="120" w:beforeLines="50" w:line="480" w:lineRule="auto"/>
        <w:ind w:firstLine="3960" w:firstLineChars="165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u w:val="single"/>
          <w:lang w:eastAsia="zh-CN"/>
        </w:rPr>
        <w:t>盖章</w:t>
      </w:r>
      <w:r>
        <w:rPr>
          <w:rFonts w:hint="eastAsia" w:ascii="仿宋" w:hAnsi="仿宋" w:eastAsia="仿宋" w:cs="仿宋"/>
          <w:color w:val="auto"/>
          <w:sz w:val="24"/>
          <w:highlight w:val="none"/>
          <w:u w:val="single"/>
        </w:rPr>
        <w:t>）</w:t>
      </w:r>
    </w:p>
    <w:p>
      <w:pPr>
        <w:spacing w:before="120" w:beforeLines="50" w:line="480" w:lineRule="auto"/>
        <w:ind w:firstLine="3960" w:firstLineChars="165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法定代表人：</w:t>
      </w:r>
      <w:r>
        <w:rPr>
          <w:rFonts w:hint="eastAsia" w:ascii="仿宋" w:hAnsi="仿宋" w:eastAsia="仿宋" w:cs="仿宋"/>
          <w:color w:val="auto"/>
          <w:sz w:val="24"/>
          <w:highlight w:val="none"/>
          <w:u w:val="single"/>
        </w:rPr>
        <w:t>（签字或盖章）</w:t>
      </w:r>
    </w:p>
    <w:p>
      <w:pPr>
        <w:pStyle w:val="30"/>
        <w:spacing w:after="0" w:line="480" w:lineRule="auto"/>
        <w:rPr>
          <w:rFonts w:hint="eastAsia" w:ascii="仿宋" w:hAnsi="仿宋" w:eastAsia="仿宋" w:cs="仿宋"/>
          <w:color w:val="auto"/>
          <w:sz w:val="24"/>
          <w:szCs w:val="24"/>
          <w:highlight w:val="none"/>
        </w:rPr>
      </w:pPr>
      <w:r>
        <w:rPr>
          <w:rFonts w:hint="eastAsia" w:ascii="仿宋" w:hAnsi="仿宋" w:eastAsia="仿宋" w:cs="仿宋"/>
          <w:color w:val="auto"/>
          <w:highlight w:val="none"/>
        </w:rPr>
        <w:t xml:space="preserve">                                </w:t>
      </w:r>
      <w:r>
        <w:rPr>
          <w:rFonts w:hint="eastAsia" w:ascii="仿宋" w:hAnsi="仿宋" w:eastAsia="仿宋" w:cs="仿宋"/>
          <w:color w:val="auto"/>
          <w:sz w:val="24"/>
          <w:szCs w:val="24"/>
          <w:highlight w:val="none"/>
        </w:rPr>
        <w:t xml:space="preserve">授权委托日期：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p>
    <w:p>
      <w:pPr>
        <w:pStyle w:val="68"/>
        <w:tabs>
          <w:tab w:val="left" w:pos="4835"/>
        </w:tabs>
        <w:spacing w:after="120" w:line="240" w:lineRule="auto"/>
        <w:ind w:firstLine="0"/>
        <w:rPr>
          <w:rFonts w:hint="eastAsia" w:ascii="仿宋" w:hAnsi="仿宋" w:eastAsia="仿宋" w:cs="仿宋"/>
          <w:color w:val="auto"/>
          <w:highlight w:val="none"/>
          <w:lang w:eastAsia="zh-CN"/>
        </w:rPr>
        <w:sectPr>
          <w:footerReference r:id="rId9" w:type="default"/>
          <w:footerReference r:id="rId10" w:type="even"/>
          <w:pgSz w:w="11900" w:h="16840"/>
          <w:pgMar w:top="1295" w:right="1712" w:bottom="1295" w:left="1355" w:header="867" w:footer="850" w:gutter="0"/>
          <w:pgBorders>
            <w:top w:val="none" w:sz="0" w:space="0"/>
            <w:left w:val="none" w:sz="0" w:space="0"/>
            <w:bottom w:val="none" w:sz="0" w:space="0"/>
            <w:right w:val="none" w:sz="0" w:space="0"/>
          </w:pgBorders>
          <w:pgNumType w:fmt="decimal"/>
          <w:cols w:space="720" w:num="1"/>
          <w:docGrid w:linePitch="360" w:charSpace="0"/>
        </w:sectPr>
      </w:pPr>
    </w:p>
    <w:p>
      <w:pPr>
        <w:widowControl w:val="0"/>
        <w:numPr>
          <w:ilvl w:val="0"/>
          <w:numId w:val="0"/>
        </w:numPr>
        <w:jc w:val="both"/>
        <w:rPr>
          <w:rFonts w:hint="eastAsia" w:ascii="仿宋" w:hAnsi="仿宋" w:eastAsia="仿宋" w:cs="仿宋"/>
          <w:color w:val="auto"/>
          <w:highlight w:val="none"/>
          <w:lang w:eastAsia="zh-CN"/>
        </w:rPr>
      </w:pPr>
    </w:p>
    <w:p>
      <w:pPr>
        <w:pStyle w:val="14"/>
        <w:rPr>
          <w:rFonts w:hint="eastAsia" w:ascii="仿宋" w:hAnsi="仿宋" w:eastAsia="仿宋" w:cs="仿宋"/>
          <w:color w:val="auto"/>
          <w:highlight w:val="none"/>
          <w:lang w:eastAsia="zh-CN"/>
        </w:rPr>
      </w:pPr>
    </w:p>
    <w:p>
      <w:pPr>
        <w:rPr>
          <w:rFonts w:hint="eastAsia" w:ascii="仿宋" w:hAnsi="仿宋" w:eastAsia="仿宋" w:cs="仿宋"/>
          <w:color w:val="auto"/>
          <w:highlight w:val="none"/>
          <w:lang w:eastAsia="zh-CN"/>
        </w:rPr>
      </w:pPr>
    </w:p>
    <w:p>
      <w:pPr>
        <w:pStyle w:val="14"/>
        <w:rPr>
          <w:rFonts w:hint="eastAsia" w:ascii="仿宋" w:hAnsi="仿宋" w:eastAsia="仿宋" w:cs="仿宋"/>
          <w:color w:val="auto"/>
          <w:highlight w:val="none"/>
          <w:lang w:eastAsia="zh-CN"/>
        </w:rPr>
      </w:pPr>
    </w:p>
    <w:p>
      <w:pPr>
        <w:rPr>
          <w:rFonts w:hint="eastAsia" w:ascii="仿宋" w:hAnsi="仿宋" w:eastAsia="仿宋" w:cs="仿宋"/>
          <w:color w:val="auto"/>
          <w:highlight w:val="none"/>
          <w:lang w:eastAsia="zh-CN"/>
        </w:rPr>
      </w:pPr>
    </w:p>
    <w:p>
      <w:pPr>
        <w:pStyle w:val="14"/>
        <w:rPr>
          <w:rFonts w:hint="eastAsia" w:ascii="仿宋" w:hAnsi="仿宋" w:eastAsia="仿宋" w:cs="仿宋"/>
          <w:color w:val="auto"/>
          <w:highlight w:val="none"/>
          <w:lang w:eastAsia="zh-CN"/>
        </w:rPr>
      </w:pPr>
    </w:p>
    <w:p>
      <w:pPr>
        <w:rPr>
          <w:rFonts w:hint="eastAsia" w:ascii="仿宋" w:hAnsi="仿宋" w:eastAsia="仿宋" w:cs="仿宋"/>
          <w:color w:val="auto"/>
          <w:highlight w:val="none"/>
          <w:lang w:eastAsia="zh-CN"/>
        </w:rPr>
      </w:pPr>
    </w:p>
    <w:p>
      <w:pPr>
        <w:pStyle w:val="14"/>
        <w:rPr>
          <w:rFonts w:hint="eastAsia" w:ascii="仿宋" w:hAnsi="仿宋" w:eastAsia="仿宋" w:cs="仿宋"/>
          <w:color w:val="auto"/>
          <w:highlight w:val="none"/>
          <w:lang w:eastAsia="zh-CN"/>
        </w:rPr>
      </w:pPr>
    </w:p>
    <w:p>
      <w:pPr>
        <w:rPr>
          <w:rFonts w:hint="eastAsia" w:ascii="仿宋" w:hAnsi="仿宋" w:eastAsia="仿宋" w:cs="仿宋"/>
          <w:color w:val="auto"/>
          <w:highlight w:val="none"/>
          <w:lang w:eastAsia="zh-CN"/>
        </w:rPr>
      </w:pPr>
    </w:p>
    <w:p>
      <w:pPr>
        <w:pStyle w:val="14"/>
        <w:rPr>
          <w:rFonts w:hint="eastAsia" w:ascii="仿宋" w:hAnsi="仿宋" w:eastAsia="仿宋" w:cs="仿宋"/>
          <w:color w:val="auto"/>
          <w:highlight w:val="none"/>
          <w:lang w:eastAsia="zh-CN"/>
        </w:rPr>
      </w:pPr>
    </w:p>
    <w:p>
      <w:pPr>
        <w:pStyle w:val="14"/>
        <w:rPr>
          <w:rFonts w:hint="eastAsia" w:ascii="仿宋" w:hAnsi="仿宋" w:eastAsia="仿宋" w:cs="仿宋"/>
          <w:color w:val="auto"/>
          <w:highlight w:val="none"/>
          <w:lang w:eastAsia="zh-CN"/>
        </w:rPr>
      </w:pPr>
    </w:p>
    <w:p>
      <w:pPr>
        <w:pStyle w:val="23"/>
        <w:numPr>
          <w:ilvl w:val="0"/>
          <w:numId w:val="10"/>
        </w:numPr>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招标公告中要求需要提供的其他资质和说明</w:t>
      </w:r>
    </w:p>
    <w:p>
      <w:pPr>
        <w:pStyle w:val="23"/>
        <w:rPr>
          <w:rFonts w:hint="eastAsia" w:ascii="仿宋" w:hAnsi="仿宋" w:eastAsia="仿宋" w:cs="仿宋"/>
          <w:color w:val="auto"/>
          <w:highlight w:val="none"/>
          <w:lang w:eastAsia="zh-CN"/>
        </w:rPr>
      </w:pPr>
      <w:r>
        <w:rPr>
          <w:rFonts w:hint="eastAsia" w:ascii="仿宋" w:hAnsi="仿宋" w:eastAsia="仿宋" w:cs="仿宋"/>
          <w:color w:val="auto"/>
          <w:highlight w:val="none"/>
        </w:rPr>
        <w:br w:type="page"/>
      </w:r>
      <w:r>
        <w:rPr>
          <w:rFonts w:hint="eastAsia" w:ascii="仿宋" w:hAnsi="仿宋" w:eastAsia="仿宋" w:cs="仿宋"/>
          <w:color w:val="auto"/>
          <w:highlight w:val="none"/>
        </w:rPr>
        <w:t>一、</w:t>
      </w:r>
      <w:r>
        <w:rPr>
          <w:rFonts w:hint="eastAsia" w:ascii="仿宋" w:hAnsi="仿宋" w:eastAsia="仿宋" w:cs="仿宋"/>
          <w:b/>
          <w:bCs/>
          <w:color w:val="auto"/>
          <w:highlight w:val="none"/>
          <w:lang w:eastAsia="zh-CN"/>
        </w:rPr>
        <w:t>商务技术分评分索</w:t>
      </w:r>
      <w:r>
        <w:rPr>
          <w:rFonts w:hint="eastAsia" w:ascii="仿宋" w:hAnsi="仿宋" w:eastAsia="仿宋" w:cs="仿宋"/>
          <w:color w:val="auto"/>
          <w:highlight w:val="none"/>
        </w:rPr>
        <w:t>引</w:t>
      </w:r>
      <w:r>
        <w:rPr>
          <w:rFonts w:hint="eastAsia" w:ascii="仿宋" w:hAnsi="仿宋" w:eastAsia="仿宋" w:cs="仿宋"/>
          <w:color w:val="auto"/>
          <w:highlight w:val="none"/>
          <w:lang w:eastAsia="zh-CN"/>
        </w:rPr>
        <w:t>（商务技术文件）</w:t>
      </w:r>
    </w:p>
    <w:tbl>
      <w:tblPr>
        <w:tblStyle w:val="31"/>
        <w:tblW w:w="8152" w:type="dxa"/>
        <w:jc w:val="center"/>
        <w:tblLayout w:type="fixed"/>
        <w:tblCellMar>
          <w:top w:w="0" w:type="dxa"/>
          <w:left w:w="10" w:type="dxa"/>
          <w:bottom w:w="0" w:type="dxa"/>
          <w:right w:w="10" w:type="dxa"/>
        </w:tblCellMar>
      </w:tblPr>
      <w:tblGrid>
        <w:gridCol w:w="686"/>
        <w:gridCol w:w="1449"/>
        <w:gridCol w:w="4171"/>
        <w:gridCol w:w="923"/>
        <w:gridCol w:w="923"/>
      </w:tblGrid>
      <w:tr>
        <w:tblPrEx>
          <w:tblCellMar>
            <w:top w:w="0" w:type="dxa"/>
            <w:left w:w="10" w:type="dxa"/>
            <w:bottom w:w="0" w:type="dxa"/>
            <w:right w:w="10" w:type="dxa"/>
          </w:tblCellMar>
        </w:tblPrEx>
        <w:trPr>
          <w:trHeight w:val="630" w:hRule="exact"/>
          <w:jc w:val="center"/>
        </w:trPr>
        <w:tc>
          <w:tcPr>
            <w:tcW w:w="686" w:type="dxa"/>
            <w:tcBorders>
              <w:top w:val="single" w:color="auto" w:sz="4" w:space="0"/>
              <w:left w:val="single" w:color="auto" w:sz="4" w:space="0"/>
              <w:bottom w:val="single" w:color="auto" w:sz="4" w:space="0"/>
            </w:tcBorders>
            <w:shd w:val="clear" w:color="auto" w:fill="FFFFFF"/>
            <w:noWrap w:val="0"/>
            <w:vAlign w:val="center"/>
          </w:tcPr>
          <w:p>
            <w:pPr>
              <w:spacing w:line="340" w:lineRule="exact"/>
              <w:jc w:val="center"/>
              <w:rPr>
                <w:rFonts w:hint="eastAsia" w:ascii="仿宋" w:hAnsi="仿宋" w:eastAsia="仿宋" w:cs="仿宋"/>
                <w:color w:val="auto"/>
                <w:kern w:val="0"/>
                <w:sz w:val="18"/>
                <w:szCs w:val="18"/>
                <w:highlight w:val="none"/>
              </w:rPr>
            </w:pPr>
            <w:r>
              <w:rPr>
                <w:rFonts w:hint="eastAsia" w:ascii="仿宋" w:hAnsi="仿宋" w:eastAsia="仿宋" w:cs="仿宋"/>
                <w:color w:val="auto"/>
                <w:sz w:val="18"/>
                <w:szCs w:val="18"/>
                <w:highlight w:val="none"/>
              </w:rPr>
              <w:t>序号</w:t>
            </w:r>
          </w:p>
        </w:tc>
        <w:tc>
          <w:tcPr>
            <w:tcW w:w="1449" w:type="dxa"/>
            <w:tcBorders>
              <w:top w:val="single" w:color="auto" w:sz="4" w:space="0"/>
              <w:left w:val="single" w:color="auto" w:sz="4" w:space="0"/>
              <w:bottom w:val="single" w:color="auto" w:sz="4" w:space="0"/>
            </w:tcBorders>
            <w:shd w:val="clear" w:color="auto" w:fill="FFFFFF"/>
            <w:noWrap w:val="0"/>
            <w:vAlign w:val="center"/>
          </w:tcPr>
          <w:p>
            <w:pPr>
              <w:spacing w:line="340" w:lineRule="exact"/>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评分项目</w:t>
            </w:r>
          </w:p>
        </w:tc>
        <w:tc>
          <w:tcPr>
            <w:tcW w:w="4171" w:type="dxa"/>
            <w:tcBorders>
              <w:top w:val="single" w:color="auto" w:sz="4" w:space="0"/>
              <w:left w:val="single" w:color="auto" w:sz="4" w:space="0"/>
              <w:bottom w:val="single" w:color="auto" w:sz="4" w:space="0"/>
            </w:tcBorders>
            <w:shd w:val="clear" w:color="auto" w:fill="FFFFFF"/>
            <w:noWrap w:val="0"/>
            <w:vAlign w:val="center"/>
          </w:tcPr>
          <w:p>
            <w:pPr>
              <w:spacing w:line="340" w:lineRule="exact"/>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评标要点及说明</w:t>
            </w:r>
          </w:p>
        </w:tc>
        <w:tc>
          <w:tcPr>
            <w:tcW w:w="92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40" w:lineRule="exact"/>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页码</w:t>
            </w:r>
          </w:p>
        </w:tc>
        <w:tc>
          <w:tcPr>
            <w:tcW w:w="92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40" w:lineRule="exact"/>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自评</w:t>
            </w:r>
          </w:p>
        </w:tc>
      </w:tr>
      <w:tr>
        <w:tblPrEx>
          <w:tblCellMar>
            <w:top w:w="0" w:type="dxa"/>
            <w:left w:w="10" w:type="dxa"/>
            <w:bottom w:w="0" w:type="dxa"/>
            <w:right w:w="10" w:type="dxa"/>
          </w:tblCellMar>
        </w:tblPrEx>
        <w:trPr>
          <w:trHeight w:val="567" w:hRule="exact"/>
          <w:jc w:val="center"/>
        </w:trPr>
        <w:tc>
          <w:tcPr>
            <w:tcW w:w="68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40" w:lineRule="exact"/>
              <w:jc w:val="center"/>
              <w:rPr>
                <w:rFonts w:hint="eastAsia" w:ascii="仿宋" w:hAnsi="仿宋" w:eastAsia="仿宋" w:cs="仿宋"/>
                <w:color w:val="auto"/>
                <w:sz w:val="18"/>
                <w:szCs w:val="18"/>
                <w:highlight w:val="none"/>
              </w:rPr>
            </w:pPr>
            <w:r>
              <w:rPr>
                <w:rFonts w:hint="eastAsia" w:ascii="仿宋" w:hAnsi="仿宋" w:eastAsia="仿宋" w:cs="仿宋"/>
                <w:color w:val="auto"/>
                <w:sz w:val="21"/>
                <w:szCs w:val="21"/>
                <w:highlight w:val="none"/>
                <w:lang w:val="en-US" w:eastAsia="zh-CN"/>
              </w:rPr>
              <w:t>1</w:t>
            </w:r>
          </w:p>
        </w:tc>
        <w:tc>
          <w:tcPr>
            <w:tcW w:w="144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40" w:lineRule="exact"/>
              <w:jc w:val="center"/>
              <w:rPr>
                <w:rFonts w:hint="eastAsia" w:ascii="仿宋" w:hAnsi="仿宋" w:eastAsia="仿宋" w:cs="仿宋"/>
                <w:color w:val="auto"/>
                <w:sz w:val="18"/>
                <w:szCs w:val="18"/>
                <w:highlight w:val="none"/>
              </w:rPr>
            </w:pPr>
          </w:p>
        </w:tc>
        <w:tc>
          <w:tcPr>
            <w:tcW w:w="417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40" w:lineRule="exact"/>
              <w:rPr>
                <w:rFonts w:hint="eastAsia" w:ascii="仿宋" w:hAnsi="仿宋" w:eastAsia="仿宋" w:cs="仿宋"/>
                <w:color w:val="auto"/>
                <w:sz w:val="18"/>
                <w:szCs w:val="18"/>
                <w:highlight w:val="none"/>
              </w:rPr>
            </w:pPr>
          </w:p>
        </w:tc>
        <w:tc>
          <w:tcPr>
            <w:tcW w:w="92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40" w:lineRule="exact"/>
              <w:jc w:val="center"/>
              <w:rPr>
                <w:rFonts w:hint="eastAsia" w:ascii="仿宋" w:hAnsi="仿宋" w:eastAsia="仿宋" w:cs="仿宋"/>
                <w:color w:val="auto"/>
                <w:sz w:val="18"/>
                <w:szCs w:val="18"/>
                <w:highlight w:val="none"/>
              </w:rPr>
            </w:pPr>
          </w:p>
        </w:tc>
        <w:tc>
          <w:tcPr>
            <w:tcW w:w="92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40" w:lineRule="exact"/>
              <w:jc w:val="center"/>
              <w:rPr>
                <w:rFonts w:hint="eastAsia" w:ascii="仿宋" w:hAnsi="仿宋" w:eastAsia="仿宋" w:cs="仿宋"/>
                <w:color w:val="auto"/>
                <w:sz w:val="18"/>
                <w:szCs w:val="18"/>
                <w:highlight w:val="none"/>
              </w:rPr>
            </w:pPr>
          </w:p>
        </w:tc>
      </w:tr>
      <w:tr>
        <w:trPr>
          <w:trHeight w:val="567" w:hRule="exact"/>
          <w:jc w:val="center"/>
        </w:trPr>
        <w:tc>
          <w:tcPr>
            <w:tcW w:w="68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40" w:lineRule="exact"/>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21"/>
                <w:szCs w:val="21"/>
                <w:highlight w:val="none"/>
              </w:rPr>
              <w:t>2</w:t>
            </w:r>
          </w:p>
        </w:tc>
        <w:tc>
          <w:tcPr>
            <w:tcW w:w="144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40" w:lineRule="exact"/>
              <w:jc w:val="center"/>
              <w:rPr>
                <w:rFonts w:hint="eastAsia" w:ascii="仿宋" w:hAnsi="仿宋" w:eastAsia="仿宋" w:cs="仿宋"/>
                <w:color w:val="auto"/>
                <w:sz w:val="18"/>
                <w:szCs w:val="18"/>
                <w:highlight w:val="none"/>
              </w:rPr>
            </w:pPr>
          </w:p>
        </w:tc>
        <w:tc>
          <w:tcPr>
            <w:tcW w:w="417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40" w:lineRule="exact"/>
              <w:jc w:val="left"/>
              <w:rPr>
                <w:rFonts w:hint="eastAsia" w:ascii="仿宋" w:hAnsi="仿宋" w:eastAsia="仿宋" w:cs="仿宋"/>
                <w:color w:val="auto"/>
                <w:sz w:val="18"/>
                <w:szCs w:val="18"/>
                <w:highlight w:val="none"/>
              </w:rPr>
            </w:pPr>
          </w:p>
        </w:tc>
        <w:tc>
          <w:tcPr>
            <w:tcW w:w="92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40" w:lineRule="exact"/>
              <w:jc w:val="center"/>
              <w:rPr>
                <w:rFonts w:hint="eastAsia" w:ascii="仿宋" w:hAnsi="仿宋" w:eastAsia="仿宋" w:cs="仿宋"/>
                <w:color w:val="auto"/>
                <w:sz w:val="18"/>
                <w:szCs w:val="18"/>
                <w:highlight w:val="none"/>
              </w:rPr>
            </w:pPr>
          </w:p>
        </w:tc>
        <w:tc>
          <w:tcPr>
            <w:tcW w:w="92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40" w:lineRule="exact"/>
              <w:jc w:val="center"/>
              <w:rPr>
                <w:rFonts w:hint="eastAsia" w:ascii="仿宋" w:hAnsi="仿宋" w:eastAsia="仿宋" w:cs="仿宋"/>
                <w:color w:val="auto"/>
                <w:sz w:val="18"/>
                <w:szCs w:val="18"/>
                <w:highlight w:val="none"/>
              </w:rPr>
            </w:pPr>
          </w:p>
        </w:tc>
      </w:tr>
      <w:tr>
        <w:tblPrEx>
          <w:tblCellMar>
            <w:top w:w="0" w:type="dxa"/>
            <w:left w:w="10" w:type="dxa"/>
            <w:bottom w:w="0" w:type="dxa"/>
            <w:right w:w="10" w:type="dxa"/>
          </w:tblCellMar>
        </w:tblPrEx>
        <w:trPr>
          <w:trHeight w:val="567" w:hRule="exact"/>
          <w:jc w:val="center"/>
        </w:trPr>
        <w:tc>
          <w:tcPr>
            <w:tcW w:w="68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40" w:lineRule="exact"/>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21"/>
                <w:szCs w:val="21"/>
                <w:highlight w:val="none"/>
              </w:rPr>
              <w:t>3</w:t>
            </w:r>
          </w:p>
        </w:tc>
        <w:tc>
          <w:tcPr>
            <w:tcW w:w="144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40" w:lineRule="exact"/>
              <w:jc w:val="center"/>
              <w:rPr>
                <w:rFonts w:hint="eastAsia" w:ascii="仿宋" w:hAnsi="仿宋" w:eastAsia="仿宋" w:cs="仿宋"/>
                <w:color w:val="auto"/>
                <w:sz w:val="18"/>
                <w:szCs w:val="18"/>
                <w:highlight w:val="none"/>
              </w:rPr>
            </w:pPr>
          </w:p>
        </w:tc>
        <w:tc>
          <w:tcPr>
            <w:tcW w:w="417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40" w:lineRule="exact"/>
              <w:jc w:val="left"/>
              <w:rPr>
                <w:rFonts w:hint="eastAsia" w:ascii="仿宋" w:hAnsi="仿宋" w:eastAsia="仿宋" w:cs="仿宋"/>
                <w:color w:val="auto"/>
                <w:sz w:val="18"/>
                <w:szCs w:val="18"/>
                <w:highlight w:val="none"/>
              </w:rPr>
            </w:pPr>
          </w:p>
        </w:tc>
        <w:tc>
          <w:tcPr>
            <w:tcW w:w="92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40" w:lineRule="exact"/>
              <w:jc w:val="center"/>
              <w:rPr>
                <w:rFonts w:hint="eastAsia" w:ascii="仿宋" w:hAnsi="仿宋" w:eastAsia="仿宋" w:cs="仿宋"/>
                <w:color w:val="auto"/>
                <w:sz w:val="18"/>
                <w:szCs w:val="18"/>
                <w:highlight w:val="none"/>
              </w:rPr>
            </w:pPr>
          </w:p>
        </w:tc>
        <w:tc>
          <w:tcPr>
            <w:tcW w:w="92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40" w:lineRule="exact"/>
              <w:jc w:val="center"/>
              <w:rPr>
                <w:rFonts w:hint="eastAsia" w:ascii="仿宋" w:hAnsi="仿宋" w:eastAsia="仿宋" w:cs="仿宋"/>
                <w:color w:val="auto"/>
                <w:sz w:val="18"/>
                <w:szCs w:val="18"/>
                <w:highlight w:val="none"/>
              </w:rPr>
            </w:pPr>
          </w:p>
        </w:tc>
      </w:tr>
      <w:tr>
        <w:trPr>
          <w:trHeight w:val="567" w:hRule="exact"/>
          <w:jc w:val="center"/>
        </w:trPr>
        <w:tc>
          <w:tcPr>
            <w:tcW w:w="68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40" w:lineRule="exact"/>
              <w:jc w:val="center"/>
              <w:rPr>
                <w:rFonts w:hint="eastAsia" w:ascii="仿宋" w:hAnsi="仿宋" w:eastAsia="仿宋" w:cs="仿宋"/>
                <w:color w:val="auto"/>
                <w:sz w:val="18"/>
                <w:szCs w:val="18"/>
                <w:highlight w:val="none"/>
              </w:rPr>
            </w:pPr>
            <w:r>
              <w:rPr>
                <w:rFonts w:hint="eastAsia" w:ascii="仿宋" w:hAnsi="仿宋" w:eastAsia="仿宋" w:cs="仿宋"/>
                <w:color w:val="auto"/>
                <w:sz w:val="21"/>
                <w:szCs w:val="21"/>
                <w:highlight w:val="none"/>
              </w:rPr>
              <w:t>4</w:t>
            </w:r>
          </w:p>
        </w:tc>
        <w:tc>
          <w:tcPr>
            <w:tcW w:w="144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40" w:lineRule="exact"/>
              <w:jc w:val="center"/>
              <w:rPr>
                <w:rFonts w:hint="eastAsia" w:ascii="仿宋" w:hAnsi="仿宋" w:eastAsia="仿宋" w:cs="仿宋"/>
                <w:color w:val="auto"/>
                <w:sz w:val="18"/>
                <w:szCs w:val="18"/>
                <w:highlight w:val="none"/>
              </w:rPr>
            </w:pPr>
          </w:p>
        </w:tc>
        <w:tc>
          <w:tcPr>
            <w:tcW w:w="417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40" w:lineRule="exact"/>
              <w:rPr>
                <w:rFonts w:hint="eastAsia" w:ascii="仿宋" w:hAnsi="仿宋" w:eastAsia="仿宋" w:cs="仿宋"/>
                <w:b/>
                <w:bCs/>
                <w:color w:val="auto"/>
                <w:kern w:val="0"/>
                <w:sz w:val="18"/>
                <w:szCs w:val="18"/>
                <w:highlight w:val="none"/>
              </w:rPr>
            </w:pPr>
          </w:p>
        </w:tc>
        <w:tc>
          <w:tcPr>
            <w:tcW w:w="92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40" w:lineRule="exact"/>
              <w:jc w:val="center"/>
              <w:rPr>
                <w:rFonts w:hint="eastAsia" w:ascii="仿宋" w:hAnsi="仿宋" w:eastAsia="仿宋" w:cs="仿宋"/>
                <w:color w:val="auto"/>
                <w:sz w:val="18"/>
                <w:szCs w:val="18"/>
                <w:highlight w:val="none"/>
              </w:rPr>
            </w:pPr>
          </w:p>
        </w:tc>
        <w:tc>
          <w:tcPr>
            <w:tcW w:w="92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40" w:lineRule="exact"/>
              <w:jc w:val="center"/>
              <w:rPr>
                <w:rFonts w:hint="eastAsia" w:ascii="仿宋" w:hAnsi="仿宋" w:eastAsia="仿宋" w:cs="仿宋"/>
                <w:color w:val="auto"/>
                <w:sz w:val="18"/>
                <w:szCs w:val="18"/>
                <w:highlight w:val="none"/>
              </w:rPr>
            </w:pPr>
          </w:p>
        </w:tc>
      </w:tr>
      <w:tr>
        <w:tblPrEx>
          <w:tblCellMar>
            <w:top w:w="0" w:type="dxa"/>
            <w:left w:w="10" w:type="dxa"/>
            <w:bottom w:w="0" w:type="dxa"/>
            <w:right w:w="10" w:type="dxa"/>
          </w:tblCellMar>
        </w:tblPrEx>
        <w:trPr>
          <w:trHeight w:val="567" w:hRule="exact"/>
          <w:jc w:val="center"/>
        </w:trPr>
        <w:tc>
          <w:tcPr>
            <w:tcW w:w="68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40" w:lineRule="exact"/>
              <w:jc w:val="center"/>
              <w:rPr>
                <w:rFonts w:hint="eastAsia" w:ascii="仿宋" w:hAnsi="仿宋" w:eastAsia="仿宋" w:cs="仿宋"/>
                <w:color w:val="auto"/>
                <w:sz w:val="18"/>
                <w:szCs w:val="18"/>
                <w:highlight w:val="none"/>
              </w:rPr>
            </w:pPr>
            <w:r>
              <w:rPr>
                <w:rFonts w:hint="eastAsia" w:ascii="仿宋" w:hAnsi="仿宋" w:eastAsia="仿宋" w:cs="仿宋"/>
                <w:color w:val="auto"/>
                <w:sz w:val="21"/>
                <w:szCs w:val="21"/>
                <w:highlight w:val="none"/>
              </w:rPr>
              <w:t>5</w:t>
            </w:r>
          </w:p>
        </w:tc>
        <w:tc>
          <w:tcPr>
            <w:tcW w:w="144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40" w:lineRule="exact"/>
              <w:jc w:val="center"/>
              <w:rPr>
                <w:rFonts w:hint="eastAsia" w:ascii="仿宋" w:hAnsi="仿宋" w:eastAsia="仿宋" w:cs="仿宋"/>
                <w:color w:val="auto"/>
                <w:sz w:val="18"/>
                <w:szCs w:val="18"/>
                <w:highlight w:val="none"/>
              </w:rPr>
            </w:pPr>
          </w:p>
        </w:tc>
        <w:tc>
          <w:tcPr>
            <w:tcW w:w="417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40" w:lineRule="exact"/>
              <w:rPr>
                <w:rFonts w:hint="eastAsia" w:ascii="仿宋" w:hAnsi="仿宋" w:eastAsia="仿宋" w:cs="仿宋"/>
                <w:b/>
                <w:bCs/>
                <w:color w:val="auto"/>
                <w:kern w:val="0"/>
                <w:sz w:val="18"/>
                <w:szCs w:val="18"/>
                <w:highlight w:val="none"/>
              </w:rPr>
            </w:pPr>
          </w:p>
        </w:tc>
        <w:tc>
          <w:tcPr>
            <w:tcW w:w="92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40" w:lineRule="exact"/>
              <w:jc w:val="center"/>
              <w:rPr>
                <w:rFonts w:hint="eastAsia" w:ascii="仿宋" w:hAnsi="仿宋" w:eastAsia="仿宋" w:cs="仿宋"/>
                <w:color w:val="auto"/>
                <w:sz w:val="18"/>
                <w:szCs w:val="18"/>
                <w:highlight w:val="none"/>
              </w:rPr>
            </w:pPr>
          </w:p>
        </w:tc>
        <w:tc>
          <w:tcPr>
            <w:tcW w:w="92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40" w:lineRule="exact"/>
              <w:jc w:val="center"/>
              <w:rPr>
                <w:rFonts w:hint="eastAsia" w:ascii="仿宋" w:hAnsi="仿宋" w:eastAsia="仿宋" w:cs="仿宋"/>
                <w:color w:val="auto"/>
                <w:sz w:val="18"/>
                <w:szCs w:val="18"/>
                <w:highlight w:val="none"/>
              </w:rPr>
            </w:pPr>
          </w:p>
        </w:tc>
      </w:tr>
      <w:tr>
        <w:tblPrEx>
          <w:tblCellMar>
            <w:top w:w="0" w:type="dxa"/>
            <w:left w:w="10" w:type="dxa"/>
            <w:bottom w:w="0" w:type="dxa"/>
            <w:right w:w="10" w:type="dxa"/>
          </w:tblCellMar>
        </w:tblPrEx>
        <w:trPr>
          <w:trHeight w:val="567" w:hRule="exact"/>
          <w:jc w:val="center"/>
        </w:trPr>
        <w:tc>
          <w:tcPr>
            <w:tcW w:w="68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40" w:lineRule="exact"/>
              <w:jc w:val="center"/>
              <w:rPr>
                <w:rFonts w:hint="eastAsia" w:ascii="仿宋" w:hAnsi="仿宋" w:eastAsia="仿宋" w:cs="仿宋"/>
                <w:color w:val="auto"/>
                <w:sz w:val="18"/>
                <w:szCs w:val="18"/>
                <w:highlight w:val="none"/>
              </w:rPr>
            </w:pPr>
            <w:r>
              <w:rPr>
                <w:rFonts w:hint="eastAsia" w:ascii="仿宋" w:hAnsi="仿宋" w:eastAsia="仿宋" w:cs="仿宋"/>
                <w:color w:val="auto"/>
                <w:sz w:val="21"/>
                <w:szCs w:val="21"/>
                <w:highlight w:val="none"/>
              </w:rPr>
              <w:t>6</w:t>
            </w:r>
          </w:p>
        </w:tc>
        <w:tc>
          <w:tcPr>
            <w:tcW w:w="144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adjustRightInd w:val="0"/>
              <w:snapToGrid w:val="0"/>
              <w:spacing w:line="360" w:lineRule="exact"/>
              <w:jc w:val="center"/>
              <w:rPr>
                <w:rFonts w:hint="eastAsia" w:ascii="仿宋" w:hAnsi="仿宋" w:eastAsia="仿宋" w:cs="仿宋"/>
                <w:color w:val="auto"/>
                <w:sz w:val="18"/>
                <w:szCs w:val="18"/>
                <w:highlight w:val="none"/>
              </w:rPr>
            </w:pPr>
          </w:p>
        </w:tc>
        <w:tc>
          <w:tcPr>
            <w:tcW w:w="417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40" w:lineRule="exact"/>
              <w:rPr>
                <w:rFonts w:hint="eastAsia" w:ascii="仿宋" w:hAnsi="仿宋" w:eastAsia="仿宋" w:cs="仿宋"/>
                <w:color w:val="auto"/>
                <w:sz w:val="18"/>
                <w:szCs w:val="18"/>
                <w:highlight w:val="none"/>
              </w:rPr>
            </w:pPr>
          </w:p>
        </w:tc>
        <w:tc>
          <w:tcPr>
            <w:tcW w:w="92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40" w:lineRule="exact"/>
              <w:jc w:val="center"/>
              <w:rPr>
                <w:rFonts w:hint="eastAsia" w:ascii="仿宋" w:hAnsi="仿宋" w:eastAsia="仿宋" w:cs="仿宋"/>
                <w:color w:val="auto"/>
                <w:sz w:val="18"/>
                <w:szCs w:val="18"/>
                <w:highlight w:val="none"/>
              </w:rPr>
            </w:pPr>
          </w:p>
        </w:tc>
        <w:tc>
          <w:tcPr>
            <w:tcW w:w="92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40" w:lineRule="exact"/>
              <w:jc w:val="center"/>
              <w:rPr>
                <w:rFonts w:hint="eastAsia" w:ascii="仿宋" w:hAnsi="仿宋" w:eastAsia="仿宋" w:cs="仿宋"/>
                <w:color w:val="auto"/>
                <w:sz w:val="18"/>
                <w:szCs w:val="18"/>
                <w:highlight w:val="none"/>
              </w:rPr>
            </w:pPr>
          </w:p>
        </w:tc>
      </w:tr>
      <w:tr>
        <w:trPr>
          <w:trHeight w:val="567" w:hRule="exact"/>
          <w:jc w:val="center"/>
        </w:trPr>
        <w:tc>
          <w:tcPr>
            <w:tcW w:w="686" w:type="dxa"/>
            <w:tcBorders>
              <w:left w:val="single" w:color="auto" w:sz="4" w:space="0"/>
              <w:bottom w:val="single" w:color="auto" w:sz="4" w:space="0"/>
              <w:right w:val="single" w:color="auto" w:sz="4" w:space="0"/>
            </w:tcBorders>
            <w:shd w:val="clear" w:color="auto" w:fill="FFFFFF"/>
            <w:noWrap w:val="0"/>
            <w:vAlign w:val="center"/>
          </w:tcPr>
          <w:p>
            <w:pPr>
              <w:spacing w:line="240" w:lineRule="exact"/>
              <w:jc w:val="center"/>
              <w:rPr>
                <w:rFonts w:hint="eastAsia" w:ascii="仿宋" w:hAnsi="仿宋" w:eastAsia="仿宋" w:cs="仿宋"/>
                <w:color w:val="auto"/>
                <w:sz w:val="18"/>
                <w:szCs w:val="18"/>
                <w:highlight w:val="none"/>
              </w:rPr>
            </w:pPr>
            <w:r>
              <w:rPr>
                <w:rFonts w:hint="eastAsia" w:ascii="仿宋" w:hAnsi="仿宋" w:eastAsia="仿宋" w:cs="仿宋"/>
                <w:color w:val="auto"/>
                <w:sz w:val="21"/>
                <w:szCs w:val="21"/>
                <w:highlight w:val="none"/>
              </w:rPr>
              <w:t>7</w:t>
            </w:r>
          </w:p>
        </w:tc>
        <w:tc>
          <w:tcPr>
            <w:tcW w:w="1449" w:type="dxa"/>
            <w:tcBorders>
              <w:left w:val="single" w:color="auto" w:sz="4" w:space="0"/>
              <w:bottom w:val="single" w:color="auto" w:sz="4" w:space="0"/>
              <w:right w:val="single" w:color="auto" w:sz="4" w:space="0"/>
            </w:tcBorders>
            <w:shd w:val="clear" w:color="auto" w:fill="FFFFFF"/>
            <w:noWrap w:val="0"/>
            <w:vAlign w:val="center"/>
          </w:tcPr>
          <w:p>
            <w:pPr>
              <w:spacing w:line="240" w:lineRule="exact"/>
              <w:jc w:val="center"/>
              <w:rPr>
                <w:rFonts w:hint="eastAsia" w:ascii="仿宋" w:hAnsi="仿宋" w:eastAsia="仿宋" w:cs="仿宋"/>
                <w:color w:val="auto"/>
                <w:sz w:val="18"/>
                <w:szCs w:val="18"/>
                <w:highlight w:val="none"/>
              </w:rPr>
            </w:pPr>
          </w:p>
        </w:tc>
        <w:tc>
          <w:tcPr>
            <w:tcW w:w="417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40" w:lineRule="exact"/>
              <w:rPr>
                <w:rFonts w:hint="eastAsia" w:ascii="仿宋" w:hAnsi="仿宋" w:eastAsia="仿宋" w:cs="仿宋"/>
                <w:color w:val="auto"/>
                <w:sz w:val="18"/>
                <w:szCs w:val="18"/>
                <w:highlight w:val="none"/>
              </w:rPr>
            </w:pPr>
          </w:p>
        </w:tc>
        <w:tc>
          <w:tcPr>
            <w:tcW w:w="92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40" w:lineRule="exact"/>
              <w:jc w:val="center"/>
              <w:rPr>
                <w:rFonts w:hint="eastAsia" w:ascii="仿宋" w:hAnsi="仿宋" w:eastAsia="仿宋" w:cs="仿宋"/>
                <w:color w:val="auto"/>
                <w:sz w:val="18"/>
                <w:szCs w:val="18"/>
                <w:highlight w:val="none"/>
              </w:rPr>
            </w:pPr>
          </w:p>
        </w:tc>
        <w:tc>
          <w:tcPr>
            <w:tcW w:w="92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40" w:lineRule="exact"/>
              <w:jc w:val="center"/>
              <w:rPr>
                <w:rFonts w:hint="eastAsia" w:ascii="仿宋" w:hAnsi="仿宋" w:eastAsia="仿宋" w:cs="仿宋"/>
                <w:color w:val="auto"/>
                <w:sz w:val="18"/>
                <w:szCs w:val="18"/>
                <w:highlight w:val="none"/>
              </w:rPr>
            </w:pPr>
          </w:p>
        </w:tc>
      </w:tr>
      <w:tr>
        <w:tblPrEx>
          <w:tblCellMar>
            <w:top w:w="0" w:type="dxa"/>
            <w:left w:w="10" w:type="dxa"/>
            <w:bottom w:w="0" w:type="dxa"/>
            <w:right w:w="10" w:type="dxa"/>
          </w:tblCellMar>
        </w:tblPrEx>
        <w:trPr>
          <w:trHeight w:val="567" w:hRule="exact"/>
          <w:jc w:val="center"/>
        </w:trPr>
        <w:tc>
          <w:tcPr>
            <w:tcW w:w="68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40" w:lineRule="exact"/>
              <w:jc w:val="center"/>
              <w:rPr>
                <w:rFonts w:hint="eastAsia" w:ascii="仿宋" w:hAnsi="仿宋" w:eastAsia="仿宋" w:cs="仿宋"/>
                <w:color w:val="auto"/>
                <w:sz w:val="18"/>
                <w:szCs w:val="18"/>
                <w:highlight w:val="none"/>
              </w:rPr>
            </w:pPr>
            <w:r>
              <w:rPr>
                <w:rFonts w:hint="eastAsia" w:ascii="仿宋" w:hAnsi="仿宋" w:eastAsia="仿宋" w:cs="仿宋"/>
                <w:color w:val="auto"/>
                <w:sz w:val="21"/>
                <w:szCs w:val="21"/>
                <w:highlight w:val="none"/>
              </w:rPr>
              <w:t>8</w:t>
            </w:r>
          </w:p>
        </w:tc>
        <w:tc>
          <w:tcPr>
            <w:tcW w:w="144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40" w:lineRule="exact"/>
              <w:jc w:val="center"/>
              <w:rPr>
                <w:rFonts w:hint="eastAsia" w:ascii="仿宋" w:hAnsi="仿宋" w:eastAsia="仿宋" w:cs="仿宋"/>
                <w:color w:val="auto"/>
                <w:sz w:val="18"/>
                <w:szCs w:val="18"/>
                <w:highlight w:val="none"/>
              </w:rPr>
            </w:pPr>
          </w:p>
        </w:tc>
        <w:tc>
          <w:tcPr>
            <w:tcW w:w="417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40" w:lineRule="exact"/>
              <w:rPr>
                <w:rFonts w:hint="eastAsia" w:ascii="仿宋" w:hAnsi="仿宋" w:eastAsia="仿宋" w:cs="仿宋"/>
                <w:color w:val="auto"/>
                <w:sz w:val="18"/>
                <w:szCs w:val="18"/>
                <w:highlight w:val="none"/>
              </w:rPr>
            </w:pPr>
          </w:p>
        </w:tc>
        <w:tc>
          <w:tcPr>
            <w:tcW w:w="92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40" w:lineRule="exact"/>
              <w:jc w:val="center"/>
              <w:rPr>
                <w:rFonts w:hint="eastAsia" w:ascii="仿宋" w:hAnsi="仿宋" w:eastAsia="仿宋" w:cs="仿宋"/>
                <w:color w:val="auto"/>
                <w:sz w:val="18"/>
                <w:szCs w:val="18"/>
                <w:highlight w:val="none"/>
              </w:rPr>
            </w:pPr>
          </w:p>
        </w:tc>
        <w:tc>
          <w:tcPr>
            <w:tcW w:w="92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40" w:lineRule="exact"/>
              <w:jc w:val="center"/>
              <w:rPr>
                <w:rFonts w:hint="eastAsia" w:ascii="仿宋" w:hAnsi="仿宋" w:eastAsia="仿宋" w:cs="仿宋"/>
                <w:color w:val="auto"/>
                <w:sz w:val="18"/>
                <w:szCs w:val="18"/>
                <w:highlight w:val="none"/>
              </w:rPr>
            </w:pPr>
          </w:p>
        </w:tc>
      </w:tr>
      <w:tr>
        <w:trPr>
          <w:trHeight w:val="567" w:hRule="exact"/>
          <w:jc w:val="center"/>
        </w:trPr>
        <w:tc>
          <w:tcPr>
            <w:tcW w:w="68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40" w:lineRule="exact"/>
              <w:jc w:val="center"/>
              <w:rPr>
                <w:rFonts w:hint="eastAsia" w:ascii="仿宋" w:hAnsi="仿宋" w:eastAsia="仿宋" w:cs="仿宋"/>
                <w:color w:val="auto"/>
                <w:sz w:val="18"/>
                <w:szCs w:val="18"/>
                <w:highlight w:val="none"/>
                <w:lang w:eastAsia="zh-CN"/>
              </w:rPr>
            </w:pPr>
            <w:r>
              <w:rPr>
                <w:rFonts w:hint="eastAsia" w:ascii="仿宋" w:hAnsi="仿宋" w:eastAsia="仿宋" w:cs="仿宋"/>
                <w:color w:val="auto"/>
                <w:sz w:val="21"/>
                <w:szCs w:val="21"/>
                <w:highlight w:val="none"/>
                <w:lang w:eastAsia="zh-CN"/>
              </w:rPr>
              <w:t>……</w:t>
            </w:r>
          </w:p>
        </w:tc>
        <w:tc>
          <w:tcPr>
            <w:tcW w:w="144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40" w:lineRule="exact"/>
              <w:jc w:val="center"/>
              <w:rPr>
                <w:rFonts w:hint="eastAsia" w:ascii="仿宋" w:hAnsi="仿宋" w:eastAsia="仿宋" w:cs="仿宋"/>
                <w:color w:val="auto"/>
                <w:sz w:val="18"/>
                <w:szCs w:val="18"/>
                <w:highlight w:val="none"/>
              </w:rPr>
            </w:pPr>
          </w:p>
        </w:tc>
        <w:tc>
          <w:tcPr>
            <w:tcW w:w="417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rPr>
                <w:rFonts w:hint="eastAsia" w:ascii="仿宋" w:hAnsi="仿宋" w:eastAsia="仿宋" w:cs="仿宋"/>
                <w:color w:val="auto"/>
                <w:sz w:val="18"/>
                <w:szCs w:val="18"/>
                <w:highlight w:val="none"/>
              </w:rPr>
            </w:pPr>
          </w:p>
        </w:tc>
        <w:tc>
          <w:tcPr>
            <w:tcW w:w="92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40" w:lineRule="exact"/>
              <w:jc w:val="center"/>
              <w:rPr>
                <w:rFonts w:hint="eastAsia" w:ascii="仿宋" w:hAnsi="仿宋" w:eastAsia="仿宋" w:cs="仿宋"/>
                <w:color w:val="auto"/>
                <w:sz w:val="18"/>
                <w:szCs w:val="18"/>
                <w:highlight w:val="none"/>
              </w:rPr>
            </w:pPr>
          </w:p>
        </w:tc>
        <w:tc>
          <w:tcPr>
            <w:tcW w:w="92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40" w:lineRule="exact"/>
              <w:jc w:val="center"/>
              <w:rPr>
                <w:rFonts w:hint="eastAsia" w:ascii="仿宋" w:hAnsi="仿宋" w:eastAsia="仿宋" w:cs="仿宋"/>
                <w:color w:val="auto"/>
                <w:sz w:val="18"/>
                <w:szCs w:val="18"/>
                <w:highlight w:val="none"/>
              </w:rPr>
            </w:pPr>
          </w:p>
        </w:tc>
      </w:tr>
    </w:tbl>
    <w:p>
      <w:pPr>
        <w:rPr>
          <w:rFonts w:hint="eastAsia" w:ascii="仿宋" w:hAnsi="仿宋" w:eastAsia="仿宋" w:cs="仿宋"/>
          <w:color w:val="auto"/>
          <w:highlight w:val="none"/>
        </w:rPr>
      </w:pPr>
    </w:p>
    <w:p>
      <w:pPr>
        <w:pStyle w:val="23"/>
        <w:rPr>
          <w:rFonts w:hint="eastAsia" w:ascii="仿宋" w:hAnsi="仿宋" w:eastAsia="仿宋" w:cs="仿宋"/>
          <w:color w:val="auto"/>
          <w:sz w:val="36"/>
          <w:szCs w:val="36"/>
          <w:highlight w:val="none"/>
        </w:rPr>
      </w:pPr>
      <w:r>
        <w:rPr>
          <w:rFonts w:hint="eastAsia" w:ascii="仿宋" w:hAnsi="仿宋" w:eastAsia="仿宋" w:cs="仿宋"/>
          <w:color w:val="auto"/>
          <w:highlight w:val="none"/>
          <w:lang w:eastAsia="zh-CN"/>
        </w:rPr>
        <w:br w:type="page"/>
      </w:r>
      <w:r>
        <w:rPr>
          <w:rFonts w:hint="eastAsia" w:ascii="仿宋" w:hAnsi="仿宋" w:eastAsia="仿宋" w:cs="仿宋"/>
          <w:color w:val="auto"/>
          <w:highlight w:val="none"/>
          <w:lang w:eastAsia="zh-CN"/>
        </w:rPr>
        <w:t>二</w:t>
      </w:r>
      <w:r>
        <w:rPr>
          <w:rFonts w:hint="eastAsia" w:ascii="仿宋" w:hAnsi="仿宋" w:eastAsia="仿宋" w:cs="仿宋"/>
          <w:color w:val="auto"/>
          <w:highlight w:val="none"/>
        </w:rPr>
        <w:t>、诚信竞投承诺书</w:t>
      </w:r>
    </w:p>
    <w:p>
      <w:pPr>
        <w:pStyle w:val="6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本供应商郑重承诺：</w:t>
      </w:r>
    </w:p>
    <w:p>
      <w:pPr>
        <w:pStyle w:val="6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一、将遵循公开、公平、公正和诚实信用的原则参加</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(采购项目名称)的竞投；</w:t>
      </w:r>
    </w:p>
    <w:p>
      <w:pPr>
        <w:pStyle w:val="6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二、不向采购单位、采购代理机构和监管部门及其工作人员和评审人员贿赂，或采取其它不正当手段谋取中标或成交；</w:t>
      </w:r>
    </w:p>
    <w:p>
      <w:pPr>
        <w:pStyle w:val="6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三、应公平竞争、诚实守信，不得采取不正当手段抵毁、排挤其他供应商，不提供虚假材料谋取中标或成交；</w:t>
      </w:r>
    </w:p>
    <w:p>
      <w:pPr>
        <w:pStyle w:val="6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四、中标成交后，不得将采购项目非法转让他人，或未经采购单位或采购监管部门同意，将中标项目分包给他人；</w:t>
      </w:r>
    </w:p>
    <w:p>
      <w:pPr>
        <w:pStyle w:val="6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五、不与采购单位、其它供应商和采购代理机构串通或恶意报价，哄抬采购价格；不在招标过程中与采购组织机构协商谈判；</w:t>
      </w:r>
    </w:p>
    <w:p>
      <w:pPr>
        <w:pStyle w:val="6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六、中标成交后，按规定及时与采购方签订</w:t>
      </w:r>
      <w:r>
        <w:rPr>
          <w:rFonts w:hint="eastAsia" w:ascii="仿宋" w:hAnsi="仿宋" w:eastAsia="仿宋" w:cs="仿宋"/>
          <w:color w:val="auto"/>
          <w:sz w:val="24"/>
          <w:szCs w:val="24"/>
          <w:highlight w:val="none"/>
          <w:lang w:eastAsia="zh-CN"/>
        </w:rPr>
        <w:t>采购</w:t>
      </w:r>
      <w:r>
        <w:rPr>
          <w:rFonts w:hint="eastAsia" w:ascii="仿宋" w:hAnsi="仿宋" w:eastAsia="仿宋" w:cs="仿宋"/>
          <w:color w:val="auto"/>
          <w:sz w:val="24"/>
          <w:szCs w:val="24"/>
          <w:highlight w:val="none"/>
        </w:rPr>
        <w:t>合同；无正当理由不拖延或拒绝与采购方签订</w:t>
      </w:r>
      <w:r>
        <w:rPr>
          <w:rFonts w:hint="eastAsia" w:ascii="仿宋" w:hAnsi="仿宋" w:eastAsia="仿宋" w:cs="仿宋"/>
          <w:color w:val="auto"/>
          <w:sz w:val="24"/>
          <w:szCs w:val="24"/>
          <w:highlight w:val="none"/>
          <w:lang w:eastAsia="zh-CN"/>
        </w:rPr>
        <w:t>采购</w:t>
      </w:r>
      <w:r>
        <w:rPr>
          <w:rFonts w:hint="eastAsia" w:ascii="仿宋" w:hAnsi="仿宋" w:eastAsia="仿宋" w:cs="仿宋"/>
          <w:color w:val="auto"/>
          <w:sz w:val="24"/>
          <w:szCs w:val="24"/>
          <w:highlight w:val="none"/>
        </w:rPr>
        <w:t>合同，不与采购方订立有悖于采购结果的合同或协议；</w:t>
      </w:r>
    </w:p>
    <w:p>
      <w:pPr>
        <w:pStyle w:val="6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七、严格履行</w:t>
      </w:r>
      <w:r>
        <w:rPr>
          <w:rFonts w:hint="eastAsia" w:ascii="仿宋" w:hAnsi="仿宋" w:eastAsia="仿宋" w:cs="仿宋"/>
          <w:color w:val="auto"/>
          <w:sz w:val="24"/>
          <w:szCs w:val="24"/>
          <w:highlight w:val="none"/>
          <w:lang w:eastAsia="zh-CN"/>
        </w:rPr>
        <w:t>采购</w:t>
      </w:r>
      <w:r>
        <w:rPr>
          <w:rFonts w:hint="eastAsia" w:ascii="仿宋" w:hAnsi="仿宋" w:eastAsia="仿宋" w:cs="仿宋"/>
          <w:color w:val="auto"/>
          <w:sz w:val="24"/>
          <w:szCs w:val="24"/>
          <w:highlight w:val="none"/>
        </w:rPr>
        <w:t>合同，不降低合同约定的产品质量和服务，不擅自变更、中止、终止合同，或拒绝履行合同义务；</w:t>
      </w:r>
    </w:p>
    <w:p>
      <w:pPr>
        <w:pStyle w:val="6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八、不捏造事实或者提供虚假材料，进行虚假、恶意质疑、投诉，扰乱</w:t>
      </w:r>
      <w:r>
        <w:rPr>
          <w:rFonts w:hint="eastAsia" w:ascii="仿宋" w:hAnsi="仿宋" w:eastAsia="仿宋" w:cs="仿宋"/>
          <w:color w:val="auto"/>
          <w:sz w:val="24"/>
          <w:szCs w:val="24"/>
          <w:highlight w:val="none"/>
          <w:lang w:eastAsia="zh-CN"/>
        </w:rPr>
        <w:t>采购</w:t>
      </w:r>
      <w:r>
        <w:rPr>
          <w:rFonts w:hint="eastAsia" w:ascii="仿宋" w:hAnsi="仿宋" w:eastAsia="仿宋" w:cs="仿宋"/>
          <w:color w:val="auto"/>
          <w:sz w:val="24"/>
          <w:szCs w:val="24"/>
          <w:highlight w:val="none"/>
        </w:rPr>
        <w:t>工作；</w:t>
      </w:r>
    </w:p>
    <w:p>
      <w:pPr>
        <w:pStyle w:val="6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九、自觉接受和配合有关</w:t>
      </w:r>
      <w:r>
        <w:rPr>
          <w:rFonts w:hint="eastAsia" w:ascii="仿宋" w:hAnsi="仿宋" w:eastAsia="仿宋" w:cs="仿宋"/>
          <w:color w:val="auto"/>
          <w:sz w:val="24"/>
          <w:szCs w:val="24"/>
          <w:highlight w:val="none"/>
          <w:lang w:eastAsia="zh-CN"/>
        </w:rPr>
        <w:t>采购</w:t>
      </w:r>
      <w:r>
        <w:rPr>
          <w:rFonts w:hint="eastAsia" w:ascii="仿宋" w:hAnsi="仿宋" w:eastAsia="仿宋" w:cs="仿宋"/>
          <w:color w:val="auto"/>
          <w:sz w:val="24"/>
          <w:szCs w:val="24"/>
          <w:highlight w:val="none"/>
        </w:rPr>
        <w:t>监督部门的监督检查，不拒绝或在检查中提供虚假材料。</w:t>
      </w:r>
    </w:p>
    <w:p>
      <w:pPr>
        <w:pStyle w:val="6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本公司若有违反承诺内容的行为，自愿接受取消交易席位、记入信用档案等有关处理，愿意承担法律责任。如已中标的，自动放弃中标资格；给采购方造成损失的，依法承担赔偿责任。</w:t>
      </w:r>
    </w:p>
    <w:p>
      <w:pPr>
        <w:pStyle w:val="6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p>
      <w:pPr>
        <w:keepNext w:val="0"/>
        <w:keepLines w:val="0"/>
        <w:pageBreakBefore w:val="0"/>
        <w:widowControl/>
        <w:kinsoku/>
        <w:wordWrap/>
        <w:overflowPunct/>
        <w:topLinePunct w:val="0"/>
        <w:autoSpaceDE/>
        <w:autoSpaceDN/>
        <w:bidi w:val="0"/>
        <w:adjustRightInd/>
        <w:snapToGrid/>
        <w:ind w:firstLine="3360" w:firstLineChars="14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u w:val="single"/>
          <w:lang w:eastAsia="zh-CN"/>
        </w:rPr>
        <w:t>盖章</w:t>
      </w:r>
      <w:r>
        <w:rPr>
          <w:rFonts w:hint="eastAsia" w:ascii="仿宋" w:hAnsi="仿宋" w:eastAsia="仿宋" w:cs="仿宋"/>
          <w:color w:val="auto"/>
          <w:sz w:val="24"/>
          <w:highlight w:val="none"/>
          <w:u w:val="single"/>
        </w:rPr>
        <w:t>）</w:t>
      </w:r>
    </w:p>
    <w:p>
      <w:pPr>
        <w:keepNext w:val="0"/>
        <w:keepLines w:val="0"/>
        <w:pageBreakBefore w:val="0"/>
        <w:widowControl/>
        <w:kinsoku/>
        <w:wordWrap/>
        <w:overflowPunct/>
        <w:topLinePunct w:val="0"/>
        <w:autoSpaceDE/>
        <w:autoSpaceDN/>
        <w:bidi w:val="0"/>
        <w:adjustRightInd/>
        <w:snapToGrid/>
        <w:ind w:firstLine="3360" w:firstLineChars="1400"/>
        <w:jc w:val="left"/>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法定代表人或委托代理人：</w:t>
      </w:r>
      <w:r>
        <w:rPr>
          <w:rFonts w:hint="eastAsia" w:ascii="仿宋" w:hAnsi="仿宋" w:eastAsia="仿宋" w:cs="仿宋"/>
          <w:b/>
          <w:bCs/>
          <w:color w:val="auto"/>
          <w:sz w:val="24"/>
          <w:highlight w:val="none"/>
          <w:u w:val="single"/>
        </w:rPr>
        <w:t>（签字或盖章）</w:t>
      </w:r>
    </w:p>
    <w:p>
      <w:pPr>
        <w:keepNext w:val="0"/>
        <w:keepLines w:val="0"/>
        <w:pageBreakBefore w:val="0"/>
        <w:widowControl/>
        <w:kinsoku/>
        <w:wordWrap/>
        <w:overflowPunct/>
        <w:topLinePunct w:val="0"/>
        <w:autoSpaceDE/>
        <w:autoSpaceDN/>
        <w:bidi w:val="0"/>
        <w:adjustRightInd/>
        <w:snapToGrid/>
        <w:ind w:firstLine="3360" w:firstLineChars="1400"/>
        <w:jc w:val="left"/>
        <w:textAlignment w:val="auto"/>
        <w:rPr>
          <w:rFonts w:hint="eastAsia" w:ascii="仿宋" w:hAnsi="仿宋" w:eastAsia="仿宋" w:cs="仿宋"/>
          <w:b/>
          <w:bCs/>
          <w:color w:val="auto"/>
          <w:sz w:val="32"/>
          <w:szCs w:val="32"/>
          <w:highlight w:val="none"/>
        </w:rPr>
      </w:pPr>
      <w:r>
        <w:rPr>
          <w:rFonts w:hint="eastAsia" w:ascii="仿宋" w:hAnsi="仿宋" w:eastAsia="仿宋" w:cs="仿宋"/>
          <w:color w:val="auto"/>
          <w:sz w:val="24"/>
          <w:highlight w:val="none"/>
        </w:rPr>
        <w:t>日期：</w:t>
      </w:r>
    </w:p>
    <w:p>
      <w:pPr>
        <w:pStyle w:val="23"/>
        <w:rPr>
          <w:rFonts w:hint="eastAsia" w:ascii="仿宋" w:hAnsi="仿宋" w:eastAsia="仿宋" w:cs="仿宋"/>
          <w:color w:val="auto"/>
          <w:sz w:val="24"/>
          <w:highlight w:val="none"/>
        </w:rPr>
      </w:pPr>
      <w:r>
        <w:rPr>
          <w:rFonts w:hint="eastAsia" w:ascii="仿宋" w:hAnsi="仿宋" w:eastAsia="仿宋" w:cs="仿宋"/>
          <w:color w:val="auto"/>
          <w:highlight w:val="none"/>
        </w:rPr>
        <w:br w:type="page"/>
      </w:r>
      <w:r>
        <w:rPr>
          <w:rFonts w:hint="eastAsia" w:ascii="仿宋" w:hAnsi="仿宋" w:eastAsia="仿宋" w:cs="仿宋"/>
          <w:color w:val="auto"/>
          <w:highlight w:val="none"/>
          <w:lang w:eastAsia="zh-CN"/>
        </w:rPr>
        <w:t>三</w:t>
      </w:r>
      <w:r>
        <w:rPr>
          <w:rFonts w:hint="eastAsia" w:ascii="仿宋" w:hAnsi="仿宋" w:eastAsia="仿宋" w:cs="仿宋"/>
          <w:color w:val="auto"/>
          <w:highlight w:val="none"/>
        </w:rPr>
        <w:t>、投标人情况</w:t>
      </w:r>
      <w:r>
        <w:rPr>
          <w:rFonts w:hint="eastAsia" w:ascii="仿宋" w:hAnsi="仿宋" w:eastAsia="仿宋" w:cs="仿宋"/>
          <w:color w:val="auto"/>
          <w:kern w:val="2"/>
          <w:szCs w:val="40"/>
          <w:highlight w:val="none"/>
        </w:rPr>
        <w:t>介绍</w:t>
      </w:r>
    </w:p>
    <w:tbl>
      <w:tblPr>
        <w:tblStyle w:val="31"/>
        <w:tblW w:w="0" w:type="auto"/>
        <w:jc w:val="center"/>
        <w:tblLayout w:type="fixed"/>
        <w:tblCellMar>
          <w:top w:w="0" w:type="dxa"/>
          <w:left w:w="10" w:type="dxa"/>
          <w:bottom w:w="0" w:type="dxa"/>
          <w:right w:w="10" w:type="dxa"/>
        </w:tblCellMar>
      </w:tblPr>
      <w:tblGrid>
        <w:gridCol w:w="1785"/>
        <w:gridCol w:w="930"/>
        <w:gridCol w:w="975"/>
        <w:gridCol w:w="1275"/>
        <w:gridCol w:w="1455"/>
        <w:gridCol w:w="909"/>
        <w:gridCol w:w="2046"/>
      </w:tblGrid>
      <w:tr>
        <w:tblPrEx>
          <w:tblCellMar>
            <w:top w:w="0" w:type="dxa"/>
            <w:left w:w="10" w:type="dxa"/>
            <w:bottom w:w="0" w:type="dxa"/>
            <w:right w:w="10" w:type="dxa"/>
          </w:tblCellMar>
        </w:tblPrEx>
        <w:trPr>
          <w:trHeight w:val="645" w:hRule="exact"/>
          <w:jc w:val="center"/>
        </w:trPr>
        <w:tc>
          <w:tcPr>
            <w:tcW w:w="1785" w:type="dxa"/>
            <w:tcBorders>
              <w:top w:val="single" w:color="auto" w:sz="4" w:space="0"/>
              <w:left w:val="single" w:color="auto" w:sz="4" w:space="0"/>
            </w:tcBorders>
            <w:shd w:val="clear" w:color="auto" w:fill="FFFFFF"/>
            <w:noWrap w:val="0"/>
            <w:vAlign w:val="center"/>
          </w:tcPr>
          <w:p>
            <w:pPr>
              <w:pStyle w:val="64"/>
              <w:spacing w:line="240" w:lineRule="auto"/>
              <w:ind w:firstLine="42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单位名称</w:t>
            </w:r>
          </w:p>
        </w:tc>
        <w:tc>
          <w:tcPr>
            <w:tcW w:w="7590" w:type="dxa"/>
            <w:gridSpan w:val="6"/>
            <w:tcBorders>
              <w:top w:val="single" w:color="auto" w:sz="4" w:space="0"/>
              <w:left w:val="single" w:color="auto" w:sz="4" w:space="0"/>
              <w:right w:val="single" w:color="auto" w:sz="4" w:space="0"/>
            </w:tcBorders>
            <w:shd w:val="clear" w:color="auto" w:fill="FFFFFF"/>
            <w:noWrap w:val="0"/>
            <w:vAlign w:val="top"/>
          </w:tcPr>
          <w:p>
            <w:pPr>
              <w:rPr>
                <w:rFonts w:hint="eastAsia" w:ascii="仿宋" w:hAnsi="仿宋" w:eastAsia="仿宋" w:cs="仿宋"/>
                <w:color w:val="auto"/>
                <w:sz w:val="24"/>
                <w:highlight w:val="none"/>
              </w:rPr>
            </w:pPr>
          </w:p>
        </w:tc>
      </w:tr>
      <w:tr>
        <w:tblPrEx>
          <w:tblCellMar>
            <w:top w:w="0" w:type="dxa"/>
            <w:left w:w="10" w:type="dxa"/>
            <w:bottom w:w="0" w:type="dxa"/>
            <w:right w:w="10" w:type="dxa"/>
          </w:tblCellMar>
        </w:tblPrEx>
        <w:trPr>
          <w:trHeight w:val="705" w:hRule="exact"/>
          <w:jc w:val="center"/>
        </w:trPr>
        <w:tc>
          <w:tcPr>
            <w:tcW w:w="1785" w:type="dxa"/>
            <w:tcBorders>
              <w:top w:val="single" w:color="auto" w:sz="4" w:space="0"/>
              <w:left w:val="single" w:color="auto" w:sz="4" w:space="0"/>
            </w:tcBorders>
            <w:shd w:val="clear" w:color="auto" w:fill="FFFFFF"/>
            <w:noWrap w:val="0"/>
            <w:vAlign w:val="center"/>
          </w:tcPr>
          <w:p>
            <w:pPr>
              <w:pStyle w:val="64"/>
              <w:spacing w:line="240" w:lineRule="auto"/>
              <w:ind w:firstLine="42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注册地址</w:t>
            </w:r>
          </w:p>
        </w:tc>
        <w:tc>
          <w:tcPr>
            <w:tcW w:w="7590" w:type="dxa"/>
            <w:gridSpan w:val="6"/>
            <w:tcBorders>
              <w:top w:val="single" w:color="auto" w:sz="4" w:space="0"/>
              <w:left w:val="single" w:color="auto" w:sz="4" w:space="0"/>
              <w:right w:val="single" w:color="auto" w:sz="4" w:space="0"/>
            </w:tcBorders>
            <w:shd w:val="clear" w:color="auto" w:fill="FFFFFF"/>
            <w:noWrap w:val="0"/>
            <w:vAlign w:val="top"/>
          </w:tcPr>
          <w:p>
            <w:pPr>
              <w:rPr>
                <w:rFonts w:hint="eastAsia" w:ascii="仿宋" w:hAnsi="仿宋" w:eastAsia="仿宋" w:cs="仿宋"/>
                <w:color w:val="auto"/>
                <w:sz w:val="24"/>
                <w:highlight w:val="none"/>
              </w:rPr>
            </w:pPr>
          </w:p>
        </w:tc>
      </w:tr>
      <w:tr>
        <w:tblPrEx>
          <w:tblCellMar>
            <w:top w:w="0" w:type="dxa"/>
            <w:left w:w="10" w:type="dxa"/>
            <w:bottom w:w="0" w:type="dxa"/>
            <w:right w:w="10" w:type="dxa"/>
          </w:tblCellMar>
        </w:tblPrEx>
        <w:trPr>
          <w:trHeight w:val="690" w:hRule="exact"/>
          <w:jc w:val="center"/>
        </w:trPr>
        <w:tc>
          <w:tcPr>
            <w:tcW w:w="1785" w:type="dxa"/>
            <w:vMerge w:val="restart"/>
            <w:tcBorders>
              <w:top w:val="single" w:color="auto" w:sz="4" w:space="0"/>
              <w:left w:val="single" w:color="auto" w:sz="4" w:space="0"/>
            </w:tcBorders>
            <w:shd w:val="clear" w:color="auto" w:fill="FFFFFF"/>
            <w:noWrap w:val="0"/>
            <w:vAlign w:val="center"/>
          </w:tcPr>
          <w:p>
            <w:pPr>
              <w:pStyle w:val="64"/>
              <w:spacing w:line="240" w:lineRule="auto"/>
              <w:ind w:firstLine="42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联系方式</w:t>
            </w:r>
          </w:p>
        </w:tc>
        <w:tc>
          <w:tcPr>
            <w:tcW w:w="930" w:type="dxa"/>
            <w:tcBorders>
              <w:top w:val="single" w:color="auto" w:sz="4" w:space="0"/>
              <w:left w:val="single" w:color="auto" w:sz="4" w:space="0"/>
            </w:tcBorders>
            <w:shd w:val="clear" w:color="auto" w:fill="FFFFFF"/>
            <w:noWrap w:val="0"/>
            <w:vAlign w:val="center"/>
          </w:tcPr>
          <w:p>
            <w:pPr>
              <w:pStyle w:val="64"/>
              <w:spacing w:line="240" w:lineRule="auto"/>
              <w:ind w:firstLine="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联系人</w:t>
            </w:r>
          </w:p>
        </w:tc>
        <w:tc>
          <w:tcPr>
            <w:tcW w:w="2250" w:type="dxa"/>
            <w:gridSpan w:val="2"/>
            <w:tcBorders>
              <w:top w:val="single" w:color="auto" w:sz="4" w:space="0"/>
              <w:left w:val="single" w:color="auto" w:sz="4" w:space="0"/>
            </w:tcBorders>
            <w:shd w:val="clear" w:color="auto" w:fill="FFFFFF"/>
            <w:noWrap w:val="0"/>
            <w:vAlign w:val="top"/>
          </w:tcPr>
          <w:p>
            <w:pPr>
              <w:jc w:val="center"/>
              <w:rPr>
                <w:rFonts w:hint="eastAsia" w:ascii="仿宋" w:hAnsi="仿宋" w:eastAsia="仿宋" w:cs="仿宋"/>
                <w:color w:val="auto"/>
                <w:sz w:val="24"/>
                <w:highlight w:val="none"/>
              </w:rPr>
            </w:pPr>
          </w:p>
        </w:tc>
        <w:tc>
          <w:tcPr>
            <w:tcW w:w="1455" w:type="dxa"/>
            <w:tcBorders>
              <w:top w:val="single" w:color="auto" w:sz="4" w:space="0"/>
              <w:left w:val="single" w:color="auto" w:sz="4" w:space="0"/>
            </w:tcBorders>
            <w:shd w:val="clear" w:color="auto" w:fill="FFFFFF"/>
            <w:noWrap w:val="0"/>
            <w:vAlign w:val="center"/>
          </w:tcPr>
          <w:p>
            <w:pPr>
              <w:pStyle w:val="64"/>
              <w:spacing w:line="240" w:lineRule="auto"/>
              <w:ind w:firstLine="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电话</w:t>
            </w:r>
          </w:p>
        </w:tc>
        <w:tc>
          <w:tcPr>
            <w:tcW w:w="2955" w:type="dxa"/>
            <w:gridSpan w:val="2"/>
            <w:tcBorders>
              <w:top w:val="single" w:color="auto" w:sz="4" w:space="0"/>
              <w:left w:val="single" w:color="auto" w:sz="4" w:space="0"/>
              <w:right w:val="single" w:color="auto" w:sz="4" w:space="0"/>
            </w:tcBorders>
            <w:shd w:val="clear" w:color="auto" w:fill="FFFFFF"/>
            <w:noWrap w:val="0"/>
            <w:vAlign w:val="top"/>
          </w:tcPr>
          <w:p>
            <w:pPr>
              <w:rPr>
                <w:rFonts w:hint="eastAsia" w:ascii="仿宋" w:hAnsi="仿宋" w:eastAsia="仿宋" w:cs="仿宋"/>
                <w:color w:val="auto"/>
                <w:sz w:val="24"/>
                <w:highlight w:val="none"/>
              </w:rPr>
            </w:pPr>
          </w:p>
        </w:tc>
      </w:tr>
      <w:tr>
        <w:tblPrEx>
          <w:tblCellMar>
            <w:top w:w="0" w:type="dxa"/>
            <w:left w:w="10" w:type="dxa"/>
            <w:bottom w:w="0" w:type="dxa"/>
            <w:right w:w="10" w:type="dxa"/>
          </w:tblCellMar>
        </w:tblPrEx>
        <w:trPr>
          <w:trHeight w:val="705" w:hRule="exact"/>
          <w:jc w:val="center"/>
        </w:trPr>
        <w:tc>
          <w:tcPr>
            <w:tcW w:w="1785" w:type="dxa"/>
            <w:vMerge w:val="continue"/>
            <w:tcBorders>
              <w:left w:val="single" w:color="auto" w:sz="4" w:space="0"/>
            </w:tcBorders>
            <w:shd w:val="clear" w:color="auto" w:fill="FFFFFF"/>
            <w:noWrap w:val="0"/>
            <w:vAlign w:val="center"/>
          </w:tcPr>
          <w:p>
            <w:pPr>
              <w:rPr>
                <w:rFonts w:hint="eastAsia" w:ascii="仿宋" w:hAnsi="仿宋" w:eastAsia="仿宋" w:cs="仿宋"/>
                <w:color w:val="auto"/>
                <w:sz w:val="24"/>
                <w:highlight w:val="none"/>
              </w:rPr>
            </w:pPr>
          </w:p>
        </w:tc>
        <w:tc>
          <w:tcPr>
            <w:tcW w:w="930" w:type="dxa"/>
            <w:tcBorders>
              <w:top w:val="single" w:color="auto" w:sz="4" w:space="0"/>
              <w:left w:val="single" w:color="auto" w:sz="4" w:space="0"/>
            </w:tcBorders>
            <w:shd w:val="clear" w:color="auto" w:fill="FFFFFF"/>
            <w:noWrap w:val="0"/>
            <w:vAlign w:val="center"/>
          </w:tcPr>
          <w:p>
            <w:pPr>
              <w:pStyle w:val="64"/>
              <w:spacing w:line="240" w:lineRule="auto"/>
              <w:ind w:firstLine="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传真</w:t>
            </w:r>
          </w:p>
        </w:tc>
        <w:tc>
          <w:tcPr>
            <w:tcW w:w="2250" w:type="dxa"/>
            <w:gridSpan w:val="2"/>
            <w:tcBorders>
              <w:top w:val="single" w:color="auto" w:sz="4" w:space="0"/>
              <w:left w:val="single" w:color="auto" w:sz="4" w:space="0"/>
            </w:tcBorders>
            <w:shd w:val="clear" w:color="auto" w:fill="FFFFFF"/>
            <w:noWrap w:val="0"/>
            <w:vAlign w:val="top"/>
          </w:tcPr>
          <w:p>
            <w:pPr>
              <w:jc w:val="center"/>
              <w:rPr>
                <w:rFonts w:hint="eastAsia" w:ascii="仿宋" w:hAnsi="仿宋" w:eastAsia="仿宋" w:cs="仿宋"/>
                <w:color w:val="auto"/>
                <w:sz w:val="24"/>
                <w:highlight w:val="none"/>
              </w:rPr>
            </w:pPr>
          </w:p>
        </w:tc>
        <w:tc>
          <w:tcPr>
            <w:tcW w:w="1455" w:type="dxa"/>
            <w:tcBorders>
              <w:top w:val="single" w:color="auto" w:sz="4" w:space="0"/>
              <w:left w:val="single" w:color="auto" w:sz="4" w:space="0"/>
            </w:tcBorders>
            <w:shd w:val="clear" w:color="auto" w:fill="FFFFFF"/>
            <w:noWrap w:val="0"/>
            <w:vAlign w:val="center"/>
          </w:tcPr>
          <w:p>
            <w:pPr>
              <w:pStyle w:val="64"/>
              <w:spacing w:line="240" w:lineRule="auto"/>
              <w:ind w:firstLine="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网址</w:t>
            </w:r>
          </w:p>
        </w:tc>
        <w:tc>
          <w:tcPr>
            <w:tcW w:w="2955" w:type="dxa"/>
            <w:gridSpan w:val="2"/>
            <w:tcBorders>
              <w:top w:val="single" w:color="auto" w:sz="4" w:space="0"/>
              <w:left w:val="single" w:color="auto" w:sz="4" w:space="0"/>
              <w:right w:val="single" w:color="auto" w:sz="4" w:space="0"/>
            </w:tcBorders>
            <w:shd w:val="clear" w:color="auto" w:fill="FFFFFF"/>
            <w:noWrap w:val="0"/>
            <w:vAlign w:val="top"/>
          </w:tcPr>
          <w:p>
            <w:pPr>
              <w:rPr>
                <w:rFonts w:hint="eastAsia" w:ascii="仿宋" w:hAnsi="仿宋" w:eastAsia="仿宋" w:cs="仿宋"/>
                <w:color w:val="auto"/>
                <w:sz w:val="24"/>
                <w:highlight w:val="none"/>
              </w:rPr>
            </w:pPr>
          </w:p>
        </w:tc>
      </w:tr>
      <w:tr>
        <w:tblPrEx>
          <w:tblCellMar>
            <w:top w:w="0" w:type="dxa"/>
            <w:left w:w="10" w:type="dxa"/>
            <w:bottom w:w="0" w:type="dxa"/>
            <w:right w:w="10" w:type="dxa"/>
          </w:tblCellMar>
        </w:tblPrEx>
        <w:trPr>
          <w:trHeight w:val="690" w:hRule="exact"/>
          <w:jc w:val="center"/>
        </w:trPr>
        <w:tc>
          <w:tcPr>
            <w:tcW w:w="1785" w:type="dxa"/>
            <w:tcBorders>
              <w:top w:val="single" w:color="auto" w:sz="4" w:space="0"/>
              <w:left w:val="single" w:color="auto" w:sz="4" w:space="0"/>
            </w:tcBorders>
            <w:shd w:val="clear" w:color="auto" w:fill="FFFFFF"/>
            <w:noWrap w:val="0"/>
            <w:vAlign w:val="center"/>
          </w:tcPr>
          <w:p>
            <w:pPr>
              <w:pStyle w:val="64"/>
              <w:spacing w:line="240" w:lineRule="auto"/>
              <w:ind w:firstLine="0"/>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法定代表人</w:t>
            </w:r>
          </w:p>
        </w:tc>
        <w:tc>
          <w:tcPr>
            <w:tcW w:w="930" w:type="dxa"/>
            <w:tcBorders>
              <w:top w:val="single" w:color="auto" w:sz="4" w:space="0"/>
              <w:left w:val="single" w:color="auto" w:sz="4" w:space="0"/>
            </w:tcBorders>
            <w:shd w:val="clear" w:color="auto" w:fill="FFFFFF"/>
            <w:noWrap w:val="0"/>
            <w:vAlign w:val="center"/>
          </w:tcPr>
          <w:p>
            <w:pPr>
              <w:pStyle w:val="64"/>
              <w:spacing w:line="240" w:lineRule="auto"/>
              <w:ind w:firstLine="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姓名</w:t>
            </w:r>
          </w:p>
        </w:tc>
        <w:tc>
          <w:tcPr>
            <w:tcW w:w="975" w:type="dxa"/>
            <w:tcBorders>
              <w:top w:val="single" w:color="auto" w:sz="4" w:space="0"/>
              <w:left w:val="single" w:color="auto" w:sz="4" w:space="0"/>
            </w:tcBorders>
            <w:shd w:val="clear" w:color="auto" w:fill="FFFFFF"/>
            <w:noWrap w:val="0"/>
            <w:vAlign w:val="top"/>
          </w:tcPr>
          <w:p>
            <w:pPr>
              <w:rPr>
                <w:rFonts w:hint="eastAsia" w:ascii="仿宋" w:hAnsi="仿宋" w:eastAsia="仿宋" w:cs="仿宋"/>
                <w:color w:val="auto"/>
                <w:sz w:val="24"/>
                <w:highlight w:val="none"/>
              </w:rPr>
            </w:pPr>
          </w:p>
        </w:tc>
        <w:tc>
          <w:tcPr>
            <w:tcW w:w="1275" w:type="dxa"/>
            <w:tcBorders>
              <w:top w:val="single" w:color="auto" w:sz="4" w:space="0"/>
              <w:left w:val="single" w:color="auto" w:sz="4" w:space="0"/>
            </w:tcBorders>
            <w:shd w:val="clear" w:color="auto" w:fill="FFFFFF"/>
            <w:noWrap w:val="0"/>
            <w:vAlign w:val="center"/>
          </w:tcPr>
          <w:p>
            <w:pPr>
              <w:pStyle w:val="64"/>
              <w:spacing w:line="240" w:lineRule="auto"/>
              <w:ind w:firstLine="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技术职称</w:t>
            </w:r>
          </w:p>
        </w:tc>
        <w:tc>
          <w:tcPr>
            <w:tcW w:w="1455" w:type="dxa"/>
            <w:tcBorders>
              <w:top w:val="single" w:color="auto" w:sz="4" w:space="0"/>
              <w:left w:val="single" w:color="auto" w:sz="4" w:space="0"/>
            </w:tcBorders>
            <w:shd w:val="clear" w:color="auto" w:fill="FFFFFF"/>
            <w:noWrap w:val="0"/>
            <w:vAlign w:val="center"/>
          </w:tcPr>
          <w:p>
            <w:pPr>
              <w:pStyle w:val="64"/>
              <w:spacing w:line="240" w:lineRule="auto"/>
              <w:ind w:firstLine="0"/>
              <w:jc w:val="left"/>
              <w:rPr>
                <w:rFonts w:hint="eastAsia" w:ascii="仿宋" w:hAnsi="仿宋" w:eastAsia="仿宋" w:cs="仿宋"/>
                <w:color w:val="auto"/>
                <w:sz w:val="24"/>
                <w:szCs w:val="24"/>
                <w:highlight w:val="none"/>
              </w:rPr>
            </w:pPr>
          </w:p>
        </w:tc>
        <w:tc>
          <w:tcPr>
            <w:tcW w:w="909" w:type="dxa"/>
            <w:tcBorders>
              <w:top w:val="single" w:color="auto" w:sz="4" w:space="0"/>
              <w:left w:val="single" w:color="auto" w:sz="4" w:space="0"/>
              <w:right w:val="single" w:color="auto" w:sz="4" w:space="0"/>
            </w:tcBorders>
            <w:shd w:val="clear" w:color="auto" w:fill="FFFFFF"/>
            <w:noWrap w:val="0"/>
            <w:vAlign w:val="center"/>
          </w:tcPr>
          <w:p>
            <w:pPr>
              <w:pStyle w:val="64"/>
              <w:spacing w:line="240" w:lineRule="auto"/>
              <w:ind w:firstLine="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电话</w:t>
            </w:r>
          </w:p>
        </w:tc>
        <w:tc>
          <w:tcPr>
            <w:tcW w:w="2046" w:type="dxa"/>
            <w:tcBorders>
              <w:top w:val="single" w:color="auto" w:sz="4" w:space="0"/>
              <w:left w:val="single" w:color="auto" w:sz="4" w:space="0"/>
              <w:right w:val="single" w:color="auto" w:sz="4" w:space="0"/>
            </w:tcBorders>
            <w:shd w:val="clear" w:color="auto" w:fill="FFFFFF"/>
            <w:noWrap w:val="0"/>
            <w:vAlign w:val="center"/>
          </w:tcPr>
          <w:p>
            <w:pPr>
              <w:pStyle w:val="64"/>
              <w:spacing w:line="240" w:lineRule="auto"/>
              <w:ind w:firstLine="200"/>
              <w:jc w:val="left"/>
              <w:rPr>
                <w:rFonts w:hint="eastAsia" w:ascii="仿宋" w:hAnsi="仿宋" w:eastAsia="仿宋" w:cs="仿宋"/>
                <w:color w:val="auto"/>
                <w:sz w:val="24"/>
                <w:szCs w:val="24"/>
                <w:highlight w:val="none"/>
              </w:rPr>
            </w:pPr>
          </w:p>
        </w:tc>
      </w:tr>
      <w:tr>
        <w:tblPrEx>
          <w:tblCellMar>
            <w:top w:w="0" w:type="dxa"/>
            <w:left w:w="10" w:type="dxa"/>
            <w:bottom w:w="0" w:type="dxa"/>
            <w:right w:w="10" w:type="dxa"/>
          </w:tblCellMar>
        </w:tblPrEx>
        <w:trPr>
          <w:trHeight w:val="720" w:hRule="exact"/>
          <w:jc w:val="center"/>
        </w:trPr>
        <w:tc>
          <w:tcPr>
            <w:tcW w:w="1785" w:type="dxa"/>
            <w:tcBorders>
              <w:top w:val="single" w:color="auto" w:sz="4" w:space="0"/>
              <w:left w:val="single" w:color="auto" w:sz="4" w:space="0"/>
            </w:tcBorders>
            <w:shd w:val="clear" w:color="auto" w:fill="FFFFFF"/>
            <w:noWrap w:val="0"/>
            <w:vAlign w:val="center"/>
          </w:tcPr>
          <w:p>
            <w:pPr>
              <w:pStyle w:val="64"/>
              <w:spacing w:line="240" w:lineRule="auto"/>
              <w:ind w:firstLine="42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成立时间</w:t>
            </w:r>
          </w:p>
        </w:tc>
        <w:tc>
          <w:tcPr>
            <w:tcW w:w="1905" w:type="dxa"/>
            <w:gridSpan w:val="2"/>
            <w:tcBorders>
              <w:top w:val="single" w:color="auto" w:sz="4" w:space="0"/>
              <w:left w:val="single" w:color="auto" w:sz="4" w:space="0"/>
            </w:tcBorders>
            <w:shd w:val="clear" w:color="auto" w:fill="FFFFFF"/>
            <w:noWrap w:val="0"/>
            <w:vAlign w:val="top"/>
          </w:tcPr>
          <w:p>
            <w:pPr>
              <w:rPr>
                <w:rFonts w:hint="eastAsia" w:ascii="仿宋" w:hAnsi="仿宋" w:eastAsia="仿宋" w:cs="仿宋"/>
                <w:color w:val="auto"/>
                <w:sz w:val="24"/>
                <w:highlight w:val="none"/>
              </w:rPr>
            </w:pPr>
          </w:p>
        </w:tc>
        <w:tc>
          <w:tcPr>
            <w:tcW w:w="5685" w:type="dxa"/>
            <w:gridSpan w:val="4"/>
            <w:tcBorders>
              <w:top w:val="single" w:color="auto" w:sz="4" w:space="0"/>
              <w:left w:val="single" w:color="auto" w:sz="4" w:space="0"/>
              <w:right w:val="single" w:color="auto" w:sz="4" w:space="0"/>
            </w:tcBorders>
            <w:shd w:val="clear" w:color="auto" w:fill="FFFFFF"/>
            <w:noWrap w:val="0"/>
            <w:vAlign w:val="center"/>
          </w:tcPr>
          <w:p>
            <w:pPr>
              <w:pStyle w:val="64"/>
              <w:spacing w:line="240" w:lineRule="auto"/>
              <w:ind w:firstLine="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员工总人数：</w:t>
            </w:r>
          </w:p>
        </w:tc>
      </w:tr>
      <w:tr>
        <w:tblPrEx>
          <w:tblCellMar>
            <w:top w:w="0" w:type="dxa"/>
            <w:left w:w="10" w:type="dxa"/>
            <w:bottom w:w="0" w:type="dxa"/>
            <w:right w:w="10" w:type="dxa"/>
          </w:tblCellMar>
        </w:tblPrEx>
        <w:trPr>
          <w:trHeight w:val="690" w:hRule="exact"/>
          <w:jc w:val="center"/>
        </w:trPr>
        <w:tc>
          <w:tcPr>
            <w:tcW w:w="1785" w:type="dxa"/>
            <w:tcBorders>
              <w:top w:val="single" w:color="auto" w:sz="4" w:space="0"/>
              <w:left w:val="single" w:color="auto" w:sz="4" w:space="0"/>
            </w:tcBorders>
            <w:shd w:val="clear" w:color="auto" w:fill="FFFFFF"/>
            <w:noWrap w:val="0"/>
            <w:vAlign w:val="center"/>
          </w:tcPr>
          <w:p>
            <w:pPr>
              <w:pStyle w:val="64"/>
              <w:spacing w:line="240" w:lineRule="auto"/>
              <w:ind w:firstLine="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营业执照号</w:t>
            </w:r>
          </w:p>
        </w:tc>
        <w:tc>
          <w:tcPr>
            <w:tcW w:w="1905" w:type="dxa"/>
            <w:gridSpan w:val="2"/>
            <w:tcBorders>
              <w:top w:val="single" w:color="auto" w:sz="4" w:space="0"/>
              <w:left w:val="single" w:color="auto" w:sz="4" w:space="0"/>
            </w:tcBorders>
            <w:shd w:val="clear" w:color="auto" w:fill="FFFFFF"/>
            <w:noWrap w:val="0"/>
            <w:vAlign w:val="top"/>
          </w:tcPr>
          <w:p>
            <w:pPr>
              <w:rPr>
                <w:rFonts w:hint="eastAsia" w:ascii="仿宋" w:hAnsi="仿宋" w:eastAsia="仿宋" w:cs="仿宋"/>
                <w:color w:val="auto"/>
                <w:sz w:val="24"/>
                <w:highlight w:val="none"/>
              </w:rPr>
            </w:pPr>
          </w:p>
        </w:tc>
        <w:tc>
          <w:tcPr>
            <w:tcW w:w="2730"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64"/>
              <w:spacing w:line="240" w:lineRule="auto"/>
              <w:ind w:firstLine="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高级职称人员</w:t>
            </w:r>
          </w:p>
        </w:tc>
        <w:tc>
          <w:tcPr>
            <w:tcW w:w="2955" w:type="dxa"/>
            <w:gridSpan w:val="2"/>
            <w:tcBorders>
              <w:top w:val="single" w:color="auto" w:sz="4" w:space="0"/>
              <w:left w:val="single" w:color="auto" w:sz="4" w:space="0"/>
              <w:right w:val="single" w:color="auto" w:sz="4" w:space="0"/>
            </w:tcBorders>
            <w:shd w:val="clear" w:color="auto" w:fill="FFFFFF"/>
            <w:noWrap w:val="0"/>
            <w:vAlign w:val="top"/>
          </w:tcPr>
          <w:p>
            <w:pPr>
              <w:rPr>
                <w:rFonts w:hint="eastAsia" w:ascii="仿宋" w:hAnsi="仿宋" w:eastAsia="仿宋" w:cs="仿宋"/>
                <w:color w:val="auto"/>
                <w:sz w:val="24"/>
                <w:highlight w:val="none"/>
              </w:rPr>
            </w:pPr>
          </w:p>
        </w:tc>
      </w:tr>
      <w:tr>
        <w:tblPrEx>
          <w:tblCellMar>
            <w:top w:w="0" w:type="dxa"/>
            <w:left w:w="10" w:type="dxa"/>
            <w:bottom w:w="0" w:type="dxa"/>
            <w:right w:w="10" w:type="dxa"/>
          </w:tblCellMar>
        </w:tblPrEx>
        <w:trPr>
          <w:trHeight w:val="705" w:hRule="exact"/>
          <w:jc w:val="center"/>
        </w:trPr>
        <w:tc>
          <w:tcPr>
            <w:tcW w:w="1785" w:type="dxa"/>
            <w:tcBorders>
              <w:top w:val="single" w:color="auto" w:sz="4" w:space="0"/>
              <w:left w:val="single" w:color="auto" w:sz="4" w:space="0"/>
            </w:tcBorders>
            <w:shd w:val="clear" w:color="auto" w:fill="FFFFFF"/>
            <w:noWrap w:val="0"/>
            <w:vAlign w:val="center"/>
          </w:tcPr>
          <w:p>
            <w:pPr>
              <w:pStyle w:val="64"/>
              <w:spacing w:line="240" w:lineRule="auto"/>
              <w:ind w:firstLine="42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注册资金</w:t>
            </w:r>
          </w:p>
        </w:tc>
        <w:tc>
          <w:tcPr>
            <w:tcW w:w="1905" w:type="dxa"/>
            <w:gridSpan w:val="2"/>
            <w:tcBorders>
              <w:top w:val="single" w:color="auto" w:sz="4" w:space="0"/>
              <w:left w:val="single" w:color="auto" w:sz="4" w:space="0"/>
            </w:tcBorders>
            <w:shd w:val="clear" w:color="auto" w:fill="FFFFFF"/>
            <w:noWrap w:val="0"/>
            <w:vAlign w:val="top"/>
          </w:tcPr>
          <w:p>
            <w:pPr>
              <w:rPr>
                <w:rFonts w:hint="eastAsia" w:ascii="仿宋" w:hAnsi="仿宋" w:eastAsia="仿宋" w:cs="仿宋"/>
                <w:color w:val="auto"/>
                <w:sz w:val="24"/>
                <w:highlight w:val="none"/>
              </w:rPr>
            </w:pPr>
          </w:p>
        </w:tc>
        <w:tc>
          <w:tcPr>
            <w:tcW w:w="2730"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64"/>
              <w:spacing w:line="240" w:lineRule="auto"/>
              <w:ind w:firstLine="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中级职称人员</w:t>
            </w:r>
          </w:p>
        </w:tc>
        <w:tc>
          <w:tcPr>
            <w:tcW w:w="2955" w:type="dxa"/>
            <w:gridSpan w:val="2"/>
            <w:tcBorders>
              <w:top w:val="single" w:color="auto" w:sz="4" w:space="0"/>
              <w:left w:val="single" w:color="auto" w:sz="4" w:space="0"/>
              <w:right w:val="single" w:color="auto" w:sz="4" w:space="0"/>
            </w:tcBorders>
            <w:shd w:val="clear" w:color="auto" w:fill="FFFFFF"/>
            <w:noWrap w:val="0"/>
            <w:vAlign w:val="top"/>
          </w:tcPr>
          <w:p>
            <w:pPr>
              <w:rPr>
                <w:rFonts w:hint="eastAsia" w:ascii="仿宋" w:hAnsi="仿宋" w:eastAsia="仿宋" w:cs="仿宋"/>
                <w:color w:val="auto"/>
                <w:sz w:val="24"/>
                <w:highlight w:val="none"/>
              </w:rPr>
            </w:pPr>
          </w:p>
        </w:tc>
      </w:tr>
      <w:tr>
        <w:tblPrEx>
          <w:tblCellMar>
            <w:top w:w="0" w:type="dxa"/>
            <w:left w:w="10" w:type="dxa"/>
            <w:bottom w:w="0" w:type="dxa"/>
            <w:right w:w="10" w:type="dxa"/>
          </w:tblCellMar>
        </w:tblPrEx>
        <w:trPr>
          <w:trHeight w:val="705" w:hRule="exact"/>
          <w:jc w:val="center"/>
        </w:trPr>
        <w:tc>
          <w:tcPr>
            <w:tcW w:w="1785" w:type="dxa"/>
            <w:tcBorders>
              <w:top w:val="single" w:color="auto" w:sz="4" w:space="0"/>
              <w:left w:val="single" w:color="auto" w:sz="4" w:space="0"/>
            </w:tcBorders>
            <w:shd w:val="clear" w:color="auto" w:fill="FFFFFF"/>
            <w:noWrap w:val="0"/>
            <w:vAlign w:val="center"/>
          </w:tcPr>
          <w:p>
            <w:pPr>
              <w:pStyle w:val="64"/>
              <w:spacing w:line="240" w:lineRule="auto"/>
              <w:ind w:firstLine="42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开户银行</w:t>
            </w:r>
          </w:p>
        </w:tc>
        <w:tc>
          <w:tcPr>
            <w:tcW w:w="1905" w:type="dxa"/>
            <w:gridSpan w:val="2"/>
            <w:tcBorders>
              <w:top w:val="single" w:color="auto" w:sz="4" w:space="0"/>
              <w:left w:val="single" w:color="auto" w:sz="4" w:space="0"/>
            </w:tcBorders>
            <w:shd w:val="clear" w:color="auto" w:fill="FFFFFF"/>
            <w:noWrap w:val="0"/>
            <w:vAlign w:val="top"/>
          </w:tcPr>
          <w:p>
            <w:pPr>
              <w:rPr>
                <w:rFonts w:hint="eastAsia" w:ascii="仿宋" w:hAnsi="仿宋" w:eastAsia="仿宋" w:cs="仿宋"/>
                <w:color w:val="auto"/>
                <w:sz w:val="24"/>
                <w:highlight w:val="none"/>
              </w:rPr>
            </w:pPr>
          </w:p>
        </w:tc>
        <w:tc>
          <w:tcPr>
            <w:tcW w:w="2730"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64"/>
              <w:spacing w:line="240" w:lineRule="auto"/>
              <w:ind w:firstLine="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初级职称人员</w:t>
            </w:r>
          </w:p>
        </w:tc>
        <w:tc>
          <w:tcPr>
            <w:tcW w:w="2955" w:type="dxa"/>
            <w:gridSpan w:val="2"/>
            <w:tcBorders>
              <w:top w:val="single" w:color="auto" w:sz="4" w:space="0"/>
              <w:left w:val="single" w:color="auto" w:sz="4" w:space="0"/>
              <w:right w:val="single" w:color="auto" w:sz="4" w:space="0"/>
            </w:tcBorders>
            <w:shd w:val="clear" w:color="auto" w:fill="FFFFFF"/>
            <w:noWrap w:val="0"/>
            <w:vAlign w:val="top"/>
          </w:tcPr>
          <w:p>
            <w:pPr>
              <w:rPr>
                <w:rFonts w:hint="eastAsia" w:ascii="仿宋" w:hAnsi="仿宋" w:eastAsia="仿宋" w:cs="仿宋"/>
                <w:color w:val="auto"/>
                <w:sz w:val="24"/>
                <w:highlight w:val="none"/>
              </w:rPr>
            </w:pPr>
          </w:p>
        </w:tc>
      </w:tr>
      <w:tr>
        <w:tblPrEx>
          <w:tblCellMar>
            <w:top w:w="0" w:type="dxa"/>
            <w:left w:w="10" w:type="dxa"/>
            <w:bottom w:w="0" w:type="dxa"/>
            <w:right w:w="10" w:type="dxa"/>
          </w:tblCellMar>
        </w:tblPrEx>
        <w:trPr>
          <w:trHeight w:val="705" w:hRule="exact"/>
          <w:jc w:val="center"/>
        </w:trPr>
        <w:tc>
          <w:tcPr>
            <w:tcW w:w="1785" w:type="dxa"/>
            <w:tcBorders>
              <w:top w:val="single" w:color="auto" w:sz="4" w:space="0"/>
              <w:left w:val="single" w:color="auto" w:sz="4" w:space="0"/>
            </w:tcBorders>
            <w:shd w:val="clear" w:color="auto" w:fill="FFFFFF"/>
            <w:noWrap w:val="0"/>
            <w:vAlign w:val="center"/>
          </w:tcPr>
          <w:p>
            <w:pPr>
              <w:pStyle w:val="64"/>
              <w:spacing w:line="240" w:lineRule="auto"/>
              <w:ind w:firstLine="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账号</w:t>
            </w:r>
          </w:p>
        </w:tc>
        <w:tc>
          <w:tcPr>
            <w:tcW w:w="1905" w:type="dxa"/>
            <w:gridSpan w:val="2"/>
            <w:tcBorders>
              <w:top w:val="single" w:color="auto" w:sz="4" w:space="0"/>
              <w:left w:val="single" w:color="auto" w:sz="4" w:space="0"/>
            </w:tcBorders>
            <w:shd w:val="clear" w:color="auto" w:fill="FFFFFF"/>
            <w:noWrap w:val="0"/>
            <w:vAlign w:val="top"/>
          </w:tcPr>
          <w:p>
            <w:pPr>
              <w:rPr>
                <w:rFonts w:hint="eastAsia" w:ascii="仿宋" w:hAnsi="仿宋" w:eastAsia="仿宋" w:cs="仿宋"/>
                <w:color w:val="auto"/>
                <w:sz w:val="24"/>
                <w:highlight w:val="none"/>
              </w:rPr>
            </w:pPr>
          </w:p>
        </w:tc>
        <w:tc>
          <w:tcPr>
            <w:tcW w:w="2730"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64"/>
              <w:spacing w:line="240" w:lineRule="auto"/>
              <w:ind w:firstLine="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技工</w:t>
            </w:r>
          </w:p>
        </w:tc>
        <w:tc>
          <w:tcPr>
            <w:tcW w:w="2955" w:type="dxa"/>
            <w:gridSpan w:val="2"/>
            <w:tcBorders>
              <w:top w:val="single" w:color="auto" w:sz="4" w:space="0"/>
              <w:left w:val="single" w:color="auto" w:sz="4" w:space="0"/>
              <w:right w:val="single" w:color="auto" w:sz="4" w:space="0"/>
            </w:tcBorders>
            <w:shd w:val="clear" w:color="auto" w:fill="FFFFFF"/>
            <w:noWrap w:val="0"/>
            <w:vAlign w:val="top"/>
          </w:tcPr>
          <w:p>
            <w:pPr>
              <w:rPr>
                <w:rFonts w:hint="eastAsia" w:ascii="仿宋" w:hAnsi="仿宋" w:eastAsia="仿宋" w:cs="仿宋"/>
                <w:color w:val="auto"/>
                <w:sz w:val="24"/>
                <w:highlight w:val="none"/>
              </w:rPr>
            </w:pPr>
          </w:p>
        </w:tc>
      </w:tr>
      <w:tr>
        <w:tblPrEx>
          <w:tblCellMar>
            <w:top w:w="0" w:type="dxa"/>
            <w:left w:w="10" w:type="dxa"/>
            <w:bottom w:w="0" w:type="dxa"/>
            <w:right w:w="10" w:type="dxa"/>
          </w:tblCellMar>
        </w:tblPrEx>
        <w:trPr>
          <w:trHeight w:val="1470" w:hRule="exact"/>
          <w:jc w:val="center"/>
        </w:trPr>
        <w:tc>
          <w:tcPr>
            <w:tcW w:w="1785" w:type="dxa"/>
            <w:tcBorders>
              <w:top w:val="single" w:color="auto" w:sz="4" w:space="0"/>
              <w:left w:val="single" w:color="auto" w:sz="4" w:space="0"/>
            </w:tcBorders>
            <w:shd w:val="clear" w:color="auto" w:fill="FFFFFF"/>
            <w:noWrap w:val="0"/>
            <w:vAlign w:val="center"/>
          </w:tcPr>
          <w:p>
            <w:pPr>
              <w:pStyle w:val="64"/>
              <w:spacing w:line="240" w:lineRule="auto"/>
              <w:ind w:firstLine="52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经营范围</w:t>
            </w:r>
          </w:p>
        </w:tc>
        <w:tc>
          <w:tcPr>
            <w:tcW w:w="7590" w:type="dxa"/>
            <w:gridSpan w:val="6"/>
            <w:tcBorders>
              <w:top w:val="single" w:color="auto" w:sz="4" w:space="0"/>
              <w:left w:val="single" w:color="auto" w:sz="4" w:space="0"/>
              <w:right w:val="single" w:color="auto" w:sz="4" w:space="0"/>
            </w:tcBorders>
            <w:shd w:val="clear" w:color="auto" w:fill="FFFFFF"/>
            <w:noWrap w:val="0"/>
            <w:vAlign w:val="top"/>
          </w:tcPr>
          <w:p>
            <w:pPr>
              <w:rPr>
                <w:rFonts w:hint="eastAsia" w:ascii="仿宋" w:hAnsi="仿宋" w:eastAsia="仿宋" w:cs="仿宋"/>
                <w:color w:val="auto"/>
                <w:sz w:val="24"/>
                <w:highlight w:val="none"/>
              </w:rPr>
            </w:pPr>
          </w:p>
        </w:tc>
      </w:tr>
      <w:tr>
        <w:tblPrEx>
          <w:tblCellMar>
            <w:top w:w="0" w:type="dxa"/>
            <w:left w:w="10" w:type="dxa"/>
            <w:bottom w:w="0" w:type="dxa"/>
            <w:right w:w="10" w:type="dxa"/>
          </w:tblCellMar>
        </w:tblPrEx>
        <w:trPr>
          <w:trHeight w:val="735" w:hRule="exact"/>
          <w:jc w:val="center"/>
        </w:trPr>
        <w:tc>
          <w:tcPr>
            <w:tcW w:w="1785" w:type="dxa"/>
            <w:tcBorders>
              <w:top w:val="single" w:color="auto" w:sz="4" w:space="0"/>
              <w:left w:val="single" w:color="auto" w:sz="4" w:space="0"/>
              <w:bottom w:val="single" w:color="auto" w:sz="4" w:space="0"/>
            </w:tcBorders>
            <w:shd w:val="clear" w:color="auto" w:fill="FFFFFF"/>
            <w:noWrap w:val="0"/>
            <w:vAlign w:val="center"/>
          </w:tcPr>
          <w:p>
            <w:pPr>
              <w:pStyle w:val="64"/>
              <w:spacing w:line="240" w:lineRule="auto"/>
              <w:ind w:firstLine="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tc>
        <w:tc>
          <w:tcPr>
            <w:tcW w:w="7590" w:type="dxa"/>
            <w:gridSpan w:val="6"/>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eastAsia" w:ascii="仿宋" w:hAnsi="仿宋" w:eastAsia="仿宋" w:cs="仿宋"/>
                <w:color w:val="auto"/>
                <w:sz w:val="24"/>
                <w:highlight w:val="none"/>
              </w:rPr>
            </w:pPr>
          </w:p>
        </w:tc>
      </w:tr>
    </w:tbl>
    <w:p>
      <w:pPr>
        <w:widowControl/>
        <w:jc w:val="left"/>
        <w:rPr>
          <w:rFonts w:hint="eastAsia" w:ascii="仿宋" w:hAnsi="仿宋" w:eastAsia="仿宋" w:cs="仿宋"/>
          <w:color w:val="auto"/>
          <w:sz w:val="24"/>
          <w:highlight w:val="none"/>
        </w:rPr>
      </w:pPr>
    </w:p>
    <w:p>
      <w:pPr>
        <w:widowControl/>
        <w:jc w:val="left"/>
        <w:rPr>
          <w:rFonts w:hint="eastAsia" w:ascii="仿宋" w:hAnsi="仿宋" w:eastAsia="仿宋" w:cs="仿宋"/>
          <w:color w:val="auto"/>
          <w:sz w:val="24"/>
          <w:highlight w:val="none"/>
        </w:rPr>
      </w:pPr>
    </w:p>
    <w:p>
      <w:pPr>
        <w:widowControl/>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注：本表后应附营业执照等相关材料及投标人认为还需要提供的其他资料。</w:t>
      </w:r>
    </w:p>
    <w:p>
      <w:pPr>
        <w:widowControl/>
        <w:jc w:val="left"/>
        <w:rPr>
          <w:rFonts w:hint="eastAsia" w:ascii="仿宋" w:hAnsi="仿宋" w:eastAsia="仿宋" w:cs="仿宋"/>
          <w:color w:val="auto"/>
          <w:sz w:val="24"/>
          <w:highlight w:val="none"/>
        </w:rPr>
      </w:pPr>
    </w:p>
    <w:p>
      <w:pPr>
        <w:widowControl/>
        <w:jc w:val="left"/>
        <w:rPr>
          <w:rFonts w:hint="eastAsia" w:ascii="仿宋" w:hAnsi="仿宋" w:eastAsia="仿宋" w:cs="仿宋"/>
          <w:color w:val="auto"/>
          <w:sz w:val="24"/>
          <w:highlight w:val="none"/>
        </w:rPr>
      </w:pPr>
    </w:p>
    <w:p>
      <w:pPr>
        <w:keepNext w:val="0"/>
        <w:keepLines w:val="0"/>
        <w:pageBreakBefore w:val="0"/>
        <w:widowControl/>
        <w:kinsoku/>
        <w:wordWrap/>
        <w:overflowPunct/>
        <w:topLinePunct w:val="0"/>
        <w:autoSpaceDE/>
        <w:autoSpaceDN/>
        <w:bidi w:val="0"/>
        <w:adjustRightInd/>
        <w:snapToGrid/>
        <w:ind w:firstLine="3360" w:firstLineChars="14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u w:val="single"/>
          <w:lang w:eastAsia="zh-CN"/>
        </w:rPr>
        <w:t>盖章</w:t>
      </w:r>
      <w:r>
        <w:rPr>
          <w:rFonts w:hint="eastAsia" w:ascii="仿宋" w:hAnsi="仿宋" w:eastAsia="仿宋" w:cs="仿宋"/>
          <w:color w:val="auto"/>
          <w:sz w:val="24"/>
          <w:highlight w:val="none"/>
          <w:u w:val="single"/>
        </w:rPr>
        <w:t>）</w:t>
      </w:r>
    </w:p>
    <w:p>
      <w:pPr>
        <w:keepNext w:val="0"/>
        <w:keepLines w:val="0"/>
        <w:pageBreakBefore w:val="0"/>
        <w:widowControl/>
        <w:kinsoku/>
        <w:wordWrap/>
        <w:overflowPunct/>
        <w:topLinePunct w:val="0"/>
        <w:autoSpaceDE/>
        <w:autoSpaceDN/>
        <w:bidi w:val="0"/>
        <w:adjustRightInd/>
        <w:snapToGrid/>
        <w:ind w:firstLine="3360" w:firstLineChars="1400"/>
        <w:jc w:val="left"/>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法定代表人或委托代理人：</w:t>
      </w:r>
      <w:r>
        <w:rPr>
          <w:rFonts w:hint="eastAsia" w:ascii="仿宋" w:hAnsi="仿宋" w:eastAsia="仿宋" w:cs="仿宋"/>
          <w:b/>
          <w:bCs/>
          <w:color w:val="auto"/>
          <w:sz w:val="24"/>
          <w:highlight w:val="none"/>
          <w:u w:val="single"/>
        </w:rPr>
        <w:t>（签字或盖章）</w:t>
      </w:r>
    </w:p>
    <w:p>
      <w:pPr>
        <w:keepNext w:val="0"/>
        <w:keepLines w:val="0"/>
        <w:pageBreakBefore w:val="0"/>
        <w:widowControl/>
        <w:kinsoku/>
        <w:wordWrap/>
        <w:overflowPunct/>
        <w:topLinePunct w:val="0"/>
        <w:autoSpaceDE/>
        <w:autoSpaceDN/>
        <w:bidi w:val="0"/>
        <w:adjustRightInd/>
        <w:snapToGrid/>
        <w:ind w:firstLine="3360" w:firstLineChars="1400"/>
        <w:jc w:val="left"/>
        <w:textAlignment w:val="auto"/>
        <w:rPr>
          <w:rFonts w:hint="eastAsia" w:ascii="仿宋" w:hAnsi="仿宋" w:eastAsia="仿宋" w:cs="仿宋"/>
          <w:b/>
          <w:bCs/>
          <w:color w:val="auto"/>
          <w:sz w:val="32"/>
          <w:szCs w:val="32"/>
          <w:highlight w:val="none"/>
        </w:rPr>
      </w:pPr>
      <w:r>
        <w:rPr>
          <w:rFonts w:hint="eastAsia" w:ascii="仿宋" w:hAnsi="仿宋" w:eastAsia="仿宋" w:cs="仿宋"/>
          <w:color w:val="auto"/>
          <w:sz w:val="24"/>
          <w:highlight w:val="none"/>
        </w:rPr>
        <w:t xml:space="preserve">日期：    </w:t>
      </w:r>
    </w:p>
    <w:p>
      <w:pPr>
        <w:pStyle w:val="5"/>
        <w:jc w:val="center"/>
        <w:rPr>
          <w:rFonts w:hint="eastAsia" w:ascii="仿宋" w:hAnsi="仿宋" w:eastAsia="仿宋" w:cs="仿宋"/>
          <w:color w:val="auto"/>
          <w:highlight w:val="none"/>
        </w:rPr>
      </w:pPr>
      <w:r>
        <w:rPr>
          <w:rFonts w:hint="eastAsia" w:ascii="仿宋" w:hAnsi="仿宋" w:eastAsia="仿宋" w:cs="仿宋"/>
          <w:color w:val="auto"/>
          <w:sz w:val="24"/>
          <w:szCs w:val="24"/>
          <w:highlight w:val="none"/>
        </w:rPr>
        <w:br w:type="page"/>
      </w:r>
      <w:r>
        <w:rPr>
          <w:rFonts w:hint="eastAsia" w:ascii="仿宋" w:hAnsi="仿宋" w:eastAsia="仿宋" w:cs="仿宋"/>
          <w:color w:val="auto"/>
          <w:highlight w:val="none"/>
          <w:lang w:val="en-US" w:eastAsia="zh-CN"/>
        </w:rPr>
        <w:t>3</w:t>
      </w:r>
      <w:r>
        <w:rPr>
          <w:rFonts w:hint="eastAsia" w:ascii="仿宋" w:hAnsi="仿宋" w:eastAsia="仿宋" w:cs="仿宋"/>
          <w:color w:val="auto"/>
          <w:highlight w:val="none"/>
        </w:rPr>
        <w:t>.1投标人的类似项目业绩一览表</w:t>
      </w:r>
    </w:p>
    <w:tbl>
      <w:tblPr>
        <w:tblStyle w:val="31"/>
        <w:tblpPr w:leftFromText="180" w:rightFromText="180" w:vertAnchor="text" w:horzAnchor="page" w:tblpX="1629" w:tblpY="460"/>
        <w:tblOverlap w:val="never"/>
        <w:tblW w:w="0" w:type="auto"/>
        <w:tblInd w:w="0" w:type="dxa"/>
        <w:tblLayout w:type="fixed"/>
        <w:tblCellMar>
          <w:top w:w="0" w:type="dxa"/>
          <w:left w:w="10" w:type="dxa"/>
          <w:bottom w:w="0" w:type="dxa"/>
          <w:right w:w="10" w:type="dxa"/>
        </w:tblCellMar>
      </w:tblPr>
      <w:tblGrid>
        <w:gridCol w:w="1034"/>
        <w:gridCol w:w="1756"/>
        <w:gridCol w:w="1965"/>
        <w:gridCol w:w="2430"/>
        <w:gridCol w:w="1815"/>
      </w:tblGrid>
      <w:tr>
        <w:tblPrEx>
          <w:tblCellMar>
            <w:top w:w="0" w:type="dxa"/>
            <w:left w:w="10" w:type="dxa"/>
            <w:bottom w:w="0" w:type="dxa"/>
            <w:right w:w="10" w:type="dxa"/>
          </w:tblCellMar>
        </w:tblPrEx>
        <w:trPr>
          <w:trHeight w:val="887" w:hRule="exact"/>
        </w:trPr>
        <w:tc>
          <w:tcPr>
            <w:tcW w:w="1034" w:type="dxa"/>
            <w:tcBorders>
              <w:top w:val="single" w:color="auto" w:sz="4" w:space="0"/>
              <w:left w:val="single" w:color="auto" w:sz="4" w:space="0"/>
            </w:tcBorders>
            <w:shd w:val="clear" w:color="auto" w:fill="FFFFFF"/>
            <w:noWrap w:val="0"/>
            <w:vAlign w:val="center"/>
          </w:tcPr>
          <w:p>
            <w:pPr>
              <w:pStyle w:val="64"/>
              <w:spacing w:line="240" w:lineRule="auto"/>
              <w:ind w:firstLine="0"/>
              <w:jc w:val="center"/>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序号</w:t>
            </w:r>
          </w:p>
        </w:tc>
        <w:tc>
          <w:tcPr>
            <w:tcW w:w="1756" w:type="dxa"/>
            <w:tcBorders>
              <w:top w:val="single" w:color="auto" w:sz="4" w:space="0"/>
              <w:left w:val="single" w:color="auto" w:sz="4" w:space="0"/>
            </w:tcBorders>
            <w:shd w:val="clear" w:color="auto" w:fill="FFFFFF"/>
            <w:noWrap w:val="0"/>
            <w:vAlign w:val="center"/>
          </w:tcPr>
          <w:p>
            <w:pPr>
              <w:pStyle w:val="64"/>
              <w:spacing w:line="240" w:lineRule="auto"/>
              <w:ind w:firstLine="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项目名称</w:t>
            </w:r>
          </w:p>
        </w:tc>
        <w:tc>
          <w:tcPr>
            <w:tcW w:w="1965" w:type="dxa"/>
            <w:tcBorders>
              <w:top w:val="single" w:color="auto" w:sz="4" w:space="0"/>
              <w:left w:val="single" w:color="auto" w:sz="4" w:space="0"/>
            </w:tcBorders>
            <w:shd w:val="clear" w:color="auto" w:fill="FFFFFF"/>
            <w:noWrap w:val="0"/>
            <w:vAlign w:val="center"/>
          </w:tcPr>
          <w:p>
            <w:pPr>
              <w:pStyle w:val="64"/>
              <w:spacing w:line="240" w:lineRule="auto"/>
              <w:ind w:firstLine="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项目内容</w:t>
            </w:r>
          </w:p>
        </w:tc>
        <w:tc>
          <w:tcPr>
            <w:tcW w:w="2430" w:type="dxa"/>
            <w:tcBorders>
              <w:top w:val="single" w:color="auto" w:sz="4" w:space="0"/>
              <w:left w:val="single" w:color="auto" w:sz="4" w:space="0"/>
            </w:tcBorders>
            <w:shd w:val="clear" w:color="auto" w:fill="FFFFFF"/>
            <w:noWrap w:val="0"/>
            <w:vAlign w:val="center"/>
          </w:tcPr>
          <w:p>
            <w:pPr>
              <w:pStyle w:val="64"/>
              <w:spacing w:line="240" w:lineRule="auto"/>
              <w:ind w:firstLine="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合同签订时间</w:t>
            </w:r>
          </w:p>
        </w:tc>
        <w:tc>
          <w:tcPr>
            <w:tcW w:w="1815" w:type="dxa"/>
            <w:tcBorders>
              <w:top w:val="single" w:color="auto" w:sz="4" w:space="0"/>
              <w:left w:val="single" w:color="auto" w:sz="4" w:space="0"/>
              <w:right w:val="single" w:color="auto" w:sz="4" w:space="0"/>
            </w:tcBorders>
            <w:shd w:val="clear" w:color="auto" w:fill="FFFFFF"/>
            <w:noWrap w:val="0"/>
            <w:vAlign w:val="center"/>
          </w:tcPr>
          <w:p>
            <w:pPr>
              <w:pStyle w:val="64"/>
              <w:spacing w:line="240" w:lineRule="auto"/>
              <w:ind w:firstLine="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备注</w:t>
            </w:r>
          </w:p>
        </w:tc>
      </w:tr>
      <w:tr>
        <w:tblPrEx>
          <w:tblCellMar>
            <w:top w:w="0" w:type="dxa"/>
            <w:left w:w="10" w:type="dxa"/>
            <w:bottom w:w="0" w:type="dxa"/>
            <w:right w:w="10" w:type="dxa"/>
          </w:tblCellMar>
        </w:tblPrEx>
        <w:trPr>
          <w:trHeight w:val="750" w:hRule="exact"/>
        </w:trPr>
        <w:tc>
          <w:tcPr>
            <w:tcW w:w="1034" w:type="dxa"/>
            <w:tcBorders>
              <w:top w:val="single" w:color="auto" w:sz="4" w:space="0"/>
              <w:left w:val="single" w:color="auto" w:sz="4" w:space="0"/>
            </w:tcBorders>
            <w:shd w:val="clear" w:color="auto" w:fill="FFFFFF"/>
            <w:noWrap w:val="0"/>
            <w:vAlign w:val="top"/>
          </w:tcPr>
          <w:p>
            <w:pPr>
              <w:rPr>
                <w:rFonts w:hint="eastAsia" w:ascii="仿宋" w:hAnsi="仿宋" w:eastAsia="仿宋" w:cs="仿宋"/>
                <w:color w:val="auto"/>
                <w:sz w:val="10"/>
                <w:szCs w:val="10"/>
                <w:highlight w:val="none"/>
              </w:rPr>
            </w:pPr>
          </w:p>
        </w:tc>
        <w:tc>
          <w:tcPr>
            <w:tcW w:w="1756" w:type="dxa"/>
            <w:tcBorders>
              <w:top w:val="single" w:color="auto" w:sz="4" w:space="0"/>
              <w:left w:val="single" w:color="auto" w:sz="4" w:space="0"/>
            </w:tcBorders>
            <w:shd w:val="clear" w:color="auto" w:fill="FFFFFF"/>
            <w:noWrap w:val="0"/>
            <w:vAlign w:val="top"/>
          </w:tcPr>
          <w:p>
            <w:pPr>
              <w:rPr>
                <w:rFonts w:hint="eastAsia" w:ascii="仿宋" w:hAnsi="仿宋" w:eastAsia="仿宋" w:cs="仿宋"/>
                <w:color w:val="auto"/>
                <w:sz w:val="10"/>
                <w:szCs w:val="10"/>
                <w:highlight w:val="none"/>
              </w:rPr>
            </w:pPr>
          </w:p>
        </w:tc>
        <w:tc>
          <w:tcPr>
            <w:tcW w:w="1965" w:type="dxa"/>
            <w:tcBorders>
              <w:top w:val="single" w:color="auto" w:sz="4" w:space="0"/>
              <w:left w:val="single" w:color="auto" w:sz="4" w:space="0"/>
            </w:tcBorders>
            <w:shd w:val="clear" w:color="auto" w:fill="FFFFFF"/>
            <w:noWrap w:val="0"/>
            <w:vAlign w:val="top"/>
          </w:tcPr>
          <w:p>
            <w:pPr>
              <w:rPr>
                <w:rFonts w:hint="eastAsia" w:ascii="仿宋" w:hAnsi="仿宋" w:eastAsia="仿宋" w:cs="仿宋"/>
                <w:color w:val="auto"/>
                <w:sz w:val="10"/>
                <w:szCs w:val="10"/>
                <w:highlight w:val="none"/>
              </w:rPr>
            </w:pPr>
          </w:p>
        </w:tc>
        <w:tc>
          <w:tcPr>
            <w:tcW w:w="2430" w:type="dxa"/>
            <w:tcBorders>
              <w:top w:val="single" w:color="auto" w:sz="4" w:space="0"/>
              <w:left w:val="single" w:color="auto" w:sz="4" w:space="0"/>
            </w:tcBorders>
            <w:shd w:val="clear" w:color="auto" w:fill="FFFFFF"/>
            <w:noWrap w:val="0"/>
            <w:vAlign w:val="top"/>
          </w:tcPr>
          <w:p>
            <w:pPr>
              <w:rPr>
                <w:rFonts w:hint="eastAsia" w:ascii="仿宋" w:hAnsi="仿宋" w:eastAsia="仿宋" w:cs="仿宋"/>
                <w:color w:val="auto"/>
                <w:sz w:val="10"/>
                <w:szCs w:val="10"/>
                <w:highlight w:val="none"/>
              </w:rPr>
            </w:pPr>
          </w:p>
        </w:tc>
        <w:tc>
          <w:tcPr>
            <w:tcW w:w="1815" w:type="dxa"/>
            <w:tcBorders>
              <w:top w:val="single" w:color="auto" w:sz="4" w:space="0"/>
              <w:left w:val="single" w:color="auto" w:sz="4" w:space="0"/>
              <w:right w:val="single" w:color="auto" w:sz="4" w:space="0"/>
            </w:tcBorders>
            <w:shd w:val="clear" w:color="auto" w:fill="FFFFFF"/>
            <w:noWrap w:val="0"/>
            <w:vAlign w:val="top"/>
          </w:tcPr>
          <w:p>
            <w:pPr>
              <w:rPr>
                <w:rFonts w:hint="eastAsia" w:ascii="仿宋" w:hAnsi="仿宋" w:eastAsia="仿宋" w:cs="仿宋"/>
                <w:color w:val="auto"/>
                <w:sz w:val="10"/>
                <w:szCs w:val="10"/>
                <w:highlight w:val="none"/>
              </w:rPr>
            </w:pPr>
          </w:p>
        </w:tc>
      </w:tr>
      <w:tr>
        <w:tblPrEx>
          <w:tblCellMar>
            <w:top w:w="0" w:type="dxa"/>
            <w:left w:w="10" w:type="dxa"/>
            <w:bottom w:w="0" w:type="dxa"/>
            <w:right w:w="10" w:type="dxa"/>
          </w:tblCellMar>
        </w:tblPrEx>
        <w:trPr>
          <w:trHeight w:val="765" w:hRule="exact"/>
        </w:trPr>
        <w:tc>
          <w:tcPr>
            <w:tcW w:w="1034" w:type="dxa"/>
            <w:tcBorders>
              <w:top w:val="single" w:color="auto" w:sz="4" w:space="0"/>
              <w:left w:val="single" w:color="auto" w:sz="4" w:space="0"/>
            </w:tcBorders>
            <w:shd w:val="clear" w:color="auto" w:fill="FFFFFF"/>
            <w:noWrap w:val="0"/>
            <w:vAlign w:val="top"/>
          </w:tcPr>
          <w:p>
            <w:pPr>
              <w:rPr>
                <w:rFonts w:hint="eastAsia" w:ascii="仿宋" w:hAnsi="仿宋" w:eastAsia="仿宋" w:cs="仿宋"/>
                <w:color w:val="auto"/>
                <w:sz w:val="10"/>
                <w:szCs w:val="10"/>
                <w:highlight w:val="none"/>
              </w:rPr>
            </w:pPr>
          </w:p>
        </w:tc>
        <w:tc>
          <w:tcPr>
            <w:tcW w:w="1756" w:type="dxa"/>
            <w:tcBorders>
              <w:top w:val="single" w:color="auto" w:sz="4" w:space="0"/>
              <w:left w:val="single" w:color="auto" w:sz="4" w:space="0"/>
            </w:tcBorders>
            <w:shd w:val="clear" w:color="auto" w:fill="FFFFFF"/>
            <w:noWrap w:val="0"/>
            <w:vAlign w:val="top"/>
          </w:tcPr>
          <w:p>
            <w:pPr>
              <w:rPr>
                <w:rFonts w:hint="eastAsia" w:ascii="仿宋" w:hAnsi="仿宋" w:eastAsia="仿宋" w:cs="仿宋"/>
                <w:color w:val="auto"/>
                <w:sz w:val="10"/>
                <w:szCs w:val="10"/>
                <w:highlight w:val="none"/>
              </w:rPr>
            </w:pPr>
          </w:p>
        </w:tc>
        <w:tc>
          <w:tcPr>
            <w:tcW w:w="1965" w:type="dxa"/>
            <w:tcBorders>
              <w:top w:val="single" w:color="auto" w:sz="4" w:space="0"/>
              <w:left w:val="single" w:color="auto" w:sz="4" w:space="0"/>
            </w:tcBorders>
            <w:shd w:val="clear" w:color="auto" w:fill="FFFFFF"/>
            <w:noWrap w:val="0"/>
            <w:vAlign w:val="top"/>
          </w:tcPr>
          <w:p>
            <w:pPr>
              <w:rPr>
                <w:rFonts w:hint="eastAsia" w:ascii="仿宋" w:hAnsi="仿宋" w:eastAsia="仿宋" w:cs="仿宋"/>
                <w:color w:val="auto"/>
                <w:sz w:val="10"/>
                <w:szCs w:val="10"/>
                <w:highlight w:val="none"/>
              </w:rPr>
            </w:pPr>
          </w:p>
        </w:tc>
        <w:tc>
          <w:tcPr>
            <w:tcW w:w="2430" w:type="dxa"/>
            <w:tcBorders>
              <w:top w:val="single" w:color="auto" w:sz="4" w:space="0"/>
              <w:left w:val="single" w:color="auto" w:sz="4" w:space="0"/>
            </w:tcBorders>
            <w:shd w:val="clear" w:color="auto" w:fill="FFFFFF"/>
            <w:noWrap w:val="0"/>
            <w:vAlign w:val="top"/>
          </w:tcPr>
          <w:p>
            <w:pPr>
              <w:rPr>
                <w:rFonts w:hint="eastAsia" w:ascii="仿宋" w:hAnsi="仿宋" w:eastAsia="仿宋" w:cs="仿宋"/>
                <w:color w:val="auto"/>
                <w:sz w:val="10"/>
                <w:szCs w:val="10"/>
                <w:highlight w:val="none"/>
              </w:rPr>
            </w:pPr>
          </w:p>
        </w:tc>
        <w:tc>
          <w:tcPr>
            <w:tcW w:w="1815" w:type="dxa"/>
            <w:tcBorders>
              <w:top w:val="single" w:color="auto" w:sz="4" w:space="0"/>
              <w:left w:val="single" w:color="auto" w:sz="4" w:space="0"/>
              <w:right w:val="single" w:color="auto" w:sz="4" w:space="0"/>
            </w:tcBorders>
            <w:shd w:val="clear" w:color="auto" w:fill="FFFFFF"/>
            <w:noWrap w:val="0"/>
            <w:vAlign w:val="top"/>
          </w:tcPr>
          <w:p>
            <w:pPr>
              <w:rPr>
                <w:rFonts w:hint="eastAsia" w:ascii="仿宋" w:hAnsi="仿宋" w:eastAsia="仿宋" w:cs="仿宋"/>
                <w:color w:val="auto"/>
                <w:sz w:val="10"/>
                <w:szCs w:val="10"/>
                <w:highlight w:val="none"/>
              </w:rPr>
            </w:pPr>
          </w:p>
        </w:tc>
      </w:tr>
      <w:tr>
        <w:tblPrEx>
          <w:tblCellMar>
            <w:top w:w="0" w:type="dxa"/>
            <w:left w:w="10" w:type="dxa"/>
            <w:bottom w:w="0" w:type="dxa"/>
            <w:right w:w="10" w:type="dxa"/>
          </w:tblCellMar>
        </w:tblPrEx>
        <w:trPr>
          <w:trHeight w:val="780" w:hRule="exact"/>
        </w:trPr>
        <w:tc>
          <w:tcPr>
            <w:tcW w:w="1034" w:type="dxa"/>
            <w:tcBorders>
              <w:top w:val="single" w:color="auto" w:sz="4" w:space="0"/>
              <w:left w:val="single" w:color="auto" w:sz="4" w:space="0"/>
            </w:tcBorders>
            <w:shd w:val="clear" w:color="auto" w:fill="FFFFFF"/>
            <w:noWrap w:val="0"/>
            <w:vAlign w:val="top"/>
          </w:tcPr>
          <w:p>
            <w:pPr>
              <w:rPr>
                <w:rFonts w:hint="eastAsia" w:ascii="仿宋" w:hAnsi="仿宋" w:eastAsia="仿宋" w:cs="仿宋"/>
                <w:color w:val="auto"/>
                <w:sz w:val="10"/>
                <w:szCs w:val="10"/>
                <w:highlight w:val="none"/>
              </w:rPr>
            </w:pPr>
          </w:p>
        </w:tc>
        <w:tc>
          <w:tcPr>
            <w:tcW w:w="1756" w:type="dxa"/>
            <w:tcBorders>
              <w:top w:val="single" w:color="auto" w:sz="4" w:space="0"/>
              <w:left w:val="single" w:color="auto" w:sz="4" w:space="0"/>
            </w:tcBorders>
            <w:shd w:val="clear" w:color="auto" w:fill="FFFFFF"/>
            <w:noWrap w:val="0"/>
            <w:vAlign w:val="top"/>
          </w:tcPr>
          <w:p>
            <w:pPr>
              <w:rPr>
                <w:rFonts w:hint="eastAsia" w:ascii="仿宋" w:hAnsi="仿宋" w:eastAsia="仿宋" w:cs="仿宋"/>
                <w:color w:val="auto"/>
                <w:sz w:val="10"/>
                <w:szCs w:val="10"/>
                <w:highlight w:val="none"/>
              </w:rPr>
            </w:pPr>
          </w:p>
        </w:tc>
        <w:tc>
          <w:tcPr>
            <w:tcW w:w="1965" w:type="dxa"/>
            <w:tcBorders>
              <w:top w:val="single" w:color="auto" w:sz="4" w:space="0"/>
              <w:left w:val="single" w:color="auto" w:sz="4" w:space="0"/>
            </w:tcBorders>
            <w:shd w:val="clear" w:color="auto" w:fill="FFFFFF"/>
            <w:noWrap w:val="0"/>
            <w:vAlign w:val="top"/>
          </w:tcPr>
          <w:p>
            <w:pPr>
              <w:rPr>
                <w:rFonts w:hint="eastAsia" w:ascii="仿宋" w:hAnsi="仿宋" w:eastAsia="仿宋" w:cs="仿宋"/>
                <w:color w:val="auto"/>
                <w:sz w:val="10"/>
                <w:szCs w:val="10"/>
                <w:highlight w:val="none"/>
              </w:rPr>
            </w:pPr>
          </w:p>
        </w:tc>
        <w:tc>
          <w:tcPr>
            <w:tcW w:w="2430" w:type="dxa"/>
            <w:tcBorders>
              <w:top w:val="single" w:color="auto" w:sz="4" w:space="0"/>
              <w:left w:val="single" w:color="auto" w:sz="4" w:space="0"/>
            </w:tcBorders>
            <w:shd w:val="clear" w:color="auto" w:fill="FFFFFF"/>
            <w:noWrap w:val="0"/>
            <w:vAlign w:val="top"/>
          </w:tcPr>
          <w:p>
            <w:pPr>
              <w:rPr>
                <w:rFonts w:hint="eastAsia" w:ascii="仿宋" w:hAnsi="仿宋" w:eastAsia="仿宋" w:cs="仿宋"/>
                <w:color w:val="auto"/>
                <w:sz w:val="10"/>
                <w:szCs w:val="10"/>
                <w:highlight w:val="none"/>
              </w:rPr>
            </w:pPr>
          </w:p>
        </w:tc>
        <w:tc>
          <w:tcPr>
            <w:tcW w:w="1815" w:type="dxa"/>
            <w:tcBorders>
              <w:top w:val="single" w:color="auto" w:sz="4" w:space="0"/>
              <w:left w:val="single" w:color="auto" w:sz="4" w:space="0"/>
              <w:right w:val="single" w:color="auto" w:sz="4" w:space="0"/>
            </w:tcBorders>
            <w:shd w:val="clear" w:color="auto" w:fill="FFFFFF"/>
            <w:noWrap w:val="0"/>
            <w:vAlign w:val="top"/>
          </w:tcPr>
          <w:p>
            <w:pPr>
              <w:rPr>
                <w:rFonts w:hint="eastAsia" w:ascii="仿宋" w:hAnsi="仿宋" w:eastAsia="仿宋" w:cs="仿宋"/>
                <w:color w:val="auto"/>
                <w:sz w:val="10"/>
                <w:szCs w:val="10"/>
                <w:highlight w:val="none"/>
              </w:rPr>
            </w:pPr>
          </w:p>
        </w:tc>
      </w:tr>
      <w:tr>
        <w:tblPrEx>
          <w:tblCellMar>
            <w:top w:w="0" w:type="dxa"/>
            <w:left w:w="10" w:type="dxa"/>
            <w:bottom w:w="0" w:type="dxa"/>
            <w:right w:w="10" w:type="dxa"/>
          </w:tblCellMar>
        </w:tblPrEx>
        <w:trPr>
          <w:trHeight w:val="750" w:hRule="exact"/>
        </w:trPr>
        <w:tc>
          <w:tcPr>
            <w:tcW w:w="1034" w:type="dxa"/>
            <w:tcBorders>
              <w:top w:val="single" w:color="auto" w:sz="4" w:space="0"/>
              <w:left w:val="single" w:color="auto" w:sz="4" w:space="0"/>
            </w:tcBorders>
            <w:shd w:val="clear" w:color="auto" w:fill="FFFFFF"/>
            <w:noWrap w:val="0"/>
            <w:vAlign w:val="top"/>
          </w:tcPr>
          <w:p>
            <w:pPr>
              <w:rPr>
                <w:rFonts w:hint="eastAsia" w:ascii="仿宋" w:hAnsi="仿宋" w:eastAsia="仿宋" w:cs="仿宋"/>
                <w:color w:val="auto"/>
                <w:sz w:val="10"/>
                <w:szCs w:val="10"/>
                <w:highlight w:val="none"/>
              </w:rPr>
            </w:pPr>
          </w:p>
        </w:tc>
        <w:tc>
          <w:tcPr>
            <w:tcW w:w="1756" w:type="dxa"/>
            <w:tcBorders>
              <w:top w:val="single" w:color="auto" w:sz="4" w:space="0"/>
              <w:left w:val="single" w:color="auto" w:sz="4" w:space="0"/>
            </w:tcBorders>
            <w:shd w:val="clear" w:color="auto" w:fill="FFFFFF"/>
            <w:noWrap w:val="0"/>
            <w:vAlign w:val="top"/>
          </w:tcPr>
          <w:p>
            <w:pPr>
              <w:rPr>
                <w:rFonts w:hint="eastAsia" w:ascii="仿宋" w:hAnsi="仿宋" w:eastAsia="仿宋" w:cs="仿宋"/>
                <w:color w:val="auto"/>
                <w:sz w:val="10"/>
                <w:szCs w:val="10"/>
                <w:highlight w:val="none"/>
              </w:rPr>
            </w:pPr>
          </w:p>
        </w:tc>
        <w:tc>
          <w:tcPr>
            <w:tcW w:w="1965" w:type="dxa"/>
            <w:tcBorders>
              <w:top w:val="single" w:color="auto" w:sz="4" w:space="0"/>
              <w:left w:val="single" w:color="auto" w:sz="4" w:space="0"/>
            </w:tcBorders>
            <w:shd w:val="clear" w:color="auto" w:fill="FFFFFF"/>
            <w:noWrap w:val="0"/>
            <w:vAlign w:val="top"/>
          </w:tcPr>
          <w:p>
            <w:pPr>
              <w:rPr>
                <w:rFonts w:hint="eastAsia" w:ascii="仿宋" w:hAnsi="仿宋" w:eastAsia="仿宋" w:cs="仿宋"/>
                <w:color w:val="auto"/>
                <w:sz w:val="10"/>
                <w:szCs w:val="10"/>
                <w:highlight w:val="none"/>
              </w:rPr>
            </w:pPr>
          </w:p>
        </w:tc>
        <w:tc>
          <w:tcPr>
            <w:tcW w:w="2430" w:type="dxa"/>
            <w:tcBorders>
              <w:top w:val="single" w:color="auto" w:sz="4" w:space="0"/>
              <w:left w:val="single" w:color="auto" w:sz="4" w:space="0"/>
            </w:tcBorders>
            <w:shd w:val="clear" w:color="auto" w:fill="FFFFFF"/>
            <w:noWrap w:val="0"/>
            <w:vAlign w:val="top"/>
          </w:tcPr>
          <w:p>
            <w:pPr>
              <w:rPr>
                <w:rFonts w:hint="eastAsia" w:ascii="仿宋" w:hAnsi="仿宋" w:eastAsia="仿宋" w:cs="仿宋"/>
                <w:color w:val="auto"/>
                <w:sz w:val="10"/>
                <w:szCs w:val="10"/>
                <w:highlight w:val="none"/>
              </w:rPr>
            </w:pPr>
          </w:p>
        </w:tc>
        <w:tc>
          <w:tcPr>
            <w:tcW w:w="1815" w:type="dxa"/>
            <w:tcBorders>
              <w:top w:val="single" w:color="auto" w:sz="4" w:space="0"/>
              <w:left w:val="single" w:color="auto" w:sz="4" w:space="0"/>
              <w:right w:val="single" w:color="auto" w:sz="4" w:space="0"/>
            </w:tcBorders>
            <w:shd w:val="clear" w:color="auto" w:fill="FFFFFF"/>
            <w:noWrap w:val="0"/>
            <w:vAlign w:val="top"/>
          </w:tcPr>
          <w:p>
            <w:pPr>
              <w:rPr>
                <w:rFonts w:hint="eastAsia" w:ascii="仿宋" w:hAnsi="仿宋" w:eastAsia="仿宋" w:cs="仿宋"/>
                <w:color w:val="auto"/>
                <w:sz w:val="10"/>
                <w:szCs w:val="10"/>
                <w:highlight w:val="none"/>
              </w:rPr>
            </w:pPr>
          </w:p>
        </w:tc>
      </w:tr>
      <w:tr>
        <w:tblPrEx>
          <w:tblCellMar>
            <w:top w:w="0" w:type="dxa"/>
            <w:left w:w="10" w:type="dxa"/>
            <w:bottom w:w="0" w:type="dxa"/>
            <w:right w:w="10" w:type="dxa"/>
          </w:tblCellMar>
        </w:tblPrEx>
        <w:trPr>
          <w:trHeight w:val="765" w:hRule="exact"/>
        </w:trPr>
        <w:tc>
          <w:tcPr>
            <w:tcW w:w="1034" w:type="dxa"/>
            <w:tcBorders>
              <w:top w:val="single" w:color="auto" w:sz="4" w:space="0"/>
              <w:left w:val="single" w:color="auto" w:sz="4" w:space="0"/>
            </w:tcBorders>
            <w:shd w:val="clear" w:color="auto" w:fill="FFFFFF"/>
            <w:noWrap w:val="0"/>
            <w:vAlign w:val="top"/>
          </w:tcPr>
          <w:p>
            <w:pPr>
              <w:rPr>
                <w:rFonts w:hint="eastAsia" w:ascii="仿宋" w:hAnsi="仿宋" w:eastAsia="仿宋" w:cs="仿宋"/>
                <w:color w:val="auto"/>
                <w:sz w:val="10"/>
                <w:szCs w:val="10"/>
                <w:highlight w:val="none"/>
              </w:rPr>
            </w:pPr>
          </w:p>
        </w:tc>
        <w:tc>
          <w:tcPr>
            <w:tcW w:w="1756" w:type="dxa"/>
            <w:tcBorders>
              <w:top w:val="single" w:color="auto" w:sz="4" w:space="0"/>
              <w:left w:val="single" w:color="auto" w:sz="4" w:space="0"/>
            </w:tcBorders>
            <w:shd w:val="clear" w:color="auto" w:fill="FFFFFF"/>
            <w:noWrap w:val="0"/>
            <w:vAlign w:val="top"/>
          </w:tcPr>
          <w:p>
            <w:pPr>
              <w:rPr>
                <w:rFonts w:hint="eastAsia" w:ascii="仿宋" w:hAnsi="仿宋" w:eastAsia="仿宋" w:cs="仿宋"/>
                <w:color w:val="auto"/>
                <w:sz w:val="10"/>
                <w:szCs w:val="10"/>
                <w:highlight w:val="none"/>
              </w:rPr>
            </w:pPr>
          </w:p>
        </w:tc>
        <w:tc>
          <w:tcPr>
            <w:tcW w:w="1965" w:type="dxa"/>
            <w:tcBorders>
              <w:top w:val="single" w:color="auto" w:sz="4" w:space="0"/>
              <w:left w:val="single" w:color="auto" w:sz="4" w:space="0"/>
            </w:tcBorders>
            <w:shd w:val="clear" w:color="auto" w:fill="FFFFFF"/>
            <w:noWrap w:val="0"/>
            <w:vAlign w:val="top"/>
          </w:tcPr>
          <w:p>
            <w:pPr>
              <w:rPr>
                <w:rFonts w:hint="eastAsia" w:ascii="仿宋" w:hAnsi="仿宋" w:eastAsia="仿宋" w:cs="仿宋"/>
                <w:color w:val="auto"/>
                <w:sz w:val="10"/>
                <w:szCs w:val="10"/>
                <w:highlight w:val="none"/>
              </w:rPr>
            </w:pPr>
          </w:p>
        </w:tc>
        <w:tc>
          <w:tcPr>
            <w:tcW w:w="2430" w:type="dxa"/>
            <w:tcBorders>
              <w:top w:val="single" w:color="auto" w:sz="4" w:space="0"/>
              <w:left w:val="single" w:color="auto" w:sz="4" w:space="0"/>
            </w:tcBorders>
            <w:shd w:val="clear" w:color="auto" w:fill="FFFFFF"/>
            <w:noWrap w:val="0"/>
            <w:vAlign w:val="top"/>
          </w:tcPr>
          <w:p>
            <w:pPr>
              <w:rPr>
                <w:rFonts w:hint="eastAsia" w:ascii="仿宋" w:hAnsi="仿宋" w:eastAsia="仿宋" w:cs="仿宋"/>
                <w:color w:val="auto"/>
                <w:sz w:val="10"/>
                <w:szCs w:val="10"/>
                <w:highlight w:val="none"/>
              </w:rPr>
            </w:pPr>
          </w:p>
        </w:tc>
        <w:tc>
          <w:tcPr>
            <w:tcW w:w="1815" w:type="dxa"/>
            <w:tcBorders>
              <w:top w:val="single" w:color="auto" w:sz="4" w:space="0"/>
              <w:left w:val="single" w:color="auto" w:sz="4" w:space="0"/>
              <w:right w:val="single" w:color="auto" w:sz="4" w:space="0"/>
            </w:tcBorders>
            <w:shd w:val="clear" w:color="auto" w:fill="FFFFFF"/>
            <w:noWrap w:val="0"/>
            <w:vAlign w:val="top"/>
          </w:tcPr>
          <w:p>
            <w:pPr>
              <w:rPr>
                <w:rFonts w:hint="eastAsia" w:ascii="仿宋" w:hAnsi="仿宋" w:eastAsia="仿宋" w:cs="仿宋"/>
                <w:color w:val="auto"/>
                <w:sz w:val="10"/>
                <w:szCs w:val="10"/>
                <w:highlight w:val="none"/>
              </w:rPr>
            </w:pPr>
          </w:p>
        </w:tc>
      </w:tr>
      <w:tr>
        <w:tblPrEx>
          <w:tblCellMar>
            <w:top w:w="0" w:type="dxa"/>
            <w:left w:w="10" w:type="dxa"/>
            <w:bottom w:w="0" w:type="dxa"/>
            <w:right w:w="10" w:type="dxa"/>
          </w:tblCellMar>
        </w:tblPrEx>
        <w:trPr>
          <w:trHeight w:val="780" w:hRule="exact"/>
        </w:trPr>
        <w:tc>
          <w:tcPr>
            <w:tcW w:w="1034" w:type="dxa"/>
            <w:tcBorders>
              <w:top w:val="single" w:color="auto" w:sz="4" w:space="0"/>
              <w:left w:val="single" w:color="auto" w:sz="4" w:space="0"/>
            </w:tcBorders>
            <w:shd w:val="clear" w:color="auto" w:fill="FFFFFF"/>
            <w:noWrap w:val="0"/>
            <w:vAlign w:val="top"/>
          </w:tcPr>
          <w:p>
            <w:pPr>
              <w:rPr>
                <w:rFonts w:hint="eastAsia" w:ascii="仿宋" w:hAnsi="仿宋" w:eastAsia="仿宋" w:cs="仿宋"/>
                <w:color w:val="auto"/>
                <w:sz w:val="10"/>
                <w:szCs w:val="10"/>
                <w:highlight w:val="none"/>
              </w:rPr>
            </w:pPr>
          </w:p>
        </w:tc>
        <w:tc>
          <w:tcPr>
            <w:tcW w:w="1756" w:type="dxa"/>
            <w:tcBorders>
              <w:top w:val="single" w:color="auto" w:sz="4" w:space="0"/>
              <w:left w:val="single" w:color="auto" w:sz="4" w:space="0"/>
            </w:tcBorders>
            <w:shd w:val="clear" w:color="auto" w:fill="FFFFFF"/>
            <w:noWrap w:val="0"/>
            <w:vAlign w:val="top"/>
          </w:tcPr>
          <w:p>
            <w:pPr>
              <w:rPr>
                <w:rFonts w:hint="eastAsia" w:ascii="仿宋" w:hAnsi="仿宋" w:eastAsia="仿宋" w:cs="仿宋"/>
                <w:color w:val="auto"/>
                <w:sz w:val="10"/>
                <w:szCs w:val="10"/>
                <w:highlight w:val="none"/>
              </w:rPr>
            </w:pPr>
          </w:p>
        </w:tc>
        <w:tc>
          <w:tcPr>
            <w:tcW w:w="1965" w:type="dxa"/>
            <w:tcBorders>
              <w:top w:val="single" w:color="auto" w:sz="4" w:space="0"/>
              <w:left w:val="single" w:color="auto" w:sz="4" w:space="0"/>
            </w:tcBorders>
            <w:shd w:val="clear" w:color="auto" w:fill="FFFFFF"/>
            <w:noWrap w:val="0"/>
            <w:vAlign w:val="top"/>
          </w:tcPr>
          <w:p>
            <w:pPr>
              <w:rPr>
                <w:rFonts w:hint="eastAsia" w:ascii="仿宋" w:hAnsi="仿宋" w:eastAsia="仿宋" w:cs="仿宋"/>
                <w:color w:val="auto"/>
                <w:sz w:val="10"/>
                <w:szCs w:val="10"/>
                <w:highlight w:val="none"/>
              </w:rPr>
            </w:pPr>
          </w:p>
        </w:tc>
        <w:tc>
          <w:tcPr>
            <w:tcW w:w="2430" w:type="dxa"/>
            <w:tcBorders>
              <w:top w:val="single" w:color="auto" w:sz="4" w:space="0"/>
              <w:left w:val="single" w:color="auto" w:sz="4" w:space="0"/>
            </w:tcBorders>
            <w:shd w:val="clear" w:color="auto" w:fill="FFFFFF"/>
            <w:noWrap w:val="0"/>
            <w:vAlign w:val="top"/>
          </w:tcPr>
          <w:p>
            <w:pPr>
              <w:rPr>
                <w:rFonts w:hint="eastAsia" w:ascii="仿宋" w:hAnsi="仿宋" w:eastAsia="仿宋" w:cs="仿宋"/>
                <w:color w:val="auto"/>
                <w:sz w:val="10"/>
                <w:szCs w:val="10"/>
                <w:highlight w:val="none"/>
              </w:rPr>
            </w:pPr>
          </w:p>
        </w:tc>
        <w:tc>
          <w:tcPr>
            <w:tcW w:w="1815" w:type="dxa"/>
            <w:tcBorders>
              <w:top w:val="single" w:color="auto" w:sz="4" w:space="0"/>
              <w:left w:val="single" w:color="auto" w:sz="4" w:space="0"/>
              <w:right w:val="single" w:color="auto" w:sz="4" w:space="0"/>
            </w:tcBorders>
            <w:shd w:val="clear" w:color="auto" w:fill="FFFFFF"/>
            <w:noWrap w:val="0"/>
            <w:vAlign w:val="top"/>
          </w:tcPr>
          <w:p>
            <w:pPr>
              <w:rPr>
                <w:rFonts w:hint="eastAsia" w:ascii="仿宋" w:hAnsi="仿宋" w:eastAsia="仿宋" w:cs="仿宋"/>
                <w:color w:val="auto"/>
                <w:sz w:val="10"/>
                <w:szCs w:val="10"/>
                <w:highlight w:val="none"/>
              </w:rPr>
            </w:pPr>
          </w:p>
        </w:tc>
      </w:tr>
      <w:tr>
        <w:tblPrEx>
          <w:tblCellMar>
            <w:top w:w="0" w:type="dxa"/>
            <w:left w:w="10" w:type="dxa"/>
            <w:bottom w:w="0" w:type="dxa"/>
            <w:right w:w="10" w:type="dxa"/>
          </w:tblCellMar>
        </w:tblPrEx>
        <w:trPr>
          <w:trHeight w:val="765" w:hRule="exact"/>
        </w:trPr>
        <w:tc>
          <w:tcPr>
            <w:tcW w:w="1034" w:type="dxa"/>
            <w:tcBorders>
              <w:top w:val="single" w:color="auto" w:sz="4" w:space="0"/>
              <w:left w:val="single" w:color="auto" w:sz="4" w:space="0"/>
            </w:tcBorders>
            <w:shd w:val="clear" w:color="auto" w:fill="FFFFFF"/>
            <w:noWrap w:val="0"/>
            <w:vAlign w:val="top"/>
          </w:tcPr>
          <w:p>
            <w:pPr>
              <w:rPr>
                <w:rFonts w:hint="eastAsia" w:ascii="仿宋" w:hAnsi="仿宋" w:eastAsia="仿宋" w:cs="仿宋"/>
                <w:color w:val="auto"/>
                <w:sz w:val="10"/>
                <w:szCs w:val="10"/>
                <w:highlight w:val="none"/>
              </w:rPr>
            </w:pPr>
          </w:p>
        </w:tc>
        <w:tc>
          <w:tcPr>
            <w:tcW w:w="1756" w:type="dxa"/>
            <w:tcBorders>
              <w:top w:val="single" w:color="auto" w:sz="4" w:space="0"/>
              <w:left w:val="single" w:color="auto" w:sz="4" w:space="0"/>
            </w:tcBorders>
            <w:shd w:val="clear" w:color="auto" w:fill="FFFFFF"/>
            <w:noWrap w:val="0"/>
            <w:vAlign w:val="top"/>
          </w:tcPr>
          <w:p>
            <w:pPr>
              <w:rPr>
                <w:rFonts w:hint="eastAsia" w:ascii="仿宋" w:hAnsi="仿宋" w:eastAsia="仿宋" w:cs="仿宋"/>
                <w:color w:val="auto"/>
                <w:sz w:val="10"/>
                <w:szCs w:val="10"/>
                <w:highlight w:val="none"/>
              </w:rPr>
            </w:pPr>
          </w:p>
        </w:tc>
        <w:tc>
          <w:tcPr>
            <w:tcW w:w="1965" w:type="dxa"/>
            <w:tcBorders>
              <w:top w:val="single" w:color="auto" w:sz="4" w:space="0"/>
              <w:left w:val="single" w:color="auto" w:sz="4" w:space="0"/>
            </w:tcBorders>
            <w:shd w:val="clear" w:color="auto" w:fill="FFFFFF"/>
            <w:noWrap w:val="0"/>
            <w:vAlign w:val="top"/>
          </w:tcPr>
          <w:p>
            <w:pPr>
              <w:rPr>
                <w:rFonts w:hint="eastAsia" w:ascii="仿宋" w:hAnsi="仿宋" w:eastAsia="仿宋" w:cs="仿宋"/>
                <w:color w:val="auto"/>
                <w:sz w:val="10"/>
                <w:szCs w:val="10"/>
                <w:highlight w:val="none"/>
              </w:rPr>
            </w:pPr>
          </w:p>
        </w:tc>
        <w:tc>
          <w:tcPr>
            <w:tcW w:w="2430" w:type="dxa"/>
            <w:tcBorders>
              <w:top w:val="single" w:color="auto" w:sz="4" w:space="0"/>
              <w:left w:val="single" w:color="auto" w:sz="4" w:space="0"/>
            </w:tcBorders>
            <w:shd w:val="clear" w:color="auto" w:fill="FFFFFF"/>
            <w:noWrap w:val="0"/>
            <w:vAlign w:val="top"/>
          </w:tcPr>
          <w:p>
            <w:pPr>
              <w:rPr>
                <w:rFonts w:hint="eastAsia" w:ascii="仿宋" w:hAnsi="仿宋" w:eastAsia="仿宋" w:cs="仿宋"/>
                <w:color w:val="auto"/>
                <w:sz w:val="10"/>
                <w:szCs w:val="10"/>
                <w:highlight w:val="none"/>
              </w:rPr>
            </w:pPr>
          </w:p>
        </w:tc>
        <w:tc>
          <w:tcPr>
            <w:tcW w:w="1815" w:type="dxa"/>
            <w:tcBorders>
              <w:top w:val="single" w:color="auto" w:sz="4" w:space="0"/>
              <w:left w:val="single" w:color="auto" w:sz="4" w:space="0"/>
              <w:right w:val="single" w:color="auto" w:sz="4" w:space="0"/>
            </w:tcBorders>
            <w:shd w:val="clear" w:color="auto" w:fill="FFFFFF"/>
            <w:noWrap w:val="0"/>
            <w:vAlign w:val="top"/>
          </w:tcPr>
          <w:p>
            <w:pPr>
              <w:rPr>
                <w:rFonts w:hint="eastAsia" w:ascii="仿宋" w:hAnsi="仿宋" w:eastAsia="仿宋" w:cs="仿宋"/>
                <w:color w:val="auto"/>
                <w:sz w:val="10"/>
                <w:szCs w:val="10"/>
                <w:highlight w:val="none"/>
              </w:rPr>
            </w:pPr>
          </w:p>
        </w:tc>
      </w:tr>
      <w:tr>
        <w:tblPrEx>
          <w:tblCellMar>
            <w:top w:w="0" w:type="dxa"/>
            <w:left w:w="10" w:type="dxa"/>
            <w:bottom w:w="0" w:type="dxa"/>
            <w:right w:w="10" w:type="dxa"/>
          </w:tblCellMar>
        </w:tblPrEx>
        <w:trPr>
          <w:trHeight w:val="780" w:hRule="exact"/>
        </w:trPr>
        <w:tc>
          <w:tcPr>
            <w:tcW w:w="1034" w:type="dxa"/>
            <w:tcBorders>
              <w:top w:val="single" w:color="auto" w:sz="4" w:space="0"/>
              <w:left w:val="single" w:color="auto" w:sz="4" w:space="0"/>
            </w:tcBorders>
            <w:shd w:val="clear" w:color="auto" w:fill="FFFFFF"/>
            <w:noWrap w:val="0"/>
            <w:vAlign w:val="top"/>
          </w:tcPr>
          <w:p>
            <w:pPr>
              <w:rPr>
                <w:rFonts w:hint="eastAsia" w:ascii="仿宋" w:hAnsi="仿宋" w:eastAsia="仿宋" w:cs="仿宋"/>
                <w:color w:val="auto"/>
                <w:sz w:val="10"/>
                <w:szCs w:val="10"/>
                <w:highlight w:val="none"/>
              </w:rPr>
            </w:pPr>
          </w:p>
        </w:tc>
        <w:tc>
          <w:tcPr>
            <w:tcW w:w="1756" w:type="dxa"/>
            <w:tcBorders>
              <w:top w:val="single" w:color="auto" w:sz="4" w:space="0"/>
              <w:left w:val="single" w:color="auto" w:sz="4" w:space="0"/>
            </w:tcBorders>
            <w:shd w:val="clear" w:color="auto" w:fill="FFFFFF"/>
            <w:noWrap w:val="0"/>
            <w:vAlign w:val="top"/>
          </w:tcPr>
          <w:p>
            <w:pPr>
              <w:rPr>
                <w:rFonts w:hint="eastAsia" w:ascii="仿宋" w:hAnsi="仿宋" w:eastAsia="仿宋" w:cs="仿宋"/>
                <w:color w:val="auto"/>
                <w:sz w:val="10"/>
                <w:szCs w:val="10"/>
                <w:highlight w:val="none"/>
              </w:rPr>
            </w:pPr>
          </w:p>
        </w:tc>
        <w:tc>
          <w:tcPr>
            <w:tcW w:w="1965" w:type="dxa"/>
            <w:tcBorders>
              <w:top w:val="single" w:color="auto" w:sz="4" w:space="0"/>
              <w:left w:val="single" w:color="auto" w:sz="4" w:space="0"/>
            </w:tcBorders>
            <w:shd w:val="clear" w:color="auto" w:fill="FFFFFF"/>
            <w:noWrap w:val="0"/>
            <w:vAlign w:val="top"/>
          </w:tcPr>
          <w:p>
            <w:pPr>
              <w:rPr>
                <w:rFonts w:hint="eastAsia" w:ascii="仿宋" w:hAnsi="仿宋" w:eastAsia="仿宋" w:cs="仿宋"/>
                <w:color w:val="auto"/>
                <w:sz w:val="10"/>
                <w:szCs w:val="10"/>
                <w:highlight w:val="none"/>
              </w:rPr>
            </w:pPr>
          </w:p>
        </w:tc>
        <w:tc>
          <w:tcPr>
            <w:tcW w:w="2430" w:type="dxa"/>
            <w:tcBorders>
              <w:top w:val="single" w:color="auto" w:sz="4" w:space="0"/>
              <w:left w:val="single" w:color="auto" w:sz="4" w:space="0"/>
            </w:tcBorders>
            <w:shd w:val="clear" w:color="auto" w:fill="FFFFFF"/>
            <w:noWrap w:val="0"/>
            <w:vAlign w:val="top"/>
          </w:tcPr>
          <w:p>
            <w:pPr>
              <w:rPr>
                <w:rFonts w:hint="eastAsia" w:ascii="仿宋" w:hAnsi="仿宋" w:eastAsia="仿宋" w:cs="仿宋"/>
                <w:color w:val="auto"/>
                <w:sz w:val="10"/>
                <w:szCs w:val="10"/>
                <w:highlight w:val="none"/>
              </w:rPr>
            </w:pPr>
          </w:p>
        </w:tc>
        <w:tc>
          <w:tcPr>
            <w:tcW w:w="1815" w:type="dxa"/>
            <w:tcBorders>
              <w:top w:val="single" w:color="auto" w:sz="4" w:space="0"/>
              <w:left w:val="single" w:color="auto" w:sz="4" w:space="0"/>
              <w:right w:val="single" w:color="auto" w:sz="4" w:space="0"/>
            </w:tcBorders>
            <w:shd w:val="clear" w:color="auto" w:fill="FFFFFF"/>
            <w:noWrap w:val="0"/>
            <w:vAlign w:val="top"/>
          </w:tcPr>
          <w:p>
            <w:pPr>
              <w:rPr>
                <w:rFonts w:hint="eastAsia" w:ascii="仿宋" w:hAnsi="仿宋" w:eastAsia="仿宋" w:cs="仿宋"/>
                <w:color w:val="auto"/>
                <w:sz w:val="10"/>
                <w:szCs w:val="10"/>
                <w:highlight w:val="none"/>
              </w:rPr>
            </w:pPr>
          </w:p>
        </w:tc>
      </w:tr>
      <w:tr>
        <w:tblPrEx>
          <w:tblCellMar>
            <w:top w:w="0" w:type="dxa"/>
            <w:left w:w="10" w:type="dxa"/>
            <w:bottom w:w="0" w:type="dxa"/>
            <w:right w:w="10" w:type="dxa"/>
          </w:tblCellMar>
        </w:tblPrEx>
        <w:trPr>
          <w:trHeight w:val="780" w:hRule="exact"/>
        </w:trPr>
        <w:tc>
          <w:tcPr>
            <w:tcW w:w="1034" w:type="dxa"/>
            <w:tcBorders>
              <w:top w:val="single" w:color="auto" w:sz="4" w:space="0"/>
              <w:left w:val="single" w:color="auto" w:sz="4" w:space="0"/>
            </w:tcBorders>
            <w:shd w:val="clear" w:color="auto" w:fill="FFFFFF"/>
            <w:noWrap w:val="0"/>
            <w:vAlign w:val="top"/>
          </w:tcPr>
          <w:p>
            <w:pPr>
              <w:rPr>
                <w:rFonts w:hint="eastAsia" w:ascii="仿宋" w:hAnsi="仿宋" w:eastAsia="仿宋" w:cs="仿宋"/>
                <w:color w:val="auto"/>
                <w:sz w:val="10"/>
                <w:szCs w:val="10"/>
                <w:highlight w:val="none"/>
              </w:rPr>
            </w:pPr>
          </w:p>
        </w:tc>
        <w:tc>
          <w:tcPr>
            <w:tcW w:w="1756" w:type="dxa"/>
            <w:tcBorders>
              <w:top w:val="single" w:color="auto" w:sz="4" w:space="0"/>
              <w:left w:val="single" w:color="auto" w:sz="4" w:space="0"/>
            </w:tcBorders>
            <w:shd w:val="clear" w:color="auto" w:fill="FFFFFF"/>
            <w:noWrap w:val="0"/>
            <w:vAlign w:val="top"/>
          </w:tcPr>
          <w:p>
            <w:pPr>
              <w:rPr>
                <w:rFonts w:hint="eastAsia" w:ascii="仿宋" w:hAnsi="仿宋" w:eastAsia="仿宋" w:cs="仿宋"/>
                <w:color w:val="auto"/>
                <w:sz w:val="10"/>
                <w:szCs w:val="10"/>
                <w:highlight w:val="none"/>
              </w:rPr>
            </w:pPr>
          </w:p>
        </w:tc>
        <w:tc>
          <w:tcPr>
            <w:tcW w:w="1965" w:type="dxa"/>
            <w:tcBorders>
              <w:top w:val="single" w:color="auto" w:sz="4" w:space="0"/>
              <w:left w:val="single" w:color="auto" w:sz="4" w:space="0"/>
            </w:tcBorders>
            <w:shd w:val="clear" w:color="auto" w:fill="FFFFFF"/>
            <w:noWrap w:val="0"/>
            <w:vAlign w:val="top"/>
          </w:tcPr>
          <w:p>
            <w:pPr>
              <w:rPr>
                <w:rFonts w:hint="eastAsia" w:ascii="仿宋" w:hAnsi="仿宋" w:eastAsia="仿宋" w:cs="仿宋"/>
                <w:color w:val="auto"/>
                <w:sz w:val="10"/>
                <w:szCs w:val="10"/>
                <w:highlight w:val="none"/>
              </w:rPr>
            </w:pPr>
          </w:p>
        </w:tc>
        <w:tc>
          <w:tcPr>
            <w:tcW w:w="2430" w:type="dxa"/>
            <w:tcBorders>
              <w:top w:val="single" w:color="auto" w:sz="4" w:space="0"/>
              <w:left w:val="single" w:color="auto" w:sz="4" w:space="0"/>
            </w:tcBorders>
            <w:shd w:val="clear" w:color="auto" w:fill="FFFFFF"/>
            <w:noWrap w:val="0"/>
            <w:vAlign w:val="top"/>
          </w:tcPr>
          <w:p>
            <w:pPr>
              <w:rPr>
                <w:rFonts w:hint="eastAsia" w:ascii="仿宋" w:hAnsi="仿宋" w:eastAsia="仿宋" w:cs="仿宋"/>
                <w:color w:val="auto"/>
                <w:sz w:val="10"/>
                <w:szCs w:val="10"/>
                <w:highlight w:val="none"/>
              </w:rPr>
            </w:pPr>
          </w:p>
        </w:tc>
        <w:tc>
          <w:tcPr>
            <w:tcW w:w="1815" w:type="dxa"/>
            <w:tcBorders>
              <w:top w:val="single" w:color="auto" w:sz="4" w:space="0"/>
              <w:left w:val="single" w:color="auto" w:sz="4" w:space="0"/>
              <w:right w:val="single" w:color="auto" w:sz="4" w:space="0"/>
            </w:tcBorders>
            <w:shd w:val="clear" w:color="auto" w:fill="FFFFFF"/>
            <w:noWrap w:val="0"/>
            <w:vAlign w:val="top"/>
          </w:tcPr>
          <w:p>
            <w:pPr>
              <w:rPr>
                <w:rFonts w:hint="eastAsia" w:ascii="仿宋" w:hAnsi="仿宋" w:eastAsia="仿宋" w:cs="仿宋"/>
                <w:color w:val="auto"/>
                <w:sz w:val="10"/>
                <w:szCs w:val="10"/>
                <w:highlight w:val="none"/>
              </w:rPr>
            </w:pPr>
          </w:p>
        </w:tc>
      </w:tr>
      <w:tr>
        <w:tblPrEx>
          <w:tblCellMar>
            <w:top w:w="0" w:type="dxa"/>
            <w:left w:w="10" w:type="dxa"/>
            <w:bottom w:w="0" w:type="dxa"/>
            <w:right w:w="10" w:type="dxa"/>
          </w:tblCellMar>
        </w:tblPrEx>
        <w:trPr>
          <w:trHeight w:val="795" w:hRule="exact"/>
        </w:trPr>
        <w:tc>
          <w:tcPr>
            <w:tcW w:w="1034" w:type="dxa"/>
            <w:tcBorders>
              <w:top w:val="single" w:color="auto" w:sz="4" w:space="0"/>
              <w:left w:val="single" w:color="auto" w:sz="4" w:space="0"/>
              <w:bottom w:val="single" w:color="auto" w:sz="4" w:space="0"/>
            </w:tcBorders>
            <w:shd w:val="clear" w:color="auto" w:fill="FFFFFF"/>
            <w:noWrap w:val="0"/>
            <w:vAlign w:val="top"/>
          </w:tcPr>
          <w:p>
            <w:pPr>
              <w:rPr>
                <w:rFonts w:hint="eastAsia" w:ascii="仿宋" w:hAnsi="仿宋" w:eastAsia="仿宋" w:cs="仿宋"/>
                <w:color w:val="auto"/>
                <w:sz w:val="10"/>
                <w:szCs w:val="10"/>
                <w:highlight w:val="none"/>
              </w:rPr>
            </w:pPr>
          </w:p>
        </w:tc>
        <w:tc>
          <w:tcPr>
            <w:tcW w:w="1756" w:type="dxa"/>
            <w:tcBorders>
              <w:top w:val="single" w:color="auto" w:sz="4" w:space="0"/>
              <w:left w:val="single" w:color="auto" w:sz="4" w:space="0"/>
              <w:bottom w:val="single" w:color="auto" w:sz="4" w:space="0"/>
            </w:tcBorders>
            <w:shd w:val="clear" w:color="auto" w:fill="FFFFFF"/>
            <w:noWrap w:val="0"/>
            <w:vAlign w:val="top"/>
          </w:tcPr>
          <w:p>
            <w:pPr>
              <w:rPr>
                <w:rFonts w:hint="eastAsia" w:ascii="仿宋" w:hAnsi="仿宋" w:eastAsia="仿宋" w:cs="仿宋"/>
                <w:color w:val="auto"/>
                <w:sz w:val="10"/>
                <w:szCs w:val="10"/>
                <w:highlight w:val="none"/>
              </w:rPr>
            </w:pPr>
          </w:p>
        </w:tc>
        <w:tc>
          <w:tcPr>
            <w:tcW w:w="1965" w:type="dxa"/>
            <w:tcBorders>
              <w:top w:val="single" w:color="auto" w:sz="4" w:space="0"/>
              <w:left w:val="single" w:color="auto" w:sz="4" w:space="0"/>
              <w:bottom w:val="single" w:color="auto" w:sz="4" w:space="0"/>
            </w:tcBorders>
            <w:shd w:val="clear" w:color="auto" w:fill="FFFFFF"/>
            <w:noWrap w:val="0"/>
            <w:vAlign w:val="top"/>
          </w:tcPr>
          <w:p>
            <w:pPr>
              <w:rPr>
                <w:rFonts w:hint="eastAsia" w:ascii="仿宋" w:hAnsi="仿宋" w:eastAsia="仿宋" w:cs="仿宋"/>
                <w:color w:val="auto"/>
                <w:sz w:val="10"/>
                <w:szCs w:val="10"/>
                <w:highlight w:val="none"/>
              </w:rPr>
            </w:pPr>
          </w:p>
        </w:tc>
        <w:tc>
          <w:tcPr>
            <w:tcW w:w="2430" w:type="dxa"/>
            <w:tcBorders>
              <w:top w:val="single" w:color="auto" w:sz="4" w:space="0"/>
              <w:left w:val="single" w:color="auto" w:sz="4" w:space="0"/>
              <w:bottom w:val="single" w:color="auto" w:sz="4" w:space="0"/>
            </w:tcBorders>
            <w:shd w:val="clear" w:color="auto" w:fill="FFFFFF"/>
            <w:noWrap w:val="0"/>
            <w:vAlign w:val="top"/>
          </w:tcPr>
          <w:p>
            <w:pPr>
              <w:rPr>
                <w:rFonts w:hint="eastAsia" w:ascii="仿宋" w:hAnsi="仿宋" w:eastAsia="仿宋" w:cs="仿宋"/>
                <w:color w:val="auto"/>
                <w:sz w:val="10"/>
                <w:szCs w:val="10"/>
                <w:highlight w:val="none"/>
              </w:rPr>
            </w:pPr>
          </w:p>
        </w:tc>
        <w:tc>
          <w:tcPr>
            <w:tcW w:w="181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eastAsia" w:ascii="仿宋" w:hAnsi="仿宋" w:eastAsia="仿宋" w:cs="仿宋"/>
                <w:color w:val="auto"/>
                <w:sz w:val="10"/>
                <w:szCs w:val="10"/>
                <w:highlight w:val="none"/>
              </w:rPr>
            </w:pPr>
          </w:p>
        </w:tc>
      </w:tr>
    </w:tbl>
    <w:p>
      <w:pPr>
        <w:spacing w:before="156" w:beforeLines="50" w:after="156" w:afterLines="50" w:line="360" w:lineRule="auto"/>
        <w:ind w:firstLine="241" w:firstLineChars="1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注：本表后应附对应业绩相关材料。</w:t>
      </w:r>
    </w:p>
    <w:p>
      <w:pPr>
        <w:pStyle w:val="42"/>
        <w:rPr>
          <w:rFonts w:hint="eastAsia" w:ascii="仿宋" w:hAnsi="仿宋" w:eastAsia="仿宋" w:cs="仿宋"/>
          <w:b/>
          <w:bCs/>
          <w:color w:val="auto"/>
          <w:sz w:val="24"/>
          <w:highlight w:val="none"/>
        </w:rPr>
      </w:pPr>
    </w:p>
    <w:p>
      <w:pPr>
        <w:keepNext w:val="0"/>
        <w:keepLines w:val="0"/>
        <w:pageBreakBefore w:val="0"/>
        <w:widowControl/>
        <w:kinsoku/>
        <w:wordWrap/>
        <w:overflowPunct/>
        <w:topLinePunct w:val="0"/>
        <w:autoSpaceDE/>
        <w:autoSpaceDN/>
        <w:bidi w:val="0"/>
        <w:adjustRightInd/>
        <w:snapToGrid/>
        <w:ind w:firstLine="3360" w:firstLineChars="14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u w:val="single"/>
          <w:lang w:eastAsia="zh-CN"/>
        </w:rPr>
        <w:t>盖章</w:t>
      </w:r>
      <w:r>
        <w:rPr>
          <w:rFonts w:hint="eastAsia" w:ascii="仿宋" w:hAnsi="仿宋" w:eastAsia="仿宋" w:cs="仿宋"/>
          <w:color w:val="auto"/>
          <w:sz w:val="24"/>
          <w:highlight w:val="none"/>
          <w:u w:val="single"/>
        </w:rPr>
        <w:t>）</w:t>
      </w:r>
    </w:p>
    <w:p>
      <w:pPr>
        <w:keepNext w:val="0"/>
        <w:keepLines w:val="0"/>
        <w:pageBreakBefore w:val="0"/>
        <w:widowControl/>
        <w:kinsoku/>
        <w:wordWrap/>
        <w:overflowPunct/>
        <w:topLinePunct w:val="0"/>
        <w:autoSpaceDE/>
        <w:autoSpaceDN/>
        <w:bidi w:val="0"/>
        <w:adjustRightInd/>
        <w:snapToGrid/>
        <w:ind w:firstLine="3360" w:firstLineChars="1400"/>
        <w:jc w:val="left"/>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法定代表人或委托代理人：</w:t>
      </w:r>
      <w:r>
        <w:rPr>
          <w:rFonts w:hint="eastAsia" w:ascii="仿宋" w:hAnsi="仿宋" w:eastAsia="仿宋" w:cs="仿宋"/>
          <w:b/>
          <w:bCs/>
          <w:color w:val="auto"/>
          <w:sz w:val="24"/>
          <w:highlight w:val="none"/>
          <w:u w:val="single"/>
        </w:rPr>
        <w:t>（签字或盖章）</w:t>
      </w:r>
    </w:p>
    <w:p>
      <w:pPr>
        <w:keepNext w:val="0"/>
        <w:keepLines w:val="0"/>
        <w:pageBreakBefore w:val="0"/>
        <w:widowControl/>
        <w:kinsoku/>
        <w:wordWrap/>
        <w:overflowPunct/>
        <w:topLinePunct w:val="0"/>
        <w:autoSpaceDE/>
        <w:autoSpaceDN/>
        <w:bidi w:val="0"/>
        <w:adjustRightInd/>
        <w:snapToGrid/>
        <w:ind w:firstLine="3360" w:firstLineChars="1400"/>
        <w:jc w:val="left"/>
        <w:textAlignment w:val="auto"/>
        <w:rPr>
          <w:rFonts w:hint="eastAsia" w:ascii="仿宋" w:hAnsi="仿宋" w:eastAsia="仿宋" w:cs="仿宋"/>
          <w:b/>
          <w:bCs/>
          <w:color w:val="auto"/>
          <w:sz w:val="32"/>
          <w:szCs w:val="32"/>
          <w:highlight w:val="none"/>
        </w:rPr>
      </w:pPr>
      <w:r>
        <w:rPr>
          <w:rFonts w:hint="eastAsia" w:ascii="仿宋" w:hAnsi="仿宋" w:eastAsia="仿宋" w:cs="仿宋"/>
          <w:color w:val="auto"/>
          <w:sz w:val="24"/>
          <w:highlight w:val="none"/>
        </w:rPr>
        <w:t>日期：</w:t>
      </w:r>
    </w:p>
    <w:p>
      <w:pPr>
        <w:autoSpaceDE w:val="0"/>
        <w:autoSpaceDN w:val="0"/>
        <w:spacing w:line="260" w:lineRule="exact"/>
        <w:ind w:firstLine="3259" w:firstLineChars="1400"/>
        <w:jc w:val="left"/>
        <w:rPr>
          <w:rFonts w:hint="eastAsia" w:ascii="宋体" w:hAnsi="宋体" w:cs="宋体"/>
          <w:b/>
          <w:spacing w:val="11"/>
          <w:szCs w:val="21"/>
          <w:lang w:val="en-US" w:eastAsia="zh-CN"/>
        </w:rPr>
      </w:pPr>
    </w:p>
    <w:p>
      <w:pPr>
        <w:autoSpaceDE w:val="0"/>
        <w:autoSpaceDN w:val="0"/>
        <w:spacing w:line="260" w:lineRule="exact"/>
        <w:ind w:firstLine="3259" w:firstLineChars="1400"/>
        <w:jc w:val="left"/>
        <w:rPr>
          <w:rFonts w:hint="eastAsia" w:ascii="宋体" w:hAnsi="宋体" w:cs="宋体"/>
          <w:b/>
          <w:spacing w:val="11"/>
          <w:szCs w:val="21"/>
          <w:lang w:val="en-US" w:eastAsia="zh-CN"/>
        </w:rPr>
      </w:pPr>
    </w:p>
    <w:p>
      <w:pPr>
        <w:autoSpaceDE w:val="0"/>
        <w:autoSpaceDN w:val="0"/>
        <w:spacing w:line="260" w:lineRule="exact"/>
        <w:ind w:firstLine="3259" w:firstLineChars="1400"/>
        <w:jc w:val="left"/>
        <w:rPr>
          <w:rFonts w:hint="eastAsia" w:ascii="宋体" w:hAnsi="宋体" w:cs="宋体"/>
          <w:b/>
          <w:spacing w:val="11"/>
          <w:szCs w:val="21"/>
          <w:lang w:val="en-US" w:eastAsia="zh-CN"/>
        </w:rPr>
      </w:pPr>
    </w:p>
    <w:p>
      <w:pPr>
        <w:autoSpaceDE w:val="0"/>
        <w:autoSpaceDN w:val="0"/>
        <w:spacing w:line="260" w:lineRule="exact"/>
        <w:ind w:firstLine="3259" w:firstLineChars="1400"/>
        <w:jc w:val="left"/>
        <w:rPr>
          <w:rFonts w:hint="eastAsia" w:ascii="宋体" w:hAnsi="宋体" w:cs="宋体"/>
          <w:b/>
          <w:spacing w:val="11"/>
          <w:szCs w:val="21"/>
          <w:lang w:val="en-US" w:eastAsia="zh-CN"/>
        </w:rPr>
      </w:pPr>
    </w:p>
    <w:p>
      <w:pPr>
        <w:autoSpaceDE w:val="0"/>
        <w:autoSpaceDN w:val="0"/>
        <w:spacing w:line="260" w:lineRule="exact"/>
        <w:ind w:firstLine="3259" w:firstLineChars="1400"/>
        <w:jc w:val="left"/>
        <w:rPr>
          <w:rFonts w:hint="eastAsia" w:ascii="宋体" w:hAnsi="宋体" w:cs="宋体"/>
          <w:b/>
          <w:spacing w:val="11"/>
          <w:szCs w:val="21"/>
          <w:lang w:val="en-US" w:eastAsia="zh-CN"/>
        </w:rPr>
      </w:pPr>
    </w:p>
    <w:p>
      <w:pPr>
        <w:autoSpaceDE w:val="0"/>
        <w:autoSpaceDN w:val="0"/>
        <w:spacing w:line="260" w:lineRule="exact"/>
        <w:ind w:firstLine="3259" w:firstLineChars="1400"/>
        <w:jc w:val="left"/>
        <w:rPr>
          <w:rFonts w:hint="eastAsia" w:ascii="宋体" w:hAnsi="宋体" w:cs="宋体"/>
          <w:b/>
          <w:spacing w:val="11"/>
          <w:szCs w:val="21"/>
          <w:lang w:val="en-US" w:eastAsia="zh-CN"/>
        </w:rPr>
      </w:pPr>
    </w:p>
    <w:p>
      <w:pPr>
        <w:pStyle w:val="5"/>
        <w:jc w:val="cente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3.2</w:t>
      </w:r>
      <w:r>
        <w:rPr>
          <w:rFonts w:hint="eastAsia" w:ascii="仿宋" w:hAnsi="仿宋" w:eastAsia="仿宋" w:cs="仿宋"/>
          <w:color w:val="auto"/>
          <w:highlight w:val="none"/>
        </w:rPr>
        <w:t>.</w:t>
      </w:r>
      <w:r>
        <w:rPr>
          <w:rFonts w:hint="eastAsia" w:ascii="仿宋" w:hAnsi="仿宋" w:eastAsia="仿宋" w:cs="仿宋"/>
          <w:color w:val="auto"/>
          <w:highlight w:val="none"/>
          <w:lang w:val="en-US" w:eastAsia="zh-CN"/>
        </w:rPr>
        <w:t>商务技术</w:t>
      </w:r>
      <w:r>
        <w:rPr>
          <w:rFonts w:hint="eastAsia" w:ascii="仿宋" w:hAnsi="仿宋" w:eastAsia="仿宋" w:cs="仿宋"/>
          <w:color w:val="auto"/>
          <w:highlight w:val="none"/>
        </w:rPr>
        <w:t>响应情况表</w:t>
      </w:r>
    </w:p>
    <w:p>
      <w:pPr>
        <w:spacing w:line="180" w:lineRule="exact"/>
        <w:rPr>
          <w:rFonts w:hint="eastAsia" w:ascii="宋体" w:hAnsi="宋体" w:cs="宋体"/>
          <w:color w:val="auto"/>
          <w:spacing w:val="11"/>
          <w:sz w:val="24"/>
          <w:highlight w:val="none"/>
          <w:u w:val="single"/>
        </w:rPr>
      </w:pPr>
    </w:p>
    <w:p>
      <w:pPr>
        <w:pStyle w:val="63"/>
        <w:rPr>
          <w:rFonts w:hint="eastAsia"/>
        </w:rPr>
      </w:pPr>
    </w:p>
    <w:tbl>
      <w:tblPr>
        <w:tblStyle w:val="31"/>
        <w:tblW w:w="996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320"/>
        <w:gridCol w:w="2643"/>
        <w:gridCol w:w="2540"/>
        <w:gridCol w:w="245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4" w:hRule="atLeast"/>
          <w:jc w:val="center"/>
        </w:trPr>
        <w:tc>
          <w:tcPr>
            <w:tcW w:w="232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jc w:val="center"/>
              <w:rPr>
                <w:rFonts w:hint="eastAsia" w:ascii="宋体" w:hAnsi="宋体" w:cs="宋体"/>
                <w:color w:val="auto"/>
                <w:spacing w:val="11"/>
                <w:szCs w:val="21"/>
                <w:highlight w:val="none"/>
              </w:rPr>
            </w:pPr>
            <w:r>
              <w:rPr>
                <w:rFonts w:hint="eastAsia" w:ascii="宋体" w:hAnsi="宋体" w:cs="宋体"/>
                <w:color w:val="auto"/>
                <w:spacing w:val="11"/>
                <w:szCs w:val="21"/>
                <w:highlight w:val="none"/>
              </w:rPr>
              <w:t>商务</w:t>
            </w:r>
            <w:r>
              <w:rPr>
                <w:rFonts w:hint="eastAsia" w:ascii="宋体" w:hAnsi="宋体" w:cs="宋体"/>
                <w:color w:val="auto"/>
                <w:spacing w:val="11"/>
                <w:szCs w:val="21"/>
                <w:highlight w:val="none"/>
                <w:lang w:val="en-US" w:eastAsia="zh-CN"/>
              </w:rPr>
              <w:t>技术</w:t>
            </w:r>
            <w:r>
              <w:rPr>
                <w:rFonts w:hint="eastAsia" w:ascii="宋体" w:hAnsi="宋体" w:cs="宋体"/>
                <w:color w:val="auto"/>
                <w:spacing w:val="11"/>
                <w:szCs w:val="21"/>
                <w:highlight w:val="none"/>
              </w:rPr>
              <w:t>条款内容</w:t>
            </w:r>
          </w:p>
        </w:tc>
        <w:tc>
          <w:tcPr>
            <w:tcW w:w="264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jc w:val="center"/>
              <w:rPr>
                <w:rFonts w:hint="eastAsia" w:ascii="宋体" w:hAnsi="宋体" w:cs="宋体"/>
                <w:color w:val="auto"/>
                <w:spacing w:val="11"/>
                <w:szCs w:val="21"/>
                <w:highlight w:val="none"/>
              </w:rPr>
            </w:pPr>
            <w:r>
              <w:rPr>
                <w:rFonts w:hint="eastAsia" w:ascii="宋体" w:hAnsi="宋体" w:cs="宋体"/>
                <w:color w:val="auto"/>
                <w:spacing w:val="11"/>
                <w:szCs w:val="21"/>
                <w:highlight w:val="none"/>
                <w:lang w:val="en-US" w:eastAsia="zh-CN"/>
              </w:rPr>
              <w:t>招标</w:t>
            </w:r>
            <w:r>
              <w:rPr>
                <w:rFonts w:hint="eastAsia" w:ascii="宋体" w:hAnsi="宋体" w:cs="宋体"/>
                <w:color w:val="auto"/>
                <w:spacing w:val="11"/>
                <w:szCs w:val="21"/>
                <w:highlight w:val="none"/>
              </w:rPr>
              <w:t>文件要求</w:t>
            </w:r>
          </w:p>
        </w:tc>
        <w:tc>
          <w:tcPr>
            <w:tcW w:w="254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jc w:val="center"/>
              <w:rPr>
                <w:rFonts w:hint="eastAsia" w:ascii="宋体" w:hAnsi="宋体" w:cs="宋体"/>
                <w:color w:val="auto"/>
                <w:spacing w:val="11"/>
                <w:szCs w:val="21"/>
                <w:highlight w:val="none"/>
              </w:rPr>
            </w:pPr>
            <w:r>
              <w:rPr>
                <w:rFonts w:hint="eastAsia" w:ascii="宋体" w:hAnsi="宋体" w:cs="宋体"/>
                <w:color w:val="auto"/>
                <w:spacing w:val="11"/>
                <w:szCs w:val="21"/>
                <w:highlight w:val="none"/>
                <w:lang w:val="en-US" w:eastAsia="zh-CN"/>
              </w:rPr>
              <w:t>投标</w:t>
            </w:r>
            <w:r>
              <w:rPr>
                <w:rFonts w:hint="eastAsia" w:ascii="宋体" w:hAnsi="宋体" w:cs="宋体"/>
                <w:color w:val="auto"/>
                <w:spacing w:val="11"/>
                <w:szCs w:val="21"/>
                <w:highlight w:val="none"/>
              </w:rPr>
              <w:t>文件内容</w:t>
            </w:r>
          </w:p>
        </w:tc>
        <w:tc>
          <w:tcPr>
            <w:tcW w:w="245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jc w:val="center"/>
              <w:rPr>
                <w:rFonts w:hint="eastAsia" w:ascii="宋体" w:hAnsi="宋体" w:cs="宋体"/>
                <w:color w:val="auto"/>
                <w:spacing w:val="11"/>
                <w:szCs w:val="21"/>
                <w:highlight w:val="none"/>
              </w:rPr>
            </w:pPr>
            <w:r>
              <w:rPr>
                <w:rFonts w:hint="eastAsia" w:ascii="宋体" w:hAnsi="宋体" w:cs="宋体"/>
                <w:color w:val="auto"/>
                <w:spacing w:val="11"/>
                <w:szCs w:val="21"/>
                <w:highlight w:val="none"/>
              </w:rPr>
              <w:t>偏离情况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2320" w:type="dxa"/>
            <w:tcBorders>
              <w:top w:val="single" w:color="auto" w:sz="4" w:space="0"/>
              <w:left w:val="single" w:color="auto" w:sz="4" w:space="0"/>
              <w:bottom w:val="single" w:color="auto" w:sz="4" w:space="0"/>
              <w:right w:val="single" w:color="auto" w:sz="4" w:space="0"/>
            </w:tcBorders>
            <w:noWrap w:val="0"/>
            <w:vAlign w:val="center"/>
          </w:tcPr>
          <w:p>
            <w:pPr>
              <w:snapToGrid w:val="0"/>
              <w:spacing w:line="460" w:lineRule="exact"/>
              <w:jc w:val="center"/>
              <w:rPr>
                <w:rFonts w:hint="eastAsia" w:ascii="宋体" w:hAnsi="宋体" w:cs="宋体"/>
                <w:color w:val="auto"/>
                <w:spacing w:val="11"/>
                <w:szCs w:val="21"/>
                <w:highlight w:val="none"/>
              </w:rPr>
            </w:pPr>
          </w:p>
        </w:tc>
        <w:tc>
          <w:tcPr>
            <w:tcW w:w="2643" w:type="dxa"/>
            <w:tcBorders>
              <w:top w:val="single" w:color="auto" w:sz="4" w:space="0"/>
              <w:left w:val="single" w:color="auto" w:sz="4" w:space="0"/>
              <w:bottom w:val="single" w:color="auto" w:sz="4" w:space="0"/>
              <w:right w:val="single" w:color="auto" w:sz="4" w:space="0"/>
            </w:tcBorders>
            <w:noWrap w:val="0"/>
            <w:vAlign w:val="center"/>
          </w:tcPr>
          <w:p>
            <w:pPr>
              <w:snapToGrid w:val="0"/>
              <w:spacing w:line="460" w:lineRule="exact"/>
              <w:jc w:val="center"/>
              <w:rPr>
                <w:rFonts w:hint="eastAsia" w:ascii="宋体" w:hAnsi="宋体" w:cs="宋体"/>
                <w:color w:val="auto"/>
                <w:spacing w:val="11"/>
                <w:szCs w:val="21"/>
                <w:highlight w:val="none"/>
              </w:rPr>
            </w:pPr>
          </w:p>
        </w:tc>
        <w:tc>
          <w:tcPr>
            <w:tcW w:w="254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line="460" w:lineRule="exact"/>
              <w:jc w:val="center"/>
              <w:rPr>
                <w:rFonts w:hint="eastAsia" w:ascii="宋体" w:hAnsi="宋体" w:cs="宋体"/>
                <w:color w:val="auto"/>
                <w:spacing w:val="11"/>
                <w:szCs w:val="21"/>
                <w:highlight w:val="none"/>
              </w:rPr>
            </w:pPr>
          </w:p>
        </w:tc>
        <w:tc>
          <w:tcPr>
            <w:tcW w:w="245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line="460" w:lineRule="exact"/>
              <w:jc w:val="center"/>
              <w:rPr>
                <w:rFonts w:hint="eastAsia" w:ascii="宋体" w:hAnsi="宋体" w:cs="宋体"/>
                <w:color w:val="auto"/>
                <w:spacing w:val="1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232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line="460" w:lineRule="exact"/>
              <w:jc w:val="center"/>
              <w:rPr>
                <w:rFonts w:hint="eastAsia" w:ascii="宋体" w:hAnsi="宋体" w:cs="宋体"/>
                <w:color w:val="auto"/>
                <w:spacing w:val="11"/>
                <w:szCs w:val="21"/>
                <w:highlight w:val="none"/>
              </w:rPr>
            </w:pPr>
          </w:p>
        </w:tc>
        <w:tc>
          <w:tcPr>
            <w:tcW w:w="2643" w:type="dxa"/>
            <w:tcBorders>
              <w:top w:val="single" w:color="auto" w:sz="4" w:space="0"/>
              <w:left w:val="single" w:color="auto" w:sz="4" w:space="0"/>
              <w:bottom w:val="single" w:color="auto" w:sz="4" w:space="0"/>
              <w:right w:val="single" w:color="auto" w:sz="4" w:space="0"/>
            </w:tcBorders>
            <w:noWrap w:val="0"/>
            <w:vAlign w:val="center"/>
          </w:tcPr>
          <w:p>
            <w:pPr>
              <w:snapToGrid w:val="0"/>
              <w:spacing w:line="460" w:lineRule="exact"/>
              <w:jc w:val="center"/>
              <w:rPr>
                <w:rFonts w:hint="eastAsia" w:ascii="宋体" w:hAnsi="宋体" w:cs="宋体"/>
                <w:color w:val="auto"/>
                <w:spacing w:val="11"/>
                <w:szCs w:val="21"/>
                <w:highlight w:val="none"/>
              </w:rPr>
            </w:pPr>
          </w:p>
        </w:tc>
        <w:tc>
          <w:tcPr>
            <w:tcW w:w="254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line="460" w:lineRule="exact"/>
              <w:jc w:val="center"/>
              <w:rPr>
                <w:rFonts w:hint="eastAsia" w:ascii="宋体" w:hAnsi="宋体" w:cs="宋体"/>
                <w:color w:val="auto"/>
                <w:spacing w:val="11"/>
                <w:szCs w:val="21"/>
                <w:highlight w:val="none"/>
              </w:rPr>
            </w:pPr>
          </w:p>
        </w:tc>
        <w:tc>
          <w:tcPr>
            <w:tcW w:w="245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line="460" w:lineRule="exact"/>
              <w:jc w:val="center"/>
              <w:rPr>
                <w:rFonts w:hint="eastAsia" w:ascii="宋体" w:hAnsi="宋体" w:cs="宋体"/>
                <w:color w:val="auto"/>
                <w:spacing w:val="1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2320" w:type="dxa"/>
            <w:tcBorders>
              <w:top w:val="single" w:color="auto" w:sz="4" w:space="0"/>
              <w:left w:val="single" w:color="auto" w:sz="4" w:space="0"/>
              <w:bottom w:val="single" w:color="auto" w:sz="4" w:space="0"/>
              <w:right w:val="single" w:color="auto" w:sz="4" w:space="0"/>
            </w:tcBorders>
            <w:noWrap w:val="0"/>
            <w:vAlign w:val="center"/>
          </w:tcPr>
          <w:p>
            <w:pPr>
              <w:snapToGrid w:val="0"/>
              <w:spacing w:line="460" w:lineRule="exact"/>
              <w:jc w:val="center"/>
              <w:rPr>
                <w:rFonts w:hint="eastAsia" w:ascii="宋体" w:hAnsi="宋体" w:cs="宋体"/>
                <w:color w:val="auto"/>
                <w:spacing w:val="11"/>
                <w:szCs w:val="21"/>
                <w:highlight w:val="none"/>
              </w:rPr>
            </w:pPr>
          </w:p>
        </w:tc>
        <w:tc>
          <w:tcPr>
            <w:tcW w:w="2643" w:type="dxa"/>
            <w:tcBorders>
              <w:top w:val="single" w:color="auto" w:sz="4" w:space="0"/>
              <w:left w:val="single" w:color="auto" w:sz="4" w:space="0"/>
              <w:bottom w:val="single" w:color="auto" w:sz="4" w:space="0"/>
              <w:right w:val="single" w:color="auto" w:sz="4" w:space="0"/>
            </w:tcBorders>
            <w:noWrap w:val="0"/>
            <w:vAlign w:val="center"/>
          </w:tcPr>
          <w:p>
            <w:pPr>
              <w:snapToGrid w:val="0"/>
              <w:spacing w:line="460" w:lineRule="exact"/>
              <w:jc w:val="center"/>
              <w:rPr>
                <w:rFonts w:hint="eastAsia" w:ascii="宋体" w:hAnsi="宋体" w:cs="宋体"/>
                <w:color w:val="auto"/>
                <w:spacing w:val="11"/>
                <w:szCs w:val="21"/>
                <w:highlight w:val="none"/>
              </w:rPr>
            </w:pPr>
          </w:p>
        </w:tc>
        <w:tc>
          <w:tcPr>
            <w:tcW w:w="254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line="460" w:lineRule="exact"/>
              <w:jc w:val="center"/>
              <w:rPr>
                <w:rFonts w:hint="eastAsia" w:ascii="宋体" w:hAnsi="宋体" w:cs="宋体"/>
                <w:color w:val="auto"/>
                <w:spacing w:val="11"/>
                <w:szCs w:val="21"/>
                <w:highlight w:val="none"/>
              </w:rPr>
            </w:pPr>
          </w:p>
        </w:tc>
        <w:tc>
          <w:tcPr>
            <w:tcW w:w="245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line="460" w:lineRule="exact"/>
              <w:jc w:val="center"/>
              <w:rPr>
                <w:rFonts w:hint="eastAsia" w:ascii="宋体" w:hAnsi="宋体" w:cs="宋体"/>
                <w:color w:val="auto"/>
                <w:spacing w:val="1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2320" w:type="dxa"/>
            <w:tcBorders>
              <w:top w:val="single" w:color="auto" w:sz="4" w:space="0"/>
              <w:left w:val="single" w:color="auto" w:sz="4" w:space="0"/>
              <w:bottom w:val="single" w:color="auto" w:sz="4" w:space="0"/>
              <w:right w:val="single" w:color="auto" w:sz="4" w:space="0"/>
            </w:tcBorders>
            <w:noWrap w:val="0"/>
            <w:vAlign w:val="center"/>
          </w:tcPr>
          <w:p>
            <w:pPr>
              <w:snapToGrid w:val="0"/>
              <w:spacing w:line="460" w:lineRule="exact"/>
              <w:jc w:val="center"/>
              <w:rPr>
                <w:rFonts w:hint="eastAsia" w:ascii="宋体" w:hAnsi="宋体" w:cs="宋体"/>
                <w:color w:val="auto"/>
                <w:spacing w:val="11"/>
                <w:szCs w:val="21"/>
                <w:highlight w:val="none"/>
              </w:rPr>
            </w:pPr>
          </w:p>
        </w:tc>
        <w:tc>
          <w:tcPr>
            <w:tcW w:w="2643" w:type="dxa"/>
            <w:tcBorders>
              <w:top w:val="single" w:color="auto" w:sz="4" w:space="0"/>
              <w:left w:val="single" w:color="auto" w:sz="4" w:space="0"/>
              <w:bottom w:val="single" w:color="auto" w:sz="4" w:space="0"/>
              <w:right w:val="single" w:color="auto" w:sz="4" w:space="0"/>
            </w:tcBorders>
            <w:noWrap w:val="0"/>
            <w:vAlign w:val="center"/>
          </w:tcPr>
          <w:p>
            <w:pPr>
              <w:snapToGrid w:val="0"/>
              <w:spacing w:line="460" w:lineRule="exact"/>
              <w:jc w:val="center"/>
              <w:rPr>
                <w:rFonts w:hint="eastAsia" w:ascii="宋体" w:hAnsi="宋体" w:cs="宋体"/>
                <w:color w:val="auto"/>
                <w:spacing w:val="11"/>
                <w:szCs w:val="21"/>
                <w:highlight w:val="none"/>
              </w:rPr>
            </w:pPr>
          </w:p>
        </w:tc>
        <w:tc>
          <w:tcPr>
            <w:tcW w:w="254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line="460" w:lineRule="exact"/>
              <w:jc w:val="center"/>
              <w:rPr>
                <w:rFonts w:hint="eastAsia" w:ascii="宋体" w:hAnsi="宋体" w:cs="宋体"/>
                <w:color w:val="auto"/>
                <w:spacing w:val="11"/>
                <w:szCs w:val="21"/>
                <w:highlight w:val="none"/>
              </w:rPr>
            </w:pPr>
          </w:p>
        </w:tc>
        <w:tc>
          <w:tcPr>
            <w:tcW w:w="245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line="460" w:lineRule="exact"/>
              <w:jc w:val="center"/>
              <w:rPr>
                <w:rFonts w:hint="eastAsia" w:ascii="宋体" w:hAnsi="宋体" w:cs="宋体"/>
                <w:color w:val="auto"/>
                <w:spacing w:val="1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2320" w:type="dxa"/>
            <w:tcBorders>
              <w:top w:val="single" w:color="auto" w:sz="4" w:space="0"/>
              <w:left w:val="single" w:color="auto" w:sz="4" w:space="0"/>
              <w:bottom w:val="single" w:color="auto" w:sz="4" w:space="0"/>
              <w:right w:val="single" w:color="auto" w:sz="4" w:space="0"/>
            </w:tcBorders>
            <w:noWrap w:val="0"/>
            <w:vAlign w:val="center"/>
          </w:tcPr>
          <w:p>
            <w:pPr>
              <w:snapToGrid w:val="0"/>
              <w:spacing w:line="460" w:lineRule="exact"/>
              <w:jc w:val="center"/>
              <w:rPr>
                <w:rFonts w:hint="eastAsia" w:ascii="宋体" w:hAnsi="宋体" w:cs="宋体"/>
                <w:color w:val="auto"/>
                <w:spacing w:val="11"/>
                <w:szCs w:val="21"/>
                <w:highlight w:val="none"/>
              </w:rPr>
            </w:pPr>
          </w:p>
        </w:tc>
        <w:tc>
          <w:tcPr>
            <w:tcW w:w="2643" w:type="dxa"/>
            <w:tcBorders>
              <w:top w:val="single" w:color="auto" w:sz="4" w:space="0"/>
              <w:left w:val="single" w:color="auto" w:sz="4" w:space="0"/>
              <w:bottom w:val="single" w:color="auto" w:sz="4" w:space="0"/>
              <w:right w:val="single" w:color="auto" w:sz="4" w:space="0"/>
            </w:tcBorders>
            <w:noWrap w:val="0"/>
            <w:vAlign w:val="center"/>
          </w:tcPr>
          <w:p>
            <w:pPr>
              <w:snapToGrid w:val="0"/>
              <w:spacing w:line="460" w:lineRule="exact"/>
              <w:jc w:val="center"/>
              <w:rPr>
                <w:rFonts w:hint="eastAsia" w:ascii="宋体" w:hAnsi="宋体" w:cs="宋体"/>
                <w:color w:val="auto"/>
                <w:spacing w:val="11"/>
                <w:szCs w:val="21"/>
                <w:highlight w:val="none"/>
              </w:rPr>
            </w:pPr>
          </w:p>
        </w:tc>
        <w:tc>
          <w:tcPr>
            <w:tcW w:w="254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line="460" w:lineRule="exact"/>
              <w:jc w:val="center"/>
              <w:rPr>
                <w:rFonts w:hint="eastAsia" w:ascii="宋体" w:hAnsi="宋体" w:cs="宋体"/>
                <w:color w:val="auto"/>
                <w:spacing w:val="11"/>
                <w:szCs w:val="21"/>
                <w:highlight w:val="none"/>
              </w:rPr>
            </w:pPr>
          </w:p>
        </w:tc>
        <w:tc>
          <w:tcPr>
            <w:tcW w:w="245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line="460" w:lineRule="exact"/>
              <w:jc w:val="center"/>
              <w:rPr>
                <w:rFonts w:hint="eastAsia" w:ascii="宋体" w:hAnsi="宋体" w:cs="宋体"/>
                <w:color w:val="auto"/>
                <w:spacing w:val="11"/>
                <w:szCs w:val="21"/>
                <w:highlight w:val="none"/>
              </w:rPr>
            </w:pPr>
          </w:p>
        </w:tc>
      </w:tr>
    </w:tbl>
    <w:p>
      <w:pPr>
        <w:spacing w:line="360" w:lineRule="auto"/>
        <w:ind w:right="-21" w:rightChars="-10"/>
        <w:rPr>
          <w:rFonts w:hint="eastAsia" w:ascii="宋体" w:hAnsi="宋体" w:cs="宋体"/>
          <w:color w:val="auto"/>
          <w:spacing w:val="11"/>
          <w:szCs w:val="21"/>
          <w:highlight w:val="none"/>
        </w:rPr>
      </w:pPr>
    </w:p>
    <w:p>
      <w:pPr>
        <w:spacing w:line="360" w:lineRule="auto"/>
        <w:ind w:right="-21" w:rightChars="-10"/>
        <w:rPr>
          <w:rFonts w:hint="eastAsia" w:ascii="宋体" w:hAnsi="宋体" w:cs="宋体"/>
          <w:color w:val="auto"/>
          <w:spacing w:val="11"/>
          <w:szCs w:val="21"/>
          <w:highlight w:val="none"/>
        </w:rPr>
      </w:pPr>
      <w:r>
        <w:rPr>
          <w:rFonts w:hint="eastAsia" w:ascii="宋体" w:hAnsi="宋体" w:cs="宋体"/>
          <w:color w:val="auto"/>
          <w:spacing w:val="11"/>
          <w:szCs w:val="21"/>
          <w:highlight w:val="none"/>
        </w:rPr>
        <w:t>注：1、商务条款内容主要是针对</w:t>
      </w:r>
      <w:r>
        <w:rPr>
          <w:rFonts w:hint="eastAsia" w:ascii="宋体" w:hAnsi="宋体" w:cs="宋体"/>
          <w:color w:val="auto"/>
          <w:spacing w:val="11"/>
          <w:szCs w:val="21"/>
          <w:highlight w:val="none"/>
          <w:lang w:val="en-US" w:eastAsia="zh-CN"/>
        </w:rPr>
        <w:t>招标</w:t>
      </w:r>
      <w:r>
        <w:rPr>
          <w:rFonts w:hint="eastAsia" w:ascii="宋体" w:hAnsi="宋体" w:cs="宋体"/>
          <w:color w:val="auto"/>
          <w:spacing w:val="11"/>
          <w:szCs w:val="21"/>
          <w:highlight w:val="none"/>
        </w:rPr>
        <w:t>文件有关的包括</w:t>
      </w:r>
      <w:r>
        <w:rPr>
          <w:rFonts w:hint="eastAsia" w:ascii="宋体" w:hAnsi="宋体" w:cs="宋体"/>
          <w:color w:val="auto"/>
          <w:spacing w:val="11"/>
          <w:szCs w:val="21"/>
          <w:highlight w:val="none"/>
          <w:lang w:val="en-US" w:eastAsia="zh-CN"/>
        </w:rPr>
        <w:t>服务期</w:t>
      </w:r>
      <w:r>
        <w:rPr>
          <w:rFonts w:hint="eastAsia" w:ascii="宋体" w:hAnsi="宋体" w:cs="宋体"/>
          <w:color w:val="auto"/>
          <w:spacing w:val="11"/>
          <w:szCs w:val="21"/>
          <w:highlight w:val="none"/>
        </w:rPr>
        <w:t>、</w:t>
      </w:r>
      <w:r>
        <w:rPr>
          <w:rFonts w:hint="eastAsia" w:ascii="宋体" w:hAnsi="宋体" w:cs="宋体"/>
          <w:color w:val="auto"/>
          <w:szCs w:val="21"/>
          <w:highlight w:val="none"/>
        </w:rPr>
        <w:t>付款条件、</w:t>
      </w:r>
      <w:r>
        <w:rPr>
          <w:rFonts w:hint="eastAsia" w:ascii="宋体" w:hAnsi="宋体" w:cs="宋体"/>
          <w:color w:val="auto"/>
          <w:spacing w:val="11"/>
          <w:szCs w:val="21"/>
          <w:highlight w:val="none"/>
        </w:rPr>
        <w:t>合同主要条款等内容。</w:t>
      </w:r>
    </w:p>
    <w:p>
      <w:pPr>
        <w:spacing w:line="360" w:lineRule="auto"/>
        <w:ind w:right="-21" w:rightChars="-10"/>
        <w:rPr>
          <w:rFonts w:hint="default" w:ascii="宋体" w:hAnsi="宋体" w:cs="宋体"/>
          <w:color w:val="auto"/>
          <w:spacing w:val="11"/>
          <w:szCs w:val="21"/>
          <w:highlight w:val="none"/>
          <w:lang w:val="en-US" w:eastAsia="zh-CN"/>
        </w:rPr>
      </w:pPr>
      <w:r>
        <w:rPr>
          <w:rFonts w:hint="eastAsia" w:ascii="宋体" w:hAnsi="宋体" w:cs="宋体"/>
          <w:color w:val="auto"/>
          <w:spacing w:val="11"/>
          <w:szCs w:val="21"/>
          <w:highlight w:val="none"/>
          <w:lang w:val="en-US" w:eastAsia="zh-CN"/>
        </w:rPr>
        <w:t>2、技术条款内容，主要针对招标文件有关的包括技术参数、技术方案等内容。</w:t>
      </w:r>
    </w:p>
    <w:p>
      <w:pPr>
        <w:spacing w:line="360" w:lineRule="auto"/>
        <w:ind w:right="-21" w:rightChars="-10"/>
        <w:rPr>
          <w:rFonts w:hint="eastAsia" w:ascii="宋体" w:hAnsi="宋体" w:cs="宋体"/>
          <w:color w:val="auto"/>
          <w:spacing w:val="11"/>
          <w:szCs w:val="21"/>
          <w:highlight w:val="none"/>
        </w:rPr>
      </w:pPr>
      <w:r>
        <w:rPr>
          <w:rFonts w:hint="eastAsia" w:ascii="宋体" w:hAnsi="宋体" w:cs="宋体"/>
          <w:color w:val="auto"/>
          <w:spacing w:val="11"/>
          <w:szCs w:val="21"/>
          <w:highlight w:val="none"/>
          <w:lang w:val="en-US" w:eastAsia="zh-CN"/>
        </w:rPr>
        <w:t>3</w:t>
      </w:r>
      <w:r>
        <w:rPr>
          <w:rFonts w:hint="eastAsia" w:ascii="宋体" w:hAnsi="宋体" w:cs="宋体"/>
          <w:color w:val="auto"/>
          <w:spacing w:val="11"/>
          <w:szCs w:val="21"/>
          <w:highlight w:val="none"/>
        </w:rPr>
        <w:t>、如不填写，则视为完全响应</w:t>
      </w:r>
      <w:r>
        <w:rPr>
          <w:rFonts w:hint="eastAsia" w:ascii="宋体" w:hAnsi="宋体" w:cs="宋体"/>
          <w:color w:val="auto"/>
          <w:spacing w:val="11"/>
          <w:szCs w:val="21"/>
          <w:highlight w:val="none"/>
          <w:lang w:val="en-US" w:eastAsia="zh-CN"/>
        </w:rPr>
        <w:t>招标</w:t>
      </w:r>
      <w:r>
        <w:rPr>
          <w:rFonts w:hint="eastAsia" w:ascii="宋体" w:hAnsi="宋体" w:cs="宋体"/>
          <w:color w:val="auto"/>
          <w:spacing w:val="11"/>
          <w:szCs w:val="21"/>
          <w:highlight w:val="none"/>
        </w:rPr>
        <w:t>文件；如有偏离请如实填写，偏离情况可按实际响应情况填写正偏离、负偏离或无偏离。</w:t>
      </w:r>
    </w:p>
    <w:p>
      <w:pPr>
        <w:spacing w:line="360" w:lineRule="auto"/>
        <w:rPr>
          <w:rFonts w:hint="eastAsia" w:ascii="宋体" w:hAnsi="宋体" w:cs="宋体"/>
          <w:color w:val="auto"/>
          <w:spacing w:val="11"/>
          <w:szCs w:val="21"/>
          <w:highlight w:val="none"/>
        </w:rPr>
      </w:pPr>
    </w:p>
    <w:p>
      <w:pPr>
        <w:keepNext w:val="0"/>
        <w:keepLines w:val="0"/>
        <w:pageBreakBefore w:val="0"/>
        <w:widowControl/>
        <w:kinsoku/>
        <w:wordWrap/>
        <w:overflowPunct/>
        <w:topLinePunct w:val="0"/>
        <w:autoSpaceDE/>
        <w:autoSpaceDN/>
        <w:bidi w:val="0"/>
        <w:adjustRightInd/>
        <w:snapToGrid/>
        <w:ind w:firstLine="3360" w:firstLineChars="14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u w:val="single"/>
          <w:lang w:eastAsia="zh-CN"/>
        </w:rPr>
        <w:t>盖章</w:t>
      </w:r>
      <w:r>
        <w:rPr>
          <w:rFonts w:hint="eastAsia" w:ascii="仿宋" w:hAnsi="仿宋" w:eastAsia="仿宋" w:cs="仿宋"/>
          <w:color w:val="auto"/>
          <w:sz w:val="24"/>
          <w:highlight w:val="none"/>
          <w:u w:val="single"/>
        </w:rPr>
        <w:t>）</w:t>
      </w:r>
    </w:p>
    <w:p>
      <w:pPr>
        <w:keepNext w:val="0"/>
        <w:keepLines w:val="0"/>
        <w:pageBreakBefore w:val="0"/>
        <w:widowControl/>
        <w:kinsoku/>
        <w:wordWrap/>
        <w:overflowPunct/>
        <w:topLinePunct w:val="0"/>
        <w:autoSpaceDE/>
        <w:autoSpaceDN/>
        <w:bidi w:val="0"/>
        <w:adjustRightInd/>
        <w:snapToGrid/>
        <w:ind w:firstLine="3360" w:firstLineChars="1400"/>
        <w:jc w:val="left"/>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法定代表人或委托代理人：</w:t>
      </w:r>
      <w:r>
        <w:rPr>
          <w:rFonts w:hint="eastAsia" w:ascii="仿宋" w:hAnsi="仿宋" w:eastAsia="仿宋" w:cs="仿宋"/>
          <w:b/>
          <w:bCs/>
          <w:color w:val="auto"/>
          <w:sz w:val="24"/>
          <w:highlight w:val="none"/>
          <w:u w:val="single"/>
        </w:rPr>
        <w:t>（签字或盖章）</w:t>
      </w:r>
    </w:p>
    <w:p>
      <w:pPr>
        <w:keepNext w:val="0"/>
        <w:keepLines w:val="0"/>
        <w:pageBreakBefore w:val="0"/>
        <w:widowControl/>
        <w:kinsoku/>
        <w:wordWrap/>
        <w:overflowPunct/>
        <w:topLinePunct w:val="0"/>
        <w:autoSpaceDE/>
        <w:autoSpaceDN/>
        <w:bidi w:val="0"/>
        <w:adjustRightInd/>
        <w:snapToGrid/>
        <w:ind w:firstLine="3360" w:firstLineChars="1400"/>
        <w:jc w:val="left"/>
        <w:textAlignment w:val="auto"/>
        <w:rPr>
          <w:rFonts w:hint="eastAsia" w:ascii="仿宋" w:hAnsi="仿宋" w:eastAsia="仿宋" w:cs="仿宋"/>
          <w:b/>
          <w:bCs/>
          <w:color w:val="auto"/>
          <w:sz w:val="32"/>
          <w:szCs w:val="32"/>
          <w:highlight w:val="none"/>
        </w:rPr>
      </w:pPr>
      <w:r>
        <w:rPr>
          <w:rFonts w:hint="eastAsia" w:ascii="仿宋" w:hAnsi="仿宋" w:eastAsia="仿宋" w:cs="仿宋"/>
          <w:color w:val="auto"/>
          <w:sz w:val="24"/>
          <w:highlight w:val="none"/>
        </w:rPr>
        <w:t>日期：</w:t>
      </w:r>
    </w:p>
    <w:p>
      <w:pPr>
        <w:snapToGrid w:val="0"/>
        <w:spacing w:before="156" w:beforeLines="50" w:after="50"/>
        <w:ind w:firstLine="6032" w:firstLineChars="2600"/>
        <w:rPr>
          <w:rFonts w:hint="eastAsia" w:ascii="宋体" w:hAnsi="宋体" w:cs="宋体"/>
          <w:color w:val="auto"/>
          <w:spacing w:val="11"/>
          <w:szCs w:val="21"/>
          <w:highlight w:val="none"/>
        </w:rPr>
      </w:pPr>
    </w:p>
    <w:p>
      <w:pPr>
        <w:snapToGrid w:val="0"/>
        <w:spacing w:before="156" w:beforeLines="50" w:after="50"/>
        <w:ind w:firstLine="6032" w:firstLineChars="2600"/>
        <w:rPr>
          <w:rFonts w:hint="eastAsia" w:ascii="宋体" w:hAnsi="宋体" w:cs="宋体"/>
          <w:color w:val="auto"/>
          <w:spacing w:val="11"/>
          <w:sz w:val="24"/>
          <w:highlight w:val="none"/>
        </w:rPr>
      </w:pPr>
      <w:r>
        <w:rPr>
          <w:rFonts w:hint="eastAsia" w:ascii="宋体" w:hAnsi="宋体" w:cs="宋体"/>
          <w:color w:val="auto"/>
          <w:spacing w:val="11"/>
          <w:szCs w:val="21"/>
          <w:highlight w:val="none"/>
        </w:rPr>
        <w:t>年    月    日</w:t>
      </w:r>
    </w:p>
    <w:p>
      <w:pPr>
        <w:pStyle w:val="5"/>
        <w:jc w:val="center"/>
        <w:rPr>
          <w:rFonts w:hint="eastAsia" w:ascii="宋体" w:hAnsi="宋体" w:eastAsia="宋体" w:cs="宋体"/>
          <w:b/>
          <w:bCs w:val="0"/>
          <w:spacing w:val="11"/>
          <w:kern w:val="2"/>
          <w:sz w:val="21"/>
          <w:szCs w:val="21"/>
          <w:lang w:val="en-US" w:eastAsia="zh-CN" w:bidi="ar-SA"/>
        </w:rPr>
      </w:pPr>
      <w:r>
        <w:rPr>
          <w:rFonts w:hint="eastAsia" w:ascii="仿宋" w:hAnsi="仿宋" w:eastAsia="仿宋" w:cs="仿宋"/>
          <w:color w:val="auto"/>
          <w:highlight w:val="none"/>
        </w:rPr>
        <w:br w:type="page"/>
      </w:r>
      <w:r>
        <w:rPr>
          <w:rFonts w:hint="eastAsia" w:ascii="仿宋" w:hAnsi="仿宋" w:eastAsia="仿宋" w:cs="仿宋"/>
          <w:color w:val="auto"/>
          <w:highlight w:val="none"/>
          <w:lang w:eastAsia="zh-CN"/>
        </w:rPr>
        <w:t>四</w:t>
      </w:r>
      <w:r>
        <w:rPr>
          <w:rFonts w:hint="eastAsia" w:ascii="仿宋" w:hAnsi="仿宋" w:eastAsia="仿宋" w:cs="仿宋"/>
          <w:color w:val="auto"/>
          <w:highlight w:val="none"/>
        </w:rPr>
        <w:t>、</w:t>
      </w:r>
      <w:r>
        <w:rPr>
          <w:rFonts w:hint="eastAsia" w:ascii="仿宋" w:hAnsi="仿宋" w:eastAsia="仿宋" w:cs="仿宋"/>
          <w:color w:val="auto"/>
          <w:highlight w:val="none"/>
          <w:lang w:val="en-US" w:eastAsia="zh-CN"/>
        </w:rPr>
        <w:fldChar w:fldCharType="begin"/>
      </w:r>
      <w:r>
        <w:rPr>
          <w:rFonts w:hint="eastAsia" w:ascii="仿宋" w:hAnsi="仿宋" w:eastAsia="仿宋" w:cs="仿宋"/>
          <w:color w:val="auto"/>
          <w:highlight w:val="none"/>
          <w:lang w:val="en-US" w:eastAsia="zh-CN"/>
        </w:rPr>
        <w:instrText xml:space="preserve"> HYPERLINK \l "_Toc335297862#_Toc335297862" </w:instrText>
      </w:r>
      <w:r>
        <w:rPr>
          <w:rFonts w:hint="eastAsia" w:ascii="仿宋" w:hAnsi="仿宋" w:eastAsia="仿宋" w:cs="仿宋"/>
          <w:color w:val="auto"/>
          <w:highlight w:val="none"/>
          <w:lang w:val="en-US" w:eastAsia="zh-CN"/>
        </w:rPr>
        <w:fldChar w:fldCharType="separate"/>
      </w:r>
      <w:r>
        <w:rPr>
          <w:rFonts w:hint="eastAsia" w:ascii="仿宋" w:hAnsi="仿宋" w:eastAsia="仿宋" w:cs="仿宋"/>
          <w:color w:val="auto"/>
          <w:highlight w:val="none"/>
          <w:lang w:val="en-US" w:eastAsia="zh-CN"/>
        </w:rPr>
        <w:t>货物清单及规格、技术参数偏离表</w:t>
      </w:r>
      <w:r>
        <w:rPr>
          <w:rFonts w:hint="eastAsia" w:ascii="仿宋" w:hAnsi="仿宋" w:eastAsia="仿宋" w:cs="仿宋"/>
          <w:color w:val="auto"/>
          <w:highlight w:val="none"/>
          <w:lang w:val="en-US" w:eastAsia="zh-CN"/>
        </w:rPr>
        <w:fldChar w:fldCharType="end"/>
      </w:r>
    </w:p>
    <w:p>
      <w:pPr>
        <w:snapToGrid w:val="0"/>
        <w:spacing w:line="400" w:lineRule="exact"/>
        <w:jc w:val="center"/>
        <w:rPr>
          <w:rFonts w:ascii="仿宋" w:hAnsi="仿宋" w:eastAsia="仿宋" w:cs="宋体"/>
          <w:b/>
          <w:color w:val="000000"/>
          <w:kern w:val="0"/>
          <w:sz w:val="30"/>
          <w:szCs w:val="30"/>
        </w:rPr>
      </w:pPr>
    </w:p>
    <w:p>
      <w:pPr>
        <w:snapToGrid w:val="0"/>
        <w:spacing w:line="436" w:lineRule="atLeast"/>
        <w:jc w:val="left"/>
        <w:rPr>
          <w:rFonts w:ascii="宋体" w:hAnsi="宋体"/>
          <w:color w:val="000000"/>
          <w:szCs w:val="21"/>
        </w:rPr>
      </w:pPr>
      <w:r>
        <w:rPr>
          <w:rFonts w:hint="eastAsia" w:ascii="宋体" w:hAnsi="宋体" w:cs="宋体"/>
          <w:kern w:val="0"/>
          <w:szCs w:val="21"/>
        </w:rPr>
        <w:t>项目名称：                               项目编号：</w:t>
      </w:r>
      <w:r>
        <w:rPr>
          <w:rFonts w:hint="eastAsia" w:ascii="宋体" w:hAnsi="宋体" w:cs="宋体"/>
          <w:szCs w:val="21"/>
        </w:rPr>
        <w:t xml:space="preserve">  </w:t>
      </w:r>
    </w:p>
    <w:p>
      <w:pPr>
        <w:snapToGrid w:val="0"/>
        <w:spacing w:line="80" w:lineRule="exact"/>
        <w:jc w:val="left"/>
        <w:rPr>
          <w:rFonts w:ascii="宋体" w:hAnsi="宋体"/>
          <w:color w:val="000000"/>
          <w:szCs w:val="21"/>
        </w:rPr>
      </w:pPr>
      <w:r>
        <w:rPr>
          <w:rFonts w:hint="eastAsia" w:ascii="宋体" w:hAnsi="宋体"/>
          <w:color w:val="000000"/>
          <w:szCs w:val="21"/>
        </w:rPr>
        <w:t xml:space="preserve">                   </w:t>
      </w:r>
    </w:p>
    <w:tbl>
      <w:tblPr>
        <w:tblStyle w:val="31"/>
        <w:tblW w:w="93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93"/>
        <w:gridCol w:w="1458"/>
        <w:gridCol w:w="2310"/>
        <w:gridCol w:w="2639"/>
        <w:gridCol w:w="2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8" w:hRule="atLeast"/>
          <w:jc w:val="center"/>
        </w:trPr>
        <w:tc>
          <w:tcPr>
            <w:tcW w:w="6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ascii="宋体" w:hAnsi="宋体"/>
                <w:color w:val="000000"/>
                <w:szCs w:val="21"/>
              </w:rPr>
            </w:pPr>
            <w:r>
              <w:rPr>
                <w:rFonts w:hint="eastAsia" w:ascii="宋体" w:hAnsi="宋体"/>
                <w:color w:val="000000"/>
                <w:szCs w:val="21"/>
              </w:rPr>
              <w:t>序号</w:t>
            </w:r>
          </w:p>
        </w:tc>
        <w:tc>
          <w:tcPr>
            <w:tcW w:w="1458"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ascii="宋体" w:hAnsi="宋体"/>
                <w:color w:val="000000"/>
                <w:szCs w:val="21"/>
              </w:rPr>
            </w:pPr>
            <w:r>
              <w:rPr>
                <w:rFonts w:hint="eastAsia" w:ascii="宋体" w:hAnsi="宋体"/>
                <w:color w:val="000000"/>
                <w:szCs w:val="21"/>
              </w:rPr>
              <w:t>名称</w:t>
            </w:r>
          </w:p>
        </w:tc>
        <w:tc>
          <w:tcPr>
            <w:tcW w:w="2310"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suppressLineNumbers w:val="0"/>
              <w:snapToGrid w:val="0"/>
              <w:spacing w:before="0" w:beforeAutospacing="0" w:after="0" w:afterAutospacing="0" w:line="277" w:lineRule="atLeast"/>
              <w:ind w:left="0" w:right="0"/>
              <w:jc w:val="center"/>
              <w:rPr>
                <w:rFonts w:ascii="宋体" w:hAnsi="宋体"/>
                <w:color w:val="000000"/>
                <w:szCs w:val="21"/>
              </w:rPr>
            </w:pPr>
            <w:r>
              <w:rPr>
                <w:rFonts w:hint="eastAsia" w:ascii="宋体" w:hAnsi="宋体"/>
                <w:color w:val="000000"/>
                <w:szCs w:val="21"/>
              </w:rPr>
              <w:t>采购文件要求</w:t>
            </w:r>
          </w:p>
        </w:tc>
        <w:tc>
          <w:tcPr>
            <w:tcW w:w="2639"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suppressLineNumbers w:val="0"/>
              <w:snapToGrid w:val="0"/>
              <w:spacing w:before="0" w:beforeAutospacing="0" w:after="0" w:afterAutospacing="0" w:line="277" w:lineRule="atLeast"/>
              <w:ind w:left="0" w:right="0"/>
              <w:jc w:val="center"/>
              <w:rPr>
                <w:rFonts w:ascii="宋体" w:hAnsi="宋体"/>
                <w:color w:val="000000"/>
                <w:szCs w:val="21"/>
              </w:rPr>
            </w:pPr>
            <w:r>
              <w:rPr>
                <w:rFonts w:hint="eastAsia" w:ascii="宋体" w:hAnsi="宋体"/>
                <w:color w:val="000000"/>
                <w:szCs w:val="21"/>
              </w:rPr>
              <w:t>响应文件响应内容</w:t>
            </w:r>
          </w:p>
        </w:tc>
        <w:tc>
          <w:tcPr>
            <w:tcW w:w="2250"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ascii="宋体" w:hAnsi="宋体"/>
                <w:color w:val="000000"/>
                <w:szCs w:val="21"/>
              </w:rPr>
            </w:pPr>
            <w:r>
              <w:rPr>
                <w:rFonts w:hint="eastAsia" w:ascii="宋体" w:hAnsi="宋体"/>
                <w:color w:val="000000"/>
                <w:szCs w:val="21"/>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9" w:hRule="atLeast"/>
          <w:jc w:val="center"/>
        </w:trPr>
        <w:tc>
          <w:tcPr>
            <w:tcW w:w="693"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ascii="宋体" w:hAnsi="宋体"/>
                <w:color w:val="000000"/>
                <w:szCs w:val="21"/>
              </w:rPr>
            </w:pPr>
          </w:p>
        </w:tc>
        <w:tc>
          <w:tcPr>
            <w:tcW w:w="1458" w:type="dxa"/>
            <w:tcBorders>
              <w:top w:val="single" w:color="auto" w:sz="4" w:space="0"/>
              <w:left w:val="single" w:color="auto"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ascii="宋体" w:hAnsi="宋体"/>
                <w:color w:val="000000"/>
                <w:szCs w:val="21"/>
              </w:rPr>
            </w:pPr>
          </w:p>
        </w:tc>
        <w:tc>
          <w:tcPr>
            <w:tcW w:w="2310" w:type="dxa"/>
            <w:tcBorders>
              <w:top w:val="single" w:color="auto" w:sz="4" w:space="0"/>
              <w:left w:val="single" w:color="auto"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ascii="宋体" w:hAnsi="宋体"/>
                <w:color w:val="000000"/>
                <w:szCs w:val="21"/>
              </w:rPr>
            </w:pPr>
          </w:p>
        </w:tc>
        <w:tc>
          <w:tcPr>
            <w:tcW w:w="2639" w:type="dxa"/>
            <w:tcBorders>
              <w:top w:val="single" w:color="auto" w:sz="4" w:space="0"/>
              <w:left w:val="single" w:color="auto"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ascii="宋体" w:hAnsi="宋体"/>
                <w:color w:val="000000"/>
                <w:szCs w:val="21"/>
              </w:rPr>
            </w:pPr>
          </w:p>
        </w:tc>
        <w:tc>
          <w:tcPr>
            <w:tcW w:w="2250" w:type="dxa"/>
            <w:tcBorders>
              <w:top w:val="single" w:color="auto" w:sz="4" w:space="0"/>
              <w:left w:val="single" w:color="auto"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9" w:hRule="atLeast"/>
          <w:jc w:val="center"/>
        </w:trPr>
        <w:tc>
          <w:tcPr>
            <w:tcW w:w="693"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ascii="宋体" w:hAnsi="宋体"/>
                <w:color w:val="000000"/>
                <w:szCs w:val="21"/>
              </w:rPr>
            </w:pPr>
          </w:p>
        </w:tc>
        <w:tc>
          <w:tcPr>
            <w:tcW w:w="1458" w:type="dxa"/>
            <w:tcBorders>
              <w:top w:val="single" w:color="auto" w:sz="4" w:space="0"/>
              <w:left w:val="single" w:color="auto" w:sz="4" w:space="0"/>
              <w:bottom w:val="single" w:color="auto"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ascii="宋体" w:hAnsi="宋体"/>
                <w:color w:val="000000"/>
                <w:szCs w:val="21"/>
              </w:rPr>
            </w:pPr>
          </w:p>
        </w:tc>
        <w:tc>
          <w:tcPr>
            <w:tcW w:w="2310" w:type="dxa"/>
            <w:tcBorders>
              <w:top w:val="single" w:color="auto" w:sz="4" w:space="0"/>
              <w:left w:val="single" w:color="auto" w:sz="4" w:space="0"/>
              <w:bottom w:val="single" w:color="auto"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ascii="宋体" w:hAnsi="宋体"/>
                <w:color w:val="000000"/>
                <w:szCs w:val="21"/>
              </w:rPr>
            </w:pPr>
          </w:p>
        </w:tc>
        <w:tc>
          <w:tcPr>
            <w:tcW w:w="2639" w:type="dxa"/>
            <w:tcBorders>
              <w:top w:val="single" w:color="auto" w:sz="4" w:space="0"/>
              <w:left w:val="single" w:color="auto" w:sz="4" w:space="0"/>
              <w:bottom w:val="single" w:color="auto"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ascii="宋体" w:hAnsi="宋体"/>
                <w:color w:val="000000"/>
                <w:szCs w:val="21"/>
              </w:rPr>
            </w:pPr>
          </w:p>
        </w:tc>
        <w:tc>
          <w:tcPr>
            <w:tcW w:w="2250" w:type="dxa"/>
            <w:tcBorders>
              <w:top w:val="single" w:color="auto" w:sz="4" w:space="0"/>
              <w:left w:val="single" w:color="auto" w:sz="4" w:space="0"/>
              <w:bottom w:val="single" w:color="auto"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9" w:hRule="atLeast"/>
          <w:jc w:val="center"/>
        </w:trPr>
        <w:tc>
          <w:tcPr>
            <w:tcW w:w="693"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ascii="宋体" w:hAnsi="宋体"/>
                <w:color w:val="000000"/>
                <w:szCs w:val="21"/>
              </w:rPr>
            </w:pPr>
          </w:p>
        </w:tc>
        <w:tc>
          <w:tcPr>
            <w:tcW w:w="1458" w:type="dxa"/>
            <w:tcBorders>
              <w:top w:val="single" w:color="auto" w:sz="4" w:space="0"/>
              <w:left w:val="single" w:color="auto"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ascii="宋体" w:hAnsi="宋体"/>
                <w:color w:val="000000"/>
                <w:szCs w:val="21"/>
              </w:rPr>
            </w:pPr>
            <w:r>
              <w:rPr>
                <w:rFonts w:hint="eastAsia" w:ascii="宋体" w:hAnsi="宋体"/>
                <w:color w:val="000000"/>
                <w:szCs w:val="21"/>
              </w:rPr>
              <w:t>……</w:t>
            </w:r>
          </w:p>
        </w:tc>
        <w:tc>
          <w:tcPr>
            <w:tcW w:w="2310" w:type="dxa"/>
            <w:tcBorders>
              <w:top w:val="single" w:color="auto" w:sz="4" w:space="0"/>
              <w:left w:val="single" w:color="auto"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ascii="宋体" w:hAnsi="宋体"/>
                <w:color w:val="000000"/>
                <w:szCs w:val="21"/>
              </w:rPr>
            </w:pPr>
          </w:p>
        </w:tc>
        <w:tc>
          <w:tcPr>
            <w:tcW w:w="2639" w:type="dxa"/>
            <w:tcBorders>
              <w:top w:val="single" w:color="auto" w:sz="4" w:space="0"/>
              <w:left w:val="single" w:color="auto"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ascii="宋体" w:hAnsi="宋体"/>
                <w:color w:val="000000"/>
                <w:szCs w:val="21"/>
              </w:rPr>
            </w:pPr>
          </w:p>
        </w:tc>
        <w:tc>
          <w:tcPr>
            <w:tcW w:w="2250" w:type="dxa"/>
            <w:tcBorders>
              <w:top w:val="single" w:color="auto" w:sz="4" w:space="0"/>
              <w:left w:val="single" w:color="auto"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ascii="宋体" w:hAnsi="宋体"/>
                <w:color w:val="000000"/>
                <w:szCs w:val="21"/>
              </w:rPr>
            </w:pPr>
          </w:p>
        </w:tc>
      </w:tr>
    </w:tbl>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eastAsia" w:ascii="宋体" w:hAnsi="宋体"/>
          <w:b w:val="0"/>
          <w:bCs w:val="0"/>
          <w:color w:val="000000"/>
          <w:szCs w:val="21"/>
        </w:rPr>
      </w:pPr>
      <w:r>
        <w:rPr>
          <w:rFonts w:hint="eastAsia" w:ascii="宋体" w:hAnsi="宋体"/>
          <w:b w:val="0"/>
          <w:bCs w:val="0"/>
          <w:color w:val="000000"/>
          <w:szCs w:val="21"/>
        </w:rPr>
        <w:t>注：1、此表须与采购文件“第</w:t>
      </w:r>
      <w:r>
        <w:rPr>
          <w:rFonts w:hint="eastAsia" w:ascii="宋体" w:hAnsi="宋体"/>
          <w:b w:val="0"/>
          <w:bCs w:val="0"/>
          <w:color w:val="000000"/>
          <w:szCs w:val="21"/>
          <w:lang w:val="en-US" w:eastAsia="zh-CN"/>
        </w:rPr>
        <w:t>二</w:t>
      </w:r>
      <w:r>
        <w:rPr>
          <w:rFonts w:hint="eastAsia" w:ascii="宋体" w:hAnsi="宋体"/>
          <w:b w:val="0"/>
          <w:bCs w:val="0"/>
          <w:color w:val="000000"/>
          <w:szCs w:val="21"/>
        </w:rPr>
        <w:t xml:space="preserve">章 </w:t>
      </w:r>
      <w:r>
        <w:rPr>
          <w:rFonts w:hint="eastAsia" w:ascii="宋体" w:hAnsi="宋体"/>
          <w:b w:val="0"/>
          <w:bCs w:val="0"/>
          <w:color w:val="000000"/>
          <w:szCs w:val="21"/>
          <w:lang w:eastAsia="zh-CN"/>
        </w:rPr>
        <w:t>采购需求</w:t>
      </w:r>
      <w:r>
        <w:rPr>
          <w:rFonts w:hint="eastAsia" w:ascii="宋体" w:hAnsi="宋体"/>
          <w:b w:val="0"/>
          <w:bCs w:val="0"/>
          <w:color w:val="000000"/>
          <w:szCs w:val="21"/>
        </w:rPr>
        <w:t>”相应标项内的所有技术规格相比较且一一对应真实逐条填列，并在“偏离情况”栏注明“正偏离”、“负偏离”或“无偏离”。</w:t>
      </w:r>
    </w:p>
    <w:p>
      <w:pPr>
        <w:keepNext w:val="0"/>
        <w:keepLines w:val="0"/>
        <w:pageBreakBefore w:val="0"/>
        <w:widowControl w:val="0"/>
        <w:kinsoku/>
        <w:wordWrap/>
        <w:overflowPunct/>
        <w:topLinePunct w:val="0"/>
        <w:autoSpaceDE/>
        <w:autoSpaceDN/>
        <w:bidi w:val="0"/>
        <w:adjustRightInd/>
        <w:snapToGrid w:val="0"/>
        <w:spacing w:line="600" w:lineRule="exact"/>
        <w:ind w:firstLine="420" w:firstLineChars="200"/>
        <w:textAlignment w:val="auto"/>
        <w:rPr>
          <w:rFonts w:hint="eastAsia" w:ascii="宋体" w:hAnsi="宋体"/>
          <w:b w:val="0"/>
          <w:bCs w:val="0"/>
          <w:color w:val="auto"/>
          <w:szCs w:val="21"/>
          <w:highlight w:val="none"/>
        </w:rPr>
      </w:pPr>
      <w:r>
        <w:rPr>
          <w:rFonts w:hint="eastAsia" w:ascii="宋体" w:hAnsi="宋体"/>
          <w:b w:val="0"/>
          <w:bCs w:val="0"/>
          <w:color w:val="000000"/>
          <w:szCs w:val="21"/>
          <w:highlight w:val="none"/>
          <w:lang w:val="en-US" w:eastAsia="zh-CN"/>
        </w:rPr>
        <w:t>2、</w:t>
      </w:r>
      <w:r>
        <w:rPr>
          <w:rFonts w:hint="eastAsia" w:ascii="宋体" w:hAnsi="宋体"/>
          <w:b w:val="0"/>
          <w:bCs w:val="0"/>
          <w:color w:val="000000"/>
          <w:szCs w:val="21"/>
          <w:highlight w:val="none"/>
          <w:lang w:eastAsia="zh-CN"/>
        </w:rPr>
        <w:t>按采购需求规定提供相应证明材料</w:t>
      </w:r>
      <w:r>
        <w:rPr>
          <w:rFonts w:hint="eastAsia" w:ascii="宋体" w:hAnsi="宋体" w:cs="宋体"/>
          <w:b w:val="0"/>
          <w:bCs w:val="0"/>
          <w:color w:val="auto"/>
          <w:sz w:val="21"/>
          <w:szCs w:val="22"/>
          <w:highlight w:val="none"/>
          <w:lang w:val="en-US" w:eastAsia="zh-CN"/>
        </w:rPr>
        <w:t>。</w:t>
      </w:r>
    </w:p>
    <w:p>
      <w:pPr>
        <w:keepNext w:val="0"/>
        <w:keepLines w:val="0"/>
        <w:pageBreakBefore w:val="0"/>
        <w:widowControl w:val="0"/>
        <w:kinsoku/>
        <w:wordWrap/>
        <w:overflowPunct/>
        <w:topLinePunct w:val="0"/>
        <w:autoSpaceDE/>
        <w:autoSpaceDN/>
        <w:bidi w:val="0"/>
        <w:adjustRightInd/>
        <w:snapToGrid w:val="0"/>
        <w:spacing w:line="600" w:lineRule="exact"/>
        <w:ind w:firstLine="420" w:firstLineChars="200"/>
        <w:textAlignment w:val="auto"/>
        <w:rPr>
          <w:rFonts w:hint="eastAsia" w:ascii="宋体" w:hAnsi="宋体"/>
          <w:b w:val="0"/>
          <w:bCs w:val="0"/>
          <w:color w:val="000000"/>
          <w:szCs w:val="21"/>
        </w:rPr>
      </w:pPr>
      <w:r>
        <w:rPr>
          <w:rFonts w:hint="eastAsia" w:ascii="宋体" w:hAnsi="宋体"/>
          <w:b w:val="0"/>
          <w:bCs w:val="0"/>
          <w:color w:val="000000"/>
          <w:szCs w:val="21"/>
          <w:lang w:val="en-US" w:eastAsia="zh-CN"/>
        </w:rPr>
        <w:t>3</w:t>
      </w:r>
      <w:r>
        <w:rPr>
          <w:rFonts w:hint="eastAsia" w:ascii="宋体" w:hAnsi="宋体"/>
          <w:b w:val="0"/>
          <w:bCs w:val="0"/>
          <w:color w:val="000000"/>
          <w:szCs w:val="21"/>
        </w:rPr>
        <w:t>、本表供参考，在不改变格式的情况下可自行制作。</w:t>
      </w:r>
    </w:p>
    <w:p>
      <w:pPr>
        <w:pStyle w:val="12"/>
        <w:keepNext w:val="0"/>
        <w:keepLines w:val="0"/>
        <w:pageBreakBefore w:val="0"/>
        <w:widowControl w:val="0"/>
        <w:kinsoku/>
        <w:wordWrap/>
        <w:overflowPunct/>
        <w:topLinePunct w:val="0"/>
        <w:autoSpaceDE/>
        <w:autoSpaceDN/>
        <w:bidi w:val="0"/>
        <w:adjustRightInd/>
        <w:spacing w:line="600" w:lineRule="exact"/>
        <w:textAlignment w:val="auto"/>
      </w:pPr>
    </w:p>
    <w:p>
      <w:pPr>
        <w:keepNext w:val="0"/>
        <w:keepLines w:val="0"/>
        <w:pageBreakBefore w:val="0"/>
        <w:widowControl w:val="0"/>
        <w:kinsoku/>
        <w:wordWrap/>
        <w:overflowPunct/>
        <w:topLinePunct w:val="0"/>
        <w:autoSpaceDE/>
        <w:autoSpaceDN/>
        <w:bidi w:val="0"/>
        <w:adjustRightInd/>
        <w:spacing w:line="600" w:lineRule="exact"/>
        <w:ind w:firstLine="4200" w:firstLineChars="2000"/>
        <w:textAlignment w:val="auto"/>
        <w:rPr>
          <w:rFonts w:ascii="宋体" w:hAnsi="宋体"/>
          <w:color w:val="000000"/>
          <w:kern w:val="0"/>
          <w:szCs w:val="21"/>
        </w:rPr>
      </w:pPr>
    </w:p>
    <w:p>
      <w:pPr>
        <w:keepNext w:val="0"/>
        <w:keepLines w:val="0"/>
        <w:pageBreakBefore w:val="0"/>
        <w:widowControl w:val="0"/>
        <w:kinsoku/>
        <w:wordWrap/>
        <w:overflowPunct/>
        <w:topLinePunct w:val="0"/>
        <w:autoSpaceDE/>
        <w:autoSpaceDN/>
        <w:bidi w:val="0"/>
        <w:adjustRightInd/>
        <w:spacing w:line="600" w:lineRule="exact"/>
        <w:ind w:firstLine="4200" w:firstLineChars="2000"/>
        <w:textAlignment w:val="auto"/>
        <w:rPr>
          <w:rFonts w:ascii="宋体" w:hAnsi="宋体"/>
          <w:color w:val="000000"/>
          <w:kern w:val="0"/>
          <w:szCs w:val="21"/>
        </w:rPr>
      </w:pPr>
    </w:p>
    <w:p>
      <w:pPr>
        <w:pStyle w:val="68"/>
        <w:spacing w:line="240" w:lineRule="auto"/>
        <w:ind w:firstLine="482" w:firstLineChars="200"/>
        <w:rPr>
          <w:rFonts w:hint="eastAsia" w:ascii="仿宋" w:hAnsi="仿宋" w:eastAsia="仿宋" w:cs="仿宋"/>
          <w:b/>
          <w:bCs/>
          <w:color w:val="auto"/>
          <w:sz w:val="24"/>
          <w:szCs w:val="24"/>
          <w:highlight w:val="none"/>
          <w:lang w:val="en-US" w:eastAsia="zh-CN"/>
        </w:rPr>
      </w:pPr>
    </w:p>
    <w:p>
      <w:pPr>
        <w:pStyle w:val="68"/>
        <w:spacing w:line="615" w:lineRule="exact"/>
        <w:ind w:right="800" w:firstLine="0"/>
        <w:jc w:val="center"/>
        <w:rPr>
          <w:rFonts w:hint="eastAsia" w:ascii="仿宋" w:hAnsi="仿宋" w:eastAsia="仿宋" w:cs="仿宋"/>
          <w:color w:val="auto"/>
          <w:sz w:val="24"/>
          <w:szCs w:val="24"/>
          <w:highlight w:val="none"/>
        </w:rPr>
      </w:pPr>
    </w:p>
    <w:p>
      <w:pPr>
        <w:pStyle w:val="68"/>
        <w:keepNext w:val="0"/>
        <w:keepLines w:val="0"/>
        <w:pageBreakBefore w:val="0"/>
        <w:widowControl w:val="0"/>
        <w:kinsoku/>
        <w:wordWrap/>
        <w:overflowPunct/>
        <w:topLinePunct w:val="0"/>
        <w:autoSpaceDE/>
        <w:autoSpaceDN/>
        <w:bidi w:val="0"/>
        <w:adjustRightInd/>
        <w:snapToGrid/>
        <w:spacing w:line="615" w:lineRule="exact"/>
        <w:ind w:right="0" w:firstLine="2400" w:firstLineChars="1000"/>
        <w:jc w:val="left"/>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投标人：</w:t>
      </w:r>
      <w:r>
        <w:rPr>
          <w:rFonts w:hint="eastAsia" w:ascii="仿宋" w:hAnsi="仿宋" w:eastAsia="仿宋" w:cs="仿宋"/>
          <w:color w:val="auto"/>
          <w:sz w:val="24"/>
          <w:szCs w:val="24"/>
          <w:highlight w:val="none"/>
          <w:u w:val="single"/>
        </w:rPr>
        <w:t>（</w:t>
      </w:r>
      <w:r>
        <w:rPr>
          <w:rFonts w:hint="eastAsia" w:ascii="仿宋" w:hAnsi="仿宋" w:eastAsia="仿宋" w:cs="仿宋"/>
          <w:color w:val="auto"/>
          <w:sz w:val="24"/>
          <w:szCs w:val="24"/>
          <w:highlight w:val="none"/>
          <w:u w:val="single"/>
          <w:lang w:eastAsia="zh-CN"/>
        </w:rPr>
        <w:t>盖章</w:t>
      </w:r>
      <w:r>
        <w:rPr>
          <w:rFonts w:hint="eastAsia" w:ascii="仿宋" w:hAnsi="仿宋" w:eastAsia="仿宋" w:cs="仿宋"/>
          <w:color w:val="auto"/>
          <w:sz w:val="24"/>
          <w:szCs w:val="24"/>
          <w:highlight w:val="none"/>
          <w:u w:val="single"/>
        </w:rPr>
        <w:t>）</w:t>
      </w:r>
    </w:p>
    <w:p>
      <w:pPr>
        <w:pStyle w:val="68"/>
        <w:keepNext w:val="0"/>
        <w:keepLines w:val="0"/>
        <w:pageBreakBefore w:val="0"/>
        <w:widowControl w:val="0"/>
        <w:kinsoku/>
        <w:wordWrap/>
        <w:overflowPunct/>
        <w:topLinePunct w:val="0"/>
        <w:autoSpaceDE/>
        <w:autoSpaceDN/>
        <w:bidi w:val="0"/>
        <w:adjustRightInd/>
        <w:snapToGrid/>
        <w:spacing w:line="615" w:lineRule="exact"/>
        <w:ind w:right="0" w:firstLine="2400" w:firstLineChars="1000"/>
        <w:jc w:val="left"/>
        <w:textAlignment w:val="auto"/>
        <w:rPr>
          <w:rFonts w:hint="eastAsia" w:ascii="仿宋" w:hAnsi="仿宋" w:eastAsia="仿宋" w:cs="仿宋"/>
          <w:b/>
          <w:bCs/>
          <w:color w:val="auto"/>
          <w:sz w:val="24"/>
          <w:szCs w:val="24"/>
          <w:highlight w:val="none"/>
          <w:u w:val="single"/>
          <w:lang w:eastAsia="zh-CN"/>
        </w:rPr>
      </w:pPr>
      <w:r>
        <w:rPr>
          <w:rFonts w:hint="eastAsia" w:ascii="仿宋" w:hAnsi="仿宋" w:eastAsia="仿宋" w:cs="仿宋"/>
          <w:color w:val="auto"/>
          <w:sz w:val="24"/>
          <w:szCs w:val="24"/>
          <w:highlight w:val="none"/>
          <w:lang w:eastAsia="zh-CN"/>
        </w:rPr>
        <w:t>法定代表人</w:t>
      </w:r>
      <w:r>
        <w:rPr>
          <w:rFonts w:hint="eastAsia" w:ascii="仿宋" w:hAnsi="仿宋" w:eastAsia="仿宋" w:cs="仿宋"/>
          <w:color w:val="auto"/>
          <w:sz w:val="24"/>
          <w:szCs w:val="24"/>
          <w:highlight w:val="none"/>
        </w:rPr>
        <w:t>或委托代理</w:t>
      </w:r>
      <w:r>
        <w:rPr>
          <w:rFonts w:hint="eastAsia" w:ascii="仿宋" w:hAnsi="仿宋" w:eastAsia="仿宋" w:cs="仿宋"/>
          <w:b w:val="0"/>
          <w:bCs w:val="0"/>
          <w:color w:val="auto"/>
          <w:sz w:val="24"/>
          <w:szCs w:val="24"/>
          <w:highlight w:val="none"/>
        </w:rPr>
        <w:t>人</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u w:val="single"/>
        </w:rPr>
        <w:t>（签字或盖章）</w:t>
      </w:r>
    </w:p>
    <w:p>
      <w:pPr>
        <w:pStyle w:val="68"/>
        <w:keepNext w:val="0"/>
        <w:keepLines w:val="0"/>
        <w:pageBreakBefore w:val="0"/>
        <w:widowControl w:val="0"/>
        <w:kinsoku/>
        <w:wordWrap/>
        <w:overflowPunct/>
        <w:topLinePunct w:val="0"/>
        <w:autoSpaceDE/>
        <w:autoSpaceDN/>
        <w:bidi w:val="0"/>
        <w:adjustRightInd/>
        <w:snapToGrid/>
        <w:spacing w:line="615" w:lineRule="exact"/>
        <w:ind w:right="0" w:firstLine="2400" w:firstLineChars="10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w:t>
      </w:r>
    </w:p>
    <w:p>
      <w:pPr>
        <w:rPr>
          <w:rFonts w:hint="eastAsia" w:ascii="仿宋" w:hAnsi="仿宋" w:eastAsia="仿宋" w:cs="仿宋"/>
          <w:color w:val="auto"/>
          <w:highlight w:val="none"/>
        </w:rPr>
      </w:pPr>
      <w:r>
        <w:rPr>
          <w:rFonts w:hint="eastAsia" w:ascii="仿宋" w:hAnsi="仿宋" w:eastAsia="仿宋" w:cs="仿宋"/>
          <w:color w:val="auto"/>
          <w:highlight w:val="none"/>
        </w:rPr>
        <w:br w:type="page"/>
      </w:r>
    </w:p>
    <w:p>
      <w:pPr>
        <w:pStyle w:val="5"/>
        <w:jc w:val="center"/>
        <w:rPr>
          <w:rFonts w:hint="eastAsia" w:ascii="仿宋" w:hAnsi="仿宋" w:eastAsia="仿宋" w:cs="仿宋"/>
          <w:color w:val="auto"/>
          <w:highlight w:val="none"/>
          <w:lang w:val="zh-CN" w:eastAsia="zh-CN"/>
        </w:rPr>
      </w:pPr>
      <w:r>
        <w:rPr>
          <w:rFonts w:hint="eastAsia" w:ascii="仿宋" w:hAnsi="仿宋" w:eastAsia="仿宋" w:cs="仿宋"/>
          <w:color w:val="auto"/>
          <w:highlight w:val="none"/>
          <w:lang w:val="en-US" w:eastAsia="zh-CN"/>
        </w:rPr>
        <w:t>五、</w:t>
      </w:r>
      <w:r>
        <w:rPr>
          <w:rFonts w:hint="eastAsia" w:ascii="仿宋" w:hAnsi="仿宋" w:eastAsia="仿宋" w:cs="仿宋"/>
          <w:color w:val="auto"/>
          <w:highlight w:val="none"/>
          <w:lang w:val="zh-CN" w:eastAsia="zh-CN"/>
        </w:rPr>
        <w:t>投标人</w:t>
      </w:r>
      <w:r>
        <w:rPr>
          <w:rFonts w:hint="eastAsia" w:ascii="仿宋" w:hAnsi="仿宋" w:eastAsia="仿宋" w:cs="仿宋"/>
          <w:color w:val="auto"/>
          <w:highlight w:val="none"/>
          <w:lang w:val="en-US" w:eastAsia="zh-CN"/>
        </w:rPr>
        <w:t>根据评标办法所需提供的证明材料</w:t>
      </w:r>
      <w:r>
        <w:rPr>
          <w:rFonts w:hint="eastAsia" w:ascii="仿宋" w:hAnsi="仿宋" w:eastAsia="仿宋" w:cs="仿宋"/>
          <w:color w:val="auto"/>
          <w:highlight w:val="none"/>
          <w:lang w:val="zh-CN" w:eastAsia="zh-CN"/>
        </w:rPr>
        <w:t>（格式自拟)</w:t>
      </w:r>
    </w:p>
    <w:p>
      <w:pPr>
        <w:pStyle w:val="14"/>
        <w:spacing w:line="360" w:lineRule="auto"/>
        <w:ind w:firstLine="221" w:firstLineChars="129"/>
      </w:pPr>
    </w:p>
    <w:p>
      <w:pPr>
        <w:pStyle w:val="23"/>
        <w:rPr>
          <w:rFonts w:hint="eastAsia" w:ascii="仿宋" w:hAnsi="仿宋" w:eastAsia="仿宋" w:cs="仿宋"/>
          <w:color w:val="auto"/>
          <w:highlight w:val="none"/>
        </w:rPr>
      </w:pPr>
    </w:p>
    <w:p>
      <w:pPr>
        <w:pStyle w:val="12"/>
        <w:ind w:firstLine="0"/>
        <w:rPr>
          <w:rFonts w:hint="eastAsia" w:ascii="仿宋" w:hAnsi="仿宋" w:eastAsia="仿宋" w:cs="仿宋"/>
          <w:color w:val="auto"/>
          <w:sz w:val="24"/>
          <w:szCs w:val="24"/>
          <w:highlight w:val="none"/>
        </w:rPr>
      </w:pPr>
    </w:p>
    <w:p>
      <w:pPr>
        <w:pStyle w:val="17"/>
        <w:widowControl w:val="0"/>
        <w:snapToGrid w:val="0"/>
        <w:ind w:firstLine="4320" w:firstLineChars="1800"/>
        <w:rPr>
          <w:rFonts w:hint="eastAsia" w:eastAsia="仿宋" w:asciiTheme="minorEastAsia" w:hAnsiTheme="minorEastAsia"/>
          <w:lang w:eastAsia="zh-CN"/>
        </w:rPr>
        <w:sectPr>
          <w:pgSz w:w="11906" w:h="16838"/>
          <w:pgMar w:top="1797" w:right="1440" w:bottom="1797" w:left="1440" w:header="709" w:footer="975" w:gutter="0"/>
          <w:cols w:space="720" w:num="1"/>
          <w:docGrid w:linePitch="360" w:charSpace="0"/>
        </w:sectPr>
      </w:pPr>
      <w:r>
        <w:rPr>
          <w:rFonts w:hint="eastAsia" w:ascii="仿宋" w:hAnsi="仿宋" w:eastAsia="仿宋" w:cs="仿宋"/>
          <w:color w:val="auto"/>
          <w:highlight w:val="none"/>
        </w:rPr>
        <w:br w:type="page"/>
      </w:r>
      <w:bookmarkEnd w:id="395"/>
      <w:bookmarkEnd w:id="396"/>
      <w:bookmarkEnd w:id="397"/>
      <w:bookmarkEnd w:id="398"/>
      <w:bookmarkStart w:id="399" w:name="_Toc11210"/>
      <w:bookmarkStart w:id="400" w:name="_Toc19040"/>
      <w:bookmarkStart w:id="401" w:name="_Toc32227_WPSOffice_Level2"/>
      <w:bookmarkStart w:id="402" w:name="_Toc31748"/>
      <w:bookmarkStart w:id="403" w:name="_Toc13293"/>
      <w:bookmarkStart w:id="404" w:name="_Toc18061"/>
      <w:bookmarkStart w:id="405" w:name="_Toc30000"/>
    </w:p>
    <w:p>
      <w:pPr>
        <w:pStyle w:val="12"/>
        <w:ind w:left="0" w:leftChars="0" w:firstLine="0" w:firstLineChars="0"/>
        <w:jc w:val="both"/>
        <w:outlineLvl w:val="1"/>
        <w:rPr>
          <w:rFonts w:hint="eastAsia" w:ascii="仿宋" w:hAnsi="仿宋" w:eastAsia="仿宋" w:cs="仿宋"/>
          <w:b/>
          <w:bCs/>
          <w:snapToGrid/>
          <w:color w:val="auto"/>
          <w:kern w:val="28"/>
          <w:sz w:val="28"/>
          <w:szCs w:val="32"/>
          <w:highlight w:val="none"/>
          <w:lang w:val="en-US" w:eastAsia="zh-CN" w:bidi="ar-SA"/>
        </w:rPr>
      </w:pPr>
    </w:p>
    <w:p>
      <w:pPr>
        <w:pStyle w:val="12"/>
        <w:ind w:left="0" w:leftChars="0" w:firstLine="0" w:firstLineChars="0"/>
        <w:jc w:val="center"/>
        <w:outlineLvl w:val="1"/>
        <w:rPr>
          <w:rFonts w:hint="eastAsia" w:ascii="仿宋" w:hAnsi="仿宋" w:eastAsia="仿宋" w:cs="仿宋"/>
          <w:b/>
          <w:bCs/>
          <w:snapToGrid/>
          <w:color w:val="auto"/>
          <w:kern w:val="28"/>
          <w:sz w:val="28"/>
          <w:szCs w:val="32"/>
          <w:highlight w:val="none"/>
          <w:lang w:val="en-US" w:eastAsia="zh-CN" w:bidi="ar-SA"/>
        </w:rPr>
      </w:pPr>
      <w:r>
        <w:rPr>
          <w:rFonts w:hint="eastAsia" w:ascii="仿宋" w:hAnsi="仿宋" w:eastAsia="仿宋" w:cs="仿宋"/>
          <w:b/>
          <w:bCs/>
          <w:snapToGrid/>
          <w:color w:val="auto"/>
          <w:kern w:val="28"/>
          <w:sz w:val="28"/>
          <w:szCs w:val="32"/>
          <w:highlight w:val="none"/>
          <w:lang w:val="en-US" w:eastAsia="zh-CN" w:bidi="ar-SA"/>
        </w:rPr>
        <w:t>六、投标人认为需提交的其他文件和说明；</w:t>
      </w:r>
      <w:bookmarkEnd w:id="399"/>
    </w:p>
    <w:bookmarkEnd w:id="400"/>
    <w:bookmarkEnd w:id="401"/>
    <w:bookmarkEnd w:id="402"/>
    <w:bookmarkEnd w:id="403"/>
    <w:bookmarkEnd w:id="404"/>
    <w:bookmarkEnd w:id="405"/>
    <w:p>
      <w:pPr>
        <w:pStyle w:val="23"/>
        <w:rPr>
          <w:rFonts w:hint="eastAsia" w:ascii="仿宋" w:hAnsi="仿宋" w:eastAsia="仿宋" w:cs="仿宋"/>
          <w:color w:val="auto"/>
          <w:sz w:val="24"/>
          <w:highlight w:val="none"/>
        </w:rPr>
      </w:pPr>
      <w:r>
        <w:rPr>
          <w:rFonts w:hint="eastAsia" w:ascii="仿宋" w:hAnsi="仿宋" w:eastAsia="仿宋" w:cs="仿宋"/>
          <w:color w:val="auto"/>
          <w:highlight w:val="none"/>
        </w:rPr>
        <w:br w:type="page"/>
      </w:r>
      <w:r>
        <w:rPr>
          <w:rFonts w:hint="eastAsia" w:ascii="仿宋" w:hAnsi="仿宋" w:eastAsia="仿宋" w:cs="仿宋"/>
          <w:color w:val="auto"/>
          <w:highlight w:val="none"/>
        </w:rPr>
        <w:t>一、投标函</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致：</w:t>
      </w:r>
      <w:r>
        <w:rPr>
          <w:rFonts w:hint="eastAsia" w:ascii="仿宋" w:hAnsi="仿宋" w:eastAsia="仿宋" w:cs="仿宋"/>
          <w:color w:val="auto"/>
          <w:sz w:val="24"/>
          <w:highlight w:val="none"/>
          <w:u w:val="single"/>
        </w:rPr>
        <w:t xml:space="preserve">                         （采购人） </w:t>
      </w:r>
    </w:p>
    <w:p>
      <w:pPr>
        <w:spacing w:line="360" w:lineRule="auto"/>
        <w:ind w:firstLine="600" w:firstLineChars="250"/>
        <w:rPr>
          <w:rFonts w:hint="eastAsia" w:ascii="仿宋" w:hAnsi="仿宋" w:eastAsia="仿宋" w:cs="仿宋"/>
          <w:color w:val="auto"/>
          <w:sz w:val="24"/>
          <w:highlight w:val="none"/>
        </w:rPr>
      </w:pPr>
      <w:r>
        <w:rPr>
          <w:rFonts w:hint="eastAsia" w:ascii="仿宋" w:hAnsi="仿宋" w:eastAsia="仿宋" w:cs="仿宋"/>
          <w:color w:val="auto"/>
          <w:sz w:val="24"/>
          <w:highlight w:val="none"/>
        </w:rPr>
        <w:t>根据贵方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eastAsia="zh-CN"/>
        </w:rPr>
        <w:t>（项目名称）</w:t>
      </w:r>
      <w:r>
        <w:rPr>
          <w:rFonts w:hint="eastAsia" w:ascii="仿宋" w:hAnsi="仿宋" w:eastAsia="仿宋" w:cs="仿宋"/>
          <w:color w:val="auto"/>
          <w:sz w:val="24"/>
          <w:highlight w:val="none"/>
          <w:u w:val="none"/>
          <w:lang w:eastAsia="zh-CN"/>
        </w:rPr>
        <w:t>的</w:t>
      </w:r>
      <w:r>
        <w:rPr>
          <w:rFonts w:hint="eastAsia" w:ascii="仿宋" w:hAnsi="仿宋" w:eastAsia="仿宋" w:cs="仿宋"/>
          <w:color w:val="auto"/>
          <w:sz w:val="24"/>
          <w:highlight w:val="none"/>
        </w:rPr>
        <w:t>招标采购文件，</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（投标人）正式授权的（姓名）</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（职务）</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，提交招标采购文件要求的全套投标文件，同时承诺如下：</w:t>
      </w:r>
    </w:p>
    <w:p>
      <w:pPr>
        <w:spacing w:line="360" w:lineRule="auto"/>
        <w:ind w:firstLine="600" w:firstLineChars="250"/>
        <w:rPr>
          <w:rFonts w:hint="eastAsia" w:ascii="仿宋" w:hAnsi="仿宋" w:eastAsia="仿宋" w:cs="仿宋"/>
          <w:color w:val="auto"/>
          <w:sz w:val="24"/>
          <w:highlight w:val="none"/>
        </w:rPr>
      </w:pPr>
      <w:r>
        <w:rPr>
          <w:rFonts w:hint="eastAsia" w:ascii="仿宋" w:hAnsi="仿宋" w:eastAsia="仿宋" w:cs="仿宋"/>
          <w:color w:val="auto"/>
          <w:sz w:val="24"/>
          <w:highlight w:val="none"/>
        </w:rPr>
        <w:t>（一）我方已详细审核并确认全部招标采购文件，包括修改文件（如有）及有关附件。</w:t>
      </w:r>
    </w:p>
    <w:p>
      <w:pPr>
        <w:spacing w:line="360" w:lineRule="auto"/>
        <w:ind w:firstLine="600" w:firstLineChars="250"/>
        <w:rPr>
          <w:rFonts w:hint="eastAsia" w:ascii="仿宋" w:hAnsi="仿宋" w:eastAsia="仿宋" w:cs="仿宋"/>
          <w:color w:val="auto"/>
          <w:sz w:val="24"/>
          <w:highlight w:val="none"/>
        </w:rPr>
      </w:pPr>
      <w:r>
        <w:rPr>
          <w:rFonts w:hint="eastAsia" w:ascii="仿宋" w:hAnsi="仿宋" w:eastAsia="仿宋" w:cs="仿宋"/>
          <w:color w:val="auto"/>
          <w:sz w:val="24"/>
          <w:highlight w:val="none"/>
        </w:rPr>
        <w:t>（二）一旦我方中标，我方将按照投标文件中的承诺组建项目团队人员，由投标文件所承诺的人员完成本项目的全部工作，保证在未征得采购人同意的前提下不变更主要人员，保证按承诺的工期完成并提供相应的服务。</w:t>
      </w:r>
    </w:p>
    <w:p>
      <w:pPr>
        <w:spacing w:line="360" w:lineRule="auto"/>
        <w:ind w:firstLine="600" w:firstLineChars="250"/>
        <w:rPr>
          <w:rFonts w:hint="eastAsia" w:ascii="仿宋" w:hAnsi="仿宋" w:eastAsia="仿宋" w:cs="仿宋"/>
          <w:color w:val="auto"/>
          <w:sz w:val="24"/>
          <w:highlight w:val="none"/>
        </w:rPr>
      </w:pPr>
      <w:r>
        <w:rPr>
          <w:rFonts w:hint="eastAsia" w:ascii="仿宋" w:hAnsi="仿宋" w:eastAsia="仿宋" w:cs="仿宋"/>
          <w:color w:val="auto"/>
          <w:sz w:val="24"/>
          <w:highlight w:val="none"/>
        </w:rPr>
        <w:t>（三）我方同意所提交的投标文件在招标采购文件的投标须知中规定的投标有效期限内有效，在此期间内如果中标，我方将受此约束。</w:t>
      </w:r>
    </w:p>
    <w:p>
      <w:pPr>
        <w:spacing w:line="360" w:lineRule="auto"/>
        <w:ind w:firstLine="600" w:firstLineChars="250"/>
        <w:rPr>
          <w:rFonts w:hint="eastAsia" w:ascii="仿宋" w:hAnsi="仿宋" w:eastAsia="仿宋" w:cs="仿宋"/>
          <w:color w:val="auto"/>
          <w:sz w:val="24"/>
          <w:highlight w:val="none"/>
        </w:rPr>
      </w:pPr>
      <w:r>
        <w:rPr>
          <w:rFonts w:hint="eastAsia" w:ascii="仿宋" w:hAnsi="仿宋" w:eastAsia="仿宋" w:cs="仿宋"/>
          <w:color w:val="auto"/>
          <w:sz w:val="24"/>
          <w:highlight w:val="none"/>
        </w:rPr>
        <w:t>（四）除非另外达成协议并生效，贵方的中标通知书和本投标文件将成为约束双方的合同文件的组成部分。</w:t>
      </w:r>
    </w:p>
    <w:p>
      <w:pPr>
        <w:spacing w:before="156" w:beforeLines="50"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（五）其他补充说明：（补充说明事项）与本投标有关的一切正式往来以书面形式为准。</w:t>
      </w:r>
    </w:p>
    <w:p>
      <w:pPr>
        <w:spacing w:before="156" w:beforeLines="50" w:line="360" w:lineRule="auto"/>
        <w:ind w:firstLine="4080" w:firstLineChars="17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u w:val="single"/>
          <w:lang w:eastAsia="zh-CN"/>
        </w:rPr>
        <w:t>盖章</w:t>
      </w:r>
      <w:r>
        <w:rPr>
          <w:rFonts w:hint="eastAsia" w:ascii="仿宋" w:hAnsi="仿宋" w:eastAsia="仿宋" w:cs="仿宋"/>
          <w:color w:val="auto"/>
          <w:sz w:val="24"/>
          <w:highlight w:val="none"/>
          <w:u w:val="single"/>
        </w:rPr>
        <w:t>）</w:t>
      </w:r>
    </w:p>
    <w:p>
      <w:pPr>
        <w:spacing w:before="156" w:beforeLines="50" w:line="360" w:lineRule="auto"/>
        <w:ind w:firstLine="2160" w:firstLineChars="9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eastAsia="zh-CN"/>
        </w:rPr>
        <w:t>法定代表人</w:t>
      </w:r>
      <w:r>
        <w:rPr>
          <w:rFonts w:hint="eastAsia" w:ascii="仿宋" w:hAnsi="仿宋" w:eastAsia="仿宋" w:cs="仿宋"/>
          <w:color w:val="auto"/>
          <w:sz w:val="24"/>
          <w:highlight w:val="none"/>
        </w:rPr>
        <w:t>或委托代理人：</w:t>
      </w:r>
      <w:r>
        <w:rPr>
          <w:rFonts w:hint="eastAsia" w:ascii="仿宋" w:hAnsi="仿宋" w:eastAsia="仿宋" w:cs="仿宋"/>
          <w:color w:val="auto"/>
          <w:sz w:val="24"/>
          <w:highlight w:val="none"/>
          <w:u w:val="single"/>
        </w:rPr>
        <w:t>（签字或盖章）</w:t>
      </w:r>
    </w:p>
    <w:p>
      <w:pPr>
        <w:spacing w:before="156" w:beforeLines="50" w:line="360" w:lineRule="auto"/>
        <w:ind w:firstLine="4080" w:firstLineChars="17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日</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期：</w:t>
      </w:r>
    </w:p>
    <w:p>
      <w:pPr>
        <w:pStyle w:val="14"/>
        <w:rPr>
          <w:rFonts w:hint="eastAsia" w:ascii="仿宋" w:hAnsi="仿宋" w:eastAsia="仿宋" w:cs="仿宋"/>
          <w:color w:val="auto"/>
          <w:sz w:val="24"/>
          <w:highlight w:val="none"/>
          <w:u w:val="single"/>
        </w:rPr>
      </w:pPr>
    </w:p>
    <w:p>
      <w:pPr>
        <w:rPr>
          <w:rFonts w:hint="eastAsia" w:ascii="仿宋" w:hAnsi="仿宋" w:eastAsia="仿宋" w:cs="仿宋"/>
          <w:color w:val="auto"/>
          <w:highlight w:val="none"/>
        </w:rPr>
        <w:sectPr>
          <w:headerReference r:id="rId11" w:type="default"/>
          <w:footerReference r:id="rId12"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pStyle w:val="23"/>
        <w:rPr>
          <w:rFonts w:hint="eastAsia" w:ascii="仿宋" w:hAnsi="仿宋" w:eastAsia="仿宋" w:cs="仿宋"/>
          <w:color w:val="auto"/>
          <w:highlight w:val="none"/>
        </w:rPr>
      </w:pPr>
      <w:bookmarkStart w:id="406" w:name="_Toc27144_WPSOffice_Level2"/>
      <w:r>
        <w:rPr>
          <w:rFonts w:hint="eastAsia" w:ascii="仿宋" w:hAnsi="仿宋" w:eastAsia="仿宋" w:cs="仿宋"/>
          <w:color w:val="auto"/>
          <w:highlight w:val="none"/>
        </w:rPr>
        <w:t>二、</w:t>
      </w:r>
      <w:bookmarkEnd w:id="406"/>
      <w:r>
        <w:rPr>
          <w:rFonts w:hint="eastAsia" w:ascii="仿宋" w:hAnsi="仿宋" w:eastAsia="仿宋" w:cs="仿宋"/>
          <w:color w:val="auto"/>
          <w:highlight w:val="none"/>
        </w:rPr>
        <w:t>报价一览表</w:t>
      </w:r>
    </w:p>
    <w:tbl>
      <w:tblPr>
        <w:tblStyle w:val="31"/>
        <w:tblW w:w="106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30"/>
        <w:gridCol w:w="8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6" w:hRule="exact"/>
          <w:jc w:val="center"/>
        </w:trPr>
        <w:tc>
          <w:tcPr>
            <w:tcW w:w="1930" w:type="dxa"/>
            <w:noWrap w:val="0"/>
            <w:vAlign w:val="center"/>
          </w:tcPr>
          <w:p>
            <w:pPr>
              <w:jc w:val="center"/>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项目名称</w:t>
            </w:r>
          </w:p>
        </w:tc>
        <w:tc>
          <w:tcPr>
            <w:tcW w:w="8718" w:type="dxa"/>
            <w:noWrap w:val="0"/>
            <w:vAlign w:val="center"/>
          </w:tcPr>
          <w:p>
            <w:pPr>
              <w:jc w:val="center"/>
              <w:rPr>
                <w:rFonts w:hint="eastAsia"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7" w:hRule="exact"/>
          <w:jc w:val="center"/>
        </w:trPr>
        <w:tc>
          <w:tcPr>
            <w:tcW w:w="1930" w:type="dxa"/>
            <w:noWrap w:val="0"/>
            <w:vAlign w:val="center"/>
          </w:tcPr>
          <w:p>
            <w:pPr>
              <w:jc w:val="cente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项目编号</w:t>
            </w:r>
          </w:p>
        </w:tc>
        <w:tc>
          <w:tcPr>
            <w:tcW w:w="8718" w:type="dxa"/>
            <w:noWrap w:val="0"/>
            <w:vAlign w:val="center"/>
          </w:tcPr>
          <w:p>
            <w:pPr>
              <w:jc w:val="center"/>
              <w:rPr>
                <w:rFonts w:hint="eastAsia"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77" w:hRule="atLeast"/>
          <w:jc w:val="center"/>
        </w:trPr>
        <w:tc>
          <w:tcPr>
            <w:tcW w:w="1930" w:type="dxa"/>
            <w:vMerge w:val="restart"/>
            <w:noWrap w:val="0"/>
            <w:vAlign w:val="center"/>
          </w:tcPr>
          <w:p>
            <w:pPr>
              <w:jc w:val="center"/>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投标报价</w:t>
            </w:r>
          </w:p>
        </w:tc>
        <w:tc>
          <w:tcPr>
            <w:tcW w:w="8718" w:type="dxa"/>
            <w:noWrap w:val="0"/>
            <w:vAlign w:val="center"/>
          </w:tcPr>
          <w:p>
            <w:pPr>
              <w:jc w:val="both"/>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77" w:hRule="atLeast"/>
          <w:jc w:val="center"/>
        </w:trPr>
        <w:tc>
          <w:tcPr>
            <w:tcW w:w="1930" w:type="dxa"/>
            <w:vMerge w:val="continue"/>
            <w:noWrap w:val="0"/>
            <w:vAlign w:val="center"/>
          </w:tcPr>
          <w:p>
            <w:pPr>
              <w:jc w:val="both"/>
            </w:pPr>
          </w:p>
        </w:tc>
        <w:tc>
          <w:tcPr>
            <w:tcW w:w="8718" w:type="dxa"/>
            <w:noWrap w:val="0"/>
            <w:vAlign w:val="center"/>
          </w:tcPr>
          <w:p>
            <w:pPr>
              <w:jc w:val="both"/>
              <w:rPr>
                <w:rFonts w:hint="default" w:ascii="仿宋" w:hAnsi="仿宋" w:eastAsia="仿宋" w:cs="仿宋"/>
                <w:color w:val="auto"/>
                <w:highlight w:val="none"/>
                <w:lang w:val="en-US" w:eastAsia="zh-CN"/>
              </w:rPr>
            </w:pPr>
            <w:r>
              <w:rPr>
                <w:rFonts w:hint="eastAsia" w:ascii="仿宋" w:hAnsi="仿宋" w:eastAsia="仿宋" w:cs="仿宋"/>
                <w:color w:val="auto"/>
                <w:sz w:val="28"/>
                <w:szCs w:val="28"/>
                <w:highlight w:val="none"/>
                <w:lang w:val="en-US" w:eastAsia="zh-CN"/>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4" w:hRule="exact"/>
          <w:jc w:val="center"/>
        </w:trPr>
        <w:tc>
          <w:tcPr>
            <w:tcW w:w="1930" w:type="dxa"/>
            <w:noWrap w:val="0"/>
            <w:vAlign w:val="center"/>
          </w:tcPr>
          <w:p>
            <w:pPr>
              <w:jc w:val="center"/>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备注</w:t>
            </w:r>
          </w:p>
        </w:tc>
        <w:tc>
          <w:tcPr>
            <w:tcW w:w="8718" w:type="dxa"/>
            <w:noWrap w:val="0"/>
            <w:vAlign w:val="center"/>
          </w:tcPr>
          <w:p>
            <w:pPr>
              <w:jc w:val="both"/>
              <w:rPr>
                <w:rFonts w:hint="eastAsia" w:ascii="仿宋" w:hAnsi="仿宋" w:eastAsia="仿宋" w:cs="仿宋"/>
                <w:color w:val="auto"/>
                <w:sz w:val="28"/>
                <w:szCs w:val="28"/>
                <w:highlight w:val="none"/>
              </w:rPr>
            </w:pPr>
          </w:p>
        </w:tc>
      </w:tr>
    </w:tbl>
    <w:p>
      <w:pPr>
        <w:snapToGrid w:val="0"/>
        <w:spacing w:before="50" w:after="50"/>
        <w:ind w:left="88" w:leftChars="42" w:right="-817" w:rightChars="-389" w:firstLine="9201" w:firstLineChars="3834"/>
        <w:rPr>
          <w:rFonts w:hint="eastAsia" w:ascii="仿宋" w:hAnsi="仿宋" w:eastAsia="仿宋" w:cs="仿宋"/>
          <w:color w:val="auto"/>
          <w:sz w:val="24"/>
          <w:highlight w:val="none"/>
        </w:rPr>
      </w:pPr>
    </w:p>
    <w:p>
      <w:pPr>
        <w:spacing w:before="120" w:beforeLines="50" w:after="120" w:afterLines="50"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注: 1.报价一经涂改，应在涂改处加盖单位公章或者由</w:t>
      </w:r>
      <w:r>
        <w:rPr>
          <w:rFonts w:hint="eastAsia" w:ascii="仿宋" w:hAnsi="仿宋" w:eastAsia="仿宋" w:cs="仿宋"/>
          <w:color w:val="000000" w:themeColor="text1"/>
          <w:sz w:val="24"/>
          <w:lang w:eastAsia="zh-CN"/>
          <w14:textFill>
            <w14:solidFill>
              <w14:schemeClr w14:val="tx1"/>
            </w14:solidFill>
          </w14:textFill>
        </w:rPr>
        <w:t>法定代表人</w:t>
      </w:r>
      <w:r>
        <w:rPr>
          <w:rFonts w:hint="eastAsia" w:ascii="仿宋" w:hAnsi="仿宋" w:eastAsia="仿宋" w:cs="仿宋"/>
          <w:color w:val="000000" w:themeColor="text1"/>
          <w:sz w:val="24"/>
          <w14:textFill>
            <w14:solidFill>
              <w14:schemeClr w14:val="tx1"/>
            </w14:solidFill>
          </w14:textFill>
        </w:rPr>
        <w:t>或授权委托人签字或盖章，否则其投标作无效标处理。</w:t>
      </w:r>
    </w:p>
    <w:p>
      <w:pPr>
        <w:spacing w:before="156" w:beforeLines="50" w:line="360" w:lineRule="auto"/>
        <w:ind w:firstLine="4080" w:firstLineChars="17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u w:val="single"/>
          <w:lang w:eastAsia="zh-CN"/>
        </w:rPr>
        <w:t>盖章</w:t>
      </w:r>
      <w:r>
        <w:rPr>
          <w:rFonts w:hint="eastAsia" w:ascii="仿宋" w:hAnsi="仿宋" w:eastAsia="仿宋" w:cs="仿宋"/>
          <w:color w:val="auto"/>
          <w:sz w:val="24"/>
          <w:highlight w:val="none"/>
          <w:u w:val="single"/>
        </w:rPr>
        <w:t>）</w:t>
      </w:r>
    </w:p>
    <w:p>
      <w:pPr>
        <w:spacing w:before="156" w:beforeLines="50" w:line="360" w:lineRule="auto"/>
        <w:ind w:firstLine="2160" w:firstLineChars="9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eastAsia="zh-CN"/>
        </w:rPr>
        <w:t>法定代表人</w:t>
      </w:r>
      <w:r>
        <w:rPr>
          <w:rFonts w:hint="eastAsia" w:ascii="仿宋" w:hAnsi="仿宋" w:eastAsia="仿宋" w:cs="仿宋"/>
          <w:color w:val="auto"/>
          <w:sz w:val="24"/>
          <w:highlight w:val="none"/>
        </w:rPr>
        <w:t>或委托代理人：</w:t>
      </w:r>
      <w:r>
        <w:rPr>
          <w:rFonts w:hint="eastAsia" w:ascii="仿宋" w:hAnsi="仿宋" w:eastAsia="仿宋" w:cs="仿宋"/>
          <w:color w:val="auto"/>
          <w:sz w:val="24"/>
          <w:highlight w:val="none"/>
          <w:u w:val="single"/>
        </w:rPr>
        <w:t>（签字或盖章）</w:t>
      </w:r>
    </w:p>
    <w:p>
      <w:pPr>
        <w:spacing w:line="360" w:lineRule="exact"/>
        <w:ind w:firstLine="4080" w:firstLineChars="17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日</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期：</w:t>
      </w:r>
    </w:p>
    <w:p>
      <w:pPr>
        <w:spacing w:line="360" w:lineRule="exact"/>
        <w:jc w:val="left"/>
        <w:rPr>
          <w:rFonts w:hint="eastAsia" w:ascii="仿宋" w:hAnsi="仿宋" w:eastAsia="仿宋" w:cs="仿宋"/>
          <w:color w:val="auto"/>
          <w:sz w:val="24"/>
          <w:highlight w:val="none"/>
        </w:rPr>
      </w:pPr>
    </w:p>
    <w:p>
      <w:pPr>
        <w:spacing w:line="360" w:lineRule="exact"/>
        <w:jc w:val="left"/>
        <w:rPr>
          <w:rFonts w:hint="eastAsia" w:ascii="仿宋" w:hAnsi="仿宋" w:eastAsia="仿宋" w:cs="仿宋"/>
          <w:color w:val="auto"/>
          <w:sz w:val="24"/>
          <w:highlight w:val="none"/>
        </w:rPr>
      </w:pPr>
    </w:p>
    <w:p>
      <w:pPr>
        <w:spacing w:line="360" w:lineRule="exact"/>
        <w:jc w:val="left"/>
        <w:rPr>
          <w:rFonts w:hint="eastAsia" w:ascii="仿宋" w:hAnsi="仿宋" w:eastAsia="仿宋" w:cs="仿宋"/>
          <w:color w:val="auto"/>
          <w:sz w:val="24"/>
          <w:highlight w:val="none"/>
        </w:rPr>
      </w:pPr>
    </w:p>
    <w:p>
      <w:pPr>
        <w:spacing w:line="360" w:lineRule="exact"/>
        <w:jc w:val="left"/>
        <w:rPr>
          <w:rFonts w:hint="eastAsia" w:ascii="仿宋" w:hAnsi="仿宋" w:eastAsia="仿宋" w:cs="仿宋"/>
          <w:color w:val="auto"/>
          <w:sz w:val="24"/>
          <w:highlight w:val="none"/>
        </w:rPr>
      </w:pPr>
    </w:p>
    <w:p>
      <w:pPr>
        <w:spacing w:line="360" w:lineRule="exact"/>
        <w:jc w:val="left"/>
        <w:rPr>
          <w:rFonts w:hint="eastAsia" w:ascii="仿宋" w:hAnsi="仿宋" w:eastAsia="仿宋" w:cs="仿宋"/>
          <w:color w:val="auto"/>
          <w:sz w:val="24"/>
          <w:highlight w:val="none"/>
        </w:rPr>
      </w:pPr>
    </w:p>
    <w:p>
      <w:pPr>
        <w:spacing w:line="360" w:lineRule="exact"/>
        <w:jc w:val="left"/>
        <w:rPr>
          <w:rFonts w:hint="eastAsia" w:ascii="仿宋" w:hAnsi="仿宋" w:eastAsia="仿宋" w:cs="仿宋"/>
          <w:color w:val="auto"/>
          <w:sz w:val="24"/>
          <w:highlight w:val="none"/>
        </w:rPr>
      </w:pPr>
    </w:p>
    <w:p>
      <w:pPr>
        <w:spacing w:line="360" w:lineRule="exact"/>
        <w:jc w:val="left"/>
        <w:rPr>
          <w:rFonts w:hint="eastAsia" w:ascii="仿宋" w:hAnsi="仿宋" w:eastAsia="仿宋" w:cs="仿宋"/>
          <w:color w:val="auto"/>
          <w:sz w:val="24"/>
          <w:highlight w:val="none"/>
        </w:rPr>
      </w:pPr>
    </w:p>
    <w:p>
      <w:pPr>
        <w:spacing w:line="360" w:lineRule="exact"/>
        <w:jc w:val="left"/>
        <w:rPr>
          <w:rFonts w:hint="eastAsia" w:ascii="仿宋" w:hAnsi="仿宋" w:eastAsia="仿宋" w:cs="仿宋"/>
          <w:color w:val="auto"/>
          <w:sz w:val="24"/>
          <w:highlight w:val="none"/>
        </w:rPr>
      </w:pPr>
    </w:p>
    <w:p>
      <w:pPr>
        <w:pStyle w:val="12"/>
        <w:rPr>
          <w:rFonts w:hint="eastAsia" w:ascii="仿宋" w:hAnsi="仿宋" w:eastAsia="仿宋" w:cs="仿宋"/>
          <w:color w:val="auto"/>
          <w:sz w:val="24"/>
          <w:highlight w:val="none"/>
        </w:rPr>
      </w:pPr>
    </w:p>
    <w:p>
      <w:pPr>
        <w:pStyle w:val="13"/>
        <w:rPr>
          <w:rFonts w:hint="eastAsia" w:ascii="仿宋" w:hAnsi="仿宋" w:eastAsia="仿宋" w:cs="仿宋"/>
          <w:color w:val="auto"/>
          <w:sz w:val="24"/>
          <w:highlight w:val="none"/>
        </w:rPr>
      </w:pPr>
    </w:p>
    <w:p>
      <w:pPr>
        <w:rPr>
          <w:rFonts w:hint="eastAsia" w:ascii="仿宋" w:hAnsi="仿宋" w:eastAsia="仿宋" w:cs="仿宋"/>
          <w:color w:val="auto"/>
          <w:sz w:val="24"/>
          <w:highlight w:val="none"/>
        </w:rPr>
      </w:pPr>
    </w:p>
    <w:p>
      <w:pPr>
        <w:pStyle w:val="12"/>
        <w:rPr>
          <w:rFonts w:hint="eastAsia" w:ascii="仿宋" w:hAnsi="仿宋" w:eastAsia="仿宋" w:cs="仿宋"/>
          <w:color w:val="auto"/>
          <w:sz w:val="24"/>
          <w:highlight w:val="none"/>
        </w:rPr>
      </w:pPr>
    </w:p>
    <w:p>
      <w:pPr>
        <w:pStyle w:val="13"/>
        <w:rPr>
          <w:rFonts w:hint="eastAsia" w:ascii="仿宋" w:hAnsi="仿宋" w:eastAsia="仿宋" w:cs="仿宋"/>
          <w:color w:val="auto"/>
          <w:sz w:val="24"/>
          <w:highlight w:val="none"/>
        </w:rPr>
      </w:pPr>
    </w:p>
    <w:p>
      <w:pPr>
        <w:rPr>
          <w:rFonts w:hint="eastAsia" w:ascii="仿宋" w:hAnsi="仿宋" w:eastAsia="仿宋" w:cs="仿宋"/>
          <w:color w:val="auto"/>
          <w:sz w:val="24"/>
          <w:highlight w:val="none"/>
        </w:rPr>
      </w:pPr>
    </w:p>
    <w:p>
      <w:pPr>
        <w:pStyle w:val="12"/>
        <w:rPr>
          <w:rFonts w:hint="eastAsia"/>
        </w:rPr>
      </w:pPr>
    </w:p>
    <w:p>
      <w:pPr>
        <w:spacing w:line="360" w:lineRule="exact"/>
        <w:jc w:val="center"/>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lang w:val="en-US" w:eastAsia="zh-CN"/>
        </w:rPr>
        <w:t>三、</w:t>
      </w:r>
      <w:r>
        <w:rPr>
          <w:rFonts w:hint="eastAsia" w:ascii="仿宋" w:hAnsi="仿宋" w:eastAsia="仿宋" w:cs="仿宋"/>
          <w:b w:val="0"/>
          <w:bCs w:val="0"/>
          <w:color w:val="auto"/>
          <w:sz w:val="24"/>
          <w:highlight w:val="none"/>
        </w:rPr>
        <w:t>投标人针对报价需要说明的其他文件和说明</w:t>
      </w:r>
      <w:r>
        <w:rPr>
          <w:rFonts w:hint="eastAsia" w:ascii="仿宋" w:hAnsi="仿宋" w:eastAsia="仿宋" w:cs="仿宋"/>
          <w:b w:val="0"/>
          <w:bCs w:val="0"/>
          <w:color w:val="auto"/>
          <w:sz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3990" w:firstLineChars="1900"/>
        <w:textAlignment w:val="auto"/>
        <w:rPr>
          <w:rFonts w:hint="eastAsia"/>
        </w:rPr>
      </w:pPr>
    </w:p>
    <w:sectPr>
      <w:headerReference r:id="rId13" w:type="default"/>
      <w:footerReference r:id="rId14"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源淏窪极潠极2.">
    <w:altName w:val="Microsoft JhengHei"/>
    <w:panose1 w:val="00000000000000000000"/>
    <w:charset w:val="88"/>
    <w:family w:val="swiss"/>
    <w:pitch w:val="default"/>
    <w:sig w:usb0="00000000" w:usb1="00000000" w:usb2="00000010" w:usb3="00000000" w:csb0="00100000" w:csb1="00000000"/>
  </w:font>
  <w:font w:name="楷体_GB2312">
    <w:altName w:val="楷体"/>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Helvetica">
    <w:altName w:val="Arial"/>
    <w:panose1 w:val="020B0504020202030204"/>
    <w:charset w:val="00"/>
    <w:family w:val="swiss"/>
    <w:pitch w:val="default"/>
    <w:sig w:usb0="00000000" w:usb1="00000000" w:usb2="00000000" w:usb3="00000000" w:csb0="00000093" w:csb1="00000000"/>
  </w:font>
  <w:font w:name="等线">
    <w:panose1 w:val="02010600030101010101"/>
    <w:charset w:val="86"/>
    <w:family w:val="auto"/>
    <w:pitch w:val="default"/>
    <w:sig w:usb0="A00002BF" w:usb1="38CF7CFA"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Segoe UI Symbol">
    <w:panose1 w:val="020B0502040204020203"/>
    <w:charset w:val="00"/>
    <w:family w:val="auto"/>
    <w:pitch w:val="default"/>
    <w:sig w:usb0="800001E3" w:usb1="1200FFEF" w:usb2="00040000" w:usb3="04000000" w:csb0="00000001" w:csb1="40000000"/>
  </w:font>
  <w:font w:name="Times">
    <w:altName w:val="Times New Roman"/>
    <w:panose1 w:val="02020603050405020304"/>
    <w:charset w:val="00"/>
    <w:family w:val="roman"/>
    <w:pitch w:val="default"/>
    <w:sig w:usb0="00000000" w:usb1="00000000" w:usb2="00000009" w:usb3="00000000" w:csb0="0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Microsoft JhengHe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tabs>
        <w:tab w:val="center" w:pos="4297"/>
        <w:tab w:val="clear" w:pos="4153"/>
        <w:tab w:val="clear" w:pos="8306"/>
      </w:tabs>
      <w:ind w:right="36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1"/>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文本框 44"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OCL7MkBAACa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4pjd9ziwM8/f5x//Tn//k6u&#10;r7M+fYAa0+4DJqbhnR9wa2Y/oDPTHlS0+YuECMZR3dNFXTkkIvKj1XK1qjAkMDZfEJ89PA8R0nvp&#10;LclGQyOOr6jKjx8hjalzSq7m/J02pozQuH8ciJk9LPc+9pitNOyGidDOtyfk0+PkG+pw0SkxHxwK&#10;m5dkNuJs7GbjEKLed2WLcj0It4eETZTecoURdiqMIyvspvXKO/H4XrIefqnNX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U4IvsyQEAAJoDAAAOAAAAAAAAAAEAIAAAAB4BAABkcnMvZTJvRG9j&#10;LnhtbFBLBQYAAAAABgAGAFkBAABZBQAAAAA=&#10;">
              <v:fill on="f" focussize="0,0"/>
              <v:stroke on="f"/>
              <v:imagedata o:title=""/>
              <o:lock v:ext="edit" aspectratio="f"/>
              <v:textbox inset="0mm,0mm,0mm,0mm" style="mso-fit-shape-to-text:t;">
                <w:txbxContent>
                  <w:p>
                    <w:pPr>
                      <w:pStyle w:val="21"/>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1"/>
                          </w:pPr>
                          <w:r>
                            <w:fldChar w:fldCharType="begin"/>
                          </w:r>
                          <w:r>
                            <w:instrText xml:space="preserve"> PAGE  \* MERGEFORMAT </w:instrText>
                          </w:r>
                          <w:r>
                            <w:fldChar w:fldCharType="separate"/>
                          </w:r>
                          <w:r>
                            <w:t>58</w:t>
                          </w:r>
                          <w:r>
                            <w:fldChar w:fldCharType="end"/>
                          </w:r>
                        </w:p>
                      </w:txbxContent>
                    </wps:txbx>
                    <wps:bodyPr wrap="none" lIns="0" tIns="0" rIns="0" bIns="0" upright="0">
                      <a:spAutoFit/>
                    </wps:bodyPr>
                  </wps:wsp>
                </a:graphicData>
              </a:graphic>
            </wp:anchor>
          </w:drawing>
        </mc:Choice>
        <mc:Fallback>
          <w:pict>
            <v:shape id="文本框 45"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8g049yQEAAJoDAAAOAAAAAAAAAAEAIAAAAB4BAABkcnMvZTJvRG9j&#10;LnhtbFBLBQYAAAAABgAGAFkBAABZBQAAAAA=&#10;">
              <v:fill on="f" focussize="0,0"/>
              <v:stroke on="f"/>
              <v:imagedata o:title=""/>
              <o:lock v:ext="edit" aspectratio="f"/>
              <v:textbox inset="0mm,0mm,0mm,0mm" style="mso-fit-shape-to-text:t;">
                <w:txbxContent>
                  <w:p>
                    <w:pPr>
                      <w:pStyle w:val="21"/>
                    </w:pPr>
                    <w:r>
                      <w:fldChar w:fldCharType="begin"/>
                    </w:r>
                    <w:r>
                      <w:instrText xml:space="preserve"> PAGE  \* MERGEFORMAT </w:instrText>
                    </w:r>
                    <w:r>
                      <w:fldChar w:fldCharType="separate"/>
                    </w:r>
                    <w:r>
                      <w:t>58</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114300" distR="114300" simplePos="0" relativeHeight="251659264" behindDoc="1" locked="0" layoutInCell="1" allowOverlap="1">
              <wp:simplePos x="0" y="0"/>
              <wp:positionH relativeFrom="page">
                <wp:posOffset>3725545</wp:posOffset>
              </wp:positionH>
              <wp:positionV relativeFrom="page">
                <wp:posOffset>10023475</wp:posOffset>
              </wp:positionV>
              <wp:extent cx="85725" cy="76200"/>
              <wp:effectExtent l="0" t="0" r="0" b="0"/>
              <wp:wrapNone/>
              <wp:docPr id="60" name="Shape 60"/>
              <wp:cNvGraphicFramePr/>
              <a:graphic xmlns:a="http://schemas.openxmlformats.org/drawingml/2006/main">
                <a:graphicData uri="http://schemas.microsoft.com/office/word/2010/wordprocessingShape">
                  <wps:wsp>
                    <wps:cNvSpPr txBox="1"/>
                    <wps:spPr>
                      <a:xfrm>
                        <a:off x="0" y="0"/>
                        <a:ext cx="85725" cy="76200"/>
                      </a:xfrm>
                      <a:prstGeom prst="rect">
                        <a:avLst/>
                      </a:prstGeom>
                      <a:noFill/>
                      <a:ln>
                        <a:noFill/>
                      </a:ln>
                      <a:effectLst/>
                    </wps:spPr>
                    <wps:txbx>
                      <w:txbxContent>
                        <w:p>
                          <w:pPr>
                            <w:pStyle w:val="69"/>
                            <w:jc w:val="left"/>
                          </w:pPr>
                          <w:r>
                            <w:rPr>
                              <w:rFonts w:eastAsia="Times New Roman"/>
                              <w:color w:val="000000"/>
                            </w:rPr>
                            <w:t>33</w:t>
                          </w:r>
                        </w:p>
                      </w:txbxContent>
                    </wps:txbx>
                    <wps:bodyPr wrap="none" lIns="0" tIns="0" rIns="0" bIns="0">
                      <a:spAutoFit/>
                    </wps:bodyPr>
                  </wps:wsp>
                </a:graphicData>
              </a:graphic>
            </wp:anchor>
          </w:drawing>
        </mc:Choice>
        <mc:Fallback>
          <w:pict>
            <v:shape id="Shape 60" o:spid="_x0000_s1026" o:spt="202" type="#_x0000_t202" style="position:absolute;left:0pt;margin-left:293.35pt;margin-top:789.25pt;height:6pt;width:6.75pt;mso-position-horizontal-relative:page;mso-position-vertical-relative:page;mso-wrap-style:none;z-index:-251657216;mso-width-relative:page;mso-height-relative:page;" filled="f" stroked="f" coordsize="21600,21600" o:gfxdata="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wZFfHXAAAADQEAAA8AAAAAAAAAAQAgAAAAIgAAAGRycy9kb3ducmV2LnhtbFBLAQIUABQA&#10;AAAIAIdO4kDGilHkuAEAAJUDAAAOAAAAAAAAAAEAIAAAACYBAABkcnMvZTJvRG9jLnhtbFBLBQYA&#10;AAAABgAGAFkBAABQBQAAAAA=&#10;">
              <v:fill on="f" focussize="0,0"/>
              <v:stroke on="f"/>
              <v:imagedata o:title=""/>
              <o:lock v:ext="edit" aspectratio="f"/>
              <v:textbox inset="0mm,0mm,0mm,0mm" style="mso-fit-shape-to-text:t;">
                <w:txbxContent>
                  <w:p>
                    <w:pPr>
                      <w:pStyle w:val="69"/>
                      <w:jc w:val="left"/>
                    </w:pPr>
                    <w:r>
                      <w:rPr>
                        <w:rFonts w:eastAsia="Times New Roman"/>
                        <w:color w:val="000000"/>
                      </w:rPr>
                      <w:t>33</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right="720" w:firstLine="180" w:firstLineChars="100"/>
      <w:rPr>
        <w:rFonts w:hint="eastAsia"/>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1"/>
                          </w:pPr>
                          <w:r>
                            <w:fldChar w:fldCharType="begin"/>
                          </w:r>
                          <w:r>
                            <w:instrText xml:space="preserve"> PAGE  \* MERGEFORMAT </w:instrText>
                          </w:r>
                          <w:r>
                            <w:fldChar w:fldCharType="separate"/>
                          </w:r>
                          <w:r>
                            <w:t>60</w:t>
                          </w:r>
                          <w:r>
                            <w:fldChar w:fldCharType="end"/>
                          </w:r>
                        </w:p>
                      </w:txbxContent>
                    </wps:txbx>
                    <wps:bodyPr wrap="none" lIns="0" tIns="0" rIns="0" bIns="0" upright="0">
                      <a:spAutoFit/>
                    </wps:bodyPr>
                  </wps:wsp>
                </a:graphicData>
              </a:graphic>
            </wp:anchor>
          </w:drawing>
        </mc:Choice>
        <mc:Fallback>
          <w:pict>
            <v:shape id="文本框 4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BnD+9oyQEAAJsDAAAOAAAAAAAAAAEAIAAAAB4BAABkcnMvZTJvRG9j&#10;LnhtbFBLBQYAAAAABgAGAFkBAABZBQAAAAA=&#10;">
              <v:fill on="f" focussize="0,0"/>
              <v:stroke on="f"/>
              <v:imagedata o:title=""/>
              <o:lock v:ext="edit" aspectratio="f"/>
              <v:textbox inset="0mm,0mm,0mm,0mm" style="mso-fit-shape-to-text:t;">
                <w:txbxContent>
                  <w:p>
                    <w:pPr>
                      <w:pStyle w:val="21"/>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right="720" w:firstLine="180" w:firstLineChars="100"/>
      <w:rPr>
        <w:rFonts w:hint="eastAsia"/>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1"/>
                          </w:pPr>
                          <w:r>
                            <w:fldChar w:fldCharType="begin"/>
                          </w:r>
                          <w:r>
                            <w:instrText xml:space="preserve"> PAGE  \* MERGEFORMAT </w:instrText>
                          </w:r>
                          <w:r>
                            <w:fldChar w:fldCharType="separate"/>
                          </w:r>
                          <w:r>
                            <w:t>72</w:t>
                          </w:r>
                          <w:r>
                            <w:fldChar w:fldCharType="end"/>
                          </w:r>
                        </w:p>
                      </w:txbxContent>
                    </wps:txbx>
                    <wps:bodyPr wrap="none" lIns="0" tIns="0" rIns="0" bIns="0" upright="0">
                      <a:spAutoFit/>
                    </wps:bodyPr>
                  </wps:wsp>
                </a:graphicData>
              </a:graphic>
            </wp:anchor>
          </w:drawing>
        </mc:Choice>
        <mc:Fallback>
          <w:pict>
            <v:shape id="文本框 47"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PbCq5yQEAAJsDAAAOAAAAAAAAAAEAIAAAAB4BAABkcnMvZTJvRG9j&#10;LnhtbFBLBQYAAAAABgAGAFkBAABZBQAAAAA=&#10;">
              <v:fill on="f" focussize="0,0"/>
              <v:stroke on="f"/>
              <v:imagedata o:title=""/>
              <o:lock v:ext="edit" aspectratio="f"/>
              <v:textbox inset="0mm,0mm,0mm,0mm" style="mso-fit-shape-to-text:t;">
                <w:txbxContent>
                  <w:p>
                    <w:pPr>
                      <w:pStyle w:val="21"/>
                    </w:pPr>
                    <w:r>
                      <w:fldChar w:fldCharType="begin"/>
                    </w:r>
                    <w:r>
                      <w:instrText xml:space="preserve"> PAGE  \* MERGEFORMAT </w:instrText>
                    </w:r>
                    <w:r>
                      <w:fldChar w:fldCharType="separate"/>
                    </w:r>
                    <w:r>
                      <w:t>72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1"/>
      </w:pBdr>
      <w:jc w:val="both"/>
      <w:rPr>
        <w:rFonts w:hint="default" w:eastAsia="仿宋_GB2312"/>
        <w:u w:val="single"/>
        <w:lang w:val="en-US" w:eastAsia="zh-CN"/>
      </w:rPr>
    </w:pPr>
    <w:r>
      <w:rPr>
        <w:rFonts w:hint="eastAsia"/>
        <w:u w:val="single"/>
        <w:lang w:val="en-US" w:eastAsia="zh-CN"/>
      </w:rPr>
      <w:t xml:space="preserve">                          </w:t>
    </w:r>
    <w:r>
      <w:rPr>
        <w:rFonts w:hint="eastAsia"/>
        <w:u w:val="single"/>
        <w:lang w:eastAsia="zh-CN"/>
      </w:rPr>
      <w:t xml:space="preserve"> 浙江东创建筑材料有限公司装载机采购项目</w:t>
    </w:r>
    <w:r>
      <w:rPr>
        <w:rFonts w:hint="eastAsia"/>
        <w:u w:val="single"/>
        <w:lang w:val="en-US" w:eastAsia="zh-CN"/>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1"/>
      </w:pBdr>
      <w:jc w:val="both"/>
      <w:rPr>
        <w:rFonts w:hint="default" w:eastAsia="仿宋_GB2312"/>
        <w:u w:val="single"/>
        <w:lang w:val="en-US" w:eastAsia="zh-CN"/>
      </w:rPr>
    </w:pPr>
    <w:r>
      <w:rPr>
        <w:rFonts w:hint="eastAsia"/>
        <w:u w:val="single"/>
        <w:lang w:val="en-US" w:eastAsia="zh-CN"/>
      </w:rPr>
      <w:t xml:space="preserve">                   </w:t>
    </w:r>
    <w:r>
      <w:rPr>
        <w:rFonts w:hint="eastAsia"/>
        <w:u w:val="single"/>
        <w:lang w:eastAsia="zh-CN"/>
      </w:rPr>
      <w:t xml:space="preserve"> 浙江东创建筑材料有限公司装载机采购项目</w:t>
    </w:r>
    <w:r>
      <w:rPr>
        <w:rFonts w:hint="eastAsia"/>
        <w:u w:val="single"/>
        <w:lang w:val="en-US" w:eastAsia="zh-CN"/>
      </w:rPr>
      <w:t xml:space="preserve">                   </w:t>
    </w:r>
  </w:p>
  <w:p>
    <w:pPr>
      <w:widowControl w:val="0"/>
      <w:spacing w:line="1" w:lineRule="exac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0"/>
      </w:pBdr>
      <w:rPr>
        <w:rFonts w:hint="eastAsia" w:eastAsia="仿宋_GB2312"/>
        <w:lang w:eastAsia="zh-CN"/>
      </w:rPr>
    </w:pPr>
    <w:r>
      <w:rPr>
        <w:rFonts w:hint="eastAsia"/>
        <w:u w:val="single"/>
        <w:lang w:eastAsia="zh-CN"/>
      </w:rPr>
      <w:t xml:space="preserve"> 浙江东创建筑材料有限公司装载机采购项目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72A617"/>
    <w:multiLevelType w:val="singleLevel"/>
    <w:tmpl w:val="A572A617"/>
    <w:lvl w:ilvl="0" w:tentative="0">
      <w:start w:val="1"/>
      <w:numFmt w:val="decimal"/>
      <w:suff w:val="nothing"/>
      <w:lvlText w:val="（%1）"/>
      <w:lvlJc w:val="left"/>
    </w:lvl>
  </w:abstractNum>
  <w:abstractNum w:abstractNumId="1">
    <w:nsid w:val="B655790B"/>
    <w:multiLevelType w:val="singleLevel"/>
    <w:tmpl w:val="B655790B"/>
    <w:lvl w:ilvl="0" w:tentative="0">
      <w:start w:val="3"/>
      <w:numFmt w:val="chineseCounting"/>
      <w:suff w:val="nothing"/>
      <w:lvlText w:val="%1、"/>
      <w:lvlJc w:val="left"/>
      <w:rPr>
        <w:rFonts w:hint="eastAsia"/>
      </w:rPr>
    </w:lvl>
  </w:abstractNum>
  <w:abstractNum w:abstractNumId="2">
    <w:nsid w:val="C5C875E7"/>
    <w:multiLevelType w:val="singleLevel"/>
    <w:tmpl w:val="C5C875E7"/>
    <w:lvl w:ilvl="0" w:tentative="0">
      <w:start w:val="1"/>
      <w:numFmt w:val="decimal"/>
      <w:lvlText w:val="%1."/>
      <w:lvlJc w:val="left"/>
      <w:pPr>
        <w:tabs>
          <w:tab w:val="left" w:pos="312"/>
        </w:tabs>
      </w:pPr>
    </w:lvl>
  </w:abstractNum>
  <w:abstractNum w:abstractNumId="3">
    <w:nsid w:val="DBC29624"/>
    <w:multiLevelType w:val="singleLevel"/>
    <w:tmpl w:val="DBC29624"/>
    <w:lvl w:ilvl="0" w:tentative="0">
      <w:start w:val="13"/>
      <w:numFmt w:val="chineseCounting"/>
      <w:suff w:val="nothing"/>
      <w:lvlText w:val="%1、"/>
      <w:lvlJc w:val="left"/>
      <w:rPr>
        <w:rFonts w:hint="eastAsia"/>
      </w:rPr>
    </w:lvl>
  </w:abstractNum>
  <w:abstractNum w:abstractNumId="4">
    <w:nsid w:val="EAF2EC0E"/>
    <w:multiLevelType w:val="singleLevel"/>
    <w:tmpl w:val="EAF2EC0E"/>
    <w:lvl w:ilvl="0" w:tentative="0">
      <w:start w:val="7"/>
      <w:numFmt w:val="chineseCounting"/>
      <w:suff w:val="nothing"/>
      <w:lvlText w:val="%1、"/>
      <w:lvlJc w:val="left"/>
      <w:rPr>
        <w:rFonts w:hint="eastAsia"/>
      </w:rPr>
    </w:lvl>
  </w:abstractNum>
  <w:abstractNum w:abstractNumId="5">
    <w:nsid w:val="FFFFFF7E"/>
    <w:multiLevelType w:val="singleLevel"/>
    <w:tmpl w:val="FFFFFF7E"/>
    <w:lvl w:ilvl="0" w:tentative="0">
      <w:start w:val="1"/>
      <w:numFmt w:val="decimal"/>
      <w:pStyle w:val="15"/>
      <w:lvlText w:val="%1."/>
      <w:lvlJc w:val="left"/>
      <w:pPr>
        <w:tabs>
          <w:tab w:val="left" w:pos="1200"/>
        </w:tabs>
        <w:ind w:left="1200" w:hanging="360"/>
      </w:pPr>
    </w:lvl>
  </w:abstractNum>
  <w:abstractNum w:abstractNumId="6">
    <w:nsid w:val="0000000C"/>
    <w:multiLevelType w:val="multilevel"/>
    <w:tmpl w:val="0000000C"/>
    <w:lvl w:ilvl="0" w:tentative="0">
      <w:start w:val="1"/>
      <w:numFmt w:val="japaneseCounting"/>
      <w:pStyle w:val="82"/>
      <w:lvlText w:val="%1、"/>
      <w:lvlJc w:val="left"/>
      <w:pPr>
        <w:tabs>
          <w:tab w:val="left" w:pos="1260"/>
        </w:tabs>
        <w:ind w:left="1260" w:hanging="720"/>
      </w:pPr>
    </w:lvl>
    <w:lvl w:ilvl="1" w:tentative="0">
      <w:start w:val="1"/>
      <w:numFmt w:val="lowerLetter"/>
      <w:lvlText w:val="%2)"/>
      <w:lvlJc w:val="left"/>
      <w:pPr>
        <w:tabs>
          <w:tab w:val="left" w:pos="1380"/>
        </w:tabs>
        <w:ind w:left="1380" w:hanging="420"/>
      </w:pPr>
    </w:lvl>
    <w:lvl w:ilvl="2" w:tentative="0">
      <w:start w:val="1"/>
      <w:numFmt w:val="lowerRoman"/>
      <w:lvlText w:val="%3."/>
      <w:lvlJc w:val="right"/>
      <w:pPr>
        <w:tabs>
          <w:tab w:val="left" w:pos="1800"/>
        </w:tabs>
        <w:ind w:left="1800" w:hanging="420"/>
      </w:pPr>
    </w:lvl>
    <w:lvl w:ilvl="3" w:tentative="0">
      <w:start w:val="1"/>
      <w:numFmt w:val="decimal"/>
      <w:lvlText w:val="%4."/>
      <w:lvlJc w:val="left"/>
      <w:pPr>
        <w:tabs>
          <w:tab w:val="left" w:pos="2220"/>
        </w:tabs>
        <w:ind w:left="2220" w:hanging="420"/>
      </w:pPr>
    </w:lvl>
    <w:lvl w:ilvl="4" w:tentative="0">
      <w:start w:val="1"/>
      <w:numFmt w:val="lowerLetter"/>
      <w:lvlText w:val="%5)"/>
      <w:lvlJc w:val="left"/>
      <w:pPr>
        <w:tabs>
          <w:tab w:val="left" w:pos="2640"/>
        </w:tabs>
        <w:ind w:left="2640" w:hanging="420"/>
      </w:pPr>
    </w:lvl>
    <w:lvl w:ilvl="5" w:tentative="0">
      <w:start w:val="1"/>
      <w:numFmt w:val="lowerRoman"/>
      <w:lvlText w:val="%6."/>
      <w:lvlJc w:val="right"/>
      <w:pPr>
        <w:tabs>
          <w:tab w:val="left" w:pos="3060"/>
        </w:tabs>
        <w:ind w:left="3060" w:hanging="420"/>
      </w:pPr>
    </w:lvl>
    <w:lvl w:ilvl="6" w:tentative="0">
      <w:start w:val="1"/>
      <w:numFmt w:val="decimal"/>
      <w:lvlText w:val="%7."/>
      <w:lvlJc w:val="left"/>
      <w:pPr>
        <w:tabs>
          <w:tab w:val="left" w:pos="3480"/>
        </w:tabs>
        <w:ind w:left="3480" w:hanging="420"/>
      </w:pPr>
    </w:lvl>
    <w:lvl w:ilvl="7" w:tentative="0">
      <w:start w:val="1"/>
      <w:numFmt w:val="lowerLetter"/>
      <w:lvlText w:val="%8)"/>
      <w:lvlJc w:val="left"/>
      <w:pPr>
        <w:tabs>
          <w:tab w:val="left" w:pos="3900"/>
        </w:tabs>
        <w:ind w:left="3900" w:hanging="420"/>
      </w:pPr>
    </w:lvl>
    <w:lvl w:ilvl="8" w:tentative="0">
      <w:start w:val="1"/>
      <w:numFmt w:val="lowerRoman"/>
      <w:lvlText w:val="%9."/>
      <w:lvlJc w:val="right"/>
      <w:pPr>
        <w:tabs>
          <w:tab w:val="left" w:pos="4320"/>
        </w:tabs>
        <w:ind w:left="4320" w:hanging="420"/>
      </w:pPr>
    </w:lvl>
  </w:abstractNum>
  <w:abstractNum w:abstractNumId="7">
    <w:nsid w:val="09890BCC"/>
    <w:multiLevelType w:val="multilevel"/>
    <w:tmpl w:val="09890BCC"/>
    <w:lvl w:ilvl="0" w:tentative="0">
      <w:start w:val="1"/>
      <w:numFmt w:val="decimal"/>
      <w:pStyle w:val="7"/>
      <w:lvlText w:val="%1．"/>
      <w:lvlJc w:val="left"/>
      <w:pPr>
        <w:tabs>
          <w:tab w:val="left" w:pos="900"/>
        </w:tabs>
        <w:ind w:left="900" w:hanging="720"/>
      </w:pPr>
      <w:rPr>
        <w:rFonts w:hint="eastAsia"/>
      </w:rPr>
    </w:lvl>
    <w:lvl w:ilvl="1" w:tentative="0">
      <w:start w:val="1"/>
      <w:numFmt w:val="lowerLetter"/>
      <w:lvlText w:val="%2)"/>
      <w:lvlJc w:val="left"/>
      <w:pPr>
        <w:tabs>
          <w:tab w:val="left" w:pos="1020"/>
        </w:tabs>
        <w:ind w:left="1020" w:hanging="420"/>
      </w:pPr>
    </w:lvl>
    <w:lvl w:ilvl="2" w:tentative="0">
      <w:start w:val="1"/>
      <w:numFmt w:val="lowerRoman"/>
      <w:lvlText w:val="%3."/>
      <w:lvlJc w:val="right"/>
      <w:pPr>
        <w:tabs>
          <w:tab w:val="left" w:pos="1440"/>
        </w:tabs>
        <w:ind w:left="1440" w:hanging="420"/>
      </w:pPr>
    </w:lvl>
    <w:lvl w:ilvl="3" w:tentative="0">
      <w:start w:val="1"/>
      <w:numFmt w:val="decimal"/>
      <w:lvlText w:val="%4."/>
      <w:lvlJc w:val="left"/>
      <w:pPr>
        <w:tabs>
          <w:tab w:val="left" w:pos="1860"/>
        </w:tabs>
        <w:ind w:left="1860" w:hanging="420"/>
      </w:pPr>
    </w:lvl>
    <w:lvl w:ilvl="4" w:tentative="0">
      <w:start w:val="1"/>
      <w:numFmt w:val="lowerLetter"/>
      <w:lvlText w:val="%5)"/>
      <w:lvlJc w:val="left"/>
      <w:pPr>
        <w:tabs>
          <w:tab w:val="left" w:pos="2280"/>
        </w:tabs>
        <w:ind w:left="2280" w:hanging="420"/>
      </w:pPr>
    </w:lvl>
    <w:lvl w:ilvl="5" w:tentative="0">
      <w:start w:val="1"/>
      <w:numFmt w:val="lowerRoman"/>
      <w:lvlText w:val="%6."/>
      <w:lvlJc w:val="right"/>
      <w:pPr>
        <w:tabs>
          <w:tab w:val="left" w:pos="2700"/>
        </w:tabs>
        <w:ind w:left="2700" w:hanging="420"/>
      </w:pPr>
    </w:lvl>
    <w:lvl w:ilvl="6" w:tentative="0">
      <w:start w:val="1"/>
      <w:numFmt w:val="decimal"/>
      <w:lvlText w:val="%7."/>
      <w:lvlJc w:val="left"/>
      <w:pPr>
        <w:tabs>
          <w:tab w:val="left" w:pos="3120"/>
        </w:tabs>
        <w:ind w:left="3120" w:hanging="420"/>
      </w:pPr>
    </w:lvl>
    <w:lvl w:ilvl="7" w:tentative="0">
      <w:start w:val="1"/>
      <w:numFmt w:val="lowerLetter"/>
      <w:lvlText w:val="%8)"/>
      <w:lvlJc w:val="left"/>
      <w:pPr>
        <w:tabs>
          <w:tab w:val="left" w:pos="3540"/>
        </w:tabs>
        <w:ind w:left="3540" w:hanging="420"/>
      </w:pPr>
    </w:lvl>
    <w:lvl w:ilvl="8" w:tentative="0">
      <w:start w:val="1"/>
      <w:numFmt w:val="lowerRoman"/>
      <w:lvlText w:val="%9."/>
      <w:lvlJc w:val="right"/>
      <w:pPr>
        <w:tabs>
          <w:tab w:val="left" w:pos="3960"/>
        </w:tabs>
        <w:ind w:left="3960" w:hanging="420"/>
      </w:pPr>
    </w:lvl>
  </w:abstractNum>
  <w:abstractNum w:abstractNumId="8">
    <w:nsid w:val="2A493DD6"/>
    <w:multiLevelType w:val="singleLevel"/>
    <w:tmpl w:val="2A493DD6"/>
    <w:lvl w:ilvl="0" w:tentative="0">
      <w:start w:val="1"/>
      <w:numFmt w:val="decimal"/>
      <w:suff w:val="nothing"/>
      <w:lvlText w:val="（%1）"/>
      <w:lvlJc w:val="left"/>
    </w:lvl>
  </w:abstractNum>
  <w:abstractNum w:abstractNumId="9">
    <w:nsid w:val="4FB76B4E"/>
    <w:multiLevelType w:val="singleLevel"/>
    <w:tmpl w:val="4FB76B4E"/>
    <w:lvl w:ilvl="0" w:tentative="0">
      <w:start w:val="3"/>
      <w:numFmt w:val="chineseCounting"/>
      <w:suff w:val="space"/>
      <w:lvlText w:val="第%1章"/>
      <w:lvlJc w:val="left"/>
      <w:rPr>
        <w:rFonts w:hint="eastAsia"/>
      </w:rPr>
    </w:lvl>
  </w:abstractNum>
  <w:num w:numId="1">
    <w:abstractNumId w:val="7"/>
  </w:num>
  <w:num w:numId="2">
    <w:abstractNumId w:val="5"/>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0"/>
  </w:num>
  <w:num w:numId="6">
    <w:abstractNumId w:val="9"/>
  </w:num>
  <w:num w:numId="7">
    <w:abstractNumId w:val="3"/>
  </w:num>
  <w:num w:numId="8">
    <w:abstractNumId w:val="1"/>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9"/>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Y0NWE0YmQyY2QxNzViNTU4ZTc2M2VmNWI5NDlkZmUifQ=="/>
  </w:docVars>
  <w:rsids>
    <w:rsidRoot w:val="00120357"/>
    <w:rsid w:val="00061F1F"/>
    <w:rsid w:val="00120196"/>
    <w:rsid w:val="00120357"/>
    <w:rsid w:val="001808B6"/>
    <w:rsid w:val="001E3149"/>
    <w:rsid w:val="00204264"/>
    <w:rsid w:val="00247262"/>
    <w:rsid w:val="002A4484"/>
    <w:rsid w:val="003A183C"/>
    <w:rsid w:val="0040758E"/>
    <w:rsid w:val="004522AB"/>
    <w:rsid w:val="004C2471"/>
    <w:rsid w:val="00625E39"/>
    <w:rsid w:val="0063002C"/>
    <w:rsid w:val="0066144D"/>
    <w:rsid w:val="006A7B05"/>
    <w:rsid w:val="006E6443"/>
    <w:rsid w:val="00786924"/>
    <w:rsid w:val="007D59B6"/>
    <w:rsid w:val="007E2275"/>
    <w:rsid w:val="00833ECE"/>
    <w:rsid w:val="00835F66"/>
    <w:rsid w:val="00995FE0"/>
    <w:rsid w:val="009B21DB"/>
    <w:rsid w:val="009E016E"/>
    <w:rsid w:val="00A01088"/>
    <w:rsid w:val="00A733C4"/>
    <w:rsid w:val="00AE3CFF"/>
    <w:rsid w:val="00B47A49"/>
    <w:rsid w:val="00BA6DF0"/>
    <w:rsid w:val="00BC3963"/>
    <w:rsid w:val="00C61297"/>
    <w:rsid w:val="00D0461B"/>
    <w:rsid w:val="00D76FE9"/>
    <w:rsid w:val="00D90A44"/>
    <w:rsid w:val="00DD2B0E"/>
    <w:rsid w:val="00DF15A8"/>
    <w:rsid w:val="00E50935"/>
    <w:rsid w:val="00F0724C"/>
    <w:rsid w:val="00F266DC"/>
    <w:rsid w:val="010351AA"/>
    <w:rsid w:val="013E61E2"/>
    <w:rsid w:val="01436CD3"/>
    <w:rsid w:val="014440E8"/>
    <w:rsid w:val="01591059"/>
    <w:rsid w:val="01610B5E"/>
    <w:rsid w:val="01763BCE"/>
    <w:rsid w:val="01824AF3"/>
    <w:rsid w:val="01C20060"/>
    <w:rsid w:val="01C62F41"/>
    <w:rsid w:val="01D2408C"/>
    <w:rsid w:val="01E0649E"/>
    <w:rsid w:val="01EB0856"/>
    <w:rsid w:val="02331D71"/>
    <w:rsid w:val="02562DB8"/>
    <w:rsid w:val="027368E2"/>
    <w:rsid w:val="02886A91"/>
    <w:rsid w:val="028E497E"/>
    <w:rsid w:val="02952D91"/>
    <w:rsid w:val="02962913"/>
    <w:rsid w:val="02996FD8"/>
    <w:rsid w:val="02AA32A4"/>
    <w:rsid w:val="02DF5F32"/>
    <w:rsid w:val="02E912D8"/>
    <w:rsid w:val="03411FB9"/>
    <w:rsid w:val="03552AE4"/>
    <w:rsid w:val="035C33DB"/>
    <w:rsid w:val="038D6E90"/>
    <w:rsid w:val="039A0865"/>
    <w:rsid w:val="039E2408"/>
    <w:rsid w:val="039E3A1B"/>
    <w:rsid w:val="03DC770D"/>
    <w:rsid w:val="03DD7F33"/>
    <w:rsid w:val="042518DB"/>
    <w:rsid w:val="04477F08"/>
    <w:rsid w:val="04803322"/>
    <w:rsid w:val="04A95388"/>
    <w:rsid w:val="04AF2598"/>
    <w:rsid w:val="04E73F4E"/>
    <w:rsid w:val="04E91104"/>
    <w:rsid w:val="04F2065D"/>
    <w:rsid w:val="05164544"/>
    <w:rsid w:val="05791855"/>
    <w:rsid w:val="059506C7"/>
    <w:rsid w:val="05A7775A"/>
    <w:rsid w:val="05D57E05"/>
    <w:rsid w:val="05DF1F73"/>
    <w:rsid w:val="05F31F2B"/>
    <w:rsid w:val="061532CD"/>
    <w:rsid w:val="06206C00"/>
    <w:rsid w:val="062530E5"/>
    <w:rsid w:val="064433E2"/>
    <w:rsid w:val="06490D7E"/>
    <w:rsid w:val="066922F3"/>
    <w:rsid w:val="06B84CB0"/>
    <w:rsid w:val="06C657FF"/>
    <w:rsid w:val="06C85F4B"/>
    <w:rsid w:val="070F11C2"/>
    <w:rsid w:val="07344807"/>
    <w:rsid w:val="077435FC"/>
    <w:rsid w:val="077B75D8"/>
    <w:rsid w:val="077F0578"/>
    <w:rsid w:val="07AD6B83"/>
    <w:rsid w:val="07EE6129"/>
    <w:rsid w:val="07FF59B5"/>
    <w:rsid w:val="080236DC"/>
    <w:rsid w:val="085E0FAB"/>
    <w:rsid w:val="086215E8"/>
    <w:rsid w:val="087C4EDF"/>
    <w:rsid w:val="08847D58"/>
    <w:rsid w:val="088B2E64"/>
    <w:rsid w:val="0896512A"/>
    <w:rsid w:val="089B3DD1"/>
    <w:rsid w:val="08C41820"/>
    <w:rsid w:val="08C603BB"/>
    <w:rsid w:val="08CA47FF"/>
    <w:rsid w:val="08FD3778"/>
    <w:rsid w:val="090E5904"/>
    <w:rsid w:val="094A1AB5"/>
    <w:rsid w:val="09544CB5"/>
    <w:rsid w:val="0960141B"/>
    <w:rsid w:val="09687C9A"/>
    <w:rsid w:val="09703593"/>
    <w:rsid w:val="097F5387"/>
    <w:rsid w:val="09817B58"/>
    <w:rsid w:val="0995305F"/>
    <w:rsid w:val="09A77221"/>
    <w:rsid w:val="09E05EFA"/>
    <w:rsid w:val="0A04212D"/>
    <w:rsid w:val="0A462A14"/>
    <w:rsid w:val="0AAC68E4"/>
    <w:rsid w:val="0B724433"/>
    <w:rsid w:val="0B8C0133"/>
    <w:rsid w:val="0BB910BD"/>
    <w:rsid w:val="0BBD0F10"/>
    <w:rsid w:val="0BC97D41"/>
    <w:rsid w:val="0BD0543C"/>
    <w:rsid w:val="0BD51023"/>
    <w:rsid w:val="0BD556B4"/>
    <w:rsid w:val="0BD950E5"/>
    <w:rsid w:val="0BE21DA6"/>
    <w:rsid w:val="0C1B606D"/>
    <w:rsid w:val="0C501156"/>
    <w:rsid w:val="0C611D30"/>
    <w:rsid w:val="0CA3667E"/>
    <w:rsid w:val="0CA864AB"/>
    <w:rsid w:val="0CCE0A8A"/>
    <w:rsid w:val="0CFB767D"/>
    <w:rsid w:val="0D265FEE"/>
    <w:rsid w:val="0D357CBF"/>
    <w:rsid w:val="0D444046"/>
    <w:rsid w:val="0D7746B2"/>
    <w:rsid w:val="0DC17088"/>
    <w:rsid w:val="0DC577C3"/>
    <w:rsid w:val="0DC74656"/>
    <w:rsid w:val="0DFB0406"/>
    <w:rsid w:val="0E36263C"/>
    <w:rsid w:val="0E4D2F01"/>
    <w:rsid w:val="0EC57270"/>
    <w:rsid w:val="0F02471A"/>
    <w:rsid w:val="0F145B96"/>
    <w:rsid w:val="0F37594C"/>
    <w:rsid w:val="0F471515"/>
    <w:rsid w:val="0F6E5C5D"/>
    <w:rsid w:val="0F733A4E"/>
    <w:rsid w:val="0F756BCB"/>
    <w:rsid w:val="0F7633E9"/>
    <w:rsid w:val="0F901A08"/>
    <w:rsid w:val="0FA350C9"/>
    <w:rsid w:val="0FDC5544"/>
    <w:rsid w:val="0FE947FC"/>
    <w:rsid w:val="1058311B"/>
    <w:rsid w:val="105A548A"/>
    <w:rsid w:val="10DA70EF"/>
    <w:rsid w:val="115F49DD"/>
    <w:rsid w:val="117222E1"/>
    <w:rsid w:val="11E92165"/>
    <w:rsid w:val="11F21963"/>
    <w:rsid w:val="120A68EE"/>
    <w:rsid w:val="12365FD1"/>
    <w:rsid w:val="12A85BB1"/>
    <w:rsid w:val="12B33C7B"/>
    <w:rsid w:val="12C45C88"/>
    <w:rsid w:val="12D147F6"/>
    <w:rsid w:val="12EB5365"/>
    <w:rsid w:val="131A4DA5"/>
    <w:rsid w:val="135167E2"/>
    <w:rsid w:val="138B0A71"/>
    <w:rsid w:val="139332CB"/>
    <w:rsid w:val="13B20145"/>
    <w:rsid w:val="13C66239"/>
    <w:rsid w:val="13D1738A"/>
    <w:rsid w:val="13FD3CDB"/>
    <w:rsid w:val="14071BE0"/>
    <w:rsid w:val="14080394"/>
    <w:rsid w:val="140E0C9A"/>
    <w:rsid w:val="14111D6C"/>
    <w:rsid w:val="146F4E22"/>
    <w:rsid w:val="1484033B"/>
    <w:rsid w:val="14867D07"/>
    <w:rsid w:val="14897B0A"/>
    <w:rsid w:val="148C4E8F"/>
    <w:rsid w:val="14B67E38"/>
    <w:rsid w:val="14CF019A"/>
    <w:rsid w:val="151642E7"/>
    <w:rsid w:val="152159B1"/>
    <w:rsid w:val="15572AED"/>
    <w:rsid w:val="15674156"/>
    <w:rsid w:val="158B7F0A"/>
    <w:rsid w:val="158F1F69"/>
    <w:rsid w:val="159B4AA2"/>
    <w:rsid w:val="15AB707C"/>
    <w:rsid w:val="15BF55CC"/>
    <w:rsid w:val="15CA0325"/>
    <w:rsid w:val="15E77E11"/>
    <w:rsid w:val="16381F4B"/>
    <w:rsid w:val="16B36949"/>
    <w:rsid w:val="16E23F43"/>
    <w:rsid w:val="170128D1"/>
    <w:rsid w:val="170C2415"/>
    <w:rsid w:val="17410382"/>
    <w:rsid w:val="176C3AC6"/>
    <w:rsid w:val="176C7498"/>
    <w:rsid w:val="17793203"/>
    <w:rsid w:val="178F7A19"/>
    <w:rsid w:val="179452FE"/>
    <w:rsid w:val="17F21718"/>
    <w:rsid w:val="17F66F93"/>
    <w:rsid w:val="18016A7C"/>
    <w:rsid w:val="181D120E"/>
    <w:rsid w:val="18224FB9"/>
    <w:rsid w:val="18277A75"/>
    <w:rsid w:val="182842A9"/>
    <w:rsid w:val="18310048"/>
    <w:rsid w:val="183E7655"/>
    <w:rsid w:val="18421733"/>
    <w:rsid w:val="18C272A1"/>
    <w:rsid w:val="19010E77"/>
    <w:rsid w:val="192279F8"/>
    <w:rsid w:val="194159F9"/>
    <w:rsid w:val="19494D8F"/>
    <w:rsid w:val="194C364D"/>
    <w:rsid w:val="194F3C47"/>
    <w:rsid w:val="19716F6A"/>
    <w:rsid w:val="197333CD"/>
    <w:rsid w:val="197C281C"/>
    <w:rsid w:val="198445A7"/>
    <w:rsid w:val="19A106D0"/>
    <w:rsid w:val="19ED7C7E"/>
    <w:rsid w:val="1A2503F3"/>
    <w:rsid w:val="1A612249"/>
    <w:rsid w:val="1AA730EE"/>
    <w:rsid w:val="1AB40F43"/>
    <w:rsid w:val="1ABA2C23"/>
    <w:rsid w:val="1AD46A08"/>
    <w:rsid w:val="1B3B48B0"/>
    <w:rsid w:val="1B6E4E8F"/>
    <w:rsid w:val="1B70011D"/>
    <w:rsid w:val="1B9738C3"/>
    <w:rsid w:val="1BAB244D"/>
    <w:rsid w:val="1BAC404C"/>
    <w:rsid w:val="1BC974BA"/>
    <w:rsid w:val="1BCA124D"/>
    <w:rsid w:val="1BE4336B"/>
    <w:rsid w:val="1C1E543E"/>
    <w:rsid w:val="1C23202D"/>
    <w:rsid w:val="1C407E4F"/>
    <w:rsid w:val="1C6D0F67"/>
    <w:rsid w:val="1CD21BB4"/>
    <w:rsid w:val="1CDB058A"/>
    <w:rsid w:val="1D464280"/>
    <w:rsid w:val="1D616D1C"/>
    <w:rsid w:val="1D6F1CC2"/>
    <w:rsid w:val="1D7770D2"/>
    <w:rsid w:val="1D7B00F7"/>
    <w:rsid w:val="1DC21FD1"/>
    <w:rsid w:val="1DC33D0C"/>
    <w:rsid w:val="1DC961C8"/>
    <w:rsid w:val="1DD00A50"/>
    <w:rsid w:val="1E4B4F4F"/>
    <w:rsid w:val="1E6F6277"/>
    <w:rsid w:val="1F3D7530"/>
    <w:rsid w:val="1F7D4B6F"/>
    <w:rsid w:val="1F8F2167"/>
    <w:rsid w:val="209C7EC7"/>
    <w:rsid w:val="20D600B8"/>
    <w:rsid w:val="20E53FB6"/>
    <w:rsid w:val="20F67F6A"/>
    <w:rsid w:val="21291CAA"/>
    <w:rsid w:val="212E7638"/>
    <w:rsid w:val="214B0FC2"/>
    <w:rsid w:val="219F7621"/>
    <w:rsid w:val="21AE0CFA"/>
    <w:rsid w:val="21AF2DBE"/>
    <w:rsid w:val="21D61B42"/>
    <w:rsid w:val="21DA62E3"/>
    <w:rsid w:val="21E94232"/>
    <w:rsid w:val="21EA3CF8"/>
    <w:rsid w:val="21F57528"/>
    <w:rsid w:val="22060BB5"/>
    <w:rsid w:val="220B04C6"/>
    <w:rsid w:val="22253CB7"/>
    <w:rsid w:val="225019A1"/>
    <w:rsid w:val="226E6222"/>
    <w:rsid w:val="229B3FD7"/>
    <w:rsid w:val="229F0E18"/>
    <w:rsid w:val="22B449F7"/>
    <w:rsid w:val="22B81E40"/>
    <w:rsid w:val="22C65D13"/>
    <w:rsid w:val="22D25E25"/>
    <w:rsid w:val="23011951"/>
    <w:rsid w:val="23164C83"/>
    <w:rsid w:val="23366401"/>
    <w:rsid w:val="23657B2B"/>
    <w:rsid w:val="23864BDD"/>
    <w:rsid w:val="23C61BEE"/>
    <w:rsid w:val="23EB16FF"/>
    <w:rsid w:val="23FC3FAF"/>
    <w:rsid w:val="246C5F90"/>
    <w:rsid w:val="24BD6318"/>
    <w:rsid w:val="24C17983"/>
    <w:rsid w:val="24D06A6E"/>
    <w:rsid w:val="24D540F2"/>
    <w:rsid w:val="24D65709"/>
    <w:rsid w:val="24DE27DA"/>
    <w:rsid w:val="24E118C5"/>
    <w:rsid w:val="24F07F86"/>
    <w:rsid w:val="24F35FBB"/>
    <w:rsid w:val="250F0876"/>
    <w:rsid w:val="254B43BE"/>
    <w:rsid w:val="25543EBF"/>
    <w:rsid w:val="25827C2C"/>
    <w:rsid w:val="258906B6"/>
    <w:rsid w:val="25905AAC"/>
    <w:rsid w:val="25F74A2E"/>
    <w:rsid w:val="26272111"/>
    <w:rsid w:val="26314D99"/>
    <w:rsid w:val="26630136"/>
    <w:rsid w:val="268D0D37"/>
    <w:rsid w:val="26ED1205"/>
    <w:rsid w:val="26FD5D85"/>
    <w:rsid w:val="2705557F"/>
    <w:rsid w:val="2727578B"/>
    <w:rsid w:val="27377F44"/>
    <w:rsid w:val="273D64B4"/>
    <w:rsid w:val="278B6B62"/>
    <w:rsid w:val="279D030F"/>
    <w:rsid w:val="27CF78D1"/>
    <w:rsid w:val="27DA4607"/>
    <w:rsid w:val="27E86EA7"/>
    <w:rsid w:val="27E876F6"/>
    <w:rsid w:val="27FA0498"/>
    <w:rsid w:val="27FF0BAA"/>
    <w:rsid w:val="281E7492"/>
    <w:rsid w:val="283304A0"/>
    <w:rsid w:val="283446E7"/>
    <w:rsid w:val="28364337"/>
    <w:rsid w:val="28444735"/>
    <w:rsid w:val="28573148"/>
    <w:rsid w:val="288073E9"/>
    <w:rsid w:val="288B5B91"/>
    <w:rsid w:val="28C30BC3"/>
    <w:rsid w:val="291B0927"/>
    <w:rsid w:val="293527E5"/>
    <w:rsid w:val="293E7FD1"/>
    <w:rsid w:val="29404DFA"/>
    <w:rsid w:val="29BF1C6E"/>
    <w:rsid w:val="29E17A76"/>
    <w:rsid w:val="2A015F04"/>
    <w:rsid w:val="2A040FEF"/>
    <w:rsid w:val="2B3D5494"/>
    <w:rsid w:val="2B6C62B4"/>
    <w:rsid w:val="2B8D1BC0"/>
    <w:rsid w:val="2B985060"/>
    <w:rsid w:val="2BA25718"/>
    <w:rsid w:val="2BAF15E3"/>
    <w:rsid w:val="2BD12107"/>
    <w:rsid w:val="2C114A77"/>
    <w:rsid w:val="2C6A1ACE"/>
    <w:rsid w:val="2CA8155C"/>
    <w:rsid w:val="2CB36ACD"/>
    <w:rsid w:val="2CC056E2"/>
    <w:rsid w:val="2CEA3B51"/>
    <w:rsid w:val="2D0045CB"/>
    <w:rsid w:val="2D0B0DBF"/>
    <w:rsid w:val="2D112230"/>
    <w:rsid w:val="2D1A5AAE"/>
    <w:rsid w:val="2D1E0E45"/>
    <w:rsid w:val="2D2908B7"/>
    <w:rsid w:val="2D3B3A3A"/>
    <w:rsid w:val="2D423F53"/>
    <w:rsid w:val="2D475B75"/>
    <w:rsid w:val="2D5704A8"/>
    <w:rsid w:val="2D7A3CDE"/>
    <w:rsid w:val="2D871532"/>
    <w:rsid w:val="2D9E5A94"/>
    <w:rsid w:val="2DBF0EF7"/>
    <w:rsid w:val="2DD817DF"/>
    <w:rsid w:val="2E105DE4"/>
    <w:rsid w:val="2E174D8D"/>
    <w:rsid w:val="2E383577"/>
    <w:rsid w:val="2E403663"/>
    <w:rsid w:val="2E694682"/>
    <w:rsid w:val="2E766DD1"/>
    <w:rsid w:val="2ECD5A9F"/>
    <w:rsid w:val="2EFB4C1A"/>
    <w:rsid w:val="2EFF7AC0"/>
    <w:rsid w:val="2F1407DE"/>
    <w:rsid w:val="2F177A08"/>
    <w:rsid w:val="2F214A2B"/>
    <w:rsid w:val="2F2A6C02"/>
    <w:rsid w:val="2F8D597C"/>
    <w:rsid w:val="2FAE6460"/>
    <w:rsid w:val="2FB36745"/>
    <w:rsid w:val="2FBD1137"/>
    <w:rsid w:val="2FC034B0"/>
    <w:rsid w:val="2FC43C08"/>
    <w:rsid w:val="2FF52077"/>
    <w:rsid w:val="2FF67C4A"/>
    <w:rsid w:val="30026B3F"/>
    <w:rsid w:val="303E0C61"/>
    <w:rsid w:val="304802EB"/>
    <w:rsid w:val="30555425"/>
    <w:rsid w:val="306A6BED"/>
    <w:rsid w:val="306E6E59"/>
    <w:rsid w:val="30846679"/>
    <w:rsid w:val="30A92DC8"/>
    <w:rsid w:val="30CD1BBB"/>
    <w:rsid w:val="30F26946"/>
    <w:rsid w:val="315C0447"/>
    <w:rsid w:val="3161592D"/>
    <w:rsid w:val="316E338A"/>
    <w:rsid w:val="317C21FC"/>
    <w:rsid w:val="317E1AD6"/>
    <w:rsid w:val="318B24CE"/>
    <w:rsid w:val="31A4088A"/>
    <w:rsid w:val="31BF12E0"/>
    <w:rsid w:val="3233537C"/>
    <w:rsid w:val="32361BEB"/>
    <w:rsid w:val="323D0B92"/>
    <w:rsid w:val="326B2E9B"/>
    <w:rsid w:val="326B7B57"/>
    <w:rsid w:val="32D82A5C"/>
    <w:rsid w:val="330D17F0"/>
    <w:rsid w:val="33486A26"/>
    <w:rsid w:val="335F6CDD"/>
    <w:rsid w:val="336B4CA9"/>
    <w:rsid w:val="33BB5290"/>
    <w:rsid w:val="33F20F2A"/>
    <w:rsid w:val="3437308B"/>
    <w:rsid w:val="344D18C2"/>
    <w:rsid w:val="34581BA4"/>
    <w:rsid w:val="346E5D1E"/>
    <w:rsid w:val="347A1B62"/>
    <w:rsid w:val="34A346C9"/>
    <w:rsid w:val="350727A0"/>
    <w:rsid w:val="352F5ED9"/>
    <w:rsid w:val="353115C6"/>
    <w:rsid w:val="35476709"/>
    <w:rsid w:val="355F5D29"/>
    <w:rsid w:val="35A0716C"/>
    <w:rsid w:val="35E92C70"/>
    <w:rsid w:val="360D36CF"/>
    <w:rsid w:val="361E2258"/>
    <w:rsid w:val="363E2C44"/>
    <w:rsid w:val="36C61124"/>
    <w:rsid w:val="36E11C70"/>
    <w:rsid w:val="372C65EF"/>
    <w:rsid w:val="37BA74ED"/>
    <w:rsid w:val="37C83D33"/>
    <w:rsid w:val="37C970F7"/>
    <w:rsid w:val="37F67B50"/>
    <w:rsid w:val="38205A87"/>
    <w:rsid w:val="386540DF"/>
    <w:rsid w:val="38A01F68"/>
    <w:rsid w:val="38D330D8"/>
    <w:rsid w:val="3902778B"/>
    <w:rsid w:val="39050DB8"/>
    <w:rsid w:val="391D6F8A"/>
    <w:rsid w:val="39382742"/>
    <w:rsid w:val="39403D0E"/>
    <w:rsid w:val="39464E76"/>
    <w:rsid w:val="3959798F"/>
    <w:rsid w:val="39832A92"/>
    <w:rsid w:val="39A54E5E"/>
    <w:rsid w:val="39AE70A9"/>
    <w:rsid w:val="39C3557A"/>
    <w:rsid w:val="39CA065C"/>
    <w:rsid w:val="3A1348F7"/>
    <w:rsid w:val="3A214932"/>
    <w:rsid w:val="3A2F3DE1"/>
    <w:rsid w:val="3A4141FE"/>
    <w:rsid w:val="3A464B75"/>
    <w:rsid w:val="3A4C27A6"/>
    <w:rsid w:val="3A4F37FF"/>
    <w:rsid w:val="3A524929"/>
    <w:rsid w:val="3ABD7878"/>
    <w:rsid w:val="3AD17207"/>
    <w:rsid w:val="3B2702E0"/>
    <w:rsid w:val="3B821574"/>
    <w:rsid w:val="3BCF2FC1"/>
    <w:rsid w:val="3C064AEC"/>
    <w:rsid w:val="3C19172C"/>
    <w:rsid w:val="3C3E7173"/>
    <w:rsid w:val="3C596697"/>
    <w:rsid w:val="3C627986"/>
    <w:rsid w:val="3C652594"/>
    <w:rsid w:val="3C7B4B60"/>
    <w:rsid w:val="3C8B76AE"/>
    <w:rsid w:val="3CAB3EE5"/>
    <w:rsid w:val="3D692B7A"/>
    <w:rsid w:val="3D6D0845"/>
    <w:rsid w:val="3D737B9D"/>
    <w:rsid w:val="3D8C343F"/>
    <w:rsid w:val="3D9F67BC"/>
    <w:rsid w:val="3DA93169"/>
    <w:rsid w:val="3DCE2CF2"/>
    <w:rsid w:val="3E162C3E"/>
    <w:rsid w:val="3E213688"/>
    <w:rsid w:val="3E342887"/>
    <w:rsid w:val="3E353E61"/>
    <w:rsid w:val="3E41759E"/>
    <w:rsid w:val="3E590DA0"/>
    <w:rsid w:val="3E613D11"/>
    <w:rsid w:val="3E9961CA"/>
    <w:rsid w:val="3EA77CB1"/>
    <w:rsid w:val="3F0F6B27"/>
    <w:rsid w:val="3F174B9A"/>
    <w:rsid w:val="3F35413C"/>
    <w:rsid w:val="3F4B21EC"/>
    <w:rsid w:val="3F5719A7"/>
    <w:rsid w:val="3F9814B2"/>
    <w:rsid w:val="3FAE27BB"/>
    <w:rsid w:val="3FC35A86"/>
    <w:rsid w:val="3FC62F71"/>
    <w:rsid w:val="3FD85E54"/>
    <w:rsid w:val="3FE1137C"/>
    <w:rsid w:val="3FF027C2"/>
    <w:rsid w:val="3FF22745"/>
    <w:rsid w:val="3FF550FA"/>
    <w:rsid w:val="3FFC7DF9"/>
    <w:rsid w:val="400A58C8"/>
    <w:rsid w:val="400F68AD"/>
    <w:rsid w:val="40237FA7"/>
    <w:rsid w:val="403C425A"/>
    <w:rsid w:val="40605E68"/>
    <w:rsid w:val="407671D8"/>
    <w:rsid w:val="408B30F9"/>
    <w:rsid w:val="4091116A"/>
    <w:rsid w:val="40BE2FC3"/>
    <w:rsid w:val="40FF3CFC"/>
    <w:rsid w:val="41066FE2"/>
    <w:rsid w:val="41172E91"/>
    <w:rsid w:val="415C294F"/>
    <w:rsid w:val="41656209"/>
    <w:rsid w:val="41BC1903"/>
    <w:rsid w:val="41F6051A"/>
    <w:rsid w:val="4246517B"/>
    <w:rsid w:val="425744C5"/>
    <w:rsid w:val="4266399B"/>
    <w:rsid w:val="426C0B65"/>
    <w:rsid w:val="429975BC"/>
    <w:rsid w:val="429F18AB"/>
    <w:rsid w:val="42A30605"/>
    <w:rsid w:val="42B47139"/>
    <w:rsid w:val="42D17F64"/>
    <w:rsid w:val="42E34AC6"/>
    <w:rsid w:val="42EB5FF0"/>
    <w:rsid w:val="43036B44"/>
    <w:rsid w:val="43307E46"/>
    <w:rsid w:val="433C04C9"/>
    <w:rsid w:val="434E72FF"/>
    <w:rsid w:val="435E4775"/>
    <w:rsid w:val="43624F98"/>
    <w:rsid w:val="437C1034"/>
    <w:rsid w:val="437D5DB3"/>
    <w:rsid w:val="43844393"/>
    <w:rsid w:val="43903BCC"/>
    <w:rsid w:val="43A551DD"/>
    <w:rsid w:val="43C81899"/>
    <w:rsid w:val="43E85631"/>
    <w:rsid w:val="440219DA"/>
    <w:rsid w:val="44063072"/>
    <w:rsid w:val="44146AD4"/>
    <w:rsid w:val="44181508"/>
    <w:rsid w:val="441C6BC0"/>
    <w:rsid w:val="44495A03"/>
    <w:rsid w:val="44626EE9"/>
    <w:rsid w:val="448A6A7C"/>
    <w:rsid w:val="44D143A4"/>
    <w:rsid w:val="45012A68"/>
    <w:rsid w:val="453657E6"/>
    <w:rsid w:val="45584FA3"/>
    <w:rsid w:val="456170F8"/>
    <w:rsid w:val="45946DBA"/>
    <w:rsid w:val="45BB491C"/>
    <w:rsid w:val="45CD7CE9"/>
    <w:rsid w:val="45D808A2"/>
    <w:rsid w:val="45E03CFC"/>
    <w:rsid w:val="45F72EBF"/>
    <w:rsid w:val="46095A13"/>
    <w:rsid w:val="465978DA"/>
    <w:rsid w:val="46676A24"/>
    <w:rsid w:val="46687EEF"/>
    <w:rsid w:val="467B45BC"/>
    <w:rsid w:val="468531C2"/>
    <w:rsid w:val="46863E9D"/>
    <w:rsid w:val="46AC673A"/>
    <w:rsid w:val="46B27113"/>
    <w:rsid w:val="470B6A2E"/>
    <w:rsid w:val="47CB634F"/>
    <w:rsid w:val="47E77EB0"/>
    <w:rsid w:val="48232DD1"/>
    <w:rsid w:val="483460F4"/>
    <w:rsid w:val="484A50F9"/>
    <w:rsid w:val="48894852"/>
    <w:rsid w:val="488F1F0D"/>
    <w:rsid w:val="48C10CF2"/>
    <w:rsid w:val="48F119C5"/>
    <w:rsid w:val="48F162A6"/>
    <w:rsid w:val="48F90AB4"/>
    <w:rsid w:val="49143462"/>
    <w:rsid w:val="493B1962"/>
    <w:rsid w:val="494139FA"/>
    <w:rsid w:val="49413E94"/>
    <w:rsid w:val="49863202"/>
    <w:rsid w:val="499401C8"/>
    <w:rsid w:val="49BB7A68"/>
    <w:rsid w:val="49ED48D8"/>
    <w:rsid w:val="4A472DD9"/>
    <w:rsid w:val="4A603CB8"/>
    <w:rsid w:val="4A73168D"/>
    <w:rsid w:val="4A7C69AD"/>
    <w:rsid w:val="4AAB521E"/>
    <w:rsid w:val="4AC21092"/>
    <w:rsid w:val="4ACE5C30"/>
    <w:rsid w:val="4AFA1445"/>
    <w:rsid w:val="4AFC6997"/>
    <w:rsid w:val="4B1D548C"/>
    <w:rsid w:val="4BAD2697"/>
    <w:rsid w:val="4BB109D2"/>
    <w:rsid w:val="4BD4266C"/>
    <w:rsid w:val="4C3136AF"/>
    <w:rsid w:val="4C3B2BA7"/>
    <w:rsid w:val="4C7B133A"/>
    <w:rsid w:val="4CAC0DBF"/>
    <w:rsid w:val="4CD866E7"/>
    <w:rsid w:val="4CDA31D5"/>
    <w:rsid w:val="4CE817BC"/>
    <w:rsid w:val="4D201864"/>
    <w:rsid w:val="4D39122C"/>
    <w:rsid w:val="4D8021C0"/>
    <w:rsid w:val="4D8B3CB7"/>
    <w:rsid w:val="4D8C1E4F"/>
    <w:rsid w:val="4D9D1880"/>
    <w:rsid w:val="4DC87F7C"/>
    <w:rsid w:val="4DD67197"/>
    <w:rsid w:val="4DFA3CB5"/>
    <w:rsid w:val="4E525A58"/>
    <w:rsid w:val="4EB90223"/>
    <w:rsid w:val="4F014119"/>
    <w:rsid w:val="4F075C65"/>
    <w:rsid w:val="4F0D5A54"/>
    <w:rsid w:val="4F370278"/>
    <w:rsid w:val="4F4D2799"/>
    <w:rsid w:val="4F767AAA"/>
    <w:rsid w:val="4F8D5D54"/>
    <w:rsid w:val="4F8E2AB1"/>
    <w:rsid w:val="4FA231FC"/>
    <w:rsid w:val="4FC27174"/>
    <w:rsid w:val="4FED419C"/>
    <w:rsid w:val="50007301"/>
    <w:rsid w:val="50145C31"/>
    <w:rsid w:val="5029398E"/>
    <w:rsid w:val="50414974"/>
    <w:rsid w:val="50425511"/>
    <w:rsid w:val="506A1FA8"/>
    <w:rsid w:val="50812A75"/>
    <w:rsid w:val="508A19C5"/>
    <w:rsid w:val="50AF685C"/>
    <w:rsid w:val="50CC6332"/>
    <w:rsid w:val="50E8365B"/>
    <w:rsid w:val="50FD071E"/>
    <w:rsid w:val="511526B0"/>
    <w:rsid w:val="512A121B"/>
    <w:rsid w:val="51583494"/>
    <w:rsid w:val="51606F67"/>
    <w:rsid w:val="516D0E9F"/>
    <w:rsid w:val="516E2453"/>
    <w:rsid w:val="51746408"/>
    <w:rsid w:val="517D147E"/>
    <w:rsid w:val="519342EF"/>
    <w:rsid w:val="51B77C7D"/>
    <w:rsid w:val="51C66E61"/>
    <w:rsid w:val="521B04D0"/>
    <w:rsid w:val="524C2BE5"/>
    <w:rsid w:val="52943364"/>
    <w:rsid w:val="529A387D"/>
    <w:rsid w:val="529D2DBA"/>
    <w:rsid w:val="52B4678B"/>
    <w:rsid w:val="52DE6E6D"/>
    <w:rsid w:val="52E77C4C"/>
    <w:rsid w:val="53046B26"/>
    <w:rsid w:val="530D48B9"/>
    <w:rsid w:val="531445C2"/>
    <w:rsid w:val="53A00611"/>
    <w:rsid w:val="53B44CC8"/>
    <w:rsid w:val="53C232A2"/>
    <w:rsid w:val="53F41B45"/>
    <w:rsid w:val="54063778"/>
    <w:rsid w:val="543036FA"/>
    <w:rsid w:val="543D5461"/>
    <w:rsid w:val="545903C1"/>
    <w:rsid w:val="5461271D"/>
    <w:rsid w:val="547A18D8"/>
    <w:rsid w:val="547A40FA"/>
    <w:rsid w:val="54BD28FF"/>
    <w:rsid w:val="54E8787E"/>
    <w:rsid w:val="54FC5CE6"/>
    <w:rsid w:val="55160A48"/>
    <w:rsid w:val="55247659"/>
    <w:rsid w:val="552A6476"/>
    <w:rsid w:val="552B1AC5"/>
    <w:rsid w:val="554A4D78"/>
    <w:rsid w:val="556A0C15"/>
    <w:rsid w:val="559669E1"/>
    <w:rsid w:val="55B145BB"/>
    <w:rsid w:val="55EC5BDA"/>
    <w:rsid w:val="56095EF1"/>
    <w:rsid w:val="562D2A6F"/>
    <w:rsid w:val="569E585C"/>
    <w:rsid w:val="56AB3C03"/>
    <w:rsid w:val="56DB6220"/>
    <w:rsid w:val="56ED56B2"/>
    <w:rsid w:val="57074D6B"/>
    <w:rsid w:val="571319BE"/>
    <w:rsid w:val="576912F7"/>
    <w:rsid w:val="57AA44B4"/>
    <w:rsid w:val="57E44562"/>
    <w:rsid w:val="586B13E0"/>
    <w:rsid w:val="58701CEC"/>
    <w:rsid w:val="58A7612A"/>
    <w:rsid w:val="58E83C54"/>
    <w:rsid w:val="593C7F85"/>
    <w:rsid w:val="59627900"/>
    <w:rsid w:val="597A273A"/>
    <w:rsid w:val="59981141"/>
    <w:rsid w:val="59AC7AE6"/>
    <w:rsid w:val="59D44D06"/>
    <w:rsid w:val="59D746CF"/>
    <w:rsid w:val="5A017EDE"/>
    <w:rsid w:val="5A231E03"/>
    <w:rsid w:val="5A265DD2"/>
    <w:rsid w:val="5A6D7530"/>
    <w:rsid w:val="5A9F29D7"/>
    <w:rsid w:val="5AA97A04"/>
    <w:rsid w:val="5AAD0D03"/>
    <w:rsid w:val="5B1C5A71"/>
    <w:rsid w:val="5B557557"/>
    <w:rsid w:val="5B6F72D2"/>
    <w:rsid w:val="5B7061F8"/>
    <w:rsid w:val="5BFF118E"/>
    <w:rsid w:val="5C353B44"/>
    <w:rsid w:val="5C81400A"/>
    <w:rsid w:val="5CB61C6E"/>
    <w:rsid w:val="5CC257DB"/>
    <w:rsid w:val="5CEC03BB"/>
    <w:rsid w:val="5D041DFC"/>
    <w:rsid w:val="5D0A384B"/>
    <w:rsid w:val="5D120EE5"/>
    <w:rsid w:val="5D350075"/>
    <w:rsid w:val="5D4B7848"/>
    <w:rsid w:val="5D4D50F1"/>
    <w:rsid w:val="5DA56542"/>
    <w:rsid w:val="5DCB59F0"/>
    <w:rsid w:val="5DFA4615"/>
    <w:rsid w:val="5DFD4832"/>
    <w:rsid w:val="5E10490C"/>
    <w:rsid w:val="5E7E6D93"/>
    <w:rsid w:val="5E97465E"/>
    <w:rsid w:val="5EAD72D3"/>
    <w:rsid w:val="5F0B07E7"/>
    <w:rsid w:val="5F1A7C10"/>
    <w:rsid w:val="5F3C3B05"/>
    <w:rsid w:val="5FB60022"/>
    <w:rsid w:val="5FFE1746"/>
    <w:rsid w:val="60443E7B"/>
    <w:rsid w:val="60DF7FBD"/>
    <w:rsid w:val="60E106AE"/>
    <w:rsid w:val="60E51508"/>
    <w:rsid w:val="60EC6425"/>
    <w:rsid w:val="60F6314E"/>
    <w:rsid w:val="60FB2A5E"/>
    <w:rsid w:val="61017B98"/>
    <w:rsid w:val="611D32BA"/>
    <w:rsid w:val="61303F02"/>
    <w:rsid w:val="61870770"/>
    <w:rsid w:val="61E0746B"/>
    <w:rsid w:val="61E74CAA"/>
    <w:rsid w:val="61F40B05"/>
    <w:rsid w:val="61F923F0"/>
    <w:rsid w:val="62037E6C"/>
    <w:rsid w:val="620B5662"/>
    <w:rsid w:val="62111AB4"/>
    <w:rsid w:val="626145F8"/>
    <w:rsid w:val="62873997"/>
    <w:rsid w:val="628C1CAC"/>
    <w:rsid w:val="62CF4806"/>
    <w:rsid w:val="62EA7CFE"/>
    <w:rsid w:val="634355C9"/>
    <w:rsid w:val="63666773"/>
    <w:rsid w:val="63D259C9"/>
    <w:rsid w:val="63DF498E"/>
    <w:rsid w:val="63EF7D12"/>
    <w:rsid w:val="640823D1"/>
    <w:rsid w:val="640C7D3E"/>
    <w:rsid w:val="641F7AF5"/>
    <w:rsid w:val="64437E29"/>
    <w:rsid w:val="64561895"/>
    <w:rsid w:val="64800430"/>
    <w:rsid w:val="64890783"/>
    <w:rsid w:val="64B67BC3"/>
    <w:rsid w:val="64C1578C"/>
    <w:rsid w:val="64C3211F"/>
    <w:rsid w:val="64CD2444"/>
    <w:rsid w:val="64D86CC2"/>
    <w:rsid w:val="64E421C7"/>
    <w:rsid w:val="64F72E6B"/>
    <w:rsid w:val="65010632"/>
    <w:rsid w:val="652555E7"/>
    <w:rsid w:val="65297A59"/>
    <w:rsid w:val="65573AF8"/>
    <w:rsid w:val="657658FC"/>
    <w:rsid w:val="65A02911"/>
    <w:rsid w:val="65A657A2"/>
    <w:rsid w:val="65AF0E32"/>
    <w:rsid w:val="65BC08CD"/>
    <w:rsid w:val="65CE5168"/>
    <w:rsid w:val="65D37735"/>
    <w:rsid w:val="65D551B6"/>
    <w:rsid w:val="6604551F"/>
    <w:rsid w:val="660B5B25"/>
    <w:rsid w:val="66265184"/>
    <w:rsid w:val="663938F9"/>
    <w:rsid w:val="665353A5"/>
    <w:rsid w:val="667674CD"/>
    <w:rsid w:val="668F77E9"/>
    <w:rsid w:val="66BC5DFB"/>
    <w:rsid w:val="66D97000"/>
    <w:rsid w:val="66F6049D"/>
    <w:rsid w:val="670B5FBB"/>
    <w:rsid w:val="67141AB0"/>
    <w:rsid w:val="672E00FA"/>
    <w:rsid w:val="67436443"/>
    <w:rsid w:val="678017BB"/>
    <w:rsid w:val="678501C9"/>
    <w:rsid w:val="67967F68"/>
    <w:rsid w:val="67997C61"/>
    <w:rsid w:val="679B42DE"/>
    <w:rsid w:val="679C1F63"/>
    <w:rsid w:val="67CB3943"/>
    <w:rsid w:val="68366552"/>
    <w:rsid w:val="6843020D"/>
    <w:rsid w:val="685C0049"/>
    <w:rsid w:val="689822E0"/>
    <w:rsid w:val="68B24F66"/>
    <w:rsid w:val="68BF4B24"/>
    <w:rsid w:val="68C3318E"/>
    <w:rsid w:val="68C37A5F"/>
    <w:rsid w:val="68E80B8B"/>
    <w:rsid w:val="68F75852"/>
    <w:rsid w:val="691421FF"/>
    <w:rsid w:val="697B692B"/>
    <w:rsid w:val="6999449E"/>
    <w:rsid w:val="69DF2551"/>
    <w:rsid w:val="69F0323B"/>
    <w:rsid w:val="6A035DDC"/>
    <w:rsid w:val="6A4A39B8"/>
    <w:rsid w:val="6A5A7D48"/>
    <w:rsid w:val="6A8C2013"/>
    <w:rsid w:val="6AA47DF9"/>
    <w:rsid w:val="6AB67005"/>
    <w:rsid w:val="6AD03FC0"/>
    <w:rsid w:val="6B084571"/>
    <w:rsid w:val="6B2E4909"/>
    <w:rsid w:val="6B58322A"/>
    <w:rsid w:val="6B86278C"/>
    <w:rsid w:val="6B870225"/>
    <w:rsid w:val="6BE17362"/>
    <w:rsid w:val="6C030708"/>
    <w:rsid w:val="6C693F2B"/>
    <w:rsid w:val="6C9F1BEC"/>
    <w:rsid w:val="6CE81FA7"/>
    <w:rsid w:val="6D321EC3"/>
    <w:rsid w:val="6D8F2954"/>
    <w:rsid w:val="6DA44B70"/>
    <w:rsid w:val="6DC1709B"/>
    <w:rsid w:val="6DC347C2"/>
    <w:rsid w:val="6DD61D9A"/>
    <w:rsid w:val="6E3E1A22"/>
    <w:rsid w:val="6E406E20"/>
    <w:rsid w:val="6E5324A5"/>
    <w:rsid w:val="6E7C3899"/>
    <w:rsid w:val="6EC04F0A"/>
    <w:rsid w:val="6EC627BC"/>
    <w:rsid w:val="6EDC49E4"/>
    <w:rsid w:val="6F3E145C"/>
    <w:rsid w:val="6F4B4A6F"/>
    <w:rsid w:val="6F54313C"/>
    <w:rsid w:val="6F56737F"/>
    <w:rsid w:val="6F85108C"/>
    <w:rsid w:val="6F986F33"/>
    <w:rsid w:val="6FBB0D04"/>
    <w:rsid w:val="6FCA33E2"/>
    <w:rsid w:val="70BA0572"/>
    <w:rsid w:val="70C679EA"/>
    <w:rsid w:val="70CE7706"/>
    <w:rsid w:val="70F35357"/>
    <w:rsid w:val="70F50086"/>
    <w:rsid w:val="710960E8"/>
    <w:rsid w:val="710B0CF0"/>
    <w:rsid w:val="71107B36"/>
    <w:rsid w:val="71207818"/>
    <w:rsid w:val="714223D0"/>
    <w:rsid w:val="718B1AC8"/>
    <w:rsid w:val="719147F1"/>
    <w:rsid w:val="71A64098"/>
    <w:rsid w:val="71B634AA"/>
    <w:rsid w:val="7205184D"/>
    <w:rsid w:val="72275553"/>
    <w:rsid w:val="72346AC2"/>
    <w:rsid w:val="72503660"/>
    <w:rsid w:val="725F61DD"/>
    <w:rsid w:val="727C61B1"/>
    <w:rsid w:val="7285295D"/>
    <w:rsid w:val="72924E0A"/>
    <w:rsid w:val="72E36375"/>
    <w:rsid w:val="72FA3B66"/>
    <w:rsid w:val="73130B1A"/>
    <w:rsid w:val="735C1779"/>
    <w:rsid w:val="73951B46"/>
    <w:rsid w:val="73CE45A7"/>
    <w:rsid w:val="73D212B8"/>
    <w:rsid w:val="74007AA0"/>
    <w:rsid w:val="742A49F9"/>
    <w:rsid w:val="74493399"/>
    <w:rsid w:val="74556271"/>
    <w:rsid w:val="747909C4"/>
    <w:rsid w:val="74805D4F"/>
    <w:rsid w:val="74D22D04"/>
    <w:rsid w:val="74D66918"/>
    <w:rsid w:val="74F910C0"/>
    <w:rsid w:val="74FC6F0A"/>
    <w:rsid w:val="75026F65"/>
    <w:rsid w:val="750F7C5D"/>
    <w:rsid w:val="75137DDD"/>
    <w:rsid w:val="75783842"/>
    <w:rsid w:val="758D02E4"/>
    <w:rsid w:val="75AC1784"/>
    <w:rsid w:val="75F54F5B"/>
    <w:rsid w:val="76040271"/>
    <w:rsid w:val="760A36E1"/>
    <w:rsid w:val="76171EA7"/>
    <w:rsid w:val="767C14BF"/>
    <w:rsid w:val="76A120DE"/>
    <w:rsid w:val="76A34C5B"/>
    <w:rsid w:val="76A74C81"/>
    <w:rsid w:val="76D8718C"/>
    <w:rsid w:val="771C566F"/>
    <w:rsid w:val="776341E5"/>
    <w:rsid w:val="776654FB"/>
    <w:rsid w:val="779401F4"/>
    <w:rsid w:val="77984B13"/>
    <w:rsid w:val="77BD3513"/>
    <w:rsid w:val="77E617D9"/>
    <w:rsid w:val="77EF104D"/>
    <w:rsid w:val="77F07796"/>
    <w:rsid w:val="783971BF"/>
    <w:rsid w:val="784A77E7"/>
    <w:rsid w:val="78764845"/>
    <w:rsid w:val="78AA43E2"/>
    <w:rsid w:val="793C4AD6"/>
    <w:rsid w:val="793F648F"/>
    <w:rsid w:val="79651278"/>
    <w:rsid w:val="7995326F"/>
    <w:rsid w:val="79CB1C37"/>
    <w:rsid w:val="79F80813"/>
    <w:rsid w:val="79FF0BE8"/>
    <w:rsid w:val="7A0B7A1A"/>
    <w:rsid w:val="7A1B44CD"/>
    <w:rsid w:val="7A7048C9"/>
    <w:rsid w:val="7A786A7F"/>
    <w:rsid w:val="7AA51864"/>
    <w:rsid w:val="7AB17A2D"/>
    <w:rsid w:val="7AE6195B"/>
    <w:rsid w:val="7AF34520"/>
    <w:rsid w:val="7B5F46D3"/>
    <w:rsid w:val="7BC01ABE"/>
    <w:rsid w:val="7BC9496F"/>
    <w:rsid w:val="7C046C50"/>
    <w:rsid w:val="7C664BB7"/>
    <w:rsid w:val="7CA8335C"/>
    <w:rsid w:val="7CB258C5"/>
    <w:rsid w:val="7CBA381B"/>
    <w:rsid w:val="7CC32867"/>
    <w:rsid w:val="7CDB18EA"/>
    <w:rsid w:val="7D37182F"/>
    <w:rsid w:val="7D50688A"/>
    <w:rsid w:val="7D5E52BE"/>
    <w:rsid w:val="7D711919"/>
    <w:rsid w:val="7D750845"/>
    <w:rsid w:val="7DBB3FF5"/>
    <w:rsid w:val="7DE838A4"/>
    <w:rsid w:val="7DF31D12"/>
    <w:rsid w:val="7E07429F"/>
    <w:rsid w:val="7E181F9E"/>
    <w:rsid w:val="7E586D1E"/>
    <w:rsid w:val="7E6830E8"/>
    <w:rsid w:val="7E925C12"/>
    <w:rsid w:val="7EDD375C"/>
    <w:rsid w:val="7F0615EF"/>
    <w:rsid w:val="7F111040"/>
    <w:rsid w:val="7F1A541C"/>
    <w:rsid w:val="7F2353F9"/>
    <w:rsid w:val="7F333978"/>
    <w:rsid w:val="7FB44B21"/>
    <w:rsid w:val="7FD441FF"/>
    <w:rsid w:val="7FD84A57"/>
    <w:rsid w:val="7FF6744C"/>
    <w:rsid w:val="DF7DAD3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43"/>
    <w:qFormat/>
    <w:uiPriority w:val="0"/>
    <w:pPr>
      <w:keepNext/>
      <w:keepLines/>
      <w:adjustRightInd w:val="0"/>
      <w:snapToGrid w:val="0"/>
      <w:spacing w:line="360" w:lineRule="auto"/>
      <w:jc w:val="center"/>
      <w:outlineLvl w:val="0"/>
    </w:pPr>
    <w:rPr>
      <w:rFonts w:ascii="Times New Roman" w:hAnsi="Times New Roman" w:eastAsia="宋体"/>
      <w:b/>
      <w:kern w:val="44"/>
      <w:sz w:val="44"/>
      <w:szCs w:val="20"/>
    </w:rPr>
  </w:style>
  <w:style w:type="paragraph" w:styleId="4">
    <w:name w:val="heading 2"/>
    <w:basedOn w:val="1"/>
    <w:next w:val="1"/>
    <w:qFormat/>
    <w:uiPriority w:val="0"/>
    <w:pPr>
      <w:keepNext/>
      <w:keepLines/>
      <w:adjustRightInd w:val="0"/>
      <w:snapToGrid w:val="0"/>
      <w:spacing w:line="360" w:lineRule="auto"/>
      <w:jc w:val="left"/>
      <w:outlineLvl w:val="1"/>
    </w:pPr>
    <w:rPr>
      <w:rFonts w:ascii="Arial" w:hAnsi="Arial"/>
      <w:b/>
      <w:bCs/>
      <w:sz w:val="28"/>
      <w:szCs w:val="32"/>
    </w:rPr>
  </w:style>
  <w:style w:type="paragraph" w:styleId="5">
    <w:name w:val="heading 3"/>
    <w:basedOn w:val="1"/>
    <w:next w:val="1"/>
    <w:qFormat/>
    <w:uiPriority w:val="0"/>
    <w:pPr>
      <w:keepNext/>
      <w:keepLines/>
      <w:adjustRightInd w:val="0"/>
      <w:snapToGrid w:val="0"/>
      <w:spacing w:line="360" w:lineRule="auto"/>
      <w:outlineLvl w:val="2"/>
    </w:pPr>
    <w:rPr>
      <w:b/>
      <w:bCs/>
      <w:sz w:val="28"/>
      <w:szCs w:val="32"/>
    </w:rPr>
  </w:style>
  <w:style w:type="paragraph" w:styleId="6">
    <w:name w:val="heading 4"/>
    <w:basedOn w:val="1"/>
    <w:next w:val="1"/>
    <w:link w:val="44"/>
    <w:qFormat/>
    <w:uiPriority w:val="0"/>
    <w:pPr>
      <w:keepNext/>
      <w:keepLines/>
      <w:spacing w:before="100" w:beforeLines="0" w:beforeAutospacing="0" w:after="100" w:afterLines="0" w:afterAutospacing="0" w:line="460" w:lineRule="exact"/>
      <w:ind w:left="420" w:leftChars="200"/>
      <w:jc w:val="left"/>
      <w:outlineLvl w:val="3"/>
    </w:pPr>
    <w:rPr>
      <w:rFonts w:ascii="Arial" w:hAnsi="Arial"/>
      <w:b/>
      <w:kern w:val="0"/>
      <w:sz w:val="24"/>
      <w:szCs w:val="20"/>
    </w:rPr>
  </w:style>
  <w:style w:type="character" w:default="1" w:styleId="33">
    <w:name w:val="Default Paragraph Font"/>
    <w:semiHidden/>
    <w:qFormat/>
    <w:uiPriority w:val="0"/>
  </w:style>
  <w:style w:type="table" w:default="1" w:styleId="31">
    <w:name w:val="Normal Table"/>
    <w:semiHidden/>
    <w:qFormat/>
    <w:uiPriority w:val="0"/>
    <w:tblPr>
      <w:tblCellMar>
        <w:top w:w="0" w:type="dxa"/>
        <w:left w:w="108" w:type="dxa"/>
        <w:bottom w:w="0" w:type="dxa"/>
        <w:right w:w="108" w:type="dxa"/>
      </w:tblCellMar>
    </w:tblPr>
  </w:style>
  <w:style w:type="paragraph" w:styleId="2">
    <w:name w:val="toc 1"/>
    <w:basedOn w:val="1"/>
    <w:next w:val="1"/>
    <w:semiHidden/>
    <w:qFormat/>
    <w:uiPriority w:val="0"/>
  </w:style>
  <w:style w:type="paragraph" w:styleId="7">
    <w:name w:val="List Number"/>
    <w:basedOn w:val="1"/>
    <w:qFormat/>
    <w:uiPriority w:val="0"/>
    <w:pPr>
      <w:widowControl/>
      <w:numPr>
        <w:ilvl w:val="0"/>
        <w:numId w:val="1"/>
      </w:numPr>
      <w:tabs>
        <w:tab w:val="left" w:pos="454"/>
        <w:tab w:val="left" w:pos="720"/>
        <w:tab w:val="clear" w:pos="900"/>
      </w:tabs>
      <w:spacing w:after="50" w:afterLines="50"/>
      <w:ind w:left="454" w:hanging="284"/>
      <w:jc w:val="left"/>
    </w:pPr>
    <w:rPr>
      <w:kern w:val="0"/>
      <w:sz w:val="24"/>
      <w:szCs w:val="20"/>
    </w:rPr>
  </w:style>
  <w:style w:type="paragraph" w:styleId="8">
    <w:name w:val="Normal Indent"/>
    <w:basedOn w:val="1"/>
    <w:qFormat/>
    <w:uiPriority w:val="0"/>
    <w:pPr>
      <w:ind w:firstLine="420"/>
    </w:pPr>
    <w:rPr>
      <w:szCs w:val="20"/>
    </w:rPr>
  </w:style>
  <w:style w:type="paragraph" w:styleId="9">
    <w:name w:val="caption"/>
    <w:basedOn w:val="1"/>
    <w:next w:val="1"/>
    <w:qFormat/>
    <w:uiPriority w:val="0"/>
    <w:pPr>
      <w:spacing w:before="152" w:after="160"/>
    </w:pPr>
    <w:rPr>
      <w:rFonts w:ascii="Arial" w:hAnsi="Arial" w:eastAsia="黑体" w:cs="Arial"/>
      <w:sz w:val="20"/>
      <w:szCs w:val="20"/>
    </w:rPr>
  </w:style>
  <w:style w:type="paragraph" w:styleId="10">
    <w:name w:val="Body Text 3"/>
    <w:basedOn w:val="1"/>
    <w:qFormat/>
    <w:uiPriority w:val="0"/>
    <w:pPr>
      <w:snapToGrid w:val="0"/>
      <w:spacing w:before="50" w:after="50"/>
    </w:pPr>
    <w:rPr>
      <w:rFonts w:hAnsi="宋体" w:eastAsia="仿宋_GB2312"/>
      <w:b/>
      <w:bCs/>
      <w:sz w:val="24"/>
      <w:szCs w:val="20"/>
    </w:rPr>
  </w:style>
  <w:style w:type="paragraph" w:styleId="11">
    <w:name w:val="Body Text"/>
    <w:basedOn w:val="1"/>
    <w:next w:val="12"/>
    <w:qFormat/>
    <w:uiPriority w:val="0"/>
    <w:pPr>
      <w:spacing w:after="120"/>
    </w:pPr>
    <w:rPr>
      <w:sz w:val="28"/>
    </w:rPr>
  </w:style>
  <w:style w:type="paragraph" w:styleId="12">
    <w:name w:val="Body Text First Indent"/>
    <w:basedOn w:val="11"/>
    <w:next w:val="13"/>
    <w:qFormat/>
    <w:uiPriority w:val="0"/>
    <w:pPr>
      <w:ind w:firstLine="420"/>
    </w:pPr>
    <w:rPr>
      <w:rFonts w:hAnsi="Times New Roman" w:cs="Times New Roman"/>
      <w:snapToGrid/>
      <w:szCs w:val="20"/>
    </w:rPr>
  </w:style>
  <w:style w:type="paragraph" w:styleId="13">
    <w:name w:val="toc 6"/>
    <w:basedOn w:val="1"/>
    <w:next w:val="1"/>
    <w:qFormat/>
    <w:uiPriority w:val="0"/>
    <w:pPr>
      <w:ind w:left="2100" w:leftChars="1000"/>
    </w:pPr>
  </w:style>
  <w:style w:type="paragraph" w:styleId="14">
    <w:name w:val="Body Text Indent"/>
    <w:basedOn w:val="1"/>
    <w:next w:val="1"/>
    <w:qFormat/>
    <w:uiPriority w:val="0"/>
    <w:pPr>
      <w:spacing w:line="200" w:lineRule="exact"/>
      <w:ind w:firstLine="301"/>
    </w:pPr>
    <w:rPr>
      <w:rFonts w:ascii="宋体" w:hAnsi="Courier New"/>
      <w:spacing w:val="-4"/>
      <w:sz w:val="18"/>
      <w:szCs w:val="20"/>
    </w:rPr>
  </w:style>
  <w:style w:type="paragraph" w:styleId="15">
    <w:name w:val="List Number 3"/>
    <w:basedOn w:val="1"/>
    <w:qFormat/>
    <w:uiPriority w:val="0"/>
    <w:pPr>
      <w:numPr>
        <w:ilvl w:val="0"/>
        <w:numId w:val="2"/>
      </w:numPr>
    </w:pPr>
  </w:style>
  <w:style w:type="paragraph" w:styleId="16">
    <w:name w:val="List 2"/>
    <w:basedOn w:val="1"/>
    <w:qFormat/>
    <w:uiPriority w:val="0"/>
    <w:pPr>
      <w:ind w:left="100" w:leftChars="200" w:hanging="200" w:hangingChars="200"/>
    </w:pPr>
    <w:rPr>
      <w:sz w:val="28"/>
    </w:rPr>
  </w:style>
  <w:style w:type="paragraph" w:styleId="17">
    <w:name w:val="Plain Text"/>
    <w:basedOn w:val="1"/>
    <w:next w:val="18"/>
    <w:qFormat/>
    <w:uiPriority w:val="0"/>
    <w:pPr>
      <w:spacing w:before="156" w:beforeLines="50" w:after="156" w:afterLines="50" w:line="400" w:lineRule="exact"/>
    </w:pPr>
    <w:rPr>
      <w:rFonts w:ascii="宋体" w:hAnsi="Courier New"/>
      <w:sz w:val="24"/>
    </w:rPr>
  </w:style>
  <w:style w:type="paragraph" w:customStyle="1" w:styleId="18">
    <w:name w:val="Default"/>
    <w:qFormat/>
    <w:uiPriority w:val="0"/>
    <w:pPr>
      <w:widowControl w:val="0"/>
      <w:autoSpaceDE w:val="0"/>
      <w:autoSpaceDN w:val="0"/>
      <w:adjustRightInd w:val="0"/>
    </w:pPr>
    <w:rPr>
      <w:rFonts w:ascii="源淏窪极潠极2." w:hAnsi="Times New Roman" w:eastAsia="源淏窪极潠极2." w:cs="源淏窪极潠极2."/>
      <w:color w:val="000000"/>
      <w:sz w:val="24"/>
      <w:szCs w:val="24"/>
      <w:lang w:val="en-US" w:eastAsia="zh-CN" w:bidi="ar-SA"/>
    </w:rPr>
  </w:style>
  <w:style w:type="paragraph" w:styleId="19">
    <w:name w:val="Date"/>
    <w:basedOn w:val="1"/>
    <w:next w:val="1"/>
    <w:qFormat/>
    <w:uiPriority w:val="0"/>
    <w:pPr>
      <w:ind w:leftChars="2500"/>
    </w:pPr>
    <w:rPr>
      <w:rFonts w:eastAsia="楷体_GB2312"/>
      <w:sz w:val="32"/>
      <w:szCs w:val="20"/>
    </w:rPr>
  </w:style>
  <w:style w:type="paragraph" w:styleId="20">
    <w:name w:val="Body Text Indent 2"/>
    <w:basedOn w:val="1"/>
    <w:qFormat/>
    <w:uiPriority w:val="0"/>
    <w:pPr>
      <w:snapToGrid w:val="0"/>
      <w:ind w:firstLine="542" w:firstLineChars="225"/>
    </w:pPr>
    <w:rPr>
      <w:rFonts w:ascii="仿宋_GB2312" w:hAnsi="宋体" w:cs="Arial"/>
      <w:b/>
      <w:bCs/>
      <w:color w:val="000000"/>
      <w:sz w:val="24"/>
    </w:rPr>
  </w:style>
  <w:style w:type="paragraph" w:styleId="21">
    <w:name w:val="footer"/>
    <w:basedOn w:val="1"/>
    <w:qFormat/>
    <w:uiPriority w:val="0"/>
    <w:pPr>
      <w:tabs>
        <w:tab w:val="center" w:pos="4153"/>
        <w:tab w:val="right" w:pos="8306"/>
      </w:tabs>
      <w:snapToGrid w:val="0"/>
      <w:jc w:val="left"/>
    </w:pPr>
    <w:rPr>
      <w:rFonts w:eastAsia="黑体"/>
      <w:snapToGrid w:val="0"/>
      <w:kern w:val="0"/>
      <w:sz w:val="18"/>
      <w:szCs w:val="18"/>
    </w:rPr>
  </w:style>
  <w:style w:type="paragraph" w:styleId="22">
    <w:name w:val="header"/>
    <w:basedOn w:val="1"/>
    <w:qFormat/>
    <w:uiPriority w:val="0"/>
    <w:pPr>
      <w:pBdr>
        <w:bottom w:val="single" w:color="auto" w:sz="6" w:space="1"/>
      </w:pBdr>
      <w:tabs>
        <w:tab w:val="center" w:pos="4153"/>
        <w:tab w:val="right" w:pos="8306"/>
      </w:tabs>
      <w:snapToGrid w:val="0"/>
      <w:jc w:val="center"/>
    </w:pPr>
    <w:rPr>
      <w:rFonts w:eastAsia="仿宋_GB2312"/>
      <w:sz w:val="18"/>
      <w:szCs w:val="20"/>
    </w:rPr>
  </w:style>
  <w:style w:type="paragraph" w:styleId="23">
    <w:name w:val="Subtitle"/>
    <w:basedOn w:val="1"/>
    <w:next w:val="1"/>
    <w:link w:val="45"/>
    <w:qFormat/>
    <w:uiPriority w:val="0"/>
    <w:pPr>
      <w:adjustRightInd w:val="0"/>
      <w:snapToGrid w:val="0"/>
      <w:spacing w:line="360" w:lineRule="auto"/>
      <w:jc w:val="center"/>
      <w:outlineLvl w:val="1"/>
    </w:pPr>
    <w:rPr>
      <w:rFonts w:ascii="Cambria" w:hAnsi="Cambria" w:cs="Times New Roman"/>
      <w:b/>
      <w:bCs/>
      <w:kern w:val="28"/>
      <w:sz w:val="28"/>
      <w:szCs w:val="32"/>
    </w:rPr>
  </w:style>
  <w:style w:type="paragraph" w:styleId="24">
    <w:name w:val="List"/>
    <w:basedOn w:val="1"/>
    <w:qFormat/>
    <w:uiPriority w:val="0"/>
    <w:pPr>
      <w:ind w:left="200" w:hanging="200" w:hangingChars="200"/>
    </w:pPr>
    <w:rPr>
      <w:sz w:val="28"/>
    </w:rPr>
  </w:style>
  <w:style w:type="paragraph" w:styleId="25">
    <w:name w:val="Body Text Indent 3"/>
    <w:basedOn w:val="1"/>
    <w:qFormat/>
    <w:uiPriority w:val="0"/>
    <w:pPr>
      <w:snapToGrid w:val="0"/>
      <w:ind w:firstLine="480" w:firstLineChars="200"/>
      <w:jc w:val="left"/>
    </w:pPr>
    <w:rPr>
      <w:rFonts w:ascii="仿宋_GB2312" w:hAnsi="宋体" w:eastAsia="仿宋_GB2312"/>
      <w:color w:val="000000"/>
      <w:sz w:val="24"/>
    </w:rPr>
  </w:style>
  <w:style w:type="paragraph" w:styleId="26">
    <w:name w:val="toc 2"/>
    <w:basedOn w:val="1"/>
    <w:next w:val="1"/>
    <w:qFormat/>
    <w:uiPriority w:val="0"/>
    <w:pPr>
      <w:tabs>
        <w:tab w:val="left" w:pos="764"/>
        <w:tab w:val="right" w:leader="dot" w:pos="8296"/>
      </w:tabs>
      <w:ind w:left="210"/>
      <w:jc w:val="left"/>
    </w:pPr>
    <w:rPr>
      <w:rFonts w:cs="Calibri"/>
      <w:smallCaps/>
      <w:sz w:val="20"/>
      <w:szCs w:val="20"/>
    </w:rPr>
  </w:style>
  <w:style w:type="paragraph" w:styleId="27">
    <w:name w:val="Body Text 2"/>
    <w:basedOn w:val="1"/>
    <w:qFormat/>
    <w:uiPriority w:val="0"/>
    <w:pPr>
      <w:widowControl/>
      <w:snapToGrid w:val="0"/>
      <w:spacing w:before="50" w:after="156" w:afterLines="50" w:line="400" w:lineRule="exact"/>
      <w:jc w:val="left"/>
    </w:pPr>
    <w:rPr>
      <w:rFonts w:ascii="宋体" w:hAnsi="宋体"/>
      <w:color w:val="000000"/>
      <w:sz w:val="24"/>
    </w:rPr>
  </w:style>
  <w:style w:type="paragraph" w:styleId="28">
    <w:name w:val="Normal (Web)"/>
    <w:basedOn w:val="1"/>
    <w:qFormat/>
    <w:uiPriority w:val="0"/>
    <w:pPr>
      <w:spacing w:beforeAutospacing="1" w:after="100" w:afterAutospacing="1"/>
    </w:pPr>
    <w:rPr>
      <w:sz w:val="24"/>
    </w:rPr>
  </w:style>
  <w:style w:type="paragraph" w:styleId="29">
    <w:name w:val="Title"/>
    <w:basedOn w:val="1"/>
    <w:next w:val="1"/>
    <w:qFormat/>
    <w:uiPriority w:val="0"/>
    <w:pPr>
      <w:autoSpaceDE w:val="0"/>
      <w:autoSpaceDN w:val="0"/>
      <w:adjustRightInd w:val="0"/>
      <w:spacing w:before="240" w:beforeLines="0" w:after="60" w:afterLines="0"/>
      <w:jc w:val="center"/>
      <w:outlineLvl w:val="0"/>
    </w:pPr>
    <w:rPr>
      <w:rFonts w:ascii="Cambria" w:hAnsi="Cambria"/>
      <w:b/>
      <w:bCs/>
      <w:color w:val="000000"/>
      <w:sz w:val="32"/>
      <w:szCs w:val="32"/>
    </w:rPr>
  </w:style>
  <w:style w:type="paragraph" w:styleId="30">
    <w:name w:val="Body Text First Indent 2"/>
    <w:basedOn w:val="14"/>
    <w:qFormat/>
    <w:uiPriority w:val="0"/>
    <w:pPr>
      <w:spacing w:after="120" w:line="240" w:lineRule="auto"/>
      <w:ind w:left="420" w:leftChars="200" w:firstLine="420"/>
    </w:pPr>
    <w:rPr>
      <w:rFonts w:cs="宋体"/>
      <w:sz w:val="21"/>
      <w:szCs w:val="21"/>
    </w:rPr>
  </w:style>
  <w:style w:type="table" w:styleId="32">
    <w:name w:val="Table Grid"/>
    <w:basedOn w:val="3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4">
    <w:name w:val="Strong"/>
    <w:basedOn w:val="33"/>
    <w:qFormat/>
    <w:uiPriority w:val="0"/>
    <w:rPr>
      <w:b/>
      <w:bCs/>
    </w:rPr>
  </w:style>
  <w:style w:type="character" w:styleId="35">
    <w:name w:val="page number"/>
    <w:basedOn w:val="33"/>
    <w:qFormat/>
    <w:uiPriority w:val="0"/>
  </w:style>
  <w:style w:type="character" w:styleId="36">
    <w:name w:val="FollowedHyperlink"/>
    <w:qFormat/>
    <w:uiPriority w:val="0"/>
    <w:rPr>
      <w:color w:val="800080"/>
      <w:u w:val="single"/>
    </w:rPr>
  </w:style>
  <w:style w:type="character" w:styleId="37">
    <w:name w:val="Hyperlink"/>
    <w:qFormat/>
    <w:uiPriority w:val="0"/>
    <w:rPr>
      <w:color w:val="0000FF"/>
      <w:u w:val="single"/>
    </w:rPr>
  </w:style>
  <w:style w:type="paragraph" w:customStyle="1" w:styleId="38">
    <w:name w:val="xl53"/>
    <w:basedOn w:val="1"/>
    <w:next w:val="1"/>
    <w:qFormat/>
    <w:uiPriority w:val="99"/>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szCs w:val="20"/>
    </w:rPr>
  </w:style>
  <w:style w:type="paragraph" w:customStyle="1" w:styleId="39">
    <w:name w:val="无间隔1"/>
    <w:qFormat/>
    <w:uiPriority w:val="99"/>
    <w:pPr>
      <w:adjustRightInd w:val="0"/>
      <w:snapToGrid w:val="0"/>
    </w:pPr>
    <w:rPr>
      <w:rFonts w:ascii="Tahoma" w:hAnsi="Tahoma" w:eastAsia="微软雅黑" w:cs="Times New Roman"/>
      <w:sz w:val="22"/>
      <w:szCs w:val="22"/>
      <w:lang w:val="en-US" w:eastAsia="zh-CN" w:bidi="ar-SA"/>
    </w:rPr>
  </w:style>
  <w:style w:type="paragraph" w:customStyle="1" w:styleId="40">
    <w:name w:val="章正文"/>
    <w:basedOn w:val="1"/>
    <w:qFormat/>
    <w:uiPriority w:val="99"/>
    <w:pPr>
      <w:spacing w:beforeLines="50" w:after="120" w:line="300" w:lineRule="auto"/>
      <w:ind w:firstLine="480"/>
    </w:pPr>
    <w:rPr>
      <w:rFonts w:ascii="Helvetica" w:hAnsi="Helvetica"/>
      <w:kern w:val="0"/>
      <w:sz w:val="24"/>
    </w:rPr>
  </w:style>
  <w:style w:type="paragraph" w:customStyle="1" w:styleId="41">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42">
    <w:name w:val="段"/>
    <w:qFormat/>
    <w:uiPriority w:val="0"/>
    <w:pPr>
      <w:autoSpaceDE w:val="0"/>
      <w:autoSpaceDN w:val="0"/>
      <w:ind w:firstLine="200"/>
      <w:jc w:val="both"/>
    </w:pPr>
    <w:rPr>
      <w:rFonts w:ascii="宋体" w:hAnsi="Times New Roman" w:eastAsia="宋体" w:cs="Times New Roman"/>
      <w:sz w:val="21"/>
      <w:lang w:val="en-US" w:eastAsia="zh-CN" w:bidi="ar-SA"/>
    </w:rPr>
  </w:style>
  <w:style w:type="character" w:customStyle="1" w:styleId="43">
    <w:name w:val="标题 1 Char"/>
    <w:link w:val="3"/>
    <w:qFormat/>
    <w:uiPriority w:val="0"/>
    <w:rPr>
      <w:rFonts w:ascii="Times New Roman" w:hAnsi="Times New Roman" w:eastAsia="宋体"/>
      <w:b/>
      <w:kern w:val="44"/>
      <w:sz w:val="44"/>
    </w:rPr>
  </w:style>
  <w:style w:type="character" w:customStyle="1" w:styleId="44">
    <w:name w:val="标题 4 Char"/>
    <w:link w:val="6"/>
    <w:qFormat/>
    <w:uiPriority w:val="0"/>
    <w:rPr>
      <w:rFonts w:ascii="Arial" w:hAnsi="Arial"/>
      <w:b/>
      <w:kern w:val="0"/>
      <w:sz w:val="24"/>
      <w:szCs w:val="20"/>
    </w:rPr>
  </w:style>
  <w:style w:type="character" w:customStyle="1" w:styleId="45">
    <w:name w:val="副标题 Char"/>
    <w:link w:val="23"/>
    <w:qFormat/>
    <w:uiPriority w:val="0"/>
    <w:rPr>
      <w:rFonts w:ascii="Cambria" w:hAnsi="Cambria" w:cs="Times New Roman"/>
      <w:b/>
      <w:bCs/>
      <w:kern w:val="28"/>
      <w:sz w:val="28"/>
      <w:szCs w:val="32"/>
    </w:rPr>
  </w:style>
  <w:style w:type="paragraph" w:customStyle="1" w:styleId="46">
    <w:name w:val="[Normal]"/>
    <w:qFormat/>
    <w:uiPriority w:val="0"/>
    <w:rPr>
      <w:rFonts w:ascii="宋体" w:hAnsi="宋体" w:eastAsia="宋体" w:cs="Times New Roman"/>
      <w:sz w:val="24"/>
      <w:szCs w:val="22"/>
      <w:lang w:val="zh-CN" w:eastAsia="zh-CN" w:bidi="ar-SA"/>
    </w:rPr>
  </w:style>
  <w:style w:type="paragraph" w:customStyle="1" w:styleId="47">
    <w:name w:val="Other|2"/>
    <w:basedOn w:val="1"/>
    <w:qFormat/>
    <w:uiPriority w:val="0"/>
    <w:pPr>
      <w:widowControl w:val="0"/>
      <w:shd w:val="clear" w:color="auto" w:fill="auto"/>
      <w:jc w:val="center"/>
    </w:pPr>
    <w:rPr>
      <w:rFonts w:ascii="宋体" w:hAnsi="宋体" w:eastAsia="宋体" w:cs="宋体"/>
      <w:sz w:val="22"/>
      <w:szCs w:val="22"/>
      <w:u w:val="none"/>
      <w:shd w:val="clear" w:color="auto" w:fill="auto"/>
      <w:lang w:val="zh-TW" w:eastAsia="zh-TW" w:bidi="zh-TW"/>
    </w:rPr>
  </w:style>
  <w:style w:type="paragraph" w:customStyle="1" w:styleId="48">
    <w:name w:val="reader-word-layer reader-word-s18-9"/>
    <w:basedOn w:val="1"/>
    <w:qFormat/>
    <w:uiPriority w:val="99"/>
    <w:pPr>
      <w:widowControl/>
      <w:spacing w:before="100" w:beforeAutospacing="1" w:after="100" w:afterAutospacing="1"/>
      <w:jc w:val="left"/>
    </w:pPr>
    <w:rPr>
      <w:rFonts w:ascii="宋体" w:hAnsi="宋体" w:cs="宋体"/>
      <w:kern w:val="0"/>
      <w:sz w:val="24"/>
    </w:rPr>
  </w:style>
  <w:style w:type="paragraph" w:customStyle="1" w:styleId="49">
    <w:name w:val="_Style 1"/>
    <w:qFormat/>
    <w:uiPriority w:val="99"/>
    <w:pPr>
      <w:widowControl w:val="0"/>
      <w:jc w:val="both"/>
    </w:pPr>
    <w:rPr>
      <w:rFonts w:ascii="Times New Roman" w:hAnsi="Times New Roman" w:eastAsia="宋体" w:cs="Calibri"/>
      <w:kern w:val="2"/>
      <w:sz w:val="21"/>
      <w:szCs w:val="22"/>
      <w:lang w:val="en-US" w:eastAsia="zh-CN" w:bidi="ar-SA"/>
    </w:rPr>
  </w:style>
  <w:style w:type="paragraph" w:customStyle="1" w:styleId="50">
    <w:name w:val="Heading #3|1"/>
    <w:basedOn w:val="1"/>
    <w:qFormat/>
    <w:uiPriority w:val="0"/>
    <w:pPr>
      <w:widowControl w:val="0"/>
      <w:shd w:val="clear" w:color="auto" w:fill="auto"/>
      <w:ind w:firstLine="280"/>
      <w:outlineLvl w:val="2"/>
    </w:pPr>
    <w:rPr>
      <w:rFonts w:ascii="宋体" w:hAnsi="宋体" w:eastAsia="宋体" w:cs="宋体"/>
      <w:sz w:val="28"/>
      <w:szCs w:val="28"/>
      <w:u w:val="none"/>
      <w:shd w:val="clear" w:color="auto" w:fill="auto"/>
      <w:lang w:val="zh-TW" w:eastAsia="zh-TW" w:bidi="zh-TW"/>
    </w:rPr>
  </w:style>
  <w:style w:type="paragraph" w:customStyle="1" w:styleId="51">
    <w:name w:val="样式1"/>
    <w:basedOn w:val="1"/>
    <w:qFormat/>
    <w:uiPriority w:val="0"/>
    <w:pPr>
      <w:spacing w:line="360" w:lineRule="exact"/>
      <w:ind w:firstLine="200" w:firstLineChars="200"/>
    </w:pPr>
    <w:rPr>
      <w:rFonts w:ascii="Arial" w:hAnsi="Arial"/>
    </w:rPr>
  </w:style>
  <w:style w:type="paragraph" w:customStyle="1" w:styleId="52">
    <w:name w:val="表内文字"/>
    <w:basedOn w:val="1"/>
    <w:qFormat/>
    <w:uiPriority w:val="0"/>
    <w:pPr>
      <w:tabs>
        <w:tab w:val="left" w:pos="1418"/>
      </w:tabs>
      <w:spacing w:line="360" w:lineRule="auto"/>
      <w:jc w:val="center"/>
    </w:pPr>
    <w:rPr>
      <w:rFonts w:ascii="仿宋_GB2312" w:eastAsia="仿宋_GB2312"/>
      <w:spacing w:val="-20"/>
      <w:kern w:val="0"/>
      <w:sz w:val="24"/>
    </w:rPr>
  </w:style>
  <w:style w:type="paragraph" w:customStyle="1" w:styleId="53">
    <w:name w:val="索引 11"/>
    <w:basedOn w:val="1"/>
    <w:next w:val="1"/>
    <w:qFormat/>
    <w:uiPriority w:val="0"/>
    <w:pPr>
      <w:spacing w:line="360" w:lineRule="auto"/>
    </w:pPr>
    <w:rPr>
      <w:rFonts w:ascii="仿宋_GB2312" w:eastAsia="仿宋_GB2312"/>
      <w:sz w:val="24"/>
      <w:szCs w:val="20"/>
    </w:rPr>
  </w:style>
  <w:style w:type="paragraph" w:customStyle="1" w:styleId="54">
    <w:name w:val="正文1"/>
    <w:next w:val="1"/>
    <w:qFormat/>
    <w:uiPriority w:val="0"/>
    <w:pPr>
      <w:widowControl w:val="0"/>
      <w:adjustRightInd w:val="0"/>
      <w:spacing w:line="312" w:lineRule="atLeast"/>
      <w:jc w:val="both"/>
    </w:pPr>
    <w:rPr>
      <w:rFonts w:ascii="宋体" w:hAnsi="Times New Roman" w:eastAsia="等线" w:cs="Times New Roman"/>
      <w:sz w:val="34"/>
      <w:lang w:val="en-US" w:eastAsia="zh-CN" w:bidi="ar-SA"/>
    </w:rPr>
  </w:style>
  <w:style w:type="paragraph" w:customStyle="1" w:styleId="55">
    <w:name w:val="纯文本1"/>
    <w:basedOn w:val="1"/>
    <w:qFormat/>
    <w:uiPriority w:val="0"/>
    <w:rPr>
      <w:rFonts w:ascii="宋体" w:hAnsi="Courier New"/>
      <w:kern w:val="0"/>
      <w:sz w:val="20"/>
      <w:szCs w:val="20"/>
    </w:rPr>
  </w:style>
  <w:style w:type="paragraph" w:customStyle="1" w:styleId="56">
    <w:name w:val="biao"/>
    <w:basedOn w:val="1"/>
    <w:qFormat/>
    <w:uiPriority w:val="0"/>
    <w:pPr>
      <w:tabs>
        <w:tab w:val="left" w:pos="1134"/>
      </w:tabs>
      <w:autoSpaceDE w:val="0"/>
      <w:autoSpaceDN w:val="0"/>
      <w:spacing w:line="360" w:lineRule="atLeast"/>
      <w:ind w:firstLine="0"/>
    </w:pPr>
    <w:rPr>
      <w:rFonts w:ascii="宋体"/>
    </w:rPr>
  </w:style>
  <w:style w:type="paragraph" w:customStyle="1" w:styleId="57">
    <w:name w:val="Table caption|1"/>
    <w:basedOn w:val="1"/>
    <w:qFormat/>
    <w:uiPriority w:val="0"/>
    <w:pPr>
      <w:widowControl w:val="0"/>
      <w:shd w:val="clear" w:color="auto" w:fill="auto"/>
    </w:pPr>
    <w:rPr>
      <w:rFonts w:ascii="宋体" w:hAnsi="宋体" w:eastAsia="宋体" w:cs="宋体"/>
      <w:sz w:val="20"/>
      <w:szCs w:val="20"/>
      <w:u w:val="none"/>
      <w:shd w:val="clear" w:color="auto" w:fill="auto"/>
      <w:lang w:val="zh-TW" w:eastAsia="zh-TW" w:bidi="zh-TW"/>
    </w:rPr>
  </w:style>
  <w:style w:type="paragraph" w:customStyle="1" w:styleId="58">
    <w:name w:val="正文 A"/>
    <w:qFormat/>
    <w:uiPriority w:val="0"/>
    <w:pPr>
      <w:widowControl w:val="0"/>
      <w:jc w:val="both"/>
    </w:pPr>
    <w:rPr>
      <w:rFonts w:ascii="Arial Unicode MS" w:hAnsi="Arial Unicode MS" w:eastAsia="宋体" w:cs="Arial Unicode MS"/>
      <w:color w:val="000000"/>
      <w:kern w:val="2"/>
      <w:sz w:val="21"/>
      <w:szCs w:val="21"/>
      <w:u w:val="none" w:color="000000"/>
      <w:lang w:val="en-US" w:eastAsia="zh-CN" w:bidi="ar-SA"/>
    </w:rPr>
  </w:style>
  <w:style w:type="paragraph" w:customStyle="1" w:styleId="59">
    <w:name w:val="BodyTextIndent"/>
    <w:basedOn w:val="1"/>
    <w:qFormat/>
    <w:uiPriority w:val="0"/>
    <w:pPr>
      <w:spacing w:line="440" w:lineRule="atLeast"/>
      <w:ind w:firstLine="465" w:firstLineChars="200"/>
    </w:pPr>
    <w:rPr>
      <w:spacing w:val="12"/>
      <w:sz w:val="24"/>
      <w:szCs w:val="20"/>
    </w:rPr>
  </w:style>
  <w:style w:type="paragraph" w:customStyle="1" w:styleId="60">
    <w:name w:val="p0"/>
    <w:basedOn w:val="1"/>
    <w:qFormat/>
    <w:uiPriority w:val="0"/>
    <w:pPr>
      <w:widowControl/>
    </w:pPr>
    <w:rPr>
      <w:rFonts w:ascii="Courier New" w:hAnsi="Courier New" w:cs="Courier New"/>
      <w:kern w:val="0"/>
      <w:szCs w:val="21"/>
    </w:rPr>
  </w:style>
  <w:style w:type="paragraph" w:customStyle="1" w:styleId="61">
    <w:name w:val="列表段落1"/>
    <w:basedOn w:val="1"/>
    <w:qFormat/>
    <w:uiPriority w:val="0"/>
    <w:pPr>
      <w:ind w:firstLine="420" w:firstLineChars="200"/>
    </w:pPr>
    <w:rPr>
      <w:rFonts w:ascii="Calibri" w:hAnsi="Calibri" w:eastAsia="宋体"/>
    </w:rPr>
  </w:style>
  <w:style w:type="paragraph" w:customStyle="1" w:styleId="62">
    <w:name w:val="表格文字"/>
    <w:basedOn w:val="1"/>
    <w:next w:val="11"/>
    <w:qFormat/>
    <w:uiPriority w:val="0"/>
    <w:pPr>
      <w:adjustRightInd w:val="0"/>
      <w:spacing w:line="420" w:lineRule="atLeast"/>
      <w:jc w:val="left"/>
      <w:textAlignment w:val="baseline"/>
    </w:pPr>
    <w:rPr>
      <w:rFonts w:ascii="Times New Roman" w:hAnsi="Times New Roman" w:cs="Times New Roman"/>
      <w:kern w:val="0"/>
    </w:rPr>
  </w:style>
  <w:style w:type="paragraph" w:customStyle="1" w:styleId="63">
    <w:name w:val="_Style 3"/>
    <w:qFormat/>
    <w:uiPriority w:val="1"/>
    <w:pPr>
      <w:widowControl w:val="0"/>
      <w:jc w:val="both"/>
    </w:pPr>
    <w:rPr>
      <w:rFonts w:ascii="Calibri" w:hAnsi="Calibri" w:eastAsia="宋体" w:cs="Times New Roman"/>
      <w:kern w:val="2"/>
      <w:sz w:val="21"/>
      <w:szCs w:val="22"/>
      <w:lang w:val="en-US" w:eastAsia="zh-CN" w:bidi="ar-SA"/>
    </w:rPr>
  </w:style>
  <w:style w:type="paragraph" w:customStyle="1" w:styleId="64">
    <w:name w:val="Other|1"/>
    <w:basedOn w:val="1"/>
    <w:qFormat/>
    <w:uiPriority w:val="0"/>
    <w:pPr>
      <w:widowControl w:val="0"/>
      <w:shd w:val="clear" w:color="auto" w:fill="auto"/>
      <w:spacing w:line="480" w:lineRule="auto"/>
      <w:ind w:firstLine="400"/>
    </w:pPr>
    <w:rPr>
      <w:rFonts w:ascii="宋体" w:hAnsi="宋体" w:eastAsia="宋体" w:cs="宋体"/>
      <w:sz w:val="20"/>
      <w:szCs w:val="20"/>
      <w:u w:val="none"/>
      <w:shd w:val="clear" w:color="auto" w:fill="auto"/>
      <w:lang w:val="zh-TW" w:eastAsia="zh-TW" w:bidi="zh-TW"/>
    </w:rPr>
  </w:style>
  <w:style w:type="paragraph" w:customStyle="1" w:styleId="65">
    <w:name w:val="正文段"/>
    <w:basedOn w:val="1"/>
    <w:qFormat/>
    <w:uiPriority w:val="0"/>
    <w:pPr>
      <w:widowControl/>
      <w:snapToGrid w:val="0"/>
      <w:spacing w:after="50" w:afterLines="50"/>
      <w:ind w:firstLine="200" w:firstLineChars="200"/>
    </w:pPr>
    <w:rPr>
      <w:kern w:val="0"/>
      <w:sz w:val="24"/>
      <w:szCs w:val="20"/>
    </w:rPr>
  </w:style>
  <w:style w:type="paragraph" w:customStyle="1" w:styleId="66">
    <w:name w:val="BodyText1I2"/>
    <w:basedOn w:val="59"/>
    <w:qFormat/>
    <w:uiPriority w:val="0"/>
    <w:pPr>
      <w:spacing w:after="120" w:line="240" w:lineRule="auto"/>
      <w:ind w:left="420" w:leftChars="200" w:firstLine="420"/>
    </w:pPr>
    <w:rPr>
      <w:rFonts w:ascii="Times New Roman" w:hAnsi="Times New Roman"/>
      <w:sz w:val="28"/>
    </w:rPr>
  </w:style>
  <w:style w:type="paragraph" w:customStyle="1" w:styleId="67">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68">
    <w:name w:val="Body text|1"/>
    <w:basedOn w:val="1"/>
    <w:qFormat/>
    <w:uiPriority w:val="0"/>
    <w:pPr>
      <w:widowControl w:val="0"/>
      <w:shd w:val="clear" w:color="auto" w:fill="auto"/>
      <w:spacing w:line="480" w:lineRule="auto"/>
      <w:ind w:firstLine="400"/>
    </w:pPr>
    <w:rPr>
      <w:rFonts w:ascii="宋体" w:hAnsi="宋体" w:eastAsia="宋体" w:cs="宋体"/>
      <w:sz w:val="20"/>
      <w:szCs w:val="20"/>
      <w:u w:val="none"/>
      <w:shd w:val="clear" w:color="auto" w:fill="auto"/>
      <w:lang w:val="zh-TW" w:eastAsia="zh-TW" w:bidi="zh-TW"/>
    </w:rPr>
  </w:style>
  <w:style w:type="paragraph" w:customStyle="1" w:styleId="69">
    <w:name w:val="Header or footer|1"/>
    <w:basedOn w:val="1"/>
    <w:qFormat/>
    <w:uiPriority w:val="0"/>
    <w:pPr>
      <w:widowControl w:val="0"/>
      <w:shd w:val="clear" w:color="auto" w:fill="auto"/>
    </w:pPr>
    <w:rPr>
      <w:sz w:val="17"/>
      <w:szCs w:val="17"/>
      <w:u w:val="none"/>
      <w:shd w:val="clear" w:color="auto" w:fill="auto"/>
      <w:lang w:val="zh-TW" w:eastAsia="zh-TW" w:bidi="zh-TW"/>
    </w:rPr>
  </w:style>
  <w:style w:type="paragraph" w:customStyle="1" w:styleId="70">
    <w:name w:val="默认段落字体 Para Char Char Char Char Char Char Char Char Char1 Char Char Char Char"/>
    <w:basedOn w:val="1"/>
    <w:qFormat/>
    <w:uiPriority w:val="0"/>
    <w:rPr>
      <w:rFonts w:ascii="Tahoma" w:hAnsi="Tahoma"/>
      <w:sz w:val="24"/>
      <w:szCs w:val="20"/>
    </w:rPr>
  </w:style>
  <w:style w:type="paragraph" w:customStyle="1" w:styleId="71">
    <w:name w:val="正文缩进1"/>
    <w:basedOn w:val="1"/>
    <w:next w:val="14"/>
    <w:qFormat/>
    <w:uiPriority w:val="0"/>
    <w:pPr>
      <w:autoSpaceDE w:val="0"/>
      <w:autoSpaceDN w:val="0"/>
      <w:adjustRightInd w:val="0"/>
      <w:snapToGrid w:val="0"/>
      <w:spacing w:line="360" w:lineRule="auto"/>
      <w:ind w:left="420" w:leftChars="200" w:firstLine="480" w:firstLineChars="200"/>
    </w:pPr>
    <w:rPr>
      <w:sz w:val="24"/>
      <w:szCs w:val="21"/>
    </w:rPr>
  </w:style>
  <w:style w:type="paragraph" w:customStyle="1" w:styleId="72">
    <w:name w:val="Heading #2|1"/>
    <w:basedOn w:val="1"/>
    <w:qFormat/>
    <w:uiPriority w:val="0"/>
    <w:pPr>
      <w:widowControl w:val="0"/>
      <w:shd w:val="clear" w:color="auto" w:fill="auto"/>
      <w:spacing w:line="466" w:lineRule="exact"/>
      <w:ind w:firstLine="490"/>
      <w:outlineLvl w:val="1"/>
    </w:pPr>
    <w:rPr>
      <w:rFonts w:ascii="宋体" w:hAnsi="宋体" w:eastAsia="宋体" w:cs="宋体"/>
      <w:b/>
      <w:bCs/>
      <w:sz w:val="20"/>
      <w:szCs w:val="20"/>
      <w:u w:val="none"/>
      <w:shd w:val="clear" w:color="auto" w:fill="auto"/>
      <w:lang w:val="zh-TW" w:eastAsia="zh-TW" w:bidi="zh-TW"/>
    </w:rPr>
  </w:style>
  <w:style w:type="character" w:customStyle="1" w:styleId="73">
    <w:name w:val="Subtle Emphasis"/>
    <w:basedOn w:val="33"/>
    <w:qFormat/>
    <w:uiPriority w:val="19"/>
    <w:rPr>
      <w:i/>
      <w:iCs/>
      <w:color w:val="7F7F7F"/>
    </w:rPr>
  </w:style>
  <w:style w:type="paragraph" w:customStyle="1" w:styleId="74">
    <w:name w:val="Body text|3"/>
    <w:basedOn w:val="1"/>
    <w:qFormat/>
    <w:uiPriority w:val="0"/>
    <w:pPr>
      <w:widowControl w:val="0"/>
      <w:shd w:val="clear" w:color="auto" w:fill="auto"/>
      <w:spacing w:line="610" w:lineRule="exact"/>
      <w:ind w:firstLine="560"/>
    </w:pPr>
    <w:rPr>
      <w:sz w:val="26"/>
      <w:szCs w:val="26"/>
      <w:u w:val="none"/>
      <w:shd w:val="clear" w:color="auto" w:fill="auto"/>
      <w:lang w:val="zh-TW" w:eastAsia="zh-TW" w:bidi="zh-TW"/>
    </w:rPr>
  </w:style>
  <w:style w:type="paragraph" w:customStyle="1" w:styleId="75">
    <w:name w:val="Table Paragraph"/>
    <w:basedOn w:val="1"/>
    <w:qFormat/>
    <w:uiPriority w:val="1"/>
    <w:rPr>
      <w:rFonts w:ascii="宋体" w:hAnsi="宋体" w:eastAsia="宋体" w:cs="宋体"/>
      <w:lang w:val="zh-CN" w:eastAsia="zh-CN" w:bidi="zh-CN"/>
    </w:rPr>
  </w:style>
  <w:style w:type="character" w:customStyle="1" w:styleId="76">
    <w:name w:val="font01"/>
    <w:basedOn w:val="33"/>
    <w:qFormat/>
    <w:uiPriority w:val="0"/>
    <w:rPr>
      <w:rFonts w:hint="eastAsia" w:ascii="宋体" w:hAnsi="宋体" w:eastAsia="宋体" w:cs="宋体"/>
      <w:color w:val="000000"/>
      <w:sz w:val="20"/>
      <w:szCs w:val="20"/>
      <w:u w:val="none"/>
    </w:rPr>
  </w:style>
  <w:style w:type="character" w:customStyle="1" w:styleId="77">
    <w:name w:val="font41"/>
    <w:basedOn w:val="33"/>
    <w:qFormat/>
    <w:uiPriority w:val="0"/>
    <w:rPr>
      <w:rFonts w:hint="default" w:ascii="Calibri" w:hAnsi="Calibri" w:cs="Calibri"/>
      <w:color w:val="000000"/>
      <w:sz w:val="20"/>
      <w:szCs w:val="20"/>
      <w:u w:val="none"/>
    </w:rPr>
  </w:style>
  <w:style w:type="character" w:customStyle="1" w:styleId="78">
    <w:name w:val="font21"/>
    <w:basedOn w:val="33"/>
    <w:qFormat/>
    <w:uiPriority w:val="0"/>
    <w:rPr>
      <w:rFonts w:ascii="Segoe UI Symbol" w:hAnsi="Segoe UI Symbol" w:eastAsia="Segoe UI Symbol" w:cs="Segoe UI Symbol"/>
      <w:color w:val="000000"/>
      <w:sz w:val="20"/>
      <w:szCs w:val="20"/>
      <w:u w:val="none"/>
    </w:rPr>
  </w:style>
  <w:style w:type="paragraph" w:styleId="79">
    <w:name w:val="List Paragraph"/>
    <w:basedOn w:val="1"/>
    <w:qFormat/>
    <w:uiPriority w:val="34"/>
    <w:pPr>
      <w:ind w:firstLine="420" w:firstLineChars="200"/>
    </w:pPr>
  </w:style>
  <w:style w:type="paragraph" w:customStyle="1" w:styleId="80">
    <w:name w:val="列出段落1"/>
    <w:basedOn w:val="1"/>
    <w:qFormat/>
    <w:uiPriority w:val="34"/>
    <w:pPr>
      <w:ind w:firstLine="420" w:firstLineChars="200"/>
    </w:pPr>
  </w:style>
  <w:style w:type="character" w:customStyle="1" w:styleId="81">
    <w:name w:val="样式 宋体 小四"/>
    <w:qFormat/>
    <w:uiPriority w:val="0"/>
    <w:rPr>
      <w:rFonts w:ascii="宋体" w:hAnsi="宋体"/>
      <w:sz w:val="21"/>
    </w:rPr>
  </w:style>
  <w:style w:type="paragraph" w:customStyle="1" w:styleId="82">
    <w:name w:val="标题b"/>
    <w:basedOn w:val="1"/>
    <w:qFormat/>
    <w:uiPriority w:val="0"/>
    <w:pPr>
      <w:numPr>
        <w:ilvl w:val="0"/>
        <w:numId w:val="3"/>
      </w:numPr>
      <w:spacing w:line="360" w:lineRule="auto"/>
    </w:pPr>
    <w:rPr>
      <w:rFonts w:ascii="Times" w:hAnsi="Times"/>
      <w:b/>
      <w:sz w:val="28"/>
      <w:szCs w:val="28"/>
    </w:rPr>
  </w:style>
  <w:style w:type="paragraph" w:customStyle="1" w:styleId="83">
    <w:name w:val="CR正文"/>
    <w:basedOn w:val="1"/>
    <w:qFormat/>
    <w:uiPriority w:val="0"/>
    <w:pPr>
      <w:ind w:right="210" w:firstLine="420"/>
    </w:pPr>
    <w:rPr>
      <w:rFonts w:hint="default" w:eastAsia="微软雅黑"/>
      <w:sz w:val="24"/>
      <w:szCs w:val="21"/>
    </w:rPr>
  </w:style>
  <w:style w:type="paragraph" w:customStyle="1" w:styleId="84">
    <w:name w:val="Proposals body"/>
    <w:next w:val="1"/>
    <w:qFormat/>
    <w:uiPriority w:val="0"/>
    <w:pPr>
      <w:spacing w:line="360" w:lineRule="auto"/>
    </w:pPr>
    <w:rPr>
      <w:rFonts w:ascii="宋体" w:hAnsi="Times New Roman" w:eastAsia="宋体" w:cs="Times New Roman"/>
      <w:snapToGrid w:val="0"/>
      <w:color w:val="000000"/>
      <w:sz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2.png"/><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8.xml"/><Relationship Id="rId13" Type="http://schemas.openxmlformats.org/officeDocument/2006/relationships/header" Target="header4.xml"/><Relationship Id="rId12" Type="http://schemas.openxmlformats.org/officeDocument/2006/relationships/footer" Target="footer7.xml"/><Relationship Id="rId11" Type="http://schemas.openxmlformats.org/officeDocument/2006/relationships/header" Target="header3.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WwW.YlmF.CoM</Company>
  <Pages>58</Pages>
  <Words>28251</Words>
  <Characters>29104</Characters>
  <Lines>336</Lines>
  <Paragraphs>94</Paragraphs>
  <TotalTime>268</TotalTime>
  <ScaleCrop>false</ScaleCrop>
  <LinksUpToDate>false</LinksUpToDate>
  <CharactersWithSpaces>30397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2009-07-23T10:47:00Z</dcterms:created>
  <dc:creator>YlmF</dc:creator>
  <cp:lastModifiedBy>鲍哲</cp:lastModifiedBy>
  <cp:lastPrinted>2024-07-12T00:43:00Z</cp:lastPrinted>
  <dcterms:modified xsi:type="dcterms:W3CDTF">2024-07-26T01:39:54Z</dcterms:modified>
  <dc:title>恒基管理</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006FEE80DD1B4820BB710683A342BD8D_13</vt:lpwstr>
  </property>
  <property fmtid="{D5CDD505-2E9C-101B-9397-08002B2CF9AE}" pid="4" name="KSOSaveFontToCloudKey">
    <vt:lpwstr>696494694_btnclosed</vt:lpwstr>
  </property>
</Properties>
</file>