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CCE3A">
      <w:pPr>
        <w:jc w:val="left"/>
        <w:rPr>
          <w:rFonts w:hint="eastAsia" w:ascii="宋体" w:hAnsi="宋体" w:eastAsia="宋体" w:cs="宋体"/>
          <w:color w:val="auto"/>
          <w:highlight w:val="none"/>
        </w:rPr>
      </w:pPr>
    </w:p>
    <w:p w14:paraId="6B3A9020">
      <w:pPr>
        <w:adjustRightInd/>
        <w:spacing w:line="360" w:lineRule="auto"/>
        <w:jc w:val="center"/>
        <w:rPr>
          <w:rFonts w:hint="default" w:ascii="宋体" w:hAnsi="宋体" w:eastAsia="宋体" w:cs="宋体"/>
          <w:b/>
          <w:color w:val="auto"/>
          <w:sz w:val="80"/>
          <w:szCs w:val="80"/>
          <w:highlight w:val="none"/>
          <w:lang w:val="en-US" w:eastAsia="zh-CN"/>
        </w:rPr>
      </w:pPr>
      <w:r>
        <w:rPr>
          <w:rFonts w:hint="eastAsia" w:ascii="宋体" w:hAnsi="宋体" w:eastAsia="宋体" w:cs="宋体"/>
          <w:b/>
          <w:color w:val="auto"/>
          <w:sz w:val="80"/>
          <w:szCs w:val="80"/>
          <w:highlight w:val="none"/>
          <w:lang w:val="en-US" w:eastAsia="zh-CN"/>
        </w:rPr>
        <w:t>浙 江 省 血 液 中 心</w:t>
      </w:r>
    </w:p>
    <w:p w14:paraId="0DBD9227">
      <w:pPr>
        <w:jc w:val="left"/>
        <w:rPr>
          <w:rFonts w:hint="eastAsia" w:ascii="宋体" w:hAnsi="宋体" w:eastAsia="宋体" w:cs="宋体"/>
          <w:color w:val="auto"/>
          <w:highlight w:val="none"/>
        </w:rPr>
      </w:pPr>
    </w:p>
    <w:p w14:paraId="07297508">
      <w:pPr>
        <w:jc w:val="left"/>
        <w:rPr>
          <w:rFonts w:hint="eastAsia" w:ascii="宋体" w:hAnsi="宋体" w:eastAsia="宋体" w:cs="宋体"/>
          <w:color w:val="auto"/>
          <w:highlight w:val="none"/>
        </w:rPr>
      </w:pPr>
    </w:p>
    <w:p w14:paraId="4E302E79">
      <w:pPr>
        <w:jc w:val="left"/>
        <w:rPr>
          <w:rFonts w:hint="eastAsia" w:ascii="宋体" w:hAnsi="宋体" w:eastAsia="宋体" w:cs="宋体"/>
          <w:color w:val="auto"/>
          <w:highlight w:val="none"/>
        </w:rPr>
      </w:pPr>
    </w:p>
    <w:p w14:paraId="4325B35F">
      <w:pPr>
        <w:jc w:val="left"/>
        <w:rPr>
          <w:rFonts w:hint="eastAsia" w:ascii="宋体" w:hAnsi="宋体" w:eastAsia="宋体" w:cs="宋体"/>
          <w:color w:val="auto"/>
          <w:highlight w:val="none"/>
        </w:rPr>
      </w:pPr>
    </w:p>
    <w:p w14:paraId="690228A4">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48"/>
          <w:szCs w:val="48"/>
          <w:highlight w:val="none"/>
        </w:rPr>
        <w:t>招标文件</w:t>
      </w:r>
    </w:p>
    <w:p w14:paraId="685195D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ECD7198">
      <w:pPr>
        <w:jc w:val="left"/>
        <w:rPr>
          <w:rFonts w:hint="eastAsia" w:ascii="宋体" w:hAnsi="宋体" w:eastAsia="宋体" w:cs="宋体"/>
          <w:color w:val="auto"/>
          <w:highlight w:val="none"/>
        </w:rPr>
      </w:pPr>
    </w:p>
    <w:p w14:paraId="091D3A2C">
      <w:pPr>
        <w:jc w:val="left"/>
        <w:rPr>
          <w:rFonts w:hint="eastAsia" w:ascii="宋体" w:hAnsi="宋体" w:eastAsia="宋体" w:cs="宋体"/>
          <w:color w:val="auto"/>
          <w:highlight w:val="none"/>
        </w:rPr>
      </w:pPr>
    </w:p>
    <w:p w14:paraId="184DA868">
      <w:pPr>
        <w:jc w:val="left"/>
        <w:rPr>
          <w:rFonts w:hint="eastAsia" w:ascii="宋体" w:hAnsi="宋体" w:eastAsia="宋体" w:cs="宋体"/>
          <w:color w:val="auto"/>
          <w:highlight w:val="none"/>
        </w:rPr>
      </w:pPr>
    </w:p>
    <w:p w14:paraId="3E971F74">
      <w:pPr>
        <w:jc w:val="left"/>
        <w:rPr>
          <w:rFonts w:hint="eastAsia" w:ascii="宋体" w:hAnsi="宋体" w:eastAsia="宋体" w:cs="宋体"/>
          <w:color w:val="auto"/>
          <w:highlight w:val="none"/>
        </w:rPr>
      </w:pPr>
    </w:p>
    <w:p w14:paraId="5A321555">
      <w:pPr>
        <w:jc w:val="left"/>
        <w:rPr>
          <w:rFonts w:hint="eastAsia" w:ascii="宋体" w:hAnsi="宋体" w:eastAsia="宋体" w:cs="宋体"/>
          <w:color w:val="auto"/>
          <w:highlight w:val="none"/>
        </w:rPr>
      </w:pPr>
    </w:p>
    <w:p w14:paraId="15E93E05">
      <w:pPr>
        <w:jc w:val="left"/>
        <w:rPr>
          <w:rFonts w:ascii="宋体" w:hAnsi="宋体" w:eastAsia="宋体" w:cs="宋体"/>
          <w:color w:val="auto"/>
          <w:highlight w:val="none"/>
        </w:rPr>
      </w:pPr>
    </w:p>
    <w:p w14:paraId="4DAC20F0">
      <w:pPr>
        <w:jc w:val="left"/>
        <w:rPr>
          <w:rFonts w:ascii="宋体" w:hAnsi="宋体" w:eastAsia="宋体" w:cs="宋体"/>
          <w:color w:val="auto"/>
          <w:highlight w:val="none"/>
        </w:rPr>
      </w:pPr>
    </w:p>
    <w:tbl>
      <w:tblPr>
        <w:tblStyle w:val="62"/>
        <w:tblW w:w="8688" w:type="dxa"/>
        <w:tblInd w:w="313" w:type="dxa"/>
        <w:tblLayout w:type="fixed"/>
        <w:tblCellMar>
          <w:top w:w="0" w:type="dxa"/>
          <w:left w:w="108" w:type="dxa"/>
          <w:bottom w:w="0" w:type="dxa"/>
          <w:right w:w="108" w:type="dxa"/>
        </w:tblCellMar>
      </w:tblPr>
      <w:tblGrid>
        <w:gridCol w:w="2202"/>
        <w:gridCol w:w="6486"/>
      </w:tblGrid>
      <w:tr w14:paraId="7B1235AE">
        <w:tblPrEx>
          <w:tblCellMar>
            <w:top w:w="0" w:type="dxa"/>
            <w:left w:w="108" w:type="dxa"/>
            <w:bottom w:w="0" w:type="dxa"/>
            <w:right w:w="108" w:type="dxa"/>
          </w:tblCellMar>
        </w:tblPrEx>
        <w:trPr>
          <w:trHeight w:val="680" w:hRule="atLeast"/>
        </w:trPr>
        <w:tc>
          <w:tcPr>
            <w:tcW w:w="2202" w:type="dxa"/>
            <w:noWrap w:val="0"/>
            <w:vAlign w:val="center"/>
          </w:tcPr>
          <w:p w14:paraId="47198810">
            <w:pPr>
              <w:wordWrap w:val="0"/>
              <w:ind w:firstLine="0" w:firstLineChars="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项目名称：</w:t>
            </w:r>
          </w:p>
        </w:tc>
        <w:tc>
          <w:tcPr>
            <w:tcW w:w="6486" w:type="dxa"/>
            <w:noWrap w:val="0"/>
            <w:vAlign w:val="center"/>
          </w:tcPr>
          <w:p w14:paraId="73D907E6">
            <w:pPr>
              <w:wordWrap w:val="0"/>
              <w:ind w:firstLine="0" w:firstLineChars="0"/>
              <w:jc w:val="both"/>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0"/>
                <w:szCs w:val="30"/>
                <w:highlight w:val="none"/>
                <w:lang w:eastAsia="zh-CN"/>
              </w:rPr>
              <w:t>浙江省血液中心2025年信息系统网络与基础设施运维服务</w:t>
            </w:r>
          </w:p>
        </w:tc>
      </w:tr>
      <w:tr w14:paraId="3A22208C">
        <w:tblPrEx>
          <w:tblCellMar>
            <w:top w:w="0" w:type="dxa"/>
            <w:left w:w="108" w:type="dxa"/>
            <w:bottom w:w="0" w:type="dxa"/>
            <w:right w:w="108" w:type="dxa"/>
          </w:tblCellMar>
        </w:tblPrEx>
        <w:trPr>
          <w:trHeight w:val="680" w:hRule="atLeast"/>
        </w:trPr>
        <w:tc>
          <w:tcPr>
            <w:tcW w:w="2202" w:type="dxa"/>
            <w:noWrap w:val="0"/>
            <w:vAlign w:val="center"/>
          </w:tcPr>
          <w:p w14:paraId="4C6C0C16">
            <w:pPr>
              <w:wordWrap w:val="0"/>
              <w:ind w:firstLine="0" w:firstLineChars="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项目编号：</w:t>
            </w:r>
          </w:p>
        </w:tc>
        <w:tc>
          <w:tcPr>
            <w:tcW w:w="6486" w:type="dxa"/>
            <w:noWrap w:val="0"/>
            <w:vAlign w:val="center"/>
          </w:tcPr>
          <w:p w14:paraId="177974B5">
            <w:pPr>
              <w:wordWrap w:val="0"/>
              <w:ind w:firstLine="0" w:firstLineChars="0"/>
              <w:jc w:val="both"/>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eastAsia="zh-CN"/>
              </w:rPr>
              <w:t>KJZB-XYZX2024-02</w:t>
            </w:r>
          </w:p>
        </w:tc>
      </w:tr>
      <w:tr w14:paraId="235FD70C">
        <w:tblPrEx>
          <w:tblCellMar>
            <w:top w:w="0" w:type="dxa"/>
            <w:left w:w="108" w:type="dxa"/>
            <w:bottom w:w="0" w:type="dxa"/>
            <w:right w:w="108" w:type="dxa"/>
          </w:tblCellMar>
        </w:tblPrEx>
        <w:trPr>
          <w:trHeight w:val="680" w:hRule="atLeast"/>
        </w:trPr>
        <w:tc>
          <w:tcPr>
            <w:tcW w:w="2202" w:type="dxa"/>
            <w:noWrap w:val="0"/>
            <w:vAlign w:val="center"/>
          </w:tcPr>
          <w:p w14:paraId="545DD674">
            <w:pPr>
              <w:wordWrap w:val="0"/>
              <w:ind w:firstLine="0" w:firstLineChars="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招标方式：</w:t>
            </w:r>
          </w:p>
        </w:tc>
        <w:tc>
          <w:tcPr>
            <w:tcW w:w="6486" w:type="dxa"/>
            <w:noWrap w:val="0"/>
            <w:vAlign w:val="center"/>
          </w:tcPr>
          <w:p w14:paraId="7DAC0DD3">
            <w:pPr>
              <w:wordWrap w:val="0"/>
              <w:ind w:firstLine="0" w:firstLineChars="0"/>
              <w:jc w:val="both"/>
              <w:rPr>
                <w:rFonts w:hint="default" w:ascii="仿宋" w:hAnsi="仿宋" w:eastAsia="仿宋" w:cs="仿宋"/>
                <w:b/>
                <w:bCs/>
                <w:color w:val="auto"/>
                <w:sz w:val="32"/>
                <w:szCs w:val="40"/>
                <w:highlight w:val="none"/>
                <w:lang w:val="en-US" w:eastAsia="zh-CN"/>
              </w:rPr>
            </w:pPr>
            <w:r>
              <w:rPr>
                <w:rFonts w:hint="eastAsia" w:ascii="仿宋" w:hAnsi="仿宋" w:eastAsia="仿宋" w:cs="仿宋"/>
                <w:b/>
                <w:bCs/>
                <w:color w:val="auto"/>
                <w:sz w:val="32"/>
                <w:szCs w:val="40"/>
                <w:highlight w:val="none"/>
                <w:lang w:val="en-US" w:eastAsia="zh-CN"/>
              </w:rPr>
              <w:t>公开招标</w:t>
            </w:r>
          </w:p>
        </w:tc>
      </w:tr>
      <w:tr w14:paraId="3406913C">
        <w:tblPrEx>
          <w:tblCellMar>
            <w:top w:w="0" w:type="dxa"/>
            <w:left w:w="108" w:type="dxa"/>
            <w:bottom w:w="0" w:type="dxa"/>
            <w:right w:w="108" w:type="dxa"/>
          </w:tblCellMar>
        </w:tblPrEx>
        <w:trPr>
          <w:trHeight w:val="680" w:hRule="atLeast"/>
        </w:trPr>
        <w:tc>
          <w:tcPr>
            <w:tcW w:w="2202" w:type="dxa"/>
            <w:noWrap w:val="0"/>
            <w:vAlign w:val="center"/>
          </w:tcPr>
          <w:p w14:paraId="42C14CB4">
            <w:pPr>
              <w:wordWrap w:val="0"/>
              <w:ind w:firstLine="0" w:firstLineChars="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val="en-US" w:eastAsia="zh-CN"/>
              </w:rPr>
              <w:t>采 购</w:t>
            </w:r>
            <w:r>
              <w:rPr>
                <w:rFonts w:hint="eastAsia" w:ascii="仿宋" w:hAnsi="仿宋" w:eastAsia="仿宋" w:cs="仿宋"/>
                <w:b/>
                <w:bCs/>
                <w:color w:val="auto"/>
                <w:sz w:val="32"/>
                <w:szCs w:val="40"/>
                <w:highlight w:val="none"/>
              </w:rPr>
              <w:t xml:space="preserve"> 人：</w:t>
            </w:r>
          </w:p>
        </w:tc>
        <w:tc>
          <w:tcPr>
            <w:tcW w:w="6486" w:type="dxa"/>
            <w:noWrap w:val="0"/>
            <w:vAlign w:val="center"/>
          </w:tcPr>
          <w:p w14:paraId="50407BED">
            <w:pPr>
              <w:wordWrap w:val="0"/>
              <w:ind w:firstLine="0" w:firstLineChars="0"/>
              <w:jc w:val="both"/>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eastAsia="zh-CN"/>
              </w:rPr>
              <w:t>浙江省血液中心</w:t>
            </w:r>
          </w:p>
        </w:tc>
      </w:tr>
      <w:tr w14:paraId="1347646A">
        <w:tblPrEx>
          <w:tblCellMar>
            <w:top w:w="0" w:type="dxa"/>
            <w:left w:w="108" w:type="dxa"/>
            <w:bottom w:w="0" w:type="dxa"/>
            <w:right w:w="108" w:type="dxa"/>
          </w:tblCellMar>
        </w:tblPrEx>
        <w:trPr>
          <w:trHeight w:val="680" w:hRule="atLeast"/>
        </w:trPr>
        <w:tc>
          <w:tcPr>
            <w:tcW w:w="2202" w:type="dxa"/>
            <w:noWrap w:val="0"/>
            <w:vAlign w:val="center"/>
          </w:tcPr>
          <w:p w14:paraId="01E67C94">
            <w:pPr>
              <w:wordWrap w:val="0"/>
              <w:ind w:firstLine="0" w:firstLineChars="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eastAsia="zh-CN"/>
              </w:rPr>
              <w:t>代理机构</w:t>
            </w:r>
            <w:r>
              <w:rPr>
                <w:rFonts w:hint="eastAsia" w:ascii="仿宋" w:hAnsi="仿宋" w:eastAsia="仿宋" w:cs="仿宋"/>
                <w:b/>
                <w:bCs/>
                <w:color w:val="auto"/>
                <w:sz w:val="32"/>
                <w:szCs w:val="40"/>
                <w:highlight w:val="none"/>
              </w:rPr>
              <w:t>：</w:t>
            </w:r>
          </w:p>
        </w:tc>
        <w:tc>
          <w:tcPr>
            <w:tcW w:w="6486" w:type="dxa"/>
            <w:noWrap w:val="0"/>
            <w:vAlign w:val="center"/>
          </w:tcPr>
          <w:p w14:paraId="2FEEEB39">
            <w:pPr>
              <w:wordWrap w:val="0"/>
              <w:ind w:firstLine="0" w:firstLineChars="0"/>
              <w:jc w:val="both"/>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eastAsia="zh-CN"/>
              </w:rPr>
              <w:t>浙江科佳工程咨询有限公司</w:t>
            </w:r>
          </w:p>
        </w:tc>
      </w:tr>
      <w:tr w14:paraId="2B5D6862">
        <w:tblPrEx>
          <w:tblCellMar>
            <w:top w:w="0" w:type="dxa"/>
            <w:left w:w="108" w:type="dxa"/>
            <w:bottom w:w="0" w:type="dxa"/>
            <w:right w:w="108" w:type="dxa"/>
          </w:tblCellMar>
        </w:tblPrEx>
        <w:trPr>
          <w:trHeight w:val="680" w:hRule="atLeast"/>
        </w:trPr>
        <w:tc>
          <w:tcPr>
            <w:tcW w:w="2202" w:type="dxa"/>
            <w:noWrap w:val="0"/>
            <w:vAlign w:val="center"/>
          </w:tcPr>
          <w:p w14:paraId="62F77580">
            <w:pPr>
              <w:wordWrap w:val="0"/>
              <w:ind w:firstLine="0" w:firstLineChars="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日      期：</w:t>
            </w:r>
          </w:p>
        </w:tc>
        <w:tc>
          <w:tcPr>
            <w:tcW w:w="6486" w:type="dxa"/>
            <w:noWrap w:val="0"/>
            <w:vAlign w:val="center"/>
          </w:tcPr>
          <w:p w14:paraId="25E9CFEE">
            <w:pPr>
              <w:wordWrap w:val="0"/>
              <w:ind w:firstLine="0" w:firstLineChars="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二〇二</w:t>
            </w:r>
            <w:r>
              <w:rPr>
                <w:rFonts w:hint="eastAsia" w:ascii="仿宋" w:hAnsi="仿宋" w:eastAsia="仿宋" w:cs="仿宋"/>
                <w:b/>
                <w:bCs/>
                <w:color w:val="auto"/>
                <w:sz w:val="32"/>
                <w:szCs w:val="40"/>
                <w:highlight w:val="none"/>
                <w:lang w:val="en-US" w:eastAsia="zh-CN"/>
              </w:rPr>
              <w:t>四</w:t>
            </w:r>
            <w:r>
              <w:rPr>
                <w:rFonts w:hint="eastAsia" w:ascii="仿宋" w:hAnsi="仿宋" w:eastAsia="仿宋" w:cs="仿宋"/>
                <w:b/>
                <w:bCs/>
                <w:color w:val="auto"/>
                <w:sz w:val="32"/>
                <w:szCs w:val="40"/>
                <w:highlight w:val="none"/>
              </w:rPr>
              <w:t>年</w:t>
            </w:r>
            <w:r>
              <w:rPr>
                <w:rFonts w:hint="eastAsia" w:ascii="仿宋" w:hAnsi="仿宋" w:eastAsia="仿宋" w:cs="仿宋"/>
                <w:b/>
                <w:bCs/>
                <w:color w:val="auto"/>
                <w:sz w:val="32"/>
                <w:szCs w:val="40"/>
                <w:highlight w:val="none"/>
                <w:lang w:val="en-US" w:eastAsia="zh-CN"/>
              </w:rPr>
              <w:t>十一</w:t>
            </w:r>
            <w:r>
              <w:rPr>
                <w:rFonts w:hint="eastAsia" w:ascii="仿宋" w:hAnsi="仿宋" w:eastAsia="仿宋" w:cs="仿宋"/>
                <w:b/>
                <w:bCs/>
                <w:color w:val="auto"/>
                <w:sz w:val="32"/>
                <w:szCs w:val="40"/>
                <w:highlight w:val="none"/>
              </w:rPr>
              <w:t>月</w:t>
            </w:r>
            <w:r>
              <w:rPr>
                <w:rFonts w:hint="eastAsia" w:ascii="仿宋" w:hAnsi="仿宋" w:eastAsia="仿宋" w:cs="仿宋"/>
                <w:b/>
                <w:bCs/>
                <w:color w:val="auto"/>
                <w:sz w:val="32"/>
                <w:szCs w:val="40"/>
                <w:highlight w:val="none"/>
                <w:lang w:val="en-US" w:eastAsia="zh-CN"/>
              </w:rPr>
              <w:t>二十九</w:t>
            </w:r>
            <w:r>
              <w:rPr>
                <w:rFonts w:hint="eastAsia" w:ascii="仿宋" w:hAnsi="仿宋" w:eastAsia="仿宋" w:cs="仿宋"/>
                <w:b/>
                <w:bCs/>
                <w:color w:val="auto"/>
                <w:sz w:val="32"/>
                <w:szCs w:val="40"/>
                <w:highlight w:val="none"/>
              </w:rPr>
              <w:t>日</w:t>
            </w:r>
          </w:p>
        </w:tc>
      </w:tr>
    </w:tbl>
    <w:p w14:paraId="4B925B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23F055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B8AC28A">
      <w:pPr>
        <w:spacing w:line="360" w:lineRule="auto"/>
        <w:rPr>
          <w:rFonts w:ascii="宋体" w:hAnsi="宋体" w:cs="宋体"/>
          <w:color w:val="auto"/>
          <w:sz w:val="32"/>
          <w:szCs w:val="32"/>
          <w:highlight w:val="none"/>
        </w:rPr>
      </w:pPr>
    </w:p>
    <w:p w14:paraId="4AD021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8642F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DF2F7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FD7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23B4A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D2375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821D1CA">
      <w:pPr>
        <w:pStyle w:val="2"/>
        <w:bidi w:val="0"/>
        <w:rPr>
          <w:rFonts w:ascii="宋体" w:hAnsi="宋体" w:cs="宋体"/>
          <w:b/>
          <w:color w:val="auto"/>
          <w:sz w:val="36"/>
          <w:szCs w:val="20"/>
          <w:highlight w:val="none"/>
        </w:rPr>
      </w:pPr>
      <w:bookmarkStart w:id="1" w:name="_Hlt91233176"/>
      <w:bookmarkEnd w:id="1"/>
      <w:bookmarkStart w:id="2" w:name="_Toc91899869"/>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0617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64121DD8">
            <w:pPr>
              <w:rPr>
                <w:rFonts w:hint="eastAsia"/>
                <w:color w:val="auto"/>
                <w:highlight w:val="none"/>
              </w:rPr>
            </w:pPr>
            <w:r>
              <w:rPr>
                <w:rFonts w:hint="eastAsia"/>
                <w:color w:val="auto"/>
                <w:highlight w:val="none"/>
              </w:rPr>
              <w:t>项目概况</w:t>
            </w:r>
          </w:p>
          <w:p w14:paraId="6B71EC68">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u w:val="single"/>
                <w:lang w:eastAsia="zh-CN"/>
              </w:rPr>
              <w:t>浙江省血液中心2025年信息系统网络与基础设施运维服务</w:t>
            </w:r>
            <w:r>
              <w:rPr>
                <w:rFonts w:hint="eastAsia"/>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color w:val="auto"/>
                <w:highlight w:val="none"/>
              </w:rPr>
              <w:t>https://www.zcygov.cn/）获取（下载）招标文件，并于</w:t>
            </w:r>
            <w:r>
              <w:rPr>
                <w:rFonts w:hint="eastAsia" w:cs="宋体"/>
                <w:color w:val="auto"/>
                <w:highlight w:val="none"/>
                <w:lang w:eastAsia="zh-CN"/>
              </w:rPr>
              <w:t>2024年</w:t>
            </w:r>
            <w:r>
              <w:rPr>
                <w:rFonts w:hint="eastAsia" w:cs="宋体"/>
                <w:color w:val="auto"/>
                <w:highlight w:val="none"/>
                <w:lang w:val="en-US" w:eastAsia="zh-CN"/>
              </w:rPr>
              <w:t xml:space="preserve">12  </w:t>
            </w:r>
            <w:r>
              <w:rPr>
                <w:rFonts w:hint="eastAsia" w:ascii="宋体" w:hAnsi="宋体" w:eastAsia="宋体" w:cs="宋体"/>
                <w:color w:val="auto"/>
                <w:highlight w:val="none"/>
              </w:rPr>
              <w:t>月</w:t>
            </w:r>
            <w:r>
              <w:rPr>
                <w:rFonts w:hint="eastAsia" w:cs="宋体"/>
                <w:color w:val="auto"/>
                <w:highlight w:val="none"/>
                <w:lang w:val="en-US" w:eastAsia="zh-CN"/>
              </w:rPr>
              <w:t>24</w:t>
            </w:r>
            <w:r>
              <w:rPr>
                <w:rFonts w:hint="eastAsia" w:ascii="宋体" w:hAnsi="宋体" w:eastAsia="宋体" w:cs="宋体"/>
                <w:color w:val="auto"/>
                <w:highlight w:val="none"/>
              </w:rPr>
              <w:t>日</w:t>
            </w:r>
            <w:r>
              <w:rPr>
                <w:rFonts w:hint="eastAsia" w:cs="宋体"/>
                <w:color w:val="auto"/>
                <w:highlight w:val="none"/>
                <w:lang w:val="en-US" w:eastAsia="zh-CN"/>
              </w:rPr>
              <w:t>9</w:t>
            </w:r>
            <w:r>
              <w:rPr>
                <w:rFonts w:hint="eastAsia" w:ascii="宋体" w:hAnsi="宋体" w:eastAsia="宋体" w:cs="宋体"/>
                <w:color w:val="auto"/>
                <w:highlight w:val="none"/>
              </w:rPr>
              <w:t>点</w:t>
            </w:r>
            <w:r>
              <w:rPr>
                <w:rFonts w:hint="eastAsia" w:cs="宋体"/>
                <w:color w:val="auto"/>
                <w:highlight w:val="none"/>
                <w:lang w:val="en-US" w:eastAsia="zh-CN"/>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分00秒</w:t>
            </w:r>
            <w:r>
              <w:rPr>
                <w:rFonts w:hint="eastAsia"/>
                <w:color w:val="auto"/>
                <w:highlight w:val="none"/>
              </w:rPr>
              <w:fldChar w:fldCharType="end"/>
            </w:r>
            <w:r>
              <w:rPr>
                <w:rFonts w:hint="eastAsia"/>
                <w:color w:val="auto"/>
                <w:highlight w:val="none"/>
              </w:rPr>
              <w:t>（北京时间）前递交（上传）投标文件。</w:t>
            </w:r>
          </w:p>
          <w:p w14:paraId="77D03AD0">
            <w:pPr>
              <w:bidi w:val="0"/>
              <w:rPr>
                <w:rFonts w:hint="eastAsia"/>
                <w:color w:val="auto"/>
                <w:highlight w:val="none"/>
                <w:vertAlign w:val="baseline"/>
              </w:rPr>
            </w:pPr>
          </w:p>
        </w:tc>
      </w:tr>
    </w:tbl>
    <w:p w14:paraId="6316C73B">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1BBF1E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cs="宋体"/>
          <w:color w:val="auto"/>
          <w:sz w:val="24"/>
          <w:highlight w:val="none"/>
          <w:u w:val="none"/>
          <w:lang w:eastAsia="zh-CN"/>
        </w:rPr>
        <w:t>KJZB-XYZX2024-02</w:t>
      </w:r>
    </w:p>
    <w:p w14:paraId="63CFC7E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w:t>
      </w:r>
      <w:r>
        <w:rPr>
          <w:rFonts w:hint="eastAsia" w:ascii="宋体" w:hAnsi="宋体" w:eastAsia="宋体" w:cs="宋体"/>
          <w:b/>
          <w:color w:val="auto"/>
          <w:sz w:val="24"/>
          <w:highlight w:val="none"/>
        </w:rPr>
        <w:t>名称</w:t>
      </w:r>
      <w:r>
        <w:rPr>
          <w:rFonts w:hint="eastAsia" w:ascii="宋体" w:hAnsi="宋体" w:cs="宋体"/>
          <w:b/>
          <w:color w:val="auto"/>
          <w:sz w:val="24"/>
          <w:highlight w:val="none"/>
        </w:rPr>
        <w:t>：</w:t>
      </w:r>
      <w:r>
        <w:rPr>
          <w:rFonts w:hint="eastAsia" w:cs="宋体"/>
          <w:color w:val="auto"/>
          <w:sz w:val="24"/>
          <w:highlight w:val="none"/>
          <w:lang w:eastAsia="zh-CN"/>
        </w:rPr>
        <w:t>浙江省血液中心2025年信息系统网络与基础设施运维服务</w:t>
      </w:r>
    </w:p>
    <w:p w14:paraId="70F4D78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cs="宋体"/>
          <w:color w:val="auto"/>
          <w:sz w:val="24"/>
          <w:highlight w:val="none"/>
          <w:lang w:eastAsia="zh-CN"/>
        </w:rPr>
        <w:t>450000</w:t>
      </w:r>
    </w:p>
    <w:p w14:paraId="11177C4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cs="宋体"/>
          <w:color w:val="auto"/>
          <w:sz w:val="24"/>
          <w:highlight w:val="none"/>
          <w:lang w:eastAsia="zh-CN"/>
        </w:rPr>
        <w:t>450000</w:t>
      </w:r>
    </w:p>
    <w:p w14:paraId="67A59D72">
      <w:pPr>
        <w:keepNext w:val="0"/>
        <w:keepLines w:val="0"/>
        <w:pageBreakBefore w:val="0"/>
        <w:kinsoku/>
        <w:wordWrap/>
        <w:overflowPunct/>
        <w:topLinePunct w:val="0"/>
        <w:autoSpaceDE/>
        <w:autoSpaceDN/>
        <w:bidi w:val="0"/>
        <w:adjustRightInd/>
        <w:spacing w:line="520" w:lineRule="exact"/>
        <w:ind w:firstLine="420" w:firstLineChars="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采购需求：</w:t>
      </w:r>
      <w:r>
        <w:rPr>
          <w:rFonts w:hint="eastAsia"/>
          <w:color w:val="auto"/>
          <w:highlight w:val="none"/>
          <w:lang w:val="en-US" w:eastAsia="zh-CN"/>
        </w:rPr>
        <w:t>对浙江省血液中心武林院区和滨江院区2个机房，共计30余套信息系统提供运维服务，保障浙江省血液中心及全省采供血业务工作的正常开展和各类信息系统的正常运行</w:t>
      </w:r>
      <w:r>
        <w:rPr>
          <w:rFonts w:hint="eastAsia"/>
          <w:color w:val="auto"/>
          <w:sz w:val="24"/>
          <w:highlight w:val="none"/>
        </w:rPr>
        <w:t>。</w:t>
      </w:r>
      <w:r>
        <w:rPr>
          <w:rFonts w:hint="eastAsia" w:ascii="宋体" w:hAnsi="宋体" w:eastAsia="宋体" w:cs="宋体"/>
          <w:b w:val="0"/>
          <w:bCs/>
          <w:color w:val="auto"/>
          <w:sz w:val="24"/>
          <w:highlight w:val="none"/>
        </w:rPr>
        <w:t>具体以招标文件第三部分采购需求为准，供应商可点击本公告下方“浏览采购文件”查看采购需求。</w:t>
      </w:r>
    </w:p>
    <w:p w14:paraId="18483E6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宋体" w:hAnsi="宋体" w:cs="宋体"/>
          <w:bCs/>
          <w:color w:val="auto"/>
          <w:highlight w:val="none"/>
          <w:lang w:val="en-US"/>
        </w:rPr>
      </w:pPr>
      <w:r>
        <w:rPr>
          <w:rFonts w:hint="eastAsia" w:ascii="宋体" w:hAnsi="宋体" w:cs="宋体"/>
          <w:b/>
          <w:color w:val="auto"/>
          <w:highlight w:val="none"/>
        </w:rPr>
        <w:t>合同</w:t>
      </w:r>
      <w:r>
        <w:rPr>
          <w:rFonts w:hint="eastAsia" w:ascii="宋体" w:hAnsi="宋体" w:eastAsia="宋体" w:cs="宋体"/>
          <w:b/>
          <w:color w:val="auto"/>
          <w:sz w:val="24"/>
          <w:highlight w:val="none"/>
        </w:rPr>
        <w:t>履约</w:t>
      </w:r>
      <w:r>
        <w:rPr>
          <w:rFonts w:hint="eastAsia" w:ascii="宋体" w:hAnsi="宋体" w:cs="宋体"/>
          <w:b/>
          <w:color w:val="auto"/>
          <w:highlight w:val="none"/>
        </w:rPr>
        <w:t>期限：</w:t>
      </w:r>
      <w:r>
        <w:rPr>
          <w:rFonts w:hint="eastAsia" w:cs="Arial"/>
          <w:color w:val="auto"/>
          <w:kern w:val="0"/>
          <w:highlight w:val="none"/>
          <w:lang w:val="en-US" w:eastAsia="zh-CN"/>
        </w:rPr>
        <w:t>一年</w:t>
      </w:r>
      <w:r>
        <w:rPr>
          <w:rFonts w:hint="eastAsia" w:cs="宋体"/>
          <w:b w:val="0"/>
          <w:bCs/>
          <w:color w:val="auto"/>
          <w:highlight w:val="none"/>
          <w:lang w:val="en-US" w:eastAsia="zh-CN"/>
        </w:rPr>
        <w:t>。</w:t>
      </w:r>
    </w:p>
    <w:p w14:paraId="3F1A9368">
      <w:pPr>
        <w:pStyle w:val="15"/>
        <w:keepNext w:val="0"/>
        <w:keepLines w:val="0"/>
        <w:pageBreakBefore w:val="0"/>
        <w:kinsoku/>
        <w:wordWrap/>
        <w:overflowPunct/>
        <w:topLinePunct w:val="0"/>
        <w:autoSpaceDE/>
        <w:autoSpaceDN/>
        <w:bidi w:val="0"/>
        <w:adjustRightInd/>
        <w:spacing w:line="360" w:lineRule="auto"/>
        <w:ind w:firstLine="482" w:firstLineChars="20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F4C29A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DCCCF4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08093D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D91279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BCC2F7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B9482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796973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16E94D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052DE589">
      <w:pPr>
        <w:rPr>
          <w:rFonts w:ascii="宋体" w:hAnsi="宋体" w:cs="宋体"/>
          <w:color w:val="auto"/>
          <w:highlight w:val="none"/>
        </w:rPr>
      </w:pPr>
    </w:p>
    <w:p w14:paraId="572FF85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B26CC7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9D3FD3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E8FD9B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87775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BC3C7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cs="宋体"/>
          <w:color w:val="auto"/>
          <w:sz w:val="24"/>
          <w:highlight w:val="none"/>
          <w:u w:val="single"/>
          <w:lang w:val="en-US" w:eastAsia="zh-CN"/>
        </w:rPr>
        <w:t xml:space="preserve">  12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 xml:space="preserve">   24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3EE2E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3A14A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DF1E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0061B65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A56D8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cs="宋体"/>
          <w:color w:val="auto"/>
          <w:sz w:val="24"/>
          <w:highlight w:val="none"/>
          <w:u w:val="single"/>
          <w:lang w:val="en-US" w:eastAsia="zh-CN"/>
        </w:rPr>
        <w:t xml:space="preserve"> 12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 xml:space="preserve">  24  </w:t>
      </w:r>
      <w:r>
        <w:rPr>
          <w:rFonts w:hint="eastAsia" w:ascii="宋体" w:hAnsi="宋体" w:cs="宋体"/>
          <w:color w:val="auto"/>
          <w:sz w:val="24"/>
          <w:highlight w:val="none"/>
          <w:u w:val="single"/>
        </w:rPr>
        <w:t>日</w:t>
      </w:r>
      <w:r>
        <w:rPr>
          <w:rFonts w:hint="eastAsia"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4C49C25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A1E1B5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cs="宋体"/>
          <w:color w:val="auto"/>
          <w:sz w:val="24"/>
          <w:highlight w:val="none"/>
          <w:u w:val="single"/>
          <w:lang w:val="en-US" w:eastAsia="zh-CN"/>
        </w:rPr>
        <w:t xml:space="preserve">   12 </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 xml:space="preserve">  24 </w:t>
      </w:r>
      <w:r>
        <w:rPr>
          <w:rFonts w:hint="eastAsia" w:ascii="宋体" w:hAnsi="宋体" w:cs="宋体"/>
          <w:color w:val="auto"/>
          <w:sz w:val="24"/>
          <w:highlight w:val="none"/>
          <w:u w:val="single"/>
        </w:rPr>
        <w:t>日</w:t>
      </w:r>
      <w:r>
        <w:rPr>
          <w:rFonts w:hint="eastAsia"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cs="宋体"/>
          <w:color w:val="auto"/>
          <w:sz w:val="24"/>
          <w:highlight w:val="none"/>
          <w:u w:val="single"/>
          <w:lang w:val="en-US" w:eastAsia="zh-CN"/>
        </w:rPr>
        <w:t>3</w:t>
      </w:r>
      <w:r>
        <w:rPr>
          <w:rFonts w:hint="eastAsia" w:ascii="宋体" w:hAnsi="宋体" w:cs="宋体"/>
          <w:color w:val="auto"/>
          <w:sz w:val="24"/>
          <w:highlight w:val="none"/>
          <w:u w:val="single"/>
        </w:rPr>
        <w:t>0分00秒</w:t>
      </w:r>
    </w:p>
    <w:p w14:paraId="1F851D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6D7670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E8E8E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8FA2AF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FFD70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C9F2C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B72A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BDD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0D64B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3EBE6E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E4902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3DF4441">
      <w:pPr>
        <w:spacing w:line="360" w:lineRule="auto"/>
        <w:rPr>
          <w:rFonts w:hint="eastAsia" w:ascii="宋体" w:hAnsi="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A70F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31D7D08">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1、采购人信息</w:t>
      </w:r>
    </w:p>
    <w:p w14:paraId="16ED8DE3">
      <w:pPr>
        <w:ind w:firstLine="480" w:firstLineChars="200"/>
        <w:jc w:val="left"/>
        <w:rPr>
          <w:rFonts w:hint="eastAsia" w:ascii="宋体" w:hAnsi="宋体" w:eastAsia="宋体" w:cs="宋体"/>
          <w:color w:val="auto"/>
          <w:highlight w:val="none"/>
        </w:rPr>
      </w:pPr>
      <w:bookmarkStart w:id="11" w:name="_Toc28359097"/>
      <w:bookmarkStart w:id="12" w:name="_Toc35393638"/>
      <w:bookmarkStart w:id="13" w:name="_Toc35393807"/>
      <w:bookmarkStart w:id="14" w:name="_Toc28359020"/>
      <w:r>
        <w:rPr>
          <w:rFonts w:hint="eastAsia" w:ascii="宋体" w:hAnsi="宋体" w:eastAsia="宋体" w:cs="宋体"/>
          <w:color w:val="auto"/>
          <w:highlight w:val="none"/>
        </w:rPr>
        <w:t>名称：浙江省血液中心</w:t>
      </w:r>
    </w:p>
    <w:p w14:paraId="3460FAE7">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地址：杭州市滨江区建业路789号</w:t>
      </w:r>
    </w:p>
    <w:p w14:paraId="621A860A">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项目联系人（询问）：孙先生</w:t>
      </w:r>
    </w:p>
    <w:p w14:paraId="33A43388">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项目联系方式（询问）：0571-57888131</w:t>
      </w:r>
    </w:p>
    <w:p w14:paraId="648A2CBC">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质疑联系人：金先生</w:t>
      </w:r>
    </w:p>
    <w:p w14:paraId="39B03DDE">
      <w:pPr>
        <w:ind w:firstLine="48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质疑联系方式：0571-57888131</w:t>
      </w:r>
    </w:p>
    <w:p w14:paraId="093AFC41">
      <w:pPr>
        <w:wordWrap w:val="0"/>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2.采购代理机构信息</w:t>
      </w:r>
      <w:bookmarkEnd w:id="11"/>
      <w:bookmarkEnd w:id="12"/>
      <w:bookmarkEnd w:id="13"/>
      <w:bookmarkEnd w:id="14"/>
      <w:r>
        <w:rPr>
          <w:rFonts w:hint="eastAsia" w:ascii="宋体" w:hAnsi="宋体" w:eastAsia="宋体" w:cs="宋体"/>
          <w:color w:val="auto"/>
          <w:highlight w:val="none"/>
        </w:rPr>
        <w:t>：</w:t>
      </w:r>
    </w:p>
    <w:p w14:paraId="457DF6F6">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名    称：</w:t>
      </w:r>
      <w:r>
        <w:rPr>
          <w:rFonts w:hint="eastAsia" w:cs="宋体"/>
          <w:color w:val="auto"/>
          <w:highlight w:val="none"/>
          <w:lang w:eastAsia="zh-CN"/>
        </w:rPr>
        <w:t>浙江科佳工程咨询有限公司</w:t>
      </w:r>
      <w:r>
        <w:rPr>
          <w:rFonts w:hint="eastAsia" w:ascii="宋体" w:hAnsi="宋体" w:eastAsia="宋体" w:cs="宋体"/>
          <w:color w:val="auto"/>
          <w:highlight w:val="none"/>
        </w:rPr>
        <w:t xml:space="preserve"> </w:t>
      </w:r>
    </w:p>
    <w:p w14:paraId="31B7B066">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地    址：</w:t>
      </w:r>
      <w:r>
        <w:rPr>
          <w:rFonts w:hint="eastAsia" w:cs="宋体"/>
          <w:color w:val="auto"/>
          <w:highlight w:val="none"/>
          <w:lang w:eastAsia="zh-CN"/>
        </w:rPr>
        <w:t>杭州上城区凤起东路211号顺福商务中心3号楼10层事业部六部</w:t>
      </w:r>
      <w:r>
        <w:rPr>
          <w:rFonts w:hint="eastAsia" w:ascii="宋体" w:hAnsi="宋体" w:eastAsia="宋体" w:cs="宋体"/>
          <w:color w:val="auto"/>
          <w:highlight w:val="none"/>
        </w:rPr>
        <w:t xml:space="preserve"> </w:t>
      </w:r>
    </w:p>
    <w:p w14:paraId="7E2DB6DC">
      <w:pPr>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传    真：</w:t>
      </w:r>
      <w:r>
        <w:rPr>
          <w:rFonts w:hint="eastAsia" w:cs="宋体"/>
          <w:color w:val="auto"/>
          <w:highlight w:val="none"/>
          <w:lang w:eastAsia="zh-CN"/>
        </w:rPr>
        <w:t>13306518315</w:t>
      </w:r>
    </w:p>
    <w:p w14:paraId="59B5F3E3">
      <w:pPr>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项目联系人（询问）：</w:t>
      </w:r>
      <w:r>
        <w:rPr>
          <w:rFonts w:hint="eastAsia" w:cs="宋体"/>
          <w:color w:val="auto"/>
          <w:highlight w:val="none"/>
          <w:lang w:eastAsia="zh-CN"/>
        </w:rPr>
        <w:t>孙珊珊</w:t>
      </w:r>
    </w:p>
    <w:p w14:paraId="005354A4">
      <w:pPr>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项目联系方式（询问）：</w:t>
      </w:r>
      <w:r>
        <w:rPr>
          <w:rFonts w:hint="eastAsia" w:cs="宋体"/>
          <w:color w:val="auto"/>
          <w:highlight w:val="none"/>
          <w:lang w:eastAsia="zh-CN"/>
        </w:rPr>
        <w:t>13306518315</w:t>
      </w:r>
      <w:r>
        <w:rPr>
          <w:rFonts w:hint="eastAsia" w:ascii="宋体" w:hAnsi="宋体" w:eastAsia="宋体" w:cs="宋体"/>
          <w:color w:val="auto"/>
          <w:highlight w:val="none"/>
        </w:rPr>
        <w:t xml:space="preserve"> </w:t>
      </w:r>
    </w:p>
    <w:p w14:paraId="4B763772">
      <w:pPr>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质疑联系人：</w:t>
      </w:r>
      <w:r>
        <w:rPr>
          <w:rFonts w:hint="eastAsia" w:cs="宋体"/>
          <w:color w:val="auto"/>
          <w:highlight w:val="none"/>
          <w:lang w:eastAsia="zh-CN"/>
        </w:rPr>
        <w:t>王炜</w:t>
      </w:r>
    </w:p>
    <w:p w14:paraId="2B795CB6">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质疑联系方式：</w:t>
      </w:r>
      <w:r>
        <w:rPr>
          <w:rFonts w:hint="eastAsia" w:ascii="宋体" w:hAnsi="宋体" w:cs="宋体"/>
          <w:color w:val="auto"/>
          <w:kern w:val="2"/>
          <w:sz w:val="24"/>
          <w:highlight w:val="none"/>
          <w:u w:val="none"/>
        </w:rPr>
        <w:t>0571-86820832</w:t>
      </w:r>
    </w:p>
    <w:p w14:paraId="78E888F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eastAsia="zh-CN"/>
        </w:rPr>
      </w:pPr>
      <w:r>
        <w:rPr>
          <w:rFonts w:hint="eastAsia"/>
          <w:color w:val="auto"/>
          <w:highlight w:val="none"/>
        </w:rPr>
        <w:t>3.同级政府采购监督管理部门</w:t>
      </w:r>
    </w:p>
    <w:p w14:paraId="3038CE9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eastAsia="宋体"/>
          <w:color w:val="auto"/>
          <w:highlight w:val="none"/>
          <w:lang w:eastAsia="zh-CN"/>
        </w:rPr>
      </w:pPr>
      <w:r>
        <w:rPr>
          <w:rFonts w:hint="eastAsia"/>
          <w:color w:val="auto"/>
          <w:highlight w:val="none"/>
        </w:rPr>
        <w:t>该项目由采购人处理采购争议。质疑环节，采购人委托采购代理机构处理的，可由采购代理机构答复。对质疑答复不满意的，向采购人内部设置的采购监督机构反映。</w:t>
      </w:r>
    </w:p>
    <w:p w14:paraId="6A553B7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政策咨询：何一平、冯华，0571-87058424、87055741</w:t>
      </w:r>
    </w:p>
    <w:p w14:paraId="0D477F58">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lang w:val="en-US" w:eastAsia="zh-CN"/>
        </w:rPr>
      </w:pPr>
      <w:r>
        <w:rPr>
          <w:rFonts w:hint="eastAsia"/>
          <w:color w:val="auto"/>
          <w:highlight w:val="none"/>
          <w:lang w:val="en-US" w:eastAsia="zh-CN"/>
        </w:rPr>
        <w:t>预算金额未达100万元的采购项目，由采购人处理采购争议。</w:t>
      </w:r>
    </w:p>
    <w:p w14:paraId="298129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highlight w:val="none"/>
          <w:lang w:eastAsia="zh-CN"/>
        </w:rPr>
      </w:pPr>
    </w:p>
    <w:p w14:paraId="78AC9C64">
      <w:pPr>
        <w:spacing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E69D284">
      <w:pPr>
        <w:widowControl/>
        <w:adjustRightIn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6585F4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643085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DEC99A7">
      <w:pPr>
        <w:pStyle w:val="3"/>
        <w:bidi w:val="0"/>
        <w:rPr>
          <w:color w:val="auto"/>
          <w:highlight w:val="none"/>
        </w:rPr>
      </w:pPr>
      <w:r>
        <w:rPr>
          <w:rFonts w:hint="eastAsia"/>
          <w:color w:val="auto"/>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E96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trPr>
        <w:tc>
          <w:tcPr>
            <w:tcW w:w="629" w:type="dxa"/>
            <w:vAlign w:val="center"/>
          </w:tcPr>
          <w:p w14:paraId="6715CD79">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序号</w:t>
            </w:r>
          </w:p>
        </w:tc>
        <w:tc>
          <w:tcPr>
            <w:tcW w:w="1843" w:type="dxa"/>
            <w:vAlign w:val="center"/>
          </w:tcPr>
          <w:p w14:paraId="0B948F01">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6F5C0538">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8C1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4E9D7170">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1</w:t>
            </w:r>
          </w:p>
        </w:tc>
        <w:tc>
          <w:tcPr>
            <w:tcW w:w="1843" w:type="dxa"/>
            <w:vAlign w:val="center"/>
          </w:tcPr>
          <w:p w14:paraId="2AE1A8F8">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1D73A457">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39B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4546B424">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2</w:t>
            </w:r>
          </w:p>
        </w:tc>
        <w:tc>
          <w:tcPr>
            <w:tcW w:w="1843" w:type="dxa"/>
            <w:vAlign w:val="center"/>
          </w:tcPr>
          <w:p w14:paraId="0CD6F327">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281468AE">
            <w:pPr>
              <w:pageBreakBefore w:val="0"/>
              <w:widowControl/>
              <w:kinsoku/>
              <w:wordWrap/>
              <w:overflowPunct/>
              <w:topLinePunct w:val="0"/>
              <w:autoSpaceDE/>
              <w:autoSpaceDN/>
              <w:bidi w:val="0"/>
              <w:ind w:left="0" w:firstLine="0" w:firstLineChars="0"/>
              <w:jc w:val="left"/>
              <w:textAlignment w:val="auto"/>
              <w:rPr>
                <w:rFonts w:ascii="宋体" w:hAnsi="宋体" w:eastAsia="宋体" w:cs="宋体"/>
                <w:color w:val="auto"/>
                <w:highlight w:val="none"/>
              </w:rPr>
            </w:pPr>
            <w:r>
              <w:rPr>
                <w:rFonts w:hint="eastAsia" w:ascii="宋体" w:hAnsi="宋体" w:eastAsia="宋体" w:cs="宋体"/>
                <w:color w:val="auto"/>
                <w:highlight w:val="none"/>
              </w:rPr>
              <w:t>（1）标的名称：</w:t>
            </w:r>
            <w:r>
              <w:rPr>
                <w:rFonts w:hint="eastAsia" w:cs="宋体"/>
                <w:color w:val="auto"/>
                <w:highlight w:val="none"/>
                <w:u w:val="single"/>
                <w:lang w:val="en-US" w:eastAsia="zh-CN"/>
              </w:rPr>
              <w:t>浙江省血液中心2025年信息系统网络与基础设施运维服务</w:t>
            </w:r>
            <w:r>
              <w:rPr>
                <w:rFonts w:hint="eastAsia" w:ascii="宋体" w:hAnsi="宋体" w:eastAsia="宋体" w:cs="宋体"/>
                <w:color w:val="auto"/>
                <w:highlight w:val="none"/>
              </w:rPr>
              <w:t>，属于</w:t>
            </w:r>
            <w:r>
              <w:rPr>
                <w:rFonts w:hint="eastAsia"/>
                <w:color w:val="auto"/>
                <w:highlight w:val="none"/>
                <w:u w:val="single"/>
              </w:rPr>
              <w:t>软件和信息技术服务业</w:t>
            </w:r>
            <w:r>
              <w:rPr>
                <w:rFonts w:hint="eastAsia" w:ascii="宋体" w:hAnsi="宋体" w:eastAsia="宋体" w:cs="宋体"/>
                <w:color w:val="auto"/>
                <w:highlight w:val="none"/>
              </w:rPr>
              <w:t>；</w:t>
            </w:r>
          </w:p>
          <w:p w14:paraId="6AA65020">
            <w:pPr>
              <w:pStyle w:val="3"/>
              <w:pageBreakBefore w:val="0"/>
              <w:widowControl w:val="0"/>
              <w:kinsoku/>
              <w:wordWrap/>
              <w:overflowPunct/>
              <w:topLinePunct w:val="0"/>
              <w:autoSpaceDE/>
              <w:autoSpaceDN/>
              <w:bidi w:val="0"/>
              <w:ind w:left="0" w:firstLine="0" w:firstLineChars="0"/>
              <w:jc w:val="left"/>
              <w:textAlignment w:val="auto"/>
              <w:rPr>
                <w:rFonts w:ascii="宋体" w:hAnsi="宋体" w:eastAsia="宋体" w:cs="宋体"/>
                <w:color w:val="auto"/>
                <w:highlight w:val="none"/>
                <w:lang w:val="en-US"/>
              </w:rPr>
            </w:pPr>
            <w:r>
              <w:rPr>
                <w:rFonts w:hint="eastAsia" w:ascii="宋体" w:hAnsi="宋体" w:eastAsia="宋体" w:cs="宋体"/>
                <w:b/>
                <w:bCs/>
                <w:color w:val="auto"/>
                <w:kern w:val="2"/>
                <w:sz w:val="24"/>
                <w:szCs w:val="24"/>
                <w:highlight w:val="none"/>
                <w:lang w:val="zh-CN" w:eastAsia="zh-CN" w:bidi="ar-SA"/>
              </w:rPr>
              <w:t>划分标准：</w:t>
            </w:r>
            <w:r>
              <w:rPr>
                <w:rFonts w:hint="eastAsia" w:eastAsia="宋体"/>
                <w:color w:val="auto"/>
                <w:sz w:val="24"/>
                <w:szCs w:val="24"/>
                <w:highlight w:val="none"/>
                <w:u w:val="single"/>
                <w:lang w:val="en-US" w:eastAsia="zh-CN"/>
              </w:rPr>
              <w:t>：根据《关于印发中小企业划型标准规定的通知》（工信部联企业[2011]300号）“（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E50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6435FC03">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3</w:t>
            </w:r>
          </w:p>
        </w:tc>
        <w:tc>
          <w:tcPr>
            <w:tcW w:w="1843" w:type="dxa"/>
            <w:vAlign w:val="center"/>
          </w:tcPr>
          <w:p w14:paraId="5DBCC92D">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4C6F1485">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28F44E4">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cs="宋体"/>
                <w:color w:val="auto"/>
                <w:sz w:val="24"/>
                <w:highlight w:val="none"/>
                <w:u w:val="single"/>
                <w:lang w:val="en-US" w:eastAsia="zh-CN"/>
              </w:rPr>
              <w:t>___</w:t>
            </w:r>
            <w:r>
              <w:rPr>
                <w:rFonts w:hint="eastAsia" w:ascii="宋体" w:hAnsi="宋体" w:cs="宋体"/>
                <w:color w:val="auto"/>
                <w:kern w:val="0"/>
                <w:sz w:val="24"/>
                <w:highlight w:val="none"/>
              </w:rPr>
              <w:t>采购进口产品。</w:t>
            </w:r>
          </w:p>
        </w:tc>
      </w:tr>
      <w:tr w14:paraId="196A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4C74314A">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4</w:t>
            </w:r>
          </w:p>
        </w:tc>
        <w:tc>
          <w:tcPr>
            <w:tcW w:w="1843" w:type="dxa"/>
            <w:vAlign w:val="center"/>
          </w:tcPr>
          <w:p w14:paraId="50BD8DB0">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0B8FC08">
            <w:pPr>
              <w:pageBreakBefore w:val="0"/>
              <w:widowControl w:val="0"/>
              <w:kinsoku/>
              <w:wordWrap/>
              <w:overflowPunct/>
              <w:topLinePunct w:val="0"/>
              <w:autoSpaceDE/>
              <w:autoSpaceDN/>
              <w:bidi w:val="0"/>
              <w:spacing w:line="360" w:lineRule="auto"/>
              <w:ind w:left="0" w:firstLine="0" w:firstLineChars="0"/>
              <w:jc w:val="left"/>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4954D1BF">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EB49845">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246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60905128">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5</w:t>
            </w:r>
          </w:p>
        </w:tc>
        <w:tc>
          <w:tcPr>
            <w:tcW w:w="1843" w:type="dxa"/>
            <w:vAlign w:val="center"/>
          </w:tcPr>
          <w:p w14:paraId="5BF59028">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7FCC2291">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445480F">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______</w:t>
            </w:r>
            <w:r>
              <w:rPr>
                <w:rFonts w:hint="eastAsia" w:ascii="宋体" w:hAnsi="宋体" w:cs="宋体"/>
                <w:color w:val="auto"/>
                <w:sz w:val="24"/>
                <w:highlight w:val="none"/>
              </w:rPr>
              <w:t>,地点：</w:t>
            </w:r>
            <w:r>
              <w:rPr>
                <w:rFonts w:hint="eastAsia" w:ascii="宋体" w:hAnsi="宋体" w:cs="宋体"/>
                <w:color w:val="auto"/>
                <w:sz w:val="24"/>
                <w:highlight w:val="none"/>
                <w:u w:val="single"/>
              </w:rPr>
              <w:t>______</w:t>
            </w:r>
            <w:r>
              <w:rPr>
                <w:rFonts w:hint="eastAsia" w:ascii="宋体" w:hAnsi="宋体" w:cs="宋体"/>
                <w:color w:val="auto"/>
                <w:sz w:val="24"/>
                <w:highlight w:val="none"/>
              </w:rPr>
              <w:t>，联系人：</w:t>
            </w:r>
            <w:r>
              <w:rPr>
                <w:rFonts w:hint="eastAsia" w:ascii="宋体" w:hAnsi="宋体" w:cs="宋体"/>
                <w:color w:val="auto"/>
                <w:sz w:val="24"/>
                <w:highlight w:val="none"/>
                <w:u w:val="single"/>
              </w:rPr>
              <w:t>___</w:t>
            </w:r>
            <w:r>
              <w:rPr>
                <w:rFonts w:hint="eastAsia" w:ascii="宋体" w:hAnsi="宋体" w:cs="宋体"/>
                <w:color w:val="auto"/>
                <w:sz w:val="24"/>
                <w:highlight w:val="none"/>
              </w:rPr>
              <w:t>，联系方式：</w:t>
            </w:r>
            <w:r>
              <w:rPr>
                <w:rFonts w:hint="eastAsia" w:ascii="宋体" w:hAnsi="宋体" w:cs="宋体"/>
                <w:color w:val="auto"/>
                <w:sz w:val="24"/>
                <w:highlight w:val="none"/>
                <w:u w:val="single"/>
              </w:rPr>
              <w:t>___</w:t>
            </w:r>
            <w:r>
              <w:rPr>
                <w:rFonts w:hint="eastAsia" w:ascii="宋体" w:hAnsi="宋体" w:cs="宋体"/>
                <w:color w:val="auto"/>
                <w:sz w:val="24"/>
                <w:szCs w:val="20"/>
                <w:highlight w:val="none"/>
              </w:rPr>
              <w:t>。</w:t>
            </w:r>
          </w:p>
        </w:tc>
      </w:tr>
      <w:tr w14:paraId="52E1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0E6B9781">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r>
              <w:rPr>
                <w:rFonts w:hint="eastAsia" w:ascii="宋体" w:hAnsi="宋体" w:cs="宋体"/>
                <w:b/>
                <w:bCs w:val="0"/>
                <w:color w:val="auto"/>
                <w:sz w:val="24"/>
                <w:highlight w:val="none"/>
              </w:rPr>
              <w:t>6</w:t>
            </w:r>
          </w:p>
        </w:tc>
        <w:tc>
          <w:tcPr>
            <w:tcW w:w="1843" w:type="dxa"/>
            <w:vAlign w:val="center"/>
          </w:tcPr>
          <w:p w14:paraId="04744200">
            <w:pPr>
              <w:pageBreakBefore w:val="0"/>
              <w:widowControl w:val="0"/>
              <w:kinsoku/>
              <w:wordWrap/>
              <w:overflowPunct/>
              <w:topLinePunct w:val="0"/>
              <w:autoSpaceDE/>
              <w:autoSpaceDN/>
              <w:bidi w:val="0"/>
              <w:snapToGrid w:val="0"/>
              <w:spacing w:line="360" w:lineRule="auto"/>
              <w:ind w:left="0" w:leftChars="0" w:firstLine="0" w:firstLineChars="0"/>
              <w:jc w:val="center"/>
              <w:textAlignment w:val="auto"/>
              <w:rPr>
                <w:rFonts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方案讲解演示</w:t>
            </w:r>
          </w:p>
        </w:tc>
        <w:tc>
          <w:tcPr>
            <w:tcW w:w="6095" w:type="dxa"/>
            <w:vAlign w:val="center"/>
          </w:tcPr>
          <w:p w14:paraId="507F5195">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0252189">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01A28B2">
            <w:pPr>
              <w:keepNext w:val="0"/>
              <w:keepLines w:val="0"/>
              <w:pageBreakBefore w:val="0"/>
              <w:widowControl w:val="0"/>
              <w:kinsoku/>
              <w:wordWrap w:val="0"/>
              <w:overflowPunct/>
              <w:topLinePunct w:val="0"/>
              <w:autoSpaceDE/>
              <w:autoSpaceDN/>
              <w:bidi w:val="0"/>
              <w:adjustRightInd w:val="0"/>
              <w:spacing w:line="420" w:lineRule="exact"/>
              <w:jc w:val="left"/>
              <w:textAlignment w:val="auto"/>
              <w:rPr>
                <w:rFonts w:ascii="宋体" w:hAnsi="宋体" w:eastAsia="宋体" w:cs="宋体"/>
                <w:color w:val="auto"/>
                <w:kern w:val="0"/>
                <w:highlight w:val="none"/>
                <w:lang w:val="zh-CN"/>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zh-CN"/>
              </w:rPr>
              <w:t>本项目有视频</w:t>
            </w:r>
            <w:r>
              <w:rPr>
                <w:rFonts w:hint="eastAsia" w:ascii="宋体" w:hAnsi="宋体" w:eastAsia="宋体" w:cs="宋体"/>
                <w:color w:val="auto"/>
                <w:kern w:val="0"/>
                <w:highlight w:val="none"/>
              </w:rPr>
              <w:t>演示</w:t>
            </w:r>
            <w:r>
              <w:rPr>
                <w:rFonts w:hint="eastAsia" w:ascii="宋体" w:hAnsi="宋体" w:eastAsia="宋体" w:cs="宋体"/>
                <w:color w:val="auto"/>
                <w:kern w:val="0"/>
                <w:highlight w:val="none"/>
                <w:lang w:val="zh-CN"/>
              </w:rPr>
              <w:t>环节，视频演示采用多媒体自动播放方式。演示环节不支持PPT、文档等方式，采用</w:t>
            </w:r>
            <w:r>
              <w:rPr>
                <w:rFonts w:hint="eastAsia" w:ascii="宋体" w:hAnsi="宋体" w:eastAsia="宋体" w:cs="宋体"/>
                <w:color w:val="auto"/>
                <w:kern w:val="0"/>
                <w:highlight w:val="none"/>
                <w:lang w:val="en-US" w:eastAsia="zh-CN"/>
              </w:rPr>
              <w:t>真人</w:t>
            </w:r>
            <w:r>
              <w:rPr>
                <w:rFonts w:hint="eastAsia" w:ascii="宋体" w:hAnsi="宋体" w:eastAsia="宋体" w:cs="宋体"/>
                <w:color w:val="auto"/>
                <w:kern w:val="0"/>
                <w:highlight w:val="none"/>
                <w:lang w:val="zh-CN"/>
              </w:rPr>
              <w:t>实物操作录制视频的方式，时间控制在</w:t>
            </w:r>
            <w:r>
              <w:rPr>
                <w:rFonts w:ascii="宋体" w:hAnsi="宋体" w:eastAsia="宋体" w:cs="宋体"/>
                <w:color w:val="auto"/>
                <w:kern w:val="0"/>
                <w:highlight w:val="none"/>
              </w:rPr>
              <w:t>15</w:t>
            </w:r>
            <w:r>
              <w:rPr>
                <w:rFonts w:hint="eastAsia" w:ascii="宋体" w:hAnsi="宋体" w:eastAsia="宋体" w:cs="宋体"/>
                <w:color w:val="auto"/>
                <w:kern w:val="0"/>
                <w:highlight w:val="none"/>
                <w:lang w:val="zh-CN"/>
              </w:rPr>
              <w:t>分钟以内刻录到U盘中，单独封装提交。视频格式要求为Avi、MP4、MEPG等常用格式。演示环节次序以投标文件解密时间先后次序为准。</w:t>
            </w:r>
          </w:p>
          <w:p w14:paraId="06D70440">
            <w:pPr>
              <w:keepNext w:val="0"/>
              <w:keepLines w:val="0"/>
              <w:pageBreakBefore w:val="0"/>
              <w:widowControl w:val="0"/>
              <w:kinsoku/>
              <w:wordWrap w:val="0"/>
              <w:overflowPunct/>
              <w:topLinePunct w:val="0"/>
              <w:autoSpaceDE/>
              <w:autoSpaceDN/>
              <w:bidi w:val="0"/>
              <w:adjustRightInd w:val="0"/>
              <w:spacing w:line="420" w:lineRule="exact"/>
              <w:jc w:val="left"/>
              <w:textAlignment w:val="auto"/>
              <w:rPr>
                <w:rFonts w:ascii="宋体" w:hAnsi="宋体" w:eastAsia="宋体" w:cs="宋体"/>
                <w:color w:val="auto"/>
                <w:kern w:val="0"/>
                <w:highlight w:val="none"/>
                <w:lang w:val="zh-CN"/>
              </w:rPr>
            </w:pPr>
            <w:r>
              <w:rPr>
                <w:rFonts w:hint="eastAsia" w:ascii="宋体" w:hAnsi="宋体" w:eastAsia="宋体" w:cs="宋体"/>
                <w:color w:val="auto"/>
                <w:kern w:val="0"/>
                <w:highlight w:val="none"/>
                <w:lang w:val="zh-CN"/>
              </w:rPr>
              <w:t>2、演示文件：密封包装后（邮寄形式或现场递交）投标截止时间前递交一份（邮寄接收地址：</w:t>
            </w:r>
            <w:r>
              <w:rPr>
                <w:rFonts w:hint="eastAsia" w:cs="宋体"/>
                <w:color w:val="auto"/>
                <w:kern w:val="0"/>
                <w:highlight w:val="none"/>
                <w:lang w:val="zh-CN"/>
              </w:rPr>
              <w:t>杭州上城区凤起东路211号顺福商务中心3号楼10层事业部六部</w:t>
            </w:r>
            <w:r>
              <w:rPr>
                <w:rFonts w:hint="eastAsia" w:ascii="宋体" w:hAnsi="宋体" w:eastAsia="宋体" w:cs="宋体"/>
                <w:color w:val="auto"/>
                <w:kern w:val="0"/>
                <w:highlight w:val="none"/>
                <w:lang w:val="zh-CN"/>
              </w:rPr>
              <w:t>，</w:t>
            </w:r>
            <w:r>
              <w:rPr>
                <w:rFonts w:hint="eastAsia" w:cs="宋体"/>
                <w:color w:val="auto"/>
                <w:kern w:val="0"/>
                <w:highlight w:val="none"/>
                <w:lang w:val="zh-CN"/>
              </w:rPr>
              <w:t>浙江科佳工程咨询有限公司</w:t>
            </w:r>
            <w:r>
              <w:rPr>
                <w:rFonts w:hint="eastAsia" w:ascii="宋体" w:hAnsi="宋体" w:eastAsia="宋体" w:cs="宋体"/>
                <w:color w:val="auto"/>
                <w:kern w:val="0"/>
                <w:highlight w:val="none"/>
                <w:lang w:val="zh-CN"/>
              </w:rPr>
              <w:t>（</w:t>
            </w:r>
            <w:r>
              <w:rPr>
                <w:rFonts w:hint="eastAsia" w:cs="宋体"/>
                <w:color w:val="auto"/>
                <w:kern w:val="0"/>
                <w:highlight w:val="none"/>
                <w:lang w:val="zh-CN"/>
              </w:rPr>
              <w:t>孙珊珊</w:t>
            </w:r>
            <w:r>
              <w:rPr>
                <w:rFonts w:hint="eastAsia" w:ascii="宋体" w:hAnsi="宋体" w:eastAsia="宋体" w:cs="宋体"/>
                <w:color w:val="auto"/>
                <w:kern w:val="0"/>
                <w:highlight w:val="none"/>
                <w:lang w:val="zh-CN"/>
              </w:rPr>
              <w:t>）收，电话：</w:t>
            </w:r>
            <w:r>
              <w:rPr>
                <w:rFonts w:hint="eastAsia" w:cs="宋体"/>
                <w:color w:val="auto"/>
                <w:kern w:val="0"/>
                <w:highlight w:val="none"/>
                <w:lang w:val="zh-CN"/>
              </w:rPr>
              <w:t>13306518315</w:t>
            </w:r>
            <w:r>
              <w:rPr>
                <w:rFonts w:hint="eastAsia" w:ascii="宋体" w:hAnsi="宋体" w:eastAsia="宋体" w:cs="宋体"/>
                <w:color w:val="auto"/>
                <w:kern w:val="0"/>
                <w:highlight w:val="none"/>
                <w:lang w:val="zh-CN"/>
              </w:rPr>
              <w:t>，寄出后请将</w:t>
            </w:r>
            <w:r>
              <w:rPr>
                <w:rFonts w:hint="eastAsia" w:ascii="宋体" w:hAnsi="宋体" w:eastAsia="宋体" w:cs="宋体"/>
                <w:b/>
                <w:bCs/>
                <w:color w:val="auto"/>
                <w:kern w:val="0"/>
                <w:highlight w:val="none"/>
                <w:lang w:val="zh-CN"/>
              </w:rPr>
              <w:t>（快递单号、项目名称、公司名称、联系方式等相关信息）</w:t>
            </w:r>
            <w:r>
              <w:rPr>
                <w:rFonts w:hint="eastAsia" w:ascii="宋体" w:hAnsi="宋体" w:eastAsia="宋体" w:cs="宋体"/>
                <w:color w:val="auto"/>
                <w:kern w:val="0"/>
                <w:highlight w:val="none"/>
                <w:lang w:val="zh-CN"/>
              </w:rPr>
              <w:t>发至邮箱：</w:t>
            </w:r>
            <w:r>
              <w:rPr>
                <w:rFonts w:hint="eastAsia" w:cs="宋体"/>
                <w:b/>
                <w:bCs/>
                <w:color w:val="auto"/>
                <w:kern w:val="0"/>
                <w:highlight w:val="none"/>
                <w:lang w:val="zh-CN"/>
              </w:rPr>
              <w:t>657983651</w:t>
            </w:r>
            <w:r>
              <w:rPr>
                <w:rFonts w:hint="eastAsia" w:ascii="宋体" w:hAnsi="宋体" w:eastAsia="宋体" w:cs="宋体"/>
                <w:b/>
                <w:bCs/>
                <w:color w:val="auto"/>
                <w:kern w:val="0"/>
                <w:highlight w:val="none"/>
                <w:lang w:val="zh-CN"/>
              </w:rPr>
              <w:t>@qq.com</w:t>
            </w:r>
            <w:r>
              <w:rPr>
                <w:rFonts w:hint="eastAsia" w:ascii="宋体" w:hAnsi="宋体" w:eastAsia="宋体" w:cs="宋体"/>
                <w:color w:val="auto"/>
                <w:kern w:val="0"/>
                <w:highlight w:val="none"/>
                <w:lang w:val="zh-CN"/>
              </w:rPr>
              <w:t>，以便查收）</w:t>
            </w:r>
          </w:p>
          <w:p w14:paraId="46B4D48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left"/>
              <w:textAlignment w:val="auto"/>
              <w:rPr>
                <w:rFonts w:ascii="宋体" w:hAnsi="宋体" w:eastAsia="宋体" w:cs="宋体"/>
                <w:b/>
                <w:color w:val="auto"/>
                <w:kern w:val="0"/>
                <w:sz w:val="24"/>
                <w:szCs w:val="24"/>
                <w:highlight w:val="none"/>
                <w:lang w:val="zh-CN" w:eastAsia="zh-CN" w:bidi="ar-SA"/>
              </w:rPr>
            </w:pPr>
            <w:r>
              <w:rPr>
                <w:rFonts w:hint="eastAsia" w:ascii="宋体" w:hAnsi="宋体" w:eastAsia="宋体" w:cs="宋体"/>
                <w:color w:val="auto"/>
                <w:kern w:val="0"/>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A8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restart"/>
            <w:vAlign w:val="center"/>
          </w:tcPr>
          <w:p w14:paraId="78FE89BD">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eastAsia="宋体" w:cs="宋体"/>
                <w:b/>
                <w:bCs w:val="0"/>
                <w:color w:val="auto"/>
                <w:sz w:val="24"/>
                <w:highlight w:val="none"/>
                <w:lang w:eastAsia="zh-CN"/>
              </w:rPr>
            </w:pPr>
            <w:r>
              <w:rPr>
                <w:rFonts w:hint="eastAsia" w:cs="宋体"/>
                <w:b/>
                <w:bCs w:val="0"/>
                <w:color w:val="auto"/>
                <w:sz w:val="24"/>
                <w:highlight w:val="none"/>
                <w:lang w:val="en-US" w:eastAsia="zh-CN"/>
              </w:rPr>
              <w:t>7</w:t>
            </w:r>
          </w:p>
        </w:tc>
        <w:tc>
          <w:tcPr>
            <w:tcW w:w="1843" w:type="dxa"/>
            <w:vMerge w:val="restart"/>
            <w:vAlign w:val="center"/>
          </w:tcPr>
          <w:p w14:paraId="1B6DD5EC">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5865DDA5">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15EEF15">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snapToGrid w:val="0"/>
                <w:color w:val="auto"/>
                <w:kern w:val="0"/>
                <w:szCs w:val="21"/>
                <w:highlight w:val="none"/>
              </w:rPr>
            </w:pPr>
            <w:r>
              <w:rPr>
                <w:rFonts w:hint="eastAsia" w:ascii="宋体" w:hAnsi="宋体" w:cs="宋体"/>
                <w:b/>
                <w:bCs/>
                <w:color w:val="auto"/>
                <w:kern w:val="0"/>
                <w:sz w:val="24"/>
                <w:highlight w:val="none"/>
                <w:lang w:val="zh-CN"/>
              </w:rPr>
              <w:t>投标人未提供有效的资格证明文件的，视为投标人不具备招标文件中规定的资格要求，投标无效。</w:t>
            </w:r>
          </w:p>
        </w:tc>
      </w:tr>
      <w:tr w14:paraId="79D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continue"/>
            <w:vAlign w:val="center"/>
          </w:tcPr>
          <w:p w14:paraId="02D03D86">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p>
        </w:tc>
        <w:tc>
          <w:tcPr>
            <w:tcW w:w="1843" w:type="dxa"/>
            <w:vMerge w:val="continue"/>
            <w:vAlign w:val="center"/>
          </w:tcPr>
          <w:p w14:paraId="4801A81D">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p>
        </w:tc>
        <w:tc>
          <w:tcPr>
            <w:tcW w:w="6095" w:type="dxa"/>
            <w:vAlign w:val="center"/>
          </w:tcPr>
          <w:p w14:paraId="41365C70">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B04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trPr>
        <w:tc>
          <w:tcPr>
            <w:tcW w:w="629" w:type="dxa"/>
            <w:vAlign w:val="center"/>
          </w:tcPr>
          <w:p w14:paraId="217B2620">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eastAsia="宋体" w:cs="宋体"/>
                <w:b/>
                <w:bCs w:val="0"/>
                <w:color w:val="auto"/>
                <w:sz w:val="24"/>
                <w:highlight w:val="none"/>
                <w:lang w:eastAsia="zh-CN"/>
              </w:rPr>
            </w:pPr>
            <w:r>
              <w:rPr>
                <w:rFonts w:hint="eastAsia" w:cs="宋体"/>
                <w:b/>
                <w:bCs w:val="0"/>
                <w:color w:val="auto"/>
                <w:sz w:val="24"/>
                <w:highlight w:val="none"/>
                <w:lang w:val="en-US" w:eastAsia="zh-CN"/>
              </w:rPr>
              <w:t>8</w:t>
            </w:r>
          </w:p>
        </w:tc>
        <w:tc>
          <w:tcPr>
            <w:tcW w:w="1843" w:type="dxa"/>
            <w:vAlign w:val="center"/>
          </w:tcPr>
          <w:p w14:paraId="48971038">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3056405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jc w:val="left"/>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8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1F7B6D92">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eastAsia="宋体" w:cs="宋体"/>
                <w:b/>
                <w:bCs w:val="0"/>
                <w:color w:val="auto"/>
                <w:sz w:val="24"/>
                <w:highlight w:val="none"/>
                <w:lang w:eastAsia="zh-CN"/>
              </w:rPr>
            </w:pPr>
            <w:r>
              <w:rPr>
                <w:rFonts w:hint="eastAsia" w:cs="宋体"/>
                <w:b/>
                <w:bCs w:val="0"/>
                <w:color w:val="auto"/>
                <w:sz w:val="24"/>
                <w:highlight w:val="none"/>
                <w:lang w:val="en-US" w:eastAsia="zh-CN"/>
              </w:rPr>
              <w:t>9</w:t>
            </w:r>
          </w:p>
        </w:tc>
        <w:tc>
          <w:tcPr>
            <w:tcW w:w="1843" w:type="dxa"/>
            <w:vAlign w:val="center"/>
          </w:tcPr>
          <w:p w14:paraId="3F4192C7">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374CBCFE">
            <w:pPr>
              <w:pageBreakBefore w:val="0"/>
              <w:widowControl w:val="0"/>
              <w:kinsoku/>
              <w:wordWrap/>
              <w:overflowPunct/>
              <w:topLinePunct w:val="0"/>
              <w:autoSpaceDE/>
              <w:autoSpaceDN/>
              <w:bidi w:val="0"/>
              <w:snapToGrid w:val="0"/>
              <w:spacing w:line="360" w:lineRule="auto"/>
              <w:ind w:left="0" w:firstLine="0" w:firstLineChars="0"/>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5111392">
            <w:pPr>
              <w:pageBreakBefore w:val="0"/>
              <w:widowControl w:val="0"/>
              <w:kinsoku/>
              <w:wordWrap/>
              <w:overflowPunct/>
              <w:topLinePunct w:val="0"/>
              <w:autoSpaceDE/>
              <w:autoSpaceDN/>
              <w:bidi w:val="0"/>
              <w:snapToGrid w:val="0"/>
              <w:spacing w:line="360" w:lineRule="auto"/>
              <w:ind w:left="0" w:firstLine="0" w:firstLineChars="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05DF10A">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A3B7783">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D96A7F">
            <w:pPr>
              <w:keepNext w:val="0"/>
              <w:keepLines w:val="0"/>
              <w:pageBreakBefore w:val="0"/>
              <w:widowControl w:val="0"/>
              <w:kinsoku/>
              <w:wordWrap/>
              <w:overflowPunct/>
              <w:topLinePunct w:val="0"/>
              <w:autoSpaceDE/>
              <w:autoSpaceDN/>
              <w:bidi w:val="0"/>
              <w:adjustRightInd w:val="0"/>
              <w:spacing w:line="360" w:lineRule="auto"/>
              <w:ind w:left="0" w:firstLine="482" w:firstLineChars="200"/>
              <w:jc w:val="left"/>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1D9746E">
            <w:pPr>
              <w:keepNext w:val="0"/>
              <w:keepLines w:val="0"/>
              <w:pageBreakBefore w:val="0"/>
              <w:widowControl w:val="0"/>
              <w:kinsoku/>
              <w:wordWrap/>
              <w:overflowPunct/>
              <w:topLinePunct w:val="0"/>
              <w:autoSpaceDE/>
              <w:autoSpaceDN/>
              <w:bidi w:val="0"/>
              <w:adjustRightInd w:val="0"/>
              <w:spacing w:line="360" w:lineRule="auto"/>
              <w:ind w:left="0" w:firstLine="482" w:firstLineChars="200"/>
              <w:jc w:val="left"/>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A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63E9BDB5">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1</w:t>
            </w:r>
            <w:r>
              <w:rPr>
                <w:rFonts w:hint="eastAsia" w:cs="宋体"/>
                <w:b/>
                <w:bCs w:val="0"/>
                <w:color w:val="auto"/>
                <w:sz w:val="24"/>
                <w:highlight w:val="none"/>
                <w:lang w:val="en-US" w:eastAsia="zh-CN"/>
              </w:rPr>
              <w:t>0</w:t>
            </w:r>
          </w:p>
        </w:tc>
        <w:tc>
          <w:tcPr>
            <w:tcW w:w="1843" w:type="dxa"/>
            <w:vAlign w:val="center"/>
          </w:tcPr>
          <w:p w14:paraId="3CFD5A29">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7C9CB7FF">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5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22AD66D2">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1</w:t>
            </w:r>
            <w:r>
              <w:rPr>
                <w:rFonts w:hint="eastAsia" w:cs="宋体"/>
                <w:b/>
                <w:bCs w:val="0"/>
                <w:color w:val="auto"/>
                <w:sz w:val="24"/>
                <w:highlight w:val="none"/>
                <w:lang w:val="en-US" w:eastAsia="zh-CN"/>
              </w:rPr>
              <w:t>1</w:t>
            </w:r>
          </w:p>
        </w:tc>
        <w:tc>
          <w:tcPr>
            <w:tcW w:w="1843" w:type="dxa"/>
            <w:vAlign w:val="center"/>
          </w:tcPr>
          <w:p w14:paraId="1AC3935C">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vAlign w:val="center"/>
          </w:tcPr>
          <w:p w14:paraId="2CD2DD70">
            <w:pPr>
              <w:keepNext w:val="0"/>
              <w:keepLines w:val="0"/>
              <w:pageBreakBefore w:val="0"/>
              <w:widowControl w:val="0"/>
              <w:kinsoku/>
              <w:wordWrap w:val="0"/>
              <w:overflowPunct/>
              <w:topLinePunct w:val="0"/>
              <w:autoSpaceDE/>
              <w:autoSpaceDN/>
              <w:bidi w:val="0"/>
              <w:adjustRightInd w:val="0"/>
              <w:snapToGrid/>
              <w:spacing w:line="360" w:lineRule="auto"/>
              <w:ind w:left="0" w:firstLine="0" w:firstLineChars="0"/>
              <w:jc w:val="left"/>
              <w:textAlignment w:val="auto"/>
              <w:rPr>
                <w:rFonts w:hAnsi="宋体" w:cs="宋体"/>
                <w:color w:val="auto"/>
                <w:kern w:val="28"/>
                <w:sz w:val="24"/>
                <w:highlight w:val="none"/>
              </w:rPr>
            </w:pPr>
            <w:r>
              <w:rPr>
                <w:rFonts w:hint="eastAsia" w:ascii="宋体" w:hAnsi="宋体" w:eastAsia="宋体" w:cs="宋体"/>
                <w:snapToGrid w:val="0"/>
                <w:color w:val="auto"/>
                <w:kern w:val="28"/>
                <w:sz w:val="24"/>
                <w:highlight w:val="none"/>
              </w:rPr>
              <w:t>备份投标文件送达地点：</w:t>
            </w:r>
            <w:r>
              <w:rPr>
                <w:rFonts w:hint="eastAsia" w:cs="宋体"/>
                <w:snapToGrid w:val="0"/>
                <w:color w:val="auto"/>
                <w:kern w:val="28"/>
                <w:sz w:val="24"/>
                <w:highlight w:val="none"/>
                <w:u w:val="single"/>
                <w:lang w:eastAsia="zh-CN"/>
              </w:rPr>
              <w:t>杭州上城区凤起东路211号顺福商务中心3号楼10层事业部六部</w:t>
            </w:r>
            <w:r>
              <w:rPr>
                <w:rFonts w:hint="eastAsia" w:ascii="宋体" w:hAnsi="宋体" w:eastAsia="宋体" w:cs="宋体"/>
                <w:snapToGrid w:val="0"/>
                <w:color w:val="auto"/>
                <w:kern w:val="28"/>
                <w:sz w:val="24"/>
                <w:highlight w:val="none"/>
              </w:rPr>
              <w:t>；备份投标文件签收人员联系电话：</w:t>
            </w:r>
            <w:r>
              <w:rPr>
                <w:rFonts w:hint="eastAsia" w:cs="宋体"/>
                <w:snapToGrid w:val="0"/>
                <w:color w:val="auto"/>
                <w:kern w:val="28"/>
                <w:sz w:val="24"/>
                <w:highlight w:val="none"/>
                <w:u w:val="single"/>
                <w:lang w:eastAsia="zh-CN"/>
              </w:rPr>
              <w:t>孙珊珊13306518315</w:t>
            </w:r>
            <w:r>
              <w:rPr>
                <w:rFonts w:hint="eastAsia" w:ascii="宋体" w:hAnsi="宋体" w:eastAsia="宋体" w:cs="宋体"/>
                <w:snapToGrid w:val="0"/>
                <w:color w:val="auto"/>
                <w:kern w:val="28"/>
                <w:sz w:val="24"/>
                <w:highlight w:val="none"/>
              </w:rPr>
              <w:t>。</w:t>
            </w:r>
            <w:r>
              <w:rPr>
                <w:rFonts w:hint="eastAsia" w:ascii="宋体" w:hAnsi="宋体" w:eastAsia="宋体" w:cs="宋体"/>
                <w:b/>
                <w:bCs/>
                <w:snapToGrid w:val="0"/>
                <w:color w:val="auto"/>
                <w:kern w:val="28"/>
                <w:sz w:val="24"/>
                <w:highlight w:val="none"/>
              </w:rPr>
              <w:t>采购人、采购代理机构不强制或变相强制投标人提交备份投标文件。</w:t>
            </w:r>
          </w:p>
        </w:tc>
      </w:tr>
      <w:tr w14:paraId="0FF2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Align w:val="center"/>
          </w:tcPr>
          <w:p w14:paraId="6545D467">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default" w:ascii="宋体" w:hAnsi="宋体" w:eastAsia="宋体" w:cs="宋体"/>
                <w:b/>
                <w:bCs w:val="0"/>
                <w:color w:val="auto"/>
                <w:sz w:val="24"/>
                <w:highlight w:val="none"/>
                <w:lang w:val="en-US" w:eastAsia="zh-CN"/>
              </w:rPr>
            </w:pPr>
            <w:r>
              <w:rPr>
                <w:rFonts w:hint="eastAsia" w:cs="宋体"/>
                <w:b/>
                <w:bCs w:val="0"/>
                <w:color w:val="auto"/>
                <w:sz w:val="24"/>
                <w:highlight w:val="none"/>
                <w:lang w:val="en-US" w:eastAsia="zh-CN"/>
              </w:rPr>
              <w:t>12</w:t>
            </w:r>
          </w:p>
        </w:tc>
        <w:tc>
          <w:tcPr>
            <w:tcW w:w="1843" w:type="dxa"/>
            <w:vAlign w:val="center"/>
          </w:tcPr>
          <w:p w14:paraId="7844BD8E">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vAlign w:val="center"/>
          </w:tcPr>
          <w:p w14:paraId="641876CF">
            <w:pPr>
              <w:widowControl w:val="0"/>
              <w:adjustRightInd w:val="0"/>
              <w:spacing w:line="360" w:lineRule="auto"/>
              <w:jc w:val="both"/>
              <w:rPr>
                <w:rFonts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本项目采购代理服务费按《发改价格[2011]534号》号文件收费标准的7</w:t>
            </w:r>
            <w:r>
              <w:rPr>
                <w:rFonts w:hint="eastAsia" w:cs="宋体"/>
                <w:snapToGrid w:val="0"/>
                <w:color w:val="auto"/>
                <w:kern w:val="2"/>
                <w:sz w:val="24"/>
                <w:szCs w:val="21"/>
                <w:highlight w:val="none"/>
                <w:lang w:val="en-US" w:eastAsia="zh-CN" w:bidi="ar-SA"/>
              </w:rPr>
              <w:t>2</w:t>
            </w:r>
            <w:r>
              <w:rPr>
                <w:rFonts w:hint="eastAsia" w:ascii="宋体" w:hAnsi="宋体" w:eastAsia="宋体" w:cs="宋体"/>
                <w:snapToGrid w:val="0"/>
                <w:color w:val="auto"/>
                <w:kern w:val="2"/>
                <w:sz w:val="24"/>
                <w:szCs w:val="21"/>
                <w:highlight w:val="none"/>
                <w:lang w:val="en-US" w:eastAsia="zh-CN" w:bidi="ar-SA"/>
              </w:rPr>
              <w:t>%计取招标代理费，由成交单位在领取成交通知书时向采购代理公司支付。</w:t>
            </w:r>
          </w:p>
          <w:p w14:paraId="4D3BBD03">
            <w:pPr>
              <w:widowControl w:val="0"/>
              <w:adjustRightInd w:val="0"/>
              <w:spacing w:line="360" w:lineRule="auto"/>
              <w:jc w:val="both"/>
              <w:rPr>
                <w:rFonts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采购代理服务费缴纳形式：汇票/支票/电汇/现金</w:t>
            </w:r>
          </w:p>
          <w:p w14:paraId="0F145B5F">
            <w:pPr>
              <w:widowControl w:val="0"/>
              <w:adjustRightInd w:val="0"/>
              <w:spacing w:line="360" w:lineRule="auto"/>
              <w:jc w:val="both"/>
              <w:rPr>
                <w:rFonts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收款单位（户名）：</w:t>
            </w:r>
            <w:r>
              <w:rPr>
                <w:rFonts w:hint="eastAsia" w:cs="宋体"/>
                <w:snapToGrid w:val="0"/>
                <w:color w:val="auto"/>
                <w:kern w:val="2"/>
                <w:sz w:val="24"/>
                <w:szCs w:val="21"/>
                <w:highlight w:val="none"/>
                <w:lang w:val="en-US" w:eastAsia="zh-CN" w:bidi="ar-SA"/>
              </w:rPr>
              <w:t>浙江科佳工程咨询有限公司</w:t>
            </w:r>
          </w:p>
          <w:p w14:paraId="393A5804">
            <w:pPr>
              <w:widowControl w:val="0"/>
              <w:adjustRightInd w:val="0"/>
              <w:spacing w:line="360" w:lineRule="auto"/>
              <w:jc w:val="both"/>
              <w:rPr>
                <w:rFonts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开户银行：</w:t>
            </w:r>
            <w:r>
              <w:rPr>
                <w:rFonts w:hint="eastAsia" w:cs="宋体"/>
                <w:snapToGrid w:val="0"/>
                <w:color w:val="auto"/>
                <w:kern w:val="2"/>
                <w:sz w:val="24"/>
                <w:szCs w:val="21"/>
                <w:highlight w:val="none"/>
                <w:lang w:val="en-US" w:eastAsia="zh-CN" w:bidi="ar-SA"/>
              </w:rPr>
              <w:t>中信银行杭州天水支行</w:t>
            </w:r>
          </w:p>
          <w:p w14:paraId="1C709E07">
            <w:pPr>
              <w:widowControl w:val="0"/>
              <w:adjustRightInd w:val="0"/>
              <w:spacing w:line="360" w:lineRule="auto"/>
              <w:jc w:val="both"/>
              <w:rPr>
                <w:rFonts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银行账号：</w:t>
            </w:r>
            <w:r>
              <w:rPr>
                <w:rFonts w:hint="eastAsia" w:cs="宋体"/>
                <w:snapToGrid w:val="0"/>
                <w:color w:val="auto"/>
                <w:kern w:val="2"/>
                <w:sz w:val="24"/>
                <w:szCs w:val="21"/>
                <w:highlight w:val="none"/>
                <w:lang w:val="en-US" w:eastAsia="zh-CN" w:bidi="ar-SA"/>
              </w:rPr>
              <w:t>7331110182600053000</w:t>
            </w:r>
          </w:p>
          <w:p w14:paraId="77FFE44A">
            <w:pPr>
              <w:widowControl w:val="0"/>
              <w:adjustRightInd w:val="0"/>
              <w:spacing w:line="360" w:lineRule="auto"/>
              <w:jc w:val="both"/>
              <w:rPr>
                <w:rFonts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行    号：</w:t>
            </w:r>
            <w:r>
              <w:rPr>
                <w:rFonts w:hint="eastAsia" w:cs="宋体"/>
                <w:snapToGrid w:val="0"/>
                <w:color w:val="auto"/>
                <w:kern w:val="2"/>
                <w:sz w:val="24"/>
                <w:szCs w:val="21"/>
                <w:highlight w:val="none"/>
                <w:lang w:val="en-US" w:eastAsia="zh-CN" w:bidi="ar-SA"/>
              </w:rPr>
              <w:t>302331033119</w:t>
            </w:r>
          </w:p>
          <w:p w14:paraId="6F82F2EB">
            <w:pPr>
              <w:keepNext w:val="0"/>
              <w:keepLines w:val="0"/>
              <w:pageBreakBefore w:val="0"/>
              <w:widowControl w:val="0"/>
              <w:kinsoku/>
              <w:wordWrap w:val="0"/>
              <w:overflowPunct/>
              <w:topLinePunct w:val="0"/>
              <w:autoSpaceDE/>
              <w:autoSpaceDN/>
              <w:bidi w:val="0"/>
              <w:adjustRightInd w:val="0"/>
              <w:snapToGrid/>
              <w:spacing w:line="360" w:lineRule="auto"/>
              <w:ind w:left="0" w:firstLine="0" w:firstLineChars="0"/>
              <w:jc w:val="left"/>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
                <w:sz w:val="24"/>
                <w:szCs w:val="21"/>
                <w:highlight w:val="none"/>
                <w:lang w:val="en-US" w:eastAsia="zh-CN" w:bidi="ar-SA"/>
              </w:rPr>
              <w:t>中标人在成交结果公告发出后15日内未支付代理服务费，须承担代理服务费每日百分之三的违约金，逾期十日未支付的，采购代理机构有权向杭州仲裁委员会对中标人提起仲裁，仲裁费用（包括仲裁受理费和仲裁处理费）均由中标人承担。</w:t>
            </w:r>
          </w:p>
        </w:tc>
      </w:tr>
      <w:tr w14:paraId="6EB9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4" w:hRule="atLeast"/>
        </w:trPr>
        <w:tc>
          <w:tcPr>
            <w:tcW w:w="629" w:type="dxa"/>
            <w:vMerge w:val="restart"/>
            <w:vAlign w:val="center"/>
          </w:tcPr>
          <w:p w14:paraId="112CB3E6">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1</w:t>
            </w:r>
            <w:r>
              <w:rPr>
                <w:rFonts w:hint="eastAsia" w:cs="宋体"/>
                <w:b/>
                <w:bCs w:val="0"/>
                <w:color w:val="auto"/>
                <w:sz w:val="24"/>
                <w:highlight w:val="none"/>
                <w:lang w:val="en-US" w:eastAsia="zh-CN"/>
              </w:rPr>
              <w:t>3</w:t>
            </w:r>
          </w:p>
        </w:tc>
        <w:tc>
          <w:tcPr>
            <w:tcW w:w="1843" w:type="dxa"/>
            <w:vMerge w:val="restart"/>
            <w:vAlign w:val="center"/>
          </w:tcPr>
          <w:p w14:paraId="07037F88">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24272002">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4BA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29" w:type="dxa"/>
            <w:vMerge w:val="continue"/>
            <w:vAlign w:val="center"/>
          </w:tcPr>
          <w:p w14:paraId="516B0563">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bCs w:val="0"/>
                <w:color w:val="auto"/>
                <w:sz w:val="24"/>
                <w:highlight w:val="none"/>
              </w:rPr>
            </w:pPr>
          </w:p>
        </w:tc>
        <w:tc>
          <w:tcPr>
            <w:tcW w:w="1843" w:type="dxa"/>
            <w:vMerge w:val="continue"/>
            <w:vAlign w:val="center"/>
          </w:tcPr>
          <w:p w14:paraId="65E7008F">
            <w:pPr>
              <w:pageBreakBefore w:val="0"/>
              <w:widowControl w:val="0"/>
              <w:kinsoku/>
              <w:wordWrap/>
              <w:overflowPunct/>
              <w:topLinePunct w:val="0"/>
              <w:autoSpaceDE/>
              <w:autoSpaceDN/>
              <w:bidi w:val="0"/>
              <w:snapToGrid w:val="0"/>
              <w:spacing w:line="360" w:lineRule="auto"/>
              <w:ind w:left="0" w:firstLine="0" w:firstLineChars="0"/>
              <w:jc w:val="center"/>
              <w:textAlignment w:val="auto"/>
              <w:rPr>
                <w:rFonts w:ascii="宋体" w:hAnsi="宋体" w:cs="宋体"/>
                <w:b/>
                <w:color w:val="auto"/>
                <w:sz w:val="24"/>
                <w:highlight w:val="none"/>
              </w:rPr>
            </w:pPr>
          </w:p>
        </w:tc>
        <w:tc>
          <w:tcPr>
            <w:tcW w:w="6095" w:type="dxa"/>
            <w:vAlign w:val="center"/>
          </w:tcPr>
          <w:p w14:paraId="4E9831B0">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E2F4C6E">
            <w:pPr>
              <w:pageBreakBefore w:val="0"/>
              <w:widowControl w:val="0"/>
              <w:kinsoku/>
              <w:wordWrap/>
              <w:overflowPunct/>
              <w:topLinePunct w:val="0"/>
              <w:autoSpaceDE/>
              <w:autoSpaceDN/>
              <w:bidi w:val="0"/>
              <w:spacing w:line="360" w:lineRule="auto"/>
              <w:ind w:left="0" w:firstLine="0" w:firstLineChars="0"/>
              <w:jc w:val="lef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51A7872E">
      <w:pPr>
        <w:rPr>
          <w:rFonts w:hint="eastAsia"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br w:type="page"/>
      </w:r>
    </w:p>
    <w:p w14:paraId="7DEEF57F">
      <w:pPr>
        <w:pStyle w:val="3"/>
        <w:bidi w:val="0"/>
        <w:rPr>
          <w:color w:val="auto"/>
          <w:highlight w:val="none"/>
        </w:rPr>
      </w:pPr>
      <w:r>
        <w:rPr>
          <w:rFonts w:hint="eastAsia"/>
          <w:color w:val="auto"/>
          <w:highlight w:val="none"/>
        </w:rPr>
        <w:t>一、总则</w:t>
      </w:r>
    </w:p>
    <w:p w14:paraId="6B70117C">
      <w:pPr>
        <w:rPr>
          <w:b/>
          <w:bCs/>
          <w:color w:val="auto"/>
          <w:highlight w:val="none"/>
        </w:rPr>
      </w:pPr>
      <w:r>
        <w:rPr>
          <w:rFonts w:hint="eastAsia"/>
          <w:b/>
          <w:bCs/>
          <w:color w:val="auto"/>
          <w:highlight w:val="none"/>
        </w:rPr>
        <w:t>1. 适用范围</w:t>
      </w:r>
    </w:p>
    <w:p w14:paraId="78E03137">
      <w:pPr>
        <w:pageBreakBefore w:val="0"/>
        <w:kinsoku/>
        <w:wordWrap/>
        <w:overflowPunct/>
        <w:topLinePunct w:val="0"/>
        <w:bidi w:val="0"/>
        <w:snapToGrid w:val="0"/>
        <w:spacing w:beforeAutospacing="0" w:line="360" w:lineRule="auto"/>
        <w:ind w:left="0" w:leftChars="0"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4CC1CEC">
      <w:pPr>
        <w:rPr>
          <w:rFonts w:hint="eastAsia" w:ascii="宋体" w:hAnsi="宋体" w:eastAsia="宋体" w:cs="宋体"/>
          <w:b/>
          <w:bCs/>
          <w:color w:val="auto"/>
          <w:highlight w:val="none"/>
        </w:rPr>
      </w:pPr>
      <w:r>
        <w:rPr>
          <w:rFonts w:hint="eastAsia" w:ascii="宋体" w:hAnsi="宋体" w:eastAsia="宋体" w:cs="宋体"/>
          <w:b/>
          <w:bCs/>
          <w:color w:val="auto"/>
          <w:highlight w:val="none"/>
        </w:rPr>
        <w:t>2.定义</w:t>
      </w:r>
    </w:p>
    <w:p w14:paraId="46E496BF">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0FD30E9">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815EE9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9B9FBD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C1D89E0">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680E2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204178C9">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 系指不适用本项目的要求。</w:t>
      </w:r>
    </w:p>
    <w:p w14:paraId="08AB4B29">
      <w:pPr>
        <w:rPr>
          <w:rFonts w:hint="eastAsia" w:ascii="宋体" w:hAnsi="宋体" w:eastAsia="宋体" w:cs="宋体"/>
          <w:b/>
          <w:bCs/>
          <w:color w:val="auto"/>
          <w:highlight w:val="none"/>
        </w:rPr>
      </w:pPr>
      <w:r>
        <w:rPr>
          <w:rFonts w:hint="eastAsia" w:ascii="宋体" w:hAnsi="宋体" w:eastAsia="宋体" w:cs="宋体"/>
          <w:b/>
          <w:bCs/>
          <w:color w:val="auto"/>
          <w:highlight w:val="none"/>
        </w:rPr>
        <w:t>3. 采购项目需要落实的政府采购政策</w:t>
      </w:r>
    </w:p>
    <w:p w14:paraId="153CAE3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不会对其加以限制，仍将按照公平竞争原则实施采购）；优先采购向我国企业转让技术、与我国企业签订消化吸收再创新方案的供应商的进口产品。</w:t>
      </w:r>
    </w:p>
    <w:p w14:paraId="3842EB6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F2D656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CC2CB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4BCF94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010A8A">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DAF107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D6D15E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D44F9B">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B52074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1E08E2A">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2D9BB49A">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686CCF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F2137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DFD44A">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F92CA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9C2389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44B746B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7F1E69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045A96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 xml:space="preserve">3.4.3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602C801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color w:val="auto"/>
          <w:highlight w:val="none"/>
        </w:rPr>
      </w:pPr>
      <w:r>
        <w:rPr>
          <w:rFonts w:hint="eastAsia"/>
          <w:color w:val="auto"/>
          <w:highlight w:val="none"/>
        </w:rPr>
        <w:t>3.5平等对待内外资企业和符合条件的破产重整企业平等对待内外资企业和符合条件的破产重整企业，切实保障企业公平竞争，平等维护企业的合法利益。</w:t>
      </w:r>
    </w:p>
    <w:p w14:paraId="2DBB75B5">
      <w:pPr>
        <w:rPr>
          <w:rFonts w:hint="eastAsia" w:ascii="宋体" w:hAnsi="宋体" w:eastAsia="宋体" w:cs="宋体"/>
          <w:b/>
          <w:bCs/>
          <w:color w:val="auto"/>
          <w:highlight w:val="none"/>
        </w:rPr>
      </w:pPr>
      <w:r>
        <w:rPr>
          <w:rFonts w:hint="eastAsia" w:ascii="宋体" w:hAnsi="宋体" w:eastAsia="宋体" w:cs="宋体"/>
          <w:b/>
          <w:bCs/>
          <w:color w:val="auto"/>
          <w:highlight w:val="none"/>
        </w:rPr>
        <w:t>4. 询问、质疑、投诉</w:t>
      </w:r>
    </w:p>
    <w:p w14:paraId="6C0CEDB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2C566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4.2供应商询问</w:t>
      </w:r>
    </w:p>
    <w:p w14:paraId="05EA0D8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D409C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4.3供应商质疑</w:t>
      </w:r>
    </w:p>
    <w:p w14:paraId="1C58D03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96FADB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7B8715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2C93819">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465A94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CD5824D">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709356B">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598376CE">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F706FAC">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58F6FBD6">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5123E752">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C4AB4A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64A1146">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质疑函范本及制作说明详见附件2。</w:t>
      </w:r>
    </w:p>
    <w:p w14:paraId="10B04AF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4.3.4对同一采购程序环节的质疑，供应商须在法定质疑期内一次性提出。</w:t>
      </w:r>
    </w:p>
    <w:p w14:paraId="37F8669F">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.5采购人或者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质疑回复后在浙江政府采购网的“其他公告”栏目公开质疑答复，答复内容应当完整。质疑函作为附件上传。</w:t>
      </w:r>
    </w:p>
    <w:p w14:paraId="7FC4EC9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26DFAC90">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25A0E740">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5D3A212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378307B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4.4.3供应商投诉应当有明确的请求和必要的证明材料。</w:t>
      </w:r>
    </w:p>
    <w:p w14:paraId="1DBBF3C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4.4.4以联合体形式参加政府采购活动的，其投诉应当由组成联合体的所有供应商共同提出。</w:t>
      </w:r>
    </w:p>
    <w:p w14:paraId="0D2B0E6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B2F53A2">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投诉书范本及制作说明详见附件3。</w:t>
      </w:r>
    </w:p>
    <w:p w14:paraId="51503E4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p>
    <w:p w14:paraId="08D44DAD">
      <w:pPr>
        <w:pStyle w:val="3"/>
        <w:bidi w:val="0"/>
        <w:rPr>
          <w:rFonts w:hint="eastAsia"/>
          <w:color w:val="auto"/>
          <w:highlight w:val="none"/>
        </w:rPr>
      </w:pPr>
      <w:r>
        <w:rPr>
          <w:rFonts w:hint="eastAsia"/>
          <w:color w:val="auto"/>
          <w:highlight w:val="none"/>
        </w:rPr>
        <w:t>二、招标文件的构成、澄清、修改</w:t>
      </w:r>
    </w:p>
    <w:p w14:paraId="0801CFCB">
      <w:pPr>
        <w:rPr>
          <w:rFonts w:hint="eastAsia" w:ascii="宋体" w:hAnsi="宋体" w:eastAsia="宋体" w:cs="宋体"/>
          <w:b/>
          <w:bCs/>
          <w:color w:val="auto"/>
          <w:highlight w:val="none"/>
        </w:rPr>
      </w:pPr>
      <w:r>
        <w:rPr>
          <w:rFonts w:hint="eastAsia" w:ascii="宋体" w:hAnsi="宋体" w:eastAsia="宋体" w:cs="宋体"/>
          <w:b/>
          <w:bCs/>
          <w:color w:val="auto"/>
          <w:highlight w:val="none"/>
        </w:rPr>
        <w:t>5．招标文件的构成</w:t>
      </w:r>
    </w:p>
    <w:p w14:paraId="286E281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招标文件包括下列文件及附件：</w:t>
      </w:r>
    </w:p>
    <w:p w14:paraId="1E59A4B9">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5.1.1招标公告；</w:t>
      </w:r>
    </w:p>
    <w:p w14:paraId="4A9F2D23">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5.1.2投标人须知；</w:t>
      </w:r>
    </w:p>
    <w:p w14:paraId="50E2D218">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5.1.3采购需求；</w:t>
      </w:r>
    </w:p>
    <w:p w14:paraId="68DF551E">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5.1.4评标办法；</w:t>
      </w:r>
    </w:p>
    <w:p w14:paraId="22F335EB">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5.1.5拟签订的合同文本；</w:t>
      </w:r>
    </w:p>
    <w:p w14:paraId="23E85722">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5.1.6应提交的有关格式范例。</w:t>
      </w:r>
    </w:p>
    <w:p w14:paraId="06C2CBB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5.2与本项目有关的澄清或者修改的内容为招标文件的组成部分。</w:t>
      </w:r>
    </w:p>
    <w:p w14:paraId="08B299A6">
      <w:pPr>
        <w:rPr>
          <w:rFonts w:hint="eastAsia" w:ascii="宋体" w:hAnsi="宋体" w:eastAsia="宋体" w:cs="宋体"/>
          <w:b/>
          <w:bCs/>
          <w:color w:val="auto"/>
          <w:highlight w:val="none"/>
        </w:rPr>
      </w:pPr>
      <w:r>
        <w:rPr>
          <w:rFonts w:hint="eastAsia" w:ascii="宋体" w:hAnsi="宋体" w:eastAsia="宋体" w:cs="宋体"/>
          <w:b/>
          <w:bCs/>
          <w:color w:val="auto"/>
          <w:highlight w:val="none"/>
        </w:rPr>
        <w:t>6. 招标文件的澄清、修改</w:t>
      </w:r>
    </w:p>
    <w:p w14:paraId="605BDEB6">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6.1已获取招标文件的潜在投标人，若有问题需要澄清，应于投标截止</w:t>
      </w:r>
      <w:bookmarkStart w:id="409" w:name="_GoBack"/>
      <w:r>
        <w:rPr>
          <w:rFonts w:hint="eastAsia" w:ascii="宋体" w:hAnsi="宋体" w:eastAsia="宋体" w:cs="宋体"/>
          <w:color w:val="auto"/>
          <w:sz w:val="24"/>
          <w:highlight w:val="none"/>
        </w:rPr>
        <w:t>时间</w:t>
      </w:r>
      <w:bookmarkEnd w:id="409"/>
      <w:r>
        <w:rPr>
          <w:rFonts w:hint="eastAsia" w:ascii="宋体" w:hAnsi="宋体" w:eastAsia="宋体" w:cs="宋体"/>
          <w:color w:val="auto"/>
          <w:sz w:val="24"/>
          <w:highlight w:val="none"/>
        </w:rPr>
        <w:t>前，以书面形式向</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w:t>
      </w:r>
    </w:p>
    <w:p w14:paraId="0A14066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9C4B09">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en-US"/>
        </w:rPr>
      </w:pPr>
    </w:p>
    <w:p w14:paraId="42876F92">
      <w:pPr>
        <w:pStyle w:val="3"/>
        <w:bidi w:val="0"/>
        <w:rPr>
          <w:rFonts w:hint="eastAsia"/>
          <w:color w:val="auto"/>
          <w:highlight w:val="none"/>
        </w:rPr>
      </w:pPr>
      <w:r>
        <w:rPr>
          <w:rFonts w:hint="eastAsia"/>
          <w:color w:val="auto"/>
          <w:highlight w:val="none"/>
        </w:rPr>
        <w:t>三、投标</w:t>
      </w:r>
    </w:p>
    <w:p w14:paraId="44AA1755">
      <w:pPr>
        <w:rPr>
          <w:rFonts w:hint="eastAsia" w:ascii="宋体" w:hAnsi="宋体" w:eastAsia="宋体" w:cs="宋体"/>
          <w:b/>
          <w:bCs/>
          <w:color w:val="auto"/>
          <w:highlight w:val="none"/>
        </w:rPr>
      </w:pPr>
      <w:r>
        <w:rPr>
          <w:rFonts w:hint="eastAsia" w:ascii="宋体" w:hAnsi="宋体" w:eastAsia="宋体" w:cs="宋体"/>
          <w:b/>
          <w:bCs/>
          <w:color w:val="auto"/>
          <w:highlight w:val="none"/>
        </w:rPr>
        <w:t>7. 招标文件的获取</w:t>
      </w:r>
    </w:p>
    <w:p w14:paraId="34DEAF3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详见招标公告中获取招标文件的时间期限、地点、方式及招标文件售价。</w:t>
      </w:r>
    </w:p>
    <w:p w14:paraId="5D2C0736">
      <w:pPr>
        <w:rPr>
          <w:rFonts w:hint="eastAsia" w:ascii="宋体" w:hAnsi="宋体" w:eastAsia="宋体" w:cs="宋体"/>
          <w:b/>
          <w:bCs/>
          <w:color w:val="auto"/>
          <w:highlight w:val="none"/>
        </w:rPr>
      </w:pPr>
      <w:r>
        <w:rPr>
          <w:rFonts w:hint="eastAsia" w:ascii="宋体" w:hAnsi="宋体" w:eastAsia="宋体" w:cs="宋体"/>
          <w:b/>
          <w:bCs/>
          <w:color w:val="auto"/>
          <w:highlight w:val="none"/>
        </w:rPr>
        <w:t>8.开标前答疑会或现场考察</w:t>
      </w:r>
    </w:p>
    <w:p w14:paraId="6313D95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采购人组织潜在投标人现场考察或者召开开标前答疑会的，潜在投标人按第二部分投标人须知前附表的规定参加现场考察或者开标前答疑会。</w:t>
      </w:r>
    </w:p>
    <w:p w14:paraId="6A6B17B5">
      <w:pPr>
        <w:rPr>
          <w:rFonts w:hint="eastAsia" w:ascii="宋体" w:hAnsi="宋体" w:eastAsia="宋体" w:cs="宋体"/>
          <w:b/>
          <w:bCs/>
          <w:color w:val="auto"/>
          <w:highlight w:val="none"/>
        </w:rPr>
      </w:pPr>
      <w:r>
        <w:rPr>
          <w:rFonts w:hint="eastAsia" w:ascii="宋体" w:hAnsi="宋体" w:eastAsia="宋体" w:cs="宋体"/>
          <w:b/>
          <w:bCs/>
          <w:color w:val="auto"/>
          <w:highlight w:val="none"/>
        </w:rPr>
        <w:t>9.投标保证金</w:t>
      </w:r>
    </w:p>
    <w:p w14:paraId="6F7B738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92E7DE9">
      <w:pPr>
        <w:rPr>
          <w:rFonts w:hint="eastAsia" w:ascii="宋体" w:hAnsi="宋体" w:eastAsia="宋体" w:cs="宋体"/>
          <w:b/>
          <w:bCs/>
          <w:color w:val="auto"/>
          <w:highlight w:val="none"/>
        </w:rPr>
      </w:pPr>
      <w:r>
        <w:rPr>
          <w:rFonts w:hint="eastAsia" w:ascii="宋体" w:hAnsi="宋体" w:eastAsia="宋体" w:cs="宋体"/>
          <w:b/>
          <w:bCs/>
          <w:color w:val="auto"/>
          <w:highlight w:val="none"/>
        </w:rPr>
        <w:t>10. 投标文件的语言</w:t>
      </w:r>
    </w:p>
    <w:p w14:paraId="57C7D75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6A244A6">
      <w:pPr>
        <w:rPr>
          <w:rFonts w:hint="eastAsia" w:ascii="宋体" w:hAnsi="宋体" w:eastAsia="宋体" w:cs="宋体"/>
          <w:b/>
          <w:bCs/>
          <w:color w:val="auto"/>
          <w:highlight w:val="none"/>
        </w:rPr>
      </w:pPr>
      <w:r>
        <w:rPr>
          <w:rFonts w:hint="eastAsia" w:ascii="宋体" w:hAnsi="宋体" w:eastAsia="宋体" w:cs="宋体"/>
          <w:b/>
          <w:bCs/>
          <w:color w:val="auto"/>
          <w:highlight w:val="none"/>
        </w:rPr>
        <w:t>11. 投标文件的组成</w:t>
      </w:r>
    </w:p>
    <w:p w14:paraId="7EB182A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11.1资格文件：</w:t>
      </w:r>
    </w:p>
    <w:p w14:paraId="44F18347">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11.1.1符合参加政府采购活动应当具备的一般条件的承诺函；（如以联合体形式参加政府采购活动的，联合体各方均应提交该承诺函）</w:t>
      </w:r>
    </w:p>
    <w:p w14:paraId="72EF5ABE">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11.1.2联合协议（如果有)；</w:t>
      </w:r>
    </w:p>
    <w:p w14:paraId="7727A9EB">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11.1.3落实政府采购政策需满足的资格要求（如果有)；</w:t>
      </w:r>
    </w:p>
    <w:p w14:paraId="5B5330F8">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11.1.4本项目的特定资格要求（如果有)。</w:t>
      </w:r>
    </w:p>
    <w:p w14:paraId="1995F98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390806D">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07FBF0F">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74EC28E6">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4E017C3F">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A8A8621">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41D6E6E">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6B75B63F">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52ED178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 xml:space="preserve">3报价文件： </w:t>
      </w:r>
    </w:p>
    <w:p w14:paraId="4760D8D9">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23DA9FF">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color w:val="auto"/>
          <w:sz w:val="24"/>
          <w:highlight w:val="none"/>
          <w:lang w:val="en-US" w:eastAsia="zh-CN"/>
        </w:rPr>
        <w:t>；</w:t>
      </w:r>
    </w:p>
    <w:p w14:paraId="72EA7EAC">
      <w:pPr>
        <w:pageBreakBefore w:val="0"/>
        <w:kinsoku/>
        <w:wordWrap/>
        <w:overflowPunct/>
        <w:topLinePunct w:val="0"/>
        <w:bidi w:val="0"/>
        <w:snapToGrid w:val="0"/>
        <w:spacing w:beforeAutospacing="0" w:line="360" w:lineRule="auto"/>
        <w:ind w:left="480" w:leftChars="2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06AE4D9C">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投标文件含有采购人不能接受的附加条件的，投标无效；</w:t>
      </w:r>
    </w:p>
    <w:p w14:paraId="1B1F2E1F">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投标人提供虚假材料投标的，投标无效。</w:t>
      </w:r>
    </w:p>
    <w:p w14:paraId="6FDA604A">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投标人应对投标文件中材料的真实性、合法性负责。</w:t>
      </w:r>
    </w:p>
    <w:p w14:paraId="09E69A5C">
      <w:pPr>
        <w:rPr>
          <w:rFonts w:hint="eastAsia" w:ascii="宋体" w:hAnsi="宋体" w:eastAsia="宋体" w:cs="宋体"/>
          <w:b/>
          <w:bCs/>
          <w:color w:val="auto"/>
          <w:highlight w:val="none"/>
        </w:rPr>
      </w:pPr>
      <w:r>
        <w:rPr>
          <w:rFonts w:hint="eastAsia" w:ascii="宋体" w:hAnsi="宋体" w:eastAsia="宋体" w:cs="宋体"/>
          <w:b/>
          <w:bCs/>
          <w:color w:val="auto"/>
          <w:highlight w:val="none"/>
        </w:rPr>
        <w:t>12</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投标文件的编制</w:t>
      </w:r>
    </w:p>
    <w:p w14:paraId="7B7CC4B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88F7786">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84BC6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12.3使用“政采云电子交易客户端”需要提前申领CA数字证书，申领流程请自行前往“浙江政府采购网-下载专区-电子交易客户端-CA驱动和申领流程”进行查阅。</w:t>
      </w:r>
    </w:p>
    <w:p w14:paraId="39AE2EF5">
      <w:pPr>
        <w:rPr>
          <w:rFonts w:hint="eastAsia" w:ascii="宋体" w:hAnsi="宋体" w:eastAsia="宋体" w:cs="宋体"/>
          <w:b/>
          <w:bCs/>
          <w:color w:val="auto"/>
          <w:highlight w:val="none"/>
        </w:rPr>
      </w:pPr>
      <w:r>
        <w:rPr>
          <w:rFonts w:hint="eastAsia" w:ascii="宋体" w:hAnsi="宋体" w:eastAsia="宋体" w:cs="宋体"/>
          <w:b/>
          <w:bCs/>
          <w:color w:val="auto"/>
          <w:highlight w:val="none"/>
        </w:rPr>
        <w:t>13.投标文件的签署、盖章</w:t>
      </w:r>
    </w:p>
    <w:p w14:paraId="0CE117C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13.1投标文件按照招标文件第六部分格式要求进行签署、盖章。</w:t>
      </w:r>
      <w:r>
        <w:rPr>
          <w:rFonts w:hint="eastAsia" w:ascii="宋体" w:hAnsi="宋体" w:eastAsia="宋体" w:cs="宋体"/>
          <w:b/>
          <w:bCs/>
          <w:color w:val="auto"/>
          <w:sz w:val="24"/>
          <w:highlight w:val="none"/>
        </w:rPr>
        <w:t>▲投标人的投标文件未按照招标文件要求签署、盖章的，其投标无效。</w:t>
      </w:r>
    </w:p>
    <w:p w14:paraId="1457775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14:paraId="67E0FD7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13.3招标文件对投标文件签署、盖章的要求适用于电子签名。</w:t>
      </w:r>
    </w:p>
    <w:p w14:paraId="44124FC9">
      <w:pPr>
        <w:rPr>
          <w:rFonts w:hint="eastAsia" w:ascii="宋体" w:hAnsi="宋体" w:eastAsia="宋体" w:cs="宋体"/>
          <w:b/>
          <w:bCs/>
          <w:color w:val="auto"/>
          <w:highlight w:val="none"/>
        </w:rPr>
      </w:pPr>
      <w:r>
        <w:rPr>
          <w:rFonts w:hint="eastAsia" w:ascii="宋体" w:hAnsi="宋体" w:eastAsia="宋体" w:cs="宋体"/>
          <w:b/>
          <w:bCs/>
          <w:color w:val="auto"/>
          <w:highlight w:val="none"/>
        </w:rPr>
        <w:t>14. 投标文件的提交、补充、修改、撤回</w:t>
      </w:r>
    </w:p>
    <w:p w14:paraId="7DE4679B">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17AC8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0FEDC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可以视情况延长投标文件提交的截止时间。在上述情况下，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与投标人以前在投标截止期方面的全部权利、责任和义务，将适用于延长至新的投标截止期。</w:t>
      </w:r>
    </w:p>
    <w:p w14:paraId="336C919E">
      <w:pPr>
        <w:rPr>
          <w:rFonts w:hint="eastAsia" w:ascii="宋体" w:hAnsi="宋体" w:eastAsia="宋体" w:cs="宋体"/>
          <w:b/>
          <w:bCs/>
          <w:color w:val="auto"/>
          <w:highlight w:val="none"/>
        </w:rPr>
      </w:pPr>
      <w:r>
        <w:rPr>
          <w:rFonts w:hint="eastAsia" w:ascii="宋体" w:hAnsi="宋体" w:eastAsia="宋体" w:cs="宋体"/>
          <w:b/>
          <w:bCs/>
          <w:color w:val="auto"/>
          <w:highlight w:val="none"/>
        </w:rPr>
        <w:t>15.备份投标文件</w:t>
      </w:r>
    </w:p>
    <w:p w14:paraId="119CFD0F">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bCs/>
          <w:color w:val="auto"/>
          <w:sz w:val="24"/>
          <w:highlight w:val="none"/>
        </w:rPr>
        <w:t>但采购人、</w:t>
      </w:r>
      <w:r>
        <w:rPr>
          <w:rFonts w:hint="eastAsia" w:ascii="宋体" w:hAnsi="宋体" w:eastAsia="宋体" w:cs="宋体"/>
          <w:b/>
          <w:bCs/>
          <w:color w:val="auto"/>
          <w:sz w:val="24"/>
          <w:highlight w:val="none"/>
          <w:lang w:eastAsia="zh-CN"/>
        </w:rPr>
        <w:t>采购代理机构</w:t>
      </w:r>
      <w:r>
        <w:rPr>
          <w:rFonts w:hint="eastAsia" w:ascii="宋体" w:hAnsi="宋体" w:eastAsia="宋体" w:cs="宋体"/>
          <w:b/>
          <w:bCs/>
          <w:color w:val="auto"/>
          <w:sz w:val="24"/>
          <w:highlight w:val="none"/>
        </w:rPr>
        <w:t>不强制或变相强制投标人提交备份投标文件。</w:t>
      </w:r>
    </w:p>
    <w:p w14:paraId="4866429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15.2备份投标文件须在“政采云投标客户端”制作生成，并储存在DVD光盘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z w:val="24"/>
          <w:highlight w:val="none"/>
        </w:rPr>
        <w:t>不符合上述制作、存储、密封规定的备份投标文件将被视为无效或者被拒绝接收。</w:t>
      </w:r>
    </w:p>
    <w:p w14:paraId="45E4CEA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将拒绝接受逾期送达的备份投标文件。</w:t>
      </w:r>
    </w:p>
    <w:p w14:paraId="35F99739">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将拒绝接受逾期送达的备份投标文件。邮寄过程中，电子备份投标文件发生泄露、遗失、损坏或延期送达等情况的，由投标人自行负责。</w:t>
      </w:r>
    </w:p>
    <w:p w14:paraId="1FB7276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053D422">
      <w:pPr>
        <w:rPr>
          <w:rFonts w:hint="eastAsia" w:ascii="宋体" w:hAnsi="宋体" w:eastAsia="宋体" w:cs="宋体"/>
          <w:b/>
          <w:bCs/>
          <w:color w:val="auto"/>
          <w:highlight w:val="none"/>
        </w:rPr>
      </w:pPr>
      <w:r>
        <w:rPr>
          <w:rFonts w:hint="eastAsia" w:ascii="宋体" w:hAnsi="宋体" w:eastAsia="宋体" w:cs="宋体"/>
          <w:b/>
          <w:bCs/>
          <w:color w:val="auto"/>
          <w:highlight w:val="none"/>
        </w:rPr>
        <w:t>16.投标文件的无效处理</w:t>
      </w:r>
    </w:p>
    <w:p w14:paraId="61FFD79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有招标文件第四部分4.2规定的情形之一的，投标无效：</w:t>
      </w:r>
    </w:p>
    <w:p w14:paraId="53E8E635">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17.投标有效期</w:t>
      </w:r>
    </w:p>
    <w:p w14:paraId="3490C1F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eastAsia="zh-CN"/>
        </w:rPr>
        <w:t>17.1投标有效期为从提交投标文件的截止之日起90天。</w:t>
      </w:r>
      <w:r>
        <w:rPr>
          <w:rFonts w:hint="eastAsia" w:ascii="宋体" w:hAnsi="宋体" w:eastAsia="宋体" w:cs="宋体"/>
          <w:b/>
          <w:bCs/>
          <w:color w:val="auto"/>
          <w:sz w:val="24"/>
          <w:highlight w:val="none"/>
          <w:lang w:eastAsia="zh-CN"/>
        </w:rPr>
        <w:t>▲投标人的投标文件中承诺的投标有效期少于招标文件中载明的投标有效期的，投标无效。</w:t>
      </w:r>
    </w:p>
    <w:p w14:paraId="2650824B">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17.2投标文件合格投递后，自投标截止日期起，在投标有效期内有效。</w:t>
      </w:r>
    </w:p>
    <w:p w14:paraId="214DEE2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17.3在原定投标有效期满之前，如果出现特殊情况，采购代理机构可以以书面形式通知投标人延长投标有效期。投标人同意延长的，不得要求或被允许修改其投标文件，投标人拒绝延长的，其投标无效。</w:t>
      </w:r>
    </w:p>
    <w:p w14:paraId="49553E7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p>
    <w:p w14:paraId="38F037CC">
      <w:pPr>
        <w:pStyle w:val="3"/>
        <w:bidi w:val="0"/>
        <w:rPr>
          <w:rFonts w:hint="eastAsia"/>
          <w:color w:val="auto"/>
          <w:highlight w:val="none"/>
        </w:rPr>
      </w:pPr>
      <w:r>
        <w:rPr>
          <w:rFonts w:hint="eastAsia"/>
          <w:color w:val="auto"/>
          <w:highlight w:val="none"/>
        </w:rPr>
        <w:t>四、开标、资格审查与信用信息查询</w:t>
      </w:r>
    </w:p>
    <w:p w14:paraId="14B45531">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 xml:space="preserve">18.开标 </w:t>
      </w:r>
    </w:p>
    <w:p w14:paraId="2B7D5F4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18.1采购代理机构按照招标文件规定的时间通过电子交易平台组织开标，所有投标人均应当准时在线参加。投标人不足3家的，不得开标。</w:t>
      </w:r>
    </w:p>
    <w:p w14:paraId="02AFC870">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18.2开标时，电子交易平台按开标时间自动提取所有投标文件。采购代理机构依托电子交易平台发起开始解密指令，投标人按照平台提示和招标文件的规定在半小时内完成在线解密。</w:t>
      </w:r>
    </w:p>
    <w:p w14:paraId="7D9125C9">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18.3投标文件未按时解密，投标人提供了备份投标文件的，以备份投标文件作为依据，否则视为投标文件撤回。投标文件已按时解密的，备份投标文件自动失效。</w:t>
      </w:r>
    </w:p>
    <w:p w14:paraId="74AAB42E">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19、资格审查</w:t>
      </w:r>
    </w:p>
    <w:p w14:paraId="4887FEA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19.</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采购人或采购代理机构依据法律法规和招标文件的规定，对投标人的资格进行审查。</w:t>
      </w:r>
    </w:p>
    <w:p w14:paraId="10290C8F">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投标人未按照招标文件要求提供与资格条件相应的有效资格证明材料的，视为投标人不具备招标文件中规定的资格要求，其投标无效。</w:t>
      </w:r>
    </w:p>
    <w:p w14:paraId="2E2711E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19.</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对未通过资格审查的投标人，采购人或采购代理机构告知其未通过的原因。</w:t>
      </w:r>
    </w:p>
    <w:p w14:paraId="5BF46BF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19.</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合格投标人不足3家的，不再评标。</w:t>
      </w:r>
    </w:p>
    <w:p w14:paraId="2D88A51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1E51F4D">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20、信用信息查询</w:t>
      </w:r>
    </w:p>
    <w:p w14:paraId="224BE79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20.1信用信息查询渠道及截止时间：采购代理机构将在资格审查时通过“信用中国”网站(www.creditchina.gov.cn)、中国政府采购网(www.ccgp.gov.cn)渠道查询投标人接受资格时的信用记录。</w:t>
      </w:r>
    </w:p>
    <w:p w14:paraId="0F04E77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20.2信用信息查询记录和证据留存的具体方式：现场查询的投标人的信用记录、查询结果经确认后将与采购文件一起存档。</w:t>
      </w:r>
    </w:p>
    <w:p w14:paraId="29E6A44C">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20.3信用信息的使用规则：经查询列入失信被执行人名单、重大税收违法案件当事人名单、政府采购严重违法失信行为记录名单的投标人将被拒绝参与政府采购活动。</w:t>
      </w:r>
    </w:p>
    <w:p w14:paraId="3D24BD3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459140">
      <w:pPr>
        <w:rPr>
          <w:rFonts w:hint="eastAsia"/>
          <w:color w:val="auto"/>
          <w:highlight w:val="none"/>
          <w:lang w:eastAsia="zh-CN"/>
        </w:rPr>
      </w:pPr>
    </w:p>
    <w:p w14:paraId="77332C83">
      <w:pPr>
        <w:pStyle w:val="3"/>
        <w:bidi w:val="0"/>
        <w:rPr>
          <w:rFonts w:hint="eastAsia"/>
          <w:color w:val="auto"/>
          <w:highlight w:val="none"/>
        </w:rPr>
      </w:pPr>
      <w:r>
        <w:rPr>
          <w:rFonts w:hint="eastAsia"/>
          <w:color w:val="auto"/>
          <w:highlight w:val="none"/>
        </w:rPr>
        <w:t>五、评标</w:t>
      </w:r>
    </w:p>
    <w:p w14:paraId="0ADEAC96">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lang w:eastAsia="zh-CN"/>
        </w:rPr>
      </w:pPr>
      <w:bookmarkStart w:id="17" w:name="_Toc91899903"/>
      <w:r>
        <w:rPr>
          <w:rFonts w:hint="eastAsia" w:ascii="宋体" w:hAnsi="宋体" w:eastAsia="宋体" w:cs="宋体"/>
          <w:b/>
          <w:bCs/>
          <w:color w:val="auto"/>
          <w:highlight w:val="none"/>
          <w:lang w:eastAsia="zh-CN"/>
        </w:rPr>
        <w:t xml:space="preserve">21. </w:t>
      </w:r>
      <w:r>
        <w:rPr>
          <w:rFonts w:hint="eastAsia" w:ascii="宋体" w:hAnsi="宋体" w:eastAsia="宋体" w:cs="宋体"/>
          <w:color w:val="auto"/>
          <w:sz w:val="24"/>
          <w:highlight w:val="none"/>
          <w:lang w:eastAsia="zh-CN"/>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auto"/>
          <w:sz w:val="24"/>
          <w:highlight w:val="none"/>
          <w:lang w:eastAsia="zh-CN"/>
        </w:rPr>
        <w:t>详见招标文件第四部分评标办法。</w:t>
      </w:r>
    </w:p>
    <w:p w14:paraId="73F0C5A6">
      <w:pPr>
        <w:bidi w:val="0"/>
        <w:rPr>
          <w:color w:val="auto"/>
          <w:highlight w:val="none"/>
        </w:rPr>
      </w:pPr>
    </w:p>
    <w:p w14:paraId="2700A06E">
      <w:pPr>
        <w:pStyle w:val="3"/>
        <w:bidi w:val="0"/>
        <w:rPr>
          <w:rFonts w:hint="eastAsia"/>
          <w:color w:val="auto"/>
          <w:highlight w:val="none"/>
        </w:rPr>
      </w:pPr>
      <w:r>
        <w:rPr>
          <w:rFonts w:hint="eastAsia"/>
          <w:color w:val="auto"/>
          <w:highlight w:val="none"/>
        </w:rPr>
        <w:t>六、定标</w:t>
      </w:r>
    </w:p>
    <w:p w14:paraId="4BA9172E">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 确定中标供应商</w:t>
      </w:r>
    </w:p>
    <w:p w14:paraId="2A12D1C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cs="宋体"/>
          <w:color w:val="auto"/>
          <w:sz w:val="24"/>
          <w:highlight w:val="none"/>
          <w:lang w:val="en-US" w:eastAsia="zh-CN"/>
        </w:rPr>
        <w:t>5</w:t>
      </w:r>
      <w:r>
        <w:rPr>
          <w:rFonts w:hint="eastAsia" w:ascii="宋体" w:hAnsi="宋体" w:eastAsia="宋体" w:cs="宋体"/>
          <w:color w:val="auto"/>
          <w:sz w:val="24"/>
          <w:highlight w:val="none"/>
          <w:lang w:eastAsia="zh-CN"/>
        </w:rPr>
        <w:t>个工作日内在线确定中标或者成交供应商，为提高政府采购效率，</w:t>
      </w:r>
      <w:r>
        <w:rPr>
          <w:rFonts w:hint="eastAsia" w:ascii="宋体" w:hAnsi="宋体" w:eastAsia="宋体" w:cs="宋体"/>
          <w:color w:val="auto"/>
          <w:sz w:val="24"/>
          <w:highlight w:val="none"/>
          <w:lang w:val="en-US" w:eastAsia="zh-CN"/>
        </w:rPr>
        <w:t>鼓励</w:t>
      </w:r>
      <w:r>
        <w:rPr>
          <w:rFonts w:hint="eastAsia" w:ascii="宋体" w:hAnsi="宋体" w:eastAsia="宋体" w:cs="宋体"/>
          <w:color w:val="auto"/>
          <w:sz w:val="24"/>
          <w:highlight w:val="none"/>
          <w:lang w:eastAsia="zh-CN"/>
        </w:rPr>
        <w:t>在收到评审报告当天</w:t>
      </w:r>
      <w:r>
        <w:rPr>
          <w:rFonts w:hint="eastAsia" w:ascii="宋体" w:hAnsi="宋体" w:eastAsia="宋体" w:cs="宋体"/>
          <w:color w:val="auto"/>
          <w:sz w:val="24"/>
          <w:highlight w:val="none"/>
          <w:lang w:val="en-US" w:eastAsia="zh-CN"/>
        </w:rPr>
        <w:t>在线</w:t>
      </w:r>
      <w:r>
        <w:rPr>
          <w:rFonts w:hint="eastAsia" w:ascii="宋体" w:hAnsi="宋体" w:eastAsia="宋体" w:cs="宋体"/>
          <w:color w:val="auto"/>
          <w:sz w:val="24"/>
          <w:highlight w:val="none"/>
          <w:lang w:eastAsia="zh-CN"/>
        </w:rPr>
        <w:t>确定中标或者成交供应商。中标、成交通知书和中标、成交结果公告应当在规定时间内同时发出。</w:t>
      </w:r>
    </w:p>
    <w:p w14:paraId="6090DFBF">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 中标通知与中标结果公告</w:t>
      </w:r>
    </w:p>
    <w:p w14:paraId="64C2DB4F">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23.1自中标人确定之日起2个工作日内，采购代理机构通过电子交易平台向中标人发出中标通知书，同时编制发布采购结果公告。采购代理机构也可以以纸质形式进行中标通知。</w:t>
      </w:r>
    </w:p>
    <w:p w14:paraId="5794EE56">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8" w:name="_Hlk101184471"/>
      <w:r>
        <w:rPr>
          <w:rFonts w:hint="eastAsia" w:ascii="宋体" w:hAnsi="宋体" w:eastAsia="宋体" w:cs="宋体"/>
          <w:color w:val="auto"/>
          <w:sz w:val="24"/>
          <w:highlight w:val="none"/>
          <w:lang w:eastAsia="zh-CN"/>
        </w:rPr>
        <w:t>资格审查情况、评审专家抽取规则、符合性审查情况、</w:t>
      </w:r>
      <w:bookmarkEnd w:id="18"/>
      <w:r>
        <w:rPr>
          <w:rFonts w:hint="eastAsia" w:ascii="宋体" w:hAnsi="宋体" w:eastAsia="宋体" w:cs="宋体"/>
          <w:color w:val="auto"/>
          <w:sz w:val="24"/>
          <w:highlight w:val="none"/>
          <w:lang w:eastAsia="zh-CN"/>
        </w:rPr>
        <w:t>未中标情况说明、中标公告期限以及评审专家名单、评分汇总及明细。</w:t>
      </w:r>
    </w:p>
    <w:p w14:paraId="6F5E90A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23.3公告期限为1个工作日。</w:t>
      </w:r>
    </w:p>
    <w:p w14:paraId="3329F256">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 xml:space="preserve">23.4 </w:t>
      </w:r>
      <w:r>
        <w:rPr>
          <w:rFonts w:hint="eastAsia" w:ascii="宋体" w:hAnsi="宋体" w:eastAsia="宋体" w:cs="宋体"/>
          <w:b/>
          <w:bCs/>
          <w:color w:val="auto"/>
          <w:sz w:val="24"/>
          <w:highlight w:val="none"/>
          <w:lang w:eastAsia="zh-CN"/>
        </w:rPr>
        <w:t>由于中标、成交供应商原因导致重新采购的，应当承担支付代理费和专家评审费等费用在内的赔偿责任。</w:t>
      </w:r>
    </w:p>
    <w:p w14:paraId="5BCEB57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p>
    <w:p w14:paraId="60D141BC">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A79EF4D">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24. 合同主要条款详见第五部分拟签订的合同文本。</w:t>
      </w:r>
    </w:p>
    <w:p w14:paraId="791409D1">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25. 合同的签订</w:t>
      </w:r>
    </w:p>
    <w:p w14:paraId="6CA6E88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25.1 采购人与中标人应当通过电子交易平台在中标通知书发出之日起三十日内，按照招标文件确定的事项签订政府采购合同，并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cs="宋体"/>
          <w:color w:val="auto"/>
          <w:sz w:val="24"/>
          <w:highlight w:val="none"/>
          <w:lang w:val="en-US" w:eastAsia="zh-CN"/>
        </w:rPr>
        <w:t>3</w:t>
      </w:r>
      <w:r>
        <w:rPr>
          <w:rFonts w:hint="eastAsia" w:ascii="宋体" w:hAnsi="宋体" w:eastAsia="宋体" w:cs="宋体"/>
          <w:color w:val="auto"/>
          <w:sz w:val="24"/>
          <w:highlight w:val="none"/>
          <w:lang w:eastAsia="zh-CN"/>
        </w:rPr>
        <w:t>0日内，与中标供应商按照采购文件确定的事项签订政府采购合同。</w:t>
      </w:r>
    </w:p>
    <w:p w14:paraId="09661DF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25.2中标人按规定的日期、时间、地点，由法定代表人或其授权代表与采购人代表签订合同。如中标人为联合体的，由联合体成员各方法定代表人或其授权代表与采购人代表签订合同。</w:t>
      </w:r>
    </w:p>
    <w:p w14:paraId="7ED6BA36">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25.3如签订合同并生效后，供应商无故拒绝或延期，除按照合同条款处理外，列入不良行为记录一次，并给予通报。</w:t>
      </w:r>
    </w:p>
    <w:p w14:paraId="7BDA13E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25.4中标供应商拒绝与采购人签订合同的，采购人可以按照评审报告推荐的中标或者成交候选人名单排序，确定下一候选人为中标供应商，也可以重新开展政府采购活动。</w:t>
      </w:r>
    </w:p>
    <w:p w14:paraId="4FD8FE6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25.5采购合同由采购人与中标供应商根据招标文件、投标文件等内容通过政府采购电子交易平台在线签订，自动备案。</w:t>
      </w:r>
    </w:p>
    <w:p w14:paraId="559EC167">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26. 履约保证金</w:t>
      </w:r>
    </w:p>
    <w:p w14:paraId="7DD3BEF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5A3C061">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z w:val="24"/>
          <w:highlight w:val="none"/>
          <w:lang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773BF5">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27.预付款</w:t>
      </w:r>
    </w:p>
    <w:p w14:paraId="3202204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cs="宋体"/>
          <w:color w:val="auto"/>
          <w:sz w:val="24"/>
          <w:highlight w:val="none"/>
          <w:lang w:val="en-US" w:eastAsia="zh-CN"/>
        </w:rPr>
        <w:t>7</w:t>
      </w:r>
      <w:r>
        <w:rPr>
          <w:rFonts w:hint="eastAsia" w:ascii="宋体" w:hAnsi="宋体" w:eastAsia="宋体" w:cs="宋体"/>
          <w:color w:val="auto"/>
          <w:sz w:val="24"/>
          <w:highlight w:val="none"/>
          <w:lang w:eastAsia="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F34251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p>
    <w:p w14:paraId="74B6AF8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376457">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highlight w:val="none"/>
          <w:lang w:eastAsia="zh-CN"/>
        </w:rPr>
        <w:t>28. 电子交易活动的中止。</w:t>
      </w:r>
      <w:r>
        <w:rPr>
          <w:rFonts w:hint="eastAsia" w:ascii="宋体" w:hAnsi="宋体" w:eastAsia="宋体" w:cs="宋体"/>
          <w:color w:val="auto"/>
          <w:sz w:val="24"/>
          <w:highlight w:val="none"/>
          <w:lang w:eastAsia="zh-CN"/>
        </w:rPr>
        <w:t>采购过程中出现以下情形，导致电子交易平台无法正常运行，或者无法保证电子交易的公平、公正和安全时，采购代理机构可中止电子交易活动：</w:t>
      </w:r>
    </w:p>
    <w:p w14:paraId="5B1373FE">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28.1电子交易平台发生故障而无法登录访问的； </w:t>
      </w:r>
    </w:p>
    <w:p w14:paraId="1B1AF41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28.2电子交易平台应用或数据库出现错误，不能进行正常操作的；</w:t>
      </w:r>
    </w:p>
    <w:p w14:paraId="6705E153">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28.3电子交易平台发现严重安全漏洞，有潜在泄密危险的；</w:t>
      </w:r>
    </w:p>
    <w:p w14:paraId="08F05122">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28.4病毒发作导致不能进行正常操作的； </w:t>
      </w:r>
    </w:p>
    <w:p w14:paraId="67910484">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28.5其他无法保证电子交易的公平、公正和安全的情况。</w:t>
      </w:r>
    </w:p>
    <w:p w14:paraId="693B87FA">
      <w:pPr>
        <w:pageBreakBefore w:val="0"/>
        <w:kinsoku/>
        <w:wordWrap/>
        <w:overflowPunct/>
        <w:topLinePunct w:val="0"/>
        <w:bidi w:val="0"/>
        <w:snapToGrid w:val="0"/>
        <w:spacing w:beforeAutospacing="0" w:line="360" w:lineRule="auto"/>
        <w:ind w:left="0" w:leftChars="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highlight w:val="none"/>
          <w:lang w:eastAsia="zh-CN"/>
        </w:rPr>
        <w:t>29.</w:t>
      </w:r>
      <w:r>
        <w:rPr>
          <w:rFonts w:hint="eastAsia" w:ascii="宋体" w:hAnsi="宋体" w:eastAsia="宋体" w:cs="宋体"/>
          <w:color w:val="auto"/>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4D1811B5">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p>
    <w:p w14:paraId="0AC09E01">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824676B">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30.验收</w:t>
      </w:r>
    </w:p>
    <w:p w14:paraId="3DA7E1C7">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8F749F">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30.2采购人可以邀请参加本项目的其他投标人或者第三方机构参与验收。参与验收的投标人或者第三方机构的意见作为验收书的参考资料一并存档。</w:t>
      </w:r>
    </w:p>
    <w:p w14:paraId="6DDE807D">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0A5450">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7416A8">
      <w:pPr>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bookmarkEnd w:id="16"/>
    <w:bookmarkEnd w:id="17"/>
    <w:p w14:paraId="4BA46AEF">
      <w:pPr>
        <w:rPr>
          <w:rFonts w:hint="eastAsia" w:ascii="宋体" w:hAnsi="宋体" w:cs="宋体"/>
          <w:b/>
          <w:color w:val="auto"/>
          <w:sz w:val="36"/>
          <w:szCs w:val="36"/>
          <w:highlight w:val="none"/>
        </w:rPr>
      </w:pPr>
      <w:bookmarkStart w:id="19" w:name="第四部分"/>
      <w:r>
        <w:rPr>
          <w:rFonts w:hint="eastAsia" w:ascii="宋体" w:hAnsi="宋体" w:cs="宋体"/>
          <w:b/>
          <w:color w:val="auto"/>
          <w:sz w:val="36"/>
          <w:szCs w:val="36"/>
          <w:highlight w:val="none"/>
        </w:rPr>
        <w:br w:type="page"/>
      </w:r>
    </w:p>
    <w:p w14:paraId="5E97287F">
      <w:pPr>
        <w:pStyle w:val="2"/>
        <w:bidi w:val="0"/>
        <w:rPr>
          <w:color w:val="auto"/>
          <w:highlight w:val="none"/>
        </w:rPr>
      </w:pPr>
      <w:r>
        <w:rPr>
          <w:rFonts w:hint="eastAsia"/>
          <w:color w:val="auto"/>
          <w:highlight w:val="none"/>
        </w:rPr>
        <w:t>第三部分 采购需求</w:t>
      </w:r>
    </w:p>
    <w:p w14:paraId="47A5B6DD">
      <w:pPr>
        <w:spacing w:line="360" w:lineRule="auto"/>
        <w:ind w:firstLine="480" w:firstLineChars="200"/>
        <w:rPr>
          <w:color w:val="auto"/>
          <w:sz w:val="24"/>
          <w:highlight w:val="none"/>
        </w:rPr>
      </w:pPr>
      <w:r>
        <w:rPr>
          <w:rFonts w:ascii="宋体" w:hAnsi="宋体" w:eastAsia="宋体" w:cs="宋体"/>
          <w:color w:val="auto"/>
          <w:sz w:val="24"/>
          <w:highlight w:val="none"/>
        </w:rPr>
        <w:t>浙江省血液中心目前有30余套信息系统，包括武林院区和滨江院区2个机房，共有服务器和存储设备4</w:t>
      </w:r>
      <w:r>
        <w:rPr>
          <w:rFonts w:hint="eastAsia" w:ascii="宋体" w:hAnsi="宋体" w:eastAsia="宋体" w:cs="宋体"/>
          <w:color w:val="auto"/>
          <w:sz w:val="24"/>
          <w:highlight w:val="none"/>
        </w:rPr>
        <w:t>1</w:t>
      </w:r>
      <w:r>
        <w:rPr>
          <w:rFonts w:ascii="宋体" w:hAnsi="宋体" w:eastAsia="宋体" w:cs="宋体"/>
          <w:color w:val="auto"/>
          <w:sz w:val="24"/>
          <w:highlight w:val="none"/>
        </w:rPr>
        <w:t>台，路由器、交换机、防火墙等网络安全设备逾</w:t>
      </w:r>
      <w:r>
        <w:rPr>
          <w:rFonts w:hint="eastAsia" w:ascii="宋体" w:hAnsi="宋体" w:eastAsia="宋体" w:cs="宋体"/>
          <w:color w:val="auto"/>
          <w:sz w:val="24"/>
          <w:highlight w:val="none"/>
        </w:rPr>
        <w:t>137</w:t>
      </w:r>
      <w:r>
        <w:rPr>
          <w:rFonts w:ascii="宋体" w:hAnsi="宋体" w:eastAsia="宋体" w:cs="宋体"/>
          <w:color w:val="auto"/>
          <w:sz w:val="24"/>
          <w:highlight w:val="none"/>
        </w:rPr>
        <w:t>台，桌面及外围设备（包括台式电脑、笔记本电脑、打印机等）近6</w:t>
      </w:r>
      <w:r>
        <w:rPr>
          <w:rFonts w:hint="eastAsia" w:ascii="宋体" w:hAnsi="宋体" w:eastAsia="宋体" w:cs="宋体"/>
          <w:color w:val="auto"/>
          <w:sz w:val="24"/>
          <w:highlight w:val="none"/>
        </w:rPr>
        <w:t>25</w:t>
      </w:r>
      <w:r>
        <w:rPr>
          <w:rFonts w:ascii="宋体" w:hAnsi="宋体" w:eastAsia="宋体" w:cs="宋体"/>
          <w:color w:val="auto"/>
          <w:sz w:val="24"/>
          <w:highlight w:val="none"/>
        </w:rPr>
        <w:t>台</w:t>
      </w:r>
      <w:r>
        <w:rPr>
          <w:rFonts w:hint="eastAsia"/>
          <w:color w:val="auto"/>
          <w:sz w:val="24"/>
          <w:highlight w:val="none"/>
          <w:lang w:val="zh-CN"/>
        </w:rPr>
        <w:t>。为保障中心及全省采供血业务工作的正常开展和</w:t>
      </w:r>
      <w:r>
        <w:rPr>
          <w:rFonts w:hint="eastAsia"/>
          <w:color w:val="auto"/>
          <w:sz w:val="24"/>
          <w:highlight w:val="none"/>
        </w:rPr>
        <w:t>中心各类信息系统的正常运行</w:t>
      </w:r>
      <w:r>
        <w:rPr>
          <w:rFonts w:hint="eastAsia"/>
          <w:color w:val="auto"/>
          <w:sz w:val="24"/>
          <w:highlight w:val="none"/>
          <w:lang w:val="zh-CN"/>
        </w:rPr>
        <w:t>，必须引入规范的运行维护服务</w:t>
      </w:r>
      <w:r>
        <w:rPr>
          <w:rFonts w:hint="eastAsia"/>
          <w:color w:val="auto"/>
          <w:sz w:val="24"/>
          <w:highlight w:val="none"/>
        </w:rPr>
        <w:t>。按照“事前防范，风险前移；事中控制，快速响应；事后改进，持续评估”的原则，依据国家有关信息系统运行维护的标准规范提出以下需求：</w:t>
      </w:r>
    </w:p>
    <w:p w14:paraId="64320249">
      <w:pPr>
        <w:pStyle w:val="3"/>
        <w:jc w:val="left"/>
        <w:rPr>
          <w:color w:val="auto"/>
          <w:sz w:val="24"/>
          <w:szCs w:val="24"/>
          <w:highlight w:val="none"/>
        </w:rPr>
      </w:pPr>
      <w:r>
        <w:rPr>
          <w:rFonts w:hint="eastAsia"/>
          <w:color w:val="auto"/>
          <w:sz w:val="24"/>
          <w:szCs w:val="24"/>
          <w:highlight w:val="none"/>
        </w:rPr>
        <w:t>1维护对象与范围</w:t>
      </w:r>
    </w:p>
    <w:p w14:paraId="7BB63E0C">
      <w:pPr>
        <w:spacing w:line="360" w:lineRule="auto"/>
        <w:ind w:firstLine="420"/>
        <w:rPr>
          <w:color w:val="auto"/>
          <w:sz w:val="24"/>
          <w:highlight w:val="none"/>
        </w:rPr>
      </w:pPr>
      <w:bookmarkStart w:id="20" w:name="OLE_LINK3"/>
      <w:r>
        <w:rPr>
          <w:rFonts w:hint="eastAsia"/>
          <w:color w:val="auto"/>
          <w:sz w:val="24"/>
          <w:highlight w:val="none"/>
        </w:rPr>
        <w:t>本项目运行维护的范围包括：</w:t>
      </w:r>
    </w:p>
    <w:p w14:paraId="51FEA3D4">
      <w:pPr>
        <w:spacing w:line="360" w:lineRule="auto"/>
        <w:ind w:left="420" w:firstLine="420"/>
        <w:rPr>
          <w:color w:val="auto"/>
          <w:sz w:val="24"/>
          <w:highlight w:val="none"/>
        </w:rPr>
      </w:pPr>
      <w:r>
        <w:rPr>
          <w:rFonts w:hint="eastAsia"/>
          <w:color w:val="auto"/>
          <w:sz w:val="24"/>
          <w:highlight w:val="none"/>
        </w:rPr>
        <w:t>（1）</w:t>
      </w:r>
      <w:r>
        <w:rPr>
          <w:rFonts w:ascii="宋体" w:hAnsi="宋体" w:eastAsia="宋体" w:cs="宋体"/>
          <w:color w:val="auto"/>
          <w:sz w:val="24"/>
          <w:highlight w:val="none"/>
        </w:rPr>
        <w:t>数据中心设备设施的运维，包括机房基础设施、物理资源等；其中服务器数量4</w:t>
      </w:r>
      <w:r>
        <w:rPr>
          <w:rFonts w:hint="eastAsia" w:ascii="宋体" w:hAnsi="宋体" w:eastAsia="宋体" w:cs="宋体"/>
          <w:color w:val="auto"/>
          <w:sz w:val="24"/>
          <w:highlight w:val="none"/>
        </w:rPr>
        <w:t>1</w:t>
      </w:r>
      <w:r>
        <w:rPr>
          <w:rFonts w:ascii="宋体" w:hAnsi="宋体" w:eastAsia="宋体" w:cs="宋体"/>
          <w:color w:val="auto"/>
          <w:sz w:val="24"/>
          <w:highlight w:val="none"/>
        </w:rPr>
        <w:t>台，存储设备2台，网络和安全设备</w:t>
      </w:r>
      <w:r>
        <w:rPr>
          <w:rFonts w:hint="eastAsia" w:ascii="宋体" w:hAnsi="宋体" w:eastAsia="宋体" w:cs="宋体"/>
          <w:color w:val="auto"/>
          <w:sz w:val="24"/>
          <w:highlight w:val="none"/>
        </w:rPr>
        <w:t>137</w:t>
      </w:r>
      <w:r>
        <w:rPr>
          <w:rFonts w:ascii="宋体" w:hAnsi="宋体" w:eastAsia="宋体" w:cs="宋体"/>
          <w:color w:val="auto"/>
          <w:sz w:val="24"/>
          <w:highlight w:val="none"/>
        </w:rPr>
        <w:t>台，数量合计</w:t>
      </w:r>
      <w:r>
        <w:rPr>
          <w:rFonts w:hint="eastAsia" w:ascii="宋体" w:hAnsi="宋体" w:eastAsia="宋体" w:cs="宋体"/>
          <w:color w:val="auto"/>
          <w:sz w:val="24"/>
          <w:highlight w:val="none"/>
        </w:rPr>
        <w:t>180</w:t>
      </w:r>
      <w:r>
        <w:rPr>
          <w:rFonts w:ascii="宋体" w:hAnsi="宋体" w:eastAsia="宋体" w:cs="宋体"/>
          <w:color w:val="auto"/>
          <w:sz w:val="24"/>
          <w:highlight w:val="none"/>
        </w:rPr>
        <w:t>台</w:t>
      </w:r>
      <w:r>
        <w:rPr>
          <w:rFonts w:hint="eastAsia"/>
          <w:color w:val="auto"/>
          <w:sz w:val="24"/>
          <w:highlight w:val="none"/>
        </w:rPr>
        <w:t>。</w:t>
      </w:r>
    </w:p>
    <w:p w14:paraId="4FBB72A9">
      <w:pPr>
        <w:spacing w:line="360" w:lineRule="auto"/>
        <w:ind w:left="420" w:firstLine="420"/>
        <w:rPr>
          <w:color w:val="auto"/>
          <w:sz w:val="24"/>
          <w:highlight w:val="none"/>
        </w:rPr>
      </w:pPr>
      <w:r>
        <w:rPr>
          <w:rFonts w:hint="eastAsia"/>
          <w:color w:val="auto"/>
          <w:sz w:val="24"/>
          <w:highlight w:val="none"/>
        </w:rPr>
        <w:t>（2）</w:t>
      </w:r>
      <w:r>
        <w:rPr>
          <w:rFonts w:ascii="宋体" w:hAnsi="宋体" w:eastAsia="宋体" w:cs="宋体"/>
          <w:color w:val="auto"/>
          <w:sz w:val="24"/>
          <w:highlight w:val="none"/>
        </w:rPr>
        <w:t>桌面及外围设备的运维，数量</w:t>
      </w:r>
      <w:r>
        <w:rPr>
          <w:rFonts w:hint="eastAsia" w:ascii="宋体" w:hAnsi="宋体" w:eastAsia="宋体" w:cs="宋体"/>
          <w:color w:val="auto"/>
          <w:sz w:val="24"/>
          <w:highlight w:val="none"/>
        </w:rPr>
        <w:t>约</w:t>
      </w:r>
      <w:r>
        <w:rPr>
          <w:rFonts w:ascii="宋体" w:hAnsi="宋体" w:eastAsia="宋体" w:cs="宋体"/>
          <w:color w:val="auto"/>
          <w:sz w:val="24"/>
          <w:highlight w:val="none"/>
        </w:rPr>
        <w:t>6</w:t>
      </w:r>
      <w:r>
        <w:rPr>
          <w:rFonts w:hint="eastAsia" w:ascii="宋体" w:hAnsi="宋体" w:eastAsia="宋体" w:cs="宋体"/>
          <w:color w:val="auto"/>
          <w:sz w:val="24"/>
          <w:highlight w:val="none"/>
        </w:rPr>
        <w:t>25</w:t>
      </w:r>
      <w:r>
        <w:rPr>
          <w:rFonts w:ascii="宋体" w:hAnsi="宋体" w:eastAsia="宋体" w:cs="宋体"/>
          <w:color w:val="auto"/>
          <w:sz w:val="24"/>
          <w:highlight w:val="none"/>
        </w:rPr>
        <w:t>台</w:t>
      </w:r>
      <w:r>
        <w:rPr>
          <w:rFonts w:hint="eastAsia"/>
          <w:color w:val="auto"/>
          <w:sz w:val="24"/>
          <w:highlight w:val="none"/>
        </w:rPr>
        <w:t>。</w:t>
      </w:r>
    </w:p>
    <w:p w14:paraId="1FED0D52">
      <w:pPr>
        <w:spacing w:line="360" w:lineRule="auto"/>
        <w:ind w:left="420" w:firstLine="420"/>
        <w:rPr>
          <w:color w:val="auto"/>
          <w:sz w:val="24"/>
          <w:highlight w:val="none"/>
        </w:rPr>
      </w:pPr>
      <w:r>
        <w:rPr>
          <w:rFonts w:hint="eastAsia"/>
          <w:color w:val="auto"/>
          <w:sz w:val="24"/>
          <w:highlight w:val="none"/>
        </w:rPr>
        <w:t>（3）信息安全运维，包括恶意代码防范检查、配置更新等。</w:t>
      </w:r>
    </w:p>
    <w:p w14:paraId="6328FD39">
      <w:pPr>
        <w:spacing w:line="360" w:lineRule="auto"/>
        <w:ind w:left="420" w:firstLine="420"/>
        <w:rPr>
          <w:color w:val="auto"/>
          <w:sz w:val="24"/>
          <w:highlight w:val="none"/>
        </w:rPr>
      </w:pPr>
      <w:r>
        <w:rPr>
          <w:rFonts w:hint="eastAsia"/>
          <w:color w:val="auto"/>
          <w:sz w:val="24"/>
          <w:highlight w:val="none"/>
        </w:rPr>
        <w:t>（3）其他信息技术支持。</w:t>
      </w:r>
    </w:p>
    <w:p w14:paraId="73E6923E">
      <w:pPr>
        <w:spacing w:line="360" w:lineRule="auto"/>
        <w:ind w:left="420" w:firstLine="420"/>
        <w:rPr>
          <w:color w:val="auto"/>
          <w:sz w:val="24"/>
          <w:highlight w:val="none"/>
        </w:rPr>
      </w:pPr>
      <w:r>
        <w:rPr>
          <w:rFonts w:hint="eastAsia"/>
          <w:color w:val="auto"/>
          <w:sz w:val="24"/>
          <w:highlight w:val="none"/>
        </w:rPr>
        <w:t>（4）在维护过程中，发生硬件故障及时进行维修，若需要更换配件的单独收费，维护单位对配件的费用收取不得高于市场价，应给予市场价的9折或以上优惠。</w:t>
      </w:r>
    </w:p>
    <w:bookmarkEnd w:id="20"/>
    <w:p w14:paraId="7D894EF7">
      <w:pPr>
        <w:spacing w:line="360" w:lineRule="auto"/>
        <w:ind w:left="420" w:firstLine="420"/>
        <w:rPr>
          <w:color w:val="auto"/>
          <w:sz w:val="24"/>
          <w:highlight w:val="none"/>
        </w:rPr>
      </w:pPr>
      <w:r>
        <w:rPr>
          <w:rFonts w:hint="eastAsia"/>
          <w:color w:val="auto"/>
          <w:sz w:val="24"/>
          <w:highlight w:val="none"/>
        </w:rPr>
        <w:t>详细的维护对象清单见附件1，其中维护对象包含但不限于附件1的内容。</w:t>
      </w:r>
    </w:p>
    <w:p w14:paraId="487B4098">
      <w:pPr>
        <w:pStyle w:val="3"/>
        <w:jc w:val="left"/>
        <w:rPr>
          <w:color w:val="auto"/>
          <w:sz w:val="24"/>
          <w:szCs w:val="24"/>
          <w:highlight w:val="none"/>
        </w:rPr>
      </w:pPr>
      <w:r>
        <w:rPr>
          <w:rFonts w:hint="eastAsia"/>
          <w:color w:val="auto"/>
          <w:sz w:val="24"/>
          <w:szCs w:val="24"/>
          <w:highlight w:val="none"/>
        </w:rPr>
        <w:t>2能力要求</w:t>
      </w:r>
    </w:p>
    <w:p w14:paraId="438FE0F0">
      <w:pPr>
        <w:pStyle w:val="4"/>
        <w:jc w:val="left"/>
        <w:rPr>
          <w:color w:val="auto"/>
          <w:sz w:val="24"/>
          <w:szCs w:val="24"/>
          <w:highlight w:val="none"/>
        </w:rPr>
      </w:pPr>
      <w:r>
        <w:rPr>
          <w:rFonts w:hint="eastAsia"/>
          <w:color w:val="auto"/>
          <w:sz w:val="24"/>
          <w:szCs w:val="24"/>
          <w:highlight w:val="none"/>
        </w:rPr>
        <w:t>2.1</w:t>
      </w:r>
      <w:r>
        <w:rPr>
          <w:color w:val="auto"/>
          <w:sz w:val="24"/>
          <w:szCs w:val="24"/>
          <w:highlight w:val="none"/>
        </w:rPr>
        <w:t xml:space="preserve"> </w:t>
      </w:r>
      <w:r>
        <w:rPr>
          <w:rFonts w:hint="eastAsia"/>
          <w:color w:val="auto"/>
          <w:sz w:val="24"/>
          <w:szCs w:val="24"/>
          <w:highlight w:val="none"/>
        </w:rPr>
        <w:t>运维服务公司资质要求</w:t>
      </w:r>
    </w:p>
    <w:p w14:paraId="612EDA03">
      <w:pPr>
        <w:spacing w:line="360" w:lineRule="auto"/>
        <w:ind w:firstLine="420"/>
        <w:rPr>
          <w:color w:val="auto"/>
          <w:sz w:val="24"/>
          <w:highlight w:val="none"/>
        </w:rPr>
      </w:pPr>
      <w:r>
        <w:rPr>
          <w:rFonts w:hint="eastAsia"/>
          <w:color w:val="auto"/>
          <w:sz w:val="24"/>
          <w:highlight w:val="none"/>
        </w:rPr>
        <w:t>运维服务公司需具备华为或华三或思科金牌代理证书，需具备</w:t>
      </w:r>
      <w:r>
        <w:rPr>
          <w:color w:val="auto"/>
          <w:sz w:val="24"/>
          <w:highlight w:val="none"/>
        </w:rPr>
        <w:t>ISO9001</w:t>
      </w:r>
      <w:r>
        <w:rPr>
          <w:rFonts w:hint="eastAsia"/>
          <w:color w:val="auto"/>
          <w:sz w:val="24"/>
          <w:highlight w:val="none"/>
        </w:rPr>
        <w:t>质量管理体系认证、</w:t>
      </w:r>
      <w:r>
        <w:rPr>
          <w:color w:val="auto"/>
          <w:sz w:val="24"/>
          <w:highlight w:val="none"/>
        </w:rPr>
        <w:t>ISO14001</w:t>
      </w:r>
      <w:r>
        <w:rPr>
          <w:rFonts w:hint="eastAsia"/>
          <w:color w:val="auto"/>
          <w:sz w:val="24"/>
          <w:highlight w:val="none"/>
        </w:rPr>
        <w:t>环境管理体系认证、</w:t>
      </w:r>
      <w:r>
        <w:rPr>
          <w:color w:val="auto"/>
          <w:sz w:val="24"/>
          <w:highlight w:val="none"/>
        </w:rPr>
        <w:t>ISO27001</w:t>
      </w:r>
      <w:r>
        <w:rPr>
          <w:rFonts w:hint="eastAsia"/>
          <w:color w:val="auto"/>
          <w:sz w:val="24"/>
          <w:highlight w:val="none"/>
        </w:rPr>
        <w:t>信息安全体系认证，投标时需提供证书证明。</w:t>
      </w:r>
    </w:p>
    <w:p w14:paraId="650DCD9D">
      <w:pPr>
        <w:pStyle w:val="4"/>
        <w:jc w:val="left"/>
        <w:rPr>
          <w:color w:val="auto"/>
          <w:sz w:val="24"/>
          <w:szCs w:val="24"/>
          <w:highlight w:val="none"/>
        </w:rPr>
      </w:pPr>
      <w:r>
        <w:rPr>
          <w:rFonts w:hint="eastAsia"/>
          <w:color w:val="auto"/>
          <w:sz w:val="24"/>
          <w:szCs w:val="24"/>
          <w:highlight w:val="none"/>
        </w:rPr>
        <w:t>2.2 人员要求</w:t>
      </w:r>
    </w:p>
    <w:p w14:paraId="74BEDE1E">
      <w:pPr>
        <w:pStyle w:val="5"/>
        <w:rPr>
          <w:b w:val="0"/>
          <w:color w:val="auto"/>
          <w:sz w:val="24"/>
          <w:szCs w:val="24"/>
          <w:highlight w:val="none"/>
        </w:rPr>
      </w:pPr>
      <w:r>
        <w:rPr>
          <w:rFonts w:hint="eastAsia"/>
          <w:b w:val="0"/>
          <w:color w:val="auto"/>
          <w:sz w:val="24"/>
          <w:szCs w:val="24"/>
          <w:highlight w:val="none"/>
        </w:rPr>
        <w:t>2.2.1人员配备与岗位结构要求</w:t>
      </w:r>
    </w:p>
    <w:p w14:paraId="0FE05735">
      <w:pPr>
        <w:spacing w:line="360" w:lineRule="auto"/>
        <w:ind w:firstLine="420"/>
        <w:rPr>
          <w:color w:val="auto"/>
          <w:sz w:val="24"/>
          <w:highlight w:val="none"/>
        </w:rPr>
      </w:pPr>
      <w:r>
        <w:rPr>
          <w:rFonts w:hint="eastAsia"/>
          <w:color w:val="auto"/>
          <w:sz w:val="24"/>
          <w:highlight w:val="none"/>
        </w:rPr>
        <w:t>针对血液中心的运行维护服务组建一支服务团队，人员不少于10人，满足血液中心的运维服务要求，人员岗位结构必须包含管理人员（项目经理），投标时需提供项目经理证书证明、技术人员和驻场人员，投标时需提供网络工程师证书证明。其中驻场人员不少于3名，要求至少具备</w:t>
      </w:r>
      <w:r>
        <w:rPr>
          <w:color w:val="auto"/>
          <w:sz w:val="24"/>
          <w:highlight w:val="none"/>
        </w:rPr>
        <w:t>HCNP/H3CSE/CCNP</w:t>
      </w:r>
      <w:r>
        <w:rPr>
          <w:rFonts w:hint="eastAsia"/>
          <w:color w:val="auto"/>
          <w:sz w:val="24"/>
          <w:highlight w:val="none"/>
        </w:rPr>
        <w:t>其中一项。建立驻场人员储备制度，每月安排储备驻场人员驻场1天，熟悉驻场工作流程及工作内容。入驻时提供驻场工程师本人证书原件以及近半年的社保情况。提供服务团队的人员数量、岗位职责说明书、姓名、联系方式以及AB岗人员。</w:t>
      </w:r>
    </w:p>
    <w:p w14:paraId="211C1897">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3名驻场人员</w:t>
      </w:r>
      <w:r>
        <w:rPr>
          <w:rFonts w:ascii="宋体" w:hAnsi="宋体" w:eastAsia="宋体" w:cs="宋体"/>
          <w:color w:val="auto"/>
          <w:sz w:val="24"/>
          <w:highlight w:val="none"/>
        </w:rPr>
        <w:t>不得复用、分工明</w:t>
      </w:r>
      <w:r>
        <w:rPr>
          <w:rFonts w:hint="eastAsia" w:ascii="宋体" w:hAnsi="宋体" w:eastAsia="宋体" w:cs="宋体"/>
          <w:color w:val="auto"/>
          <w:sz w:val="24"/>
          <w:highlight w:val="none"/>
        </w:rPr>
        <w:t>确，根据血液中心的上班时间</w:t>
      </w:r>
      <w:r>
        <w:rPr>
          <w:rFonts w:ascii="宋体" w:hAnsi="宋体" w:eastAsia="宋体" w:cs="宋体"/>
          <w:color w:val="auto"/>
          <w:sz w:val="24"/>
          <w:highlight w:val="none"/>
        </w:rPr>
        <w:t>提供现场服务，以确保维护范围内出现的问题能够及时响应和解决。</w:t>
      </w:r>
      <w:r>
        <w:rPr>
          <w:rFonts w:hint="eastAsia" w:ascii="宋体" w:hAnsi="宋体" w:eastAsia="宋体" w:cs="宋体"/>
          <w:color w:val="auto"/>
          <w:sz w:val="24"/>
          <w:highlight w:val="none"/>
        </w:rPr>
        <w:t>节假日期间</w:t>
      </w:r>
      <w:r>
        <w:rPr>
          <w:rFonts w:ascii="宋体" w:hAnsi="宋体" w:eastAsia="宋体" w:cs="宋体"/>
          <w:color w:val="auto"/>
          <w:sz w:val="24"/>
          <w:highlight w:val="none"/>
        </w:rPr>
        <w:t>，</w:t>
      </w:r>
      <w:r>
        <w:rPr>
          <w:rFonts w:hint="eastAsia" w:ascii="宋体" w:hAnsi="宋体" w:eastAsia="宋体" w:cs="宋体"/>
          <w:color w:val="auto"/>
          <w:sz w:val="24"/>
          <w:highlight w:val="none"/>
        </w:rPr>
        <w:t>至少1名驻场</w:t>
      </w:r>
      <w:r>
        <w:rPr>
          <w:rFonts w:ascii="宋体" w:hAnsi="宋体" w:eastAsia="宋体" w:cs="宋体"/>
          <w:color w:val="auto"/>
          <w:sz w:val="24"/>
          <w:highlight w:val="none"/>
        </w:rPr>
        <w:t>工程师</w:t>
      </w:r>
      <w:r>
        <w:rPr>
          <w:rFonts w:hint="eastAsia" w:ascii="宋体" w:hAnsi="宋体" w:eastAsia="宋体" w:cs="宋体"/>
          <w:color w:val="auto"/>
          <w:sz w:val="24"/>
          <w:highlight w:val="none"/>
        </w:rPr>
        <w:t>按正常上班时间提供现场服务。如需应急响应，应由公司承担响应过程中产生的交通费用。</w:t>
      </w:r>
      <w:r>
        <w:rPr>
          <w:rFonts w:ascii="宋体" w:hAnsi="宋体" w:eastAsia="宋体" w:cs="宋体"/>
          <w:color w:val="auto"/>
          <w:sz w:val="24"/>
          <w:highlight w:val="none"/>
        </w:rPr>
        <w:t>驻场维护工程师需</w:t>
      </w:r>
      <w:r>
        <w:rPr>
          <w:rFonts w:hint="eastAsia" w:ascii="宋体" w:hAnsi="宋体" w:eastAsia="宋体" w:cs="宋体"/>
          <w:color w:val="auto"/>
          <w:sz w:val="24"/>
          <w:highlight w:val="none"/>
        </w:rPr>
        <w:t>得到血液中心信息科面试</w:t>
      </w:r>
      <w:r>
        <w:rPr>
          <w:rFonts w:ascii="宋体" w:hAnsi="宋体" w:eastAsia="宋体" w:cs="宋体"/>
          <w:color w:val="auto"/>
          <w:sz w:val="24"/>
          <w:highlight w:val="none"/>
        </w:rPr>
        <w:t>认可并接受信息</w:t>
      </w:r>
      <w:r>
        <w:rPr>
          <w:rFonts w:hint="eastAsia" w:ascii="宋体" w:hAnsi="宋体" w:eastAsia="宋体" w:cs="宋体"/>
          <w:color w:val="auto"/>
          <w:sz w:val="24"/>
          <w:highlight w:val="none"/>
        </w:rPr>
        <w:t>科</w:t>
      </w:r>
      <w:r>
        <w:rPr>
          <w:rFonts w:ascii="宋体" w:hAnsi="宋体" w:eastAsia="宋体" w:cs="宋体"/>
          <w:color w:val="auto"/>
          <w:sz w:val="24"/>
          <w:highlight w:val="none"/>
        </w:rPr>
        <w:t>的日常管理，</w:t>
      </w:r>
      <w:r>
        <w:rPr>
          <w:rFonts w:hint="eastAsia" w:ascii="宋体" w:hAnsi="宋体" w:eastAsia="宋体" w:cs="宋体"/>
          <w:color w:val="auto"/>
          <w:sz w:val="24"/>
          <w:highlight w:val="none"/>
        </w:rPr>
        <w:t>其中，正常上班时间为8:30-17:30，其他时间需要应班；驻场工程师还应</w:t>
      </w:r>
      <w:r>
        <w:rPr>
          <w:rFonts w:ascii="宋体" w:hAnsi="宋体" w:eastAsia="宋体" w:cs="宋体"/>
          <w:color w:val="auto"/>
          <w:sz w:val="24"/>
          <w:highlight w:val="none"/>
        </w:rPr>
        <w:t>遵守</w:t>
      </w:r>
      <w:r>
        <w:rPr>
          <w:rFonts w:hint="eastAsia" w:ascii="宋体" w:hAnsi="宋体" w:eastAsia="宋体" w:cs="宋体"/>
          <w:color w:val="auto"/>
          <w:sz w:val="24"/>
          <w:highlight w:val="none"/>
        </w:rPr>
        <w:t>血液中心</w:t>
      </w:r>
      <w:r>
        <w:rPr>
          <w:rFonts w:ascii="宋体" w:hAnsi="宋体" w:eastAsia="宋体" w:cs="宋体"/>
          <w:color w:val="auto"/>
          <w:sz w:val="24"/>
          <w:highlight w:val="none"/>
        </w:rPr>
        <w:t>相关规章制度，不得从事与工作无关的内容；其在工作时间内离开办公场所，须事前请假并得到同意</w:t>
      </w:r>
      <w:r>
        <w:rPr>
          <w:rFonts w:hint="eastAsia" w:ascii="宋体" w:hAnsi="宋体" w:eastAsia="宋体" w:cs="宋体"/>
          <w:color w:val="auto"/>
          <w:sz w:val="24"/>
          <w:highlight w:val="none"/>
        </w:rPr>
        <w:t>。</w:t>
      </w:r>
    </w:p>
    <w:p w14:paraId="4B26AB2D">
      <w:pPr>
        <w:spacing w:line="360" w:lineRule="auto"/>
        <w:ind w:firstLine="420"/>
        <w:rPr>
          <w:rFonts w:hint="eastAsia" w:ascii="宋体" w:hAnsi="宋体" w:eastAsia="宋体" w:cs="宋体"/>
          <w:color w:val="auto"/>
          <w:sz w:val="24"/>
          <w:highlight w:val="none"/>
        </w:rPr>
      </w:pPr>
      <w:r>
        <w:rPr>
          <w:rFonts w:ascii="宋体" w:hAnsi="宋体" w:eastAsia="宋体" w:cs="宋体"/>
          <w:color w:val="auto"/>
          <w:sz w:val="24"/>
          <w:highlight w:val="none"/>
        </w:rPr>
        <w:t>维护单位应保持上述维护人员的稳定</w:t>
      </w:r>
      <w:r>
        <w:rPr>
          <w:rFonts w:hint="eastAsia" w:ascii="宋体" w:hAnsi="宋体" w:eastAsia="宋体" w:cs="宋体"/>
          <w:color w:val="auto"/>
          <w:sz w:val="24"/>
          <w:highlight w:val="none"/>
        </w:rPr>
        <w:t>，未经血液中心信息科的同意不得中途更换驻场服务工程师。在进行人员更换及分工调整时，需事前征得血液中心信息科的同意，并提早一个月派驻工程师交接工作，交接完成提供工作交接清单。</w:t>
      </w:r>
    </w:p>
    <w:p w14:paraId="67BD9E23">
      <w:pPr>
        <w:pStyle w:val="3"/>
        <w:jc w:val="left"/>
        <w:rPr>
          <w:rFonts w:hint="eastAsia"/>
          <w:b/>
          <w:color w:val="auto"/>
          <w:sz w:val="24"/>
          <w:szCs w:val="24"/>
          <w:highlight w:val="none"/>
        </w:rPr>
      </w:pPr>
      <w:r>
        <w:rPr>
          <w:rFonts w:hint="eastAsia"/>
          <w:b/>
          <w:color w:val="auto"/>
          <w:sz w:val="24"/>
          <w:szCs w:val="24"/>
          <w:highlight w:val="none"/>
        </w:rPr>
        <w:t>2.2.2人员知识、技能与经验要求</w:t>
      </w:r>
    </w:p>
    <w:p w14:paraId="4E63D695">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维护单位组建的服务团队，其人员的知识水平和技能涵盖本次运维范围，提供服务团队各人员的学历、专业资格、运维资质证书、从事运行维护服务的时间、主持或参与运行维护服务项目的数量、金额、规模以及在项目中的角色作用等证明文件，相关证书和证明文件需提供复印件（加盖单位公章），</w:t>
      </w:r>
    </w:p>
    <w:p w14:paraId="2C4313B3">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服务团队中必须要有具有网络设备厂家（华为或华三或思科)认证（HCIE/H3CIE/CCIE高级）、具有安全厂家（天融信或深信服）认证等认证资格的专职工程师提供相应服务，投标时需提供相关资质证书证明。</w:t>
      </w:r>
    </w:p>
    <w:p w14:paraId="439134AE">
      <w:pPr>
        <w:pStyle w:val="3"/>
        <w:jc w:val="left"/>
        <w:rPr>
          <w:rFonts w:hint="eastAsia"/>
          <w:b/>
          <w:color w:val="auto"/>
          <w:sz w:val="24"/>
          <w:szCs w:val="24"/>
          <w:highlight w:val="none"/>
        </w:rPr>
      </w:pPr>
      <w:r>
        <w:rPr>
          <w:rFonts w:hint="eastAsia"/>
          <w:b/>
          <w:color w:val="auto"/>
          <w:sz w:val="24"/>
          <w:szCs w:val="24"/>
          <w:highlight w:val="none"/>
        </w:rPr>
        <w:t>2.2.3绩效考核要求</w:t>
      </w:r>
    </w:p>
    <w:p w14:paraId="46B79659">
      <w:pPr>
        <w:spacing w:line="360" w:lineRule="auto"/>
        <w:ind w:firstLine="420"/>
        <w:rPr>
          <w:color w:val="auto"/>
          <w:sz w:val="24"/>
          <w:highlight w:val="none"/>
        </w:rPr>
      </w:pPr>
      <w:r>
        <w:rPr>
          <w:rFonts w:hint="eastAsia"/>
          <w:color w:val="auto"/>
          <w:sz w:val="24"/>
          <w:highlight w:val="none"/>
        </w:rPr>
        <w:t>维护单位应建立与运行维护服务相关的考核体系或机制，每月提供一份对驻场人员的考核反馈，包括考勤、满意度调查、响应及时性、工作记录等。</w:t>
      </w:r>
    </w:p>
    <w:p w14:paraId="0D22C7E8">
      <w:pPr>
        <w:pStyle w:val="3"/>
        <w:jc w:val="left"/>
        <w:rPr>
          <w:rFonts w:hint="eastAsia"/>
          <w:b/>
          <w:color w:val="auto"/>
          <w:sz w:val="24"/>
          <w:szCs w:val="24"/>
          <w:highlight w:val="none"/>
        </w:rPr>
      </w:pPr>
      <w:r>
        <w:rPr>
          <w:rFonts w:hint="eastAsia"/>
          <w:b/>
          <w:color w:val="auto"/>
          <w:sz w:val="24"/>
          <w:szCs w:val="24"/>
          <w:highlight w:val="none"/>
        </w:rPr>
        <w:t>2.2.4培训计划</w:t>
      </w:r>
    </w:p>
    <w:p w14:paraId="732369E6">
      <w:pPr>
        <w:spacing w:line="360" w:lineRule="auto"/>
        <w:ind w:firstLine="420"/>
        <w:rPr>
          <w:color w:val="auto"/>
          <w:sz w:val="24"/>
          <w:highlight w:val="none"/>
        </w:rPr>
      </w:pPr>
      <w:r>
        <w:rPr>
          <w:rFonts w:hint="eastAsia"/>
          <w:color w:val="auto"/>
          <w:sz w:val="24"/>
          <w:highlight w:val="none"/>
        </w:rPr>
        <w:t>建立驻场人员培训计划，每个季度至少参加一次公司技术培训，培训内容包含信息安全、网络交换、数据安全、无线技术、数据中心技术等。每年参加计算机技术与软件专业技术资格培训考试或者相关信息系统管理员考试认证。</w:t>
      </w:r>
    </w:p>
    <w:p w14:paraId="50E36DF8">
      <w:pPr>
        <w:pStyle w:val="3"/>
        <w:jc w:val="left"/>
        <w:rPr>
          <w:rFonts w:hint="eastAsia"/>
          <w:b/>
          <w:color w:val="auto"/>
          <w:sz w:val="24"/>
          <w:szCs w:val="24"/>
          <w:highlight w:val="none"/>
        </w:rPr>
      </w:pPr>
      <w:r>
        <w:rPr>
          <w:rFonts w:hint="eastAsia"/>
          <w:b/>
          <w:color w:val="auto"/>
          <w:sz w:val="24"/>
          <w:szCs w:val="24"/>
          <w:highlight w:val="none"/>
        </w:rPr>
        <w:t>2.2.5信息安全服务</w:t>
      </w:r>
    </w:p>
    <w:p w14:paraId="5992C41B">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基础安全设备维护服务（全年不限次数）</w:t>
      </w:r>
    </w:p>
    <w:p w14:paraId="60DA5D57">
      <w:pPr>
        <w:spacing w:line="360" w:lineRule="auto"/>
        <w:ind w:firstLine="420"/>
        <w:rPr>
          <w:color w:val="auto"/>
          <w:sz w:val="24"/>
          <w:highlight w:val="none"/>
        </w:rPr>
      </w:pPr>
      <w:r>
        <w:rPr>
          <w:rFonts w:hint="eastAsia"/>
          <w:color w:val="auto"/>
          <w:sz w:val="24"/>
          <w:highlight w:val="none"/>
        </w:rPr>
        <w:t>建立信息安全运维服务团队，针对现有信息安全设备进行日常维护及安全配置，完善信息安全体系。</w:t>
      </w:r>
    </w:p>
    <w:p w14:paraId="6852E11E">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bookmarkStart w:id="21" w:name="_Toc481689159"/>
      <w:r>
        <w:rPr>
          <w:rFonts w:hint="eastAsia" w:asciiTheme="minorEastAsia" w:hAnsiTheme="minorEastAsia" w:eastAsiaTheme="minorEastAsia"/>
          <w:color w:val="auto"/>
          <w:sz w:val="24"/>
          <w:szCs w:val="24"/>
          <w:highlight w:val="none"/>
        </w:rPr>
        <w:t>漏洞检测服务</w:t>
      </w:r>
      <w:bookmarkEnd w:id="21"/>
      <w:r>
        <w:rPr>
          <w:rFonts w:hint="eastAsia" w:asciiTheme="minorEastAsia" w:hAnsiTheme="minorEastAsia" w:eastAsiaTheme="minorEastAsia"/>
          <w:color w:val="auto"/>
          <w:sz w:val="24"/>
          <w:szCs w:val="24"/>
          <w:highlight w:val="none"/>
        </w:rPr>
        <w:t>（全年一次）</w:t>
      </w:r>
    </w:p>
    <w:p w14:paraId="30F91444">
      <w:pPr>
        <w:spacing w:line="360" w:lineRule="auto"/>
        <w:ind w:firstLine="420"/>
        <w:rPr>
          <w:color w:val="auto"/>
          <w:sz w:val="24"/>
          <w:highlight w:val="none"/>
        </w:rPr>
      </w:pPr>
      <w:r>
        <w:rPr>
          <w:rFonts w:hint="eastAsia"/>
          <w:color w:val="auto"/>
          <w:sz w:val="24"/>
          <w:highlight w:val="none"/>
        </w:rPr>
        <w:t>安全专业人员使用安全评估工具对评估目标范围内对象进行漏洞扫描，并人工验证所发现的Web应用漏洞、主机操作系统漏洞、数据库漏洞、安全协议漏洞、逻辑缺陷、弱口令、信息泄露及配置不当等脆弱性问题。</w:t>
      </w:r>
    </w:p>
    <w:p w14:paraId="35CAAF33">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bookmarkStart w:id="22" w:name="_Toc481689164"/>
      <w:r>
        <w:rPr>
          <w:rFonts w:hint="eastAsia" w:asciiTheme="minorEastAsia" w:hAnsiTheme="minorEastAsia" w:eastAsiaTheme="minorEastAsia"/>
          <w:color w:val="auto"/>
          <w:sz w:val="24"/>
          <w:szCs w:val="24"/>
          <w:highlight w:val="none"/>
        </w:rPr>
        <w:t>渗透测试服务</w:t>
      </w:r>
      <w:bookmarkEnd w:id="22"/>
      <w:r>
        <w:rPr>
          <w:rFonts w:hint="eastAsia" w:asciiTheme="minorEastAsia" w:hAnsiTheme="minorEastAsia" w:eastAsiaTheme="minorEastAsia"/>
          <w:color w:val="auto"/>
          <w:sz w:val="24"/>
          <w:szCs w:val="24"/>
          <w:highlight w:val="none"/>
        </w:rPr>
        <w:t>（全年一次）</w:t>
      </w:r>
    </w:p>
    <w:p w14:paraId="39D3549E">
      <w:pPr>
        <w:spacing w:line="360" w:lineRule="auto"/>
        <w:ind w:firstLine="420"/>
        <w:rPr>
          <w:color w:val="auto"/>
          <w:sz w:val="24"/>
          <w:highlight w:val="none"/>
        </w:rPr>
      </w:pPr>
      <w:r>
        <w:rPr>
          <w:rFonts w:hint="eastAsia"/>
          <w:color w:val="auto"/>
          <w:sz w:val="24"/>
          <w:highlight w:val="none"/>
        </w:rPr>
        <w:t>通过专业的信息安全工具，进行扫描，而后根据分析结果，由资深安全技术工程师模拟黑客工作方式对发现的漏洞进行验证性渗透测试的服务。目的在于发现目标系统中的安全漏洞，在安全事件发生前发现安全漏洞，防范于未然，最大程度减少系统遭受黑客攻击的可能。通过渗透测试，帮助信息系统管理人员更好的保护核心业务系统。同时为安全加固提供依据，帮助业务系统安全，稳定运行。</w:t>
      </w:r>
    </w:p>
    <w:p w14:paraId="3468DC4A">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安全基线配置核查服务（全年一次）</w:t>
      </w:r>
    </w:p>
    <w:p w14:paraId="5F0D7E80">
      <w:pPr>
        <w:spacing w:line="360" w:lineRule="auto"/>
        <w:ind w:firstLine="420"/>
        <w:rPr>
          <w:color w:val="auto"/>
          <w:sz w:val="24"/>
          <w:highlight w:val="none"/>
        </w:rPr>
      </w:pPr>
      <w:r>
        <w:rPr>
          <w:rFonts w:hint="eastAsia"/>
          <w:color w:val="auto"/>
          <w:sz w:val="24"/>
          <w:highlight w:val="none"/>
        </w:rPr>
        <w:t>安全专业人员根据评估范围，基于国家信息安全等级保护标准或行业安全基线标准要求，采用人工检查用表（Checklist）、脚本程序或基线扫描工具对评估目标范围内的网络安全设备、主机系统、数据库、中间件等进行安全基线配置合规检查，并提供安全加固建议。</w:t>
      </w:r>
    </w:p>
    <w:p w14:paraId="469ABB90">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安全加固服务（全年一次）</w:t>
      </w:r>
    </w:p>
    <w:p w14:paraId="2E242036">
      <w:pPr>
        <w:spacing w:line="360" w:lineRule="auto"/>
        <w:ind w:firstLine="420"/>
        <w:rPr>
          <w:color w:val="auto"/>
          <w:sz w:val="24"/>
          <w:highlight w:val="none"/>
        </w:rPr>
      </w:pPr>
      <w:r>
        <w:rPr>
          <w:rFonts w:hint="eastAsia"/>
          <w:color w:val="auto"/>
          <w:sz w:val="24"/>
          <w:highlight w:val="none"/>
        </w:rPr>
        <w:t>根据漏洞检测、渗透测试、基线核查等安全评估的结果，结合不同的网络设备、安全产品、操作系统和应用系统的安全特性，对加固对象进行修补加固。</w:t>
      </w:r>
    </w:p>
    <w:p w14:paraId="670335AB">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 资源要求</w:t>
      </w:r>
    </w:p>
    <w:p w14:paraId="2AD76239">
      <w:pPr>
        <w:pStyle w:val="965"/>
        <w:numPr>
          <w:ilvl w:val="0"/>
          <w:numId w:val="0"/>
        </w:numPr>
        <w:spacing w:before="0" w:beforeLines="0" w:after="0" w:afterLines="0" w:line="360" w:lineRule="auto"/>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2.3.1服务受理</w:t>
      </w:r>
    </w:p>
    <w:p w14:paraId="196B328B">
      <w:pPr>
        <w:spacing w:line="360" w:lineRule="auto"/>
        <w:ind w:firstLine="420"/>
        <w:rPr>
          <w:color w:val="auto"/>
          <w:sz w:val="24"/>
          <w:highlight w:val="none"/>
        </w:rPr>
      </w:pPr>
      <w:r>
        <w:rPr>
          <w:rFonts w:hint="eastAsia"/>
          <w:color w:val="auto"/>
          <w:sz w:val="24"/>
          <w:highlight w:val="none"/>
        </w:rPr>
        <w:t>维护单位应提供热线电话、传真、网站、电子邮箱等有效手段和方法，并设定专人负责服务请求的处理，及时跟踪服务请求的处理进度。</w:t>
      </w:r>
    </w:p>
    <w:p w14:paraId="589F5765">
      <w:pPr>
        <w:pStyle w:val="965"/>
        <w:numPr>
          <w:ilvl w:val="0"/>
          <w:numId w:val="0"/>
        </w:numPr>
        <w:spacing w:before="0" w:beforeLines="0" w:after="0" w:afterLines="0" w:line="360" w:lineRule="auto"/>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2.3.2运维管理工具</w:t>
      </w:r>
    </w:p>
    <w:p w14:paraId="4AC726AD">
      <w:pPr>
        <w:spacing w:line="360" w:lineRule="auto"/>
        <w:ind w:firstLine="420"/>
        <w:rPr>
          <w:color w:val="auto"/>
          <w:sz w:val="24"/>
          <w:highlight w:val="none"/>
        </w:rPr>
      </w:pPr>
      <w:r>
        <w:rPr>
          <w:rFonts w:hint="eastAsia"/>
          <w:color w:val="auto"/>
          <w:sz w:val="24"/>
          <w:highlight w:val="none"/>
        </w:rPr>
        <w:t>维护单位需提供一套成熟的运维管理软件，供维护人员运维使用，主要要求如下：</w:t>
      </w:r>
    </w:p>
    <w:p w14:paraId="69B6DDE6">
      <w:pPr>
        <w:spacing w:line="360" w:lineRule="auto"/>
        <w:ind w:firstLine="420"/>
        <w:rPr>
          <w:rFonts w:hint="eastAsia" w:asciiTheme="minorEastAsia" w:hAnsiTheme="minorEastAsia"/>
          <w:color w:val="auto"/>
          <w:sz w:val="24"/>
          <w:highlight w:val="none"/>
        </w:rPr>
      </w:pPr>
      <w:r>
        <w:rPr>
          <w:rFonts w:hint="eastAsia" w:asciiTheme="minorEastAsia" w:hAnsiTheme="minorEastAsia"/>
          <w:color w:val="auto"/>
          <w:sz w:val="24"/>
          <w:highlight w:val="none"/>
        </w:rPr>
        <w:t>统一运维管理平台可以对网络设备进行监测和管理，内容包括网络设备的可用性、设备性能、流量管理等等。统一运维管理平台的网络设备管理系统支持的网络设备，包括各种类型的交换机、路由器、防火墙、VoIP网关设备和其他启用了SNMP协议的网络设备。</w:t>
      </w:r>
    </w:p>
    <w:p w14:paraId="33FE686E">
      <w:pPr>
        <w:spacing w:line="360" w:lineRule="auto"/>
        <w:ind w:firstLine="420"/>
        <w:rPr>
          <w:rFonts w:hint="eastAsia" w:asciiTheme="minorEastAsia" w:hAnsiTheme="minorEastAsia"/>
          <w:color w:val="auto"/>
          <w:sz w:val="24"/>
          <w:highlight w:val="none"/>
        </w:rPr>
      </w:pPr>
      <w:r>
        <w:rPr>
          <w:rFonts w:hint="eastAsia" w:asciiTheme="minorEastAsia" w:hAnsiTheme="minorEastAsia"/>
          <w:color w:val="auto"/>
          <w:sz w:val="24"/>
          <w:highlight w:val="none"/>
        </w:rPr>
        <w:t>统一运维管理平台主要面向各类网络设备的性能综合监测和分析，系统具有性能监测管理、性能数据上报管理、性能数据管理、性能阈值管理、性能分析等子功能。</w:t>
      </w:r>
      <w:bookmarkStart w:id="23" w:name="_Toc180916575"/>
      <w:bookmarkStart w:id="24" w:name="_Toc508272185"/>
    </w:p>
    <w:p w14:paraId="06C6C64A">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网络设备</w:t>
      </w:r>
      <w:bookmarkEnd w:id="23"/>
      <w:bookmarkEnd w:id="24"/>
      <w:r>
        <w:rPr>
          <w:rFonts w:hint="eastAsia" w:asciiTheme="minorEastAsia" w:hAnsiTheme="minorEastAsia" w:eastAsiaTheme="minorEastAsia"/>
          <w:color w:val="auto"/>
          <w:sz w:val="24"/>
          <w:szCs w:val="24"/>
          <w:highlight w:val="none"/>
        </w:rPr>
        <w:t>监控</w:t>
      </w:r>
    </w:p>
    <w:p w14:paraId="1C997CF8">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基于Ping或者发送SNMP Get请求监测被监控设备的连通性、网络设备的响应时间以及丢包率等，从而有效地监控整体网络状况的好坏。</w:t>
      </w:r>
    </w:p>
    <w:p w14:paraId="2B15C5C7">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网络设备层面提供包括cpu利用率、内存利用率、当前连接数、会话数（session）、</w:t>
      </w:r>
      <w:r>
        <w:rPr>
          <w:rFonts w:asciiTheme="minorEastAsia" w:hAnsiTheme="minorEastAsia"/>
          <w:color w:val="auto"/>
          <w:sz w:val="24"/>
          <w:highlight w:val="none"/>
        </w:rPr>
        <w:t>防火墙</w:t>
      </w:r>
      <w:r>
        <w:rPr>
          <w:rFonts w:hint="eastAsia" w:asciiTheme="minorEastAsia" w:hAnsiTheme="minorEastAsia"/>
          <w:color w:val="auto"/>
          <w:sz w:val="24"/>
          <w:highlight w:val="none"/>
        </w:rPr>
        <w:t>的</w:t>
      </w:r>
      <w:r>
        <w:rPr>
          <w:rFonts w:asciiTheme="minorEastAsia" w:hAnsiTheme="minorEastAsia"/>
          <w:color w:val="auto"/>
          <w:sz w:val="24"/>
          <w:highlight w:val="none"/>
        </w:rPr>
        <w:t>性能指标</w:t>
      </w:r>
      <w:r>
        <w:rPr>
          <w:rFonts w:hint="eastAsia" w:asciiTheme="minorEastAsia" w:hAnsiTheme="minorEastAsia"/>
          <w:color w:val="auto"/>
          <w:sz w:val="24"/>
          <w:highlight w:val="none"/>
        </w:rPr>
        <w:t>（</w:t>
      </w:r>
      <w:r>
        <w:rPr>
          <w:rFonts w:asciiTheme="minorEastAsia" w:hAnsiTheme="minorEastAsia"/>
          <w:color w:val="auto"/>
          <w:sz w:val="24"/>
          <w:highlight w:val="none"/>
        </w:rPr>
        <w:t>如拒绝的数据包数、丢弃的数据包</w:t>
      </w:r>
      <w:r>
        <w:rPr>
          <w:rFonts w:hint="eastAsia" w:asciiTheme="minorEastAsia" w:hAnsiTheme="minorEastAsia"/>
          <w:color w:val="auto"/>
          <w:sz w:val="24"/>
          <w:highlight w:val="none"/>
        </w:rPr>
        <w:t>、</w:t>
      </w:r>
      <w:r>
        <w:rPr>
          <w:rFonts w:asciiTheme="minorEastAsia" w:hAnsiTheme="minorEastAsia"/>
          <w:color w:val="auto"/>
          <w:sz w:val="24"/>
          <w:highlight w:val="none"/>
        </w:rPr>
        <w:t>IP欺骗攻击数、ICMP攻击数等性能参数</w:t>
      </w:r>
      <w:r>
        <w:rPr>
          <w:rFonts w:hint="eastAsia" w:asciiTheme="minorEastAsia" w:hAnsiTheme="minorEastAsia"/>
          <w:color w:val="auto"/>
          <w:sz w:val="24"/>
          <w:highlight w:val="none"/>
        </w:rPr>
        <w:t>）、配置文件的变化情况等。网络设备监测模块还提供了便于扩展的SNMP监测开发接口，通过包含具体网络设备的私有MIB，运维管理平台可以对任何启用了SNMP协议的网络设备提供更深层次的监测支持。</w:t>
      </w:r>
      <w:bookmarkStart w:id="25" w:name="_Toc180916576"/>
      <w:bookmarkStart w:id="26" w:name="_Toc508272186"/>
    </w:p>
    <w:p w14:paraId="6B0C963E">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针对网络设备的接口，提供包括接口状态、接口流量、接口丢包率等监测。</w:t>
      </w:r>
    </w:p>
    <w:bookmarkEnd w:id="25"/>
    <w:bookmarkEnd w:id="26"/>
    <w:p w14:paraId="6B113144">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bookmarkStart w:id="27" w:name="_Toc508272187"/>
      <w:r>
        <w:rPr>
          <w:rFonts w:hint="eastAsia" w:asciiTheme="minorEastAsia" w:hAnsiTheme="minorEastAsia" w:eastAsiaTheme="minorEastAsia"/>
          <w:color w:val="auto"/>
          <w:sz w:val="24"/>
          <w:szCs w:val="24"/>
          <w:highlight w:val="none"/>
        </w:rPr>
        <w:t>服务器管理</w:t>
      </w:r>
      <w:bookmarkEnd w:id="27"/>
    </w:p>
    <w:p w14:paraId="4EE1C1CD">
      <w:pPr>
        <w:spacing w:line="360" w:lineRule="auto"/>
        <w:ind w:firstLine="480" w:firstLineChars="200"/>
        <w:rPr>
          <w:rFonts w:hint="eastAsia" w:asciiTheme="minorEastAsia" w:hAnsiTheme="minorEastAsia"/>
          <w:color w:val="auto"/>
          <w:sz w:val="24"/>
          <w:highlight w:val="none"/>
        </w:rPr>
      </w:pPr>
      <w:r>
        <w:rPr>
          <w:rFonts w:asciiTheme="minorEastAsia" w:hAnsiTheme="minorEastAsia"/>
          <w:color w:val="auto"/>
          <w:sz w:val="24"/>
          <w:highlight w:val="none"/>
        </w:rPr>
        <w:t>通过采集服务器的CPU、内存、硬盘、网卡</w:t>
      </w:r>
      <w:r>
        <w:rPr>
          <w:rFonts w:hint="eastAsia" w:asciiTheme="minorEastAsia" w:hAnsiTheme="minorEastAsia"/>
          <w:color w:val="auto"/>
          <w:sz w:val="24"/>
          <w:highlight w:val="none"/>
        </w:rPr>
        <w:t>、风扇、温度、电源、功率</w:t>
      </w:r>
      <w:r>
        <w:rPr>
          <w:rFonts w:asciiTheme="minorEastAsia" w:hAnsiTheme="minorEastAsia"/>
          <w:color w:val="auto"/>
          <w:sz w:val="24"/>
          <w:highlight w:val="none"/>
        </w:rPr>
        <w:t>等硬件的关键运行参数，以及软件和应用程序的进程、服务、端口等的运行状况，对系统日志进行分类扫描查询。通过数据采集和分析，</w:t>
      </w:r>
      <w:r>
        <w:rPr>
          <w:rFonts w:hint="eastAsia" w:asciiTheme="minorEastAsia" w:hAnsiTheme="minorEastAsia"/>
          <w:color w:val="auto"/>
          <w:sz w:val="24"/>
          <w:highlight w:val="none"/>
        </w:rPr>
        <w:t>统一运维管理平台</w:t>
      </w:r>
      <w:r>
        <w:rPr>
          <w:rFonts w:asciiTheme="minorEastAsia" w:hAnsiTheme="minorEastAsia"/>
          <w:color w:val="auto"/>
          <w:sz w:val="24"/>
          <w:highlight w:val="none"/>
        </w:rPr>
        <w:t>能够及时对影响服务器运行性能的故障事件发送报警。</w:t>
      </w:r>
    </w:p>
    <w:p w14:paraId="5E5EF6E9">
      <w:pPr>
        <w:pStyle w:val="965"/>
        <w:numPr>
          <w:ilvl w:val="0"/>
          <w:numId w:val="0"/>
        </w:numPr>
        <w:spacing w:before="0" w:beforeLines="0" w:after="0" w:afterLines="0" w:line="360" w:lineRule="auto"/>
        <w:rPr>
          <w:rFonts w:hint="eastAsia" w:asciiTheme="minorEastAsia" w:hAnsiTheme="minorEastAsia" w:eastAsiaTheme="minorEastAsia"/>
          <w:color w:val="auto"/>
          <w:sz w:val="24"/>
          <w:szCs w:val="24"/>
          <w:highlight w:val="none"/>
        </w:rPr>
      </w:pPr>
      <w:bookmarkStart w:id="28" w:name="_Toc508272218"/>
      <w:r>
        <w:rPr>
          <w:rFonts w:hint="eastAsia" w:asciiTheme="minorEastAsia" w:hAnsiTheme="minorEastAsia" w:eastAsiaTheme="minorEastAsia"/>
          <w:color w:val="auto"/>
          <w:sz w:val="24"/>
          <w:szCs w:val="24"/>
          <w:highlight w:val="none"/>
        </w:rPr>
        <w:t>网络拓扑管理</w:t>
      </w:r>
      <w:bookmarkEnd w:id="28"/>
    </w:p>
    <w:p w14:paraId="498502A2">
      <w:pPr>
        <w:spacing w:line="360" w:lineRule="auto"/>
        <w:ind w:firstLine="420"/>
        <w:contextualSpacing/>
        <w:rPr>
          <w:rFonts w:hint="eastAsia" w:asciiTheme="minorEastAsia" w:hAnsiTheme="minorEastAsia"/>
          <w:b/>
          <w:color w:val="auto"/>
          <w:sz w:val="24"/>
          <w:highlight w:val="none"/>
        </w:rPr>
      </w:pPr>
      <w:r>
        <w:rPr>
          <w:rFonts w:asciiTheme="minorEastAsia" w:hAnsiTheme="minorEastAsia"/>
          <w:color w:val="auto"/>
          <w:sz w:val="24"/>
          <w:highlight w:val="none"/>
        </w:rPr>
        <w:t>网络拓扑</w:t>
      </w:r>
      <w:r>
        <w:rPr>
          <w:rFonts w:hint="eastAsia" w:asciiTheme="minorEastAsia" w:hAnsiTheme="minorEastAsia"/>
          <w:color w:val="auto"/>
          <w:sz w:val="24"/>
          <w:highlight w:val="none"/>
        </w:rPr>
        <w:t>功能可直观</w:t>
      </w:r>
      <w:r>
        <w:rPr>
          <w:rFonts w:asciiTheme="minorEastAsia" w:hAnsiTheme="minorEastAsia"/>
          <w:color w:val="auto"/>
          <w:sz w:val="24"/>
          <w:highlight w:val="none"/>
        </w:rPr>
        <w:t>显示生成的网络拓扑</w:t>
      </w:r>
      <w:r>
        <w:rPr>
          <w:rFonts w:hint="eastAsia" w:asciiTheme="minorEastAsia" w:hAnsiTheme="minorEastAsia"/>
          <w:color w:val="auto"/>
          <w:sz w:val="24"/>
          <w:highlight w:val="none"/>
        </w:rPr>
        <w:t>图</w:t>
      </w:r>
      <w:r>
        <w:rPr>
          <w:rFonts w:asciiTheme="minorEastAsia" w:hAnsiTheme="minorEastAsia"/>
          <w:color w:val="auto"/>
          <w:sz w:val="24"/>
          <w:highlight w:val="none"/>
        </w:rPr>
        <w:t>；</w:t>
      </w:r>
      <w:r>
        <w:rPr>
          <w:rFonts w:hint="eastAsia" w:asciiTheme="minorEastAsia" w:hAnsiTheme="minorEastAsia"/>
          <w:color w:val="auto"/>
          <w:sz w:val="24"/>
          <w:highlight w:val="none"/>
        </w:rPr>
        <w:t>实现</w:t>
      </w:r>
      <w:r>
        <w:rPr>
          <w:rFonts w:asciiTheme="minorEastAsia" w:hAnsiTheme="minorEastAsia"/>
          <w:color w:val="auto"/>
          <w:sz w:val="24"/>
          <w:highlight w:val="none"/>
        </w:rPr>
        <w:t>对网络中节点状态的监测，如主机系统、网络设备的运行状态</w:t>
      </w:r>
      <w:r>
        <w:rPr>
          <w:rFonts w:hint="eastAsia" w:asciiTheme="minorEastAsia" w:hAnsiTheme="minorEastAsia"/>
          <w:color w:val="auto"/>
          <w:sz w:val="24"/>
          <w:highlight w:val="none"/>
        </w:rPr>
        <w:t>；</w:t>
      </w:r>
      <w:r>
        <w:rPr>
          <w:rFonts w:asciiTheme="minorEastAsia" w:hAnsiTheme="minorEastAsia"/>
          <w:color w:val="auto"/>
          <w:sz w:val="24"/>
          <w:highlight w:val="none"/>
        </w:rPr>
        <w:t>能够看到整个</w:t>
      </w:r>
      <w:r>
        <w:rPr>
          <w:rFonts w:hint="eastAsia" w:asciiTheme="minorEastAsia" w:hAnsiTheme="minorEastAsia"/>
          <w:color w:val="auto"/>
          <w:sz w:val="24"/>
          <w:highlight w:val="none"/>
        </w:rPr>
        <w:t>运</w:t>
      </w:r>
      <w:r>
        <w:rPr>
          <w:rFonts w:asciiTheme="minorEastAsia" w:hAnsiTheme="minorEastAsia"/>
          <w:color w:val="auto"/>
          <w:sz w:val="24"/>
          <w:highlight w:val="none"/>
        </w:rPr>
        <w:t>网络拓扑结构，包括各个分布地区的子网、各个子网之间的网络连接关系、及其每一子网上的资源。</w:t>
      </w:r>
    </w:p>
    <w:p w14:paraId="35FA899C">
      <w:pPr>
        <w:adjustRightIn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提供拓扑图背景地图的定制，按照不同地域的真实地图灵活拖动网络设备，对整个地域网络分布情况提供更清晰的呈现。拓扑图支持无级别放大和缩小功能，对拓扑图上的不同网络类型的节点（网元、网元组、子网等）提供多种图标展现手段，图标展现采用自动识别和手动修改两种方式，拓扑图上的所有设备均能够自由拖动。网络拓扑图提供多种颜色的展现，网络节点设备的各种负载（CPU、MEM、设备连续运行时间等），线路流量都可以通过颜色在拓扑图上呈现。网络拓扑图完全真实的反应了网络的实际连接情况，鼠标移动到某一个网络节点都能够通过下标的方式显示该节点的详细信息，包括设备IP地址，设备名称等信息，鼠标移到连接线路则展现线路连接相关信息，包括：线路连接设备IP地址，网络设备连接接口信息，线路上下行流量等拓扑图组成元素的连接情况，设备性能，设备属性及不同子网的设备组成都能够方面查看。拓扑图上的网络节点能够提供多种组合显示方式，比如：IP地址，主机名称，设备类型， 设备OID号等，可以任意组合，并且能够隐藏不同属性及网元。拓扑图中提供拓扑图嵌套功能。该功能中可以逐层进入各级子网，来回切换网络拓扑，显示不同子网的详细信息。</w:t>
      </w:r>
    </w:p>
    <w:p w14:paraId="3E73FC10">
      <w:pPr>
        <w:pStyle w:val="965"/>
        <w:numPr>
          <w:ilvl w:val="0"/>
          <w:numId w:val="0"/>
        </w:numPr>
        <w:spacing w:before="0" w:beforeLines="0" w:after="0" w:afterLines="0" w:line="360" w:lineRule="auto"/>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2.3.3备件库</w:t>
      </w:r>
    </w:p>
    <w:p w14:paraId="523D7B4D">
      <w:pPr>
        <w:spacing w:line="360" w:lineRule="auto"/>
        <w:ind w:firstLine="420"/>
        <w:rPr>
          <w:color w:val="auto"/>
          <w:sz w:val="24"/>
          <w:highlight w:val="none"/>
        </w:rPr>
      </w:pPr>
      <w:r>
        <w:rPr>
          <w:rFonts w:hint="eastAsia"/>
          <w:color w:val="auto"/>
          <w:sz w:val="24"/>
          <w:highlight w:val="none"/>
        </w:rPr>
        <w:t>维护单位应具备并有效管理运行维护服务活动所需的备件资源，为所运行维护的设备或系统提供备件服务，满足系统恢复或正常运行的要求。需提供《备件库清单》（含可提供的备件名称、型号、数量等）。</w:t>
      </w:r>
    </w:p>
    <w:p w14:paraId="5FB78BF2">
      <w:pPr>
        <w:spacing w:line="360" w:lineRule="auto"/>
        <w:ind w:firstLine="420"/>
        <w:rPr>
          <w:color w:val="auto"/>
          <w:sz w:val="24"/>
          <w:highlight w:val="none"/>
        </w:rPr>
      </w:pPr>
      <w:r>
        <w:rPr>
          <w:rFonts w:hint="eastAsia"/>
          <w:color w:val="auto"/>
          <w:sz w:val="24"/>
          <w:highlight w:val="none"/>
        </w:rPr>
        <w:t>维护单位应自行准备驻现场工作人员日常工作所需的设备、工具（如：计算机、PC维修工具、网络测试工具等）。</w:t>
      </w:r>
    </w:p>
    <w:p w14:paraId="105FC009">
      <w:pPr>
        <w:spacing w:line="360" w:lineRule="auto"/>
        <w:ind w:firstLine="420"/>
        <w:jc w:val="center"/>
        <w:rPr>
          <w:b/>
          <w:bCs/>
          <w:color w:val="auto"/>
          <w:sz w:val="24"/>
          <w:highlight w:val="none"/>
        </w:rPr>
      </w:pPr>
      <w:r>
        <w:rPr>
          <w:b/>
          <w:bCs/>
          <w:color w:val="auto"/>
          <w:sz w:val="24"/>
          <w:highlight w:val="none"/>
        </w:rPr>
        <w:t>用户</w:t>
      </w:r>
      <w:r>
        <w:rPr>
          <w:rFonts w:hint="eastAsia"/>
          <w:b/>
          <w:bCs/>
          <w:color w:val="auto"/>
          <w:sz w:val="24"/>
          <w:highlight w:val="none"/>
        </w:rPr>
        <w:t>现场备件及驻场人员工作电脑等工具配置清单：</w:t>
      </w:r>
    </w:p>
    <w:tbl>
      <w:tblPr>
        <w:tblStyle w:val="62"/>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5475"/>
        <w:gridCol w:w="900"/>
      </w:tblGrid>
      <w:tr w14:paraId="4854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28" w:type="dxa"/>
          </w:tcPr>
          <w:p w14:paraId="0CDCB2A1">
            <w:pPr>
              <w:spacing w:line="360" w:lineRule="auto"/>
              <w:jc w:val="center"/>
              <w:rPr>
                <w:color w:val="auto"/>
                <w:sz w:val="24"/>
                <w:highlight w:val="none"/>
              </w:rPr>
            </w:pPr>
            <w:r>
              <w:rPr>
                <w:color w:val="auto"/>
                <w:sz w:val="24"/>
                <w:highlight w:val="none"/>
              </w:rPr>
              <w:t>型号</w:t>
            </w:r>
          </w:p>
        </w:tc>
        <w:tc>
          <w:tcPr>
            <w:tcW w:w="5475" w:type="dxa"/>
          </w:tcPr>
          <w:p w14:paraId="40E08F6F">
            <w:pPr>
              <w:spacing w:line="360" w:lineRule="auto"/>
              <w:jc w:val="center"/>
              <w:rPr>
                <w:color w:val="auto"/>
                <w:sz w:val="24"/>
                <w:highlight w:val="none"/>
              </w:rPr>
            </w:pPr>
            <w:r>
              <w:rPr>
                <w:color w:val="auto"/>
                <w:sz w:val="24"/>
                <w:highlight w:val="none"/>
              </w:rPr>
              <w:t>配置</w:t>
            </w:r>
          </w:p>
        </w:tc>
        <w:tc>
          <w:tcPr>
            <w:tcW w:w="900" w:type="dxa"/>
          </w:tcPr>
          <w:p w14:paraId="7A2DACC3">
            <w:pPr>
              <w:spacing w:line="360" w:lineRule="auto"/>
              <w:jc w:val="center"/>
              <w:rPr>
                <w:color w:val="auto"/>
                <w:sz w:val="24"/>
                <w:highlight w:val="none"/>
              </w:rPr>
            </w:pPr>
            <w:r>
              <w:rPr>
                <w:color w:val="auto"/>
                <w:sz w:val="24"/>
                <w:highlight w:val="none"/>
              </w:rPr>
              <w:t>数量</w:t>
            </w:r>
          </w:p>
        </w:tc>
      </w:tr>
      <w:tr w14:paraId="25EF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28" w:type="dxa"/>
          </w:tcPr>
          <w:p w14:paraId="6836E60C">
            <w:pPr>
              <w:spacing w:line="360" w:lineRule="auto"/>
              <w:rPr>
                <w:rFonts w:eastAsia="宋体"/>
                <w:color w:val="auto"/>
                <w:sz w:val="24"/>
                <w:highlight w:val="none"/>
              </w:rPr>
            </w:pPr>
            <w:r>
              <w:rPr>
                <w:rFonts w:hint="eastAsia"/>
                <w:color w:val="auto"/>
                <w:sz w:val="24"/>
                <w:highlight w:val="none"/>
              </w:rPr>
              <w:t>服务器</w:t>
            </w:r>
          </w:p>
        </w:tc>
        <w:tc>
          <w:tcPr>
            <w:tcW w:w="5475" w:type="dxa"/>
          </w:tcPr>
          <w:p w14:paraId="7E3332C9">
            <w:pPr>
              <w:spacing w:line="360" w:lineRule="auto"/>
              <w:rPr>
                <w:color w:val="auto"/>
                <w:sz w:val="24"/>
                <w:highlight w:val="none"/>
              </w:rPr>
            </w:pPr>
            <w:r>
              <w:rPr>
                <w:rFonts w:hint="eastAsia"/>
                <w:color w:val="auto"/>
                <w:sz w:val="24"/>
                <w:highlight w:val="none"/>
              </w:rPr>
              <w:t>不低于</w:t>
            </w:r>
            <w:r>
              <w:rPr>
                <w:color w:val="auto"/>
                <w:sz w:val="24"/>
                <w:highlight w:val="none"/>
              </w:rPr>
              <w:t xml:space="preserve">2*E5-2620 CPU </w:t>
            </w:r>
            <w:r>
              <w:rPr>
                <w:rFonts w:hint="eastAsia"/>
                <w:color w:val="auto"/>
                <w:sz w:val="24"/>
                <w:highlight w:val="none"/>
              </w:rPr>
              <w:t>，</w:t>
            </w:r>
            <w:r>
              <w:rPr>
                <w:color w:val="auto"/>
                <w:sz w:val="24"/>
                <w:highlight w:val="none"/>
              </w:rPr>
              <w:t>64GB</w:t>
            </w:r>
            <w:r>
              <w:rPr>
                <w:rFonts w:hint="eastAsia"/>
                <w:color w:val="auto"/>
                <w:sz w:val="24"/>
                <w:highlight w:val="none"/>
              </w:rPr>
              <w:t>内存，</w:t>
            </w:r>
            <w:r>
              <w:rPr>
                <w:color w:val="auto"/>
                <w:sz w:val="24"/>
                <w:highlight w:val="none"/>
              </w:rPr>
              <w:t>2*300GB</w:t>
            </w:r>
            <w:r>
              <w:rPr>
                <w:rFonts w:hint="eastAsia"/>
                <w:color w:val="auto"/>
                <w:sz w:val="24"/>
                <w:highlight w:val="none"/>
              </w:rPr>
              <w:t>硬盘</w:t>
            </w:r>
          </w:p>
        </w:tc>
        <w:tc>
          <w:tcPr>
            <w:tcW w:w="900" w:type="dxa"/>
          </w:tcPr>
          <w:p w14:paraId="2EB625B4">
            <w:pPr>
              <w:spacing w:line="360" w:lineRule="auto"/>
              <w:jc w:val="center"/>
              <w:rPr>
                <w:color w:val="auto"/>
                <w:sz w:val="24"/>
                <w:highlight w:val="none"/>
              </w:rPr>
            </w:pPr>
            <w:r>
              <w:rPr>
                <w:rFonts w:hint="eastAsia"/>
                <w:color w:val="auto"/>
                <w:sz w:val="24"/>
                <w:highlight w:val="none"/>
              </w:rPr>
              <w:t>1</w:t>
            </w:r>
          </w:p>
        </w:tc>
      </w:tr>
      <w:tr w14:paraId="725C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28" w:type="dxa"/>
          </w:tcPr>
          <w:p w14:paraId="623AE925">
            <w:pPr>
              <w:spacing w:line="360" w:lineRule="auto"/>
              <w:rPr>
                <w:color w:val="auto"/>
                <w:sz w:val="24"/>
                <w:highlight w:val="none"/>
              </w:rPr>
            </w:pPr>
            <w:r>
              <w:rPr>
                <w:rFonts w:hint="eastAsia"/>
                <w:color w:val="auto"/>
                <w:sz w:val="24"/>
                <w:highlight w:val="none"/>
              </w:rPr>
              <w:t>华三接入交换机</w:t>
            </w:r>
          </w:p>
        </w:tc>
        <w:tc>
          <w:tcPr>
            <w:tcW w:w="5475" w:type="dxa"/>
          </w:tcPr>
          <w:p w14:paraId="347B569F">
            <w:pPr>
              <w:spacing w:line="360" w:lineRule="auto"/>
              <w:rPr>
                <w:color w:val="auto"/>
                <w:sz w:val="24"/>
                <w:highlight w:val="none"/>
              </w:rPr>
            </w:pPr>
            <w:r>
              <w:rPr>
                <w:color w:val="auto"/>
                <w:sz w:val="24"/>
                <w:highlight w:val="none"/>
              </w:rPr>
              <w:t>24</w:t>
            </w:r>
            <w:r>
              <w:rPr>
                <w:rFonts w:hint="eastAsia"/>
                <w:color w:val="auto"/>
                <w:sz w:val="24"/>
                <w:highlight w:val="none"/>
              </w:rPr>
              <w:t>千兆电口</w:t>
            </w:r>
          </w:p>
        </w:tc>
        <w:tc>
          <w:tcPr>
            <w:tcW w:w="900" w:type="dxa"/>
          </w:tcPr>
          <w:p w14:paraId="257AD02A">
            <w:pPr>
              <w:spacing w:line="360" w:lineRule="auto"/>
              <w:jc w:val="center"/>
              <w:rPr>
                <w:color w:val="auto"/>
                <w:sz w:val="24"/>
                <w:highlight w:val="none"/>
              </w:rPr>
            </w:pPr>
            <w:r>
              <w:rPr>
                <w:rFonts w:hint="eastAsia"/>
                <w:color w:val="auto"/>
                <w:sz w:val="24"/>
                <w:highlight w:val="none"/>
              </w:rPr>
              <w:t>1</w:t>
            </w:r>
          </w:p>
        </w:tc>
      </w:tr>
      <w:tr w14:paraId="1172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928" w:type="dxa"/>
          </w:tcPr>
          <w:p w14:paraId="1DB3495D">
            <w:pPr>
              <w:spacing w:line="360" w:lineRule="auto"/>
              <w:rPr>
                <w:color w:val="auto"/>
                <w:sz w:val="24"/>
                <w:highlight w:val="none"/>
              </w:rPr>
            </w:pPr>
            <w:r>
              <w:rPr>
                <w:rFonts w:hint="eastAsia"/>
                <w:color w:val="auto"/>
                <w:sz w:val="24"/>
                <w:highlight w:val="none"/>
              </w:rPr>
              <w:t>深信服防火墙</w:t>
            </w:r>
          </w:p>
        </w:tc>
        <w:tc>
          <w:tcPr>
            <w:tcW w:w="5475" w:type="dxa"/>
          </w:tcPr>
          <w:p w14:paraId="712A1D46">
            <w:pPr>
              <w:spacing w:line="360" w:lineRule="auto"/>
              <w:rPr>
                <w:color w:val="auto"/>
                <w:sz w:val="24"/>
                <w:highlight w:val="none"/>
              </w:rPr>
            </w:pPr>
            <w:r>
              <w:rPr>
                <w:color w:val="auto"/>
                <w:sz w:val="24"/>
                <w:highlight w:val="none"/>
              </w:rPr>
              <w:t>4</w:t>
            </w:r>
            <w:r>
              <w:rPr>
                <w:rFonts w:hint="eastAsia"/>
                <w:color w:val="auto"/>
                <w:sz w:val="24"/>
                <w:highlight w:val="none"/>
              </w:rPr>
              <w:t>千兆电口，规则库最新</w:t>
            </w:r>
          </w:p>
        </w:tc>
        <w:tc>
          <w:tcPr>
            <w:tcW w:w="900" w:type="dxa"/>
          </w:tcPr>
          <w:p w14:paraId="22B6B513">
            <w:pPr>
              <w:spacing w:line="360" w:lineRule="auto"/>
              <w:jc w:val="center"/>
              <w:rPr>
                <w:color w:val="auto"/>
                <w:sz w:val="24"/>
                <w:highlight w:val="none"/>
              </w:rPr>
            </w:pPr>
            <w:r>
              <w:rPr>
                <w:color w:val="auto"/>
                <w:sz w:val="24"/>
                <w:highlight w:val="none"/>
              </w:rPr>
              <w:t>1</w:t>
            </w:r>
          </w:p>
        </w:tc>
      </w:tr>
      <w:tr w14:paraId="1ED0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5BAAD89F">
            <w:pPr>
              <w:spacing w:line="360" w:lineRule="auto"/>
              <w:rPr>
                <w:color w:val="auto"/>
                <w:sz w:val="24"/>
                <w:highlight w:val="none"/>
              </w:rPr>
            </w:pPr>
            <w:r>
              <w:rPr>
                <w:color w:val="auto"/>
                <w:sz w:val="24"/>
                <w:highlight w:val="none"/>
              </w:rPr>
              <w:t>深信服</w:t>
            </w:r>
            <w:r>
              <w:rPr>
                <w:rFonts w:hint="eastAsia"/>
                <w:color w:val="auto"/>
                <w:sz w:val="24"/>
                <w:highlight w:val="none"/>
              </w:rPr>
              <w:t>上网行为管理设备</w:t>
            </w:r>
          </w:p>
        </w:tc>
        <w:tc>
          <w:tcPr>
            <w:tcW w:w="5475" w:type="dxa"/>
          </w:tcPr>
          <w:p w14:paraId="726B19CA">
            <w:pPr>
              <w:spacing w:line="360" w:lineRule="auto"/>
              <w:rPr>
                <w:color w:val="auto"/>
                <w:sz w:val="24"/>
                <w:highlight w:val="none"/>
              </w:rPr>
            </w:pPr>
            <w:r>
              <w:rPr>
                <w:color w:val="auto"/>
                <w:sz w:val="24"/>
                <w:highlight w:val="none"/>
              </w:rPr>
              <w:t>2</w:t>
            </w:r>
            <w:r>
              <w:rPr>
                <w:rFonts w:hint="eastAsia"/>
                <w:color w:val="auto"/>
                <w:sz w:val="24"/>
                <w:highlight w:val="none"/>
              </w:rPr>
              <w:t>千兆</w:t>
            </w:r>
            <w:r>
              <w:rPr>
                <w:color w:val="auto"/>
                <w:sz w:val="24"/>
                <w:highlight w:val="none"/>
              </w:rPr>
              <w:t>电口</w:t>
            </w:r>
            <w:r>
              <w:rPr>
                <w:rFonts w:hint="eastAsia"/>
                <w:color w:val="auto"/>
                <w:sz w:val="24"/>
                <w:highlight w:val="none"/>
              </w:rPr>
              <w:t>，</w:t>
            </w:r>
            <w:r>
              <w:rPr>
                <w:color w:val="auto"/>
                <w:sz w:val="24"/>
                <w:highlight w:val="none"/>
              </w:rPr>
              <w:t>100</w:t>
            </w:r>
            <w:r>
              <w:rPr>
                <w:rFonts w:hint="eastAsia"/>
                <w:color w:val="auto"/>
                <w:sz w:val="24"/>
                <w:highlight w:val="none"/>
              </w:rPr>
              <w:t>客户</w:t>
            </w:r>
            <w:r>
              <w:rPr>
                <w:color w:val="auto"/>
                <w:sz w:val="24"/>
                <w:highlight w:val="none"/>
              </w:rPr>
              <w:t>端许可</w:t>
            </w:r>
            <w:r>
              <w:rPr>
                <w:rFonts w:hint="eastAsia"/>
                <w:color w:val="auto"/>
                <w:sz w:val="24"/>
                <w:highlight w:val="none"/>
              </w:rPr>
              <w:t>，规则库最新</w:t>
            </w:r>
          </w:p>
        </w:tc>
        <w:tc>
          <w:tcPr>
            <w:tcW w:w="900" w:type="dxa"/>
          </w:tcPr>
          <w:p w14:paraId="3EA4799F">
            <w:pPr>
              <w:spacing w:line="360" w:lineRule="auto"/>
              <w:jc w:val="center"/>
              <w:rPr>
                <w:color w:val="auto"/>
                <w:sz w:val="24"/>
                <w:highlight w:val="none"/>
              </w:rPr>
            </w:pPr>
            <w:r>
              <w:rPr>
                <w:color w:val="auto"/>
                <w:sz w:val="24"/>
                <w:highlight w:val="none"/>
              </w:rPr>
              <w:t>1</w:t>
            </w:r>
          </w:p>
        </w:tc>
      </w:tr>
      <w:tr w14:paraId="5F26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66BC4E9B">
            <w:pPr>
              <w:spacing w:line="360" w:lineRule="auto"/>
              <w:rPr>
                <w:color w:val="auto"/>
                <w:sz w:val="24"/>
                <w:highlight w:val="none"/>
              </w:rPr>
            </w:pPr>
            <w:r>
              <w:rPr>
                <w:rFonts w:hint="eastAsia"/>
                <w:color w:val="auto"/>
                <w:sz w:val="24"/>
                <w:highlight w:val="none"/>
              </w:rPr>
              <w:t>服务器硬盘</w:t>
            </w:r>
          </w:p>
        </w:tc>
        <w:tc>
          <w:tcPr>
            <w:tcW w:w="5475" w:type="dxa"/>
          </w:tcPr>
          <w:p w14:paraId="470FDEB2">
            <w:pPr>
              <w:spacing w:line="360" w:lineRule="auto"/>
              <w:rPr>
                <w:color w:val="auto"/>
                <w:sz w:val="24"/>
                <w:highlight w:val="none"/>
              </w:rPr>
            </w:pPr>
            <w:r>
              <w:rPr>
                <w:color w:val="auto"/>
                <w:sz w:val="24"/>
                <w:highlight w:val="none"/>
              </w:rPr>
              <w:t>300GB</w:t>
            </w:r>
          </w:p>
        </w:tc>
        <w:tc>
          <w:tcPr>
            <w:tcW w:w="900" w:type="dxa"/>
          </w:tcPr>
          <w:p w14:paraId="66A1A83A">
            <w:pPr>
              <w:spacing w:line="360" w:lineRule="auto"/>
              <w:jc w:val="center"/>
              <w:rPr>
                <w:color w:val="auto"/>
                <w:sz w:val="24"/>
                <w:highlight w:val="none"/>
              </w:rPr>
            </w:pPr>
            <w:r>
              <w:rPr>
                <w:color w:val="auto"/>
                <w:sz w:val="24"/>
                <w:highlight w:val="none"/>
              </w:rPr>
              <w:t>3</w:t>
            </w:r>
          </w:p>
        </w:tc>
      </w:tr>
      <w:tr w14:paraId="482C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0856E4A6">
            <w:pPr>
              <w:spacing w:line="360" w:lineRule="auto"/>
              <w:rPr>
                <w:color w:val="auto"/>
                <w:sz w:val="24"/>
                <w:highlight w:val="none"/>
              </w:rPr>
            </w:pPr>
            <w:r>
              <w:rPr>
                <w:rFonts w:hint="eastAsia"/>
                <w:color w:val="auto"/>
                <w:sz w:val="24"/>
                <w:highlight w:val="none"/>
              </w:rPr>
              <w:t>服务器内存</w:t>
            </w:r>
          </w:p>
        </w:tc>
        <w:tc>
          <w:tcPr>
            <w:tcW w:w="5475" w:type="dxa"/>
          </w:tcPr>
          <w:p w14:paraId="0C28D24A">
            <w:pPr>
              <w:spacing w:line="360" w:lineRule="auto"/>
              <w:rPr>
                <w:color w:val="auto"/>
                <w:sz w:val="24"/>
                <w:highlight w:val="none"/>
              </w:rPr>
            </w:pPr>
            <w:r>
              <w:rPr>
                <w:color w:val="auto"/>
                <w:sz w:val="24"/>
                <w:highlight w:val="none"/>
              </w:rPr>
              <w:t>8GB</w:t>
            </w:r>
          </w:p>
        </w:tc>
        <w:tc>
          <w:tcPr>
            <w:tcW w:w="900" w:type="dxa"/>
          </w:tcPr>
          <w:p w14:paraId="34F3028A">
            <w:pPr>
              <w:spacing w:line="360" w:lineRule="auto"/>
              <w:jc w:val="center"/>
              <w:rPr>
                <w:color w:val="auto"/>
                <w:sz w:val="24"/>
                <w:highlight w:val="none"/>
              </w:rPr>
            </w:pPr>
            <w:r>
              <w:rPr>
                <w:rFonts w:hint="eastAsia"/>
                <w:color w:val="auto"/>
                <w:sz w:val="24"/>
                <w:highlight w:val="none"/>
              </w:rPr>
              <w:t>3</w:t>
            </w:r>
          </w:p>
        </w:tc>
      </w:tr>
      <w:tr w14:paraId="13AB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56871273">
            <w:pPr>
              <w:spacing w:line="360" w:lineRule="auto"/>
              <w:rPr>
                <w:color w:val="auto"/>
                <w:sz w:val="24"/>
                <w:highlight w:val="none"/>
              </w:rPr>
            </w:pPr>
            <w:r>
              <w:rPr>
                <w:rFonts w:hint="eastAsia"/>
                <w:color w:val="auto"/>
                <w:sz w:val="24"/>
                <w:highlight w:val="none"/>
              </w:rPr>
              <w:t>交换机光模块</w:t>
            </w:r>
          </w:p>
        </w:tc>
        <w:tc>
          <w:tcPr>
            <w:tcW w:w="5475" w:type="dxa"/>
          </w:tcPr>
          <w:p w14:paraId="6089A175">
            <w:pPr>
              <w:spacing w:line="360" w:lineRule="auto"/>
              <w:rPr>
                <w:color w:val="auto"/>
                <w:sz w:val="24"/>
                <w:highlight w:val="none"/>
              </w:rPr>
            </w:pPr>
            <w:r>
              <w:rPr>
                <w:rFonts w:hint="eastAsia"/>
                <w:color w:val="auto"/>
                <w:sz w:val="24"/>
                <w:highlight w:val="none"/>
              </w:rPr>
              <w:t>千兆多模模块</w:t>
            </w:r>
          </w:p>
        </w:tc>
        <w:tc>
          <w:tcPr>
            <w:tcW w:w="900" w:type="dxa"/>
          </w:tcPr>
          <w:p w14:paraId="7E3C14DD">
            <w:pPr>
              <w:spacing w:line="360" w:lineRule="auto"/>
              <w:jc w:val="center"/>
              <w:rPr>
                <w:color w:val="auto"/>
                <w:sz w:val="24"/>
                <w:highlight w:val="none"/>
              </w:rPr>
            </w:pPr>
            <w:r>
              <w:rPr>
                <w:color w:val="auto"/>
                <w:sz w:val="24"/>
                <w:highlight w:val="none"/>
              </w:rPr>
              <w:t>3</w:t>
            </w:r>
          </w:p>
        </w:tc>
      </w:tr>
      <w:tr w14:paraId="1BC3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6EC68CCE">
            <w:pPr>
              <w:spacing w:line="360" w:lineRule="auto"/>
              <w:rPr>
                <w:color w:val="auto"/>
                <w:sz w:val="24"/>
                <w:highlight w:val="none"/>
              </w:rPr>
            </w:pPr>
            <w:r>
              <w:rPr>
                <w:color w:val="auto"/>
                <w:sz w:val="24"/>
                <w:highlight w:val="none"/>
              </w:rPr>
              <w:t>Dell 电脑</w:t>
            </w:r>
          </w:p>
        </w:tc>
        <w:tc>
          <w:tcPr>
            <w:tcW w:w="5475" w:type="dxa"/>
          </w:tcPr>
          <w:p w14:paraId="6982D3BF">
            <w:pPr>
              <w:spacing w:line="360" w:lineRule="auto"/>
              <w:rPr>
                <w:color w:val="auto"/>
                <w:sz w:val="24"/>
                <w:highlight w:val="none"/>
              </w:rPr>
            </w:pPr>
            <w:r>
              <w:rPr>
                <w:rFonts w:hint="eastAsia"/>
                <w:color w:val="auto"/>
                <w:sz w:val="24"/>
                <w:highlight w:val="none"/>
              </w:rPr>
              <w:t>不低于</w:t>
            </w:r>
            <w:r>
              <w:rPr>
                <w:color w:val="auto"/>
                <w:sz w:val="24"/>
                <w:highlight w:val="none"/>
              </w:rPr>
              <w:t>I5</w:t>
            </w:r>
            <w:r>
              <w:rPr>
                <w:rFonts w:hint="eastAsia"/>
                <w:color w:val="auto"/>
                <w:sz w:val="24"/>
                <w:highlight w:val="none"/>
              </w:rPr>
              <w:t xml:space="preserve"> CPU，</w:t>
            </w:r>
            <w:r>
              <w:rPr>
                <w:color w:val="auto"/>
                <w:sz w:val="24"/>
                <w:highlight w:val="none"/>
              </w:rPr>
              <w:t>4</w:t>
            </w:r>
            <w:r>
              <w:rPr>
                <w:rFonts w:hint="eastAsia"/>
                <w:color w:val="auto"/>
                <w:sz w:val="24"/>
                <w:highlight w:val="none"/>
              </w:rPr>
              <w:t>GB</w:t>
            </w:r>
            <w:r>
              <w:rPr>
                <w:color w:val="auto"/>
                <w:sz w:val="24"/>
                <w:highlight w:val="none"/>
              </w:rPr>
              <w:t>内存 500</w:t>
            </w:r>
            <w:r>
              <w:rPr>
                <w:rFonts w:hint="eastAsia"/>
                <w:color w:val="auto"/>
                <w:sz w:val="24"/>
                <w:highlight w:val="none"/>
              </w:rPr>
              <w:t>GB</w:t>
            </w:r>
            <w:r>
              <w:rPr>
                <w:color w:val="auto"/>
                <w:sz w:val="24"/>
                <w:highlight w:val="none"/>
              </w:rPr>
              <w:t>硬盘</w:t>
            </w:r>
          </w:p>
        </w:tc>
        <w:tc>
          <w:tcPr>
            <w:tcW w:w="900" w:type="dxa"/>
          </w:tcPr>
          <w:p w14:paraId="57614E0A">
            <w:pPr>
              <w:spacing w:line="360" w:lineRule="auto"/>
              <w:jc w:val="center"/>
              <w:rPr>
                <w:color w:val="auto"/>
                <w:sz w:val="24"/>
                <w:highlight w:val="none"/>
              </w:rPr>
            </w:pPr>
            <w:r>
              <w:rPr>
                <w:rFonts w:hint="eastAsia"/>
                <w:color w:val="auto"/>
                <w:sz w:val="24"/>
                <w:highlight w:val="none"/>
              </w:rPr>
              <w:t>2</w:t>
            </w:r>
          </w:p>
        </w:tc>
      </w:tr>
      <w:tr w14:paraId="5F6C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3D1F7E27">
            <w:pPr>
              <w:spacing w:line="360" w:lineRule="auto"/>
              <w:rPr>
                <w:rFonts w:eastAsia="宋体"/>
                <w:color w:val="auto"/>
                <w:sz w:val="24"/>
                <w:highlight w:val="none"/>
              </w:rPr>
            </w:pPr>
            <w:r>
              <w:rPr>
                <w:rFonts w:hint="eastAsia"/>
                <w:color w:val="auto"/>
                <w:sz w:val="24"/>
                <w:highlight w:val="none"/>
              </w:rPr>
              <w:t>PC维修工具</w:t>
            </w:r>
          </w:p>
        </w:tc>
        <w:tc>
          <w:tcPr>
            <w:tcW w:w="5475" w:type="dxa"/>
          </w:tcPr>
          <w:p w14:paraId="318B108B">
            <w:pPr>
              <w:spacing w:line="360" w:lineRule="auto"/>
              <w:rPr>
                <w:color w:val="auto"/>
                <w:sz w:val="24"/>
                <w:highlight w:val="none"/>
              </w:rPr>
            </w:pPr>
            <w:r>
              <w:rPr>
                <w:rFonts w:hint="eastAsia"/>
                <w:color w:val="auto"/>
                <w:sz w:val="24"/>
                <w:highlight w:val="none"/>
              </w:rPr>
              <w:t>/</w:t>
            </w:r>
          </w:p>
        </w:tc>
        <w:tc>
          <w:tcPr>
            <w:tcW w:w="900" w:type="dxa"/>
          </w:tcPr>
          <w:p w14:paraId="2A05C72C">
            <w:pPr>
              <w:spacing w:line="360" w:lineRule="auto"/>
              <w:jc w:val="center"/>
              <w:rPr>
                <w:rFonts w:eastAsia="宋体"/>
                <w:color w:val="auto"/>
                <w:sz w:val="24"/>
                <w:highlight w:val="none"/>
              </w:rPr>
            </w:pPr>
            <w:r>
              <w:rPr>
                <w:rFonts w:hint="eastAsia"/>
                <w:color w:val="auto"/>
                <w:sz w:val="24"/>
                <w:highlight w:val="none"/>
              </w:rPr>
              <w:t>1</w:t>
            </w:r>
          </w:p>
        </w:tc>
      </w:tr>
      <w:tr w14:paraId="3810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28" w:type="dxa"/>
          </w:tcPr>
          <w:p w14:paraId="71BDCCC8">
            <w:pPr>
              <w:spacing w:line="360" w:lineRule="auto"/>
              <w:rPr>
                <w:color w:val="auto"/>
                <w:sz w:val="24"/>
                <w:highlight w:val="none"/>
              </w:rPr>
            </w:pPr>
            <w:r>
              <w:rPr>
                <w:rFonts w:hint="eastAsia"/>
                <w:color w:val="auto"/>
                <w:sz w:val="24"/>
                <w:highlight w:val="none"/>
              </w:rPr>
              <w:t>网络安全测试工具</w:t>
            </w:r>
          </w:p>
        </w:tc>
        <w:tc>
          <w:tcPr>
            <w:tcW w:w="5475" w:type="dxa"/>
          </w:tcPr>
          <w:p w14:paraId="691D495F">
            <w:pPr>
              <w:spacing w:line="360" w:lineRule="auto"/>
              <w:rPr>
                <w:color w:val="auto"/>
                <w:sz w:val="24"/>
                <w:highlight w:val="none"/>
              </w:rPr>
            </w:pPr>
            <w:r>
              <w:rPr>
                <w:rFonts w:hint="eastAsia"/>
                <w:color w:val="auto"/>
                <w:sz w:val="24"/>
                <w:highlight w:val="none"/>
              </w:rPr>
              <w:t>/</w:t>
            </w:r>
          </w:p>
        </w:tc>
        <w:tc>
          <w:tcPr>
            <w:tcW w:w="900" w:type="dxa"/>
          </w:tcPr>
          <w:p w14:paraId="0687245A">
            <w:pPr>
              <w:spacing w:line="360" w:lineRule="auto"/>
              <w:jc w:val="center"/>
              <w:rPr>
                <w:rFonts w:eastAsia="宋体"/>
                <w:color w:val="auto"/>
                <w:sz w:val="24"/>
                <w:highlight w:val="none"/>
              </w:rPr>
            </w:pPr>
            <w:r>
              <w:rPr>
                <w:rFonts w:hint="eastAsia"/>
                <w:color w:val="auto"/>
                <w:sz w:val="24"/>
                <w:highlight w:val="none"/>
              </w:rPr>
              <w:t>1</w:t>
            </w:r>
          </w:p>
        </w:tc>
      </w:tr>
    </w:tbl>
    <w:p w14:paraId="390BA5E8">
      <w:pPr>
        <w:pStyle w:val="965"/>
        <w:numPr>
          <w:ilvl w:val="0"/>
          <w:numId w:val="0"/>
        </w:numPr>
        <w:spacing w:before="0" w:beforeLines="0" w:after="0" w:afterLines="0" w:line="360" w:lineRule="auto"/>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2.3.4知识库</w:t>
      </w:r>
    </w:p>
    <w:p w14:paraId="3FDB5C9A">
      <w:pPr>
        <w:spacing w:line="360" w:lineRule="auto"/>
        <w:ind w:firstLine="420"/>
        <w:rPr>
          <w:color w:val="auto"/>
          <w:sz w:val="24"/>
          <w:highlight w:val="none"/>
        </w:rPr>
      </w:pPr>
      <w:r>
        <w:rPr>
          <w:rFonts w:hint="eastAsia"/>
          <w:color w:val="auto"/>
          <w:sz w:val="24"/>
          <w:highlight w:val="none"/>
        </w:rPr>
        <w:t>维护单位应建立服务活动相关的知识库，如：常见问题的描述、分析和解决方法等。</w:t>
      </w:r>
    </w:p>
    <w:p w14:paraId="488BD9B8">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2.4 过程管理</w:t>
      </w:r>
    </w:p>
    <w:p w14:paraId="3DE97F72">
      <w:pPr>
        <w:pStyle w:val="965"/>
        <w:numPr>
          <w:ilvl w:val="0"/>
          <w:numId w:val="0"/>
        </w:numPr>
        <w:spacing w:beforeLines="0" w:afterLines="0"/>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2.4.1信息安全要求</w:t>
      </w:r>
    </w:p>
    <w:p w14:paraId="545DDB6B">
      <w:pPr>
        <w:spacing w:line="360" w:lineRule="auto"/>
        <w:ind w:firstLine="420"/>
        <w:rPr>
          <w:color w:val="auto"/>
          <w:sz w:val="24"/>
          <w:highlight w:val="none"/>
        </w:rPr>
      </w:pPr>
      <w:r>
        <w:rPr>
          <w:rFonts w:hint="eastAsia"/>
          <w:color w:val="auto"/>
          <w:sz w:val="24"/>
          <w:highlight w:val="none"/>
        </w:rPr>
        <w:t>维护单位应采取各种安全手段或措施，有效控制运行维护服务的各个环节，确保运行维护过程中的信息安全。服务人员应遵守中心的有关制度，对服务过程中获知的献血者等相关信息及资料做好保密工作。</w:t>
      </w:r>
    </w:p>
    <w:p w14:paraId="5687B969">
      <w:pPr>
        <w:spacing w:line="360" w:lineRule="auto"/>
        <w:ind w:firstLine="420"/>
        <w:rPr>
          <w:rFonts w:hint="eastAsia" w:ascii="宋体" w:hAnsi="宋体" w:eastAsia="宋体" w:cs="宋体"/>
          <w:color w:val="auto"/>
          <w:sz w:val="24"/>
          <w:highlight w:val="none"/>
        </w:rPr>
      </w:pPr>
      <w:r>
        <w:rPr>
          <w:rFonts w:ascii="宋体" w:hAnsi="宋体" w:eastAsia="宋体" w:cs="宋体"/>
          <w:color w:val="auto"/>
          <w:sz w:val="24"/>
          <w:highlight w:val="none"/>
        </w:rPr>
        <w:t>未经</w:t>
      </w:r>
      <w:r>
        <w:rPr>
          <w:rFonts w:hint="eastAsia" w:ascii="宋体" w:hAnsi="宋体" w:eastAsia="宋体" w:cs="宋体"/>
          <w:color w:val="auto"/>
          <w:sz w:val="24"/>
          <w:highlight w:val="none"/>
        </w:rPr>
        <w:t>血液中心</w:t>
      </w:r>
      <w:r>
        <w:rPr>
          <w:rFonts w:ascii="宋体" w:hAnsi="宋体" w:eastAsia="宋体" w:cs="宋体"/>
          <w:color w:val="auto"/>
          <w:sz w:val="24"/>
          <w:highlight w:val="none"/>
        </w:rPr>
        <w:t>信息</w:t>
      </w:r>
      <w:r>
        <w:rPr>
          <w:rFonts w:hint="eastAsia" w:ascii="宋体" w:hAnsi="宋体" w:eastAsia="宋体" w:cs="宋体"/>
          <w:color w:val="auto"/>
          <w:sz w:val="24"/>
          <w:highlight w:val="none"/>
        </w:rPr>
        <w:t>科</w:t>
      </w:r>
      <w:r>
        <w:rPr>
          <w:rFonts w:ascii="宋体" w:hAnsi="宋体" w:eastAsia="宋体" w:cs="宋体"/>
          <w:color w:val="auto"/>
          <w:sz w:val="24"/>
          <w:highlight w:val="none"/>
        </w:rPr>
        <w:t>管理人员的许可不得将各种带有信息的介质带出单位。</w:t>
      </w:r>
    </w:p>
    <w:p w14:paraId="2A5176FA">
      <w:pPr>
        <w:spacing w:line="360" w:lineRule="auto"/>
        <w:ind w:firstLine="420"/>
        <w:rPr>
          <w:rFonts w:hint="eastAsia" w:ascii="宋体" w:hAnsi="宋体" w:eastAsia="宋体" w:cs="宋体"/>
          <w:color w:val="auto"/>
          <w:sz w:val="24"/>
          <w:highlight w:val="none"/>
        </w:rPr>
      </w:pPr>
      <w:r>
        <w:rPr>
          <w:rFonts w:ascii="宋体" w:hAnsi="宋体" w:eastAsia="宋体" w:cs="宋体"/>
          <w:color w:val="auto"/>
          <w:sz w:val="24"/>
          <w:highlight w:val="none"/>
        </w:rPr>
        <w:t>未经</w:t>
      </w:r>
      <w:r>
        <w:rPr>
          <w:rFonts w:hint="eastAsia" w:ascii="宋体" w:hAnsi="宋体" w:eastAsia="宋体" w:cs="宋体"/>
          <w:color w:val="auto"/>
          <w:sz w:val="24"/>
          <w:highlight w:val="none"/>
        </w:rPr>
        <w:t>血液中心信息科</w:t>
      </w:r>
      <w:r>
        <w:rPr>
          <w:rFonts w:ascii="宋体" w:hAnsi="宋体" w:eastAsia="宋体" w:cs="宋体"/>
          <w:color w:val="auto"/>
          <w:sz w:val="24"/>
          <w:highlight w:val="none"/>
        </w:rPr>
        <w:t>管理人员的许可不得进入中心机房操作，进入中心机房操作须遵守机房管理规定。</w:t>
      </w:r>
    </w:p>
    <w:p w14:paraId="7BF6F067">
      <w:pPr>
        <w:spacing w:line="360" w:lineRule="auto"/>
        <w:ind w:firstLine="420"/>
        <w:rPr>
          <w:color w:val="auto"/>
          <w:sz w:val="24"/>
          <w:highlight w:val="none"/>
        </w:rPr>
      </w:pPr>
      <w:r>
        <w:rPr>
          <w:rFonts w:ascii="宋体" w:hAnsi="宋体" w:eastAsia="宋体" w:cs="宋体"/>
          <w:color w:val="auto"/>
          <w:sz w:val="24"/>
          <w:highlight w:val="none"/>
        </w:rPr>
        <w:t>未经</w:t>
      </w:r>
      <w:r>
        <w:rPr>
          <w:rFonts w:hint="eastAsia" w:ascii="宋体" w:hAnsi="宋体" w:eastAsia="宋体" w:cs="宋体"/>
          <w:color w:val="auto"/>
          <w:sz w:val="24"/>
          <w:highlight w:val="none"/>
        </w:rPr>
        <w:t>血液中心信息科</w:t>
      </w:r>
      <w:r>
        <w:rPr>
          <w:rFonts w:ascii="宋体" w:hAnsi="宋体" w:eastAsia="宋体" w:cs="宋体"/>
          <w:color w:val="auto"/>
          <w:sz w:val="24"/>
          <w:highlight w:val="none"/>
        </w:rPr>
        <w:t>管理人员的许可不得进入相关信息系统查看、复制、增加、删改信息和数据。</w:t>
      </w:r>
    </w:p>
    <w:p w14:paraId="708451BB">
      <w:pPr>
        <w:pStyle w:val="965"/>
        <w:numPr>
          <w:ilvl w:val="0"/>
          <w:numId w:val="0"/>
        </w:numPr>
        <w:spacing w:beforeLines="0" w:afterLines="0"/>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2.4.2风险管理要求</w:t>
      </w:r>
    </w:p>
    <w:p w14:paraId="077E685B">
      <w:pPr>
        <w:spacing w:line="360" w:lineRule="auto"/>
        <w:ind w:firstLine="420"/>
        <w:rPr>
          <w:color w:val="auto"/>
          <w:sz w:val="24"/>
          <w:highlight w:val="none"/>
        </w:rPr>
      </w:pPr>
      <w:r>
        <w:rPr>
          <w:rFonts w:hint="eastAsia"/>
          <w:color w:val="auto"/>
          <w:sz w:val="24"/>
          <w:highlight w:val="none"/>
        </w:rPr>
        <w:t>维护单位应明确运行维护过程中可能存在的各种风险，制定风险规避计划。对重大事件的运维，服务人员在远程或现场维护之前，应制定详细的实施方案，并进行风险评估及分析，采取相应的风险规避措施和回退手段，经血液中心信息科审核后才能实施。维护工程师在远程或现场维护结束后，应对系统做必要的安全检查，如清除本次服务临时账号等。</w:t>
      </w:r>
    </w:p>
    <w:p w14:paraId="78DB11C9">
      <w:pPr>
        <w:pStyle w:val="965"/>
        <w:numPr>
          <w:ilvl w:val="0"/>
          <w:numId w:val="0"/>
        </w:numPr>
        <w:spacing w:beforeLines="0" w:afterLines="0"/>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2.4.3人员培训要求</w:t>
      </w:r>
    </w:p>
    <w:p w14:paraId="279C28FB">
      <w:pPr>
        <w:spacing w:line="360" w:lineRule="auto"/>
        <w:ind w:left="274" w:leftChars="114" w:firstLine="240" w:firstLineChars="100"/>
        <w:rPr>
          <w:color w:val="auto"/>
          <w:sz w:val="24"/>
          <w:highlight w:val="none"/>
        </w:rPr>
      </w:pPr>
      <w:r>
        <w:rPr>
          <w:rFonts w:hint="eastAsia"/>
          <w:color w:val="auto"/>
          <w:sz w:val="24"/>
          <w:highlight w:val="none"/>
        </w:rPr>
        <w:t>维护单位应为用户提供定期或非定期培训，帮助用户正确使用和维护各类设备。培训内容包括服务器、网络、信息安全、桌面系统管理等，另外应提供培训人员的培训资质文件和培训计划并得到用户的确认。</w:t>
      </w:r>
    </w:p>
    <w:p w14:paraId="2942984F">
      <w:pPr>
        <w:pStyle w:val="965"/>
        <w:numPr>
          <w:ilvl w:val="0"/>
          <w:numId w:val="0"/>
        </w:numPr>
        <w:spacing w:beforeLines="0" w:afterLines="0"/>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rPr>
        <w:t>2.4.4应急演练管理</w:t>
      </w:r>
    </w:p>
    <w:p w14:paraId="7AF3112C">
      <w:pPr>
        <w:spacing w:line="360" w:lineRule="auto"/>
        <w:ind w:firstLine="420"/>
        <w:rPr>
          <w:color w:val="auto"/>
          <w:sz w:val="24"/>
          <w:highlight w:val="none"/>
        </w:rPr>
      </w:pPr>
      <w:r>
        <w:rPr>
          <w:rFonts w:hint="eastAsia"/>
          <w:color w:val="auto"/>
          <w:sz w:val="24"/>
          <w:highlight w:val="none"/>
        </w:rPr>
        <w:t>维护单位应协助血液中心信息科进行应急演练，提供所涉及的软、硬件和系统的技术支持和服务。</w:t>
      </w:r>
    </w:p>
    <w:p w14:paraId="3D902403">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3维护要求</w:t>
      </w:r>
    </w:p>
    <w:p w14:paraId="70E8ADB0">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3.1 维护方式及内容</w:t>
      </w:r>
    </w:p>
    <w:p w14:paraId="59E0B7F6">
      <w:pPr>
        <w:spacing w:line="360" w:lineRule="auto"/>
        <w:ind w:firstLine="420"/>
        <w:rPr>
          <w:color w:val="auto"/>
          <w:sz w:val="24"/>
          <w:highlight w:val="none"/>
        </w:rPr>
      </w:pPr>
      <w:bookmarkStart w:id="29" w:name="OLE_LINK5"/>
      <w:bookmarkStart w:id="30" w:name="OLE_LINK4"/>
      <w:r>
        <w:rPr>
          <w:rFonts w:hint="eastAsia"/>
          <w:color w:val="auto"/>
          <w:sz w:val="24"/>
          <w:highlight w:val="none"/>
        </w:rPr>
        <w:t>维护内容主要包括例行维护、响应支持、优化改善和调研评估。</w:t>
      </w:r>
    </w:p>
    <w:bookmarkEnd w:id="29"/>
    <w:p w14:paraId="6636AE99">
      <w:pPr>
        <w:numPr>
          <w:ilvl w:val="0"/>
          <w:numId w:val="2"/>
        </w:numPr>
        <w:spacing w:line="360" w:lineRule="auto"/>
        <w:ind w:firstLine="420"/>
        <w:rPr>
          <w:color w:val="auto"/>
          <w:sz w:val="24"/>
          <w:highlight w:val="none"/>
        </w:rPr>
      </w:pPr>
      <w:r>
        <w:rPr>
          <w:rFonts w:hint="eastAsia"/>
          <w:color w:val="auto"/>
          <w:sz w:val="24"/>
          <w:highlight w:val="none"/>
        </w:rPr>
        <w:t>例行维护：各维护对象进行定期的例行操作，如巡检、监控、备份、测试等。</w:t>
      </w:r>
    </w:p>
    <w:p w14:paraId="26822383">
      <w:pPr>
        <w:numPr>
          <w:ilvl w:val="0"/>
          <w:numId w:val="2"/>
        </w:numPr>
        <w:spacing w:line="360" w:lineRule="auto"/>
        <w:ind w:firstLine="420"/>
        <w:rPr>
          <w:color w:val="auto"/>
          <w:sz w:val="24"/>
          <w:highlight w:val="none"/>
        </w:rPr>
      </w:pPr>
      <w:r>
        <w:rPr>
          <w:rFonts w:hint="eastAsia"/>
          <w:color w:val="auto"/>
          <w:sz w:val="24"/>
          <w:highlight w:val="none"/>
        </w:rPr>
        <w:t>响应支持：对服务请求或故障申报提供实时的服务，主要由驻场人员解决，若无法解决的，公司及时派技术人员进行支持。</w:t>
      </w:r>
    </w:p>
    <w:p w14:paraId="31799B3A">
      <w:pPr>
        <w:numPr>
          <w:ilvl w:val="0"/>
          <w:numId w:val="2"/>
        </w:numPr>
        <w:spacing w:line="360" w:lineRule="auto"/>
        <w:ind w:firstLine="420"/>
        <w:rPr>
          <w:color w:val="auto"/>
          <w:sz w:val="24"/>
          <w:highlight w:val="none"/>
        </w:rPr>
      </w:pPr>
      <w:r>
        <w:rPr>
          <w:rFonts w:hint="eastAsia"/>
          <w:color w:val="auto"/>
          <w:sz w:val="24"/>
          <w:highlight w:val="none"/>
        </w:rPr>
        <w:t>优化改善：对维护对象提供功能和性能的调优服务，如服务器性能优化、网络优化等。</w:t>
      </w:r>
    </w:p>
    <w:p w14:paraId="307B79DB">
      <w:pPr>
        <w:numPr>
          <w:ilvl w:val="0"/>
          <w:numId w:val="2"/>
        </w:numPr>
        <w:spacing w:line="360" w:lineRule="auto"/>
        <w:ind w:firstLine="420"/>
        <w:rPr>
          <w:color w:val="auto"/>
          <w:sz w:val="24"/>
          <w:highlight w:val="none"/>
        </w:rPr>
      </w:pPr>
      <w:r>
        <w:rPr>
          <w:rFonts w:hint="eastAsia"/>
          <w:color w:val="auto"/>
          <w:sz w:val="24"/>
          <w:highlight w:val="none"/>
        </w:rPr>
        <w:t>调研评估：对维护对象进行调查研究或分析评价，给出相关的建议。如风险评估、整改意见。</w:t>
      </w:r>
    </w:p>
    <w:bookmarkEnd w:id="30"/>
    <w:p w14:paraId="6F5FCD68">
      <w:pPr>
        <w:spacing w:line="360" w:lineRule="auto"/>
        <w:ind w:firstLine="420"/>
        <w:rPr>
          <w:color w:val="auto"/>
          <w:sz w:val="24"/>
          <w:highlight w:val="none"/>
        </w:rPr>
      </w:pPr>
      <w:r>
        <w:rPr>
          <w:rFonts w:hint="eastAsia"/>
          <w:color w:val="auto"/>
          <w:sz w:val="24"/>
          <w:highlight w:val="none"/>
        </w:rPr>
        <w:t>详细的维护内容清单见附件2，其中维护内容包含但不限于附件2的内容。</w:t>
      </w:r>
    </w:p>
    <w:p w14:paraId="4819B825">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3.2 维护成果</w:t>
      </w:r>
    </w:p>
    <w:p w14:paraId="05A2106F">
      <w:pPr>
        <w:spacing w:line="360" w:lineRule="auto"/>
        <w:ind w:firstLine="420"/>
        <w:rPr>
          <w:color w:val="auto"/>
          <w:sz w:val="24"/>
          <w:highlight w:val="none"/>
        </w:rPr>
      </w:pPr>
      <w:r>
        <w:rPr>
          <w:rFonts w:hint="eastAsia"/>
          <w:color w:val="auto"/>
          <w:sz w:val="24"/>
          <w:highlight w:val="none"/>
        </w:rPr>
        <w:t>（1）驻场人员需对每天工作中的响应支持进行记录，完成《响应支持服务记录表》，每周对自己的工作进行小结，完成《工作周报》。</w:t>
      </w:r>
    </w:p>
    <w:p w14:paraId="4A6757F7">
      <w:pPr>
        <w:numPr>
          <w:ilvl w:val="0"/>
          <w:numId w:val="3"/>
        </w:numPr>
        <w:spacing w:line="360" w:lineRule="auto"/>
        <w:ind w:firstLine="420"/>
        <w:rPr>
          <w:color w:val="auto"/>
          <w:sz w:val="24"/>
          <w:highlight w:val="none"/>
        </w:rPr>
      </w:pPr>
      <w:r>
        <w:rPr>
          <w:rFonts w:hint="eastAsia"/>
          <w:color w:val="auto"/>
          <w:sz w:val="24"/>
          <w:highlight w:val="none"/>
        </w:rPr>
        <w:t>维护单位需每季度提供例行维护服务，完成《例行维护记录表》和《例行维护报告》，进行年中和年终工作总结，完成《运维工作维护总结》。</w:t>
      </w:r>
    </w:p>
    <w:p w14:paraId="52102D59">
      <w:pPr>
        <w:spacing w:line="360" w:lineRule="auto"/>
        <w:ind w:firstLine="420"/>
        <w:rPr>
          <w:color w:val="auto"/>
          <w:sz w:val="24"/>
          <w:highlight w:val="none"/>
        </w:rPr>
      </w:pPr>
      <w:r>
        <w:rPr>
          <w:rFonts w:hint="eastAsia"/>
          <w:color w:val="auto"/>
          <w:sz w:val="24"/>
          <w:highlight w:val="none"/>
        </w:rPr>
        <w:t>其中，《例行维护报告》至少包括报告名称、报告周期；服务综述；服务计划；服务内容；服务完成情况及下一步工作计划；服务工作量；发现的隐患及相关的纠正和预防措施（或建议）；对相关数据进行趋势分析和预警；改进/提升建议。</w:t>
      </w:r>
    </w:p>
    <w:p w14:paraId="2F3A038D">
      <w:pPr>
        <w:spacing w:line="360" w:lineRule="auto"/>
        <w:ind w:firstLine="420"/>
        <w:rPr>
          <w:b/>
          <w:bCs/>
          <w:color w:val="auto"/>
          <w:sz w:val="24"/>
          <w:highlight w:val="none"/>
        </w:rPr>
      </w:pPr>
      <w:r>
        <w:rPr>
          <w:rFonts w:hint="eastAsia"/>
          <w:b/>
          <w:bCs/>
          <w:color w:val="auto"/>
          <w:sz w:val="24"/>
          <w:highlight w:val="none"/>
        </w:rPr>
        <w:t>备注：《例行维护报告》中的所有维护记录，需得到血液中心相关部门的确认。</w:t>
      </w:r>
    </w:p>
    <w:p w14:paraId="22E0CDDF">
      <w:pPr>
        <w:spacing w:line="360" w:lineRule="auto"/>
        <w:ind w:firstLine="420"/>
        <w:rPr>
          <w:color w:val="auto"/>
          <w:sz w:val="24"/>
          <w:highlight w:val="none"/>
        </w:rPr>
      </w:pPr>
      <w:r>
        <w:rPr>
          <w:rFonts w:hint="eastAsia"/>
          <w:color w:val="auto"/>
          <w:sz w:val="24"/>
          <w:highlight w:val="none"/>
        </w:rPr>
        <w:t>《运维工作维护总结》是对驻场人员的工作、例行维护的内容以及优化改善和调研评估的内容进行汇总、分析，提出改进意见。</w:t>
      </w:r>
    </w:p>
    <w:p w14:paraId="2F203747">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4考核要求</w:t>
      </w:r>
    </w:p>
    <w:p w14:paraId="01694C0C">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维护单位在提供服务期间，若</w:t>
      </w:r>
      <w:r>
        <w:rPr>
          <w:rFonts w:ascii="宋体" w:hAnsi="宋体" w:eastAsia="宋体" w:cs="宋体"/>
          <w:color w:val="auto"/>
          <w:sz w:val="24"/>
          <w:highlight w:val="none"/>
        </w:rPr>
        <w:t>未能完全满足上述服务人员要求、服务响应要求的</w:t>
      </w:r>
      <w:r>
        <w:rPr>
          <w:rFonts w:hint="eastAsia" w:ascii="宋体" w:hAnsi="宋体" w:eastAsia="宋体" w:cs="宋体"/>
          <w:color w:val="auto"/>
          <w:sz w:val="24"/>
          <w:highlight w:val="none"/>
        </w:rPr>
        <w:t>，血液中心</w:t>
      </w:r>
      <w:r>
        <w:rPr>
          <w:rFonts w:ascii="宋体" w:hAnsi="宋体" w:eastAsia="宋体" w:cs="宋体"/>
          <w:color w:val="auto"/>
          <w:sz w:val="24"/>
          <w:highlight w:val="none"/>
        </w:rPr>
        <w:t>有权对其延期 3-6 个月支付相关合同款项，并要求</w:t>
      </w:r>
      <w:r>
        <w:rPr>
          <w:rFonts w:hint="eastAsia" w:ascii="宋体" w:hAnsi="宋体" w:eastAsia="宋体" w:cs="宋体"/>
          <w:color w:val="auto"/>
          <w:sz w:val="24"/>
          <w:highlight w:val="none"/>
        </w:rPr>
        <w:t>维护单位</w:t>
      </w:r>
      <w:r>
        <w:rPr>
          <w:rFonts w:ascii="宋体" w:hAnsi="宋体" w:eastAsia="宋体" w:cs="宋体"/>
          <w:color w:val="auto"/>
          <w:sz w:val="24"/>
          <w:highlight w:val="none"/>
        </w:rPr>
        <w:t>延长相应时间的运维服务期。</w:t>
      </w:r>
    </w:p>
    <w:p w14:paraId="21E5EF80">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维护单位在提供服务期间，若</w:t>
      </w:r>
      <w:r>
        <w:rPr>
          <w:rFonts w:ascii="宋体" w:hAnsi="宋体" w:eastAsia="宋体" w:cs="宋体"/>
          <w:color w:val="auto"/>
          <w:sz w:val="24"/>
          <w:highlight w:val="none"/>
        </w:rPr>
        <w:t>未能完全满足上述服务内容、服务质量要求的，且经整改仍未满足相关服务内容和服务质量要求，</w:t>
      </w:r>
      <w:r>
        <w:rPr>
          <w:rFonts w:hint="eastAsia" w:ascii="宋体" w:hAnsi="宋体" w:eastAsia="宋体" w:cs="宋体"/>
          <w:color w:val="auto"/>
          <w:sz w:val="24"/>
          <w:highlight w:val="none"/>
        </w:rPr>
        <w:t>血液中心</w:t>
      </w:r>
      <w:r>
        <w:rPr>
          <w:rFonts w:ascii="宋体" w:hAnsi="宋体" w:eastAsia="宋体" w:cs="宋体"/>
          <w:color w:val="auto"/>
          <w:sz w:val="24"/>
          <w:highlight w:val="none"/>
        </w:rPr>
        <w:t>有权终止合同，并追究其法律责任。</w:t>
      </w:r>
    </w:p>
    <w:p w14:paraId="091AEA16">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付款方式按合同执行进度支付相应比例货款。</w:t>
      </w:r>
    </w:p>
    <w:p w14:paraId="06FCBD92">
      <w:pPr>
        <w:pStyle w:val="965"/>
        <w:numPr>
          <w:ilvl w:val="0"/>
          <w:numId w:val="0"/>
        </w:numPr>
        <w:spacing w:beforeLines="0" w:afterLines="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5运维期限</w:t>
      </w:r>
    </w:p>
    <w:p w14:paraId="27173C88">
      <w:pPr>
        <w:spacing w:line="360" w:lineRule="auto"/>
        <w:ind w:firstLine="420"/>
        <w:rPr>
          <w:rFonts w:hint="eastAsia" w:ascii="宋体" w:hAnsi="宋体" w:eastAsia="宋体" w:cs="宋体"/>
          <w:color w:val="auto"/>
          <w:sz w:val="24"/>
          <w:highlight w:val="none"/>
        </w:rPr>
        <w:sectPr>
          <w:pgSz w:w="11906" w:h="16838"/>
          <w:pgMar w:top="1417" w:right="1134" w:bottom="1417" w:left="1134" w:header="851" w:footer="992" w:gutter="0"/>
          <w:cols w:space="0" w:num="1"/>
          <w:docGrid w:type="lines" w:linePitch="312" w:charSpace="0"/>
        </w:sectPr>
      </w:pPr>
      <w:r>
        <w:rPr>
          <w:rFonts w:hint="eastAsia" w:ascii="宋体" w:hAnsi="宋体" w:eastAsia="宋体" w:cs="宋体"/>
          <w:color w:val="auto"/>
          <w:sz w:val="24"/>
          <w:highlight w:val="none"/>
        </w:rPr>
        <w:t>服务期限2025年度。</w:t>
      </w:r>
    </w:p>
    <w:p w14:paraId="7405A143">
      <w:pPr>
        <w:spacing w:line="360" w:lineRule="auto"/>
        <w:ind w:firstLine="420"/>
        <w:rPr>
          <w:rFonts w:hint="eastAsia" w:ascii="宋体" w:hAnsi="宋体" w:eastAsia="宋体" w:cs="宋体"/>
          <w:color w:val="auto"/>
          <w:sz w:val="24"/>
          <w:highlight w:val="none"/>
        </w:rPr>
      </w:pPr>
    </w:p>
    <w:p w14:paraId="3D7F911A">
      <w:pPr>
        <w:pStyle w:val="2"/>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：维护对象清单</w:t>
      </w:r>
    </w:p>
    <w:p w14:paraId="766E142E">
      <w:pPr>
        <w:pStyle w:val="3"/>
        <w:jc w:val="left"/>
        <w:rPr>
          <w:color w:val="auto"/>
          <w:highlight w:val="none"/>
        </w:rPr>
      </w:pPr>
      <w:r>
        <w:rPr>
          <w:rFonts w:hint="eastAsia"/>
          <w:color w:val="auto"/>
          <w:highlight w:val="none"/>
        </w:rPr>
        <w:t>1.1 服务器设备</w:t>
      </w:r>
    </w:p>
    <w:tbl>
      <w:tblPr>
        <w:tblStyle w:val="62"/>
        <w:tblW w:w="8414" w:type="dxa"/>
        <w:jc w:val="center"/>
        <w:tblLayout w:type="fixed"/>
        <w:tblCellMar>
          <w:top w:w="15" w:type="dxa"/>
          <w:left w:w="15" w:type="dxa"/>
          <w:bottom w:w="15" w:type="dxa"/>
          <w:right w:w="15" w:type="dxa"/>
        </w:tblCellMar>
      </w:tblPr>
      <w:tblGrid>
        <w:gridCol w:w="873"/>
        <w:gridCol w:w="1631"/>
        <w:gridCol w:w="3262"/>
        <w:gridCol w:w="1066"/>
        <w:gridCol w:w="1582"/>
      </w:tblGrid>
      <w:tr w14:paraId="2353EE89">
        <w:tblPrEx>
          <w:tblCellMar>
            <w:top w:w="15" w:type="dxa"/>
            <w:left w:w="15" w:type="dxa"/>
            <w:bottom w:w="15" w:type="dxa"/>
            <w:right w:w="15" w:type="dxa"/>
          </w:tblCellMar>
        </w:tblPrEx>
        <w:trPr>
          <w:trHeight w:val="599"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DA6CA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B8993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设备类型</w:t>
            </w:r>
          </w:p>
        </w:tc>
        <w:tc>
          <w:tcPr>
            <w:tcW w:w="326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E6C1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型号说明</w:t>
            </w:r>
          </w:p>
        </w:tc>
        <w:tc>
          <w:tcPr>
            <w:tcW w:w="106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3A9E2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数量</w:t>
            </w:r>
          </w:p>
        </w:tc>
        <w:tc>
          <w:tcPr>
            <w:tcW w:w="158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E985B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使用年限说明</w:t>
            </w:r>
          </w:p>
        </w:tc>
      </w:tr>
      <w:tr w14:paraId="47D7C9D9">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B57">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6ED0">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机架式服务器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E3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DELL R720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3EC">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5C7E">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11年以上</w:t>
            </w:r>
          </w:p>
        </w:tc>
      </w:tr>
      <w:tr w14:paraId="2472CE50">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C9F5">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AC0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塔式服务器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DB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DELL PowerEdge </w:t>
            </w:r>
            <w:r>
              <w:rPr>
                <w:rFonts w:ascii="宋体" w:hAnsi="宋体" w:eastAsia="宋体" w:cs="宋体"/>
                <w:color w:val="auto"/>
                <w:kern w:val="0"/>
                <w:szCs w:val="21"/>
                <w:highlight w:val="none"/>
              </w:rPr>
              <w:t>T2</w:t>
            </w:r>
            <w:r>
              <w:rPr>
                <w:rFonts w:hint="eastAsia" w:ascii="宋体" w:hAnsi="宋体" w:eastAsia="宋体" w:cs="宋体"/>
                <w:color w:val="auto"/>
                <w:kern w:val="0"/>
                <w:szCs w:val="21"/>
                <w:highlight w:val="none"/>
              </w:rPr>
              <w:t>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6A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4A4D">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10年</w:t>
            </w:r>
          </w:p>
        </w:tc>
      </w:tr>
      <w:tr w14:paraId="26BD04C7">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9ED">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4C1C">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机架式服务器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32B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华为 </w:t>
            </w:r>
            <w:r>
              <w:rPr>
                <w:rFonts w:ascii="宋体" w:hAnsi="宋体" w:eastAsia="宋体" w:cs="宋体"/>
                <w:color w:val="auto"/>
                <w:kern w:val="0"/>
                <w:szCs w:val="21"/>
                <w:highlight w:val="none"/>
              </w:rPr>
              <w:t>RH5885V3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D57">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C84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10年</w:t>
            </w:r>
          </w:p>
        </w:tc>
      </w:tr>
      <w:tr w14:paraId="3A0EFD4C">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47AE">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AB3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机架式服务器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89D5">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华为 </w:t>
            </w:r>
            <w:r>
              <w:rPr>
                <w:rFonts w:ascii="宋体" w:hAnsi="宋体" w:eastAsia="宋体" w:cs="宋体"/>
                <w:color w:val="auto"/>
                <w:kern w:val="0"/>
                <w:szCs w:val="21"/>
                <w:highlight w:val="none"/>
              </w:rPr>
              <w:t>RH</w:t>
            </w:r>
            <w:r>
              <w:rPr>
                <w:rFonts w:hint="eastAsia" w:ascii="宋体" w:hAnsi="宋体" w:eastAsia="宋体" w:cs="宋体"/>
                <w:color w:val="auto"/>
                <w:kern w:val="0"/>
                <w:szCs w:val="21"/>
                <w:highlight w:val="none"/>
              </w:rPr>
              <w:t>2288</w:t>
            </w:r>
            <w:r>
              <w:rPr>
                <w:rFonts w:ascii="宋体" w:hAnsi="宋体" w:eastAsia="宋体" w:cs="宋体"/>
                <w:color w:val="auto"/>
                <w:kern w:val="0"/>
                <w:szCs w:val="21"/>
                <w:highlight w:val="none"/>
              </w:rPr>
              <w:t>V3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85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E9F7">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7年</w:t>
            </w:r>
          </w:p>
        </w:tc>
      </w:tr>
      <w:tr w14:paraId="73EB7A2E">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D96">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4A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机架式服务器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94B7">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华为 RH2288H</w:t>
            </w:r>
            <w:r>
              <w:rPr>
                <w:rFonts w:ascii="宋体" w:hAnsi="宋体" w:eastAsia="宋体" w:cs="宋体"/>
                <w:color w:val="auto"/>
                <w:kern w:val="0"/>
                <w:szCs w:val="21"/>
                <w:highlight w:val="none"/>
              </w:rPr>
              <w:t>V5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8121">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9AFE">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5年</w:t>
            </w:r>
          </w:p>
        </w:tc>
      </w:tr>
      <w:tr w14:paraId="47640830">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C8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1631" w:type="dxa"/>
            <w:tcBorders>
              <w:top w:val="single" w:color="000000" w:sz="4" w:space="0"/>
              <w:left w:val="single" w:color="000000" w:sz="4" w:space="0"/>
              <w:right w:val="single" w:color="000000" w:sz="4" w:space="0"/>
            </w:tcBorders>
            <w:shd w:val="clear" w:color="auto" w:fill="auto"/>
            <w:vAlign w:val="center"/>
          </w:tcPr>
          <w:p w14:paraId="3B30A2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工控机</w:t>
            </w:r>
          </w:p>
        </w:tc>
        <w:tc>
          <w:tcPr>
            <w:tcW w:w="3262" w:type="dxa"/>
            <w:tcBorders>
              <w:top w:val="single" w:color="000000" w:sz="4" w:space="0"/>
              <w:left w:val="single" w:color="000000" w:sz="4" w:space="0"/>
              <w:right w:val="single" w:color="000000" w:sz="4" w:space="0"/>
            </w:tcBorders>
            <w:shd w:val="clear" w:color="auto" w:fill="auto"/>
            <w:vAlign w:val="center"/>
          </w:tcPr>
          <w:p w14:paraId="446F94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EVOC</w:t>
            </w:r>
          </w:p>
        </w:tc>
        <w:tc>
          <w:tcPr>
            <w:tcW w:w="1066" w:type="dxa"/>
            <w:tcBorders>
              <w:top w:val="single" w:color="000000" w:sz="4" w:space="0"/>
              <w:left w:val="single" w:color="000000" w:sz="4" w:space="0"/>
              <w:right w:val="single" w:color="000000" w:sz="4" w:space="0"/>
            </w:tcBorders>
            <w:shd w:val="clear" w:color="auto" w:fill="auto"/>
            <w:vAlign w:val="center"/>
          </w:tcPr>
          <w:p w14:paraId="37BDCC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1台</w:t>
            </w:r>
          </w:p>
        </w:tc>
        <w:tc>
          <w:tcPr>
            <w:tcW w:w="1582" w:type="dxa"/>
            <w:tcBorders>
              <w:top w:val="single" w:color="000000" w:sz="4" w:space="0"/>
              <w:left w:val="single" w:color="000000" w:sz="4" w:space="0"/>
              <w:right w:val="single" w:color="000000" w:sz="4" w:space="0"/>
            </w:tcBorders>
            <w:shd w:val="clear" w:color="auto" w:fill="auto"/>
            <w:vAlign w:val="center"/>
          </w:tcPr>
          <w:p w14:paraId="18916F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11年</w:t>
            </w:r>
          </w:p>
        </w:tc>
      </w:tr>
      <w:tr w14:paraId="08BC1BDD">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3F7D4EF">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60772078">
            <w:pPr>
              <w:widowControl/>
              <w:jc w:val="center"/>
              <w:textAlignment w:val="center"/>
              <w:rPr>
                <w:rFonts w:hint="eastAsia" w:ascii="宋体" w:hAnsi="宋体" w:eastAsia="宋体" w:cs="宋体"/>
                <w:color w:val="auto"/>
                <w:kern w:val="0"/>
                <w:szCs w:val="21"/>
                <w:highlight w:val="none"/>
              </w:rPr>
            </w:pPr>
            <w:r>
              <w:rPr>
                <w:color w:val="auto"/>
                <w:highlight w:val="none"/>
              </w:rPr>
              <w:fldChar w:fldCharType="begin"/>
            </w:r>
            <w:r>
              <w:rPr>
                <w:color w:val="auto"/>
                <w:highlight w:val="none"/>
              </w:rPr>
              <w:instrText xml:space="preserve"> HYPERLINK "http://official.tongfangpc.com/household/index.aspx?pid=150&amp;isshang=18" \o "机架式服务器" </w:instrText>
            </w:r>
            <w:r>
              <w:rPr>
                <w:color w:val="auto"/>
                <w:highlight w:val="none"/>
              </w:rPr>
              <w:fldChar w:fldCharType="separate"/>
            </w:r>
            <w:r>
              <w:rPr>
                <w:rFonts w:hint="eastAsia" w:ascii="宋体" w:hAnsi="宋体" w:eastAsia="宋体" w:cs="宋体"/>
                <w:color w:val="auto"/>
                <w:kern w:val="0"/>
                <w:szCs w:val="21"/>
                <w:highlight w:val="none"/>
              </w:rPr>
              <w:t>机架式服务器</w:t>
            </w:r>
            <w:r>
              <w:rPr>
                <w:rFonts w:hint="eastAsia" w:ascii="宋体" w:hAnsi="宋体" w:eastAsia="宋体" w:cs="宋体"/>
                <w:color w:val="auto"/>
                <w:kern w:val="0"/>
                <w:szCs w:val="21"/>
                <w:highlight w:val="none"/>
              </w:rPr>
              <w:fldChar w:fldCharType="end"/>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1DF7">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超强K620-M1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874F">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2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5年</w:t>
            </w:r>
          </w:p>
        </w:tc>
      </w:tr>
      <w:tr w14:paraId="7F612A32">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5919ECF2">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55D289C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4C8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华为 RH1288 v3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60C0">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54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5年</w:t>
            </w:r>
          </w:p>
        </w:tc>
      </w:tr>
      <w:tr w14:paraId="6ECD2FBF">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4C7675F2">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0297C54C">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787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SCUTECH(鼎甲)DK2000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4E3">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41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5年</w:t>
            </w:r>
          </w:p>
        </w:tc>
      </w:tr>
      <w:tr w14:paraId="4326284E">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01AD43DD">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1E40EC1C">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C19D">
            <w:pPr>
              <w:widowControl/>
              <w:jc w:val="center"/>
              <w:textAlignment w:val="center"/>
              <w:rPr>
                <w:rFonts w:hint="eastAsia" w:ascii="宋体" w:hAnsi="宋体" w:eastAsia="宋体" w:cs="宋体"/>
                <w:color w:val="auto"/>
                <w:kern w:val="0"/>
                <w:sz w:val="22"/>
                <w:szCs w:val="22"/>
                <w:highlight w:val="none"/>
                <w:lang w:bidi="ar"/>
              </w:rPr>
            </w:pPr>
            <w:r>
              <w:rPr>
                <w:rFonts w:hint="eastAsia"/>
                <w:color w:val="auto"/>
                <w:highlight w:val="none"/>
              </w:rPr>
              <w:t>长城超云R2211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74DA">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64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4年</w:t>
            </w:r>
          </w:p>
        </w:tc>
      </w:tr>
      <w:tr w14:paraId="6F84BD61">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FAE0D">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30436EC1">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AD6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lang w:bidi="ar"/>
              </w:rPr>
              <w:t>华为Tecal RH2288-S</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640">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0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9年</w:t>
            </w:r>
          </w:p>
        </w:tc>
      </w:tr>
      <w:tr w14:paraId="5A965AFA">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C3A6178">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07E41CC2">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22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启天M4360-N000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377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BF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11年</w:t>
            </w:r>
          </w:p>
        </w:tc>
      </w:tr>
      <w:tr w14:paraId="1B82F818">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377EFD77">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1C300499">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12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浪潮NF5280M5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B3FB">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04D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3年</w:t>
            </w:r>
          </w:p>
        </w:tc>
      </w:tr>
      <w:tr w14:paraId="58E73DD9">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22A9E981">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391C583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5D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华为RH2288V5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42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48B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3年</w:t>
            </w:r>
          </w:p>
        </w:tc>
      </w:tr>
      <w:tr w14:paraId="61D085D8">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67ED6BE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031037AD">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8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联想SR588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CE46">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27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2年</w:t>
            </w:r>
          </w:p>
        </w:tc>
      </w:tr>
      <w:tr w14:paraId="6BBBE09E">
        <w:tblPrEx>
          <w:tblCellMar>
            <w:top w:w="15" w:type="dxa"/>
            <w:left w:w="15" w:type="dxa"/>
            <w:bottom w:w="15" w:type="dxa"/>
            <w:right w:w="15" w:type="dxa"/>
          </w:tblCellMar>
        </w:tblPrEx>
        <w:trPr>
          <w:trHeight w:val="584" w:hRule="atLeast"/>
          <w:jc w:val="center"/>
        </w:trPr>
        <w:tc>
          <w:tcPr>
            <w:tcW w:w="873"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4712E">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631" w:type="dxa"/>
            <w:tcBorders>
              <w:top w:val="single" w:color="000000" w:sz="4" w:space="0"/>
              <w:left w:val="single" w:color="auto" w:sz="4" w:space="0"/>
              <w:bottom w:val="single" w:color="000000" w:sz="4" w:space="0"/>
              <w:right w:val="single" w:color="000000" w:sz="4" w:space="0"/>
            </w:tcBorders>
            <w:shd w:val="clear" w:color="auto" w:fill="auto"/>
            <w:vAlign w:val="center"/>
          </w:tcPr>
          <w:p w14:paraId="3B3CA24D">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服务器</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7E50">
            <w:pPr>
              <w:widowControl/>
              <w:jc w:val="center"/>
              <w:textAlignment w:val="center"/>
              <w:rPr>
                <w:rFonts w:hint="eastAsia" w:ascii="宋体" w:hAnsi="宋体" w:eastAsia="宋体" w:cs="宋体"/>
                <w:color w:val="auto"/>
                <w:sz w:val="22"/>
                <w:szCs w:val="22"/>
                <w:highlight w:val="none"/>
              </w:rPr>
            </w:pPr>
            <w:r>
              <w:rPr>
                <w:rFonts w:hint="eastAsia"/>
                <w:color w:val="auto"/>
                <w:highlight w:val="none"/>
              </w:rPr>
              <w:t>浪潮</w:t>
            </w:r>
            <w:r>
              <w:rPr>
                <w:color w:val="auto"/>
                <w:highlight w:val="none"/>
              </w:rPr>
              <w:t>NF5280M6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31E6">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49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2年</w:t>
            </w:r>
          </w:p>
        </w:tc>
      </w:tr>
      <w:tr w14:paraId="30E69ECB">
        <w:tblPrEx>
          <w:tblCellMar>
            <w:top w:w="15" w:type="dxa"/>
            <w:left w:w="15" w:type="dxa"/>
            <w:bottom w:w="15" w:type="dxa"/>
            <w:right w:w="15" w:type="dxa"/>
          </w:tblCellMar>
        </w:tblPrEx>
        <w:trPr>
          <w:trHeight w:val="584" w:hRule="atLeast"/>
          <w:jc w:val="center"/>
        </w:trPr>
        <w:tc>
          <w:tcPr>
            <w:tcW w:w="5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EBF72">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小计：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B9B7">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41台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77D3">
            <w:pPr>
              <w:widowControl/>
              <w:jc w:val="center"/>
              <w:textAlignment w:val="center"/>
              <w:rPr>
                <w:rFonts w:hint="eastAsia" w:ascii="宋体" w:hAnsi="宋体" w:eastAsia="宋体" w:cs="宋体"/>
                <w:color w:val="auto"/>
                <w:sz w:val="22"/>
                <w:szCs w:val="22"/>
                <w:highlight w:val="none"/>
              </w:rPr>
            </w:pPr>
          </w:p>
        </w:tc>
      </w:tr>
    </w:tbl>
    <w:p w14:paraId="76DC9D65">
      <w:pPr>
        <w:pStyle w:val="3"/>
        <w:jc w:val="left"/>
        <w:rPr>
          <w:color w:val="auto"/>
          <w:highlight w:val="none"/>
        </w:rPr>
      </w:pPr>
      <w:r>
        <w:rPr>
          <w:rFonts w:hint="eastAsia"/>
          <w:color w:val="auto"/>
          <w:highlight w:val="none"/>
        </w:rPr>
        <w:t>1.2 存储设备</w:t>
      </w:r>
    </w:p>
    <w:tbl>
      <w:tblPr>
        <w:tblStyle w:val="62"/>
        <w:tblW w:w="4998" w:type="pct"/>
        <w:jc w:val="center"/>
        <w:tblLayout w:type="autofit"/>
        <w:tblCellMar>
          <w:top w:w="15" w:type="dxa"/>
          <w:left w:w="15" w:type="dxa"/>
          <w:bottom w:w="15" w:type="dxa"/>
          <w:right w:w="15" w:type="dxa"/>
        </w:tblCellMar>
      </w:tblPr>
      <w:tblGrid>
        <w:gridCol w:w="1551"/>
        <w:gridCol w:w="3710"/>
        <w:gridCol w:w="1551"/>
        <w:gridCol w:w="2286"/>
      </w:tblGrid>
      <w:tr w14:paraId="6059D3F4">
        <w:tblPrEx>
          <w:tblCellMar>
            <w:top w:w="15" w:type="dxa"/>
            <w:left w:w="15" w:type="dxa"/>
            <w:bottom w:w="15" w:type="dxa"/>
            <w:right w:w="15" w:type="dxa"/>
          </w:tblCellMar>
        </w:tblPrEx>
        <w:trPr>
          <w:trHeight w:val="285" w:hRule="atLeast"/>
          <w:jc w:val="center"/>
        </w:trPr>
        <w:tc>
          <w:tcPr>
            <w:tcW w:w="85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8DED3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203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5212E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型号说明</w:t>
            </w:r>
          </w:p>
        </w:tc>
        <w:tc>
          <w:tcPr>
            <w:tcW w:w="85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A5F93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数量</w:t>
            </w:r>
          </w:p>
        </w:tc>
        <w:tc>
          <w:tcPr>
            <w:tcW w:w="12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6BE7C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使用年限说明</w:t>
            </w:r>
          </w:p>
        </w:tc>
      </w:tr>
      <w:tr w14:paraId="58C05009">
        <w:tblPrEx>
          <w:tblCellMar>
            <w:top w:w="15" w:type="dxa"/>
            <w:left w:w="15" w:type="dxa"/>
            <w:bottom w:w="15" w:type="dxa"/>
            <w:right w:w="15" w:type="dxa"/>
          </w:tblCellMar>
        </w:tblPrEx>
        <w:trPr>
          <w:trHeight w:val="527" w:hRule="atLeast"/>
          <w:jc w:val="center"/>
        </w:trPr>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8C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67F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华为OceanStor 5300 V3</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C1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1台</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18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10年</w:t>
            </w:r>
          </w:p>
        </w:tc>
      </w:tr>
      <w:tr w14:paraId="77FF5525">
        <w:tblPrEx>
          <w:tblCellMar>
            <w:top w:w="15" w:type="dxa"/>
            <w:left w:w="15" w:type="dxa"/>
            <w:bottom w:w="15" w:type="dxa"/>
            <w:right w:w="15" w:type="dxa"/>
          </w:tblCellMar>
        </w:tblPrEx>
        <w:trPr>
          <w:trHeight w:val="527" w:hRule="atLeast"/>
          <w:jc w:val="center"/>
        </w:trPr>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748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F9E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华为OceanStor 2600T </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4BD1">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1台</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F3B5">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8年</w:t>
            </w:r>
          </w:p>
        </w:tc>
      </w:tr>
      <w:tr w14:paraId="69FA1ACC">
        <w:tblPrEx>
          <w:tblCellMar>
            <w:top w:w="15" w:type="dxa"/>
            <w:left w:w="15" w:type="dxa"/>
            <w:bottom w:w="15" w:type="dxa"/>
            <w:right w:w="15" w:type="dxa"/>
          </w:tblCellMar>
        </w:tblPrEx>
        <w:trPr>
          <w:trHeight w:val="527" w:hRule="atLeast"/>
          <w:jc w:val="center"/>
        </w:trPr>
        <w:tc>
          <w:tcPr>
            <w:tcW w:w="28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3EEAA">
            <w:pPr>
              <w:widowControl/>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小计：</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E1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2台</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CB34">
            <w:pPr>
              <w:rPr>
                <w:rFonts w:hint="eastAsia" w:ascii="宋体" w:hAnsi="宋体" w:eastAsia="宋体" w:cs="宋体"/>
                <w:color w:val="auto"/>
                <w:szCs w:val="21"/>
                <w:highlight w:val="none"/>
              </w:rPr>
            </w:pPr>
          </w:p>
        </w:tc>
      </w:tr>
    </w:tbl>
    <w:p w14:paraId="4666A93D">
      <w:pPr>
        <w:pStyle w:val="3"/>
        <w:jc w:val="left"/>
        <w:rPr>
          <w:color w:val="auto"/>
          <w:highlight w:val="none"/>
        </w:rPr>
      </w:pPr>
      <w:r>
        <w:rPr>
          <w:rFonts w:hint="eastAsia"/>
          <w:color w:val="auto"/>
          <w:highlight w:val="none"/>
        </w:rPr>
        <w:t>1.3 网络设备</w:t>
      </w:r>
    </w:p>
    <w:tbl>
      <w:tblPr>
        <w:tblStyle w:val="62"/>
        <w:tblW w:w="4997" w:type="pct"/>
        <w:jc w:val="center"/>
        <w:tblLayout w:type="autofit"/>
        <w:tblCellMar>
          <w:top w:w="0" w:type="dxa"/>
          <w:left w:w="0" w:type="dxa"/>
          <w:bottom w:w="0" w:type="dxa"/>
          <w:right w:w="0" w:type="dxa"/>
        </w:tblCellMar>
      </w:tblPr>
      <w:tblGrid>
        <w:gridCol w:w="1256"/>
        <w:gridCol w:w="2375"/>
        <w:gridCol w:w="2954"/>
        <w:gridCol w:w="1256"/>
        <w:gridCol w:w="1256"/>
      </w:tblGrid>
      <w:tr w14:paraId="15944A45">
        <w:tblPrEx>
          <w:tblCellMar>
            <w:top w:w="0" w:type="dxa"/>
            <w:left w:w="0" w:type="dxa"/>
            <w:bottom w:w="0" w:type="dxa"/>
            <w:right w:w="0" w:type="dxa"/>
          </w:tblCellMar>
        </w:tblPrEx>
        <w:trPr>
          <w:trHeight w:val="525"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14:paraId="0D9502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305" w:type="pct"/>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14:paraId="162D34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设备类型</w:t>
            </w:r>
          </w:p>
        </w:tc>
        <w:tc>
          <w:tcPr>
            <w:tcW w:w="1622" w:type="pct"/>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14:paraId="3075C8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型号说明</w:t>
            </w:r>
          </w:p>
        </w:tc>
        <w:tc>
          <w:tcPr>
            <w:tcW w:w="690" w:type="pct"/>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14:paraId="79A1CB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690" w:type="pct"/>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14:paraId="64B9B1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使用年限说明</w:t>
            </w:r>
          </w:p>
        </w:tc>
      </w:tr>
      <w:tr w14:paraId="3FFFA865">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29079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武林院区：</w:t>
            </w:r>
          </w:p>
        </w:tc>
        <w:tc>
          <w:tcPr>
            <w:tcW w:w="1305"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7FCDEBB">
            <w:pPr>
              <w:rPr>
                <w:rFonts w:hint="eastAsia" w:ascii="宋体" w:hAnsi="宋体" w:eastAsia="宋体" w:cs="宋体"/>
                <w:color w:val="auto"/>
                <w:szCs w:val="21"/>
                <w:highlight w:val="none"/>
              </w:rPr>
            </w:pPr>
          </w:p>
        </w:tc>
        <w:tc>
          <w:tcPr>
            <w:tcW w:w="162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DE52A5">
            <w:pPr>
              <w:rPr>
                <w:rFonts w:hint="eastAsia" w:ascii="宋体" w:hAnsi="宋体" w:eastAsia="宋体" w:cs="宋体"/>
                <w:color w:val="auto"/>
                <w:szCs w:val="21"/>
                <w:highlight w:val="none"/>
              </w:rPr>
            </w:pPr>
          </w:p>
        </w:tc>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8142B">
            <w:pPr>
              <w:rPr>
                <w:rFonts w:hint="eastAsia" w:ascii="宋体" w:hAnsi="宋体" w:eastAsia="宋体" w:cs="宋体"/>
                <w:color w:val="auto"/>
                <w:szCs w:val="21"/>
                <w:highlight w:val="none"/>
              </w:rPr>
            </w:pPr>
          </w:p>
        </w:tc>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A82FB9">
            <w:pPr>
              <w:rPr>
                <w:rFonts w:hint="eastAsia" w:ascii="宋体" w:hAnsi="宋体" w:eastAsia="宋体" w:cs="宋体"/>
                <w:color w:val="auto"/>
                <w:szCs w:val="21"/>
                <w:highlight w:val="none"/>
              </w:rPr>
            </w:pPr>
          </w:p>
        </w:tc>
      </w:tr>
      <w:tr w14:paraId="0D10F206">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0341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E72D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核心交换机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7ED3F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H3C LS-7003E</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2B2B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03CD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5年</w:t>
            </w:r>
          </w:p>
        </w:tc>
      </w:tr>
      <w:tr w14:paraId="3C94E0B5">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8771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7E25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接入交换机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E290F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DELL PowerConnect 3424</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0859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97D8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10年以上</w:t>
            </w:r>
          </w:p>
        </w:tc>
      </w:tr>
      <w:tr w14:paraId="6665A92D">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1893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32ED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接入交换机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0EF3F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Tp-Link TL-SG1024T、TL-SG5428</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206E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1947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10年以上</w:t>
            </w:r>
          </w:p>
        </w:tc>
      </w:tr>
      <w:tr w14:paraId="72988767">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D8F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7A01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35877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H3C 3600</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4501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3A70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10年以上</w:t>
            </w:r>
          </w:p>
        </w:tc>
      </w:tr>
      <w:tr w14:paraId="52B26917">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1920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18D5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路由器</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79AE8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Cisco 2821、Cisco 3825、Cisco 2801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A876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A7BF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10年以上</w:t>
            </w:r>
          </w:p>
        </w:tc>
      </w:tr>
      <w:tr w14:paraId="4612F3DE">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8A1E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B7A4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2A9E8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华为S5720-52P-SI-AC</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561E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4C63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8年</w:t>
            </w:r>
          </w:p>
        </w:tc>
      </w:tr>
      <w:tr w14:paraId="27731479">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92F07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FB54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防火墙</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47A04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天融信 NGFW4000（4324）</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B293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362B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10年以上</w:t>
            </w:r>
          </w:p>
        </w:tc>
      </w:tr>
      <w:tr w14:paraId="488A15A1">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97F43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滨江院区：</w:t>
            </w:r>
          </w:p>
        </w:tc>
        <w:tc>
          <w:tcPr>
            <w:tcW w:w="1305"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390CB5">
            <w:pPr>
              <w:rPr>
                <w:rFonts w:hint="eastAsia" w:ascii="宋体" w:hAnsi="宋体" w:eastAsia="宋体" w:cs="宋体"/>
                <w:color w:val="auto"/>
                <w:szCs w:val="21"/>
                <w:highlight w:val="none"/>
              </w:rPr>
            </w:pPr>
          </w:p>
        </w:tc>
        <w:tc>
          <w:tcPr>
            <w:tcW w:w="162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B26242">
            <w:pPr>
              <w:rPr>
                <w:rFonts w:hint="eastAsia" w:ascii="宋体" w:hAnsi="宋体" w:eastAsia="宋体" w:cs="宋体"/>
                <w:color w:val="auto"/>
                <w:szCs w:val="21"/>
                <w:highlight w:val="none"/>
              </w:rPr>
            </w:pPr>
          </w:p>
        </w:tc>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6B8385">
            <w:pPr>
              <w:rPr>
                <w:rFonts w:hint="eastAsia" w:ascii="宋体" w:hAnsi="宋体" w:eastAsia="宋体" w:cs="宋体"/>
                <w:color w:val="auto"/>
                <w:szCs w:val="21"/>
                <w:highlight w:val="none"/>
              </w:rPr>
            </w:pPr>
          </w:p>
        </w:tc>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3AB53F">
            <w:pPr>
              <w:rPr>
                <w:rFonts w:hint="eastAsia" w:ascii="宋体" w:hAnsi="宋体" w:eastAsia="宋体" w:cs="宋体"/>
                <w:color w:val="auto"/>
                <w:szCs w:val="21"/>
                <w:highlight w:val="none"/>
              </w:rPr>
            </w:pPr>
          </w:p>
        </w:tc>
      </w:tr>
      <w:tr w14:paraId="3953055C">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C837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593D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光纤交换机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37CA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DELL 博科 SW200E</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7E16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A2E7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10年以上</w:t>
            </w:r>
          </w:p>
        </w:tc>
      </w:tr>
      <w:tr w14:paraId="36F72E96">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C7CB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6486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光纤交换机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0F3E5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博科 300E</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9DB8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C32C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11年</w:t>
            </w:r>
          </w:p>
        </w:tc>
      </w:tr>
      <w:tr w14:paraId="3FE19293">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8E50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1304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核心交换机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F493E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S9712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3C5A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DA57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581AF2DB">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DED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0F2F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核心交换机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ED026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S9706</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7DCA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57C3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40F06C20">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F5D6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B39C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核心交换机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F5A8F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S5700-28C-EI-24S</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45C4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2AB3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19390421">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1DA5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FB48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服务器接入交换机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7606C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S5710-52C-EI</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3B7C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013C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6393FE11">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9084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1759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5F93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S5700-48TP-SI-AC</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C575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22FC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40495BDF">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3D3E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AC73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90EE5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S5700-24TP-SI-AC</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D0CE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8C56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499F7227">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EB8E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DADB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5AFB5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S2700-52P-EI-AC</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CE1A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F27C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440EC2E2">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990A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BF66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B1E5A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S2700-52P-EI-AC</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FD4E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1BD8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7CB89A55">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C7E05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97F28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50D39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华为 S5720-52P-SI-AC</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54BAE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75254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5年</w:t>
            </w:r>
          </w:p>
        </w:tc>
      </w:tr>
      <w:tr w14:paraId="794BF72C">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E8739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60EC7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楼层交换机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E5ECE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H3C LS-5120V2-52P-SI</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2331C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944DA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5年</w:t>
            </w:r>
          </w:p>
        </w:tc>
      </w:tr>
      <w:tr w14:paraId="5597396E">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2482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CD0C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无线AP</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BB867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AP6010DN-AGN</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35FE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55B0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56EE4A90">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933D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27AD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POE供电交换机</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5C177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S5700-24TP-PWR-SI</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2C29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3C8A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07279EA8">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6F58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8CD5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上网行为管理设备</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185BF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深信服 </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6700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F8BB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6年</w:t>
            </w:r>
          </w:p>
        </w:tc>
      </w:tr>
      <w:tr w14:paraId="3EB35EDA">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0E80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C698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防火墙</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4F604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USG5530S</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9427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2066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762A0C63">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727F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B105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防火墙</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DE061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华为 USG2260</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9C4E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9E4F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10年</w:t>
            </w:r>
          </w:p>
        </w:tc>
      </w:tr>
      <w:tr w14:paraId="6C1A341A">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AC50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3F59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防火墙</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8B0DB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天融信 NGFWARES （1507）</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67D5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017C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15年</w:t>
            </w:r>
          </w:p>
        </w:tc>
      </w:tr>
      <w:tr w14:paraId="29584510">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B4D4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CADF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防火墙</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B5506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天融信 NGFW4000-UF(TG-51030)</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2EF8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7FE9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6年</w:t>
            </w:r>
          </w:p>
        </w:tc>
      </w:tr>
      <w:tr w14:paraId="52D7DA7E">
        <w:tblPrEx>
          <w:tblCellMar>
            <w:top w:w="0" w:type="dxa"/>
            <w:left w:w="0" w:type="dxa"/>
            <w:bottom w:w="0" w:type="dxa"/>
            <w:right w:w="0" w:type="dxa"/>
          </w:tblCellMar>
        </w:tblPrEx>
        <w:trPr>
          <w:trHeight w:val="527" w:hRule="atLeast"/>
          <w:jc w:val="center"/>
        </w:trPr>
        <w:tc>
          <w:tcPr>
            <w:tcW w:w="69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559E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13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F09B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V</w:t>
            </w:r>
            <w:r>
              <w:rPr>
                <w:rStyle w:val="121"/>
                <w:rFonts w:hint="default"/>
                <w:color w:val="auto"/>
                <w:highlight w:val="none"/>
                <w:lang w:bidi="ar"/>
              </w:rPr>
              <w:t>PN系统</w:t>
            </w:r>
          </w:p>
        </w:tc>
        <w:tc>
          <w:tcPr>
            <w:tcW w:w="16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4C68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天融信TopVPN 6000</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8409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D725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7年</w:t>
            </w:r>
          </w:p>
        </w:tc>
      </w:tr>
      <w:tr w14:paraId="05E10843">
        <w:tblPrEx>
          <w:tblCellMar>
            <w:top w:w="0" w:type="dxa"/>
            <w:left w:w="0" w:type="dxa"/>
            <w:bottom w:w="0" w:type="dxa"/>
            <w:right w:w="0" w:type="dxa"/>
          </w:tblCellMar>
        </w:tblPrEx>
        <w:trPr>
          <w:trHeight w:val="527"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FF04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130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6CA64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Web应用防火墙</w:t>
            </w:r>
          </w:p>
        </w:tc>
        <w:tc>
          <w:tcPr>
            <w:tcW w:w="162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D47FBA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天融信 WAF（TopIPP2000）</w:t>
            </w:r>
          </w:p>
        </w:tc>
        <w:tc>
          <w:tcPr>
            <w:tcW w:w="69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478F0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920A6BF">
            <w:pPr>
              <w:widowControl/>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2年</w:t>
            </w:r>
          </w:p>
        </w:tc>
      </w:tr>
      <w:tr w14:paraId="13A6C6FB">
        <w:tblPrEx>
          <w:tblCellMar>
            <w:top w:w="0" w:type="dxa"/>
            <w:left w:w="0" w:type="dxa"/>
            <w:bottom w:w="0" w:type="dxa"/>
            <w:right w:w="0" w:type="dxa"/>
          </w:tblCellMar>
        </w:tblPrEx>
        <w:trPr>
          <w:trHeight w:val="527"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8B1216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51CBA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交换机</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FE594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华为 Quidway S3700 Series</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589B2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418A78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10年</w:t>
            </w:r>
          </w:p>
        </w:tc>
      </w:tr>
      <w:tr w14:paraId="393FD8B9">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BAAC1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E9554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交换机</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70572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华为 Quidway S5700 Series</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5A066D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7AD95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10年</w:t>
            </w:r>
          </w:p>
        </w:tc>
      </w:tr>
      <w:tr w14:paraId="0ECB3DC2">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4EC9D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693D1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无线A</w:t>
            </w:r>
            <w:r>
              <w:rPr>
                <w:rFonts w:ascii="宋体" w:hAnsi="宋体" w:eastAsia="宋体" w:cs="宋体"/>
                <w:color w:val="auto"/>
                <w:kern w:val="0"/>
                <w:szCs w:val="21"/>
                <w:highlight w:val="none"/>
                <w:lang w:bidi="ar"/>
              </w:rPr>
              <w:t>C</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81600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华三 </w:t>
            </w:r>
            <w:r>
              <w:rPr>
                <w:rFonts w:ascii="宋体" w:hAnsi="宋体" w:eastAsia="宋体" w:cs="宋体"/>
                <w:color w:val="auto"/>
                <w:kern w:val="0"/>
                <w:szCs w:val="21"/>
                <w:highlight w:val="none"/>
                <w:lang w:bidi="ar"/>
              </w:rPr>
              <w:t>MSG360</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EC4F3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06DAD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463E5BD2">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F51A2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32</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E11B8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无线A</w:t>
            </w:r>
            <w:r>
              <w:rPr>
                <w:rFonts w:ascii="宋体" w:hAnsi="宋体" w:eastAsia="宋体" w:cs="宋体"/>
                <w:color w:val="auto"/>
                <w:kern w:val="0"/>
                <w:szCs w:val="21"/>
                <w:highlight w:val="none"/>
                <w:lang w:bidi="ar"/>
              </w:rPr>
              <w:t>P</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76AF6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华三W</w:t>
            </w:r>
            <w:r>
              <w:rPr>
                <w:rFonts w:ascii="宋体" w:hAnsi="宋体" w:eastAsia="宋体" w:cs="宋体"/>
                <w:color w:val="auto"/>
                <w:kern w:val="0"/>
                <w:szCs w:val="21"/>
                <w:highlight w:val="none"/>
                <w:lang w:bidi="ar"/>
              </w:rPr>
              <w:t>AP722S-W2</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11CD2">
            <w:pPr>
              <w:widowControl/>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5</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14672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6BD1E00A">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398B5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B6AA9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无线A</w:t>
            </w:r>
            <w:r>
              <w:rPr>
                <w:rFonts w:ascii="宋体" w:hAnsi="宋体" w:eastAsia="宋体" w:cs="宋体"/>
                <w:color w:val="auto"/>
                <w:kern w:val="0"/>
                <w:szCs w:val="21"/>
                <w:highlight w:val="none"/>
                <w:lang w:bidi="ar"/>
              </w:rPr>
              <w:t>P</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7A30C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华三W</w:t>
            </w:r>
            <w:r>
              <w:rPr>
                <w:rFonts w:ascii="宋体" w:hAnsi="宋体" w:eastAsia="宋体" w:cs="宋体"/>
                <w:color w:val="auto"/>
                <w:kern w:val="0"/>
                <w:szCs w:val="21"/>
                <w:highlight w:val="none"/>
                <w:lang w:bidi="ar"/>
              </w:rPr>
              <w:t>AP723-W2</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46D15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E13D2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654733FE">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6754C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F97FB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防毒墙</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A8B3A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天融信T</w:t>
            </w:r>
            <w:r>
              <w:rPr>
                <w:rFonts w:ascii="宋体" w:hAnsi="宋体" w:eastAsia="宋体" w:cs="宋体"/>
                <w:color w:val="auto"/>
                <w:kern w:val="0"/>
                <w:szCs w:val="21"/>
                <w:highlight w:val="none"/>
                <w:lang w:bidi="ar"/>
              </w:rPr>
              <w:t>OPF</w:t>
            </w:r>
            <w:r>
              <w:rPr>
                <w:rFonts w:hint="eastAsia" w:ascii="宋体" w:hAnsi="宋体" w:eastAsia="宋体" w:cs="宋体"/>
                <w:color w:val="auto"/>
                <w:kern w:val="0"/>
                <w:szCs w:val="21"/>
                <w:highlight w:val="none"/>
                <w:lang w:bidi="ar"/>
              </w:rPr>
              <w:t>ilter</w:t>
            </w:r>
            <w:r>
              <w:rPr>
                <w:rFonts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t>8000</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718B2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6497D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1E35DB67">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3B748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236BB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准入系统</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86188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天融信T</w:t>
            </w:r>
            <w:r>
              <w:rPr>
                <w:rFonts w:ascii="宋体" w:hAnsi="宋体" w:eastAsia="宋体" w:cs="宋体"/>
                <w:color w:val="auto"/>
                <w:kern w:val="0"/>
                <w:szCs w:val="21"/>
                <w:highlight w:val="none"/>
                <w:lang w:bidi="ar"/>
              </w:rPr>
              <w:t>SM</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35DBB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274673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709D4357">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CF386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C0E07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互联防火墙</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7E92C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天融信N</w:t>
            </w:r>
            <w:r>
              <w:rPr>
                <w:rFonts w:ascii="宋体" w:hAnsi="宋体" w:eastAsia="宋体" w:cs="宋体"/>
                <w:color w:val="auto"/>
                <w:kern w:val="0"/>
                <w:szCs w:val="21"/>
                <w:highlight w:val="none"/>
                <w:lang w:bidi="ar"/>
              </w:rPr>
              <w:t>GFW4000-UF</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0F0EB0">
            <w:pPr>
              <w:widowControl/>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C93221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7FDCE57E">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1C5A9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37</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0AB7B9">
            <w:pPr>
              <w:widowControl/>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APT</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1FE7B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天融信Top</w:t>
            </w:r>
            <w:r>
              <w:rPr>
                <w:rFonts w:ascii="宋体" w:hAnsi="宋体" w:eastAsia="宋体" w:cs="宋体"/>
                <w:color w:val="auto"/>
                <w:kern w:val="0"/>
                <w:szCs w:val="21"/>
                <w:highlight w:val="none"/>
                <w:lang w:bidi="ar"/>
              </w:rPr>
              <w:t>APT8000</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6310B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B772C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4年</w:t>
            </w:r>
          </w:p>
        </w:tc>
      </w:tr>
      <w:tr w14:paraId="0CEAF27C">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FED50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38</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57568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无线A</w:t>
            </w:r>
            <w:r>
              <w:rPr>
                <w:rFonts w:ascii="宋体" w:hAnsi="宋体" w:eastAsia="宋体" w:cs="宋体"/>
                <w:color w:val="auto"/>
                <w:kern w:val="0"/>
                <w:szCs w:val="21"/>
                <w:highlight w:val="none"/>
                <w:lang w:bidi="ar"/>
              </w:rPr>
              <w:t>C</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720D0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华三</w:t>
            </w:r>
            <w:r>
              <w:rPr>
                <w:rFonts w:ascii="宋体" w:hAnsi="宋体" w:eastAsia="宋体" w:cs="宋体"/>
                <w:color w:val="auto"/>
                <w:kern w:val="0"/>
                <w:szCs w:val="21"/>
                <w:highlight w:val="none"/>
                <w:lang w:bidi="ar"/>
              </w:rPr>
              <w:t xml:space="preserve"> MSG360-22L-PWR</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C9DEF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03BFA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3年</w:t>
            </w:r>
          </w:p>
        </w:tc>
      </w:tr>
      <w:tr w14:paraId="691EF0F7">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F0CE1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39</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56673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无线A</w:t>
            </w:r>
            <w:r>
              <w:rPr>
                <w:rFonts w:ascii="宋体" w:hAnsi="宋体" w:eastAsia="宋体" w:cs="宋体"/>
                <w:color w:val="auto"/>
                <w:kern w:val="0"/>
                <w:szCs w:val="21"/>
                <w:highlight w:val="none"/>
                <w:lang w:bidi="ar"/>
              </w:rPr>
              <w:t>P</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A3887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华三</w:t>
            </w:r>
            <w:r>
              <w:rPr>
                <w:rFonts w:ascii="宋体" w:hAnsi="宋体" w:eastAsia="宋体" w:cs="宋体"/>
                <w:color w:val="auto"/>
                <w:kern w:val="0"/>
                <w:szCs w:val="21"/>
                <w:highlight w:val="none"/>
                <w:lang w:bidi="ar"/>
              </w:rPr>
              <w:t xml:space="preserve"> WAP722S-W2</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C7F19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579C2F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3年</w:t>
            </w:r>
          </w:p>
        </w:tc>
      </w:tr>
      <w:tr w14:paraId="4637E3FD">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50BD6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CAD40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网闸</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F3D3A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天融信TopRules</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456DB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DF677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3年</w:t>
            </w:r>
          </w:p>
        </w:tc>
      </w:tr>
      <w:tr w14:paraId="60039E39">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CABE0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AE66D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V</w:t>
            </w:r>
            <w:r>
              <w:rPr>
                <w:rFonts w:ascii="宋体" w:hAnsi="宋体" w:eastAsia="宋体" w:cs="宋体"/>
                <w:color w:val="auto"/>
                <w:kern w:val="0"/>
                <w:szCs w:val="21"/>
                <w:highlight w:val="none"/>
                <w:lang w:bidi="ar"/>
              </w:rPr>
              <w:t>PN</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927BA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天融信TopVPN 6000</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275C2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5C14EB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3年</w:t>
            </w:r>
          </w:p>
        </w:tc>
      </w:tr>
      <w:tr w14:paraId="70A06ED0">
        <w:tblPrEx>
          <w:tblCellMar>
            <w:top w:w="0" w:type="dxa"/>
            <w:left w:w="0" w:type="dxa"/>
            <w:bottom w:w="0" w:type="dxa"/>
            <w:right w:w="0" w:type="dxa"/>
          </w:tblCellMar>
        </w:tblPrEx>
        <w:trPr>
          <w:trHeight w:val="676" w:hRule="atLeast"/>
          <w:jc w:val="center"/>
        </w:trPr>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92A7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w:t>
            </w:r>
          </w:p>
        </w:tc>
        <w:tc>
          <w:tcPr>
            <w:tcW w:w="130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00EB8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僵木蠕</w:t>
            </w:r>
          </w:p>
        </w:tc>
        <w:tc>
          <w:tcPr>
            <w:tcW w:w="1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53DBD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天融信 </w:t>
            </w:r>
            <w:r>
              <w:rPr>
                <w:rFonts w:ascii="宋体" w:hAnsi="宋体" w:eastAsia="宋体" w:cs="宋体"/>
                <w:color w:val="auto"/>
                <w:kern w:val="0"/>
                <w:szCs w:val="21"/>
                <w:highlight w:val="none"/>
                <w:lang w:bidi="ar"/>
              </w:rPr>
              <w:t>TVD-71358</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36958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0FBDE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2年</w:t>
            </w:r>
          </w:p>
        </w:tc>
      </w:tr>
      <w:tr w14:paraId="65203C82">
        <w:tblPrEx>
          <w:tblCellMar>
            <w:top w:w="0" w:type="dxa"/>
            <w:left w:w="0" w:type="dxa"/>
            <w:bottom w:w="0" w:type="dxa"/>
            <w:right w:w="0" w:type="dxa"/>
          </w:tblCellMar>
        </w:tblPrEx>
        <w:trPr>
          <w:trHeight w:val="527" w:hRule="atLeast"/>
          <w:jc w:val="center"/>
        </w:trPr>
        <w:tc>
          <w:tcPr>
            <w:tcW w:w="3618"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BBF62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小计：</w:t>
            </w:r>
          </w:p>
        </w:tc>
        <w:tc>
          <w:tcPr>
            <w:tcW w:w="69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5DC69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137</w:t>
            </w:r>
          </w:p>
        </w:tc>
        <w:tc>
          <w:tcPr>
            <w:tcW w:w="690"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E65C9F">
            <w:pPr>
              <w:widowControl/>
              <w:textAlignment w:val="center"/>
              <w:rPr>
                <w:rFonts w:hint="eastAsia" w:ascii="宋体" w:hAnsi="宋体" w:eastAsia="宋体" w:cs="宋体"/>
                <w:color w:val="auto"/>
                <w:kern w:val="0"/>
                <w:szCs w:val="21"/>
                <w:highlight w:val="none"/>
                <w:lang w:bidi="ar"/>
              </w:rPr>
            </w:pPr>
          </w:p>
        </w:tc>
      </w:tr>
    </w:tbl>
    <w:p w14:paraId="13DB43FD">
      <w:pPr>
        <w:spacing w:line="360" w:lineRule="auto"/>
        <w:ind w:firstLine="420"/>
        <w:jc w:val="center"/>
        <w:rPr>
          <w:color w:val="auto"/>
          <w:sz w:val="24"/>
          <w:highlight w:val="none"/>
        </w:rPr>
      </w:pPr>
    </w:p>
    <w:p w14:paraId="44421754">
      <w:pPr>
        <w:pStyle w:val="3"/>
        <w:jc w:val="left"/>
        <w:rPr>
          <w:color w:val="auto"/>
          <w:highlight w:val="none"/>
        </w:rPr>
      </w:pPr>
      <w:r>
        <w:rPr>
          <w:rFonts w:hint="eastAsia"/>
          <w:color w:val="auto"/>
          <w:highlight w:val="none"/>
        </w:rPr>
        <w:t>1.4 机房基础设施</w:t>
      </w:r>
    </w:p>
    <w:tbl>
      <w:tblPr>
        <w:tblStyle w:val="62"/>
        <w:tblW w:w="4998" w:type="pct"/>
        <w:jc w:val="center"/>
        <w:tblLayout w:type="autofit"/>
        <w:tblCellMar>
          <w:top w:w="15" w:type="dxa"/>
          <w:left w:w="15" w:type="dxa"/>
          <w:bottom w:w="15" w:type="dxa"/>
          <w:right w:w="15" w:type="dxa"/>
        </w:tblCellMar>
      </w:tblPr>
      <w:tblGrid>
        <w:gridCol w:w="859"/>
        <w:gridCol w:w="1480"/>
        <w:gridCol w:w="3619"/>
        <w:gridCol w:w="1314"/>
        <w:gridCol w:w="1826"/>
      </w:tblGrid>
      <w:tr w14:paraId="1C210251">
        <w:tblPrEx>
          <w:tblCellMar>
            <w:top w:w="15" w:type="dxa"/>
            <w:left w:w="15" w:type="dxa"/>
            <w:bottom w:w="15" w:type="dxa"/>
            <w:right w:w="15" w:type="dxa"/>
          </w:tblCellMar>
        </w:tblPrEx>
        <w:trPr>
          <w:trHeight w:val="285"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DACC9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81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FC89A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设备类型</w:t>
            </w:r>
          </w:p>
        </w:tc>
        <w:tc>
          <w:tcPr>
            <w:tcW w:w="1988"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0DECB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型号说明</w:t>
            </w:r>
          </w:p>
        </w:tc>
        <w:tc>
          <w:tcPr>
            <w:tcW w:w="72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D0D04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数量</w:t>
            </w:r>
          </w:p>
        </w:tc>
        <w:tc>
          <w:tcPr>
            <w:tcW w:w="100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B7052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使用年限说明</w:t>
            </w:r>
          </w:p>
        </w:tc>
      </w:tr>
      <w:tr w14:paraId="0D61CA58">
        <w:tblPrEx>
          <w:tblCellMar>
            <w:top w:w="15" w:type="dxa"/>
            <w:left w:w="15" w:type="dxa"/>
            <w:bottom w:w="15" w:type="dxa"/>
            <w:right w:w="15" w:type="dxa"/>
          </w:tblCellMar>
        </w:tblPrEx>
        <w:trPr>
          <w:trHeight w:val="285"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DD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50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智能PDU</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E91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Raritan（力登）</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39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89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11年</w:t>
            </w:r>
          </w:p>
        </w:tc>
      </w:tr>
      <w:tr w14:paraId="5631DBB2">
        <w:tblPrEx>
          <w:tblCellMar>
            <w:top w:w="15" w:type="dxa"/>
            <w:left w:w="15" w:type="dxa"/>
            <w:bottom w:w="15" w:type="dxa"/>
            <w:right w:w="15" w:type="dxa"/>
          </w:tblCellMar>
        </w:tblPrEx>
        <w:trPr>
          <w:trHeight w:val="285"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28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48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普通型PDU</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CAF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Raritan（力登）</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AC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97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11年</w:t>
            </w:r>
          </w:p>
        </w:tc>
      </w:tr>
      <w:tr w14:paraId="47418755">
        <w:tblPrEx>
          <w:tblCellMar>
            <w:top w:w="15" w:type="dxa"/>
            <w:left w:w="15" w:type="dxa"/>
            <w:bottom w:w="15" w:type="dxa"/>
            <w:right w:w="15" w:type="dxa"/>
          </w:tblCellMar>
        </w:tblPrEx>
        <w:trPr>
          <w:trHeight w:val="2430"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BB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C5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KVM系统</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514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品牌Raritan（力登），滨江院区机房和武林院区机房各1套。其中武林院区机房1个集中认证管理平台，2台KVM主机，3个抽拉式折叠液晶套件；滨江院区机房1个集中认证管理平台，10个KVM主机，10个抽拉式折叠液晶套件，2台串口管理设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DE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2套</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A4A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武林院区使用年限超过10年，滨江院区使用年限10年</w:t>
            </w:r>
          </w:p>
        </w:tc>
      </w:tr>
      <w:tr w14:paraId="4805580A">
        <w:tblPrEx>
          <w:tblCellMar>
            <w:top w:w="15" w:type="dxa"/>
            <w:left w:w="15" w:type="dxa"/>
            <w:bottom w:w="15" w:type="dxa"/>
            <w:right w:w="15" w:type="dxa"/>
          </w:tblCellMar>
        </w:tblPrEx>
        <w:trPr>
          <w:trHeight w:val="2160"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28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55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机房网络布线系统</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DDF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2个机房，分别位于滨江院区和武林院区。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67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2套</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E1F2">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武林院区使用年限超过10年，滨江院区使用年限</w:t>
            </w:r>
          </w:p>
          <w:p w14:paraId="667A12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10年</w:t>
            </w:r>
          </w:p>
        </w:tc>
      </w:tr>
      <w:tr w14:paraId="5361B11D">
        <w:tblPrEx>
          <w:tblCellMar>
            <w:top w:w="15" w:type="dxa"/>
            <w:left w:w="15" w:type="dxa"/>
            <w:bottom w:w="15" w:type="dxa"/>
            <w:right w:w="15" w:type="dxa"/>
          </w:tblCellMar>
        </w:tblPrEx>
        <w:trPr>
          <w:trHeight w:val="540"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80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B8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机柜</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489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2个机房，武林院区的机柜为HP，3台；滨江院区为图腾</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45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59E2">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武林院区3台使用超过10年</w:t>
            </w:r>
          </w:p>
          <w:p w14:paraId="72D6E23A">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滨江院区12台使用年限10年</w:t>
            </w:r>
          </w:p>
        </w:tc>
      </w:tr>
      <w:tr w14:paraId="4F266AF3">
        <w:tblPrEx>
          <w:tblCellMar>
            <w:top w:w="15" w:type="dxa"/>
            <w:left w:w="15" w:type="dxa"/>
            <w:bottom w:w="15" w:type="dxa"/>
            <w:right w:w="15" w:type="dxa"/>
          </w:tblCellMar>
        </w:tblPrEx>
        <w:trPr>
          <w:trHeight w:val="540" w:hRule="atLeast"/>
          <w:jc w:val="center"/>
        </w:trPr>
        <w:tc>
          <w:tcPr>
            <w:tcW w:w="3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4F3C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DB3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9DC0">
            <w:pPr>
              <w:widowControl/>
              <w:jc w:val="left"/>
              <w:textAlignment w:val="center"/>
              <w:rPr>
                <w:rFonts w:hint="eastAsia" w:ascii="宋体" w:hAnsi="宋体" w:eastAsia="宋体" w:cs="宋体"/>
                <w:color w:val="auto"/>
                <w:kern w:val="0"/>
                <w:szCs w:val="21"/>
                <w:highlight w:val="none"/>
              </w:rPr>
            </w:pPr>
          </w:p>
        </w:tc>
      </w:tr>
    </w:tbl>
    <w:p w14:paraId="3C40E8F0">
      <w:pPr>
        <w:spacing w:line="360" w:lineRule="auto"/>
        <w:ind w:firstLine="420"/>
        <w:rPr>
          <w:color w:val="auto"/>
          <w:sz w:val="24"/>
          <w:highlight w:val="none"/>
        </w:rPr>
      </w:pPr>
    </w:p>
    <w:p w14:paraId="6DFE8EB9">
      <w:pPr>
        <w:pStyle w:val="3"/>
        <w:jc w:val="left"/>
        <w:rPr>
          <w:color w:val="auto"/>
          <w:highlight w:val="none"/>
        </w:rPr>
      </w:pPr>
      <w:r>
        <w:rPr>
          <w:rFonts w:hint="eastAsia"/>
          <w:color w:val="auto"/>
          <w:highlight w:val="none"/>
        </w:rPr>
        <w:t>1.5 桌面及外围设备</w:t>
      </w:r>
    </w:p>
    <w:tbl>
      <w:tblPr>
        <w:tblStyle w:val="62"/>
        <w:tblW w:w="4998" w:type="pct"/>
        <w:jc w:val="center"/>
        <w:tblLayout w:type="autofit"/>
        <w:tblCellMar>
          <w:top w:w="15" w:type="dxa"/>
          <w:left w:w="15" w:type="dxa"/>
          <w:bottom w:w="15" w:type="dxa"/>
          <w:right w:w="15" w:type="dxa"/>
        </w:tblCellMar>
      </w:tblPr>
      <w:tblGrid>
        <w:gridCol w:w="744"/>
        <w:gridCol w:w="2842"/>
        <w:gridCol w:w="2359"/>
        <w:gridCol w:w="994"/>
        <w:gridCol w:w="2159"/>
      </w:tblGrid>
      <w:tr w14:paraId="7CD028F5">
        <w:tblPrEx>
          <w:tblCellMar>
            <w:top w:w="15" w:type="dxa"/>
            <w:left w:w="15" w:type="dxa"/>
            <w:bottom w:w="15" w:type="dxa"/>
            <w:right w:w="15"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0D27D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156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8EDA1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设备类型</w:t>
            </w:r>
          </w:p>
        </w:tc>
        <w:tc>
          <w:tcPr>
            <w:tcW w:w="129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FE343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型号说明</w:t>
            </w:r>
          </w:p>
        </w:tc>
        <w:tc>
          <w:tcPr>
            <w:tcW w:w="54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4FF54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数量</w:t>
            </w:r>
          </w:p>
        </w:tc>
        <w:tc>
          <w:tcPr>
            <w:tcW w:w="118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D4DF9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使用年限说明</w:t>
            </w:r>
          </w:p>
        </w:tc>
      </w:tr>
      <w:tr w14:paraId="1CCE5BDD">
        <w:tblPrEx>
          <w:tblCellMar>
            <w:top w:w="15" w:type="dxa"/>
            <w:left w:w="15" w:type="dxa"/>
            <w:bottom w:w="15" w:type="dxa"/>
            <w:right w:w="15" w:type="dxa"/>
          </w:tblCellMar>
        </w:tblPrEx>
        <w:trPr>
          <w:trHeight w:val="301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31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688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固定计算终端（如台式计算机等）、移动计算终端（如笔记本电脑、平板电脑等）、外围输入输出设备（如信息采集、打印、显示、播放设备等）、外围存储设备（如U盘、移动硬盘、光盘等）、外围通讯设备（如非核心路由器、交换机等</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226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使用区域为浙江省血液中心指定地点（含武林院区、滨江院区、献血点、献血车以及临安分站），产品品牌涉及华为、浪潮、锐捷、戴尔、惠普、联想</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AB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近625台</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106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其中固定计算机终端中超50台使用年限超过9年</w:t>
            </w:r>
          </w:p>
        </w:tc>
      </w:tr>
    </w:tbl>
    <w:p w14:paraId="2A612E57">
      <w:pPr>
        <w:spacing w:line="360" w:lineRule="auto"/>
        <w:ind w:firstLine="420"/>
        <w:rPr>
          <w:color w:val="auto"/>
          <w:sz w:val="24"/>
          <w:highlight w:val="none"/>
        </w:rPr>
      </w:pPr>
    </w:p>
    <w:p w14:paraId="5A69E7CD">
      <w:pPr>
        <w:pStyle w:val="2"/>
        <w:jc w:val="left"/>
        <w:rPr>
          <w:rFonts w:hint="eastAsia"/>
          <w:color w:val="auto"/>
          <w:highlight w:val="none"/>
        </w:rPr>
        <w:sectPr>
          <w:headerReference r:id="rId5" w:type="first"/>
          <w:footerReference r:id="rId8" w:type="first"/>
          <w:footerReference r:id="rId6" w:type="default"/>
          <w:footerReference r:id="rId7" w:type="even"/>
          <w:pgSz w:w="11906" w:h="16838"/>
          <w:pgMar w:top="1417" w:right="1417" w:bottom="1417" w:left="1417" w:header="851" w:footer="850" w:gutter="0"/>
          <w:cols w:space="720" w:num="1"/>
          <w:titlePg/>
          <w:docGrid w:linePitch="312" w:charSpace="0"/>
        </w:sectPr>
      </w:pPr>
    </w:p>
    <w:p w14:paraId="0CC3F069">
      <w:pPr>
        <w:pStyle w:val="2"/>
        <w:jc w:val="left"/>
        <w:rPr>
          <w:color w:val="auto"/>
          <w:sz w:val="24"/>
          <w:highlight w:val="none"/>
        </w:rPr>
      </w:pPr>
      <w:r>
        <w:rPr>
          <w:rFonts w:hint="eastAsia"/>
          <w:color w:val="auto"/>
          <w:highlight w:val="none"/>
        </w:rPr>
        <w:t>附件2：维护内容清单</w:t>
      </w:r>
    </w:p>
    <w:tbl>
      <w:tblPr>
        <w:tblStyle w:val="62"/>
        <w:tblW w:w="9478" w:type="dxa"/>
        <w:tblInd w:w="0" w:type="dxa"/>
        <w:tblLayout w:type="fixed"/>
        <w:tblCellMar>
          <w:top w:w="15" w:type="dxa"/>
          <w:left w:w="15" w:type="dxa"/>
          <w:bottom w:w="15" w:type="dxa"/>
          <w:right w:w="15" w:type="dxa"/>
        </w:tblCellMar>
      </w:tblPr>
      <w:tblGrid>
        <w:gridCol w:w="508"/>
        <w:gridCol w:w="1006"/>
        <w:gridCol w:w="4168"/>
        <w:gridCol w:w="1573"/>
        <w:gridCol w:w="2223"/>
      </w:tblGrid>
      <w:tr w14:paraId="1DB67A49">
        <w:tblPrEx>
          <w:tblCellMar>
            <w:top w:w="15" w:type="dxa"/>
            <w:left w:w="15" w:type="dxa"/>
            <w:bottom w:w="15" w:type="dxa"/>
            <w:right w:w="15"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44D89C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633562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运维类型</w:t>
            </w:r>
          </w:p>
        </w:tc>
        <w:tc>
          <w:tcPr>
            <w:tcW w:w="4168"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41EA703">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运维内容概述</w:t>
            </w:r>
          </w:p>
        </w:tc>
        <w:tc>
          <w:tcPr>
            <w:tcW w:w="1573"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0CCEBC4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运维工作频率</w:t>
            </w:r>
          </w:p>
        </w:tc>
        <w:tc>
          <w:tcPr>
            <w:tcW w:w="2223"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A9E5A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运维工作范围</w:t>
            </w:r>
          </w:p>
        </w:tc>
      </w:tr>
      <w:tr w14:paraId="2DF66C15">
        <w:tblPrEx>
          <w:tblCellMar>
            <w:top w:w="15" w:type="dxa"/>
            <w:left w:w="15" w:type="dxa"/>
            <w:bottom w:w="15" w:type="dxa"/>
            <w:right w:w="15"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2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C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运行监控</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7A34">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业务网和办公网的计算机病毒防范系统检查</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3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每工作日</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166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业务网电脑清单（简易版）/办公网电脑清单</w:t>
            </w:r>
          </w:p>
        </w:tc>
      </w:tr>
      <w:tr w14:paraId="0303E1DA">
        <w:tblPrEx>
          <w:tblCellMar>
            <w:top w:w="15" w:type="dxa"/>
            <w:left w:w="15" w:type="dxa"/>
            <w:bottom w:w="15" w:type="dxa"/>
            <w:right w:w="15" w:type="dxa"/>
          </w:tblCellMar>
        </w:tblPrEx>
        <w:trPr>
          <w:trHeight w:val="63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D305">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B4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运行监控</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DE91">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上网行为管理系统检查</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C7B2">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每月1次</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B61">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办公网电脑清单</w:t>
            </w:r>
          </w:p>
        </w:tc>
      </w:tr>
      <w:tr w14:paraId="0823BF63">
        <w:tblPrEx>
          <w:tblCellMar>
            <w:top w:w="15" w:type="dxa"/>
            <w:left w:w="15" w:type="dxa"/>
            <w:bottom w:w="15" w:type="dxa"/>
            <w:right w:w="15" w:type="dxa"/>
          </w:tblCellMar>
        </w:tblPrEx>
        <w:trPr>
          <w:trHeight w:val="97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9F0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08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运行监控</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0936">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其他信息系统运行监控，如监控短信平台、机房监控系统的短信每日接收情况</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F8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每日/周</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E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p>
        </w:tc>
      </w:tr>
      <w:tr w14:paraId="3D7A7452">
        <w:tblPrEx>
          <w:tblCellMar>
            <w:top w:w="15" w:type="dxa"/>
            <w:left w:w="15" w:type="dxa"/>
            <w:bottom w:w="15" w:type="dxa"/>
            <w:right w:w="15" w:type="dxa"/>
          </w:tblCellMar>
        </w:tblPrEx>
        <w:trPr>
          <w:trHeight w:val="92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90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82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运行监控</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CA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滨江机房设备运行状态监控，如服务器、UPS、空调是否异常</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21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每工作日</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7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滨江机房主要设备</w:t>
            </w:r>
          </w:p>
        </w:tc>
      </w:tr>
      <w:tr w14:paraId="46C62D0A">
        <w:tblPrEx>
          <w:tblCellMar>
            <w:top w:w="15" w:type="dxa"/>
            <w:left w:w="15" w:type="dxa"/>
            <w:bottom w:w="15" w:type="dxa"/>
            <w:right w:w="15" w:type="dxa"/>
          </w:tblCellMar>
        </w:tblPrEx>
        <w:trPr>
          <w:trHeight w:val="7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9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14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运行监控</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3D82">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武林机房设备运行状态监控，如服务器、UPS、空调是否异常</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A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每周1次</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0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滨江机房主要设备</w:t>
            </w:r>
          </w:p>
        </w:tc>
      </w:tr>
      <w:tr w14:paraId="47605B95">
        <w:tblPrEx>
          <w:tblCellMar>
            <w:top w:w="15" w:type="dxa"/>
            <w:left w:w="15" w:type="dxa"/>
            <w:bottom w:w="15" w:type="dxa"/>
            <w:right w:w="15"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62C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9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运行监控</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CFF0">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业务系统数据库磁带备份系统状态监控和每日备份</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A4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每日</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9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BIS系统数据</w:t>
            </w:r>
          </w:p>
        </w:tc>
      </w:tr>
      <w:tr w14:paraId="37AFB73E">
        <w:tblPrEx>
          <w:tblCellMar>
            <w:top w:w="15" w:type="dxa"/>
            <w:left w:w="15" w:type="dxa"/>
            <w:bottom w:w="15" w:type="dxa"/>
            <w:right w:w="15" w:type="dxa"/>
          </w:tblCellMar>
        </w:tblPrEx>
        <w:trPr>
          <w:trHeight w:val="65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07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A9E">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例行检查</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3C9">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业务网和办公网网络安全设备巡检</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8D3">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一年2次</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973E">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机房主要网络设备及安全设备</w:t>
            </w:r>
          </w:p>
        </w:tc>
      </w:tr>
      <w:tr w14:paraId="166CB7AD">
        <w:tblPrEx>
          <w:tblCellMar>
            <w:top w:w="15" w:type="dxa"/>
            <w:left w:w="15" w:type="dxa"/>
            <w:bottom w:w="15" w:type="dxa"/>
            <w:right w:w="15"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7F2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4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例行检查</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5DD">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中心计算机设备巡检（内外网）</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6F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每月</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D0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根据需求每月安排部分科室的计算机设备</w:t>
            </w:r>
          </w:p>
        </w:tc>
      </w:tr>
      <w:tr w14:paraId="4E602C24">
        <w:tblPrEx>
          <w:tblCellMar>
            <w:top w:w="15" w:type="dxa"/>
            <w:left w:w="15" w:type="dxa"/>
            <w:bottom w:w="15" w:type="dxa"/>
            <w:right w:w="15"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AD52">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4AF">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例行检查</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909">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献血服务一科献血点（献血车）设备巡检及现场支持</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2C9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每周</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60D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根据需求每周安排部分献血点</w:t>
            </w:r>
          </w:p>
        </w:tc>
      </w:tr>
      <w:tr w14:paraId="2BEF9155">
        <w:tblPrEx>
          <w:tblCellMar>
            <w:top w:w="15" w:type="dxa"/>
            <w:left w:w="15" w:type="dxa"/>
            <w:bottom w:w="15" w:type="dxa"/>
            <w:right w:w="15" w:type="dxa"/>
          </w:tblCellMar>
        </w:tblPrEx>
        <w:trPr>
          <w:trHeight w:val="65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AC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38B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例行检查</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BB54">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献血服务二科设备巡检及现场支持</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0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每周</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95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根据业务需求每周安排</w:t>
            </w:r>
          </w:p>
        </w:tc>
      </w:tr>
      <w:tr w14:paraId="1F1CB947">
        <w:tblPrEx>
          <w:tblCellMar>
            <w:top w:w="15" w:type="dxa"/>
            <w:left w:w="15" w:type="dxa"/>
            <w:bottom w:w="15" w:type="dxa"/>
            <w:right w:w="15"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5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DA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例行检查</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BF2">
            <w:pPr>
              <w:widowControl/>
              <w:jc w:val="left"/>
              <w:textAlignment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信息安全服务，包括</w:t>
            </w:r>
            <w:r>
              <w:rPr>
                <w:rFonts w:hint="eastAsia" w:asciiTheme="minorEastAsia" w:hAnsiTheme="minorEastAsia"/>
                <w:color w:val="auto"/>
                <w:sz w:val="24"/>
                <w:highlight w:val="none"/>
              </w:rPr>
              <w:t>漏洞检测服务、渗透测试服务等</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C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一年1次</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9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0CE8D107">
        <w:tblPrEx>
          <w:tblCellMar>
            <w:top w:w="15" w:type="dxa"/>
            <w:left w:w="15" w:type="dxa"/>
            <w:bottom w:w="15" w:type="dxa"/>
            <w:right w:w="15" w:type="dxa"/>
          </w:tblCellMar>
        </w:tblPrEx>
        <w:trPr>
          <w:trHeight w:val="284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95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A17">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响应支持</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7BD">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中心桌面及外设设备、数据中心的服务请求、故障申报提供即时运行维护，以保障应用系统的正常运行。主要包括故障类响应、服务请求响应和应急响应3大类，如设备故障的受理、排查和处理，服务器操作系统的安装和调整、设备操作或使用方法的咨询服务，会议技术支持，以及应急响应等。</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F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每天</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BA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bl>
    <w:p w14:paraId="260D82DF">
      <w:pPr>
        <w:spacing w:line="360" w:lineRule="auto"/>
        <w:rPr>
          <w:color w:val="auto"/>
          <w:sz w:val="24"/>
          <w:highlight w:val="none"/>
        </w:rPr>
      </w:pPr>
    </w:p>
    <w:p w14:paraId="77C76C97">
      <w:pPr>
        <w:jc w:val="both"/>
        <w:rPr>
          <w:rFonts w:hint="eastAsia" w:ascii="宋体" w:hAnsi="宋体" w:eastAsia="宋体" w:cs="宋体"/>
          <w:color w:val="auto"/>
          <w:highlight w:val="none"/>
        </w:rPr>
      </w:pPr>
    </w:p>
    <w:p w14:paraId="26E4B513">
      <w:pPr>
        <w:wordWrap w:val="0"/>
        <w:adjustRightInd/>
        <w:ind w:firstLine="480" w:firstLineChars="200"/>
        <w:contextualSpacing/>
        <w:rPr>
          <w:rFonts w:hint="eastAsia" w:ascii="宋体" w:hAnsi="宋体" w:eastAsia="宋体" w:cs="Times New Roman"/>
          <w:color w:val="auto"/>
          <w:highlight w:val="none"/>
        </w:rPr>
      </w:pPr>
    </w:p>
    <w:p w14:paraId="5604F07C">
      <w:pPr>
        <w:pStyle w:val="2"/>
        <w:bidi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0338"/>
      <w:bookmarkEnd w:id="31"/>
      <w:bookmarkStart w:id="32" w:name="_Toc184313263"/>
      <w:bookmarkEnd w:id="32"/>
      <w:bookmarkStart w:id="33" w:name="_Toc184310295"/>
      <w:bookmarkEnd w:id="33"/>
      <w:bookmarkStart w:id="34" w:name="_Toc184313280"/>
      <w:bookmarkEnd w:id="34"/>
      <w:bookmarkStart w:id="35" w:name="_Toc184310287"/>
      <w:bookmarkEnd w:id="35"/>
      <w:bookmarkStart w:id="36" w:name="_Toc184314443"/>
      <w:bookmarkEnd w:id="36"/>
      <w:bookmarkStart w:id="37" w:name="_Toc184310316"/>
      <w:bookmarkEnd w:id="37"/>
      <w:bookmarkStart w:id="38" w:name="_Toc184314449"/>
      <w:bookmarkEnd w:id="38"/>
      <w:bookmarkStart w:id="39" w:name="_Toc184314420"/>
      <w:bookmarkEnd w:id="39"/>
      <w:bookmarkStart w:id="40" w:name="_Toc184310309"/>
      <w:bookmarkEnd w:id="40"/>
      <w:bookmarkStart w:id="41" w:name="_Toc184308097"/>
      <w:bookmarkEnd w:id="41"/>
      <w:bookmarkStart w:id="42" w:name="_Toc184314481"/>
      <w:bookmarkEnd w:id="42"/>
      <w:bookmarkStart w:id="43" w:name="_Toc184312138"/>
      <w:bookmarkEnd w:id="43"/>
      <w:bookmarkStart w:id="44" w:name="_Toc184310323"/>
      <w:bookmarkEnd w:id="44"/>
      <w:bookmarkStart w:id="45" w:name="_Toc184313254"/>
      <w:bookmarkEnd w:id="45"/>
      <w:bookmarkStart w:id="46" w:name="_Toc184312084"/>
      <w:bookmarkEnd w:id="46"/>
      <w:bookmarkStart w:id="47" w:name="_Toc184313241"/>
      <w:bookmarkEnd w:id="47"/>
      <w:bookmarkStart w:id="48" w:name="_Toc184312080"/>
      <w:bookmarkEnd w:id="48"/>
      <w:bookmarkStart w:id="49" w:name="_Toc184314412"/>
      <w:bookmarkEnd w:id="49"/>
      <w:bookmarkStart w:id="50" w:name="_Toc184314423"/>
      <w:bookmarkEnd w:id="50"/>
      <w:bookmarkStart w:id="51" w:name="_Toc184312110"/>
      <w:bookmarkEnd w:id="51"/>
      <w:bookmarkStart w:id="52" w:name="_Toc184312069"/>
      <w:bookmarkEnd w:id="52"/>
      <w:bookmarkStart w:id="53" w:name="_Toc184308101"/>
      <w:bookmarkEnd w:id="53"/>
      <w:bookmarkStart w:id="54" w:name="_Toc184312073"/>
      <w:bookmarkEnd w:id="54"/>
      <w:bookmarkStart w:id="55" w:name="_Toc184313275"/>
      <w:bookmarkEnd w:id="55"/>
      <w:bookmarkStart w:id="56" w:name="_Toc184312070"/>
      <w:bookmarkEnd w:id="56"/>
      <w:bookmarkStart w:id="57" w:name="_Toc184313284"/>
      <w:bookmarkEnd w:id="57"/>
      <w:bookmarkStart w:id="58" w:name="_Toc184310288"/>
      <w:bookmarkEnd w:id="58"/>
      <w:bookmarkStart w:id="59" w:name="_Toc184313245"/>
      <w:bookmarkEnd w:id="59"/>
      <w:bookmarkStart w:id="60" w:name="_Toc184312092"/>
      <w:bookmarkEnd w:id="60"/>
      <w:bookmarkStart w:id="61" w:name="_Toc184314473"/>
      <w:bookmarkEnd w:id="61"/>
      <w:bookmarkStart w:id="62" w:name="_Toc184310326"/>
      <w:bookmarkEnd w:id="62"/>
      <w:bookmarkStart w:id="63" w:name="_Toc184308088"/>
      <w:bookmarkEnd w:id="63"/>
      <w:bookmarkStart w:id="64" w:name="_Toc184308086"/>
      <w:bookmarkEnd w:id="64"/>
      <w:bookmarkStart w:id="65" w:name="_Toc184308061"/>
      <w:bookmarkEnd w:id="65"/>
      <w:bookmarkStart w:id="66" w:name="_Toc184314469"/>
      <w:bookmarkEnd w:id="66"/>
      <w:bookmarkStart w:id="67" w:name="_Toc184314479"/>
      <w:bookmarkEnd w:id="67"/>
      <w:bookmarkStart w:id="68" w:name="_Toc184308091"/>
      <w:bookmarkEnd w:id="68"/>
      <w:bookmarkStart w:id="69" w:name="_Toc184312088"/>
      <w:bookmarkEnd w:id="69"/>
      <w:bookmarkStart w:id="70" w:name="_Toc184310301"/>
      <w:bookmarkEnd w:id="70"/>
      <w:bookmarkStart w:id="71" w:name="_Toc184310278"/>
      <w:bookmarkEnd w:id="71"/>
      <w:bookmarkStart w:id="72" w:name="_Toc184313293"/>
      <w:bookmarkEnd w:id="72"/>
      <w:bookmarkStart w:id="73" w:name="_Toc184310341"/>
      <w:bookmarkEnd w:id="73"/>
      <w:bookmarkStart w:id="74" w:name="_Toc184313295"/>
      <w:bookmarkEnd w:id="74"/>
      <w:bookmarkStart w:id="75" w:name="_Toc184313289"/>
      <w:bookmarkEnd w:id="75"/>
      <w:bookmarkStart w:id="76" w:name="_Toc184310344"/>
      <w:bookmarkEnd w:id="76"/>
      <w:bookmarkStart w:id="77" w:name="_Toc184313272"/>
      <w:bookmarkEnd w:id="77"/>
      <w:bookmarkStart w:id="78" w:name="_Toc184314457"/>
      <w:bookmarkEnd w:id="78"/>
      <w:bookmarkStart w:id="79" w:name="_Toc184310315"/>
      <w:bookmarkEnd w:id="79"/>
      <w:bookmarkStart w:id="80" w:name="_Toc184310330"/>
      <w:bookmarkEnd w:id="80"/>
      <w:bookmarkStart w:id="81" w:name="_Toc184313247"/>
      <w:bookmarkEnd w:id="81"/>
      <w:bookmarkStart w:id="82" w:name="_Toc184310275"/>
      <w:bookmarkEnd w:id="82"/>
      <w:bookmarkStart w:id="83" w:name="_Toc184308069"/>
      <w:bookmarkEnd w:id="83"/>
      <w:bookmarkStart w:id="84" w:name="_Toc184313300"/>
      <w:bookmarkEnd w:id="84"/>
      <w:bookmarkStart w:id="85" w:name="_Toc184312095"/>
      <w:bookmarkEnd w:id="85"/>
      <w:bookmarkStart w:id="86" w:name="_Toc184308055"/>
      <w:bookmarkEnd w:id="86"/>
      <w:bookmarkStart w:id="87" w:name="_Toc184313309"/>
      <w:bookmarkEnd w:id="87"/>
      <w:bookmarkStart w:id="88" w:name="_Toc184314413"/>
      <w:bookmarkEnd w:id="88"/>
      <w:bookmarkStart w:id="89" w:name="_Toc184314455"/>
      <w:bookmarkEnd w:id="89"/>
      <w:bookmarkStart w:id="90" w:name="_Toc184310304"/>
      <w:bookmarkEnd w:id="90"/>
      <w:bookmarkStart w:id="91" w:name="_Toc184313292"/>
      <w:bookmarkEnd w:id="91"/>
      <w:bookmarkStart w:id="92" w:name="_Toc184313268"/>
      <w:bookmarkEnd w:id="92"/>
      <w:bookmarkStart w:id="93" w:name="_Toc184308107"/>
      <w:bookmarkEnd w:id="93"/>
      <w:bookmarkStart w:id="94" w:name="_Toc184310298"/>
      <w:bookmarkEnd w:id="94"/>
      <w:bookmarkStart w:id="95" w:name="_Toc184312097"/>
      <w:bookmarkEnd w:id="95"/>
      <w:bookmarkStart w:id="96" w:name="_Toc184310313"/>
      <w:bookmarkEnd w:id="96"/>
      <w:bookmarkStart w:id="97" w:name="_Toc184314472"/>
      <w:bookmarkEnd w:id="97"/>
      <w:bookmarkStart w:id="98" w:name="_Toc184314480"/>
      <w:bookmarkEnd w:id="98"/>
      <w:bookmarkStart w:id="99" w:name="_Toc184308090"/>
      <w:bookmarkEnd w:id="99"/>
      <w:bookmarkStart w:id="100" w:name="_Toc184310334"/>
      <w:bookmarkEnd w:id="100"/>
      <w:bookmarkStart w:id="101" w:name="_Toc184314452"/>
      <w:bookmarkEnd w:id="101"/>
      <w:bookmarkStart w:id="102" w:name="_Toc184313291"/>
      <w:bookmarkEnd w:id="102"/>
      <w:bookmarkStart w:id="103" w:name="_Toc184314422"/>
      <w:bookmarkEnd w:id="103"/>
      <w:bookmarkStart w:id="104" w:name="_Toc184312120"/>
      <w:bookmarkEnd w:id="104"/>
      <w:bookmarkStart w:id="105" w:name="_Toc184314451"/>
      <w:bookmarkEnd w:id="105"/>
      <w:bookmarkStart w:id="106" w:name="_Toc184310306"/>
      <w:bookmarkEnd w:id="106"/>
      <w:bookmarkStart w:id="107" w:name="_Toc184313307"/>
      <w:bookmarkEnd w:id="107"/>
      <w:bookmarkStart w:id="108" w:name="_Toc184312131"/>
      <w:bookmarkEnd w:id="108"/>
      <w:bookmarkStart w:id="109" w:name="_Toc184314410"/>
      <w:bookmarkEnd w:id="109"/>
      <w:bookmarkStart w:id="110" w:name="_Toc184310321"/>
      <w:bookmarkEnd w:id="110"/>
      <w:bookmarkStart w:id="111" w:name="_Toc184308083"/>
      <w:bookmarkEnd w:id="111"/>
      <w:bookmarkStart w:id="112" w:name="_Toc184310282"/>
      <w:bookmarkEnd w:id="112"/>
      <w:bookmarkStart w:id="113" w:name="_Toc184312079"/>
      <w:bookmarkEnd w:id="113"/>
      <w:bookmarkStart w:id="114" w:name="_Toc184308085"/>
      <w:bookmarkEnd w:id="114"/>
      <w:bookmarkStart w:id="115" w:name="_Toc184314476"/>
      <w:bookmarkEnd w:id="115"/>
      <w:bookmarkStart w:id="116" w:name="_Toc184314411"/>
      <w:bookmarkEnd w:id="116"/>
      <w:bookmarkStart w:id="117" w:name="_Toc184312129"/>
      <w:bookmarkEnd w:id="117"/>
      <w:bookmarkStart w:id="118" w:name="_Toc184312093"/>
      <w:bookmarkEnd w:id="118"/>
      <w:bookmarkStart w:id="119" w:name="_Toc184310335"/>
      <w:bookmarkEnd w:id="119"/>
      <w:bookmarkStart w:id="120" w:name="_Toc184310296"/>
      <w:bookmarkEnd w:id="120"/>
      <w:bookmarkStart w:id="121" w:name="_Toc184312096"/>
      <w:bookmarkEnd w:id="121"/>
      <w:bookmarkStart w:id="122" w:name="_Toc184313281"/>
      <w:bookmarkEnd w:id="122"/>
      <w:bookmarkStart w:id="123" w:name="_Toc184314462"/>
      <w:bookmarkEnd w:id="123"/>
      <w:bookmarkStart w:id="124" w:name="_Toc184308068"/>
      <w:bookmarkEnd w:id="124"/>
      <w:bookmarkStart w:id="125" w:name="_Toc184308053"/>
      <w:bookmarkEnd w:id="125"/>
      <w:bookmarkStart w:id="126" w:name="_Toc184308098"/>
      <w:bookmarkEnd w:id="126"/>
      <w:bookmarkStart w:id="127" w:name="_Toc184308074"/>
      <w:bookmarkEnd w:id="127"/>
      <w:bookmarkStart w:id="128" w:name="_Toc184313271"/>
      <w:bookmarkEnd w:id="128"/>
      <w:bookmarkStart w:id="129" w:name="_Toc184310294"/>
      <w:bookmarkEnd w:id="129"/>
      <w:bookmarkStart w:id="130" w:name="_Toc184313252"/>
      <w:bookmarkEnd w:id="130"/>
      <w:bookmarkStart w:id="131" w:name="_Toc184312068"/>
      <w:bookmarkEnd w:id="131"/>
      <w:bookmarkStart w:id="132" w:name="_Toc184310319"/>
      <w:bookmarkEnd w:id="132"/>
      <w:bookmarkStart w:id="133" w:name="_Toc184308047"/>
      <w:bookmarkEnd w:id="133"/>
      <w:bookmarkStart w:id="134" w:name="_Toc184310332"/>
      <w:bookmarkEnd w:id="134"/>
      <w:bookmarkStart w:id="135" w:name="_Toc184308063"/>
      <w:bookmarkEnd w:id="135"/>
      <w:bookmarkStart w:id="136" w:name="_Toc184314435"/>
      <w:bookmarkEnd w:id="136"/>
      <w:bookmarkStart w:id="137" w:name="_Toc184313238"/>
      <w:bookmarkEnd w:id="137"/>
      <w:bookmarkStart w:id="138" w:name="_Toc184314427"/>
      <w:bookmarkEnd w:id="138"/>
      <w:bookmarkStart w:id="139" w:name="_Toc184312132"/>
      <w:bookmarkEnd w:id="139"/>
      <w:bookmarkStart w:id="140" w:name="_Toc184310305"/>
      <w:bookmarkEnd w:id="140"/>
      <w:bookmarkStart w:id="141" w:name="_Toc184314438"/>
      <w:bookmarkEnd w:id="141"/>
      <w:bookmarkStart w:id="142" w:name="_Toc184313276"/>
      <w:bookmarkEnd w:id="142"/>
      <w:bookmarkStart w:id="143" w:name="_Toc184312101"/>
      <w:bookmarkEnd w:id="143"/>
      <w:bookmarkStart w:id="144" w:name="_Toc184308066"/>
      <w:bookmarkEnd w:id="144"/>
      <w:bookmarkStart w:id="145" w:name="_Toc184313290"/>
      <w:bookmarkEnd w:id="145"/>
      <w:bookmarkStart w:id="146" w:name="_Toc184308100"/>
      <w:bookmarkEnd w:id="146"/>
      <w:bookmarkStart w:id="147" w:name="_Toc184308082"/>
      <w:bookmarkEnd w:id="147"/>
      <w:bookmarkStart w:id="148" w:name="_Toc184312125"/>
      <w:bookmarkEnd w:id="148"/>
      <w:bookmarkStart w:id="149" w:name="_Toc184313279"/>
      <w:bookmarkEnd w:id="149"/>
      <w:bookmarkStart w:id="150" w:name="_Toc184310281"/>
      <w:bookmarkEnd w:id="150"/>
      <w:bookmarkStart w:id="151" w:name="_Toc184314418"/>
      <w:bookmarkEnd w:id="151"/>
      <w:bookmarkStart w:id="152" w:name="_Toc184314442"/>
      <w:bookmarkEnd w:id="152"/>
      <w:bookmarkStart w:id="153" w:name="_Toc184308038"/>
      <w:bookmarkEnd w:id="153"/>
      <w:bookmarkStart w:id="154" w:name="_Toc184310310"/>
      <w:bookmarkEnd w:id="154"/>
      <w:bookmarkStart w:id="155" w:name="_Toc184308039"/>
      <w:bookmarkEnd w:id="155"/>
      <w:bookmarkStart w:id="156" w:name="_Toc184312106"/>
      <w:bookmarkEnd w:id="156"/>
      <w:bookmarkStart w:id="157" w:name="_Toc184308060"/>
      <w:bookmarkEnd w:id="157"/>
      <w:bookmarkStart w:id="158" w:name="_Toc184308073"/>
      <w:bookmarkEnd w:id="158"/>
      <w:bookmarkStart w:id="159" w:name="_Toc184312111"/>
      <w:bookmarkEnd w:id="159"/>
      <w:bookmarkStart w:id="160" w:name="_Toc184313296"/>
      <w:bookmarkEnd w:id="160"/>
      <w:bookmarkStart w:id="161" w:name="_Toc184314460"/>
      <w:bookmarkEnd w:id="161"/>
      <w:bookmarkStart w:id="162" w:name="_Toc184312114"/>
      <w:bookmarkEnd w:id="162"/>
      <w:bookmarkStart w:id="163" w:name="_Toc184314456"/>
      <w:bookmarkEnd w:id="163"/>
      <w:bookmarkStart w:id="164" w:name="_Toc184313243"/>
      <w:bookmarkEnd w:id="164"/>
      <w:bookmarkStart w:id="165" w:name="_Toc184308081"/>
      <w:bookmarkEnd w:id="165"/>
      <w:bookmarkStart w:id="166" w:name="_Toc184312086"/>
      <w:bookmarkEnd w:id="166"/>
      <w:bookmarkStart w:id="167" w:name="_Toc184314437"/>
      <w:bookmarkEnd w:id="167"/>
      <w:bookmarkStart w:id="168" w:name="_Toc184308049"/>
      <w:bookmarkEnd w:id="168"/>
      <w:bookmarkStart w:id="169" w:name="_Toc184308079"/>
      <w:bookmarkEnd w:id="169"/>
      <w:bookmarkStart w:id="170" w:name="_Toc184313255"/>
      <w:bookmarkEnd w:id="170"/>
      <w:bookmarkStart w:id="171" w:name="_Toc184314459"/>
      <w:bookmarkEnd w:id="171"/>
      <w:bookmarkStart w:id="172" w:name="_Toc184312103"/>
      <w:bookmarkEnd w:id="172"/>
      <w:bookmarkStart w:id="173" w:name="_Toc184312112"/>
      <w:bookmarkEnd w:id="173"/>
      <w:bookmarkStart w:id="174" w:name="_Toc184308076"/>
      <w:bookmarkEnd w:id="174"/>
      <w:bookmarkStart w:id="175" w:name="_Toc184308099"/>
      <w:bookmarkEnd w:id="175"/>
      <w:bookmarkStart w:id="176" w:name="_Toc184313251"/>
      <w:bookmarkEnd w:id="176"/>
      <w:bookmarkStart w:id="177" w:name="_Toc184314477"/>
      <w:bookmarkEnd w:id="177"/>
      <w:bookmarkStart w:id="178" w:name="_Toc184312074"/>
      <w:bookmarkEnd w:id="178"/>
      <w:bookmarkStart w:id="179" w:name="_Toc184313257"/>
      <w:bookmarkEnd w:id="179"/>
      <w:bookmarkStart w:id="180" w:name="_Toc184313244"/>
      <w:bookmarkEnd w:id="180"/>
      <w:bookmarkStart w:id="181" w:name="_Toc184308078"/>
      <w:bookmarkEnd w:id="181"/>
      <w:bookmarkStart w:id="182" w:name="_Toc184313277"/>
      <w:bookmarkEnd w:id="182"/>
      <w:bookmarkStart w:id="183" w:name="_Toc184312102"/>
      <w:bookmarkEnd w:id="183"/>
      <w:bookmarkStart w:id="184" w:name="_Toc184308056"/>
      <w:bookmarkEnd w:id="184"/>
      <w:bookmarkStart w:id="185" w:name="_Toc184312067"/>
      <w:bookmarkEnd w:id="185"/>
      <w:bookmarkStart w:id="186" w:name="_Toc184308108"/>
      <w:bookmarkEnd w:id="186"/>
      <w:bookmarkStart w:id="187" w:name="_Toc184313283"/>
      <w:bookmarkEnd w:id="187"/>
      <w:bookmarkStart w:id="188" w:name="_Toc184310283"/>
      <w:bookmarkEnd w:id="188"/>
      <w:bookmarkStart w:id="189" w:name="_Toc184314419"/>
      <w:bookmarkEnd w:id="189"/>
      <w:bookmarkStart w:id="190" w:name="_Toc184314429"/>
      <w:bookmarkEnd w:id="190"/>
      <w:bookmarkStart w:id="191" w:name="_Toc184313302"/>
      <w:bookmarkEnd w:id="191"/>
      <w:bookmarkStart w:id="192" w:name="_Toc184310292"/>
      <w:bookmarkEnd w:id="192"/>
      <w:bookmarkStart w:id="193" w:name="_Toc184313258"/>
      <w:bookmarkEnd w:id="193"/>
      <w:bookmarkStart w:id="194" w:name="_Toc184314448"/>
      <w:bookmarkEnd w:id="194"/>
      <w:bookmarkStart w:id="195" w:name="_Toc184312115"/>
      <w:bookmarkEnd w:id="195"/>
      <w:bookmarkStart w:id="196" w:name="_Toc184312083"/>
      <w:bookmarkEnd w:id="196"/>
      <w:bookmarkStart w:id="197" w:name="_Toc184310291"/>
      <w:bookmarkEnd w:id="197"/>
      <w:bookmarkStart w:id="198" w:name="_Toc184310308"/>
      <w:bookmarkEnd w:id="198"/>
      <w:bookmarkStart w:id="199" w:name="_Toc184314478"/>
      <w:bookmarkEnd w:id="199"/>
      <w:bookmarkStart w:id="200" w:name="_Toc184313264"/>
      <w:bookmarkEnd w:id="200"/>
      <w:bookmarkStart w:id="201" w:name="_Toc184312123"/>
      <w:bookmarkEnd w:id="201"/>
      <w:bookmarkStart w:id="202" w:name="_Toc184308072"/>
      <w:bookmarkEnd w:id="202"/>
      <w:bookmarkStart w:id="203" w:name="_Toc184313270"/>
      <w:bookmarkEnd w:id="203"/>
      <w:bookmarkStart w:id="204" w:name="_Toc184312082"/>
      <w:bookmarkEnd w:id="204"/>
      <w:bookmarkStart w:id="205" w:name="_Toc184314432"/>
      <w:bookmarkEnd w:id="205"/>
      <w:bookmarkStart w:id="206" w:name="_Toc184310303"/>
      <w:bookmarkEnd w:id="206"/>
      <w:bookmarkStart w:id="207" w:name="_Toc184308064"/>
      <w:bookmarkEnd w:id="207"/>
      <w:bookmarkStart w:id="208" w:name="_Toc184308096"/>
      <w:bookmarkEnd w:id="208"/>
      <w:bookmarkStart w:id="209" w:name="_Toc184314428"/>
      <w:bookmarkEnd w:id="209"/>
      <w:bookmarkStart w:id="210" w:name="_Toc184312121"/>
      <w:bookmarkEnd w:id="210"/>
      <w:bookmarkStart w:id="211" w:name="_Toc184314416"/>
      <w:bookmarkEnd w:id="211"/>
      <w:bookmarkStart w:id="212" w:name="_Toc184313239"/>
      <w:bookmarkEnd w:id="212"/>
      <w:bookmarkStart w:id="213" w:name="_Toc184314468"/>
      <w:bookmarkEnd w:id="213"/>
      <w:bookmarkStart w:id="214" w:name="_Toc184310273"/>
      <w:bookmarkEnd w:id="214"/>
      <w:bookmarkStart w:id="215" w:name="_Toc184308057"/>
      <w:bookmarkEnd w:id="215"/>
      <w:bookmarkStart w:id="216" w:name="_Toc184312076"/>
      <w:bookmarkEnd w:id="216"/>
      <w:bookmarkStart w:id="217" w:name="_Toc184312133"/>
      <w:bookmarkEnd w:id="217"/>
      <w:bookmarkStart w:id="218" w:name="_Toc184312098"/>
      <w:bookmarkEnd w:id="218"/>
      <w:bookmarkStart w:id="219" w:name="_Toc184314441"/>
      <w:bookmarkEnd w:id="219"/>
      <w:bookmarkStart w:id="220" w:name="_Toc184313294"/>
      <w:bookmarkEnd w:id="220"/>
      <w:bookmarkStart w:id="221" w:name="_Toc184313273"/>
      <w:bookmarkEnd w:id="221"/>
      <w:bookmarkStart w:id="222" w:name="_Toc184312137"/>
      <w:bookmarkEnd w:id="222"/>
      <w:bookmarkStart w:id="223" w:name="_Toc184313297"/>
      <w:bookmarkEnd w:id="223"/>
      <w:bookmarkStart w:id="224" w:name="_Toc184308050"/>
      <w:bookmarkEnd w:id="224"/>
      <w:bookmarkStart w:id="225" w:name="_Toc184314450"/>
      <w:bookmarkEnd w:id="225"/>
      <w:bookmarkStart w:id="226" w:name="_Toc184308037"/>
      <w:bookmarkEnd w:id="226"/>
      <w:bookmarkStart w:id="227" w:name="_Toc184314454"/>
      <w:bookmarkEnd w:id="227"/>
      <w:bookmarkStart w:id="228" w:name="_Toc184312134"/>
      <w:bookmarkEnd w:id="228"/>
      <w:bookmarkStart w:id="229" w:name="_Toc184310302"/>
      <w:bookmarkEnd w:id="229"/>
      <w:bookmarkStart w:id="230" w:name="_Toc184308092"/>
      <w:bookmarkEnd w:id="230"/>
      <w:bookmarkStart w:id="231" w:name="_Toc184308058"/>
      <w:bookmarkEnd w:id="231"/>
      <w:bookmarkStart w:id="232" w:name="_Toc184313261"/>
      <w:bookmarkEnd w:id="232"/>
      <w:bookmarkStart w:id="233" w:name="_Toc184310284"/>
      <w:bookmarkEnd w:id="233"/>
      <w:bookmarkStart w:id="234" w:name="_Toc184310322"/>
      <w:bookmarkEnd w:id="234"/>
      <w:bookmarkStart w:id="235" w:name="_Toc184314463"/>
      <w:bookmarkEnd w:id="235"/>
      <w:bookmarkStart w:id="236" w:name="_Toc184313248"/>
      <w:bookmarkEnd w:id="236"/>
      <w:bookmarkStart w:id="237" w:name="_Toc184310343"/>
      <w:bookmarkEnd w:id="237"/>
      <w:bookmarkStart w:id="238" w:name="_Toc184308046"/>
      <w:bookmarkEnd w:id="238"/>
      <w:bookmarkStart w:id="239" w:name="_Toc184310293"/>
      <w:bookmarkEnd w:id="239"/>
      <w:bookmarkStart w:id="240" w:name="_Toc184312122"/>
      <w:bookmarkEnd w:id="240"/>
      <w:bookmarkStart w:id="241" w:name="_Toc184312072"/>
      <w:bookmarkEnd w:id="241"/>
      <w:bookmarkStart w:id="242" w:name="_Toc184308052"/>
      <w:bookmarkEnd w:id="242"/>
      <w:bookmarkStart w:id="243" w:name="_Toc184312087"/>
      <w:bookmarkEnd w:id="243"/>
      <w:bookmarkStart w:id="244" w:name="_Toc184314474"/>
      <w:bookmarkEnd w:id="244"/>
      <w:bookmarkStart w:id="245" w:name="_Toc184310339"/>
      <w:bookmarkEnd w:id="245"/>
      <w:bookmarkStart w:id="246" w:name="_Toc184312136"/>
      <w:bookmarkEnd w:id="246"/>
      <w:bookmarkStart w:id="247" w:name="_Toc184312109"/>
      <w:bookmarkEnd w:id="247"/>
      <w:bookmarkStart w:id="248" w:name="_Toc184312128"/>
      <w:bookmarkEnd w:id="248"/>
      <w:bookmarkStart w:id="249" w:name="_Toc184310290"/>
      <w:bookmarkEnd w:id="249"/>
      <w:bookmarkStart w:id="250" w:name="_Toc184312118"/>
      <w:bookmarkEnd w:id="250"/>
      <w:bookmarkStart w:id="251" w:name="_Toc184313299"/>
      <w:bookmarkEnd w:id="251"/>
      <w:bookmarkStart w:id="252" w:name="_Toc184310329"/>
      <w:bookmarkEnd w:id="252"/>
      <w:bookmarkStart w:id="253" w:name="_Toc184313304"/>
      <w:bookmarkEnd w:id="253"/>
      <w:bookmarkStart w:id="254" w:name="_Toc184314440"/>
      <w:bookmarkEnd w:id="254"/>
      <w:bookmarkStart w:id="255" w:name="_Toc184310320"/>
      <w:bookmarkEnd w:id="255"/>
      <w:bookmarkStart w:id="256" w:name="_Toc184308051"/>
      <w:bookmarkEnd w:id="256"/>
      <w:bookmarkStart w:id="257" w:name="_Toc184310279"/>
      <w:bookmarkEnd w:id="257"/>
      <w:bookmarkStart w:id="258" w:name="_Toc184308065"/>
      <w:bookmarkEnd w:id="258"/>
      <w:bookmarkStart w:id="259" w:name="_Toc184312108"/>
      <w:bookmarkEnd w:id="259"/>
      <w:bookmarkStart w:id="260" w:name="_Toc184310317"/>
      <w:bookmarkEnd w:id="260"/>
      <w:bookmarkStart w:id="261" w:name="_Toc184310336"/>
      <w:bookmarkEnd w:id="261"/>
      <w:bookmarkStart w:id="262" w:name="_Toc184314470"/>
      <w:bookmarkEnd w:id="262"/>
      <w:bookmarkStart w:id="263" w:name="_Toc184314436"/>
      <w:bookmarkEnd w:id="263"/>
      <w:bookmarkStart w:id="264" w:name="_Toc184312094"/>
      <w:bookmarkEnd w:id="264"/>
      <w:bookmarkStart w:id="265" w:name="_Toc184310318"/>
      <w:bookmarkEnd w:id="265"/>
      <w:bookmarkStart w:id="266" w:name="_Toc184314458"/>
      <w:bookmarkEnd w:id="266"/>
      <w:bookmarkStart w:id="267" w:name="_Toc184314425"/>
      <w:bookmarkEnd w:id="267"/>
      <w:bookmarkStart w:id="268" w:name="_Toc184312077"/>
      <w:bookmarkEnd w:id="268"/>
      <w:bookmarkStart w:id="269" w:name="_Toc184313286"/>
      <w:bookmarkEnd w:id="269"/>
      <w:bookmarkStart w:id="270" w:name="_Toc184314447"/>
      <w:bookmarkEnd w:id="270"/>
      <w:bookmarkStart w:id="271" w:name="_Toc184312085"/>
      <w:bookmarkEnd w:id="271"/>
      <w:bookmarkStart w:id="272" w:name="_Toc184312107"/>
      <w:bookmarkEnd w:id="272"/>
      <w:bookmarkStart w:id="273" w:name="_Toc184313250"/>
      <w:bookmarkEnd w:id="273"/>
      <w:bookmarkStart w:id="274" w:name="_Toc184314444"/>
      <w:bookmarkEnd w:id="274"/>
      <w:bookmarkStart w:id="275" w:name="_Toc184308041"/>
      <w:bookmarkEnd w:id="275"/>
      <w:bookmarkStart w:id="276" w:name="_Toc184308104"/>
      <w:bookmarkEnd w:id="276"/>
      <w:bookmarkStart w:id="277" w:name="_Toc184312078"/>
      <w:bookmarkEnd w:id="277"/>
      <w:bookmarkStart w:id="278" w:name="_Toc184312091"/>
      <w:bookmarkEnd w:id="278"/>
      <w:bookmarkStart w:id="279" w:name="_Toc184314445"/>
      <w:bookmarkEnd w:id="279"/>
      <w:bookmarkStart w:id="280" w:name="_Toc184314434"/>
      <w:bookmarkEnd w:id="280"/>
      <w:bookmarkStart w:id="281" w:name="_Toc184314446"/>
      <w:bookmarkEnd w:id="281"/>
      <w:bookmarkStart w:id="282" w:name="_Toc184314431"/>
      <w:bookmarkEnd w:id="282"/>
      <w:bookmarkStart w:id="283" w:name="_Toc184310300"/>
      <w:bookmarkEnd w:id="283"/>
      <w:bookmarkStart w:id="284" w:name="_Toc184313256"/>
      <w:bookmarkEnd w:id="284"/>
      <w:bookmarkStart w:id="285" w:name="_Toc184314461"/>
      <w:bookmarkEnd w:id="285"/>
      <w:bookmarkStart w:id="286" w:name="_Toc184310333"/>
      <w:bookmarkEnd w:id="286"/>
      <w:bookmarkStart w:id="287" w:name="_Toc184310307"/>
      <w:bookmarkEnd w:id="287"/>
      <w:bookmarkStart w:id="288" w:name="_Toc184313242"/>
      <w:bookmarkEnd w:id="288"/>
      <w:bookmarkStart w:id="289" w:name="_Toc184308067"/>
      <w:bookmarkEnd w:id="289"/>
      <w:bookmarkStart w:id="290" w:name="_Toc184310324"/>
      <w:bookmarkEnd w:id="290"/>
      <w:bookmarkStart w:id="291" w:name="_Toc184310299"/>
      <w:bookmarkEnd w:id="291"/>
      <w:bookmarkStart w:id="292" w:name="_Toc184310277"/>
      <w:bookmarkEnd w:id="292"/>
      <w:bookmarkStart w:id="293" w:name="_Toc184310297"/>
      <w:bookmarkEnd w:id="293"/>
      <w:bookmarkStart w:id="294" w:name="_Toc184312105"/>
      <w:bookmarkEnd w:id="294"/>
      <w:bookmarkStart w:id="295" w:name="_Toc184310328"/>
      <w:bookmarkEnd w:id="295"/>
      <w:bookmarkStart w:id="296" w:name="_Toc184312071"/>
      <w:bookmarkEnd w:id="296"/>
      <w:bookmarkStart w:id="297" w:name="_Toc184312075"/>
      <w:bookmarkEnd w:id="297"/>
      <w:bookmarkStart w:id="298" w:name="_Toc184310286"/>
      <w:bookmarkEnd w:id="298"/>
      <w:bookmarkStart w:id="299" w:name="_Toc184308040"/>
      <w:bookmarkEnd w:id="299"/>
      <w:bookmarkStart w:id="300" w:name="_Toc184313285"/>
      <w:bookmarkEnd w:id="300"/>
      <w:bookmarkStart w:id="301" w:name="_Toc184314421"/>
      <w:bookmarkEnd w:id="301"/>
      <w:bookmarkStart w:id="302" w:name="_Toc184314466"/>
      <w:bookmarkEnd w:id="302"/>
      <w:bookmarkStart w:id="303" w:name="_Toc184314465"/>
      <w:bookmarkEnd w:id="303"/>
      <w:bookmarkStart w:id="304" w:name="_Toc184308093"/>
      <w:bookmarkEnd w:id="304"/>
      <w:bookmarkStart w:id="305" w:name="_Toc184314415"/>
      <w:bookmarkEnd w:id="305"/>
      <w:bookmarkStart w:id="306" w:name="_Toc184314439"/>
      <w:bookmarkEnd w:id="306"/>
      <w:bookmarkStart w:id="307" w:name="_Toc184308102"/>
      <w:bookmarkEnd w:id="307"/>
      <w:bookmarkStart w:id="308" w:name="_Toc184313298"/>
      <w:bookmarkEnd w:id="308"/>
      <w:bookmarkStart w:id="309" w:name="_Toc184308095"/>
      <w:bookmarkEnd w:id="309"/>
      <w:bookmarkStart w:id="310" w:name="_Toc184310331"/>
      <w:bookmarkEnd w:id="310"/>
      <w:bookmarkStart w:id="311" w:name="_Toc184308044"/>
      <w:bookmarkEnd w:id="311"/>
      <w:bookmarkStart w:id="312" w:name="_Toc184308062"/>
      <w:bookmarkEnd w:id="312"/>
      <w:bookmarkStart w:id="313" w:name="_Toc184312119"/>
      <w:bookmarkEnd w:id="313"/>
      <w:bookmarkStart w:id="314" w:name="_Toc184308089"/>
      <w:bookmarkEnd w:id="314"/>
      <w:bookmarkStart w:id="315" w:name="_Toc184313288"/>
      <w:bookmarkEnd w:id="315"/>
      <w:bookmarkStart w:id="316" w:name="_Toc184314430"/>
      <w:bookmarkEnd w:id="316"/>
      <w:bookmarkStart w:id="317" w:name="_Toc184313266"/>
      <w:bookmarkEnd w:id="317"/>
      <w:bookmarkStart w:id="318" w:name="_Toc184310272"/>
      <w:bookmarkEnd w:id="318"/>
      <w:bookmarkStart w:id="319" w:name="_Toc184308087"/>
      <w:bookmarkEnd w:id="319"/>
      <w:bookmarkStart w:id="320" w:name="_Toc184313308"/>
      <w:bookmarkEnd w:id="320"/>
      <w:bookmarkStart w:id="321" w:name="_Toc184313240"/>
      <w:bookmarkEnd w:id="321"/>
      <w:bookmarkStart w:id="322" w:name="_Toc184308075"/>
      <w:bookmarkEnd w:id="322"/>
      <w:bookmarkStart w:id="323" w:name="_Toc184314453"/>
      <w:bookmarkEnd w:id="323"/>
      <w:bookmarkStart w:id="324" w:name="_Toc184312099"/>
      <w:bookmarkEnd w:id="324"/>
      <w:bookmarkStart w:id="325" w:name="_Toc184308080"/>
      <w:bookmarkEnd w:id="325"/>
      <w:bookmarkStart w:id="326" w:name="_Toc184313253"/>
      <w:bookmarkEnd w:id="326"/>
      <w:bookmarkStart w:id="327" w:name="_Toc184312116"/>
      <w:bookmarkEnd w:id="327"/>
      <w:bookmarkStart w:id="328" w:name="_Toc184308054"/>
      <w:bookmarkEnd w:id="328"/>
      <w:bookmarkStart w:id="329" w:name="_Toc184312104"/>
      <w:bookmarkEnd w:id="329"/>
      <w:bookmarkStart w:id="330" w:name="_Toc184308048"/>
      <w:bookmarkEnd w:id="330"/>
      <w:bookmarkStart w:id="331" w:name="_Toc184308084"/>
      <w:bookmarkEnd w:id="331"/>
      <w:bookmarkStart w:id="332" w:name="_Toc184308094"/>
      <w:bookmarkEnd w:id="332"/>
      <w:bookmarkStart w:id="333" w:name="_Toc184308070"/>
      <w:bookmarkEnd w:id="333"/>
      <w:bookmarkStart w:id="334" w:name="_Toc184308071"/>
      <w:bookmarkEnd w:id="334"/>
      <w:bookmarkStart w:id="335" w:name="_Toc184314482"/>
      <w:bookmarkEnd w:id="335"/>
      <w:bookmarkStart w:id="336" w:name="_Toc184310311"/>
      <w:bookmarkEnd w:id="336"/>
      <w:bookmarkStart w:id="337" w:name="_Toc184308077"/>
      <w:bookmarkEnd w:id="337"/>
      <w:bookmarkStart w:id="338" w:name="_Toc184310274"/>
      <w:bookmarkEnd w:id="338"/>
      <w:bookmarkStart w:id="339" w:name="_Toc184308106"/>
      <w:bookmarkEnd w:id="339"/>
      <w:bookmarkStart w:id="340" w:name="_Toc184312124"/>
      <w:bookmarkEnd w:id="340"/>
      <w:bookmarkStart w:id="341" w:name="_Toc184308103"/>
      <w:bookmarkEnd w:id="341"/>
      <w:bookmarkStart w:id="342" w:name="_Toc184312139"/>
      <w:bookmarkEnd w:id="342"/>
      <w:bookmarkStart w:id="343" w:name="_Toc184308059"/>
      <w:bookmarkEnd w:id="343"/>
      <w:bookmarkStart w:id="344" w:name="_Toc184314471"/>
      <w:bookmarkEnd w:id="344"/>
      <w:bookmarkStart w:id="345" w:name="_Toc184310312"/>
      <w:bookmarkEnd w:id="345"/>
      <w:bookmarkStart w:id="346" w:name="_Toc184312090"/>
      <w:bookmarkEnd w:id="346"/>
      <w:bookmarkStart w:id="347" w:name="_Toc184312135"/>
      <w:bookmarkEnd w:id="347"/>
      <w:bookmarkStart w:id="348" w:name="_Toc184313278"/>
      <w:bookmarkEnd w:id="348"/>
      <w:bookmarkStart w:id="349" w:name="_Toc184313259"/>
      <w:bookmarkEnd w:id="349"/>
      <w:bookmarkStart w:id="350" w:name="_Toc184310280"/>
      <w:bookmarkEnd w:id="350"/>
      <w:bookmarkStart w:id="351" w:name="_Toc184313287"/>
      <w:bookmarkEnd w:id="351"/>
      <w:bookmarkStart w:id="352" w:name="_Toc184308036"/>
      <w:bookmarkEnd w:id="352"/>
      <w:bookmarkStart w:id="353" w:name="_Toc184314464"/>
      <w:bookmarkEnd w:id="353"/>
      <w:bookmarkStart w:id="354" w:name="_Toc184310327"/>
      <w:bookmarkEnd w:id="354"/>
      <w:bookmarkStart w:id="355" w:name="_Toc184313274"/>
      <w:bookmarkEnd w:id="355"/>
      <w:bookmarkStart w:id="356" w:name="_Toc184310325"/>
      <w:bookmarkEnd w:id="356"/>
      <w:bookmarkStart w:id="357" w:name="_Toc184312127"/>
      <w:bookmarkEnd w:id="357"/>
      <w:bookmarkStart w:id="358" w:name="_Toc184313305"/>
      <w:bookmarkEnd w:id="358"/>
      <w:bookmarkStart w:id="359" w:name="_Toc184313246"/>
      <w:bookmarkEnd w:id="359"/>
      <w:bookmarkStart w:id="360" w:name="_Toc184308105"/>
      <w:bookmarkEnd w:id="360"/>
      <w:bookmarkStart w:id="361" w:name="_Toc184310342"/>
      <w:bookmarkEnd w:id="361"/>
      <w:bookmarkStart w:id="362" w:name="_Toc184314426"/>
      <w:bookmarkEnd w:id="362"/>
      <w:bookmarkStart w:id="363" w:name="_Toc184313303"/>
      <w:bookmarkEnd w:id="363"/>
      <w:bookmarkStart w:id="364" w:name="_Toc184310285"/>
      <w:bookmarkEnd w:id="364"/>
      <w:bookmarkStart w:id="365" w:name="_Toc184310289"/>
      <w:bookmarkEnd w:id="365"/>
      <w:bookmarkStart w:id="366" w:name="_Toc184313265"/>
      <w:bookmarkEnd w:id="366"/>
      <w:bookmarkStart w:id="367" w:name="_Toc184314417"/>
      <w:bookmarkEnd w:id="367"/>
      <w:bookmarkStart w:id="368" w:name="_Toc184312089"/>
      <w:bookmarkEnd w:id="368"/>
      <w:bookmarkStart w:id="369" w:name="_Toc184310276"/>
      <w:bookmarkEnd w:id="369"/>
      <w:bookmarkStart w:id="370" w:name="_Toc184312100"/>
      <w:bookmarkEnd w:id="370"/>
      <w:bookmarkStart w:id="371" w:name="_Toc184313262"/>
      <w:bookmarkEnd w:id="371"/>
      <w:bookmarkStart w:id="372" w:name="_Toc184313267"/>
      <w:bookmarkEnd w:id="372"/>
      <w:bookmarkStart w:id="373" w:name="_Toc184312081"/>
      <w:bookmarkEnd w:id="373"/>
      <w:bookmarkStart w:id="374" w:name="_Toc184314414"/>
      <w:bookmarkEnd w:id="374"/>
      <w:bookmarkStart w:id="375" w:name="_Toc184312117"/>
      <w:bookmarkEnd w:id="375"/>
      <w:bookmarkStart w:id="376" w:name="_Toc184308042"/>
      <w:bookmarkEnd w:id="376"/>
      <w:bookmarkStart w:id="377" w:name="_Toc184314424"/>
      <w:bookmarkEnd w:id="377"/>
      <w:bookmarkStart w:id="378" w:name="_Toc184312130"/>
      <w:bookmarkEnd w:id="378"/>
      <w:bookmarkStart w:id="379" w:name="_Toc184314475"/>
      <w:bookmarkEnd w:id="379"/>
      <w:bookmarkStart w:id="380" w:name="_Toc184313310"/>
      <w:bookmarkEnd w:id="380"/>
      <w:bookmarkStart w:id="381" w:name="_Toc184313269"/>
      <w:bookmarkEnd w:id="381"/>
      <w:bookmarkStart w:id="382" w:name="_Toc184313282"/>
      <w:bookmarkEnd w:id="382"/>
      <w:bookmarkStart w:id="383" w:name="_Toc184313249"/>
      <w:bookmarkEnd w:id="383"/>
      <w:bookmarkStart w:id="384" w:name="_Toc184313260"/>
      <w:bookmarkEnd w:id="384"/>
      <w:bookmarkStart w:id="385" w:name="_Toc184314467"/>
      <w:bookmarkEnd w:id="385"/>
      <w:bookmarkStart w:id="386" w:name="_Toc184310337"/>
      <w:bookmarkEnd w:id="386"/>
      <w:bookmarkStart w:id="387" w:name="_Toc184308045"/>
      <w:bookmarkEnd w:id="387"/>
      <w:bookmarkStart w:id="388" w:name="_Toc184312126"/>
      <w:bookmarkEnd w:id="388"/>
      <w:bookmarkStart w:id="389" w:name="_Toc184310314"/>
      <w:bookmarkEnd w:id="389"/>
      <w:bookmarkStart w:id="390" w:name="_Toc184314433"/>
      <w:bookmarkEnd w:id="390"/>
      <w:bookmarkStart w:id="391" w:name="_Toc184310340"/>
      <w:bookmarkEnd w:id="391"/>
      <w:bookmarkStart w:id="392" w:name="_Toc184308043"/>
      <w:bookmarkEnd w:id="392"/>
      <w:bookmarkStart w:id="393" w:name="_Toc184313301"/>
      <w:bookmarkEnd w:id="393"/>
      <w:bookmarkStart w:id="394" w:name="_Toc184313306"/>
      <w:bookmarkEnd w:id="394"/>
      <w:bookmarkStart w:id="395" w:name="_Toc184312113"/>
      <w:bookmarkEnd w:id="395"/>
      <w:r>
        <w:rPr>
          <w:rFonts w:hint="eastAsia" w:ascii="宋体" w:hAnsi="宋体" w:cs="宋体"/>
          <w:b/>
          <w:color w:val="auto"/>
          <w:sz w:val="36"/>
          <w:szCs w:val="36"/>
          <w:highlight w:val="none"/>
        </w:rPr>
        <w:t>评标办法</w:t>
      </w:r>
    </w:p>
    <w:p w14:paraId="6E22F371">
      <w:pPr>
        <w:pStyle w:val="3"/>
        <w:bidi w:val="0"/>
        <w:rPr>
          <w:color w:val="auto"/>
          <w:highlight w:val="none"/>
        </w:rPr>
      </w:pPr>
      <w:r>
        <w:rPr>
          <w:rFonts w:hint="eastAsia"/>
          <w:color w:val="auto"/>
          <w:highlight w:val="none"/>
        </w:rPr>
        <w:t>评标办法前附表</w:t>
      </w:r>
    </w:p>
    <w:tbl>
      <w:tblPr>
        <w:tblStyle w:val="63"/>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6860"/>
        <w:gridCol w:w="833"/>
        <w:gridCol w:w="984"/>
      </w:tblGrid>
      <w:tr w14:paraId="72D6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14:paraId="39AAC8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860" w:type="dxa"/>
            <w:vAlign w:val="center"/>
          </w:tcPr>
          <w:p w14:paraId="7BFC5A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833" w:type="dxa"/>
            <w:vAlign w:val="center"/>
          </w:tcPr>
          <w:p w14:paraId="5C69FB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984" w:type="dxa"/>
            <w:vAlign w:val="center"/>
          </w:tcPr>
          <w:p w14:paraId="4A83E3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主观分/客观分</w:t>
            </w:r>
          </w:p>
        </w:tc>
      </w:tr>
      <w:tr w14:paraId="5AD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14:paraId="108B50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60" w:type="dxa"/>
            <w:vAlign w:val="center"/>
          </w:tcPr>
          <w:p w14:paraId="094CD0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标人自2019年1月1日（以合同签订时间为准）以来同类服务业绩，1个得0.5分，满分1分。以投标文件中所附清晰可辩的合同复印件为评分依据，不得有任何涂改，如有涂改，不得分。</w:t>
            </w:r>
          </w:p>
        </w:tc>
        <w:tc>
          <w:tcPr>
            <w:tcW w:w="833" w:type="dxa"/>
            <w:vAlign w:val="center"/>
          </w:tcPr>
          <w:p w14:paraId="4A63F29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84" w:type="dxa"/>
            <w:vAlign w:val="center"/>
          </w:tcPr>
          <w:p w14:paraId="171427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5690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14:paraId="7EC17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60" w:type="dxa"/>
            <w:vAlign w:val="center"/>
          </w:tcPr>
          <w:p w14:paraId="0EF6A31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投标人具备质量管理体系认证、环境管理体系认证、职业健康安全管理体系认证、信息安全体系认证、信息技术服务管理体系认证，每个得0.6分，最高3分。（需提供相关证书复印件，未提供的不得分）</w:t>
            </w:r>
          </w:p>
        </w:tc>
        <w:tc>
          <w:tcPr>
            <w:tcW w:w="833" w:type="dxa"/>
            <w:vAlign w:val="center"/>
          </w:tcPr>
          <w:p w14:paraId="4CDA8D1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84" w:type="dxa"/>
            <w:vAlign w:val="center"/>
          </w:tcPr>
          <w:p w14:paraId="75F359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727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4137AA7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6860" w:type="dxa"/>
            <w:vAlign w:val="center"/>
          </w:tcPr>
          <w:p w14:paraId="54B8A982">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根据对本项目运维需求的理解，能够准确描述该项目现有应用系统的情况和运维需求；</w:t>
            </w:r>
          </w:p>
          <w:p w14:paraId="102F1B0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描述准确，了解项目需求</w:t>
            </w:r>
            <w:r>
              <w:rPr>
                <w:rFonts w:hint="eastAsia" w:ascii="宋体" w:hAnsi="宋体" w:eastAsia="宋体" w:cs="宋体"/>
                <w:color w:val="auto"/>
                <w:sz w:val="21"/>
                <w:szCs w:val="21"/>
                <w:highlight w:val="none"/>
              </w:rPr>
              <w:t>，目标明确符合要求</w:t>
            </w:r>
            <w:r>
              <w:rPr>
                <w:rFonts w:hint="eastAsia" w:ascii="宋体" w:hAnsi="宋体" w:eastAsia="宋体" w:cs="宋体"/>
                <w:color w:val="auto"/>
                <w:sz w:val="21"/>
                <w:szCs w:val="21"/>
                <w:highlight w:val="none"/>
                <w:lang w:val="en-US" w:eastAsia="zh-CN"/>
              </w:rPr>
              <w:t>评审打分。【打分分值范围:5、4、3、2、1、0】</w:t>
            </w:r>
          </w:p>
        </w:tc>
        <w:tc>
          <w:tcPr>
            <w:tcW w:w="833" w:type="dxa"/>
            <w:vAlign w:val="center"/>
          </w:tcPr>
          <w:p w14:paraId="44C2A67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513673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4CE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427DE0D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860" w:type="dxa"/>
            <w:vAlign w:val="center"/>
          </w:tcPr>
          <w:p w14:paraId="163EA900">
            <w:pPr>
              <w:shd w:val="clear"/>
              <w:wordWrap/>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针对本项目的运行维护方式进行详细阐述，包括但不限于例行维护、响应方案、风险评估等</w:t>
            </w:r>
            <w:r>
              <w:rPr>
                <w:rFonts w:hint="eastAsia" w:ascii="宋体" w:hAnsi="宋体" w:eastAsia="宋体" w:cs="宋体"/>
                <w:color w:val="auto"/>
                <w:sz w:val="21"/>
                <w:szCs w:val="21"/>
                <w:highlight w:val="none"/>
                <w:lang w:val="en-US" w:eastAsia="zh-CN"/>
              </w:rPr>
              <w:t>；</w:t>
            </w:r>
          </w:p>
          <w:p w14:paraId="0F6E797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方案内容全面，具有可行性，表述清晰评审打分。【打分分值范围:5、4、3、2、1、0】</w:t>
            </w:r>
          </w:p>
        </w:tc>
        <w:tc>
          <w:tcPr>
            <w:tcW w:w="833" w:type="dxa"/>
            <w:vAlign w:val="center"/>
          </w:tcPr>
          <w:p w14:paraId="6EE76CA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2F2B37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5018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7A0F88A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60" w:type="dxa"/>
            <w:vAlign w:val="center"/>
          </w:tcPr>
          <w:p w14:paraId="20152EAC">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投标人针对本项目要求的维护成果的管理制度，安排分工是否明确，包含内容是否详尽</w:t>
            </w:r>
            <w:r>
              <w:rPr>
                <w:rFonts w:hint="eastAsia" w:ascii="宋体" w:hAnsi="宋体" w:eastAsia="宋体" w:cs="宋体"/>
                <w:color w:val="auto"/>
                <w:sz w:val="21"/>
                <w:szCs w:val="21"/>
                <w:highlight w:val="none"/>
                <w:lang w:val="en-US" w:eastAsia="zh-CN"/>
              </w:rPr>
              <w:t>；</w:t>
            </w:r>
          </w:p>
          <w:p w14:paraId="082C6BA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内容全面，</w:t>
            </w:r>
            <w:r>
              <w:rPr>
                <w:rFonts w:hint="eastAsia" w:ascii="宋体" w:hAnsi="宋体" w:eastAsia="宋体" w:cs="宋体"/>
                <w:color w:val="auto"/>
                <w:sz w:val="21"/>
                <w:szCs w:val="21"/>
                <w:highlight w:val="none"/>
                <w:lang w:val="en-US" w:eastAsia="zh-CN"/>
              </w:rPr>
              <w:t>分工合理明确</w:t>
            </w:r>
            <w:r>
              <w:rPr>
                <w:rFonts w:hint="eastAsia" w:ascii="宋体" w:hAnsi="宋体" w:eastAsia="宋体" w:cs="宋体"/>
                <w:color w:val="auto"/>
                <w:sz w:val="21"/>
                <w:szCs w:val="21"/>
                <w:highlight w:val="none"/>
              </w:rPr>
              <w:t>，表述清晰完整</w:t>
            </w:r>
            <w:r>
              <w:rPr>
                <w:rFonts w:hint="eastAsia" w:ascii="宋体" w:hAnsi="宋体" w:eastAsia="宋体" w:cs="宋体"/>
                <w:color w:val="auto"/>
                <w:sz w:val="21"/>
                <w:szCs w:val="21"/>
                <w:highlight w:val="none"/>
                <w:lang w:val="en-US" w:eastAsia="zh-CN"/>
              </w:rPr>
              <w:t>评审打分。【打分分值范围:5、4、3、2、1、0】</w:t>
            </w:r>
          </w:p>
        </w:tc>
        <w:tc>
          <w:tcPr>
            <w:tcW w:w="833" w:type="dxa"/>
            <w:vAlign w:val="center"/>
          </w:tcPr>
          <w:p w14:paraId="665212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50A28F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6EB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4750C9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860" w:type="dxa"/>
            <w:vAlign w:val="center"/>
          </w:tcPr>
          <w:p w14:paraId="3E32224D">
            <w:pPr>
              <w:shd w:val="clear"/>
              <w:wordWrap/>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对于采购方信息安全的保障制度及实施措施</w:t>
            </w:r>
            <w:r>
              <w:rPr>
                <w:rFonts w:hint="eastAsia" w:ascii="宋体" w:hAnsi="宋体" w:eastAsia="宋体" w:cs="宋体"/>
                <w:color w:val="auto"/>
                <w:sz w:val="21"/>
                <w:szCs w:val="21"/>
                <w:highlight w:val="none"/>
                <w:lang w:val="en-US" w:eastAsia="zh-CN"/>
              </w:rPr>
              <w:t>；</w:t>
            </w:r>
          </w:p>
          <w:p w14:paraId="02CA6CD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rPr>
              <w:t>制度内容全面，</w:t>
            </w:r>
            <w:r>
              <w:rPr>
                <w:rFonts w:hint="eastAsia" w:ascii="宋体" w:hAnsi="宋体" w:eastAsia="宋体" w:cs="宋体"/>
                <w:color w:val="auto"/>
                <w:sz w:val="21"/>
                <w:szCs w:val="21"/>
                <w:highlight w:val="none"/>
                <w:lang w:val="en-US" w:eastAsia="zh-CN"/>
              </w:rPr>
              <w:t>措施明确可行</w:t>
            </w:r>
            <w:r>
              <w:rPr>
                <w:rFonts w:hint="eastAsia" w:ascii="宋体" w:hAnsi="宋体" w:eastAsia="宋体" w:cs="宋体"/>
                <w:color w:val="auto"/>
                <w:sz w:val="21"/>
                <w:szCs w:val="21"/>
                <w:highlight w:val="none"/>
              </w:rPr>
              <w:t>，表述清晰完整</w:t>
            </w:r>
            <w:r>
              <w:rPr>
                <w:rFonts w:hint="eastAsia" w:ascii="宋体" w:hAnsi="宋体" w:eastAsia="宋体" w:cs="宋体"/>
                <w:color w:val="auto"/>
                <w:sz w:val="21"/>
                <w:szCs w:val="21"/>
                <w:highlight w:val="none"/>
                <w:lang w:val="en-US" w:eastAsia="zh-CN"/>
              </w:rPr>
              <w:t>评审打分。【打分分值范围:5、4、3、2、1、0】</w:t>
            </w:r>
          </w:p>
        </w:tc>
        <w:tc>
          <w:tcPr>
            <w:tcW w:w="833" w:type="dxa"/>
            <w:vAlign w:val="center"/>
          </w:tcPr>
          <w:p w14:paraId="4FAA139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shd w:val="clear" w:color="auto" w:fill="auto"/>
            <w:vAlign w:val="center"/>
          </w:tcPr>
          <w:p w14:paraId="0BB7226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3A3F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4F995C6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860" w:type="dxa"/>
            <w:shd w:val="clear" w:color="auto" w:fill="auto"/>
            <w:vAlign w:val="center"/>
          </w:tcPr>
          <w:p w14:paraId="130B78A1">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对于重大维护过程中的风险评估及控制，对应的保障措施是否切实、可靠。</w:t>
            </w:r>
          </w:p>
          <w:p w14:paraId="13729B8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内容全面，措施明确可行，表述清晰完整</w:t>
            </w:r>
            <w:r>
              <w:rPr>
                <w:rFonts w:hint="eastAsia" w:ascii="宋体" w:hAnsi="宋体" w:eastAsia="宋体" w:cs="宋体"/>
                <w:color w:val="auto"/>
                <w:sz w:val="21"/>
                <w:szCs w:val="21"/>
                <w:highlight w:val="none"/>
                <w:lang w:val="en-US" w:eastAsia="zh-CN"/>
              </w:rPr>
              <w:t>评审打分。【打分分值范围:5、4、3、2、1、0】</w:t>
            </w:r>
          </w:p>
        </w:tc>
        <w:tc>
          <w:tcPr>
            <w:tcW w:w="833" w:type="dxa"/>
            <w:shd w:val="clear" w:color="auto" w:fill="auto"/>
            <w:vAlign w:val="center"/>
          </w:tcPr>
          <w:p w14:paraId="3633897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84" w:type="dxa"/>
            <w:shd w:val="clear" w:color="auto" w:fill="auto"/>
            <w:vAlign w:val="center"/>
          </w:tcPr>
          <w:p w14:paraId="74D889D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434C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5D5B14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6860" w:type="dxa"/>
            <w:vAlign w:val="center"/>
          </w:tcPr>
          <w:p w14:paraId="182D4F3C">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对项目实施过程中的重、难点分析是否透彻，并提供的解决方案内容是否详实。</w:t>
            </w:r>
          </w:p>
          <w:p w14:paraId="446F2F8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内容全面，</w:t>
            </w:r>
            <w:r>
              <w:rPr>
                <w:rFonts w:hint="eastAsia" w:ascii="宋体" w:hAnsi="宋体" w:eastAsia="宋体" w:cs="宋体"/>
                <w:color w:val="auto"/>
                <w:sz w:val="21"/>
                <w:szCs w:val="21"/>
                <w:highlight w:val="none"/>
                <w:lang w:val="en-US" w:eastAsia="zh-CN"/>
              </w:rPr>
              <w:t>解决方案可行，详实，具有针对性</w:t>
            </w:r>
            <w:r>
              <w:rPr>
                <w:rFonts w:hint="eastAsia" w:ascii="宋体" w:hAnsi="宋体" w:eastAsia="宋体" w:cs="宋体"/>
                <w:color w:val="auto"/>
                <w:sz w:val="21"/>
                <w:szCs w:val="21"/>
                <w:highlight w:val="none"/>
              </w:rPr>
              <w:t>，表述清晰完整</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【打分分值范围:5、4、3、2、1、0】</w:t>
            </w:r>
          </w:p>
        </w:tc>
        <w:tc>
          <w:tcPr>
            <w:tcW w:w="833" w:type="dxa"/>
            <w:vAlign w:val="center"/>
          </w:tcPr>
          <w:p w14:paraId="1CF99F5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shd w:val="clear" w:color="auto" w:fill="auto"/>
            <w:vAlign w:val="center"/>
          </w:tcPr>
          <w:p w14:paraId="5247CBA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2F1A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20D4C8B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6860" w:type="dxa"/>
            <w:vAlign w:val="center"/>
          </w:tcPr>
          <w:p w14:paraId="40F6C020">
            <w:pPr>
              <w:wordWrap/>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驻场服务管理方案内容详尽，服务流程清晰完整，是否满足采购人需求</w:t>
            </w:r>
            <w:r>
              <w:rPr>
                <w:rFonts w:hint="eastAsia" w:ascii="宋体" w:hAnsi="宋体" w:eastAsia="宋体" w:cs="宋体"/>
                <w:color w:val="auto"/>
                <w:sz w:val="21"/>
                <w:szCs w:val="21"/>
                <w:highlight w:val="none"/>
                <w:lang w:eastAsia="zh-CN"/>
              </w:rPr>
              <w:t>。</w:t>
            </w:r>
          </w:p>
          <w:p w14:paraId="2F8AC6D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方案内容全面，</w:t>
            </w:r>
            <w:r>
              <w:rPr>
                <w:rFonts w:hint="eastAsia" w:ascii="宋体" w:hAnsi="宋体" w:eastAsia="宋体" w:cs="宋体"/>
                <w:color w:val="auto"/>
                <w:sz w:val="21"/>
                <w:szCs w:val="21"/>
                <w:highlight w:val="none"/>
                <w:lang w:val="en-US" w:eastAsia="zh-CN"/>
              </w:rPr>
              <w:t>流程</w:t>
            </w:r>
            <w:r>
              <w:rPr>
                <w:rFonts w:hint="eastAsia" w:ascii="宋体" w:hAnsi="宋体" w:eastAsia="宋体" w:cs="宋体"/>
                <w:color w:val="auto"/>
                <w:sz w:val="21"/>
                <w:szCs w:val="21"/>
                <w:highlight w:val="none"/>
                <w:lang w:eastAsia="zh-CN"/>
              </w:rPr>
              <w:t>明确、</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lang w:eastAsia="zh-CN"/>
              </w:rPr>
              <w:t>，表述清晰完整</w:t>
            </w:r>
            <w:r>
              <w:rPr>
                <w:rFonts w:hint="eastAsia" w:ascii="宋体" w:hAnsi="宋体" w:eastAsia="宋体" w:cs="宋体"/>
                <w:color w:val="auto"/>
                <w:sz w:val="21"/>
                <w:szCs w:val="21"/>
                <w:highlight w:val="none"/>
                <w:lang w:val="en-US" w:eastAsia="zh-CN"/>
              </w:rPr>
              <w:t>进行评审。【打分分值范围:5、4、3、2、1、0】</w:t>
            </w:r>
          </w:p>
        </w:tc>
        <w:tc>
          <w:tcPr>
            <w:tcW w:w="833" w:type="dxa"/>
            <w:vAlign w:val="center"/>
          </w:tcPr>
          <w:p w14:paraId="7F5E35C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shd w:val="clear" w:color="auto" w:fill="auto"/>
            <w:vAlign w:val="center"/>
          </w:tcPr>
          <w:p w14:paraId="061BAE7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4D26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18CC8C7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6860" w:type="dxa"/>
            <w:vAlign w:val="center"/>
          </w:tcPr>
          <w:p w14:paraId="66A2F4D9">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项目组人员工作履历、专业素质、技术能力、专业分布，数量是否充足，配置是否合理，满足采购文件要求等内容进行评审；</w:t>
            </w:r>
          </w:p>
          <w:p w14:paraId="634A6B5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人员数量充足，</w:t>
            </w:r>
            <w:r>
              <w:rPr>
                <w:rFonts w:hint="eastAsia" w:ascii="宋体" w:hAnsi="宋体" w:eastAsia="宋体" w:cs="宋体"/>
                <w:color w:val="auto"/>
                <w:sz w:val="21"/>
                <w:szCs w:val="21"/>
                <w:highlight w:val="none"/>
              </w:rPr>
              <w:t>岗位配置合理、专业性强，人员工作经验丰富</w:t>
            </w:r>
            <w:r>
              <w:rPr>
                <w:rFonts w:hint="eastAsia" w:ascii="宋体" w:hAnsi="宋体" w:eastAsia="宋体" w:cs="宋体"/>
                <w:color w:val="auto"/>
                <w:sz w:val="21"/>
                <w:szCs w:val="21"/>
                <w:highlight w:val="none"/>
                <w:lang w:val="en-US" w:eastAsia="zh-CN"/>
              </w:rPr>
              <w:t>进行评审。【打分分值范围:5、4、3、2、1、0】</w:t>
            </w:r>
          </w:p>
        </w:tc>
        <w:tc>
          <w:tcPr>
            <w:tcW w:w="833" w:type="dxa"/>
            <w:vAlign w:val="center"/>
          </w:tcPr>
          <w:p w14:paraId="127B82D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shd w:val="clear" w:color="auto" w:fill="auto"/>
            <w:vAlign w:val="center"/>
          </w:tcPr>
          <w:p w14:paraId="788A7AC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0F16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389DF81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6860" w:type="dxa"/>
            <w:vAlign w:val="center"/>
          </w:tcPr>
          <w:p w14:paraId="20E7EEB9">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项目负责人具有项目经理证书的，得2分。</w:t>
            </w:r>
          </w:p>
          <w:p w14:paraId="0879BC1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需提供近六个月任意</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个月的社保证明材料及相关证书复印件，未提供或提供不全的不得分</w:t>
            </w:r>
            <w:r>
              <w:rPr>
                <w:rFonts w:hint="eastAsia" w:ascii="宋体" w:hAnsi="宋体" w:eastAsia="宋体" w:cs="宋体"/>
                <w:color w:val="auto"/>
                <w:sz w:val="21"/>
                <w:szCs w:val="21"/>
                <w:highlight w:val="none"/>
                <w:lang w:eastAsia="zh-CN"/>
              </w:rPr>
              <w:t>。</w:t>
            </w:r>
          </w:p>
        </w:tc>
        <w:tc>
          <w:tcPr>
            <w:tcW w:w="833" w:type="dxa"/>
            <w:vAlign w:val="center"/>
          </w:tcPr>
          <w:p w14:paraId="2F50C4A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84" w:type="dxa"/>
            <w:shd w:val="clear" w:color="auto" w:fill="auto"/>
            <w:vAlign w:val="center"/>
          </w:tcPr>
          <w:p w14:paraId="3656B30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r>
      <w:tr w14:paraId="71E5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20E51DA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6860" w:type="dxa"/>
            <w:vAlign w:val="center"/>
          </w:tcPr>
          <w:p w14:paraId="790943B9">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针对本项目的运维人员的培训计划、培训制度、培训方案及内容等进行评审。</w:t>
            </w:r>
          </w:p>
          <w:p w14:paraId="70B5A95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培训计划完整，方案内容可行、针对性强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时间安排合理评审打分。【打分分值范围:5、4、3、2、1、0】</w:t>
            </w:r>
          </w:p>
        </w:tc>
        <w:tc>
          <w:tcPr>
            <w:tcW w:w="833" w:type="dxa"/>
            <w:vAlign w:val="center"/>
          </w:tcPr>
          <w:p w14:paraId="52B4454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036A80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3BC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5C2403D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6860" w:type="dxa"/>
            <w:vAlign w:val="center"/>
          </w:tcPr>
          <w:p w14:paraId="270C5F6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具体阐述针对本项目建立的考核机制，包括但不限于考核内容、考核标准、处理措施等</w:t>
            </w:r>
            <w:r>
              <w:rPr>
                <w:rFonts w:hint="eastAsia" w:ascii="宋体" w:hAnsi="宋体" w:eastAsia="宋体" w:cs="宋体"/>
                <w:color w:val="auto"/>
                <w:sz w:val="21"/>
                <w:szCs w:val="21"/>
                <w:highlight w:val="none"/>
                <w:lang w:val="en-US" w:eastAsia="zh-CN"/>
              </w:rPr>
              <w:t>方面进行评审。【打分分值范围:5、4、3、2、1、0】</w:t>
            </w:r>
          </w:p>
        </w:tc>
        <w:tc>
          <w:tcPr>
            <w:tcW w:w="833" w:type="dxa"/>
            <w:vAlign w:val="center"/>
          </w:tcPr>
          <w:p w14:paraId="3626CA7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02749E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2EE4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364C00F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860" w:type="dxa"/>
            <w:vAlign w:val="center"/>
          </w:tcPr>
          <w:p w14:paraId="21D786E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针对本项目运维受理途径、响应时间、各类情况预计解决时效等内容进行评审。</w:t>
            </w:r>
            <w:r>
              <w:rPr>
                <w:rFonts w:hint="eastAsia" w:ascii="宋体" w:hAnsi="宋体" w:eastAsia="宋体" w:cs="宋体"/>
                <w:color w:val="auto"/>
                <w:sz w:val="21"/>
                <w:szCs w:val="21"/>
                <w:highlight w:val="none"/>
                <w:lang w:val="en-US" w:eastAsia="zh-CN"/>
              </w:rPr>
              <w:t>【打分分值范围:5、4、3、2、1、0】</w:t>
            </w:r>
          </w:p>
        </w:tc>
        <w:tc>
          <w:tcPr>
            <w:tcW w:w="833" w:type="dxa"/>
            <w:vAlign w:val="center"/>
          </w:tcPr>
          <w:p w14:paraId="2DC5570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1D7285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54F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6267D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860" w:type="dxa"/>
            <w:vAlign w:val="center"/>
          </w:tcPr>
          <w:p w14:paraId="69D49589">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投标人内部管理制度、保密制度、维护管理制度及维护记录存档规定等是否健全，确保满足服务要求。</w:t>
            </w:r>
          </w:p>
          <w:p w14:paraId="03E4852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各项制度齐全，内容明确，严格管理实施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满足服务要求评审打分。【打分分值范围:5、4、3、2、1、0】</w:t>
            </w:r>
          </w:p>
        </w:tc>
        <w:tc>
          <w:tcPr>
            <w:tcW w:w="833" w:type="dxa"/>
            <w:vAlign w:val="center"/>
          </w:tcPr>
          <w:p w14:paraId="014F1C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7F78A6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AFD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2FF8836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860" w:type="dxa"/>
            <w:vAlign w:val="center"/>
          </w:tcPr>
          <w:p w14:paraId="18D8A253">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针对突发状况及应急演练等情况，提供相关应急预案、技术方案、技术支持等。</w:t>
            </w:r>
          </w:p>
          <w:p w14:paraId="1C2CA2C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方案有针对性，响应迅速，完全满足本项目要求</w:t>
            </w:r>
            <w:r>
              <w:rPr>
                <w:rFonts w:hint="eastAsia" w:ascii="宋体" w:hAnsi="宋体" w:eastAsia="宋体" w:cs="宋体"/>
                <w:color w:val="auto"/>
                <w:sz w:val="21"/>
                <w:szCs w:val="21"/>
                <w:highlight w:val="none"/>
                <w:lang w:val="en-US" w:eastAsia="zh-CN"/>
              </w:rPr>
              <w:t>评审打分。【打分分值范围:5、4、3、2、1、0】</w:t>
            </w:r>
          </w:p>
        </w:tc>
        <w:tc>
          <w:tcPr>
            <w:tcW w:w="833" w:type="dxa"/>
            <w:vAlign w:val="center"/>
          </w:tcPr>
          <w:p w14:paraId="04274D8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72B164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53CE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7F92DEA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6860" w:type="dxa"/>
            <w:vAlign w:val="center"/>
          </w:tcPr>
          <w:p w14:paraId="398371C1">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针对本项目的备品备件清单是否全面、满足采购文件要求。</w:t>
            </w:r>
          </w:p>
          <w:p w14:paraId="3D385AF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清单详细明确，满足日常使用评审打分。【打分分值范围:5、4、3、2、1、0】</w:t>
            </w:r>
          </w:p>
        </w:tc>
        <w:tc>
          <w:tcPr>
            <w:tcW w:w="833" w:type="dxa"/>
            <w:vAlign w:val="center"/>
          </w:tcPr>
          <w:p w14:paraId="776CA03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2A0857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421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23D3F7C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6860" w:type="dxa"/>
            <w:vAlign w:val="center"/>
          </w:tcPr>
          <w:p w14:paraId="4FAAE87D">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针对本项目运维成果验收服务进行综合评审；</w:t>
            </w:r>
          </w:p>
          <w:p w14:paraId="6BECE7B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提供成果验收方式，验收资料准备齐全，配合采购方验收程序评审打分。【打分分值范围:4、3、2、1、0】</w:t>
            </w:r>
          </w:p>
        </w:tc>
        <w:tc>
          <w:tcPr>
            <w:tcW w:w="833" w:type="dxa"/>
            <w:vAlign w:val="center"/>
          </w:tcPr>
          <w:p w14:paraId="4BC83C9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84" w:type="dxa"/>
            <w:vAlign w:val="center"/>
          </w:tcPr>
          <w:p w14:paraId="23DBAF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5203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5ABC1A7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6860" w:type="dxa"/>
            <w:vAlign w:val="center"/>
          </w:tcPr>
          <w:p w14:paraId="6AF9EB18">
            <w:pPr>
              <w:wordWrap/>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针对本项目运行维护合理化建议进行评审；</w:t>
            </w:r>
          </w:p>
          <w:p w14:paraId="01620FD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内容条理清晰，具有可行性，表述清晰完整</w:t>
            </w:r>
            <w:r>
              <w:rPr>
                <w:rFonts w:hint="eastAsia" w:ascii="宋体" w:hAnsi="宋体" w:eastAsia="宋体" w:cs="宋体"/>
                <w:color w:val="auto"/>
                <w:sz w:val="21"/>
                <w:szCs w:val="21"/>
                <w:highlight w:val="none"/>
                <w:lang w:val="en-US" w:eastAsia="zh-CN"/>
              </w:rPr>
              <w:t>评审打分。【打分分值范围:5、4、3、2、1、0】</w:t>
            </w:r>
          </w:p>
        </w:tc>
        <w:tc>
          <w:tcPr>
            <w:tcW w:w="833" w:type="dxa"/>
            <w:vAlign w:val="center"/>
          </w:tcPr>
          <w:p w14:paraId="528BE7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5E437F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4FC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14:paraId="5B83FAC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860" w:type="dxa"/>
            <w:vAlign w:val="center"/>
          </w:tcPr>
          <w:p w14:paraId="2AA60ACD">
            <w:pPr>
              <w:wordWrap/>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针对用户的日常反馈，定期对用户的满意度调查及实施安排进行评审；</w:t>
            </w:r>
          </w:p>
          <w:p w14:paraId="179F7E0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针对用户定期、日常反馈整理，积极针对反馈内容整改评审打分。【打分分值范围:5、4、3、2、1、0】</w:t>
            </w:r>
          </w:p>
        </w:tc>
        <w:tc>
          <w:tcPr>
            <w:tcW w:w="833" w:type="dxa"/>
            <w:vAlign w:val="center"/>
          </w:tcPr>
          <w:p w14:paraId="441DB64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84" w:type="dxa"/>
            <w:vAlign w:val="center"/>
          </w:tcPr>
          <w:p w14:paraId="73CFB9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6A3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14:paraId="3B1FECA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6860" w:type="dxa"/>
            <w:vAlign w:val="center"/>
          </w:tcPr>
          <w:p w14:paraId="0AB1CD0A">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有效投标报价的最低价作为评标基准价，其最低报价为满分；按［投标报价得分=（评标基准价/投标报价）*10］的计算公式计算。</w:t>
            </w:r>
          </w:p>
          <w:p w14:paraId="0BE10AE6">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14:paraId="40A620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本项目专门面向小微企业，价格不执行扣除优惠政策。</w:t>
            </w:r>
          </w:p>
        </w:tc>
        <w:tc>
          <w:tcPr>
            <w:tcW w:w="833" w:type="dxa"/>
            <w:vAlign w:val="center"/>
          </w:tcPr>
          <w:p w14:paraId="4FBD6F5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84" w:type="dxa"/>
            <w:vAlign w:val="center"/>
          </w:tcPr>
          <w:p w14:paraId="68AFE6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bl>
    <w:p w14:paraId="445153E2">
      <w:pPr>
        <w:rPr>
          <w:color w:val="auto"/>
          <w:highlight w:val="none"/>
        </w:rPr>
      </w:pPr>
      <w:r>
        <w:rPr>
          <w:rFonts w:hint="eastAsia"/>
          <w:b/>
          <w:bCs/>
          <w:color w:val="auto"/>
          <w:highlight w:val="none"/>
        </w:rPr>
        <w:t>*备注：</w:t>
      </w:r>
      <w:r>
        <w:rPr>
          <w:rFonts w:hint="eastAsia"/>
          <w:color w:val="auto"/>
          <w:highlight w:val="none"/>
        </w:rPr>
        <w:t>投标人编制投标文件（商务技术文件部分）时，建议按此目录（序号和内容）提供评标标准相应的商务技术资料。 </w:t>
      </w:r>
    </w:p>
    <w:p w14:paraId="29720738">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3C13FE8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9DA17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554B31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24472E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82B74B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2578EC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15B3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307FA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9D5096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EEC6618">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C39171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C4FAB0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38ACB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F14DFD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0410C6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F99C1C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8134C9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915259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9B791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2A0A1F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F101F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4264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DE017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E3ED911">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7B6AAB">
      <w:pPr>
        <w:pStyle w:val="25"/>
        <w:spacing w:line="360" w:lineRule="auto"/>
        <w:ind w:left="1021"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7288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C618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00EEB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FBAA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49145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D7480A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5F816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3A8C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336CD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09F59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75846D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A2D8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9E13E3">
      <w:pPr>
        <w:pStyle w:val="3"/>
        <w:ind w:left="492" w:leftChars="205"/>
        <w:jc w:val="both"/>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E1CAC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BC5ED3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3BB8D14">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0BCF0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F90B58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A0CC29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AEADC7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71B28D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54533D3">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4C36DE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212993B">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39C4363">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B3BE80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27454D8">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A76DDA9">
      <w:pPr>
        <w:pStyle w:val="25"/>
        <w:snapToGrid w:val="0"/>
        <w:spacing w:line="360" w:lineRule="auto"/>
        <w:ind w:firstLine="0" w:firstLineChars="0"/>
        <w:rPr>
          <w:rFonts w:cs="宋体"/>
          <w:color w:val="auto"/>
          <w:highlight w:val="none"/>
        </w:rPr>
      </w:pPr>
    </w:p>
    <w:bookmarkEnd w:id="19"/>
    <w:p w14:paraId="171B614C">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bookmarkStart w:id="396" w:name="第五部分"/>
      <w:bookmarkStart w:id="397" w:name="_Toc86217003"/>
    </w:p>
    <w:p w14:paraId="6D7A725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361AD4B">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2EE44B3">
      <w:pPr>
        <w:ind w:firstLine="480"/>
        <w:rPr>
          <w:rFonts w:cs="Times New Roman"/>
          <w:color w:val="auto"/>
          <w:highlight w:val="none"/>
        </w:rPr>
      </w:pPr>
      <w:r>
        <w:rPr>
          <w:rFonts w:hint="eastAsia" w:cs="Times New Roman"/>
          <w:color w:val="auto"/>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14:paraId="119AA116">
      <w:pPr>
        <w:wordWrap/>
        <w:ind w:firstLine="0" w:firstLineChars="0"/>
        <w:rPr>
          <w:rFonts w:cs="Times New Roman"/>
          <w:color w:val="auto"/>
          <w:szCs w:val="18"/>
          <w:highlight w:val="none"/>
          <w:u w:val="single"/>
        </w:rPr>
      </w:pPr>
      <w:r>
        <w:rPr>
          <w:rFonts w:hint="eastAsia" w:cs="Times New Roman"/>
          <w:color w:val="auto"/>
          <w:szCs w:val="21"/>
          <w:highlight w:val="none"/>
        </w:rPr>
        <w:t>合同编号：</w:t>
      </w:r>
    </w:p>
    <w:p w14:paraId="63BEB769">
      <w:pPr>
        <w:widowControl/>
        <w:wordWrap/>
        <w:snapToGrid w:val="0"/>
        <w:ind w:firstLine="0" w:firstLineChars="0"/>
        <w:rPr>
          <w:rFonts w:cs="Times New Roman"/>
          <w:color w:val="auto"/>
          <w:kern w:val="0"/>
          <w:szCs w:val="21"/>
          <w:highlight w:val="none"/>
        </w:rPr>
      </w:pPr>
      <w:r>
        <w:rPr>
          <w:rFonts w:hint="eastAsia" w:cs="Times New Roman"/>
          <w:color w:val="auto"/>
          <w:kern w:val="0"/>
          <w:szCs w:val="21"/>
          <w:highlight w:val="none"/>
        </w:rPr>
        <w:t>甲方：</w:t>
      </w:r>
    </w:p>
    <w:p w14:paraId="52D8E5E0">
      <w:pPr>
        <w:widowControl/>
        <w:wordWrap/>
        <w:snapToGrid w:val="0"/>
        <w:ind w:firstLine="0" w:firstLineChars="0"/>
        <w:rPr>
          <w:rFonts w:cs="Times New Roman"/>
          <w:color w:val="auto"/>
          <w:kern w:val="0"/>
          <w:szCs w:val="21"/>
          <w:highlight w:val="none"/>
        </w:rPr>
      </w:pPr>
      <w:r>
        <w:rPr>
          <w:rFonts w:hint="eastAsia" w:cs="Times New Roman"/>
          <w:color w:val="auto"/>
          <w:kern w:val="0"/>
          <w:szCs w:val="21"/>
          <w:highlight w:val="none"/>
        </w:rPr>
        <w:t>乙方：</w:t>
      </w:r>
    </w:p>
    <w:p w14:paraId="5440BEC9">
      <w:pPr>
        <w:wordWrap/>
        <w:ind w:firstLine="480"/>
        <w:rPr>
          <w:rFonts w:cs="Times New Roman"/>
          <w:color w:val="auto"/>
          <w:highlight w:val="none"/>
        </w:rPr>
      </w:pPr>
      <w:r>
        <w:rPr>
          <w:rFonts w:hint="eastAsia" w:cs="Times New Roman"/>
          <w:color w:val="auto"/>
          <w:highlight w:val="none"/>
        </w:rPr>
        <w:t>浙江省血液中心(甲方)就</w:t>
      </w:r>
      <w:r>
        <w:rPr>
          <w:rFonts w:hint="eastAsia" w:cs="Times New Roman"/>
          <w:color w:val="auto"/>
          <w:highlight w:val="none"/>
          <w:u w:val="single"/>
        </w:rPr>
        <w:t xml:space="preserve">              </w:t>
      </w:r>
      <w:r>
        <w:rPr>
          <w:rFonts w:hint="eastAsia" w:cs="Times New Roman"/>
          <w:color w:val="auto"/>
          <w:highlight w:val="none"/>
        </w:rPr>
        <w:t xml:space="preserve">项目，经公开招标确定乙方为合作供应商。甲乙双方根据《中华人民共和国政府采购法》《中华人民共和国民法典》等相关法律法规的规定，经平等协商达成协议如下： </w:t>
      </w:r>
    </w:p>
    <w:p w14:paraId="1D39AC53">
      <w:pPr>
        <w:wordWrap/>
        <w:ind w:firstLine="0" w:firstLineChars="0"/>
        <w:rPr>
          <w:rFonts w:cs="Times New Roman"/>
          <w:color w:val="auto"/>
          <w:kern w:val="0"/>
          <w:highlight w:val="none"/>
        </w:rPr>
      </w:pPr>
      <w:r>
        <w:rPr>
          <w:rFonts w:hint="eastAsia" w:cs="Times New Roman"/>
          <w:b/>
          <w:color w:val="auto"/>
          <w:kern w:val="0"/>
          <w:highlight w:val="none"/>
        </w:rPr>
        <w:t>一、服务项目及协议价格</w:t>
      </w:r>
      <w:r>
        <w:rPr>
          <w:rFonts w:hint="eastAsia" w:cs="Times New Roman"/>
          <w:color w:val="auto"/>
          <w:kern w:val="0"/>
          <w:highlight w:val="none"/>
        </w:rPr>
        <w:t xml:space="preserve">                   金额单位：元（人民币）</w:t>
      </w:r>
    </w:p>
    <w:tbl>
      <w:tblPr>
        <w:tblStyle w:val="6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2520"/>
        <w:gridCol w:w="2160"/>
      </w:tblGrid>
      <w:tr w14:paraId="7610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60" w:type="dxa"/>
            <w:vAlign w:val="center"/>
          </w:tcPr>
          <w:p w14:paraId="525D54C0">
            <w:pPr>
              <w:wordWrap/>
              <w:ind w:firstLine="0" w:firstLineChars="0"/>
              <w:jc w:val="center"/>
              <w:rPr>
                <w:rFonts w:cs="Times New Roman"/>
                <w:b/>
                <w:color w:val="auto"/>
                <w:kern w:val="0"/>
                <w:highlight w:val="none"/>
              </w:rPr>
            </w:pPr>
            <w:r>
              <w:rPr>
                <w:rFonts w:hint="eastAsia" w:cs="Times New Roman"/>
                <w:color w:val="auto"/>
                <w:kern w:val="0"/>
                <w:highlight w:val="none"/>
              </w:rPr>
              <w:t>服务项目</w:t>
            </w:r>
          </w:p>
        </w:tc>
        <w:tc>
          <w:tcPr>
            <w:tcW w:w="2520" w:type="dxa"/>
            <w:vAlign w:val="center"/>
          </w:tcPr>
          <w:p w14:paraId="6992A7C5">
            <w:pPr>
              <w:wordWrap/>
              <w:ind w:firstLine="0" w:firstLineChars="0"/>
              <w:jc w:val="center"/>
              <w:rPr>
                <w:rFonts w:cs="Times New Roman"/>
                <w:b/>
                <w:color w:val="auto"/>
                <w:kern w:val="0"/>
                <w:highlight w:val="none"/>
              </w:rPr>
            </w:pPr>
            <w:r>
              <w:rPr>
                <w:rFonts w:hint="eastAsia" w:cs="Times New Roman"/>
                <w:color w:val="auto"/>
                <w:kern w:val="0"/>
                <w:highlight w:val="none"/>
              </w:rPr>
              <w:t>市场价格</w:t>
            </w:r>
          </w:p>
        </w:tc>
        <w:tc>
          <w:tcPr>
            <w:tcW w:w="2160" w:type="dxa"/>
            <w:vAlign w:val="center"/>
          </w:tcPr>
          <w:p w14:paraId="1B0A379A">
            <w:pPr>
              <w:wordWrap/>
              <w:ind w:firstLine="0" w:firstLineChars="0"/>
              <w:jc w:val="center"/>
              <w:rPr>
                <w:rFonts w:cs="Times New Roman"/>
                <w:b/>
                <w:color w:val="auto"/>
                <w:kern w:val="0"/>
                <w:highlight w:val="none"/>
              </w:rPr>
            </w:pPr>
            <w:r>
              <w:rPr>
                <w:rFonts w:hint="eastAsia" w:cs="Times New Roman"/>
                <w:color w:val="auto"/>
                <w:kern w:val="0"/>
                <w:highlight w:val="none"/>
              </w:rPr>
              <w:t>协议价格</w:t>
            </w:r>
          </w:p>
        </w:tc>
      </w:tr>
      <w:tr w14:paraId="24EA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0" w:type="dxa"/>
            <w:vAlign w:val="center"/>
          </w:tcPr>
          <w:p w14:paraId="0538E49B">
            <w:pPr>
              <w:wordWrap/>
              <w:ind w:firstLine="0" w:firstLineChars="0"/>
              <w:jc w:val="center"/>
              <w:rPr>
                <w:rFonts w:cs="Times New Roman"/>
                <w:color w:val="auto"/>
                <w:kern w:val="0"/>
                <w:highlight w:val="none"/>
              </w:rPr>
            </w:pPr>
          </w:p>
        </w:tc>
        <w:tc>
          <w:tcPr>
            <w:tcW w:w="2520" w:type="dxa"/>
            <w:vAlign w:val="center"/>
          </w:tcPr>
          <w:p w14:paraId="04BA6B89">
            <w:pPr>
              <w:wordWrap/>
              <w:ind w:firstLine="0" w:firstLineChars="0"/>
              <w:jc w:val="center"/>
              <w:rPr>
                <w:rFonts w:cs="Times New Roman"/>
                <w:color w:val="auto"/>
                <w:kern w:val="0"/>
                <w:highlight w:val="none"/>
              </w:rPr>
            </w:pPr>
          </w:p>
        </w:tc>
        <w:tc>
          <w:tcPr>
            <w:tcW w:w="2160" w:type="dxa"/>
            <w:vAlign w:val="center"/>
          </w:tcPr>
          <w:p w14:paraId="07C6E6A3">
            <w:pPr>
              <w:wordWrap/>
              <w:ind w:firstLine="0" w:firstLineChars="0"/>
              <w:jc w:val="center"/>
              <w:rPr>
                <w:rFonts w:cs="Times New Roman"/>
                <w:color w:val="auto"/>
                <w:kern w:val="0"/>
                <w:highlight w:val="none"/>
              </w:rPr>
            </w:pPr>
          </w:p>
        </w:tc>
      </w:tr>
      <w:tr w14:paraId="5B41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0" w:type="dxa"/>
            <w:vAlign w:val="center"/>
          </w:tcPr>
          <w:p w14:paraId="0DBF18AA">
            <w:pPr>
              <w:wordWrap/>
              <w:ind w:firstLine="0" w:firstLineChars="0"/>
              <w:jc w:val="center"/>
              <w:rPr>
                <w:rFonts w:cs="Times New Roman"/>
                <w:color w:val="auto"/>
                <w:kern w:val="0"/>
                <w:highlight w:val="none"/>
              </w:rPr>
            </w:pPr>
          </w:p>
        </w:tc>
        <w:tc>
          <w:tcPr>
            <w:tcW w:w="2520" w:type="dxa"/>
            <w:vAlign w:val="center"/>
          </w:tcPr>
          <w:p w14:paraId="12C30AAE">
            <w:pPr>
              <w:wordWrap/>
              <w:ind w:firstLine="0" w:firstLineChars="0"/>
              <w:jc w:val="center"/>
              <w:rPr>
                <w:rFonts w:cs="Times New Roman"/>
                <w:color w:val="auto"/>
                <w:kern w:val="0"/>
                <w:highlight w:val="none"/>
              </w:rPr>
            </w:pPr>
          </w:p>
        </w:tc>
        <w:tc>
          <w:tcPr>
            <w:tcW w:w="2160" w:type="dxa"/>
            <w:vAlign w:val="center"/>
          </w:tcPr>
          <w:p w14:paraId="3E258CC5">
            <w:pPr>
              <w:wordWrap/>
              <w:ind w:firstLine="0" w:firstLineChars="0"/>
              <w:jc w:val="center"/>
              <w:rPr>
                <w:rFonts w:cs="Times New Roman"/>
                <w:color w:val="auto"/>
                <w:kern w:val="0"/>
                <w:highlight w:val="none"/>
              </w:rPr>
            </w:pPr>
          </w:p>
        </w:tc>
      </w:tr>
      <w:tr w14:paraId="627F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0" w:type="dxa"/>
            <w:vAlign w:val="center"/>
          </w:tcPr>
          <w:p w14:paraId="15AF5390">
            <w:pPr>
              <w:wordWrap/>
              <w:ind w:firstLine="0" w:firstLineChars="0"/>
              <w:jc w:val="center"/>
              <w:rPr>
                <w:rFonts w:cs="Times New Roman"/>
                <w:color w:val="auto"/>
                <w:kern w:val="0"/>
                <w:highlight w:val="none"/>
              </w:rPr>
            </w:pPr>
          </w:p>
        </w:tc>
        <w:tc>
          <w:tcPr>
            <w:tcW w:w="2520" w:type="dxa"/>
            <w:vAlign w:val="center"/>
          </w:tcPr>
          <w:p w14:paraId="3BFADD15">
            <w:pPr>
              <w:wordWrap/>
              <w:ind w:firstLine="0" w:firstLineChars="0"/>
              <w:jc w:val="center"/>
              <w:rPr>
                <w:rFonts w:cs="Times New Roman"/>
                <w:color w:val="auto"/>
                <w:kern w:val="0"/>
                <w:highlight w:val="none"/>
              </w:rPr>
            </w:pPr>
          </w:p>
        </w:tc>
        <w:tc>
          <w:tcPr>
            <w:tcW w:w="2160" w:type="dxa"/>
            <w:vAlign w:val="center"/>
          </w:tcPr>
          <w:p w14:paraId="4FE4F6D8">
            <w:pPr>
              <w:wordWrap/>
              <w:ind w:firstLine="0" w:firstLineChars="0"/>
              <w:jc w:val="center"/>
              <w:rPr>
                <w:rFonts w:cs="Times New Roman"/>
                <w:color w:val="auto"/>
                <w:kern w:val="0"/>
                <w:highlight w:val="none"/>
              </w:rPr>
            </w:pPr>
          </w:p>
        </w:tc>
      </w:tr>
    </w:tbl>
    <w:p w14:paraId="782D5C61">
      <w:pPr>
        <w:wordWrap/>
        <w:ind w:firstLine="480"/>
        <w:rPr>
          <w:rFonts w:cs="Times New Roman"/>
          <w:color w:val="auto"/>
          <w:highlight w:val="none"/>
        </w:rPr>
      </w:pPr>
      <w:r>
        <w:rPr>
          <w:rFonts w:hint="eastAsia" w:cs="Times New Roman"/>
          <w:color w:val="auto"/>
          <w:highlight w:val="none"/>
        </w:rPr>
        <w:t>注：如服务项目较多可单独填写《服务项目清单及协议价格》（附件1）</w:t>
      </w:r>
    </w:p>
    <w:p w14:paraId="3B494FED">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二、服务标准和要求</w:t>
      </w:r>
    </w:p>
    <w:p w14:paraId="1E83B495">
      <w:pPr>
        <w:wordWrap/>
        <w:ind w:firstLine="480"/>
        <w:rPr>
          <w:rFonts w:cs="Times New Roman"/>
          <w:color w:val="auto"/>
          <w:highlight w:val="none"/>
        </w:rPr>
      </w:pPr>
      <w:r>
        <w:rPr>
          <w:rFonts w:hint="eastAsia" w:cs="Times New Roman"/>
          <w:color w:val="auto"/>
          <w:highlight w:val="none"/>
        </w:rPr>
        <w:t>乙方应将组织机构代码证、工商注册执照或营业执照复印件提供给甲方，若乙方为授权服务商时还需提供授权证明。</w:t>
      </w:r>
    </w:p>
    <w:p w14:paraId="488DA745">
      <w:pPr>
        <w:wordWrap/>
        <w:ind w:firstLine="480"/>
        <w:rPr>
          <w:rFonts w:cs="Times New Roman"/>
          <w:color w:val="auto"/>
          <w:highlight w:val="none"/>
        </w:rPr>
      </w:pPr>
      <w:r>
        <w:rPr>
          <w:rFonts w:hint="eastAsia" w:cs="Times New Roman"/>
          <w:color w:val="auto"/>
          <w:highlight w:val="none"/>
        </w:rPr>
        <w:t>乙方在服务期限内始终应：</w:t>
      </w:r>
    </w:p>
    <w:p w14:paraId="3BF37D24">
      <w:pPr>
        <w:wordWrap/>
        <w:ind w:firstLine="480"/>
        <w:rPr>
          <w:rFonts w:cs="Times New Roman"/>
          <w:color w:val="auto"/>
          <w:highlight w:val="none"/>
        </w:rPr>
      </w:pPr>
      <w:r>
        <w:rPr>
          <w:rFonts w:hint="eastAsia" w:cs="Times New Roman"/>
          <w:color w:val="auto"/>
          <w:highlight w:val="none"/>
        </w:rPr>
        <w:t>1.遵从国家、地方关于实行服务的法律法规，具有向甲方提供服务的执照、资质、审批；</w:t>
      </w:r>
    </w:p>
    <w:p w14:paraId="3E0F9EEB">
      <w:pPr>
        <w:wordWrap/>
        <w:ind w:firstLine="480"/>
        <w:rPr>
          <w:rFonts w:cs="Times New Roman"/>
          <w:color w:val="auto"/>
          <w:highlight w:val="none"/>
        </w:rPr>
      </w:pPr>
      <w:r>
        <w:rPr>
          <w:rFonts w:hint="eastAsia" w:cs="Times New Roman"/>
          <w:color w:val="auto"/>
          <w:highlight w:val="none"/>
        </w:rPr>
        <w:t>2.保证其工作人员训练有素，有足够的能力和水平履行其责任义务；保持提供服务所需的工具设备等处于工作良好的状态。</w:t>
      </w:r>
    </w:p>
    <w:p w14:paraId="477E3736">
      <w:pPr>
        <w:wordWrap/>
        <w:ind w:firstLine="480"/>
        <w:rPr>
          <w:rFonts w:cs="Times New Roman"/>
          <w:color w:val="auto"/>
          <w:highlight w:val="none"/>
        </w:rPr>
      </w:pPr>
      <w:r>
        <w:rPr>
          <w:rFonts w:hint="eastAsia" w:cs="Times New Roman"/>
          <w:color w:val="auto"/>
          <w:highlight w:val="none"/>
        </w:rPr>
        <w:t>3.同意遵守甲方有关进入工作场所期间或执行服务过程中的规定，包括但不限于：安全、卫生和危险品管理规定。承诺不在属于甲方的建筑设施、工作场所内及附近从事任何非法的、有违公俗道德的、扰乱甲方正常工作秩序的活动。</w:t>
      </w:r>
    </w:p>
    <w:p w14:paraId="3A8264EB">
      <w:pPr>
        <w:wordWrap/>
        <w:ind w:firstLine="480"/>
        <w:rPr>
          <w:rFonts w:cs="Times New Roman"/>
          <w:color w:val="auto"/>
          <w:highlight w:val="none"/>
        </w:rPr>
      </w:pPr>
      <w:r>
        <w:rPr>
          <w:rFonts w:hint="eastAsia" w:cs="Times New Roman"/>
          <w:color w:val="auto"/>
          <w:highlight w:val="none"/>
        </w:rPr>
        <w:t>4.保证其工作人员在最近叁年内没有刑事犯罪记录。</w:t>
      </w:r>
    </w:p>
    <w:p w14:paraId="769E068D">
      <w:pPr>
        <w:wordWrap/>
        <w:ind w:firstLine="480"/>
        <w:rPr>
          <w:rFonts w:cs="Times New Roman"/>
          <w:color w:val="auto"/>
          <w:highlight w:val="none"/>
        </w:rPr>
      </w:pPr>
      <w:r>
        <w:rPr>
          <w:rFonts w:hint="eastAsia" w:cs="Times New Roman"/>
          <w:color w:val="auto"/>
          <w:highlight w:val="none"/>
        </w:rPr>
        <w:t>5.提供服务中含有危险材料的，在危险材料运抵甲方之前，乙方应获得甲方所在地的环境、卫生、安全部门的书面批准。</w:t>
      </w:r>
    </w:p>
    <w:p w14:paraId="456E0679">
      <w:pPr>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三、质量保障</w:t>
      </w:r>
    </w:p>
    <w:p w14:paraId="2971D296">
      <w:pPr>
        <w:wordWrap/>
        <w:ind w:firstLine="480"/>
        <w:rPr>
          <w:rFonts w:cs="Times New Roman"/>
          <w:color w:val="auto"/>
          <w:highlight w:val="none"/>
        </w:rPr>
      </w:pPr>
      <w:r>
        <w:rPr>
          <w:rFonts w:hint="eastAsia" w:cs="Times New Roman"/>
          <w:color w:val="auto"/>
          <w:highlight w:val="none"/>
        </w:rPr>
        <w:t>乙方保证所提供的服务（含服务中所包含的物品）在正常使用和维护保养的情况下，具有使甲方满意的使用性能和寿命。</w:t>
      </w:r>
    </w:p>
    <w:p w14:paraId="03E91FA3">
      <w:pPr>
        <w:wordWrap/>
        <w:ind w:firstLine="480"/>
        <w:rPr>
          <w:rFonts w:cs="Times New Roman"/>
          <w:color w:val="auto"/>
          <w:highlight w:val="none"/>
        </w:rPr>
      </w:pPr>
      <w:r>
        <w:rPr>
          <w:rFonts w:hint="eastAsia" w:cs="Times New Roman"/>
          <w:color w:val="auto"/>
          <w:highlight w:val="none"/>
        </w:rPr>
        <w:t xml:space="preserve">乙方保证为甲方提供技术先进、质量上乘、外表美观并完全符合规定质量、规格、性能要求的物品。 </w:t>
      </w:r>
    </w:p>
    <w:p w14:paraId="7DDF0046">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四、服务期限与方式</w:t>
      </w:r>
    </w:p>
    <w:p w14:paraId="50BA292F">
      <w:pPr>
        <w:wordWrap/>
        <w:ind w:firstLine="480"/>
        <w:rPr>
          <w:rFonts w:cs="Times New Roman"/>
          <w:color w:val="auto"/>
          <w:highlight w:val="none"/>
        </w:rPr>
      </w:pPr>
      <w:r>
        <w:rPr>
          <w:rFonts w:hint="eastAsia" w:cs="Times New Roman"/>
          <w:color w:val="auto"/>
          <w:highlight w:val="none"/>
        </w:rPr>
        <w:t>1.服务期：合同签订后，平台对接完成开始正式使用后至本项目所涉合同金额全部使用完毕；</w:t>
      </w:r>
    </w:p>
    <w:p w14:paraId="74B800D2">
      <w:pPr>
        <w:wordWrap/>
        <w:ind w:firstLine="480"/>
        <w:rPr>
          <w:rFonts w:cs="Times New Roman"/>
          <w:color w:val="auto"/>
          <w:highlight w:val="none"/>
        </w:rPr>
      </w:pPr>
      <w:r>
        <w:rPr>
          <w:rFonts w:hint="eastAsia" w:cs="Times New Roman"/>
          <w:color w:val="auto"/>
          <w:highlight w:val="none"/>
        </w:rPr>
        <w:t>2.服务方式：乙方按甲方要求提供服务，自甲方通知之日起天之内到达甲方指定地点开展相关工作。</w:t>
      </w:r>
    </w:p>
    <w:p w14:paraId="0078BE6B">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五、验收及售后服务</w:t>
      </w:r>
    </w:p>
    <w:p w14:paraId="34AEBA73">
      <w:pPr>
        <w:wordWrap/>
        <w:ind w:firstLine="480"/>
        <w:rPr>
          <w:rFonts w:cs="Times New Roman"/>
          <w:color w:val="auto"/>
          <w:highlight w:val="none"/>
        </w:rPr>
      </w:pPr>
      <w:r>
        <w:rPr>
          <w:rFonts w:hint="eastAsia" w:cs="Times New Roman"/>
          <w:color w:val="auto"/>
          <w:highlight w:val="none"/>
        </w:rPr>
        <w:t>1.乙方完成服务后，由甲方指定人员对服务结果进行检查验收，双方协定按以下方式进行验收：</w:t>
      </w:r>
    </w:p>
    <w:p w14:paraId="59FA7C7D">
      <w:pPr>
        <w:wordWrap/>
        <w:ind w:firstLine="480"/>
        <w:rPr>
          <w:rFonts w:cs="Times New Roman"/>
          <w:color w:val="auto"/>
          <w:highlight w:val="none"/>
        </w:rPr>
      </w:pPr>
      <w:r>
        <w:rPr>
          <w:rFonts w:hint="eastAsia" w:cs="Times New Roman"/>
          <w:color w:val="auto"/>
          <w:highlight w:val="none"/>
        </w:rPr>
        <w:t>甲方在《协议服务验收单》上签署验收意见，验收单一式一份，由甲方保留，乙方不参与验收并完全信任甲方验收结果；</w:t>
      </w:r>
    </w:p>
    <w:p w14:paraId="42CE6A7C">
      <w:pPr>
        <w:wordWrap/>
        <w:ind w:firstLine="480"/>
        <w:rPr>
          <w:rFonts w:cs="Times New Roman"/>
          <w:color w:val="auto"/>
          <w:highlight w:val="none"/>
        </w:rPr>
      </w:pPr>
      <w:r>
        <w:rPr>
          <w:rFonts w:hint="eastAsia" w:cs="Times New Roman"/>
          <w:color w:val="auto"/>
          <w:highlight w:val="none"/>
        </w:rPr>
        <w:t>甲乙双方在《协议服务验收单》上签署验收意见，验收单一式两份，双方各执一份；</w:t>
      </w:r>
    </w:p>
    <w:p w14:paraId="696C51A6">
      <w:pPr>
        <w:wordWrap/>
        <w:ind w:firstLine="480"/>
        <w:rPr>
          <w:rFonts w:cs="Times New Roman"/>
          <w:color w:val="auto"/>
          <w:highlight w:val="none"/>
        </w:rPr>
      </w:pPr>
      <w:r>
        <w:rPr>
          <w:rFonts w:hint="eastAsia" w:cs="Times New Roman"/>
          <w:color w:val="auto"/>
          <w:highlight w:val="none"/>
        </w:rPr>
        <w:t>乙方委托第三方</w:t>
      </w:r>
      <w:r>
        <w:rPr>
          <w:rFonts w:hint="eastAsia" w:cs="Times New Roman"/>
          <w:color w:val="auto"/>
          <w:highlight w:val="none"/>
          <w:u w:val="single"/>
        </w:rPr>
        <w:t xml:space="preserve">               （</w:t>
      </w:r>
      <w:r>
        <w:rPr>
          <w:rFonts w:hint="eastAsia" w:cs="Times New Roman"/>
          <w:color w:val="auto"/>
          <w:highlight w:val="none"/>
        </w:rPr>
        <w:t>机构）与甲方一起参与验收，甲方与第三方在《协议服务验收单》上签署验收意见，验收单一式两份，双方各执一份。</w:t>
      </w:r>
    </w:p>
    <w:p w14:paraId="2BA9694E">
      <w:pPr>
        <w:wordWrap/>
        <w:ind w:firstLine="480"/>
        <w:rPr>
          <w:rFonts w:cs="Times New Roman"/>
          <w:color w:val="auto"/>
          <w:highlight w:val="none"/>
        </w:rPr>
      </w:pPr>
      <w:r>
        <w:rPr>
          <w:rFonts w:hint="eastAsia" w:cs="Times New Roman"/>
          <w:color w:val="auto"/>
          <w:highlight w:val="none"/>
        </w:rPr>
        <w:t>2.对服务质量有异议的，甲方应在验收时提出；乙方应负责按照甲方的要求对有质量问题部分采取处理措施，并承担由此发生的一切费用和损失。</w:t>
      </w:r>
    </w:p>
    <w:p w14:paraId="652FB01F">
      <w:pPr>
        <w:wordWrap/>
        <w:ind w:firstLine="480"/>
        <w:rPr>
          <w:rFonts w:cs="Times New Roman"/>
          <w:color w:val="auto"/>
          <w:highlight w:val="none"/>
        </w:rPr>
      </w:pPr>
      <w:r>
        <w:rPr>
          <w:rFonts w:hint="eastAsia" w:cs="Times New Roman"/>
          <w:color w:val="auto"/>
          <w:highlight w:val="none"/>
        </w:rPr>
        <w:t>3.甲方在乙方服务完成后，无正当理由而拖延验收或拒绝验收的，应承担由此而造成的乙方直接损失。</w:t>
      </w:r>
    </w:p>
    <w:p w14:paraId="0CAD3531">
      <w:pPr>
        <w:wordWrap/>
        <w:ind w:firstLine="480"/>
        <w:rPr>
          <w:rFonts w:cs="Times New Roman"/>
          <w:color w:val="auto"/>
          <w:highlight w:val="none"/>
        </w:rPr>
      </w:pPr>
      <w:r>
        <w:rPr>
          <w:rFonts w:hint="eastAsia" w:cs="Times New Roman"/>
          <w:color w:val="auto"/>
          <w:highlight w:val="none"/>
        </w:rPr>
        <w:t>4.服务质保期为</w:t>
      </w:r>
      <w:r>
        <w:rPr>
          <w:rFonts w:hint="eastAsia" w:cs="Times New Roman"/>
          <w:color w:val="auto"/>
          <w:highlight w:val="none"/>
          <w:u w:val="single"/>
        </w:rPr>
        <w:t xml:space="preserve">   </w:t>
      </w:r>
      <w:r>
        <w:rPr>
          <w:rFonts w:hint="eastAsia" w:cs="Times New Roman"/>
          <w:color w:val="auto"/>
          <w:highlight w:val="none"/>
        </w:rPr>
        <w:t>个月，在质保期内出现服务质量问题或缺陷的，乙方在接到甲方通知后，应在</w:t>
      </w:r>
      <w:r>
        <w:rPr>
          <w:rFonts w:cs="Times New Roman"/>
          <w:color w:val="auto"/>
          <w:highlight w:val="none"/>
          <w:u w:val="single"/>
        </w:rPr>
        <w:t xml:space="preserve">    </w:t>
      </w:r>
      <w:r>
        <w:rPr>
          <w:rFonts w:hint="eastAsia" w:cs="Times New Roman"/>
          <w:color w:val="auto"/>
          <w:highlight w:val="none"/>
        </w:rPr>
        <w:t>小时内派人到现场处理相关问题；甲方可以以书面形式向乙方提出补救措施或索赔。</w:t>
      </w:r>
    </w:p>
    <w:p w14:paraId="2794B4BE">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六、货款的支付</w:t>
      </w:r>
    </w:p>
    <w:p w14:paraId="1EACCA33">
      <w:pPr>
        <w:ind w:firstLine="480"/>
        <w:rPr>
          <w:rFonts w:cs="Times New Roman"/>
          <w:color w:val="auto"/>
          <w:highlight w:val="none"/>
        </w:rPr>
      </w:pPr>
      <w:r>
        <w:rPr>
          <w:rFonts w:hint="eastAsia" w:cs="Times New Roman"/>
          <w:color w:val="auto"/>
          <w:highlight w:val="none"/>
        </w:rPr>
        <w:t>乙方可选择以下第</w:t>
      </w:r>
      <w:r>
        <w:rPr>
          <w:rFonts w:cs="Times New Roman"/>
          <w:color w:val="auto"/>
          <w:highlight w:val="none"/>
        </w:rPr>
        <w:t>____种付款方式</w:t>
      </w:r>
    </w:p>
    <w:p w14:paraId="54FF0759">
      <w:pPr>
        <w:ind w:firstLine="480"/>
        <w:rPr>
          <w:rFonts w:hint="eastAsia" w:cs="Times New Roman"/>
          <w:color w:val="auto"/>
          <w:highlight w:val="none"/>
        </w:rPr>
      </w:pPr>
      <w:r>
        <w:rPr>
          <w:rFonts w:hint="eastAsia" w:cs="Times New Roman"/>
          <w:color w:val="auto"/>
          <w:highlight w:val="none"/>
        </w:rPr>
        <w:t>（1）合同签订且具备实施条件后7个工作日内，由采购人向中标人支付合同总价的40%作为预付款，服务验收合格后支付尾款。</w:t>
      </w:r>
    </w:p>
    <w:p w14:paraId="51B22F21">
      <w:pPr>
        <w:ind w:firstLine="480"/>
        <w:rPr>
          <w:rFonts w:cs="Times New Roman"/>
          <w:color w:val="auto"/>
          <w:highlight w:val="none"/>
        </w:rPr>
      </w:pPr>
      <w:r>
        <w:rPr>
          <w:rFonts w:hint="eastAsia" w:cs="Times New Roman"/>
          <w:color w:val="auto"/>
          <w:highlight w:val="none"/>
        </w:rPr>
        <w:t>（2）供应商无需预付款，按照服务□到货 ☑验收 □确认□使用后，甲方支付合同总价的</w:t>
      </w:r>
      <w:r>
        <w:rPr>
          <w:rFonts w:hint="eastAsia" w:cs="Times New Roman"/>
          <w:color w:val="auto"/>
          <w:highlight w:val="none"/>
          <w:u w:val="single"/>
        </w:rPr>
        <w:t xml:space="preserve"> 100 </w:t>
      </w:r>
      <w:r>
        <w:rPr>
          <w:rFonts w:hint="eastAsia" w:cs="Times New Roman"/>
          <w:color w:val="auto"/>
          <w:highlight w:val="none"/>
        </w:rPr>
        <w:t>%。</w:t>
      </w:r>
    </w:p>
    <w:p w14:paraId="68D5E8CA">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七、补救措施和索赔</w:t>
      </w:r>
    </w:p>
    <w:p w14:paraId="34141C3D">
      <w:pPr>
        <w:wordWrap/>
        <w:ind w:firstLine="480"/>
        <w:rPr>
          <w:rFonts w:cs="Times New Roman"/>
          <w:color w:val="auto"/>
          <w:highlight w:val="none"/>
        </w:rPr>
      </w:pPr>
      <w:r>
        <w:rPr>
          <w:rFonts w:hint="eastAsia" w:cs="Times New Roman"/>
          <w:color w:val="auto"/>
          <w:highlight w:val="none"/>
        </w:rPr>
        <w:t>1.若因服务（含服务中所包含的物品）造成人身伤害的，乙方承担所有赔偿责任；甲方有权向乙方提出索赔。</w:t>
      </w:r>
    </w:p>
    <w:p w14:paraId="5F27E288">
      <w:pPr>
        <w:wordWrap/>
        <w:ind w:firstLine="480"/>
        <w:rPr>
          <w:rFonts w:cs="Times New Roman"/>
          <w:color w:val="auto"/>
          <w:highlight w:val="none"/>
        </w:rPr>
      </w:pPr>
      <w:r>
        <w:rPr>
          <w:rFonts w:hint="eastAsia" w:cs="Times New Roman"/>
          <w:color w:val="auto"/>
          <w:highlight w:val="none"/>
        </w:rPr>
        <w:t>2.在质量保证期内出现服务质量问题或缺陷的，乙方在约定的时间内未能弥补缺陷，甲方可采取必要的补救措施，但其风险和费用将由乙方承担，甲方根据协议规定对乙方行使的其他权利不受影响。</w:t>
      </w:r>
    </w:p>
    <w:p w14:paraId="3366CD9E">
      <w:pPr>
        <w:wordWrap/>
        <w:ind w:firstLine="480"/>
        <w:rPr>
          <w:rFonts w:cs="Times New Roman"/>
          <w:color w:val="auto"/>
          <w:highlight w:val="none"/>
        </w:rPr>
      </w:pPr>
      <w:r>
        <w:rPr>
          <w:rFonts w:hint="eastAsia" w:cs="Times New Roman"/>
          <w:color w:val="auto"/>
          <w:highlight w:val="none"/>
        </w:rPr>
        <w:t>3.甲方有权从应付款中扣除索赔金额，如不足以弥补甲方损失的，甲方有权进一步要求乙方赔偿。</w:t>
      </w:r>
    </w:p>
    <w:p w14:paraId="4EC2FBFA">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八、违约处理</w:t>
      </w:r>
    </w:p>
    <w:p w14:paraId="33083DD3">
      <w:pPr>
        <w:wordWrap/>
        <w:ind w:firstLine="480"/>
        <w:rPr>
          <w:rFonts w:cs="Times New Roman"/>
          <w:color w:val="auto"/>
          <w:highlight w:val="none"/>
        </w:rPr>
      </w:pPr>
      <w:r>
        <w:rPr>
          <w:rFonts w:hint="eastAsia" w:cs="Times New Roman"/>
          <w:color w:val="auto"/>
          <w:highlight w:val="none"/>
        </w:rPr>
        <w:t>1.乙方应按照规定的时间、地点提供服务。如果乙方可能遇到妨碍按时提供服务的情况时，应及时将拖延的事实、可能拖延的期限和理由通知甲方。甲方在收到乙方通知后，应尽快对情况进行评价，并确定是否同意延期。</w:t>
      </w:r>
    </w:p>
    <w:p w14:paraId="0FA7ECE0">
      <w:pPr>
        <w:wordWrap/>
        <w:ind w:firstLine="480"/>
        <w:rPr>
          <w:rFonts w:cs="Times New Roman"/>
          <w:color w:val="auto"/>
          <w:highlight w:val="none"/>
        </w:rPr>
      </w:pPr>
      <w:r>
        <w:rPr>
          <w:rFonts w:hint="eastAsia" w:cs="Times New Roman"/>
          <w:color w:val="auto"/>
          <w:highlight w:val="none"/>
        </w:rPr>
        <w:t>2.如乙方无正当理由而拖延服务，经协商无效，甲方有权单方面终止协议，乙方需支付第一条中被拖延服务项目协议价格5%的违约赔偿。</w:t>
      </w:r>
    </w:p>
    <w:p w14:paraId="648E89F9">
      <w:pPr>
        <w:wordWrap/>
        <w:ind w:firstLine="480"/>
        <w:rPr>
          <w:rFonts w:cs="Times New Roman"/>
          <w:color w:val="auto"/>
          <w:highlight w:val="none"/>
        </w:rPr>
      </w:pPr>
      <w:bookmarkStart w:id="398" w:name="OLE_LINK15"/>
      <w:r>
        <w:rPr>
          <w:rFonts w:hint="eastAsia" w:cs="Times New Roman"/>
          <w:color w:val="auto"/>
          <w:highlight w:val="none"/>
        </w:rPr>
        <w:t>3.在甲方对乙方违约而采取的任何补救措施不受影响的情况下，甲方可在下列情况下向乙方发出书面通知书，提出终止协议，取消乙方服务商资格，乙方需支付第一条中总协议价格5%的违约赔偿。</w:t>
      </w:r>
    </w:p>
    <w:p w14:paraId="587FCE23">
      <w:pPr>
        <w:wordWrap/>
        <w:ind w:firstLine="480"/>
        <w:rPr>
          <w:rFonts w:cs="Times New Roman"/>
          <w:color w:val="auto"/>
          <w:highlight w:val="none"/>
        </w:rPr>
      </w:pPr>
      <w:r>
        <w:rPr>
          <w:rFonts w:hint="eastAsia" w:cs="Times New Roman"/>
          <w:color w:val="auto"/>
          <w:highlight w:val="none"/>
        </w:rPr>
        <w:t>（1）乙方提供的服务不符合国家规定和协议承诺标准；</w:t>
      </w:r>
    </w:p>
    <w:bookmarkEnd w:id="398"/>
    <w:p w14:paraId="2C3C444B">
      <w:pPr>
        <w:wordWrap/>
        <w:ind w:firstLine="480"/>
        <w:rPr>
          <w:rFonts w:cs="Times New Roman"/>
          <w:color w:val="auto"/>
          <w:highlight w:val="none"/>
        </w:rPr>
      </w:pPr>
      <w:r>
        <w:rPr>
          <w:rFonts w:hint="eastAsia" w:cs="Times New Roman"/>
          <w:color w:val="auto"/>
          <w:highlight w:val="none"/>
        </w:rPr>
        <w:t>（2）乙方无法提供甲方要求的相关资质材料；</w:t>
      </w:r>
    </w:p>
    <w:p w14:paraId="17DB8B59">
      <w:pPr>
        <w:wordWrap/>
        <w:ind w:firstLine="480"/>
        <w:rPr>
          <w:rFonts w:cs="Times New Roman"/>
          <w:color w:val="auto"/>
          <w:highlight w:val="none"/>
        </w:rPr>
      </w:pPr>
      <w:r>
        <w:rPr>
          <w:rFonts w:hint="eastAsia" w:cs="Times New Roman"/>
          <w:color w:val="auto"/>
          <w:highlight w:val="none"/>
        </w:rPr>
        <w:t>（3）违反本协议中规定或承诺的其他情形。</w:t>
      </w:r>
    </w:p>
    <w:p w14:paraId="7FAFC1A4">
      <w:pPr>
        <w:wordWrap/>
        <w:ind w:firstLine="480"/>
        <w:rPr>
          <w:rFonts w:cs="Times New Roman"/>
          <w:color w:val="auto"/>
          <w:highlight w:val="none"/>
        </w:rPr>
      </w:pPr>
      <w:r>
        <w:rPr>
          <w:rFonts w:hint="eastAsia" w:cs="Times New Roman"/>
          <w:color w:val="auto"/>
          <w:highlight w:val="none"/>
        </w:rPr>
        <w:t>在甲方提出终止全部或部分合同的情况下，并不解除乙方对已交付部分服务应负有的质量责任。</w:t>
      </w:r>
    </w:p>
    <w:p w14:paraId="7E4D042E">
      <w:pPr>
        <w:wordWrap/>
        <w:ind w:firstLine="480"/>
        <w:rPr>
          <w:rFonts w:cs="Times New Roman"/>
          <w:color w:val="auto"/>
          <w:highlight w:val="none"/>
        </w:rPr>
      </w:pPr>
      <w:r>
        <w:rPr>
          <w:rFonts w:hint="eastAsia" w:cs="Times New Roman"/>
          <w:color w:val="auto"/>
          <w:highlight w:val="none"/>
        </w:rPr>
        <w:t>4.如果乙方在履行协议过程中有不正当竞争行为，甲方有权解除协议，并按《中华人民共和国反不正当竞争法》之规定由有关部门追究其法律责任。</w:t>
      </w:r>
    </w:p>
    <w:p w14:paraId="099E5FD7">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九、不可抗力</w:t>
      </w:r>
    </w:p>
    <w:p w14:paraId="4D23ED70">
      <w:pPr>
        <w:wordWrap/>
        <w:ind w:firstLine="480"/>
        <w:rPr>
          <w:rFonts w:cs="Times New Roman"/>
          <w:color w:val="auto"/>
          <w:highlight w:val="none"/>
        </w:rPr>
      </w:pPr>
      <w:r>
        <w:rPr>
          <w:rFonts w:hint="eastAsia" w:cs="Times New Roman"/>
          <w:color w:val="auto"/>
          <w:highlight w:val="none"/>
        </w:rPr>
        <w:t>1.如果协议各方因不可抗力而导致协议实施延误或不能履行协议义务，不应该承担误期赔偿或不能履行协议义务的责任。本条所述的“不可抗力”系指那些双方不可预见、不可避免、不可克服的事件，但不包括双方的违约或疏忽。这些事件包括但不限于：战争、严重火灾、洪水、台风、地震、国家政策的重大变化，以及双方商定的其他事件。</w:t>
      </w:r>
    </w:p>
    <w:p w14:paraId="418CDF4B">
      <w:pPr>
        <w:wordWrap/>
        <w:ind w:firstLine="480"/>
        <w:rPr>
          <w:rFonts w:cs="Times New Roman"/>
          <w:color w:val="auto"/>
          <w:highlight w:val="none"/>
        </w:rPr>
      </w:pPr>
      <w:r>
        <w:rPr>
          <w:rFonts w:hint="eastAsia" w:cs="Times New Roman"/>
          <w:color w:val="auto"/>
          <w:highlight w:val="none"/>
        </w:rPr>
        <w:t>2.在不可抗力事件发生后，当事方应尽快以书面形式将不可抗力的情况和原因通知对方。协议各方应尽可能继续履行协议义务，并积极寻求采取合理的措施履行不受不可抗力影响的其他事项。协议双方应通过友好协商在合理的时间内达成进一步履行协议。</w:t>
      </w:r>
    </w:p>
    <w:p w14:paraId="7C3ECB97">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十、争议的解决</w:t>
      </w:r>
    </w:p>
    <w:p w14:paraId="3E61388E">
      <w:pPr>
        <w:wordWrap/>
        <w:ind w:firstLine="480"/>
        <w:rPr>
          <w:rFonts w:cs="Times New Roman"/>
          <w:color w:val="auto"/>
          <w:highlight w:val="none"/>
        </w:rPr>
      </w:pPr>
      <w:r>
        <w:rPr>
          <w:rFonts w:hint="eastAsia" w:cs="Times New Roman"/>
          <w:color w:val="auto"/>
          <w:highlight w:val="none"/>
        </w:rPr>
        <w:t>在执行本协议中发生的与本协议有关的争端，双方应通过友好协商解决，经协商在30天内不能达成协议时，可向原告方所在地的人民法院诉讼解决。</w:t>
      </w:r>
    </w:p>
    <w:p w14:paraId="48224380">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十一、廉政协议</w:t>
      </w:r>
    </w:p>
    <w:p w14:paraId="2F12AC42">
      <w:pPr>
        <w:wordWrap/>
        <w:ind w:firstLine="480"/>
        <w:rPr>
          <w:rFonts w:cs="Times New Roman"/>
          <w:color w:val="auto"/>
          <w:highlight w:val="none"/>
        </w:rPr>
      </w:pPr>
      <w:r>
        <w:rPr>
          <w:rFonts w:hint="eastAsia" w:cs="Times New Roman"/>
          <w:color w:val="auto"/>
          <w:highlight w:val="none"/>
        </w:rPr>
        <w:t>乙方指定本次项目负责人为</w:t>
      </w:r>
      <w:r>
        <w:rPr>
          <w:rFonts w:hint="eastAsia" w:cs="Times New Roman"/>
          <w:color w:val="auto"/>
          <w:highlight w:val="none"/>
          <w:u w:val="single"/>
        </w:rPr>
        <w:t xml:space="preserve">：       </w:t>
      </w:r>
      <w:r>
        <w:rPr>
          <w:rFonts w:hint="eastAsia" w:cs="Times New Roman"/>
          <w:color w:val="auto"/>
          <w:highlight w:val="none"/>
        </w:rPr>
        <w:t>，身份证号</w:t>
      </w:r>
      <w:r>
        <w:rPr>
          <w:rFonts w:hint="eastAsia" w:cs="Times New Roman"/>
          <w:color w:val="auto"/>
          <w:highlight w:val="none"/>
          <w:u w:val="single"/>
        </w:rPr>
        <w:t xml:space="preserve">：                          </w:t>
      </w:r>
      <w:r>
        <w:rPr>
          <w:rFonts w:hint="eastAsia" w:cs="Times New Roman"/>
          <w:color w:val="auto"/>
          <w:highlight w:val="none"/>
        </w:rPr>
        <w:t>；乙方需配合甲方的行风建设和反腐倡廉工作，承诺依法文明经商，自觉遵守国家法律法规，不使用非正当或非法的经营手段，不得实施商业贿赂行为；乙方已清楚实施商业贿赂将会列入当地商业贿赂不良记录并受到国家、省、行业相关法律法规的刑（民）事、行政处罚，本省级区域内公立医疗机构或接受财政资金的医疗卫生机构两年内不得购入其相关服务。</w:t>
      </w:r>
    </w:p>
    <w:p w14:paraId="48B730CB">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十二、保密条款</w:t>
      </w:r>
    </w:p>
    <w:p w14:paraId="57B244CB">
      <w:pPr>
        <w:wordWrap/>
        <w:ind w:firstLine="480"/>
        <w:rPr>
          <w:rFonts w:cs="Times New Roman"/>
          <w:color w:val="auto"/>
          <w:highlight w:val="none"/>
        </w:rPr>
      </w:pPr>
      <w:r>
        <w:rPr>
          <w:rFonts w:hint="eastAsia" w:cs="Times New Roman"/>
          <w:color w:val="auto"/>
          <w:highlight w:val="none"/>
        </w:rPr>
        <w:t>1.任何一方对其获知的本协议涉及的所有有形、无形的信息及资料（包括但不限于甲乙双方的往来书面文字文件、电子邮件及信息、光盘资料等）中另一方的行业秘密或国家秘密负有保密义务。</w:t>
      </w:r>
    </w:p>
    <w:p w14:paraId="2AFE4C3C">
      <w:pPr>
        <w:wordWrap/>
        <w:ind w:firstLine="480"/>
        <w:rPr>
          <w:rFonts w:cs="Times New Roman"/>
          <w:color w:val="auto"/>
          <w:highlight w:val="none"/>
        </w:rPr>
      </w:pPr>
      <w:r>
        <w:rPr>
          <w:rFonts w:hint="eastAsia" w:cs="Times New Roman"/>
          <w:color w:val="auto"/>
          <w:highlight w:val="none"/>
        </w:rPr>
        <w:t>2.除非法律、法规另有规定或得到本协议之另一方的书面许可，任何一方不得向第三人泄露前款规定的行业秘密或国家秘密。保密期限自任何一方获知该行业秘密或国家秘密之日起至本条规定的秘密成为公众信息之日止。</w:t>
      </w:r>
    </w:p>
    <w:p w14:paraId="4DBDC1F6">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十三、破产终止协议</w:t>
      </w:r>
    </w:p>
    <w:p w14:paraId="07FEF83E">
      <w:pPr>
        <w:wordWrap/>
        <w:ind w:firstLine="480"/>
        <w:rPr>
          <w:rFonts w:cs="Times New Roman"/>
          <w:color w:val="auto"/>
          <w:highlight w:val="none"/>
        </w:rPr>
      </w:pPr>
      <w:r>
        <w:rPr>
          <w:rFonts w:hint="eastAsia" w:cs="Times New Roman"/>
          <w:color w:val="auto"/>
          <w:highlight w:val="none"/>
        </w:rPr>
        <w:t>如果乙方丧失履约能力或被宣布破产，甲方可在任何时候以书面形式通知乙方终止协议而不给乙方补偿。该终止协议将不损害或影响甲方已经采取或将要采取任何行动或补救措施的权利。</w:t>
      </w:r>
    </w:p>
    <w:p w14:paraId="30E9011D">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十四、协议的生效</w:t>
      </w:r>
    </w:p>
    <w:p w14:paraId="7FDA581B">
      <w:pPr>
        <w:wordWrap/>
        <w:ind w:firstLine="480"/>
        <w:rPr>
          <w:rFonts w:cs="Times New Roman"/>
          <w:color w:val="auto"/>
          <w:highlight w:val="none"/>
        </w:rPr>
      </w:pPr>
      <w:r>
        <w:rPr>
          <w:rFonts w:hint="eastAsia" w:cs="Times New Roman"/>
          <w:color w:val="auto"/>
          <w:highlight w:val="none"/>
        </w:rPr>
        <w:t>1.下列文件与本协议具有同等法律效力：</w:t>
      </w:r>
    </w:p>
    <w:p w14:paraId="7656ECCD">
      <w:pPr>
        <w:wordWrap/>
        <w:ind w:firstLine="480"/>
        <w:rPr>
          <w:rFonts w:cs="Times New Roman"/>
          <w:color w:val="auto"/>
          <w:highlight w:val="none"/>
        </w:rPr>
      </w:pPr>
      <w:r>
        <w:rPr>
          <w:rFonts w:hint="eastAsia" w:cs="Times New Roman"/>
          <w:color w:val="auto"/>
          <w:highlight w:val="none"/>
        </w:rPr>
        <w:t>（</w:t>
      </w:r>
      <w:r>
        <w:rPr>
          <w:rFonts w:cs="Times New Roman"/>
          <w:color w:val="auto"/>
          <w:highlight w:val="none"/>
        </w:rPr>
        <w:t>1）甲方招标文件；（2）乙方投标文件；</w:t>
      </w:r>
      <w:r>
        <w:rPr>
          <w:rFonts w:hint="eastAsia" w:cs="Times New Roman"/>
          <w:color w:val="auto"/>
          <w:highlight w:val="none"/>
        </w:rPr>
        <w:t>（3）询标纪要。</w:t>
      </w:r>
    </w:p>
    <w:p w14:paraId="1D71A054">
      <w:pPr>
        <w:wordWrap/>
        <w:ind w:firstLine="480"/>
        <w:rPr>
          <w:rFonts w:cs="Times New Roman"/>
          <w:color w:val="auto"/>
          <w:highlight w:val="none"/>
        </w:rPr>
      </w:pPr>
      <w:r>
        <w:rPr>
          <w:rFonts w:hint="eastAsia" w:cs="Times New Roman"/>
          <w:color w:val="auto"/>
          <w:highlight w:val="none"/>
        </w:rPr>
        <w:t>如上述文件与本协议有不符之处，以有利于甲方的为准。</w:t>
      </w:r>
    </w:p>
    <w:p w14:paraId="2DA6DC9E">
      <w:pPr>
        <w:wordWrap/>
        <w:ind w:firstLine="480"/>
        <w:rPr>
          <w:rFonts w:cs="Times New Roman"/>
          <w:color w:val="auto"/>
          <w:highlight w:val="none"/>
        </w:rPr>
      </w:pPr>
      <w:r>
        <w:rPr>
          <w:rFonts w:hint="eastAsia" w:cs="Times New Roman"/>
          <w:color w:val="auto"/>
          <w:highlight w:val="none"/>
        </w:rPr>
        <w:t>2.本协议经双方法定代表人或其委托人签字并加盖双方公章后生效。</w:t>
      </w:r>
    </w:p>
    <w:p w14:paraId="529E2868">
      <w:pPr>
        <w:wordWrap/>
        <w:ind w:firstLine="480"/>
        <w:rPr>
          <w:rFonts w:cs="Times New Roman"/>
          <w:color w:val="auto"/>
          <w:highlight w:val="none"/>
        </w:rPr>
      </w:pPr>
      <w:r>
        <w:rPr>
          <w:rFonts w:hint="eastAsia" w:cs="Times New Roman"/>
          <w:color w:val="auto"/>
          <w:highlight w:val="none"/>
        </w:rPr>
        <w:t>3.本协议一式份，甲方份，乙方份。</w:t>
      </w:r>
    </w:p>
    <w:p w14:paraId="602E84AF">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十五、协议的修改</w:t>
      </w:r>
    </w:p>
    <w:p w14:paraId="5D23653F">
      <w:pPr>
        <w:wordWrap/>
        <w:ind w:firstLine="480"/>
        <w:rPr>
          <w:rFonts w:cs="Times New Roman"/>
          <w:color w:val="auto"/>
          <w:highlight w:val="none"/>
        </w:rPr>
      </w:pPr>
      <w:r>
        <w:rPr>
          <w:rFonts w:hint="eastAsia" w:cs="Times New Roman"/>
          <w:color w:val="auto"/>
          <w:highlight w:val="none"/>
        </w:rPr>
        <w:t>除了双方签署书面修改协议，并成为本协议不可分割的一部分之外，本协议条件不得有任何变化或修改。如一方因故需修改协议，必须提前两个月书面通知另一方，经双方达成一致意见后，方可重新签订。</w:t>
      </w:r>
    </w:p>
    <w:p w14:paraId="2AF6B598">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十六、协议的终止</w:t>
      </w:r>
    </w:p>
    <w:p w14:paraId="14BA7789">
      <w:pPr>
        <w:wordWrap/>
        <w:ind w:firstLine="480"/>
        <w:rPr>
          <w:rFonts w:cs="Times New Roman"/>
          <w:color w:val="auto"/>
          <w:highlight w:val="none"/>
        </w:rPr>
      </w:pPr>
      <w:r>
        <w:rPr>
          <w:rFonts w:hint="eastAsia" w:cs="Times New Roman"/>
          <w:color w:val="auto"/>
          <w:highlight w:val="none"/>
        </w:rPr>
        <w:t>本协议有效期自生效之日至20年月日长期。协议期内任何一方不得擅自终止协议，否则应负担所造成的一切损失。如一方因故需终止协议，必须提前三个月书面通知另一方，经双方达成一致意见后，方可终止。</w:t>
      </w:r>
    </w:p>
    <w:p w14:paraId="000EB3CF">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十七、其他条款</w:t>
      </w:r>
    </w:p>
    <w:p w14:paraId="41936CFF">
      <w:pPr>
        <w:wordWrap/>
        <w:ind w:firstLine="480"/>
        <w:rPr>
          <w:rFonts w:cs="Times New Roman"/>
          <w:color w:val="auto"/>
          <w:highlight w:val="none"/>
        </w:rPr>
      </w:pPr>
      <w:r>
        <w:rPr>
          <w:rFonts w:hint="eastAsia" w:cs="Times New Roman"/>
          <w:color w:val="auto"/>
          <w:highlight w:val="none"/>
        </w:rPr>
        <w:t>对乙方履行协议情况，甲方有权在中心网站或其他媒体上公布相关信息。</w:t>
      </w:r>
    </w:p>
    <w:p w14:paraId="27A048F5">
      <w:pPr>
        <w:widowControl/>
        <w:wordWrap/>
        <w:adjustRightInd w:val="0"/>
        <w:snapToGrid w:val="0"/>
        <w:ind w:firstLine="0" w:firstLineChars="0"/>
        <w:rPr>
          <w:rFonts w:cs="Times New Roman"/>
          <w:b/>
          <w:color w:val="auto"/>
          <w:kern w:val="0"/>
          <w:highlight w:val="none"/>
        </w:rPr>
      </w:pPr>
      <w:r>
        <w:rPr>
          <w:rFonts w:hint="eastAsia" w:cs="Times New Roman"/>
          <w:b/>
          <w:color w:val="auto"/>
          <w:kern w:val="0"/>
          <w:highlight w:val="none"/>
        </w:rPr>
        <w:t>十八、协议附件</w:t>
      </w:r>
    </w:p>
    <w:p w14:paraId="3DD7B099">
      <w:pPr>
        <w:wordWrap/>
        <w:ind w:firstLine="480"/>
        <w:rPr>
          <w:rFonts w:cs="Times New Roman"/>
          <w:color w:val="auto"/>
          <w:highlight w:val="none"/>
        </w:rPr>
      </w:pPr>
      <w:r>
        <w:rPr>
          <w:rFonts w:hint="eastAsia" w:cs="Times New Roman"/>
          <w:color w:val="auto"/>
          <w:highlight w:val="none"/>
        </w:rPr>
        <w:t>附件1：服务内容清单及协议价格（如有）</w:t>
      </w:r>
    </w:p>
    <w:p w14:paraId="3CA29A62">
      <w:pPr>
        <w:wordWrap/>
        <w:ind w:firstLine="0" w:firstLineChars="0"/>
        <w:rPr>
          <w:rFonts w:cs="Times New Roman"/>
          <w:color w:val="auto"/>
          <w:kern w:val="0"/>
          <w:highlight w:val="none"/>
        </w:rPr>
      </w:pPr>
    </w:p>
    <w:p w14:paraId="57A7AC62">
      <w:pPr>
        <w:wordWrap/>
        <w:snapToGrid w:val="0"/>
        <w:ind w:firstLine="544" w:firstLineChars="227"/>
        <w:rPr>
          <w:rFonts w:cs="Times New Roman"/>
          <w:color w:val="auto"/>
          <w:kern w:val="0"/>
          <w:szCs w:val="21"/>
          <w:highlight w:val="none"/>
        </w:rPr>
      </w:pPr>
      <w:r>
        <w:rPr>
          <w:rFonts w:hint="eastAsia" w:cs="Times New Roman"/>
          <w:color w:val="auto"/>
          <w:kern w:val="0"/>
          <w:szCs w:val="21"/>
          <w:highlight w:val="none"/>
        </w:rPr>
        <w:t>甲方（公章）：                            乙方（公章）：</w:t>
      </w:r>
    </w:p>
    <w:p w14:paraId="0D9B9092">
      <w:pPr>
        <w:wordWrap/>
        <w:snapToGrid w:val="0"/>
        <w:ind w:firstLine="544" w:firstLineChars="227"/>
        <w:rPr>
          <w:rFonts w:cs="Times New Roman"/>
          <w:color w:val="auto"/>
          <w:szCs w:val="21"/>
          <w:highlight w:val="none"/>
        </w:rPr>
      </w:pPr>
    </w:p>
    <w:p w14:paraId="4288AF56">
      <w:pPr>
        <w:widowControl/>
        <w:wordWrap/>
        <w:snapToGrid w:val="0"/>
        <w:ind w:firstLine="544" w:firstLineChars="227"/>
        <w:rPr>
          <w:rFonts w:cs="Times New Roman"/>
          <w:color w:val="auto"/>
          <w:kern w:val="0"/>
          <w:szCs w:val="21"/>
          <w:highlight w:val="none"/>
        </w:rPr>
      </w:pPr>
      <w:r>
        <w:rPr>
          <w:rFonts w:hint="eastAsia" w:cs="Times New Roman"/>
          <w:color w:val="auto"/>
          <w:kern w:val="0"/>
          <w:szCs w:val="21"/>
          <w:highlight w:val="none"/>
        </w:rPr>
        <w:t>法定代表人或受委托人：                    法定代表人或受委托人：</w:t>
      </w:r>
    </w:p>
    <w:p w14:paraId="04C8BAB1">
      <w:pPr>
        <w:widowControl/>
        <w:wordWrap/>
        <w:snapToGrid w:val="0"/>
        <w:ind w:firstLine="544" w:firstLineChars="227"/>
        <w:rPr>
          <w:rFonts w:cs="Times New Roman"/>
          <w:color w:val="auto"/>
          <w:kern w:val="0"/>
          <w:szCs w:val="21"/>
          <w:highlight w:val="none"/>
        </w:rPr>
      </w:pPr>
      <w:r>
        <w:rPr>
          <w:rFonts w:hint="eastAsia" w:cs="Times New Roman"/>
          <w:color w:val="auto"/>
          <w:kern w:val="0"/>
          <w:szCs w:val="21"/>
          <w:highlight w:val="none"/>
        </w:rPr>
        <w:t xml:space="preserve">      （签字）                                  （签字）</w:t>
      </w:r>
    </w:p>
    <w:p w14:paraId="09E3BB82">
      <w:pPr>
        <w:widowControl/>
        <w:wordWrap/>
        <w:snapToGrid w:val="0"/>
        <w:ind w:firstLine="544" w:firstLineChars="227"/>
        <w:rPr>
          <w:rFonts w:cs="Times New Roman"/>
          <w:color w:val="auto"/>
          <w:kern w:val="0"/>
          <w:szCs w:val="21"/>
          <w:highlight w:val="none"/>
        </w:rPr>
      </w:pPr>
    </w:p>
    <w:p w14:paraId="2A55C670">
      <w:pPr>
        <w:wordWrap/>
        <w:ind w:firstLine="480"/>
        <w:rPr>
          <w:rFonts w:cs="Times New Roman"/>
          <w:color w:val="auto"/>
          <w:kern w:val="0"/>
          <w:highlight w:val="none"/>
        </w:rPr>
      </w:pPr>
      <w:r>
        <w:rPr>
          <w:rFonts w:hint="eastAsia" w:cs="Times New Roman"/>
          <w:color w:val="auto"/>
          <w:kern w:val="0"/>
          <w:highlight w:val="none"/>
        </w:rPr>
        <w:t xml:space="preserve">地址：建业路789号                         地址： </w:t>
      </w:r>
    </w:p>
    <w:p w14:paraId="056C61FA">
      <w:pPr>
        <w:wordWrap/>
        <w:ind w:firstLine="480"/>
        <w:rPr>
          <w:rFonts w:cs="Times New Roman"/>
          <w:color w:val="auto"/>
          <w:kern w:val="0"/>
          <w:highlight w:val="none"/>
        </w:rPr>
      </w:pPr>
      <w:r>
        <w:rPr>
          <w:rFonts w:hint="eastAsia" w:cs="Times New Roman"/>
          <w:color w:val="auto"/>
          <w:kern w:val="0"/>
          <w:highlight w:val="none"/>
        </w:rPr>
        <w:t>邮编：310052                               邮编：</w:t>
      </w:r>
    </w:p>
    <w:p w14:paraId="110C3BDA">
      <w:pPr>
        <w:wordWrap/>
        <w:ind w:firstLine="480"/>
        <w:rPr>
          <w:rFonts w:cs="Times New Roman"/>
          <w:color w:val="auto"/>
          <w:kern w:val="0"/>
          <w:highlight w:val="none"/>
        </w:rPr>
      </w:pPr>
      <w:r>
        <w:rPr>
          <w:rFonts w:hint="eastAsia" w:cs="Times New Roman"/>
          <w:color w:val="auto"/>
          <w:kern w:val="0"/>
          <w:highlight w:val="none"/>
        </w:rPr>
        <w:t>电话：0571-                                电话：</w:t>
      </w:r>
    </w:p>
    <w:p w14:paraId="7F01EAC9">
      <w:pPr>
        <w:wordWrap/>
        <w:ind w:firstLine="480"/>
        <w:rPr>
          <w:rFonts w:cs="Times New Roman"/>
          <w:color w:val="auto"/>
          <w:kern w:val="0"/>
          <w:highlight w:val="none"/>
        </w:rPr>
      </w:pPr>
      <w:r>
        <w:rPr>
          <w:rFonts w:hint="eastAsia" w:cs="Times New Roman"/>
          <w:color w:val="auto"/>
          <w:kern w:val="0"/>
          <w:highlight w:val="none"/>
        </w:rPr>
        <w:t>传真：0571-                                传真：</w:t>
      </w:r>
    </w:p>
    <w:p w14:paraId="06B5A742">
      <w:pPr>
        <w:wordWrap/>
        <w:ind w:firstLine="480"/>
        <w:rPr>
          <w:rFonts w:cs="Times New Roman"/>
          <w:color w:val="auto"/>
          <w:kern w:val="0"/>
          <w:highlight w:val="none"/>
        </w:rPr>
      </w:pPr>
      <w:r>
        <w:rPr>
          <w:rFonts w:hint="eastAsia" w:cs="Times New Roman"/>
          <w:color w:val="auto"/>
          <w:kern w:val="0"/>
          <w:highlight w:val="none"/>
        </w:rPr>
        <w:t>税号：123300004700518731                   税号：</w:t>
      </w:r>
    </w:p>
    <w:p w14:paraId="659301E6">
      <w:pPr>
        <w:wordWrap/>
        <w:ind w:firstLine="480"/>
        <w:rPr>
          <w:rFonts w:cs="Times New Roman"/>
          <w:color w:val="auto"/>
          <w:kern w:val="0"/>
          <w:highlight w:val="none"/>
        </w:rPr>
      </w:pPr>
      <w:r>
        <w:rPr>
          <w:rFonts w:hint="eastAsia" w:cs="Times New Roman"/>
          <w:color w:val="auto"/>
          <w:kern w:val="0"/>
          <w:highlight w:val="none"/>
        </w:rPr>
        <w:t>开户行：浦发银行文晖支行                   开户行：</w:t>
      </w:r>
    </w:p>
    <w:p w14:paraId="6210DEE7">
      <w:pPr>
        <w:wordWrap/>
        <w:ind w:firstLine="480"/>
        <w:rPr>
          <w:rFonts w:cs="Times New Roman"/>
          <w:color w:val="auto"/>
          <w:kern w:val="0"/>
          <w:highlight w:val="none"/>
        </w:rPr>
      </w:pPr>
      <w:r>
        <w:rPr>
          <w:rFonts w:hint="eastAsia" w:cs="Times New Roman"/>
          <w:color w:val="auto"/>
          <w:kern w:val="0"/>
          <w:highlight w:val="none"/>
        </w:rPr>
        <w:t>账号：9514 0154 8000 0014 8                账号：</w:t>
      </w:r>
    </w:p>
    <w:p w14:paraId="44327E49">
      <w:pPr>
        <w:widowControl/>
        <w:wordWrap/>
        <w:snapToGrid w:val="0"/>
        <w:ind w:firstLine="544" w:firstLineChars="227"/>
        <w:rPr>
          <w:rFonts w:cs="Times New Roman"/>
          <w:color w:val="auto"/>
          <w:kern w:val="0"/>
          <w:szCs w:val="21"/>
          <w:highlight w:val="none"/>
        </w:rPr>
      </w:pPr>
      <w:r>
        <w:rPr>
          <w:rFonts w:hint="eastAsia" w:cs="Times New Roman"/>
          <w:color w:val="auto"/>
          <w:kern w:val="0"/>
          <w:szCs w:val="21"/>
          <w:highlight w:val="none"/>
          <w:lang w:eastAsia="zh-CN"/>
        </w:rPr>
        <w:t>2024</w:t>
      </w:r>
      <w:r>
        <w:rPr>
          <w:rFonts w:hint="eastAsia" w:cs="Times New Roman"/>
          <w:color w:val="auto"/>
          <w:kern w:val="0"/>
          <w:szCs w:val="21"/>
          <w:highlight w:val="none"/>
        </w:rPr>
        <w:t>年   月    日</w:t>
      </w:r>
    </w:p>
    <w:p w14:paraId="20B1EE85">
      <w:pPr>
        <w:ind w:firstLine="480"/>
        <w:rPr>
          <w:rFonts w:cs="Times New Roman"/>
          <w:color w:val="auto"/>
          <w:highlight w:val="none"/>
        </w:rPr>
      </w:pPr>
      <w:r>
        <w:rPr>
          <w:rFonts w:cs="Times New Roman"/>
          <w:color w:val="auto"/>
          <w:highlight w:val="none"/>
        </w:rPr>
        <w:br w:type="page"/>
      </w:r>
    </w:p>
    <w:p w14:paraId="051FB3B3">
      <w:pPr>
        <w:ind w:firstLine="480"/>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浙江省血液中心</w:t>
      </w:r>
      <w:r>
        <w:rPr>
          <w:rFonts w:hint="eastAsia" w:ascii="方正小标宋简体" w:hAnsi="方正小标宋简体" w:eastAsia="方正小标宋简体" w:cs="方正小标宋简体"/>
          <w:color w:val="auto"/>
          <w:sz w:val="36"/>
          <w:szCs w:val="36"/>
          <w:highlight w:val="none"/>
        </w:rPr>
        <w:t>廉洁购销合同</w:t>
      </w:r>
    </w:p>
    <w:p w14:paraId="237BE13C">
      <w:pPr>
        <w:ind w:firstLine="560" w:firstLineChars="200"/>
        <w:jc w:val="center"/>
        <w:rPr>
          <w:rFonts w:hint="eastAsia" w:ascii="宋体" w:hAnsi="宋体" w:eastAsia="宋体" w:cs="宋体"/>
          <w:color w:val="auto"/>
          <w:sz w:val="24"/>
          <w:szCs w:val="24"/>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合同编号：</w:t>
      </w:r>
    </w:p>
    <w:p w14:paraId="15E3135D">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：浙江省血液中心</w:t>
      </w:r>
    </w:p>
    <w:p w14:paraId="3590120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2CCCA02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为进一步加强医疗卫生行风建设，规范医疗卫生机构购销行为，有效防范商业贿赂行为，营造公平交易、诚实守信的购销环境，经甲、乙双方协商，同意签订本合同，并共同遵守：</w:t>
      </w:r>
    </w:p>
    <w:p w14:paraId="6AE1E929">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甲乙双方按照《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相关法律规范要求，认真履行购销合同及其附属条款，自觉遵守医疗卫生行风建设 “</w:t>
      </w:r>
      <w:r>
        <w:rPr>
          <w:rFonts w:hint="eastAsia" w:ascii="宋体" w:hAnsi="宋体" w:eastAsia="宋体" w:cs="宋体"/>
          <w:color w:val="auto"/>
          <w:sz w:val="24"/>
          <w:szCs w:val="24"/>
          <w:highlight w:val="none"/>
          <w:lang w:eastAsia="zh-CN"/>
        </w:rPr>
        <w:t>九项准则</w:t>
      </w:r>
      <w:r>
        <w:rPr>
          <w:rFonts w:hint="eastAsia" w:ascii="宋体" w:hAnsi="宋体" w:eastAsia="宋体" w:cs="宋体"/>
          <w:color w:val="auto"/>
          <w:sz w:val="24"/>
          <w:szCs w:val="24"/>
          <w:highlight w:val="none"/>
        </w:rPr>
        <w:t>”的各项规定。</w:t>
      </w:r>
    </w:p>
    <w:p w14:paraId="782C2F57">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甲方应当严格执行产品购销合同验收、入库制度，对采购产品及发票进行查验，不得违反有关规定合同外采购、违价采购或从非规定渠道采购</w:t>
      </w:r>
      <w:r>
        <w:rPr>
          <w:rFonts w:hint="eastAsia" w:ascii="宋体" w:hAnsi="宋体" w:eastAsia="宋体" w:cs="宋体"/>
          <w:color w:val="auto"/>
          <w:sz w:val="24"/>
          <w:szCs w:val="24"/>
          <w:highlight w:val="none"/>
          <w:lang w:eastAsia="zh-CN"/>
        </w:rPr>
        <w:t>。</w:t>
      </w:r>
    </w:p>
    <w:p w14:paraId="6B16A229">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纪检监察部门反映情况</w:t>
      </w:r>
      <w:r>
        <w:rPr>
          <w:rFonts w:hint="eastAsia" w:ascii="宋体" w:hAnsi="宋体" w:eastAsia="宋体" w:cs="宋体"/>
          <w:color w:val="auto"/>
          <w:sz w:val="24"/>
          <w:szCs w:val="24"/>
          <w:highlight w:val="none"/>
          <w:lang w:eastAsia="zh-CN"/>
        </w:rPr>
        <w:t>。</w:t>
      </w:r>
    </w:p>
    <w:p w14:paraId="38A0455F">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乙方不得以回扣、宴请等方式影响甲方工作人员采购或使用产品的选择权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不得在学术活动中提供旅游、超标准支付食宿费用</w:t>
      </w:r>
      <w:r>
        <w:rPr>
          <w:rFonts w:hint="eastAsia" w:ascii="宋体" w:hAnsi="宋体" w:eastAsia="宋体" w:cs="宋体"/>
          <w:color w:val="auto"/>
          <w:sz w:val="24"/>
          <w:szCs w:val="24"/>
          <w:highlight w:val="none"/>
          <w:lang w:eastAsia="zh-CN"/>
        </w:rPr>
        <w:t>。</w:t>
      </w:r>
    </w:p>
    <w:p w14:paraId="2A701812">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乙方指定</w:t>
      </w:r>
      <w:r>
        <w:rPr>
          <w:rFonts w:hint="eastAsia" w:ascii="宋体" w:hAnsi="宋体" w:eastAsia="宋体" w:cs="宋体"/>
          <w:color w:val="auto"/>
          <w:sz w:val="24"/>
          <w:szCs w:val="24"/>
          <w:highlight w:val="none"/>
          <w:lang w:eastAsia="zh-CN"/>
        </w:rPr>
        <w:t>（姓名）</w:t>
      </w:r>
      <w:r>
        <w:rPr>
          <w:rFonts w:hint="eastAsia" w:ascii="宋体" w:hAnsi="宋体" w:eastAsia="宋体" w:cs="宋体"/>
          <w:color w:val="auto"/>
          <w:sz w:val="24"/>
          <w:szCs w:val="24"/>
          <w:highlight w:val="none"/>
          <w:lang w:val="en-US" w:eastAsia="zh-CN"/>
        </w:rPr>
        <w:t>_____，（身份证号码）______</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rPr>
        <w:t>必须在工作时间到甲方指定地点联系</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，不得到</w:t>
      </w:r>
      <w:r>
        <w:rPr>
          <w:rFonts w:hint="eastAsia" w:ascii="宋体" w:hAnsi="宋体" w:eastAsia="宋体" w:cs="宋体"/>
          <w:color w:val="auto"/>
          <w:sz w:val="24"/>
          <w:szCs w:val="24"/>
          <w:highlight w:val="none"/>
          <w:lang w:eastAsia="zh-CN"/>
        </w:rPr>
        <w:t>中心业务场所</w:t>
      </w:r>
      <w:r>
        <w:rPr>
          <w:rFonts w:hint="eastAsia" w:ascii="宋体" w:hAnsi="宋体" w:eastAsia="宋体" w:cs="宋体"/>
          <w:color w:val="auto"/>
          <w:sz w:val="24"/>
          <w:szCs w:val="24"/>
          <w:highlight w:val="none"/>
        </w:rPr>
        <w:t>推销产品，不得借故到甲方相关领导、部门负责人及相关工作人员家中访谈并提供任何好处费。</w:t>
      </w:r>
    </w:p>
    <w:p w14:paraId="7483AB30">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乙方如违反本合同，一经发现，甲方有权终止购销合同，并向有关卫生</w:t>
      </w:r>
      <w:r>
        <w:rPr>
          <w:rFonts w:hint="eastAsia" w:ascii="宋体" w:hAnsi="宋体" w:eastAsia="宋体" w:cs="宋体"/>
          <w:color w:val="auto"/>
          <w:sz w:val="24"/>
          <w:szCs w:val="24"/>
          <w:highlight w:val="none"/>
          <w:lang w:eastAsia="zh-CN"/>
        </w:rPr>
        <w:t>健康</w:t>
      </w:r>
      <w:r>
        <w:rPr>
          <w:rFonts w:hint="eastAsia" w:ascii="宋体" w:hAnsi="宋体" w:eastAsia="宋体" w:cs="宋体"/>
          <w:color w:val="auto"/>
          <w:sz w:val="24"/>
          <w:szCs w:val="24"/>
          <w:highlight w:val="none"/>
        </w:rPr>
        <w:t>行政部门报告。</w:t>
      </w:r>
    </w:p>
    <w:p w14:paraId="39DB642A">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乙方承诺，未被列入严重违法失信企业名单（以“国家企业信息信用公示系统”查询为准）。如乙方被列入严重违法失信企业名单，一经发现，</w:t>
      </w:r>
      <w:r>
        <w:rPr>
          <w:rFonts w:hint="eastAsia" w:ascii="宋体" w:hAnsi="宋体" w:eastAsia="宋体" w:cs="宋体"/>
          <w:color w:val="auto"/>
          <w:sz w:val="24"/>
          <w:szCs w:val="24"/>
          <w:highlight w:val="none"/>
        </w:rPr>
        <w:t>甲方有权终止购销合同</w:t>
      </w:r>
      <w:r>
        <w:rPr>
          <w:rFonts w:hint="eastAsia" w:ascii="宋体" w:hAnsi="宋体" w:eastAsia="宋体" w:cs="宋体"/>
          <w:color w:val="auto"/>
          <w:sz w:val="24"/>
          <w:szCs w:val="24"/>
          <w:highlight w:val="none"/>
          <w:lang w:eastAsia="zh-CN"/>
        </w:rPr>
        <w:t>。</w:t>
      </w:r>
    </w:p>
    <w:p w14:paraId="5221ED84">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本合同作为产品购销合同的重要组成部分，与购销合同一并执行，具有同等的法律效力</w:t>
      </w:r>
      <w:r>
        <w:rPr>
          <w:rFonts w:hint="eastAsia" w:ascii="宋体" w:hAnsi="宋体" w:eastAsia="宋体" w:cs="宋体"/>
          <w:color w:val="auto"/>
          <w:sz w:val="24"/>
          <w:szCs w:val="24"/>
          <w:highlight w:val="none"/>
          <w:lang w:eastAsia="zh-CN"/>
        </w:rPr>
        <w:t>。</w:t>
      </w:r>
    </w:p>
    <w:p w14:paraId="44F2D99A">
      <w:pPr>
        <w:numPr>
          <w:ilvl w:val="0"/>
          <w:numId w:val="4"/>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份，甲、乙双方各执一份，并从签订之日起生效。</w:t>
      </w:r>
    </w:p>
    <w:p w14:paraId="216E4DBA">
      <w:pPr>
        <w:rPr>
          <w:rFonts w:hint="eastAsia" w:ascii="宋体" w:hAnsi="宋体" w:eastAsia="宋体" w:cs="宋体"/>
          <w:color w:val="auto"/>
          <w:sz w:val="24"/>
          <w:szCs w:val="24"/>
          <w:highlight w:val="none"/>
        </w:rPr>
      </w:pPr>
    </w:p>
    <w:p w14:paraId="7534E3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7D7509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法定代表人(负责人)：</w:t>
      </w:r>
    </w:p>
    <w:p w14:paraId="41D13F9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经办人签名：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经办人签名</w:t>
      </w:r>
      <w:r>
        <w:rPr>
          <w:rFonts w:hint="eastAsia" w:ascii="宋体" w:hAnsi="宋体" w:eastAsia="宋体" w:cs="宋体"/>
          <w:color w:val="auto"/>
          <w:sz w:val="24"/>
          <w:szCs w:val="24"/>
          <w:highlight w:val="none"/>
          <w:lang w:eastAsia="zh-CN"/>
        </w:rPr>
        <w:t>：</w:t>
      </w:r>
    </w:p>
    <w:p w14:paraId="02EE85F8">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月   </w:t>
      </w:r>
      <w:r>
        <w:rPr>
          <w:rFonts w:hint="eastAsia" w:ascii="宋体" w:hAnsi="宋体" w:eastAsia="宋体" w:cs="宋体"/>
          <w:color w:val="auto"/>
          <w:sz w:val="24"/>
          <w:szCs w:val="24"/>
          <w:highlight w:val="none"/>
        </w:rPr>
        <w:t>日</w:t>
      </w:r>
    </w:p>
    <w:p w14:paraId="737D6BC7">
      <w:pPr>
        <w:wordWrap/>
        <w:ind w:firstLine="480"/>
        <w:rPr>
          <w:rFonts w:hint="eastAsia" w:ascii="宋体" w:hAnsi="宋体" w:eastAsia="宋体" w:cs="宋体"/>
          <w:color w:val="auto"/>
          <w:highlight w:val="none"/>
        </w:rPr>
      </w:pPr>
      <w:r>
        <w:rPr>
          <w:rFonts w:hint="eastAsia" w:ascii="宋体" w:hAnsi="宋体" w:eastAsia="宋体" w:cs="宋体"/>
          <w:color w:val="auto"/>
          <w:highlight w:val="none"/>
        </w:rPr>
        <w:t>经办人签名：                         经办人签名：</w:t>
      </w:r>
    </w:p>
    <w:p w14:paraId="718868C3">
      <w:pPr>
        <w:wordWrap/>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2024</w:t>
      </w:r>
      <w:r>
        <w:rPr>
          <w:rFonts w:hint="eastAsia" w:ascii="宋体" w:hAnsi="宋体" w:eastAsia="宋体" w:cs="宋体"/>
          <w:color w:val="auto"/>
          <w:highlight w:val="none"/>
        </w:rPr>
        <w:t>年   月   日                        年   月   日</w:t>
      </w:r>
    </w:p>
    <w:p w14:paraId="1B68636B">
      <w:pPr>
        <w:rPr>
          <w:rFonts w:hint="eastAsia" w:ascii="宋体" w:hAnsi="宋体" w:eastAsia="宋体" w:cs="宋体"/>
          <w:color w:val="auto"/>
          <w:highlight w:val="none"/>
        </w:rPr>
      </w:pPr>
    </w:p>
    <w:p w14:paraId="228C709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647DDC5">
      <w:pPr>
        <w:pStyle w:val="2"/>
        <w:bidi w:val="0"/>
        <w:rPr>
          <w:color w:val="auto"/>
          <w:highlight w:val="none"/>
        </w:rPr>
      </w:pPr>
      <w:r>
        <w:rPr>
          <w:rFonts w:hint="eastAsia"/>
          <w:color w:val="auto"/>
          <w:highlight w:val="none"/>
        </w:rPr>
        <w:t>第六部分</w:t>
      </w:r>
      <w:bookmarkEnd w:id="396"/>
      <w:r>
        <w:rPr>
          <w:rFonts w:hint="eastAsia"/>
          <w:color w:val="auto"/>
          <w:highlight w:val="none"/>
        </w:rPr>
        <w:t xml:space="preserve"> </w:t>
      </w:r>
      <w:bookmarkEnd w:id="397"/>
      <w:r>
        <w:rPr>
          <w:rFonts w:hint="eastAsia"/>
          <w:color w:val="auto"/>
          <w:highlight w:val="none"/>
        </w:rPr>
        <w:t>应提交的有关格式范例</w:t>
      </w:r>
    </w:p>
    <w:p w14:paraId="14F4755B">
      <w:pPr>
        <w:rPr>
          <w:color w:val="auto"/>
          <w:highlight w:val="none"/>
        </w:rPr>
      </w:pPr>
    </w:p>
    <w:p w14:paraId="69D47A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C61748">
      <w:pPr>
        <w:jc w:val="center"/>
        <w:rPr>
          <w:b/>
          <w:bCs/>
          <w:color w:val="auto"/>
          <w:sz w:val="32"/>
          <w:szCs w:val="32"/>
          <w:highlight w:val="none"/>
        </w:rPr>
      </w:pPr>
      <w:r>
        <w:rPr>
          <w:rFonts w:hint="eastAsia"/>
          <w:b/>
          <w:bCs/>
          <w:color w:val="auto"/>
          <w:sz w:val="32"/>
          <w:szCs w:val="32"/>
          <w:highlight w:val="none"/>
        </w:rPr>
        <w:t>目录</w:t>
      </w:r>
    </w:p>
    <w:p w14:paraId="5DAA632D">
      <w:pPr>
        <w:rPr>
          <w:color w:val="auto"/>
          <w:highlight w:val="none"/>
        </w:rPr>
      </w:pPr>
    </w:p>
    <w:p w14:paraId="4D705B8D">
      <w:pPr>
        <w:rPr>
          <w:color w:val="auto"/>
          <w:sz w:val="28"/>
          <w:szCs w:val="28"/>
          <w:highlight w:val="none"/>
        </w:rPr>
      </w:pPr>
      <w:r>
        <w:rPr>
          <w:rFonts w:hint="eastAsia"/>
          <w:color w:val="auto"/>
          <w:sz w:val="28"/>
          <w:szCs w:val="28"/>
          <w:highlight w:val="none"/>
        </w:rPr>
        <w:t>（1）符合参加政府采购活动应当具备的一般条件的承诺函…………（页码）</w:t>
      </w:r>
    </w:p>
    <w:p w14:paraId="63F462C1">
      <w:pPr>
        <w:rPr>
          <w:color w:val="auto"/>
          <w:sz w:val="28"/>
          <w:szCs w:val="28"/>
          <w:highlight w:val="none"/>
        </w:rPr>
      </w:pPr>
      <w:r>
        <w:rPr>
          <w:rFonts w:hint="eastAsia"/>
          <w:color w:val="auto"/>
          <w:sz w:val="28"/>
          <w:szCs w:val="28"/>
          <w:highlight w:val="none"/>
        </w:rPr>
        <w:t>（2）联合协议</w:t>
      </w:r>
      <w:r>
        <w:rPr>
          <w:rFonts w:hint="eastAsia"/>
          <w:color w:val="auto"/>
          <w:sz w:val="28"/>
          <w:szCs w:val="28"/>
          <w:highlight w:val="none"/>
          <w:lang w:val="en-US" w:eastAsia="zh-CN"/>
        </w:rPr>
        <w:t>（如有）</w:t>
      </w:r>
      <w:r>
        <w:rPr>
          <w:rFonts w:hint="eastAsia"/>
          <w:color w:val="auto"/>
          <w:sz w:val="28"/>
          <w:szCs w:val="28"/>
          <w:highlight w:val="none"/>
        </w:rPr>
        <w:t>…………………………………………………（页码）</w:t>
      </w:r>
    </w:p>
    <w:p w14:paraId="0616C801">
      <w:pPr>
        <w:rPr>
          <w:color w:val="auto"/>
          <w:sz w:val="28"/>
          <w:szCs w:val="28"/>
          <w:highlight w:val="none"/>
        </w:rPr>
      </w:pPr>
      <w:r>
        <w:rPr>
          <w:rFonts w:hint="eastAsia"/>
          <w:color w:val="auto"/>
          <w:sz w:val="28"/>
          <w:szCs w:val="28"/>
          <w:highlight w:val="none"/>
        </w:rPr>
        <w:t>（</w:t>
      </w:r>
      <w:r>
        <w:rPr>
          <w:color w:val="auto"/>
          <w:sz w:val="28"/>
          <w:szCs w:val="28"/>
          <w:highlight w:val="none"/>
        </w:rPr>
        <w:t>3</w:t>
      </w:r>
      <w:r>
        <w:rPr>
          <w:rFonts w:hint="eastAsia"/>
          <w:color w:val="auto"/>
          <w:sz w:val="28"/>
          <w:szCs w:val="28"/>
          <w:highlight w:val="none"/>
        </w:rPr>
        <w:t>）落实政府采购政策需满足的资格要求……………………………（页码）</w:t>
      </w:r>
    </w:p>
    <w:p w14:paraId="7B171CC9">
      <w:pPr>
        <w:rPr>
          <w:color w:val="auto"/>
          <w:sz w:val="28"/>
          <w:szCs w:val="28"/>
          <w:highlight w:val="none"/>
        </w:rPr>
      </w:pPr>
      <w:r>
        <w:rPr>
          <w:rFonts w:hint="eastAsia"/>
          <w:color w:val="auto"/>
          <w:sz w:val="28"/>
          <w:szCs w:val="28"/>
          <w:highlight w:val="none"/>
        </w:rPr>
        <w:t>（</w:t>
      </w:r>
      <w:r>
        <w:rPr>
          <w:color w:val="auto"/>
          <w:sz w:val="28"/>
          <w:szCs w:val="28"/>
          <w:highlight w:val="none"/>
        </w:rPr>
        <w:t>4</w:t>
      </w:r>
      <w:r>
        <w:rPr>
          <w:rFonts w:hint="eastAsia"/>
          <w:color w:val="auto"/>
          <w:sz w:val="28"/>
          <w:szCs w:val="28"/>
          <w:highlight w:val="none"/>
        </w:rPr>
        <w:t>）本项目的特定资格要求……………………………………………（页码）</w:t>
      </w:r>
    </w:p>
    <w:p w14:paraId="6ECC8302">
      <w:pPr>
        <w:snapToGrid w:val="0"/>
        <w:spacing w:line="360" w:lineRule="auto"/>
        <w:ind w:firstLine="480" w:firstLineChars="200"/>
        <w:rPr>
          <w:rFonts w:ascii="宋体" w:hAnsi="宋体" w:cs="宋体"/>
          <w:color w:val="auto"/>
          <w:sz w:val="24"/>
          <w:highlight w:val="none"/>
        </w:rPr>
      </w:pPr>
    </w:p>
    <w:p w14:paraId="0AE13EC2">
      <w:pPr>
        <w:spacing w:line="360" w:lineRule="auto"/>
        <w:ind w:firstLine="480" w:firstLineChars="200"/>
        <w:rPr>
          <w:rFonts w:ascii="宋体" w:hAnsi="宋体" w:cs="宋体"/>
          <w:color w:val="auto"/>
          <w:sz w:val="24"/>
          <w:highlight w:val="none"/>
        </w:rPr>
      </w:pPr>
    </w:p>
    <w:p w14:paraId="4DAC2374">
      <w:pPr>
        <w:pStyle w:val="4"/>
        <w:bidi w:val="0"/>
        <w:rPr>
          <w:rStyle w:val="964"/>
          <w:b/>
          <w:bCs/>
          <w:color w:val="auto"/>
          <w:highlight w:val="none"/>
        </w:rPr>
      </w:pPr>
      <w:r>
        <w:rPr>
          <w:rFonts w:hint="eastAsia" w:ascii="宋体" w:hAnsi="宋体" w:cs="宋体"/>
          <w:color w:val="auto"/>
          <w:kern w:val="0"/>
          <w:sz w:val="24"/>
          <w:highlight w:val="none"/>
        </w:rPr>
        <w:br w:type="page"/>
      </w:r>
      <w:r>
        <w:rPr>
          <w:rStyle w:val="964"/>
          <w:rFonts w:hint="eastAsia"/>
          <w:b/>
          <w:bCs/>
          <w:color w:val="auto"/>
          <w:highlight w:val="none"/>
        </w:rPr>
        <w:t>一、符合参加政府采购活动应当具备的一般条件的承诺函</w:t>
      </w:r>
    </w:p>
    <w:p w14:paraId="6FBA28F5">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14:paraId="5EAE8C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我方参与</w:t>
      </w:r>
      <w:r>
        <w:rPr>
          <w:rFonts w:hint="eastAsia" w:cs="宋体"/>
          <w:color w:val="auto"/>
          <w:sz w:val="24"/>
          <w:highlight w:val="none"/>
          <w:lang w:val="en-US" w:eastAsia="zh-CN"/>
        </w:rPr>
        <w:t>_________</w:t>
      </w:r>
      <w:r>
        <w:rPr>
          <w:rFonts w:hint="eastAsia" w:ascii="宋体" w:hAnsi="宋体" w:cs="宋体"/>
          <w:color w:val="auto"/>
          <w:sz w:val="24"/>
          <w:highlight w:val="none"/>
        </w:rPr>
        <w:t>（项目名称）【</w:t>
      </w:r>
      <w:r>
        <w:rPr>
          <w:rFonts w:hint="eastAsia" w:cs="宋体"/>
          <w:color w:val="auto"/>
          <w:sz w:val="24"/>
          <w:highlight w:val="none"/>
          <w:lang w:eastAsia="zh-CN"/>
        </w:rPr>
        <w:t>项目编号</w:t>
      </w:r>
      <w:r>
        <w:rPr>
          <w:rFonts w:hint="eastAsia" w:ascii="宋体" w:hAnsi="宋体" w:cs="宋体"/>
          <w:color w:val="auto"/>
          <w:sz w:val="24"/>
          <w:highlight w:val="none"/>
        </w:rPr>
        <w:t>：</w:t>
      </w:r>
      <w:r>
        <w:rPr>
          <w:rFonts w:hint="eastAsia" w:cs="宋体"/>
          <w:color w:val="auto"/>
          <w:sz w:val="24"/>
          <w:highlight w:val="none"/>
          <w:u w:val="single"/>
          <w:lang w:eastAsia="zh-CN"/>
        </w:rPr>
        <w:t>（采购编号）</w:t>
      </w:r>
      <w:r>
        <w:rPr>
          <w:rFonts w:hint="eastAsia" w:ascii="宋体" w:hAnsi="宋体" w:cs="宋体"/>
          <w:color w:val="auto"/>
          <w:sz w:val="24"/>
          <w:highlight w:val="none"/>
        </w:rPr>
        <w:t>】政府采购活动，郑重承诺：</w:t>
      </w:r>
    </w:p>
    <w:p w14:paraId="6984F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F143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1BE31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841D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51B58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B518C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0870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F5BF3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A35CF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（三）不存在以下情况：</w:t>
      </w:r>
    </w:p>
    <w:p w14:paraId="34AF35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8DE2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1CAC0E">
      <w:pPr>
        <w:snapToGrid w:val="0"/>
        <w:spacing w:line="360" w:lineRule="auto"/>
        <w:ind w:firstLine="480" w:firstLineChars="200"/>
        <w:rPr>
          <w:rFonts w:hint="eastAsia" w:ascii="宋体" w:hAnsi="宋体" w:cs="宋体"/>
          <w:color w:val="auto"/>
          <w:sz w:val="24"/>
          <w:highlight w:val="none"/>
        </w:rPr>
      </w:pPr>
    </w:p>
    <w:p w14:paraId="753E9435">
      <w:pPr>
        <w:jc w:val="right"/>
        <w:rPr>
          <w:color w:val="auto"/>
          <w:highlight w:val="none"/>
        </w:rPr>
      </w:pPr>
      <w:r>
        <w:rPr>
          <w:rFonts w:hint="eastAsia"/>
          <w:color w:val="auto"/>
          <w:highlight w:val="none"/>
          <w:lang w:val="zh-CN"/>
        </w:rPr>
        <w:t>投标人名称(电子签名)：</w:t>
      </w:r>
    </w:p>
    <w:p w14:paraId="5C8C506C">
      <w:pPr>
        <w:jc w:val="right"/>
        <w:rPr>
          <w:rFonts w:hint="eastAsia"/>
          <w:color w:val="auto"/>
          <w:highlight w:val="none"/>
          <w:lang w:val="zh-CN"/>
        </w:rPr>
      </w:pPr>
      <w:r>
        <w:rPr>
          <w:rFonts w:hint="eastAsia"/>
          <w:color w:val="auto"/>
          <w:highlight w:val="none"/>
          <w:lang w:val="zh-CN"/>
        </w:rPr>
        <w:t>日期</w:t>
      </w:r>
      <w:r>
        <w:rPr>
          <w:rFonts w:hint="eastAsia"/>
          <w:color w:val="auto"/>
          <w:highlight w:val="none"/>
        </w:rPr>
        <w:t xml:space="preserve">：  年  </w:t>
      </w:r>
      <w:r>
        <w:rPr>
          <w:rFonts w:hint="eastAsia"/>
          <w:color w:val="auto"/>
          <w:highlight w:val="none"/>
          <w:lang w:val="zh-CN"/>
        </w:rPr>
        <w:t>月</w:t>
      </w:r>
      <w:r>
        <w:rPr>
          <w:rFonts w:hint="eastAsia"/>
          <w:color w:val="auto"/>
          <w:highlight w:val="none"/>
        </w:rPr>
        <w:t xml:space="preserve">   </w:t>
      </w:r>
      <w:r>
        <w:rPr>
          <w:rFonts w:hint="eastAsia"/>
          <w:color w:val="auto"/>
          <w:highlight w:val="none"/>
          <w:lang w:val="zh-CN"/>
        </w:rPr>
        <w:t>日</w:t>
      </w:r>
    </w:p>
    <w:p w14:paraId="3654CAC2">
      <w:pPr>
        <w:jc w:val="right"/>
        <w:rPr>
          <w:rFonts w:hint="eastAsia"/>
          <w:color w:val="auto"/>
          <w:highlight w:val="none"/>
          <w:lang w:val="zh-CN"/>
        </w:rPr>
      </w:pPr>
    </w:p>
    <w:p w14:paraId="7BD22E50">
      <w:pPr>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注：如以联合体形式参加政府采购活动的，联合体各方均应提交该承诺函。</w:t>
      </w:r>
    </w:p>
    <w:p w14:paraId="689C45F7">
      <w:pPr>
        <w:rPr>
          <w:color w:val="auto"/>
          <w:highlight w:val="none"/>
        </w:rPr>
      </w:pPr>
    </w:p>
    <w:p w14:paraId="18AAC05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28BAE5">
      <w:pPr>
        <w:pStyle w:val="4"/>
        <w:bidi w:val="0"/>
        <w:rPr>
          <w:color w:val="auto"/>
          <w:highlight w:val="none"/>
        </w:rPr>
      </w:pPr>
      <w:r>
        <w:rPr>
          <w:rFonts w:hint="eastAsia"/>
          <w:color w:val="auto"/>
          <w:highlight w:val="none"/>
        </w:rPr>
        <w:t>二、联合协议（如果有）</w:t>
      </w:r>
    </w:p>
    <w:p w14:paraId="7C209CDC">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[以联合体形式投标的，提供联合协议（附件5）；本项目不接受联合体投标或者投标人不以联合体形式投标的，则不需要提供）]</w:t>
      </w:r>
    </w:p>
    <w:p w14:paraId="55DE14DF">
      <w:pPr>
        <w:snapToGrid w:val="0"/>
        <w:spacing w:line="360" w:lineRule="auto"/>
        <w:ind w:right="480"/>
        <w:jc w:val="center"/>
        <w:rPr>
          <w:rFonts w:ascii="宋体" w:hAnsi="宋体" w:cs="宋体"/>
          <w:b/>
          <w:color w:val="auto"/>
          <w:kern w:val="0"/>
          <w:sz w:val="32"/>
          <w:szCs w:val="32"/>
          <w:highlight w:val="none"/>
        </w:rPr>
      </w:pPr>
    </w:p>
    <w:p w14:paraId="56C6DA42">
      <w:pPr>
        <w:snapToGrid w:val="0"/>
        <w:spacing w:line="360" w:lineRule="auto"/>
        <w:ind w:right="480"/>
        <w:jc w:val="center"/>
        <w:rPr>
          <w:rFonts w:ascii="宋体" w:hAnsi="宋体" w:cs="宋体"/>
          <w:b/>
          <w:color w:val="auto"/>
          <w:kern w:val="0"/>
          <w:sz w:val="32"/>
          <w:szCs w:val="32"/>
          <w:highlight w:val="none"/>
        </w:rPr>
      </w:pPr>
    </w:p>
    <w:p w14:paraId="1E0D07DA">
      <w:pPr>
        <w:pStyle w:val="4"/>
        <w:bidi w:val="0"/>
        <w:rPr>
          <w:color w:val="auto"/>
          <w:highlight w:val="none"/>
        </w:rPr>
      </w:pPr>
      <w:r>
        <w:rPr>
          <w:rFonts w:hint="eastAsia"/>
          <w:color w:val="auto"/>
          <w:highlight w:val="none"/>
        </w:rPr>
        <w:t>三、落实政府采购政策需满足的资格要求</w:t>
      </w:r>
    </w:p>
    <w:p w14:paraId="00963474">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（根据招标公告落实政府采购政策需满足的资格要求选择提供相应的材料；未要求的，无需提供）</w:t>
      </w:r>
    </w:p>
    <w:p w14:paraId="3E5D1DE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A.专门面向中小企业，服务全部由符合政策要求的中小企业（或小微企业）承接的，提供相应的中小企业声明函（附件7）。 </w:t>
      </w:r>
    </w:p>
    <w:p w14:paraId="089C26AB">
      <w:pPr>
        <w:rPr>
          <w:rFonts w:hint="eastAsia"/>
          <w:color w:val="auto"/>
          <w:highlight w:val="none"/>
        </w:rPr>
      </w:pPr>
    </w:p>
    <w:p w14:paraId="3352D56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31F60D4">
      <w:pPr>
        <w:rPr>
          <w:rFonts w:hint="eastAsia"/>
          <w:color w:val="auto"/>
          <w:highlight w:val="none"/>
        </w:rPr>
      </w:pPr>
    </w:p>
    <w:p w14:paraId="0B74CE9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7037E93D">
      <w:pPr>
        <w:rPr>
          <w:color w:val="auto"/>
          <w:highlight w:val="none"/>
        </w:rPr>
      </w:pPr>
    </w:p>
    <w:p w14:paraId="4AC550C8">
      <w:pPr>
        <w:pStyle w:val="4"/>
        <w:bidi w:val="0"/>
        <w:rPr>
          <w:color w:val="auto"/>
          <w:highlight w:val="none"/>
        </w:rPr>
      </w:pPr>
      <w:r>
        <w:rPr>
          <w:rFonts w:hint="eastAsia"/>
          <w:color w:val="auto"/>
          <w:highlight w:val="none"/>
        </w:rPr>
        <w:t>四、本项目的特定资格要求</w:t>
      </w:r>
    </w:p>
    <w:p w14:paraId="279118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E9FD904">
      <w:pPr>
        <w:rPr>
          <w:rFonts w:ascii="宋体" w:hAnsi="宋体" w:cs="宋体"/>
          <w:color w:val="auto"/>
          <w:highlight w:val="none"/>
        </w:rPr>
      </w:pPr>
    </w:p>
    <w:p w14:paraId="2C25B3A7">
      <w:pPr>
        <w:snapToGrid w:val="0"/>
        <w:spacing w:line="360" w:lineRule="auto"/>
        <w:ind w:right="480"/>
        <w:jc w:val="center"/>
        <w:rPr>
          <w:rFonts w:ascii="宋体" w:hAnsi="宋体" w:cs="宋体"/>
          <w:b/>
          <w:color w:val="auto"/>
          <w:kern w:val="0"/>
          <w:sz w:val="32"/>
          <w:szCs w:val="32"/>
          <w:highlight w:val="none"/>
        </w:rPr>
      </w:pPr>
    </w:p>
    <w:p w14:paraId="0151311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9C1EB7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FA76D2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308DB4C6">
      <w:pPr>
        <w:rPr>
          <w:rFonts w:hint="eastAsia"/>
          <w:color w:val="auto"/>
          <w:highlight w:val="none"/>
        </w:rPr>
      </w:pPr>
      <w:r>
        <w:rPr>
          <w:rFonts w:hint="eastAsia"/>
          <w:color w:val="auto"/>
          <w:highlight w:val="none"/>
        </w:rPr>
        <w:t>（1）投标函…………………………………………………………………………（页码）</w:t>
      </w:r>
    </w:p>
    <w:p w14:paraId="74C8C6D5">
      <w:pPr>
        <w:rPr>
          <w:color w:val="auto"/>
          <w:highlight w:val="none"/>
        </w:rPr>
      </w:pPr>
      <w:r>
        <w:rPr>
          <w:rFonts w:hint="eastAsia"/>
          <w:color w:val="auto"/>
          <w:highlight w:val="none"/>
        </w:rPr>
        <w:t>（2）授权委托书或法定代表人（单位负责人、自然人本人）身份证明………（页码）</w:t>
      </w:r>
    </w:p>
    <w:p w14:paraId="1C5C5280">
      <w:pPr>
        <w:rPr>
          <w:color w:val="auto"/>
          <w:highlight w:val="none"/>
        </w:rPr>
      </w:pPr>
      <w:r>
        <w:rPr>
          <w:rFonts w:hint="eastAsia"/>
          <w:color w:val="auto"/>
          <w:highlight w:val="none"/>
        </w:rPr>
        <w:t>（</w:t>
      </w:r>
      <w:r>
        <w:rPr>
          <w:color w:val="auto"/>
          <w:highlight w:val="none"/>
        </w:rPr>
        <w:t>3</w:t>
      </w:r>
      <w:r>
        <w:rPr>
          <w:rFonts w:hint="eastAsia"/>
          <w:color w:val="auto"/>
          <w:highlight w:val="none"/>
        </w:rPr>
        <w:t>）分包意向协议…………………………………………………………………（页码）</w:t>
      </w:r>
    </w:p>
    <w:p w14:paraId="04C1FE75">
      <w:pPr>
        <w:rPr>
          <w:color w:val="auto"/>
          <w:highlight w:val="none"/>
        </w:rPr>
      </w:pPr>
      <w:r>
        <w:rPr>
          <w:rFonts w:hint="eastAsia"/>
          <w:color w:val="auto"/>
          <w:highlight w:val="none"/>
        </w:rPr>
        <w:t>（</w:t>
      </w:r>
      <w:r>
        <w:rPr>
          <w:color w:val="auto"/>
          <w:highlight w:val="none"/>
        </w:rPr>
        <w:t>4</w:t>
      </w:r>
      <w:r>
        <w:rPr>
          <w:rFonts w:hint="eastAsia"/>
          <w:color w:val="auto"/>
          <w:highlight w:val="none"/>
        </w:rPr>
        <w:t>）符合性审查资料………………………………………………………………（页码）</w:t>
      </w:r>
    </w:p>
    <w:p w14:paraId="40BD077D">
      <w:pPr>
        <w:rPr>
          <w:rFonts w:hint="eastAsia"/>
          <w:color w:val="auto"/>
          <w:highlight w:val="none"/>
        </w:rPr>
      </w:pPr>
      <w:r>
        <w:rPr>
          <w:rFonts w:hint="eastAsia"/>
          <w:color w:val="auto"/>
          <w:highlight w:val="none"/>
        </w:rPr>
        <w:t>（</w:t>
      </w:r>
      <w:r>
        <w:rPr>
          <w:color w:val="auto"/>
          <w:highlight w:val="none"/>
        </w:rPr>
        <w:t>5</w:t>
      </w:r>
      <w:r>
        <w:rPr>
          <w:rFonts w:hint="eastAsia"/>
          <w:color w:val="auto"/>
          <w:highlight w:val="none"/>
        </w:rPr>
        <w:t>）评标标准相应的商务技术资料………………………………………………（页码）</w:t>
      </w:r>
    </w:p>
    <w:p w14:paraId="239A1C4E">
      <w:pPr>
        <w:rPr>
          <w:color w:val="auto"/>
          <w:highlight w:val="none"/>
        </w:rPr>
      </w:pPr>
      <w:r>
        <w:rPr>
          <w:rFonts w:hint="eastAsia"/>
          <w:color w:val="auto"/>
          <w:highlight w:val="none"/>
        </w:rPr>
        <w:t>（</w:t>
      </w:r>
      <w:r>
        <w:rPr>
          <w:color w:val="auto"/>
          <w:highlight w:val="none"/>
        </w:rPr>
        <w:t>6</w:t>
      </w:r>
      <w:r>
        <w:rPr>
          <w:rFonts w:hint="eastAsia"/>
          <w:color w:val="auto"/>
          <w:highlight w:val="none"/>
        </w:rPr>
        <w:t>）商务技术偏离表………………………………………………………………（页码）</w:t>
      </w:r>
    </w:p>
    <w:p w14:paraId="3A0A724A">
      <w:pPr>
        <w:rPr>
          <w:color w:val="auto"/>
          <w:highlight w:val="none"/>
        </w:rPr>
      </w:pPr>
      <w:r>
        <w:rPr>
          <w:rFonts w:hint="eastAsia"/>
          <w:color w:val="auto"/>
          <w:highlight w:val="none"/>
          <w:lang w:val="zh-CN"/>
        </w:rPr>
        <w:t>（</w:t>
      </w:r>
      <w:r>
        <w:rPr>
          <w:rFonts w:hint="eastAsia"/>
          <w:color w:val="auto"/>
          <w:highlight w:val="none"/>
          <w:lang w:val="en-US" w:eastAsia="zh-CN"/>
        </w:rPr>
        <w:t>7</w:t>
      </w:r>
      <w:r>
        <w:rPr>
          <w:rFonts w:hint="eastAsia"/>
          <w:color w:val="auto"/>
          <w:highlight w:val="none"/>
          <w:lang w:val="zh-CN"/>
        </w:rPr>
        <w:t>）政府采购供应商廉洁自律承诺书</w:t>
      </w:r>
      <w:r>
        <w:rPr>
          <w:rFonts w:hint="eastAsia"/>
          <w:color w:val="auto"/>
          <w:highlight w:val="none"/>
        </w:rPr>
        <w:t>……………………………………………（页码）</w:t>
      </w:r>
    </w:p>
    <w:p w14:paraId="5B8AE507">
      <w:pPr>
        <w:bidi w:val="0"/>
        <w:rPr>
          <w:color w:val="auto"/>
          <w:highlight w:val="none"/>
        </w:rPr>
      </w:pPr>
    </w:p>
    <w:p w14:paraId="297B9CD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A88BAA">
      <w:pPr>
        <w:pStyle w:val="4"/>
        <w:bidi w:val="0"/>
        <w:rPr>
          <w:color w:val="auto"/>
          <w:highlight w:val="none"/>
        </w:rPr>
      </w:pPr>
      <w:r>
        <w:rPr>
          <w:rFonts w:hint="eastAsia"/>
          <w:color w:val="auto"/>
          <w:highlight w:val="none"/>
        </w:rPr>
        <w:t>一、投标函</w:t>
      </w:r>
    </w:p>
    <w:p w14:paraId="2397E92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14:paraId="687E7B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cs="宋体"/>
          <w:color w:val="auto"/>
          <w:sz w:val="24"/>
          <w:highlight w:val="none"/>
          <w:lang w:eastAsia="zh-CN"/>
        </w:rPr>
        <w:t>________________________（项目名称）</w:t>
      </w:r>
      <w:r>
        <w:rPr>
          <w:rFonts w:hint="eastAsia" w:ascii="宋体" w:hAnsi="宋体" w:cs="宋体"/>
          <w:color w:val="auto"/>
          <w:sz w:val="24"/>
          <w:highlight w:val="none"/>
        </w:rPr>
        <w:t>【</w:t>
      </w:r>
      <w:r>
        <w:rPr>
          <w:rFonts w:hint="eastAsia" w:cs="宋体"/>
          <w:color w:val="auto"/>
          <w:sz w:val="24"/>
          <w:highlight w:val="none"/>
          <w:lang w:eastAsia="zh-CN"/>
        </w:rPr>
        <w:t>项目编号</w:t>
      </w:r>
      <w:r>
        <w:rPr>
          <w:rFonts w:hint="eastAsia" w:ascii="宋体" w:hAnsi="宋体" w:cs="宋体"/>
          <w:color w:val="auto"/>
          <w:sz w:val="24"/>
          <w:highlight w:val="none"/>
        </w:rPr>
        <w:t>：</w:t>
      </w:r>
      <w:r>
        <w:rPr>
          <w:rFonts w:hint="eastAsia" w:cs="宋体"/>
          <w:color w:val="auto"/>
          <w:sz w:val="24"/>
          <w:highlight w:val="none"/>
          <w:u w:val="single"/>
          <w:lang w:eastAsia="zh-CN"/>
        </w:rPr>
        <w:t>（采购编号）</w:t>
      </w:r>
      <w:r>
        <w:rPr>
          <w:rFonts w:hint="eastAsia" w:ascii="宋体" w:hAnsi="宋体" w:cs="宋体"/>
          <w:color w:val="auto"/>
          <w:sz w:val="24"/>
          <w:highlight w:val="none"/>
        </w:rPr>
        <w:t>】招标的有关活动，并对此项目进行投标。为此：</w:t>
      </w:r>
    </w:p>
    <w:p w14:paraId="772695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_____</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D4B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71EC64A">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3284A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B1E4B1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9" w:name="_Hlk101257010"/>
      <w:r>
        <w:rPr>
          <w:rFonts w:hint="eastAsia" w:ascii="宋体" w:hAnsi="宋体" w:cs="宋体"/>
          <w:color w:val="auto"/>
          <w:sz w:val="24"/>
          <w:highlight w:val="none"/>
        </w:rPr>
        <w:t>（如果有)</w:t>
      </w:r>
      <w:bookmarkEnd w:id="399"/>
      <w:r>
        <w:rPr>
          <w:rFonts w:hint="eastAsia" w:ascii="宋体" w:hAnsi="宋体" w:cs="宋体"/>
          <w:snapToGrid w:val="0"/>
          <w:color w:val="auto"/>
          <w:kern w:val="28"/>
          <w:sz w:val="24"/>
          <w:szCs w:val="20"/>
          <w:highlight w:val="none"/>
        </w:rPr>
        <w:t>；</w:t>
      </w:r>
    </w:p>
    <w:p w14:paraId="48709C4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CE23309">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0605DDA">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39FCC2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CB14BA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FBD01C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59B4FA2">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ED02112">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E127A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D6BFA3">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F9C770">
      <w:pPr>
        <w:snapToGrid w:val="0"/>
        <w:spacing w:line="360" w:lineRule="auto"/>
        <w:ind w:left="48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B2B8281">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AB39B5">
      <w:pPr>
        <w:spacing w:line="360" w:lineRule="auto"/>
        <w:ind w:left="48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C41BF24">
      <w:pPr>
        <w:spacing w:line="360" w:lineRule="auto"/>
        <w:ind w:left="48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2.3.2报价情况说明（如果有）</w:t>
      </w:r>
    </w:p>
    <w:p w14:paraId="1C3FE49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09B84D8">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5F7879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144D85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8D843AF">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F5D9BA">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84A1D98">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0222A6">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_______________________________________</w:t>
      </w:r>
      <w:r>
        <w:rPr>
          <w:rFonts w:hint="eastAsia" w:ascii="宋体" w:hAnsi="宋体" w:cs="宋体"/>
          <w:color w:val="auto"/>
          <w:sz w:val="24"/>
          <w:highlight w:val="none"/>
        </w:rPr>
        <w:t>。</w:t>
      </w:r>
    </w:p>
    <w:p w14:paraId="36A3C3D0">
      <w:pPr>
        <w:jc w:val="right"/>
        <w:rPr>
          <w:color w:val="auto"/>
          <w:highlight w:val="none"/>
        </w:rPr>
      </w:pPr>
      <w:r>
        <w:rPr>
          <w:rFonts w:hint="eastAsia"/>
          <w:color w:val="auto"/>
          <w:highlight w:val="none"/>
        </w:rPr>
        <w:t>投标人名称（电子签名）：</w:t>
      </w:r>
    </w:p>
    <w:p w14:paraId="26E257FE">
      <w:pPr>
        <w:jc w:val="right"/>
        <w:rPr>
          <w:color w:val="auto"/>
          <w:highlight w:val="none"/>
        </w:rPr>
      </w:pPr>
      <w:r>
        <w:rPr>
          <w:rFonts w:hint="eastAsia"/>
          <w:color w:val="auto"/>
          <w:highlight w:val="none"/>
        </w:rPr>
        <w:t>日期：  年   月   日</w:t>
      </w:r>
    </w:p>
    <w:p w14:paraId="55144569">
      <w:pPr>
        <w:jc w:val="right"/>
        <w:rPr>
          <w:color w:val="auto"/>
          <w:highlight w:val="none"/>
        </w:rPr>
      </w:pPr>
    </w:p>
    <w:p w14:paraId="0BAD33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61CDB9">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F04EB7D">
      <w:pPr>
        <w:pStyle w:val="4"/>
        <w:bidi w:val="0"/>
        <w:ind w:left="0"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14:paraId="65853CF8">
      <w:pPr>
        <w:rPr>
          <w:rFonts w:hint="eastAsia"/>
          <w:color w:val="auto"/>
          <w:highlight w:val="none"/>
          <w:lang w:val="zh-CN"/>
        </w:rPr>
      </w:pPr>
    </w:p>
    <w:p w14:paraId="68116334">
      <w:pPr>
        <w:jc w:val="center"/>
        <w:rPr>
          <w:b/>
          <w:bCs/>
          <w:color w:val="auto"/>
          <w:sz w:val="28"/>
          <w:szCs w:val="28"/>
          <w:highlight w:val="none"/>
        </w:rPr>
      </w:pPr>
      <w:r>
        <w:rPr>
          <w:rFonts w:hint="eastAsia"/>
          <w:b/>
          <w:bCs/>
          <w:color w:val="auto"/>
          <w:sz w:val="28"/>
          <w:szCs w:val="28"/>
          <w:highlight w:val="none"/>
          <w:lang w:val="zh-CN"/>
        </w:rPr>
        <w:t>授权委托书（适用于非联合体投标）</w:t>
      </w:r>
    </w:p>
    <w:p w14:paraId="673A3D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726E4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cs="宋体"/>
          <w:color w:val="auto"/>
          <w:kern w:val="0"/>
          <w:sz w:val="24"/>
          <w:highlight w:val="none"/>
          <w:u w:val="single"/>
          <w:lang w:val="zh-CN"/>
        </w:rPr>
        <w:t>__________</w:t>
      </w:r>
      <w:r>
        <w:rPr>
          <w:rFonts w:hint="eastAsia" w:ascii="宋体" w:hAnsi="宋体" w:cs="宋体"/>
          <w:color w:val="auto"/>
          <w:kern w:val="0"/>
          <w:sz w:val="24"/>
          <w:highlight w:val="none"/>
          <w:lang w:val="zh-CN"/>
        </w:rPr>
        <w:t>（姓名）为我方代理人（身份证号码：</w:t>
      </w:r>
      <w:r>
        <w:rPr>
          <w:rFonts w:hint="eastAsia" w:cs="宋体"/>
          <w:color w:val="auto"/>
          <w:kern w:val="0"/>
          <w:sz w:val="24"/>
          <w:highlight w:val="none"/>
          <w:u w:val="single"/>
          <w:lang w:val="zh-CN"/>
        </w:rPr>
        <w:t>__________</w:t>
      </w:r>
      <w:r>
        <w:rPr>
          <w:rFonts w:hint="eastAsia" w:ascii="宋体" w:hAnsi="宋体" w:cs="宋体"/>
          <w:color w:val="auto"/>
          <w:kern w:val="0"/>
          <w:sz w:val="24"/>
          <w:highlight w:val="none"/>
          <w:lang w:val="zh-CN"/>
        </w:rPr>
        <w:t>，手机：</w:t>
      </w:r>
      <w:r>
        <w:rPr>
          <w:rFonts w:hint="eastAsia" w:cs="宋体"/>
          <w:color w:val="auto"/>
          <w:kern w:val="0"/>
          <w:sz w:val="24"/>
          <w:highlight w:val="none"/>
          <w:u w:val="single"/>
          <w:lang w:val="zh-CN"/>
        </w:rPr>
        <w:t>__________</w:t>
      </w:r>
      <w:r>
        <w:rPr>
          <w:rFonts w:hint="eastAsia" w:ascii="宋体" w:hAnsi="宋体" w:cs="宋体"/>
          <w:color w:val="auto"/>
          <w:kern w:val="0"/>
          <w:sz w:val="24"/>
          <w:highlight w:val="none"/>
          <w:u w:val="none"/>
          <w:lang w:val="en-US" w:eastAsia="zh-CN"/>
        </w:rPr>
        <w:t>，所在单位：</w:t>
      </w:r>
      <w:r>
        <w:rPr>
          <w:rFonts w:hint="eastAsia" w:cs="宋体"/>
          <w:color w:val="auto"/>
          <w:kern w:val="0"/>
          <w:sz w:val="24"/>
          <w:highlight w:val="none"/>
          <w:u w:val="single"/>
          <w:lang w:val="en-US" w:eastAsia="zh-CN"/>
        </w:rPr>
        <w:t>_________</w:t>
      </w:r>
      <w:r>
        <w:rPr>
          <w:rFonts w:hint="eastAsia" w:ascii="宋体" w:hAnsi="宋体" w:cs="宋体"/>
          <w:color w:val="auto"/>
          <w:kern w:val="0"/>
          <w:sz w:val="24"/>
          <w:highlight w:val="none"/>
          <w:lang w:val="zh-CN"/>
        </w:rPr>
        <w:t>），以我方名义处理</w:t>
      </w:r>
      <w:r>
        <w:rPr>
          <w:rFonts w:hint="eastAsia" w:cs="宋体"/>
          <w:color w:val="auto"/>
          <w:sz w:val="24"/>
          <w:highlight w:val="none"/>
          <w:lang w:eastAsia="zh-CN"/>
        </w:rPr>
        <w:t>_________（项目名称）</w:t>
      </w:r>
      <w:r>
        <w:rPr>
          <w:rFonts w:hint="eastAsia" w:ascii="宋体" w:hAnsi="宋体" w:cs="宋体"/>
          <w:color w:val="auto"/>
          <w:sz w:val="24"/>
          <w:highlight w:val="none"/>
        </w:rPr>
        <w:t>【</w:t>
      </w:r>
      <w:r>
        <w:rPr>
          <w:rFonts w:hint="eastAsia" w:cs="宋体"/>
          <w:color w:val="auto"/>
          <w:sz w:val="24"/>
          <w:highlight w:val="none"/>
          <w:lang w:eastAsia="zh-CN"/>
        </w:rPr>
        <w:t>项目编号</w:t>
      </w:r>
      <w:r>
        <w:rPr>
          <w:rFonts w:hint="eastAsia" w:ascii="宋体" w:hAnsi="宋体" w:cs="宋体"/>
          <w:color w:val="auto"/>
          <w:sz w:val="24"/>
          <w:highlight w:val="none"/>
        </w:rPr>
        <w:t>：</w:t>
      </w:r>
      <w:r>
        <w:rPr>
          <w:rFonts w:hint="eastAsia" w:cs="宋体"/>
          <w:color w:val="auto"/>
          <w:sz w:val="24"/>
          <w:highlight w:val="none"/>
          <w:u w:val="single"/>
          <w:lang w:eastAsia="zh-CN"/>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D8FA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自____年__月__日起至____年__月__日止。</w:t>
      </w:r>
    </w:p>
    <w:p w14:paraId="38DC3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53779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后附法定代表人及其授权代表的身份证复印件。</w:t>
      </w:r>
    </w:p>
    <w:p w14:paraId="5A220518">
      <w:pPr>
        <w:snapToGrid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098F47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69C5A494">
      <w:pPr>
        <w:snapToGrid w:val="0"/>
        <w:spacing w:line="360" w:lineRule="auto"/>
        <w:rPr>
          <w:rFonts w:ascii="宋体" w:hAnsi="宋体" w:cs="宋体"/>
          <w:color w:val="auto"/>
          <w:sz w:val="24"/>
          <w:highlight w:val="none"/>
        </w:rPr>
      </w:pPr>
    </w:p>
    <w:p w14:paraId="2BC9CC9E">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授权委托书（适用于联合体投标）</w:t>
      </w:r>
    </w:p>
    <w:p w14:paraId="5FB2B8D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BE2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委托__________（姓名）为我方代理人（身份证号码：__________，手机：__________</w:t>
      </w:r>
      <w:r>
        <w:rPr>
          <w:rFonts w:hint="eastAsia" w:ascii="宋体" w:hAnsi="宋体" w:eastAsia="宋体" w:cs="宋体"/>
          <w:color w:val="auto"/>
          <w:kern w:val="0"/>
          <w:sz w:val="24"/>
          <w:highlight w:val="none"/>
          <w:lang w:val="en-US" w:eastAsia="zh-CN"/>
        </w:rPr>
        <w:t>，所在单位：_________</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eastAsia="zh-CN"/>
        </w:rPr>
        <w:t>_________（项目名称）</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项目编号</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eastAsia="zh-CN"/>
        </w:rPr>
        <w:t>（采购编号）</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479AF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自____年__月__日起至____年__月__日止。</w:t>
      </w:r>
    </w:p>
    <w:p w14:paraId="72305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14:paraId="537C9A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后附法定代表人及其授权代表的身份证复印件。</w:t>
      </w:r>
    </w:p>
    <w:p w14:paraId="1CCB6EFA">
      <w:pPr>
        <w:jc w:val="right"/>
        <w:rPr>
          <w:color w:val="auto"/>
          <w:highlight w:val="none"/>
        </w:rPr>
      </w:pPr>
    </w:p>
    <w:p w14:paraId="54797E66">
      <w:pPr>
        <w:jc w:val="right"/>
        <w:rPr>
          <w:color w:val="auto"/>
          <w:highlight w:val="none"/>
        </w:rPr>
      </w:pPr>
    </w:p>
    <w:p w14:paraId="7BCBA3C4">
      <w:pPr>
        <w:jc w:val="right"/>
        <w:rPr>
          <w:color w:val="auto"/>
          <w:highlight w:val="none"/>
          <w:lang w:val="zh-CN"/>
        </w:rPr>
      </w:pPr>
      <w:r>
        <w:rPr>
          <w:rFonts w:hint="eastAsia"/>
          <w:color w:val="auto"/>
          <w:highlight w:val="none"/>
          <w:lang w:val="zh-CN"/>
        </w:rPr>
        <w:t>联合体成员名称(电子签名/公章)：</w:t>
      </w:r>
    </w:p>
    <w:p w14:paraId="0BB25075">
      <w:pPr>
        <w:jc w:val="right"/>
        <w:rPr>
          <w:color w:val="auto"/>
          <w:highlight w:val="none"/>
          <w:lang w:val="zh-CN"/>
        </w:rPr>
      </w:pPr>
      <w:r>
        <w:rPr>
          <w:rFonts w:hint="eastAsia"/>
          <w:color w:val="auto"/>
          <w:highlight w:val="none"/>
          <w:lang w:val="zh-CN"/>
        </w:rPr>
        <w:t>联合体成员名称(电子签名/公章)：</w:t>
      </w:r>
    </w:p>
    <w:p w14:paraId="4BB4F587">
      <w:pPr>
        <w:jc w:val="right"/>
        <w:rPr>
          <w:color w:val="auto"/>
          <w:highlight w:val="none"/>
        </w:rPr>
      </w:pPr>
      <w:r>
        <w:rPr>
          <w:rFonts w:hint="eastAsia"/>
          <w:color w:val="auto"/>
          <w:highlight w:val="none"/>
          <w:lang w:val="zh-CN"/>
        </w:rPr>
        <w:t>……</w:t>
      </w:r>
    </w:p>
    <w:p w14:paraId="0BE5CC31">
      <w:pPr>
        <w:jc w:val="right"/>
        <w:rPr>
          <w:color w:val="auto"/>
          <w:highlight w:val="none"/>
          <w:lang w:val="zh-CN"/>
        </w:rPr>
      </w:pPr>
      <w:r>
        <w:rPr>
          <w:rFonts w:hint="eastAsia"/>
          <w:color w:val="auto"/>
          <w:highlight w:val="none"/>
          <w:lang w:val="zh-CN"/>
        </w:rPr>
        <w:t>日期：  年  月   日</w:t>
      </w:r>
    </w:p>
    <w:p w14:paraId="5410FE4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806612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法定代表人及其授权代表的身份证（复印件）</w:t>
      </w:r>
    </w:p>
    <w:p w14:paraId="035068DB">
      <w:pPr>
        <w:widowControl w:val="0"/>
        <w:spacing w:line="360" w:lineRule="auto"/>
        <w:jc w:val="both"/>
        <w:rPr>
          <w:rFonts w:hint="eastAsia"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法定代表人身份证件扫描件：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E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9207" w:type="dxa"/>
            <w:noWrap w:val="0"/>
            <w:vAlign w:val="top"/>
          </w:tcPr>
          <w:p w14:paraId="30696035">
            <w:pPr>
              <w:widowControl w:val="0"/>
              <w:spacing w:line="360" w:lineRule="auto"/>
              <w:jc w:val="both"/>
              <w:rPr>
                <w:rFonts w:hint="eastAsia"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正面：                                 反面：</w:t>
            </w:r>
          </w:p>
          <w:p w14:paraId="1DB3826A">
            <w:pPr>
              <w:widowControl w:val="0"/>
              <w:spacing w:line="360" w:lineRule="auto"/>
              <w:jc w:val="both"/>
              <w:rPr>
                <w:rFonts w:hint="eastAsia" w:ascii="宋体" w:hAnsi="宋体" w:eastAsia="宋体" w:cs="宋体"/>
                <w:bCs/>
                <w:color w:val="auto"/>
                <w:kern w:val="2"/>
                <w:sz w:val="24"/>
                <w:szCs w:val="21"/>
                <w:highlight w:val="none"/>
                <w:lang w:val="en-US" w:eastAsia="zh-CN" w:bidi="ar-SA"/>
              </w:rPr>
            </w:pPr>
          </w:p>
        </w:tc>
      </w:tr>
    </w:tbl>
    <w:p w14:paraId="3B499715">
      <w:pPr>
        <w:widowControl w:val="0"/>
        <w:spacing w:line="360" w:lineRule="auto"/>
        <w:jc w:val="both"/>
        <w:rPr>
          <w:rFonts w:ascii="宋体" w:hAnsi="宋体" w:eastAsia="宋体" w:cs="宋体"/>
          <w:bCs/>
          <w:color w:val="auto"/>
          <w:kern w:val="2"/>
          <w:sz w:val="24"/>
          <w:szCs w:val="21"/>
          <w:highlight w:val="none"/>
          <w:lang w:val="en-US" w:eastAsia="zh-CN" w:bidi="ar-SA"/>
        </w:rPr>
      </w:pPr>
    </w:p>
    <w:p w14:paraId="50CFCEEB">
      <w:pPr>
        <w:widowControl w:val="0"/>
        <w:spacing w:line="360" w:lineRule="auto"/>
        <w:jc w:val="both"/>
        <w:rPr>
          <w:rFonts w:hint="eastAsia"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3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9207" w:type="dxa"/>
            <w:noWrap w:val="0"/>
            <w:vAlign w:val="top"/>
          </w:tcPr>
          <w:p w14:paraId="79AC5F99">
            <w:pPr>
              <w:widowControl w:val="0"/>
              <w:spacing w:line="360" w:lineRule="auto"/>
              <w:jc w:val="both"/>
              <w:rPr>
                <w:rFonts w:hint="eastAsia"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正面：                                 反面：</w:t>
            </w:r>
          </w:p>
          <w:p w14:paraId="5E8A0460">
            <w:pPr>
              <w:widowControl w:val="0"/>
              <w:spacing w:line="360" w:lineRule="auto"/>
              <w:jc w:val="both"/>
              <w:rPr>
                <w:rFonts w:hint="eastAsia" w:ascii="宋体" w:hAnsi="宋体" w:eastAsia="宋体" w:cs="宋体"/>
                <w:bCs/>
                <w:color w:val="auto"/>
                <w:kern w:val="2"/>
                <w:sz w:val="24"/>
                <w:szCs w:val="21"/>
                <w:highlight w:val="none"/>
                <w:lang w:val="en-US" w:eastAsia="zh-CN" w:bidi="ar-SA"/>
              </w:rPr>
            </w:pPr>
          </w:p>
        </w:tc>
      </w:tr>
    </w:tbl>
    <w:p w14:paraId="109165C3">
      <w:pPr>
        <w:jc w:val="center"/>
        <w:rPr>
          <w:rFonts w:ascii="宋体" w:hAnsi="宋体" w:eastAsia="宋体" w:cs="宋体"/>
          <w:color w:val="auto"/>
          <w:highlight w:val="none"/>
          <w:lang w:val="zh-CN"/>
        </w:rPr>
      </w:pPr>
    </w:p>
    <w:p w14:paraId="4E2B5765">
      <w:pPr>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投标人名称(电子签名)：</w:t>
      </w:r>
    </w:p>
    <w:p w14:paraId="55873929">
      <w:pPr>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日期：  年  月  日</w:t>
      </w:r>
    </w:p>
    <w:p w14:paraId="1A0925D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D494CF">
      <w:pPr>
        <w:pStyle w:val="4"/>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三、分包意向协议（如果有）</w:t>
      </w:r>
    </w:p>
    <w:p w14:paraId="44BC134A">
      <w:pPr>
        <w:rPr>
          <w:b/>
          <w:bCs/>
          <w:color w:val="auto"/>
          <w:highlight w:val="none"/>
        </w:rPr>
      </w:pPr>
      <w:r>
        <w:rPr>
          <w:rFonts w:hint="eastAsia"/>
          <w:b/>
          <w:bCs/>
          <w:color w:val="auto"/>
          <w:highlight w:val="none"/>
        </w:rPr>
        <w:t>[中标后以分包方式履行合同的，提供分包意向协议(附件6</w:t>
      </w:r>
      <w:r>
        <w:rPr>
          <w:b/>
          <w:bCs/>
          <w:color w:val="auto"/>
          <w:highlight w:val="none"/>
        </w:rPr>
        <w:t>)</w:t>
      </w:r>
      <w:r>
        <w:rPr>
          <w:rFonts w:hint="eastAsia"/>
          <w:b/>
          <w:bCs/>
          <w:color w:val="auto"/>
          <w:highlight w:val="none"/>
        </w:rPr>
        <w:t>；采购人不同意分包或者投标人中标后不以分包方式履行合同的，则不需要提供。]</w:t>
      </w:r>
    </w:p>
    <w:p w14:paraId="139A0EEE">
      <w:pPr>
        <w:rPr>
          <w:b/>
          <w:bCs/>
          <w:color w:val="auto"/>
          <w:highlight w:val="none"/>
        </w:rPr>
      </w:pPr>
    </w:p>
    <w:p w14:paraId="1D779B19">
      <w:pPr>
        <w:pStyle w:val="4"/>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四、符合性审查资料</w:t>
      </w:r>
    </w:p>
    <w:tbl>
      <w:tblPr>
        <w:tblStyle w:val="62"/>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018"/>
        <w:gridCol w:w="3841"/>
        <w:gridCol w:w="1813"/>
      </w:tblGrid>
      <w:tr w14:paraId="592E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12" w:type="dxa"/>
            <w:vAlign w:val="center"/>
          </w:tcPr>
          <w:p w14:paraId="5D4DD674">
            <w:pPr>
              <w:jc w:val="center"/>
              <w:rPr>
                <w:b/>
                <w:bCs/>
                <w:color w:val="auto"/>
                <w:sz w:val="21"/>
                <w:szCs w:val="21"/>
                <w:highlight w:val="none"/>
              </w:rPr>
            </w:pPr>
            <w:r>
              <w:rPr>
                <w:rFonts w:hint="eastAsia"/>
                <w:b/>
                <w:bCs/>
                <w:color w:val="auto"/>
                <w:sz w:val="21"/>
                <w:szCs w:val="21"/>
                <w:highlight w:val="none"/>
              </w:rPr>
              <w:t>序号</w:t>
            </w:r>
          </w:p>
        </w:tc>
        <w:tc>
          <w:tcPr>
            <w:tcW w:w="3018" w:type="dxa"/>
            <w:vAlign w:val="center"/>
          </w:tcPr>
          <w:p w14:paraId="007D23C1">
            <w:pPr>
              <w:jc w:val="center"/>
              <w:rPr>
                <w:b/>
                <w:bCs/>
                <w:color w:val="auto"/>
                <w:sz w:val="21"/>
                <w:szCs w:val="21"/>
                <w:highlight w:val="none"/>
              </w:rPr>
            </w:pPr>
            <w:r>
              <w:rPr>
                <w:rFonts w:hint="eastAsia"/>
                <w:b/>
                <w:bCs/>
                <w:color w:val="auto"/>
                <w:sz w:val="21"/>
                <w:szCs w:val="21"/>
                <w:highlight w:val="none"/>
              </w:rPr>
              <w:t>实质性要求</w:t>
            </w:r>
          </w:p>
        </w:tc>
        <w:tc>
          <w:tcPr>
            <w:tcW w:w="3841" w:type="dxa"/>
            <w:vAlign w:val="center"/>
          </w:tcPr>
          <w:p w14:paraId="2FAAB1BA">
            <w:pPr>
              <w:jc w:val="center"/>
              <w:rPr>
                <w:b/>
                <w:bCs/>
                <w:color w:val="auto"/>
                <w:sz w:val="21"/>
                <w:szCs w:val="21"/>
                <w:highlight w:val="none"/>
              </w:rPr>
            </w:pPr>
            <w:r>
              <w:rPr>
                <w:rFonts w:hint="eastAsia"/>
                <w:b/>
                <w:bCs/>
                <w:color w:val="auto"/>
                <w:sz w:val="21"/>
                <w:szCs w:val="21"/>
                <w:highlight w:val="none"/>
              </w:rPr>
              <w:t>需要提供的符合性审查资料</w:t>
            </w:r>
          </w:p>
        </w:tc>
        <w:tc>
          <w:tcPr>
            <w:tcW w:w="1813" w:type="dxa"/>
            <w:vAlign w:val="center"/>
          </w:tcPr>
          <w:p w14:paraId="124A92C4">
            <w:pPr>
              <w:jc w:val="center"/>
              <w:rPr>
                <w:b/>
                <w:bCs/>
                <w:color w:val="auto"/>
                <w:sz w:val="21"/>
                <w:szCs w:val="21"/>
                <w:highlight w:val="none"/>
              </w:rPr>
            </w:pPr>
            <w:r>
              <w:rPr>
                <w:rFonts w:hint="eastAsia"/>
                <w:b/>
                <w:bCs/>
                <w:color w:val="auto"/>
                <w:sz w:val="21"/>
                <w:szCs w:val="21"/>
                <w:highlight w:val="none"/>
              </w:rPr>
              <w:t>投标文件中的</w:t>
            </w:r>
          </w:p>
          <w:p w14:paraId="7F507A3A">
            <w:pPr>
              <w:jc w:val="center"/>
              <w:rPr>
                <w:b/>
                <w:bCs/>
                <w:color w:val="auto"/>
                <w:sz w:val="21"/>
                <w:szCs w:val="21"/>
                <w:highlight w:val="none"/>
              </w:rPr>
            </w:pPr>
            <w:r>
              <w:rPr>
                <w:rFonts w:hint="eastAsia"/>
                <w:b/>
                <w:bCs/>
                <w:color w:val="auto"/>
                <w:sz w:val="21"/>
                <w:szCs w:val="21"/>
                <w:highlight w:val="none"/>
              </w:rPr>
              <w:t>页码位置</w:t>
            </w:r>
          </w:p>
        </w:tc>
      </w:tr>
      <w:tr w14:paraId="6E2C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174A57D0">
            <w:pPr>
              <w:jc w:val="center"/>
              <w:rPr>
                <w:color w:val="auto"/>
                <w:sz w:val="21"/>
                <w:szCs w:val="21"/>
                <w:highlight w:val="none"/>
              </w:rPr>
            </w:pPr>
            <w:r>
              <w:rPr>
                <w:rFonts w:hint="eastAsia"/>
                <w:color w:val="auto"/>
                <w:sz w:val="21"/>
                <w:szCs w:val="21"/>
                <w:highlight w:val="none"/>
              </w:rPr>
              <w:t>1</w:t>
            </w:r>
          </w:p>
        </w:tc>
        <w:tc>
          <w:tcPr>
            <w:tcW w:w="3018" w:type="dxa"/>
            <w:vAlign w:val="center"/>
          </w:tcPr>
          <w:p w14:paraId="05A97380">
            <w:pPr>
              <w:jc w:val="center"/>
              <w:rPr>
                <w:color w:val="auto"/>
                <w:sz w:val="21"/>
                <w:szCs w:val="21"/>
                <w:highlight w:val="none"/>
              </w:rPr>
            </w:pPr>
            <w:r>
              <w:rPr>
                <w:rFonts w:hint="eastAsia"/>
                <w:color w:val="auto"/>
                <w:sz w:val="21"/>
                <w:szCs w:val="21"/>
                <w:highlight w:val="none"/>
              </w:rPr>
              <w:t>投标文件按照招标文件要求签署、盖章。</w:t>
            </w:r>
          </w:p>
        </w:tc>
        <w:tc>
          <w:tcPr>
            <w:tcW w:w="3841" w:type="dxa"/>
            <w:vAlign w:val="center"/>
          </w:tcPr>
          <w:p w14:paraId="7C883FDA">
            <w:pPr>
              <w:jc w:val="center"/>
              <w:rPr>
                <w:color w:val="auto"/>
                <w:sz w:val="21"/>
                <w:szCs w:val="21"/>
                <w:highlight w:val="none"/>
              </w:rPr>
            </w:pPr>
            <w:r>
              <w:rPr>
                <w:rFonts w:hint="eastAsia"/>
                <w:color w:val="auto"/>
                <w:sz w:val="21"/>
                <w:szCs w:val="21"/>
                <w:highlight w:val="none"/>
              </w:rPr>
              <w:t>需要使用电子签名或者签字盖章的投标文件的组成部分</w:t>
            </w:r>
          </w:p>
        </w:tc>
        <w:tc>
          <w:tcPr>
            <w:tcW w:w="1813" w:type="dxa"/>
            <w:vAlign w:val="center"/>
          </w:tcPr>
          <w:p w14:paraId="6FB58FB0">
            <w:pPr>
              <w:jc w:val="center"/>
              <w:rPr>
                <w:color w:val="auto"/>
                <w:sz w:val="21"/>
                <w:szCs w:val="21"/>
                <w:highlight w:val="none"/>
              </w:rPr>
            </w:pPr>
            <w:r>
              <w:rPr>
                <w:rFonts w:hint="eastAsia"/>
                <w:color w:val="auto"/>
                <w:sz w:val="21"/>
                <w:szCs w:val="21"/>
                <w:highlight w:val="none"/>
              </w:rPr>
              <w:t>见投标文件</w:t>
            </w:r>
          </w:p>
          <w:p w14:paraId="53BCF461">
            <w:pPr>
              <w:jc w:val="center"/>
              <w:rPr>
                <w:color w:val="auto"/>
                <w:sz w:val="21"/>
                <w:szCs w:val="21"/>
                <w:highlight w:val="none"/>
              </w:rPr>
            </w:pPr>
            <w:r>
              <w:rPr>
                <w:rFonts w:hint="eastAsia"/>
                <w:color w:val="auto"/>
                <w:sz w:val="21"/>
                <w:szCs w:val="21"/>
                <w:highlight w:val="none"/>
              </w:rPr>
              <w:t>第</w:t>
            </w:r>
            <w:r>
              <w:rPr>
                <w:rFonts w:hint="eastAsia"/>
                <w:color w:val="auto"/>
                <w:sz w:val="21"/>
                <w:szCs w:val="21"/>
                <w:highlight w:val="none"/>
                <w:lang w:val="en-US" w:eastAsia="zh-CN"/>
              </w:rPr>
              <w:t>___</w:t>
            </w:r>
            <w:r>
              <w:rPr>
                <w:rFonts w:hint="eastAsia"/>
                <w:color w:val="auto"/>
                <w:sz w:val="21"/>
                <w:szCs w:val="21"/>
                <w:highlight w:val="none"/>
              </w:rPr>
              <w:t>页</w:t>
            </w:r>
          </w:p>
        </w:tc>
      </w:tr>
      <w:tr w14:paraId="0EBF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369EDF4A">
            <w:pPr>
              <w:jc w:val="center"/>
              <w:rPr>
                <w:color w:val="auto"/>
                <w:sz w:val="21"/>
                <w:szCs w:val="21"/>
                <w:highlight w:val="none"/>
              </w:rPr>
            </w:pPr>
            <w:r>
              <w:rPr>
                <w:rFonts w:hint="eastAsia"/>
                <w:color w:val="auto"/>
                <w:sz w:val="21"/>
                <w:szCs w:val="21"/>
                <w:highlight w:val="none"/>
              </w:rPr>
              <w:t>2</w:t>
            </w:r>
          </w:p>
        </w:tc>
        <w:tc>
          <w:tcPr>
            <w:tcW w:w="3018" w:type="dxa"/>
            <w:vAlign w:val="center"/>
          </w:tcPr>
          <w:p w14:paraId="764541BF">
            <w:pPr>
              <w:jc w:val="center"/>
              <w:rPr>
                <w:color w:val="auto"/>
                <w:sz w:val="21"/>
                <w:szCs w:val="21"/>
                <w:highlight w:val="none"/>
              </w:rPr>
            </w:pPr>
            <w:r>
              <w:rPr>
                <w:rFonts w:hint="eastAsia"/>
                <w:color w:val="auto"/>
                <w:sz w:val="21"/>
                <w:szCs w:val="21"/>
                <w:highlight w:val="none"/>
              </w:rPr>
              <w:t>投标文件中承诺的投标有效期不少于招标文件中载明的投标有效期。</w:t>
            </w:r>
          </w:p>
        </w:tc>
        <w:tc>
          <w:tcPr>
            <w:tcW w:w="3841" w:type="dxa"/>
            <w:vAlign w:val="center"/>
          </w:tcPr>
          <w:p w14:paraId="141F8D63">
            <w:pPr>
              <w:jc w:val="center"/>
              <w:rPr>
                <w:color w:val="auto"/>
                <w:sz w:val="21"/>
                <w:szCs w:val="21"/>
                <w:highlight w:val="none"/>
              </w:rPr>
            </w:pPr>
            <w:r>
              <w:rPr>
                <w:rFonts w:hint="eastAsia"/>
                <w:color w:val="auto"/>
                <w:sz w:val="21"/>
                <w:szCs w:val="21"/>
                <w:highlight w:val="none"/>
              </w:rPr>
              <w:t>投标函</w:t>
            </w:r>
          </w:p>
        </w:tc>
        <w:tc>
          <w:tcPr>
            <w:tcW w:w="1813" w:type="dxa"/>
            <w:vAlign w:val="center"/>
          </w:tcPr>
          <w:p w14:paraId="4C2E29E9">
            <w:pPr>
              <w:jc w:val="center"/>
              <w:rPr>
                <w:rFonts w:hint="eastAsia"/>
                <w:color w:val="auto"/>
                <w:sz w:val="21"/>
                <w:szCs w:val="21"/>
                <w:highlight w:val="none"/>
              </w:rPr>
            </w:pPr>
            <w:r>
              <w:rPr>
                <w:rFonts w:hint="eastAsia"/>
                <w:color w:val="auto"/>
                <w:sz w:val="21"/>
                <w:szCs w:val="21"/>
                <w:highlight w:val="none"/>
              </w:rPr>
              <w:t>见投标文件</w:t>
            </w:r>
          </w:p>
          <w:p w14:paraId="6C466AE7">
            <w:pPr>
              <w:jc w:val="center"/>
              <w:rPr>
                <w:color w:val="auto"/>
                <w:sz w:val="21"/>
                <w:szCs w:val="21"/>
                <w:highlight w:val="none"/>
              </w:rPr>
            </w:pPr>
            <w:r>
              <w:rPr>
                <w:rFonts w:hint="eastAsia"/>
                <w:color w:val="auto"/>
                <w:sz w:val="21"/>
                <w:szCs w:val="21"/>
                <w:highlight w:val="none"/>
              </w:rPr>
              <w:t>第___页</w:t>
            </w:r>
          </w:p>
        </w:tc>
      </w:tr>
      <w:tr w14:paraId="4BFE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3EACE8E0">
            <w:pPr>
              <w:jc w:val="center"/>
              <w:rPr>
                <w:color w:val="auto"/>
                <w:sz w:val="21"/>
                <w:szCs w:val="21"/>
                <w:highlight w:val="none"/>
              </w:rPr>
            </w:pPr>
            <w:r>
              <w:rPr>
                <w:rFonts w:hint="eastAsia"/>
                <w:color w:val="auto"/>
                <w:sz w:val="21"/>
                <w:szCs w:val="21"/>
                <w:highlight w:val="none"/>
              </w:rPr>
              <w:t>3</w:t>
            </w:r>
          </w:p>
        </w:tc>
        <w:tc>
          <w:tcPr>
            <w:tcW w:w="3018" w:type="dxa"/>
            <w:vAlign w:val="center"/>
          </w:tcPr>
          <w:p w14:paraId="4515B2AC">
            <w:pPr>
              <w:jc w:val="center"/>
              <w:rPr>
                <w:color w:val="auto"/>
                <w:sz w:val="21"/>
                <w:szCs w:val="21"/>
                <w:highlight w:val="none"/>
              </w:rPr>
            </w:pPr>
            <w:r>
              <w:rPr>
                <w:rFonts w:hint="eastAsia"/>
                <w:color w:val="auto"/>
                <w:sz w:val="21"/>
                <w:szCs w:val="21"/>
                <w:highlight w:val="none"/>
              </w:rPr>
              <w:t>投标文件满足招标文件的其它实质性要求。</w:t>
            </w:r>
          </w:p>
        </w:tc>
        <w:tc>
          <w:tcPr>
            <w:tcW w:w="3841" w:type="dxa"/>
            <w:vAlign w:val="center"/>
          </w:tcPr>
          <w:p w14:paraId="1E901A44">
            <w:pPr>
              <w:jc w:val="center"/>
              <w:rPr>
                <w:color w:val="auto"/>
                <w:sz w:val="21"/>
                <w:szCs w:val="21"/>
                <w:highlight w:val="none"/>
              </w:rPr>
            </w:pPr>
            <w:r>
              <w:rPr>
                <w:rFonts w:hint="eastAsia"/>
                <w:color w:val="auto"/>
                <w:sz w:val="21"/>
                <w:szCs w:val="21"/>
                <w:highlight w:val="none"/>
              </w:rPr>
              <w:t>招标文件其它实质性要求相应的材料（“▲” 系指实质性要求条款，招标文件无其它实质性要求的，无需提供）</w:t>
            </w:r>
          </w:p>
        </w:tc>
        <w:tc>
          <w:tcPr>
            <w:tcW w:w="1813" w:type="dxa"/>
            <w:vAlign w:val="center"/>
          </w:tcPr>
          <w:p w14:paraId="00290245">
            <w:pPr>
              <w:jc w:val="center"/>
              <w:rPr>
                <w:rFonts w:hint="eastAsia"/>
                <w:color w:val="auto"/>
                <w:sz w:val="21"/>
                <w:szCs w:val="21"/>
                <w:highlight w:val="none"/>
              </w:rPr>
            </w:pPr>
            <w:r>
              <w:rPr>
                <w:rFonts w:hint="eastAsia"/>
                <w:color w:val="auto"/>
                <w:sz w:val="21"/>
                <w:szCs w:val="21"/>
                <w:highlight w:val="none"/>
              </w:rPr>
              <w:t>见投标文件</w:t>
            </w:r>
          </w:p>
          <w:p w14:paraId="0FAEACD1">
            <w:pPr>
              <w:jc w:val="center"/>
              <w:rPr>
                <w:color w:val="auto"/>
                <w:sz w:val="21"/>
                <w:szCs w:val="21"/>
                <w:highlight w:val="none"/>
              </w:rPr>
            </w:pPr>
            <w:r>
              <w:rPr>
                <w:rFonts w:hint="eastAsia"/>
                <w:color w:val="auto"/>
                <w:sz w:val="21"/>
                <w:szCs w:val="21"/>
                <w:highlight w:val="none"/>
              </w:rPr>
              <w:t>第___页</w:t>
            </w:r>
          </w:p>
        </w:tc>
      </w:tr>
    </w:tbl>
    <w:p w14:paraId="76EED18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63F5ACF">
      <w:pPr>
        <w:spacing w:line="360" w:lineRule="auto"/>
        <w:ind w:right="420"/>
        <w:rPr>
          <w:rFonts w:hint="eastAsia" w:ascii="宋体" w:hAnsi="宋体" w:cs="宋体"/>
          <w:color w:val="auto"/>
          <w:sz w:val="24"/>
          <w:highlight w:val="none"/>
        </w:rPr>
      </w:pPr>
    </w:p>
    <w:p w14:paraId="04820A0C">
      <w:pPr>
        <w:pStyle w:val="4"/>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五、评标标准相应的商务技术资料</w:t>
      </w:r>
    </w:p>
    <w:p w14:paraId="415A2B6C">
      <w:pPr>
        <w:jc w:val="center"/>
        <w:rPr>
          <w:rFonts w:hint="eastAsia"/>
          <w:b/>
          <w:bCs/>
          <w:color w:val="auto"/>
          <w:highlight w:val="none"/>
        </w:rPr>
      </w:pPr>
      <w:r>
        <w:rPr>
          <w:rFonts w:hint="eastAsia"/>
          <w:b/>
          <w:bCs/>
          <w:color w:val="auto"/>
          <w:highlight w:val="none"/>
        </w:rPr>
        <w:t>（按招标文件第四部分评标办法前附表中“投标文件中评标标准相应的商务技术资料目录”提供资料。）</w:t>
      </w:r>
    </w:p>
    <w:p w14:paraId="7A783543">
      <w:pPr>
        <w:bidi w:val="0"/>
        <w:rPr>
          <w:rFonts w:hint="eastAsia"/>
          <w:color w:val="auto"/>
          <w:highlight w:val="none"/>
        </w:rPr>
      </w:pPr>
    </w:p>
    <w:p w14:paraId="5EFB5AE9">
      <w:pPr>
        <w:pStyle w:val="4"/>
        <w:bidi w:val="0"/>
        <w:ind w:left="0" w:firstLine="0"/>
        <w:rPr>
          <w:rFonts w:hint="eastAsia" w:ascii="宋体" w:hAnsi="宋体" w:eastAsia="宋体" w:cs="宋体"/>
          <w:color w:val="auto"/>
          <w:highlight w:val="none"/>
        </w:rPr>
      </w:pPr>
      <w:r>
        <w:rPr>
          <w:rFonts w:hint="eastAsia" w:cs="宋体"/>
          <w:color w:val="auto"/>
          <w:highlight w:val="none"/>
          <w:lang w:val="en-US" w:eastAsia="zh-CN"/>
        </w:rPr>
        <w:t>六</w:t>
      </w:r>
      <w:r>
        <w:rPr>
          <w:rFonts w:hint="eastAsia" w:ascii="宋体" w:hAnsi="宋体" w:eastAsia="宋体" w:cs="宋体"/>
          <w:color w:val="auto"/>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DC1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F83827F">
            <w:pPr>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tcPr>
          <w:p w14:paraId="4D05EF21">
            <w:pPr>
              <w:jc w:val="center"/>
              <w:rPr>
                <w:rFonts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tcPr>
          <w:p w14:paraId="6AA6DD3F">
            <w:pPr>
              <w:jc w:val="center"/>
              <w:rPr>
                <w:rFonts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tcPr>
          <w:p w14:paraId="69295174">
            <w:pPr>
              <w:jc w:val="center"/>
              <w:rPr>
                <w:rFonts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50C2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7C0B89">
            <w:pPr>
              <w:jc w:val="center"/>
              <w:rPr>
                <w:rFonts w:ascii="宋体" w:hAnsi="宋体" w:eastAsia="宋体" w:cs="宋体"/>
                <w:b w:val="0"/>
                <w:bCs w:val="0"/>
                <w:color w:val="auto"/>
                <w:highlight w:val="none"/>
              </w:rPr>
            </w:pPr>
            <w:r>
              <w:rPr>
                <w:rFonts w:hint="eastAsia" w:ascii="宋体" w:hAnsi="宋体" w:eastAsia="宋体" w:cs="宋体"/>
                <w:b w:val="0"/>
                <w:bCs w:val="0"/>
                <w:color w:val="auto"/>
                <w:highlight w:val="none"/>
              </w:rPr>
              <w:t>1</w:t>
            </w:r>
          </w:p>
        </w:tc>
        <w:tc>
          <w:tcPr>
            <w:tcW w:w="3683" w:type="dxa"/>
          </w:tcPr>
          <w:p w14:paraId="11FA5837">
            <w:pPr>
              <w:jc w:val="center"/>
              <w:rPr>
                <w:rFonts w:ascii="宋体" w:hAnsi="宋体" w:eastAsia="宋体" w:cs="宋体"/>
                <w:b w:val="0"/>
                <w:bCs w:val="0"/>
                <w:color w:val="auto"/>
                <w:highlight w:val="none"/>
              </w:rPr>
            </w:pPr>
          </w:p>
        </w:tc>
        <w:tc>
          <w:tcPr>
            <w:tcW w:w="3546" w:type="dxa"/>
          </w:tcPr>
          <w:p w14:paraId="77CB590F">
            <w:pPr>
              <w:jc w:val="center"/>
              <w:rPr>
                <w:rFonts w:ascii="宋体" w:hAnsi="宋体" w:eastAsia="宋体" w:cs="宋体"/>
                <w:b w:val="0"/>
                <w:bCs w:val="0"/>
                <w:color w:val="auto"/>
                <w:highlight w:val="none"/>
              </w:rPr>
            </w:pPr>
          </w:p>
        </w:tc>
        <w:tc>
          <w:tcPr>
            <w:tcW w:w="1276" w:type="dxa"/>
          </w:tcPr>
          <w:p w14:paraId="5A220505">
            <w:pPr>
              <w:jc w:val="center"/>
              <w:rPr>
                <w:rFonts w:ascii="宋体" w:hAnsi="宋体" w:eastAsia="宋体" w:cs="宋体"/>
                <w:b w:val="0"/>
                <w:bCs w:val="0"/>
                <w:color w:val="auto"/>
                <w:highlight w:val="none"/>
              </w:rPr>
            </w:pPr>
          </w:p>
        </w:tc>
      </w:tr>
      <w:tr w14:paraId="2E17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EC4AFB">
            <w:pPr>
              <w:jc w:val="center"/>
              <w:rPr>
                <w:rFonts w:ascii="宋体" w:hAnsi="宋体" w:eastAsia="宋体" w:cs="宋体"/>
                <w:b w:val="0"/>
                <w:bCs w:val="0"/>
                <w:color w:val="auto"/>
                <w:highlight w:val="none"/>
              </w:rPr>
            </w:pPr>
            <w:r>
              <w:rPr>
                <w:rFonts w:hint="eastAsia" w:ascii="宋体" w:hAnsi="宋体" w:eastAsia="宋体" w:cs="宋体"/>
                <w:b w:val="0"/>
                <w:bCs w:val="0"/>
                <w:color w:val="auto"/>
                <w:highlight w:val="none"/>
              </w:rPr>
              <w:t>2</w:t>
            </w:r>
          </w:p>
        </w:tc>
        <w:tc>
          <w:tcPr>
            <w:tcW w:w="3683" w:type="dxa"/>
          </w:tcPr>
          <w:p w14:paraId="68C7D55F">
            <w:pPr>
              <w:jc w:val="center"/>
              <w:rPr>
                <w:rFonts w:ascii="宋体" w:hAnsi="宋体" w:eastAsia="宋体" w:cs="宋体"/>
                <w:b w:val="0"/>
                <w:bCs w:val="0"/>
                <w:color w:val="auto"/>
                <w:highlight w:val="none"/>
              </w:rPr>
            </w:pPr>
          </w:p>
        </w:tc>
        <w:tc>
          <w:tcPr>
            <w:tcW w:w="3546" w:type="dxa"/>
          </w:tcPr>
          <w:p w14:paraId="6548324C">
            <w:pPr>
              <w:jc w:val="center"/>
              <w:rPr>
                <w:rFonts w:ascii="宋体" w:hAnsi="宋体" w:eastAsia="宋体" w:cs="宋体"/>
                <w:b w:val="0"/>
                <w:bCs w:val="0"/>
                <w:color w:val="auto"/>
                <w:highlight w:val="none"/>
              </w:rPr>
            </w:pPr>
          </w:p>
        </w:tc>
        <w:tc>
          <w:tcPr>
            <w:tcW w:w="1276" w:type="dxa"/>
          </w:tcPr>
          <w:p w14:paraId="190E29D8">
            <w:pPr>
              <w:jc w:val="center"/>
              <w:rPr>
                <w:rFonts w:ascii="宋体" w:hAnsi="宋体" w:eastAsia="宋体" w:cs="宋体"/>
                <w:b w:val="0"/>
                <w:bCs w:val="0"/>
                <w:color w:val="auto"/>
                <w:highlight w:val="none"/>
              </w:rPr>
            </w:pPr>
          </w:p>
        </w:tc>
      </w:tr>
      <w:tr w14:paraId="60A8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769AE1">
            <w:pPr>
              <w:jc w:val="center"/>
              <w:rPr>
                <w:rFonts w:ascii="宋体" w:hAnsi="宋体" w:eastAsia="宋体" w:cs="宋体"/>
                <w:b w:val="0"/>
                <w:bCs w:val="0"/>
                <w:color w:val="auto"/>
                <w:highlight w:val="none"/>
              </w:rPr>
            </w:pPr>
            <w:r>
              <w:rPr>
                <w:rFonts w:hint="eastAsia" w:ascii="宋体" w:hAnsi="宋体" w:eastAsia="宋体" w:cs="宋体"/>
                <w:b w:val="0"/>
                <w:bCs w:val="0"/>
                <w:color w:val="auto"/>
                <w:highlight w:val="none"/>
              </w:rPr>
              <w:t>……</w:t>
            </w:r>
          </w:p>
        </w:tc>
        <w:tc>
          <w:tcPr>
            <w:tcW w:w="3683" w:type="dxa"/>
          </w:tcPr>
          <w:p w14:paraId="2A98C2DA">
            <w:pPr>
              <w:jc w:val="center"/>
              <w:rPr>
                <w:rFonts w:ascii="宋体" w:hAnsi="宋体" w:eastAsia="宋体" w:cs="宋体"/>
                <w:b w:val="0"/>
                <w:bCs w:val="0"/>
                <w:color w:val="auto"/>
                <w:highlight w:val="none"/>
              </w:rPr>
            </w:pPr>
          </w:p>
        </w:tc>
        <w:tc>
          <w:tcPr>
            <w:tcW w:w="3546" w:type="dxa"/>
          </w:tcPr>
          <w:p w14:paraId="25D9BA56">
            <w:pPr>
              <w:jc w:val="center"/>
              <w:rPr>
                <w:rFonts w:ascii="宋体" w:hAnsi="宋体" w:eastAsia="宋体" w:cs="宋体"/>
                <w:b w:val="0"/>
                <w:bCs w:val="0"/>
                <w:color w:val="auto"/>
                <w:highlight w:val="none"/>
              </w:rPr>
            </w:pPr>
          </w:p>
        </w:tc>
        <w:tc>
          <w:tcPr>
            <w:tcW w:w="1276" w:type="dxa"/>
          </w:tcPr>
          <w:p w14:paraId="740CF529">
            <w:pPr>
              <w:jc w:val="center"/>
              <w:rPr>
                <w:rFonts w:ascii="宋体" w:hAnsi="宋体" w:eastAsia="宋体" w:cs="宋体"/>
                <w:b w:val="0"/>
                <w:bCs w:val="0"/>
                <w:color w:val="auto"/>
                <w:highlight w:val="none"/>
              </w:rPr>
            </w:pPr>
          </w:p>
        </w:tc>
      </w:tr>
    </w:tbl>
    <w:p w14:paraId="57D6D103">
      <w:pPr>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B77ED5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7A23E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48FA5DF">
      <w:pPr>
        <w:pStyle w:val="4"/>
        <w:bidi w:val="0"/>
        <w:ind w:left="0" w:firstLine="0"/>
        <w:rPr>
          <w:rFonts w:hint="eastAsia" w:ascii="宋体" w:hAnsi="宋体" w:eastAsia="宋体" w:cs="宋体"/>
          <w:color w:val="auto"/>
          <w:highlight w:val="none"/>
        </w:rPr>
      </w:pPr>
      <w:r>
        <w:rPr>
          <w:rFonts w:hint="eastAsia"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highlight w:val="none"/>
          <w:lang w:val="zh-CN"/>
        </w:rPr>
        <w:t>政府采购供应商廉洁自律承诺书</w:t>
      </w:r>
    </w:p>
    <w:p w14:paraId="0918608C">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u w:val="single"/>
          <w:lang w:val="zh-CN"/>
        </w:rPr>
        <w:t>：</w:t>
      </w:r>
    </w:p>
    <w:p w14:paraId="2E3C8F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BAF0DC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B71915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297E02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B64D9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64CB5B">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55BFCB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5C8A2E0">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29FEE1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71A307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cs="宋体"/>
          <w:color w:val="auto"/>
          <w:kern w:val="0"/>
          <w:sz w:val="24"/>
          <w:highlight w:val="none"/>
          <w:lang w:val="en-US" w:eastAsia="zh-CN"/>
        </w:rPr>
        <w:t>浙江省财政厅</w:t>
      </w:r>
      <w:r>
        <w:rPr>
          <w:rFonts w:hint="eastAsia" w:ascii="宋体" w:hAnsi="宋体" w:cs="宋体"/>
          <w:color w:val="auto"/>
          <w:kern w:val="0"/>
          <w:sz w:val="24"/>
          <w:highlight w:val="none"/>
          <w:lang w:val="zh-CN"/>
        </w:rPr>
        <w:t>。由此引起的相应损失均由我单位承担。</w:t>
      </w:r>
    </w:p>
    <w:p w14:paraId="74368646">
      <w:pPr>
        <w:rPr>
          <w:color w:val="auto"/>
          <w:highlight w:val="none"/>
          <w:lang w:val="zh-CN"/>
        </w:rPr>
      </w:pPr>
    </w:p>
    <w:p w14:paraId="2939C625">
      <w:pPr>
        <w:rPr>
          <w:color w:val="auto"/>
          <w:highlight w:val="none"/>
          <w:lang w:val="zh-CN"/>
        </w:rPr>
      </w:pPr>
    </w:p>
    <w:p w14:paraId="63821286">
      <w:pPr>
        <w:jc w:val="right"/>
        <w:rPr>
          <w:color w:val="auto"/>
          <w:highlight w:val="none"/>
          <w:lang w:val="zh-CN"/>
        </w:rPr>
      </w:pPr>
      <w:r>
        <w:rPr>
          <w:rFonts w:hint="eastAsia"/>
          <w:color w:val="auto"/>
          <w:highlight w:val="none"/>
          <w:lang w:val="zh-CN"/>
        </w:rPr>
        <w:t>投标人名称（</w:t>
      </w:r>
      <w:r>
        <w:rPr>
          <w:rFonts w:hint="eastAsia"/>
          <w:color w:val="auto"/>
          <w:highlight w:val="none"/>
        </w:rPr>
        <w:t>电子签名</w:t>
      </w:r>
      <w:r>
        <w:rPr>
          <w:rFonts w:hint="eastAsia"/>
          <w:color w:val="auto"/>
          <w:highlight w:val="none"/>
          <w:lang w:val="zh-CN"/>
        </w:rPr>
        <w:t>）：</w:t>
      </w:r>
    </w:p>
    <w:p w14:paraId="09BC10C6">
      <w:pPr>
        <w:jc w:val="right"/>
        <w:rPr>
          <w:color w:val="auto"/>
          <w:highlight w:val="none"/>
        </w:rPr>
      </w:pPr>
      <w:r>
        <w:rPr>
          <w:rFonts w:hint="eastAsia"/>
          <w:color w:val="auto"/>
          <w:highlight w:val="none"/>
          <w:lang w:val="zh-CN"/>
        </w:rPr>
        <w:t>日期</w:t>
      </w:r>
      <w:r>
        <w:rPr>
          <w:rFonts w:hint="eastAsia"/>
          <w:color w:val="auto"/>
          <w:highlight w:val="none"/>
        </w:rPr>
        <w:t>：</w:t>
      </w:r>
      <w:r>
        <w:rPr>
          <w:rFonts w:hint="eastAsia"/>
          <w:color w:val="auto"/>
          <w:highlight w:val="none"/>
          <w:lang w:val="zh-CN"/>
        </w:rPr>
        <w:t xml:space="preserve">   年   月   日</w:t>
      </w:r>
    </w:p>
    <w:p w14:paraId="0AEFD6F8">
      <w:pPr>
        <w:jc w:val="right"/>
        <w:rPr>
          <w:color w:val="auto"/>
          <w:highlight w:val="none"/>
        </w:rPr>
      </w:pPr>
    </w:p>
    <w:p w14:paraId="2691C57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B583D57">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F45B20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49CD658">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3CB76366">
      <w:pPr>
        <w:rPr>
          <w:color w:val="auto"/>
          <w:highlight w:val="none"/>
        </w:rPr>
      </w:pPr>
    </w:p>
    <w:p w14:paraId="3BD0E8EB">
      <w:pPr>
        <w:rPr>
          <w:rFonts w:hint="eastAsia"/>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1</w:t>
      </w:r>
      <w:r>
        <w:rPr>
          <w:rFonts w:hint="eastAsia"/>
          <w:color w:val="auto"/>
          <w:sz w:val="28"/>
          <w:szCs w:val="28"/>
          <w:highlight w:val="none"/>
        </w:rPr>
        <w:t>）开标一览表（报价表）…………………………………………（页码）</w:t>
      </w:r>
    </w:p>
    <w:p w14:paraId="2E073167">
      <w:pPr>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val="en-US" w:eastAsia="zh-CN"/>
        </w:rPr>
        <w:t>报价情况说明</w:t>
      </w:r>
      <w:r>
        <w:rPr>
          <w:rFonts w:hint="eastAsia"/>
          <w:color w:val="auto"/>
          <w:sz w:val="28"/>
          <w:szCs w:val="28"/>
          <w:highlight w:val="none"/>
        </w:rPr>
        <w:t>………………………………………………</w:t>
      </w:r>
      <w:r>
        <w:rPr>
          <w:rFonts w:hint="eastAsia"/>
          <w:color w:val="auto"/>
          <w:sz w:val="28"/>
          <w:szCs w:val="28"/>
          <w:highlight w:val="none"/>
          <w:lang w:eastAsia="zh-CN"/>
        </w:rPr>
        <w:t>……</w:t>
      </w:r>
      <w:r>
        <w:rPr>
          <w:rFonts w:hint="eastAsia"/>
          <w:color w:val="auto"/>
          <w:sz w:val="28"/>
          <w:szCs w:val="28"/>
          <w:highlight w:val="none"/>
        </w:rPr>
        <w:t>（页码）</w:t>
      </w:r>
    </w:p>
    <w:p w14:paraId="033ECDA6">
      <w:pPr>
        <w:rPr>
          <w:rFonts w:hint="eastAsia"/>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）中小企业声明函…………………………………………………（页码）</w:t>
      </w:r>
    </w:p>
    <w:p w14:paraId="0831C963">
      <w:pPr>
        <w:rPr>
          <w:rFonts w:hint="eastAsia"/>
          <w:color w:val="auto"/>
          <w:highlight w:val="none"/>
        </w:rPr>
      </w:pPr>
    </w:p>
    <w:p w14:paraId="735D5824">
      <w:pPr>
        <w:rPr>
          <w:color w:val="auto"/>
          <w:highlight w:val="none"/>
        </w:rPr>
      </w:pPr>
    </w:p>
    <w:p w14:paraId="68A8BB9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8224125">
      <w:pPr>
        <w:pStyle w:val="4"/>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一、开标一览表（报价表）</w:t>
      </w:r>
    </w:p>
    <w:p w14:paraId="490F7F24">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u w:val="single"/>
          <w:lang w:val="zh-CN"/>
        </w:rPr>
        <w:t>：</w:t>
      </w:r>
    </w:p>
    <w:p w14:paraId="024D9D7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color w:val="auto"/>
          <w:sz w:val="24"/>
          <w:highlight w:val="none"/>
          <w:lang w:eastAsia="zh-CN"/>
        </w:rPr>
        <w:t>_________（项目名称）</w:t>
      </w:r>
      <w:r>
        <w:rPr>
          <w:rFonts w:hint="eastAsia" w:ascii="宋体" w:hAnsi="宋体" w:cs="宋体"/>
          <w:color w:val="auto"/>
          <w:kern w:val="0"/>
          <w:sz w:val="24"/>
          <w:highlight w:val="none"/>
          <w:lang w:val="zh-CN"/>
        </w:rPr>
        <w:t>【</w:t>
      </w:r>
      <w:r>
        <w:rPr>
          <w:rFonts w:hint="eastAsia" w:cs="宋体"/>
          <w:color w:val="auto"/>
          <w:kern w:val="0"/>
          <w:sz w:val="24"/>
          <w:highlight w:val="none"/>
          <w:lang w:val="zh-CN"/>
        </w:rPr>
        <w:t>项目编号</w:t>
      </w:r>
      <w:r>
        <w:rPr>
          <w:rFonts w:hint="eastAsia" w:ascii="宋体" w:hAnsi="宋体" w:cs="宋体"/>
          <w:color w:val="auto"/>
          <w:kern w:val="0"/>
          <w:sz w:val="24"/>
          <w:highlight w:val="none"/>
          <w:lang w:val="zh-CN"/>
        </w:rPr>
        <w:t>：</w:t>
      </w:r>
      <w:r>
        <w:rPr>
          <w:rFonts w:hint="eastAsia" w:cs="宋体"/>
          <w:color w:val="auto"/>
          <w:sz w:val="24"/>
          <w:highlight w:val="none"/>
          <w:u w:val="single"/>
          <w:lang w:eastAsia="zh-CN"/>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FF3095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97"/>
        <w:gridCol w:w="1995"/>
        <w:gridCol w:w="1586"/>
        <w:gridCol w:w="1232"/>
        <w:gridCol w:w="1307"/>
        <w:gridCol w:w="1275"/>
        <w:gridCol w:w="576"/>
      </w:tblGrid>
      <w:tr w14:paraId="0283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2" w:type="dxa"/>
            <w:vAlign w:val="center"/>
          </w:tcPr>
          <w:p w14:paraId="5F13A6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97" w:type="dxa"/>
            <w:vAlign w:val="center"/>
          </w:tcPr>
          <w:p w14:paraId="2000D6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95" w:type="dxa"/>
            <w:vAlign w:val="center"/>
          </w:tcPr>
          <w:p w14:paraId="339C0D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586" w:type="dxa"/>
            <w:vAlign w:val="center"/>
          </w:tcPr>
          <w:p w14:paraId="616706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232" w:type="dxa"/>
            <w:vAlign w:val="center"/>
          </w:tcPr>
          <w:p w14:paraId="1C297C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307" w:type="dxa"/>
            <w:vAlign w:val="center"/>
          </w:tcPr>
          <w:p w14:paraId="51D6B9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275" w:type="dxa"/>
            <w:vAlign w:val="center"/>
          </w:tcPr>
          <w:p w14:paraId="388F71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576" w:type="dxa"/>
            <w:vAlign w:val="center"/>
          </w:tcPr>
          <w:p w14:paraId="558EA5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008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12" w:type="dxa"/>
            <w:vAlign w:val="center"/>
          </w:tcPr>
          <w:p w14:paraId="3F4418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97" w:type="dxa"/>
            <w:vAlign w:val="center"/>
          </w:tcPr>
          <w:p w14:paraId="4606E287">
            <w:pPr>
              <w:snapToGrid w:val="0"/>
              <w:spacing w:line="360" w:lineRule="auto"/>
              <w:jc w:val="center"/>
              <w:rPr>
                <w:rFonts w:hint="eastAsia" w:ascii="宋体" w:hAnsi="宋体" w:eastAsia="宋体" w:cs="宋体"/>
                <w:color w:val="auto"/>
                <w:sz w:val="24"/>
                <w:highlight w:val="none"/>
                <w:lang w:eastAsia="zh-CN"/>
              </w:rPr>
            </w:pPr>
            <w:r>
              <w:rPr>
                <w:rFonts w:hint="eastAsia" w:cs="宋体"/>
                <w:color w:val="auto"/>
                <w:sz w:val="24"/>
                <w:highlight w:val="none"/>
                <w:lang w:eastAsia="zh-CN"/>
              </w:rPr>
              <w:t>浙江省血液中心2025年信息系统网络与基础设施运维服务</w:t>
            </w:r>
          </w:p>
        </w:tc>
        <w:tc>
          <w:tcPr>
            <w:tcW w:w="1995" w:type="dxa"/>
            <w:vAlign w:val="center"/>
          </w:tcPr>
          <w:p w14:paraId="20A88720">
            <w:pPr>
              <w:snapToGrid w:val="0"/>
              <w:spacing w:line="360" w:lineRule="auto"/>
              <w:jc w:val="center"/>
              <w:rPr>
                <w:rFonts w:ascii="宋体" w:hAnsi="宋体" w:cs="宋体"/>
                <w:color w:val="auto"/>
                <w:sz w:val="24"/>
                <w:highlight w:val="none"/>
              </w:rPr>
            </w:pPr>
          </w:p>
        </w:tc>
        <w:tc>
          <w:tcPr>
            <w:tcW w:w="1586" w:type="dxa"/>
            <w:vAlign w:val="center"/>
          </w:tcPr>
          <w:p w14:paraId="54092067">
            <w:pPr>
              <w:snapToGrid w:val="0"/>
              <w:spacing w:line="360" w:lineRule="auto"/>
              <w:jc w:val="center"/>
              <w:rPr>
                <w:rFonts w:ascii="宋体" w:hAnsi="宋体" w:cs="宋体"/>
                <w:color w:val="auto"/>
                <w:sz w:val="24"/>
                <w:highlight w:val="none"/>
              </w:rPr>
            </w:pPr>
          </w:p>
        </w:tc>
        <w:tc>
          <w:tcPr>
            <w:tcW w:w="1232" w:type="dxa"/>
            <w:vAlign w:val="center"/>
          </w:tcPr>
          <w:p w14:paraId="25BD793E">
            <w:pPr>
              <w:snapToGrid w:val="0"/>
              <w:spacing w:line="360" w:lineRule="auto"/>
              <w:jc w:val="center"/>
              <w:rPr>
                <w:rFonts w:ascii="宋体" w:hAnsi="宋体" w:cs="宋体"/>
                <w:color w:val="auto"/>
                <w:sz w:val="24"/>
                <w:highlight w:val="none"/>
              </w:rPr>
            </w:pPr>
          </w:p>
        </w:tc>
        <w:tc>
          <w:tcPr>
            <w:tcW w:w="1307" w:type="dxa"/>
            <w:vAlign w:val="center"/>
          </w:tcPr>
          <w:p w14:paraId="3F25D581">
            <w:pPr>
              <w:spacing w:line="360" w:lineRule="auto"/>
              <w:jc w:val="center"/>
              <w:rPr>
                <w:rFonts w:ascii="宋体" w:hAnsi="宋体" w:cs="宋体"/>
                <w:color w:val="auto"/>
                <w:sz w:val="24"/>
                <w:highlight w:val="none"/>
              </w:rPr>
            </w:pPr>
          </w:p>
        </w:tc>
        <w:tc>
          <w:tcPr>
            <w:tcW w:w="1275" w:type="dxa"/>
            <w:vAlign w:val="center"/>
          </w:tcPr>
          <w:p w14:paraId="36546350">
            <w:pPr>
              <w:spacing w:line="360" w:lineRule="auto"/>
              <w:jc w:val="center"/>
              <w:rPr>
                <w:rFonts w:ascii="宋体" w:hAnsi="宋体" w:cs="宋体"/>
                <w:color w:val="auto"/>
                <w:sz w:val="24"/>
                <w:highlight w:val="none"/>
              </w:rPr>
            </w:pPr>
          </w:p>
        </w:tc>
        <w:tc>
          <w:tcPr>
            <w:tcW w:w="576" w:type="dxa"/>
            <w:vAlign w:val="center"/>
          </w:tcPr>
          <w:p w14:paraId="016F3E29">
            <w:pPr>
              <w:spacing w:line="360" w:lineRule="auto"/>
              <w:jc w:val="center"/>
              <w:rPr>
                <w:rFonts w:ascii="宋体" w:hAnsi="宋体" w:cs="宋体"/>
                <w:color w:val="auto"/>
                <w:sz w:val="24"/>
                <w:highlight w:val="none"/>
              </w:rPr>
            </w:pPr>
          </w:p>
        </w:tc>
      </w:tr>
      <w:tr w14:paraId="6DF1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90" w:type="dxa"/>
            <w:gridSpan w:val="4"/>
            <w:vAlign w:val="center"/>
          </w:tcPr>
          <w:p w14:paraId="1A4DBA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390" w:type="dxa"/>
            <w:gridSpan w:val="4"/>
            <w:vAlign w:val="center"/>
          </w:tcPr>
          <w:p w14:paraId="65F9A72E">
            <w:pPr>
              <w:spacing w:line="360" w:lineRule="auto"/>
              <w:jc w:val="center"/>
              <w:rPr>
                <w:rFonts w:ascii="宋体" w:hAnsi="宋体" w:cs="宋体"/>
                <w:color w:val="auto"/>
                <w:sz w:val="24"/>
                <w:highlight w:val="none"/>
              </w:rPr>
            </w:pPr>
          </w:p>
        </w:tc>
      </w:tr>
      <w:tr w14:paraId="25DE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0" w:type="dxa"/>
            <w:gridSpan w:val="4"/>
            <w:vAlign w:val="center"/>
          </w:tcPr>
          <w:p w14:paraId="14664E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390" w:type="dxa"/>
            <w:gridSpan w:val="4"/>
            <w:vAlign w:val="center"/>
          </w:tcPr>
          <w:p w14:paraId="61D5889D">
            <w:pPr>
              <w:spacing w:line="360" w:lineRule="auto"/>
              <w:jc w:val="center"/>
              <w:rPr>
                <w:rFonts w:ascii="宋体" w:hAnsi="宋体" w:cs="宋体"/>
                <w:color w:val="auto"/>
                <w:sz w:val="24"/>
                <w:highlight w:val="none"/>
              </w:rPr>
            </w:pPr>
          </w:p>
        </w:tc>
      </w:tr>
    </w:tbl>
    <w:p w14:paraId="4938384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11120F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5DCD0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F26773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C826AB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3815668">
      <w:pPr>
        <w:rPr>
          <w:color w:val="auto"/>
          <w:highlight w:val="none"/>
        </w:rPr>
      </w:pPr>
    </w:p>
    <w:p w14:paraId="21F73271">
      <w:pPr>
        <w:rPr>
          <w:color w:val="auto"/>
          <w:highlight w:val="none"/>
        </w:rPr>
      </w:pPr>
    </w:p>
    <w:p w14:paraId="41A38C38">
      <w:pPr>
        <w:rPr>
          <w:color w:val="auto"/>
          <w:highlight w:val="none"/>
        </w:rPr>
      </w:pPr>
    </w:p>
    <w:p w14:paraId="63BD4AE7">
      <w:pPr>
        <w:rPr>
          <w:color w:val="auto"/>
          <w:highlight w:val="none"/>
        </w:rPr>
      </w:pPr>
    </w:p>
    <w:p w14:paraId="7D9FB7ED">
      <w:pPr>
        <w:pStyle w:val="4"/>
        <w:bidi w:val="0"/>
        <w:ind w:left="0" w:firstLine="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二、报价情况说明（如果有）</w:t>
      </w:r>
    </w:p>
    <w:p w14:paraId="12983115">
      <w:pPr>
        <w:jc w:val="center"/>
        <w:rPr>
          <w:rFonts w:hint="default"/>
          <w:b/>
          <w:bCs/>
          <w:color w:val="auto"/>
          <w:highlight w:val="none"/>
          <w:lang w:val="en-US" w:eastAsia="zh-CN"/>
        </w:rPr>
      </w:pPr>
      <w:r>
        <w:rPr>
          <w:rFonts w:hint="eastAsia"/>
          <w:b/>
          <w:bCs/>
          <w:color w:val="auto"/>
          <w:highlight w:val="none"/>
          <w:lang w:val="en-US"/>
        </w:rPr>
        <w:t>（如供应商报价低于项目预算50%的，应当提交本文档，详细阐述不影响产品质量或者诚信履约的具体原因</w:t>
      </w:r>
      <w:r>
        <w:rPr>
          <w:rFonts w:hint="eastAsia"/>
          <w:b/>
          <w:bCs/>
          <w:color w:val="auto"/>
          <w:highlight w:val="none"/>
          <w:lang w:val="en-US" w:eastAsia="zh-CN"/>
        </w:rPr>
        <w:t>。</w:t>
      </w:r>
      <w:r>
        <w:rPr>
          <w:rFonts w:hint="eastAsia"/>
          <w:b/>
          <w:bCs/>
          <w:color w:val="auto"/>
          <w:highlight w:val="none"/>
          <w:lang w:val="en-US"/>
        </w:rPr>
        <w:t>）</w:t>
      </w:r>
    </w:p>
    <w:p w14:paraId="31962BD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595275E">
      <w:pPr>
        <w:pStyle w:val="4"/>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、中小企业声明函（如果有）</w:t>
      </w:r>
    </w:p>
    <w:p w14:paraId="0DAD96DC">
      <w:pPr>
        <w:jc w:val="cente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ABCF78">
      <w:pPr>
        <w:rPr>
          <w:rFonts w:hint="eastAsia"/>
          <w:color w:val="auto"/>
          <w:highlight w:val="none"/>
        </w:rPr>
      </w:pPr>
      <w:r>
        <w:rPr>
          <w:rFonts w:hint="eastAsia"/>
          <w:color w:val="auto"/>
          <w:highlight w:val="none"/>
        </w:rPr>
        <w:br w:type="page"/>
      </w:r>
    </w:p>
    <w:p w14:paraId="55D4DEC5">
      <w:pPr>
        <w:pStyle w:val="3"/>
        <w:bidi w:val="0"/>
        <w:jc w:val="both"/>
        <w:rPr>
          <w:color w:val="auto"/>
          <w:highlight w:val="none"/>
        </w:rPr>
      </w:pPr>
      <w:r>
        <w:rPr>
          <w:rFonts w:hint="eastAsia"/>
          <w:color w:val="auto"/>
          <w:highlight w:val="none"/>
        </w:rPr>
        <w:t>附件</w:t>
      </w:r>
    </w:p>
    <w:p w14:paraId="648C5F96">
      <w:pPr>
        <w:pStyle w:val="4"/>
        <w:bidi w:val="0"/>
        <w:jc w:val="both"/>
        <w:rPr>
          <w:color w:val="auto"/>
          <w:highlight w:val="none"/>
        </w:rPr>
      </w:pPr>
      <w:r>
        <w:rPr>
          <w:rFonts w:hint="eastAsia"/>
          <w:color w:val="auto"/>
          <w:highlight w:val="none"/>
        </w:rPr>
        <w:t>附件1：残疾人福利性单位声明函</w:t>
      </w:r>
    </w:p>
    <w:p w14:paraId="5F67E156">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5FE4BE13">
      <w:pPr>
        <w:spacing w:line="360" w:lineRule="auto"/>
        <w:rPr>
          <w:rFonts w:ascii="宋体" w:hAnsi="宋体" w:cs="宋体"/>
          <w:b/>
          <w:color w:val="auto"/>
          <w:spacing w:val="6"/>
          <w:sz w:val="30"/>
          <w:szCs w:val="30"/>
          <w:highlight w:val="none"/>
        </w:rPr>
      </w:pPr>
    </w:p>
    <w:p w14:paraId="085A97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u w:val="none"/>
        </w:rPr>
        <w:t>加__________(采购人)单位的_</w:t>
      </w:r>
      <w:r>
        <w:rPr>
          <w:rFonts w:hint="eastAsia" w:cs="宋体"/>
          <w:color w:val="auto"/>
          <w:sz w:val="24"/>
          <w:highlight w:val="none"/>
          <w:u w:val="none"/>
          <w:lang w:eastAsia="zh-CN"/>
        </w:rPr>
        <w:t>_________</w:t>
      </w:r>
      <w:r>
        <w:rPr>
          <w:rFonts w:hint="eastAsia" w:ascii="宋体" w:hAnsi="宋体" w:cs="宋体"/>
          <w:color w:val="auto"/>
          <w:sz w:val="24"/>
          <w:highlight w:val="none"/>
          <w:u w:val="none"/>
        </w:rPr>
        <w:t>__</w:t>
      </w:r>
      <w:r>
        <w:rPr>
          <w:rFonts w:hint="eastAsia" w:cs="宋体"/>
          <w:color w:val="auto"/>
          <w:sz w:val="24"/>
          <w:highlight w:val="none"/>
          <w:u w:val="none"/>
          <w:lang w:eastAsia="zh-CN"/>
        </w:rPr>
        <w:t>（项目名称）</w:t>
      </w:r>
      <w:r>
        <w:rPr>
          <w:rFonts w:hint="eastAsia" w:ascii="宋体" w:hAnsi="宋体" w:cs="宋体"/>
          <w:color w:val="auto"/>
          <w:sz w:val="24"/>
          <w:highlight w:val="none"/>
          <w:u w:val="none"/>
        </w:rPr>
        <w:t>项目采</w:t>
      </w:r>
      <w:r>
        <w:rPr>
          <w:rFonts w:hint="eastAsia" w:ascii="宋体" w:hAnsi="宋体" w:cs="宋体"/>
          <w:color w:val="auto"/>
          <w:sz w:val="24"/>
          <w:highlight w:val="none"/>
        </w:rPr>
        <w:t>购活动提供本单位制造的货物（由本单位承担工程/提供服务），或者提供其他残疾人福利性单位制造的货物（不包括使用非残疾人福利性单位注册商标的货物）。</w:t>
      </w:r>
    </w:p>
    <w:p w14:paraId="2BBB40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C7A255">
      <w:pPr>
        <w:jc w:val="center"/>
        <w:rPr>
          <w:color w:val="auto"/>
          <w:highlight w:val="none"/>
        </w:rPr>
      </w:pPr>
    </w:p>
    <w:p w14:paraId="57EDF155">
      <w:pPr>
        <w:jc w:val="center"/>
        <w:rPr>
          <w:color w:val="auto"/>
          <w:highlight w:val="none"/>
        </w:rPr>
      </w:pPr>
    </w:p>
    <w:p w14:paraId="6CA5D444">
      <w:pPr>
        <w:jc w:val="center"/>
        <w:rPr>
          <w:color w:val="auto"/>
          <w:highlight w:val="none"/>
        </w:rPr>
      </w:pPr>
      <w:r>
        <w:rPr>
          <w:rFonts w:hint="eastAsia"/>
          <w:color w:val="auto"/>
          <w:highlight w:val="none"/>
          <w:lang w:val="zh-CN"/>
        </w:rPr>
        <w:t>投标人名称（电子签名）</w:t>
      </w:r>
      <w:r>
        <w:rPr>
          <w:rFonts w:hint="eastAsia"/>
          <w:color w:val="auto"/>
          <w:highlight w:val="none"/>
        </w:rPr>
        <w:t>：</w:t>
      </w:r>
    </w:p>
    <w:p w14:paraId="6A6FB69E">
      <w:pPr>
        <w:jc w:val="center"/>
        <w:rPr>
          <w:color w:val="auto"/>
          <w:highlight w:val="none"/>
        </w:rPr>
      </w:pPr>
      <w:r>
        <w:rPr>
          <w:rFonts w:hint="eastAsia"/>
          <w:color w:val="auto"/>
          <w:highlight w:val="none"/>
        </w:rPr>
        <w:t>日  期：</w:t>
      </w:r>
    </w:p>
    <w:p w14:paraId="384E20B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97B1F0">
      <w:pPr>
        <w:pStyle w:val="4"/>
        <w:bidi w:val="0"/>
        <w:ind w:left="0" w:firstLine="0"/>
        <w:jc w:val="both"/>
        <w:rPr>
          <w:rFonts w:hint="eastAsia" w:ascii="宋体" w:hAnsi="宋体" w:eastAsia="宋体" w:cs="宋体"/>
          <w:color w:val="auto"/>
          <w:highlight w:val="none"/>
        </w:rPr>
      </w:pPr>
      <w:r>
        <w:rPr>
          <w:rFonts w:hint="eastAsia" w:ascii="宋体" w:hAnsi="宋体" w:eastAsia="宋体" w:cs="宋体"/>
          <w:color w:val="auto"/>
          <w:highlight w:val="none"/>
        </w:rPr>
        <w:t>附件2：质疑函范本及制作说明</w:t>
      </w:r>
    </w:p>
    <w:p w14:paraId="7C94B20B">
      <w:pPr>
        <w:jc w:val="center"/>
        <w:rPr>
          <w:b/>
          <w:bCs/>
          <w:color w:val="auto"/>
          <w:sz w:val="28"/>
          <w:szCs w:val="28"/>
          <w:highlight w:val="none"/>
        </w:rPr>
      </w:pPr>
      <w:r>
        <w:rPr>
          <w:rFonts w:hint="eastAsia"/>
          <w:b/>
          <w:bCs/>
          <w:color w:val="auto"/>
          <w:sz w:val="28"/>
          <w:szCs w:val="28"/>
          <w:highlight w:val="none"/>
        </w:rPr>
        <w:t>质疑函范本</w:t>
      </w:r>
    </w:p>
    <w:p w14:paraId="51606B65">
      <w:pPr>
        <w:keepNext w:val="0"/>
        <w:keepLines w:val="0"/>
        <w:pageBreakBefore w:val="0"/>
        <w:widowControl w:val="0"/>
        <w:kinsoku/>
        <w:wordWrap w:val="0"/>
        <w:overflowPunct/>
        <w:topLinePunct w:val="0"/>
        <w:autoSpaceDE/>
        <w:autoSpaceDN/>
        <w:bidi w:val="0"/>
        <w:adjustRightInd w:val="0"/>
        <w:snapToGrid w:val="0"/>
        <w:spacing w:before="240" w:beforeLines="10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一、质疑供应商基本信息</w:t>
      </w:r>
    </w:p>
    <w:p w14:paraId="7D2CE483">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质疑供应商：_______________________________________ </w:t>
      </w:r>
    </w:p>
    <w:p w14:paraId="7E04232A">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地址：________________________  邮编：_________________________________</w:t>
      </w:r>
    </w:p>
    <w:p w14:paraId="62E7DF6F">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联系人：_____________________ 联系电话：______________________________</w:t>
      </w:r>
    </w:p>
    <w:p w14:paraId="6624BCD6">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授权代表：__________________________________________</w:t>
      </w:r>
    </w:p>
    <w:p w14:paraId="018D13E6">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联系电话：__________________________________________  </w:t>
      </w:r>
    </w:p>
    <w:p w14:paraId="6FF3FAB7">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 邮编：_________________________________ </w:t>
      </w:r>
    </w:p>
    <w:p w14:paraId="2B531F0C">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二、质疑项目基本情况</w:t>
      </w:r>
    </w:p>
    <w:p w14:paraId="57DE390D">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质疑项目的名称：____________________________________  </w:t>
      </w:r>
    </w:p>
    <w:p w14:paraId="224DC11C">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质疑项目的编号：_______________包号：_______________  </w:t>
      </w:r>
    </w:p>
    <w:p w14:paraId="55BD8333">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采购人名称：_______________________________________  </w:t>
      </w:r>
    </w:p>
    <w:p w14:paraId="3B8C8B9F">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采购文件获取日期：_________________________________  </w:t>
      </w:r>
    </w:p>
    <w:p w14:paraId="6D96F097">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三、质疑事项具体内容</w:t>
      </w:r>
    </w:p>
    <w:p w14:paraId="31C25E1D">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质疑事项1：_______________________________________  </w:t>
      </w:r>
    </w:p>
    <w:p w14:paraId="738C7BC3">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事实依据：__________________________________________</w:t>
      </w:r>
    </w:p>
    <w:p w14:paraId="3B940E26">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 </w:t>
      </w:r>
    </w:p>
    <w:p w14:paraId="3377FCBB">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法律依据：__________________________________________</w:t>
      </w:r>
    </w:p>
    <w:p w14:paraId="2890E22B">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 </w:t>
      </w:r>
    </w:p>
    <w:p w14:paraId="4FF03EDC">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7B7FCB1">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2B6340C">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四、与质疑事项相关的质疑请求</w:t>
      </w:r>
    </w:p>
    <w:p w14:paraId="4F00FC1F">
      <w:pPr>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请求：_____________________________________________  </w:t>
      </w:r>
    </w:p>
    <w:p w14:paraId="4A5FAE90">
      <w:pPr>
        <w:keepNext w:val="0"/>
        <w:keepLines w:val="0"/>
        <w:pageBreakBefore w:val="0"/>
        <w:widowControl w:val="0"/>
        <w:kinsoku/>
        <w:wordWrap w:val="0"/>
        <w:overflowPunct/>
        <w:topLinePunct w:val="0"/>
        <w:autoSpaceDE/>
        <w:autoSpaceDN/>
        <w:bidi w:val="0"/>
        <w:adjustRightIn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签字(签章)：__________________ 公章：_______________ </w:t>
      </w:r>
    </w:p>
    <w:p w14:paraId="55A9BB89">
      <w:pPr>
        <w:keepNext w:val="0"/>
        <w:keepLines w:val="0"/>
        <w:pageBreakBefore w:val="0"/>
        <w:widowControl w:val="0"/>
        <w:kinsoku/>
        <w:wordWrap w:val="0"/>
        <w:overflowPunct/>
        <w:topLinePunct w:val="0"/>
        <w:autoSpaceDE/>
        <w:autoSpaceDN/>
        <w:bidi w:val="0"/>
        <w:adjustRightInd w:val="0"/>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日期：___ </w:t>
      </w:r>
    </w:p>
    <w:p w14:paraId="736A2398">
      <w:pPr>
        <w:jc w:val="both"/>
        <w:rPr>
          <w:rFonts w:ascii="宋体" w:hAnsi="宋体" w:eastAsia="宋体" w:cs="宋体"/>
          <w:color w:val="auto"/>
          <w:highlight w:val="none"/>
        </w:rPr>
      </w:pPr>
    </w:p>
    <w:p w14:paraId="1DFB64C2">
      <w:pPr>
        <w:spacing w:line="360" w:lineRule="auto"/>
        <w:jc w:val="both"/>
        <w:rPr>
          <w:rFonts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0C87102">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280639B1">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BF2DB9">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026E30AA">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592D237F">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7F34DE0F">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13784E9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8CDB781">
      <w:pPr>
        <w:pStyle w:val="4"/>
        <w:bidi w:val="0"/>
        <w:ind w:left="0" w:firstLine="0"/>
        <w:jc w:val="both"/>
        <w:rPr>
          <w:rFonts w:hint="eastAsia" w:ascii="宋体" w:hAnsi="宋体" w:eastAsia="宋体" w:cs="宋体"/>
          <w:color w:val="auto"/>
          <w:highlight w:val="none"/>
        </w:rPr>
      </w:pPr>
      <w:r>
        <w:rPr>
          <w:rFonts w:hint="eastAsia" w:ascii="宋体" w:hAnsi="宋体" w:eastAsia="宋体" w:cs="宋体"/>
          <w:color w:val="auto"/>
          <w:highlight w:val="none"/>
        </w:rPr>
        <w:t>附件3：投诉书范本及制作说明</w:t>
      </w:r>
    </w:p>
    <w:p w14:paraId="3EEDE1E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投诉书范本</w:t>
      </w:r>
    </w:p>
    <w:p w14:paraId="03FEA76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7CA45B9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投诉人：_____________________________________________</w:t>
      </w:r>
    </w:p>
    <w:p w14:paraId="1262FF9E">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地址：___________________________邮编：____________</w:t>
      </w:r>
    </w:p>
    <w:p w14:paraId="0CEFAA8C">
      <w:pPr>
        <w:keepNext w:val="0"/>
        <w:keepLines w:val="0"/>
        <w:pageBreakBefore w:val="0"/>
        <w:widowControl w:val="0"/>
        <w:tabs>
          <w:tab w:val="left" w:pos="6510"/>
        </w:tabs>
        <w:kinsoku/>
        <w:wordWrap w:val="0"/>
        <w:overflowPunct/>
        <w:topLinePunct w:val="0"/>
        <w:autoSpaceDE/>
        <w:autoSpaceDN/>
        <w:bidi w:val="0"/>
        <w:adjustRightInd w:val="0"/>
        <w:snapToGrid/>
        <w:ind w:firstLine="0" w:firstLineChars="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法定代表人/主要负责人：_________________________________  </w:t>
      </w:r>
    </w:p>
    <w:p w14:paraId="51A58831">
      <w:pPr>
        <w:keepNext w:val="0"/>
        <w:keepLines w:val="0"/>
        <w:pageBreakBefore w:val="0"/>
        <w:widowControl w:val="0"/>
        <w:tabs>
          <w:tab w:val="left" w:pos="6510"/>
        </w:tabs>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联系电话：_____________________________________________</w:t>
      </w:r>
    </w:p>
    <w:p w14:paraId="4B4C9780">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授权代表：____________ 联系电话：__________________</w:t>
      </w:r>
    </w:p>
    <w:p w14:paraId="3A208CE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  邮编：____________  </w:t>
      </w:r>
    </w:p>
    <w:p w14:paraId="160CF69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被投诉人1：_____________________________________________</w:t>
      </w:r>
    </w:p>
    <w:p w14:paraId="1284A01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  邮编：_________  </w:t>
      </w:r>
    </w:p>
    <w:p w14:paraId="7598751E">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联系人：_______________联系电话：_____________________  </w:t>
      </w:r>
    </w:p>
    <w:p w14:paraId="07B21CC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3120406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441122A">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相关供应商：_____________________________________________</w:t>
      </w:r>
    </w:p>
    <w:p w14:paraId="00A4FCBE">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  邮编：_________  </w:t>
      </w:r>
    </w:p>
    <w:p w14:paraId="55EC40B3">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联系人：_______________联系电话：________________________</w:t>
      </w:r>
    </w:p>
    <w:p w14:paraId="0307077D">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677B4F9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采购项目名称：_______________________________________ </w:t>
      </w:r>
    </w:p>
    <w:p w14:paraId="18A1BF3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采购项目编号：_______________  包号：____________  </w:t>
      </w:r>
    </w:p>
    <w:p w14:paraId="56E998A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采购人名称：__________________________________________ </w:t>
      </w:r>
    </w:p>
    <w:p w14:paraId="6F96B92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代理机构名称：_______________________________________  </w:t>
      </w:r>
    </w:p>
    <w:p w14:paraId="62A9D64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采购文件公告:是/否 公告期限：________________________  </w:t>
      </w:r>
    </w:p>
    <w:p w14:paraId="02E914D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采购结果公告:是/否 公告期限：________________________</w:t>
      </w:r>
    </w:p>
    <w:p w14:paraId="5EB4C15A">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三、质疑基本情况</w:t>
      </w:r>
    </w:p>
    <w:p w14:paraId="53B092E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投诉人于___年___月__日,向_____________ 提出质疑，质疑事项为：_________</w:t>
      </w:r>
    </w:p>
    <w:p w14:paraId="18702EF0">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______________________________________________________ </w:t>
      </w:r>
    </w:p>
    <w:p w14:paraId="4C63221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采购人/代理机构于___年___月___日,就质疑事项作出了答复/没有在法定期限内作出答复。</w:t>
      </w:r>
    </w:p>
    <w:p w14:paraId="32C95EE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66940BA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 1：_______________________________________</w:t>
      </w:r>
    </w:p>
    <w:p w14:paraId="44D19DF0">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事实依据：_______________________________________  </w:t>
      </w:r>
    </w:p>
    <w:p w14:paraId="63578FAA">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______________________________________________________</w:t>
      </w:r>
    </w:p>
    <w:p w14:paraId="2E49631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法律依据：__________________________________________</w:t>
      </w:r>
    </w:p>
    <w:p w14:paraId="4E7506C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______________________________________________________</w:t>
      </w:r>
    </w:p>
    <w:p w14:paraId="48E2439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25B761E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AE56C5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567677D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请求：_____________________________________________  </w:t>
      </w:r>
    </w:p>
    <w:p w14:paraId="1D90357A">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______________________________________________________  </w:t>
      </w:r>
    </w:p>
    <w:p w14:paraId="5D6A3FC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签字(签章)：__________________ 公章：_____________________ </w:t>
      </w:r>
    </w:p>
    <w:p w14:paraId="5274CBC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日期：___ </w:t>
      </w:r>
    </w:p>
    <w:p w14:paraId="6CB5D41E">
      <w:pPr>
        <w:spacing w:line="360" w:lineRule="auto"/>
        <w:jc w:val="both"/>
        <w:rPr>
          <w:rFonts w:ascii="宋体" w:hAnsi="宋体" w:eastAsia="宋体" w:cs="宋体"/>
          <w:b/>
          <w:color w:val="auto"/>
          <w:sz w:val="24"/>
          <w:highlight w:val="none"/>
        </w:rPr>
      </w:pPr>
    </w:p>
    <w:p w14:paraId="182D8261">
      <w:pPr>
        <w:spacing w:line="360" w:lineRule="auto"/>
        <w:jc w:val="both"/>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96C91BA">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1.投诉人提起投诉时，应当提交投诉书和必要的证明材料，并按照被投诉人和与投诉事项有关的供应商数量提供投诉书副本。</w:t>
      </w:r>
    </w:p>
    <w:p w14:paraId="1F67CC85">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2EA569">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3.投诉人若对项目的某一分包进行投诉，投诉书应列明具体分包号。</w:t>
      </w:r>
    </w:p>
    <w:p w14:paraId="6A9CDBF2">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4.投诉书应简要列明质疑事项，质疑函、质疑答复等作为附件材料提供。</w:t>
      </w:r>
    </w:p>
    <w:p w14:paraId="6DE09AEC">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5.投诉书的投诉事项应具体、明确，并有必要的事实依据和法律依据。</w:t>
      </w:r>
    </w:p>
    <w:p w14:paraId="520DF26A">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6.投诉书的投诉请求应与投诉事项相关。</w:t>
      </w:r>
    </w:p>
    <w:p w14:paraId="1824495B">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7.投诉人为自然人的，投诉书应当由本人签字；投诉人为法人或者其他组织的，投诉书应当由法定代表人、主要负责人，或者其授权代表签字或者盖章，并加盖公章。</w:t>
      </w:r>
    </w:p>
    <w:p w14:paraId="75640686">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69AD874">
      <w:pPr>
        <w:pStyle w:val="4"/>
        <w:bidi w:val="0"/>
        <w:ind w:left="0" w:firstLine="0"/>
        <w:jc w:val="both"/>
        <w:rPr>
          <w:rFonts w:hint="eastAsia" w:ascii="宋体" w:hAnsi="宋体" w:eastAsia="宋体" w:cs="宋体"/>
          <w:color w:val="auto"/>
          <w:highlight w:val="none"/>
        </w:rPr>
      </w:pPr>
      <w:r>
        <w:rPr>
          <w:rFonts w:hint="eastAsia" w:ascii="宋体" w:hAnsi="宋体" w:eastAsia="宋体" w:cs="宋体"/>
          <w:color w:val="auto"/>
          <w:highlight w:val="none"/>
        </w:rPr>
        <w:t>附件4：业务专用章使用说明函</w:t>
      </w:r>
    </w:p>
    <w:p w14:paraId="5FB8D62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业务专用章使用说明函</w:t>
      </w:r>
    </w:p>
    <w:p w14:paraId="70DF980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14:paraId="2D13E90E">
      <w:pPr>
        <w:spacing w:line="360" w:lineRule="auto"/>
        <w:ind w:firstLine="494"/>
        <w:rPr>
          <w:rFonts w:hint="eastAsia" w:ascii="宋体" w:hAnsi="宋体" w:cs="宋体"/>
          <w:color w:val="auto"/>
          <w:sz w:val="24"/>
          <w:highlight w:val="none"/>
        </w:rPr>
      </w:pPr>
      <w:r>
        <w:rPr>
          <w:rFonts w:hint="eastAsia" w:ascii="宋体" w:hAnsi="宋体" w:cs="宋体"/>
          <w:color w:val="auto"/>
          <w:sz w:val="24"/>
          <w:highlight w:val="none"/>
        </w:rPr>
        <w:t xml:space="preserve">我方______________________(投标人全称)是中华人民共和国依法登记注册的合法企业，在参加你方组织的____________________（项目名称）【项目编号：（采购编号）】投标活动中作如下说明：我方所使用的“XX专用章”与法定名称章具有同等的法律效力，对使用“XX专用章”的行为予以完全承认，并愿意承担相应责任。   </w:t>
      </w:r>
    </w:p>
    <w:p w14:paraId="4A88210A">
      <w:pPr>
        <w:spacing w:line="360" w:lineRule="auto"/>
        <w:ind w:firstLine="494"/>
        <w:rPr>
          <w:rFonts w:ascii="宋体" w:hAnsi="宋体" w:cs="宋体"/>
          <w:color w:val="auto"/>
          <w:sz w:val="24"/>
          <w:highlight w:val="none"/>
        </w:rPr>
      </w:pPr>
      <w:r>
        <w:rPr>
          <w:rFonts w:hint="eastAsia" w:ascii="宋体" w:hAnsi="宋体" w:cs="宋体"/>
          <w:color w:val="auto"/>
          <w:sz w:val="24"/>
          <w:highlight w:val="none"/>
        </w:rPr>
        <w:t>特此说明。</w:t>
      </w:r>
    </w:p>
    <w:p w14:paraId="5502BAD3">
      <w:pPr>
        <w:rPr>
          <w:color w:val="auto"/>
          <w:highlight w:val="none"/>
        </w:rPr>
      </w:pPr>
    </w:p>
    <w:p w14:paraId="40A3A7E9">
      <w:pPr>
        <w:rPr>
          <w:color w:val="auto"/>
          <w:highlight w:val="none"/>
        </w:rPr>
      </w:pPr>
    </w:p>
    <w:p w14:paraId="3715152C">
      <w:pPr>
        <w:rPr>
          <w:color w:val="auto"/>
          <w:highlight w:val="none"/>
        </w:rPr>
      </w:pPr>
    </w:p>
    <w:p w14:paraId="0542437B">
      <w:pPr>
        <w:jc w:val="right"/>
        <w:rPr>
          <w:color w:val="auto"/>
          <w:highlight w:val="none"/>
        </w:rPr>
      </w:pPr>
      <w:r>
        <w:rPr>
          <w:rFonts w:hint="eastAsia"/>
          <w:color w:val="auto"/>
          <w:highlight w:val="none"/>
        </w:rPr>
        <w:t>投标单位（法定名称章）：</w:t>
      </w:r>
    </w:p>
    <w:p w14:paraId="1FDECE6B">
      <w:pPr>
        <w:jc w:val="right"/>
        <w:rPr>
          <w:color w:val="auto"/>
          <w:highlight w:val="none"/>
        </w:rPr>
      </w:pPr>
      <w:r>
        <w:rPr>
          <w:rFonts w:hint="eastAsia"/>
          <w:color w:val="auto"/>
          <w:highlight w:val="none"/>
        </w:rPr>
        <w:t>日期：       年     月     日</w:t>
      </w:r>
    </w:p>
    <w:p w14:paraId="4A625EBD">
      <w:pPr>
        <w:rPr>
          <w:rFonts w:ascii="宋体" w:hAnsi="宋体" w:cs="宋体"/>
          <w:color w:val="auto"/>
          <w:sz w:val="24"/>
          <w:highlight w:val="none"/>
        </w:rPr>
      </w:pPr>
      <w:r>
        <w:rPr>
          <w:rFonts w:hint="eastAsia" w:ascii="宋体" w:hAnsi="宋体" w:cs="宋体"/>
          <w:b/>
          <w:bCs/>
          <w:color w:val="auto"/>
          <w:sz w:val="24"/>
          <w:highlight w:val="none"/>
        </w:rPr>
        <w:t>附：</w:t>
      </w:r>
    </w:p>
    <w:p w14:paraId="7CE44ADE">
      <w:pPr>
        <w:rPr>
          <w:color w:val="auto"/>
          <w:highlight w:val="none"/>
        </w:rPr>
      </w:pP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olor w:val="auto"/>
          <w:highlight w:val="none"/>
        </w:rPr>
        <w:t>投标单位法定名称章（印模）                投标单位“XX专用章”（印模）</w:t>
      </w:r>
    </w:p>
    <w:p w14:paraId="04B90A7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220B62B">
      <w:pPr>
        <w:pStyle w:val="4"/>
        <w:bidi w:val="0"/>
        <w:ind w:left="0" w:firstLine="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附件5：</w:t>
      </w:r>
      <w:r>
        <w:rPr>
          <w:rFonts w:hint="eastAsia" w:ascii="宋体" w:hAnsi="宋体" w:eastAsia="宋体" w:cs="宋体"/>
          <w:color w:val="auto"/>
          <w:highlight w:val="none"/>
          <w:lang w:val="zh-CN"/>
        </w:rPr>
        <w:t>联合协议</w:t>
      </w:r>
    </w:p>
    <w:p w14:paraId="69762D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34DE20">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none"/>
        </w:rPr>
        <w:t>_______________（联合体所有成员名称）自愿</w:t>
      </w:r>
      <w:r>
        <w:rPr>
          <w:rFonts w:hint="eastAsia" w:ascii="宋体" w:hAnsi="宋体" w:cs="宋体"/>
          <w:color w:val="auto"/>
          <w:kern w:val="0"/>
          <w:sz w:val="24"/>
          <w:highlight w:val="none"/>
          <w:u w:val="none"/>
          <w:lang w:val="zh-CN"/>
        </w:rPr>
        <w:t>组成一个联合体，以一个投标人的身份</w:t>
      </w:r>
      <w:r>
        <w:rPr>
          <w:rFonts w:hint="eastAsia" w:ascii="宋体" w:hAnsi="宋体" w:cs="宋体"/>
          <w:color w:val="auto"/>
          <w:kern w:val="0"/>
          <w:sz w:val="24"/>
          <w:highlight w:val="none"/>
          <w:u w:val="none"/>
        </w:rPr>
        <w:t>参加</w:t>
      </w:r>
      <w:r>
        <w:rPr>
          <w:rFonts w:hint="eastAsia" w:cs="宋体"/>
          <w:color w:val="auto"/>
          <w:sz w:val="24"/>
          <w:highlight w:val="none"/>
          <w:u w:val="none"/>
          <w:lang w:eastAsia="zh-CN"/>
        </w:rPr>
        <w:t>_________（项目名称）</w:t>
      </w:r>
      <w:r>
        <w:rPr>
          <w:rFonts w:hint="eastAsia" w:ascii="宋体" w:hAnsi="宋体" w:cs="宋体"/>
          <w:color w:val="auto"/>
          <w:sz w:val="24"/>
          <w:highlight w:val="none"/>
        </w:rPr>
        <w:t>【</w:t>
      </w:r>
      <w:r>
        <w:rPr>
          <w:rFonts w:hint="eastAsia" w:cs="宋体"/>
          <w:color w:val="auto"/>
          <w:sz w:val="24"/>
          <w:highlight w:val="none"/>
          <w:lang w:eastAsia="zh-CN"/>
        </w:rPr>
        <w:t>项目编号</w:t>
      </w:r>
      <w:r>
        <w:rPr>
          <w:rFonts w:hint="eastAsia" w:ascii="宋体" w:hAnsi="宋体" w:cs="宋体"/>
          <w:color w:val="auto"/>
          <w:sz w:val="24"/>
          <w:highlight w:val="none"/>
        </w:rPr>
        <w:t>：</w:t>
      </w:r>
      <w:r>
        <w:rPr>
          <w:rFonts w:hint="eastAsia" w:cs="宋体"/>
          <w:color w:val="auto"/>
          <w:sz w:val="24"/>
          <w:highlight w:val="none"/>
          <w:u w:val="single"/>
          <w:lang w:eastAsia="zh-CN"/>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D376E55">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一、各方一致决定，_______________</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C973B0">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9752BA7">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95FDE91">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__________（联合体成员1）</w:t>
      </w:r>
      <w:r>
        <w:rPr>
          <w:rFonts w:hint="eastAsia" w:ascii="宋体" w:hAnsi="宋体" w:cs="宋体"/>
          <w:color w:val="auto"/>
          <w:kern w:val="0"/>
          <w:sz w:val="24"/>
          <w:highlight w:val="none"/>
          <w:lang w:val="zh-CN"/>
        </w:rPr>
        <w:t>承担的工作和义务为：</w:t>
      </w:r>
      <w:r>
        <w:rPr>
          <w:rFonts w:hint="eastAsia" w:cs="宋体"/>
          <w:color w:val="auto"/>
          <w:highlight w:val="none"/>
          <w:u w:val="single"/>
          <w:lang w:eastAsia="zh-CN"/>
        </w:rPr>
        <w:t>_____________</w:t>
      </w:r>
      <w:r>
        <w:rPr>
          <w:rFonts w:hint="eastAsia" w:ascii="宋体" w:hAnsi="宋体" w:cs="宋体"/>
          <w:color w:val="auto"/>
          <w:kern w:val="0"/>
          <w:sz w:val="24"/>
          <w:highlight w:val="none"/>
          <w:lang w:val="zh-CN"/>
        </w:rPr>
        <w:t>；</w:t>
      </w:r>
    </w:p>
    <w:p w14:paraId="0B36E135">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__________（联合体成员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cs="宋体"/>
          <w:color w:val="auto"/>
          <w:highlight w:val="none"/>
          <w:u w:val="single"/>
          <w:lang w:eastAsia="zh-CN"/>
        </w:rPr>
        <w:t>_____________</w:t>
      </w:r>
      <w:r>
        <w:rPr>
          <w:rFonts w:hint="eastAsia" w:ascii="宋体" w:hAnsi="宋体" w:cs="宋体"/>
          <w:color w:val="auto"/>
          <w:kern w:val="0"/>
          <w:sz w:val="24"/>
          <w:highlight w:val="none"/>
          <w:lang w:val="zh-CN"/>
        </w:rPr>
        <w:t>；</w:t>
      </w:r>
    </w:p>
    <w:p w14:paraId="6F193D4D">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93ECCE0">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DB606F9">
      <w:pPr>
        <w:pageBreakBefore w:val="0"/>
        <w:kinsoku/>
        <w:wordWrap w:val="0"/>
        <w:overflowPunct/>
        <w:topLinePunct w:val="0"/>
        <w:bidi w:val="0"/>
        <w:snapToGrid w:val="0"/>
        <w:spacing w:line="360"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2" w:name="_Hlk101131882"/>
      <w:r>
        <w:rPr>
          <w:rFonts w:hint="eastAsia" w:ascii="宋体" w:hAnsi="宋体" w:cs="宋体"/>
          <w:color w:val="auto"/>
          <w:kern w:val="0"/>
          <w:sz w:val="24"/>
          <w:highlight w:val="none"/>
          <w:u w:val="single"/>
        </w:rPr>
        <w:t>__________联合体成员X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cs="宋体"/>
          <w:color w:val="auto"/>
          <w:kern w:val="0"/>
          <w:sz w:val="24"/>
          <w:highlight w:val="none"/>
          <w:u w:val="single"/>
          <w:lang w:eastAsia="zh-CN"/>
        </w:rPr>
        <w:t>_____</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3"/>
      <w:r>
        <w:rPr>
          <w:rFonts w:hint="eastAsia" w:ascii="宋体" w:hAnsi="宋体" w:cs="宋体"/>
          <w:b/>
          <w:color w:val="auto"/>
          <w:kern w:val="0"/>
          <w:sz w:val="24"/>
          <w:highlight w:val="none"/>
          <w:lang w:val="zh-CN"/>
        </w:rPr>
        <w:t>）</w:t>
      </w:r>
    </w:p>
    <w:p w14:paraId="7E1FFE9B">
      <w:pPr>
        <w:pageBreakBefore w:val="0"/>
        <w:kinsoku/>
        <w:wordWrap w:val="0"/>
        <w:overflowPunct/>
        <w:topLinePunct w:val="0"/>
        <w:bidi w:val="0"/>
        <w:spacing w:line="360"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cs="宋体"/>
          <w:color w:val="auto"/>
          <w:sz w:val="24"/>
          <w:highlight w:val="none"/>
          <w:u w:val="single"/>
          <w:lang w:eastAsia="zh-CN"/>
        </w:rPr>
        <w:t>__</w:t>
      </w:r>
      <w:r>
        <w:rPr>
          <w:rFonts w:hint="eastAsia" w:ascii="宋体" w:hAnsi="宋体" w:cs="宋体"/>
          <w:color w:val="auto"/>
          <w:sz w:val="24"/>
          <w:highlight w:val="none"/>
        </w:rPr>
        <w:t>%，小微企业合同金额达到</w:t>
      </w:r>
      <w:r>
        <w:rPr>
          <w:rFonts w:hint="eastAsia" w:cs="宋体"/>
          <w:color w:val="auto"/>
          <w:sz w:val="24"/>
          <w:highlight w:val="none"/>
          <w:u w:val="single"/>
          <w:lang w:eastAsia="zh-CN"/>
        </w:rPr>
        <w:t>_</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4"/>
    </w:p>
    <w:p w14:paraId="75D0BC48">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856464A">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6DCC1C">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2FE6F4">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AE5BA8">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4742B37">
      <w:pPr>
        <w:pageBreakBefore w:val="0"/>
        <w:kinsoku/>
        <w:wordWrap w:val="0"/>
        <w:overflowPunct/>
        <w:topLinePunct w:val="0"/>
        <w:bidi w:val="0"/>
        <w:snapToGrid w:val="0"/>
        <w:spacing w:line="360" w:lineRule="auto"/>
        <w:ind w:firstLine="5040" w:firstLineChars="2100"/>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A19710">
      <w:pPr>
        <w:pageBreakBefore w:val="0"/>
        <w:kinsoku/>
        <w:wordWrap w:val="0"/>
        <w:overflowPunct/>
        <w:topLinePunct w:val="0"/>
        <w:bidi w:val="0"/>
        <w:snapToGrid w:val="0"/>
        <w:spacing w:line="360" w:lineRule="auto"/>
        <w:ind w:firstLine="5040" w:firstLineChars="2100"/>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37D4FC">
      <w:pPr>
        <w:pageBreakBefore w:val="0"/>
        <w:kinsoku/>
        <w:wordWrap w:val="0"/>
        <w:overflowPunct/>
        <w:topLinePunct w:val="0"/>
        <w:bidi w:val="0"/>
        <w:snapToGrid w:val="0"/>
        <w:spacing w:line="360" w:lineRule="auto"/>
        <w:ind w:right="960"/>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6B91D46">
      <w:pPr>
        <w:pageBreakBefore w:val="0"/>
        <w:kinsoku/>
        <w:wordWrap/>
        <w:overflowPunct/>
        <w:topLinePunct w:val="0"/>
        <w:bidi w:val="0"/>
        <w:snapToGrid w:val="0"/>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88BA82">
      <w:pPr>
        <w:pageBreakBefore w:val="0"/>
        <w:kinsoku/>
        <w:wordWrap w:val="0"/>
        <w:overflowPunct/>
        <w:topLinePunct w:val="0"/>
        <w:autoSpaceDE w:val="0"/>
        <w:autoSpaceDN w:val="0"/>
        <w:bidi w:val="0"/>
        <w:jc w:val="left"/>
        <w:textAlignment w:val="auto"/>
        <w:rPr>
          <w:color w:val="auto"/>
          <w:highlight w:val="none"/>
        </w:rPr>
      </w:pPr>
      <w:r>
        <w:rPr>
          <w:rFonts w:hint="eastAsia" w:ascii="宋体" w:hAnsi="宋体" w:cs="宋体"/>
          <w:color w:val="auto"/>
          <w:sz w:val="24"/>
          <w:highlight w:val="none"/>
        </w:rPr>
        <w:t>注：按本格式和要求提供。</w:t>
      </w:r>
    </w:p>
    <w:p w14:paraId="4270300D">
      <w:pPr>
        <w:pageBreakBefore w:val="0"/>
        <w:widowControl/>
        <w:kinsoku/>
        <w:wordWrap w:val="0"/>
        <w:overflowPunct/>
        <w:topLinePunct w:val="0"/>
        <w:bidi w:val="0"/>
        <w:adjustRightInd/>
        <w:jc w:val="left"/>
        <w:textAlignment w:val="auto"/>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BA7CA40">
      <w:pPr>
        <w:pStyle w:val="4"/>
        <w:pageBreakBefore w:val="0"/>
        <w:kinsoku/>
        <w:wordWrap w:val="0"/>
        <w:overflowPunct/>
        <w:topLinePunct w:val="0"/>
        <w:bidi w:val="0"/>
        <w:ind w:left="0" w:firstLine="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附件6：分包意向协议</w:t>
      </w:r>
    </w:p>
    <w:p w14:paraId="7160E555">
      <w:pPr>
        <w:pageBreakBefore w:val="0"/>
        <w:widowControl/>
        <w:kinsoku/>
        <w:wordWrap w:val="0"/>
        <w:overflowPunct/>
        <w:topLinePunct w:val="0"/>
        <w:bidi w:val="0"/>
        <w:spacing w:line="360"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27D590C">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_______________（投标人名称）</w:t>
      </w:r>
      <w:r>
        <w:rPr>
          <w:rFonts w:hint="eastAsia" w:ascii="宋体" w:hAnsi="宋体" w:cs="宋体"/>
          <w:color w:val="auto"/>
          <w:kern w:val="0"/>
          <w:sz w:val="24"/>
          <w:highlight w:val="none"/>
          <w:lang w:val="zh-CN"/>
        </w:rPr>
        <w:t>若成为</w:t>
      </w:r>
      <w:r>
        <w:rPr>
          <w:rFonts w:hint="eastAsia" w:cs="宋体"/>
          <w:color w:val="auto"/>
          <w:sz w:val="24"/>
          <w:highlight w:val="none"/>
          <w:lang w:eastAsia="zh-CN"/>
        </w:rPr>
        <w:t>_________（项目名称）</w:t>
      </w:r>
      <w:r>
        <w:rPr>
          <w:rFonts w:hint="eastAsia" w:ascii="宋体" w:hAnsi="宋体" w:cs="宋体"/>
          <w:color w:val="auto"/>
          <w:sz w:val="24"/>
          <w:highlight w:val="none"/>
        </w:rPr>
        <w:t>【</w:t>
      </w:r>
      <w:r>
        <w:rPr>
          <w:rFonts w:hint="eastAsia" w:cs="宋体"/>
          <w:color w:val="auto"/>
          <w:sz w:val="24"/>
          <w:highlight w:val="none"/>
          <w:lang w:eastAsia="zh-CN"/>
        </w:rPr>
        <w:t>项目编号</w:t>
      </w:r>
      <w:r>
        <w:rPr>
          <w:rFonts w:hint="eastAsia" w:ascii="宋体" w:hAnsi="宋体" w:cs="宋体"/>
          <w:color w:val="auto"/>
          <w:sz w:val="24"/>
          <w:highlight w:val="none"/>
        </w:rPr>
        <w:t>：</w:t>
      </w:r>
      <w:r>
        <w:rPr>
          <w:rFonts w:hint="eastAsia" w:cs="宋体"/>
          <w:color w:val="auto"/>
          <w:sz w:val="24"/>
          <w:highlight w:val="none"/>
          <w:u w:val="single"/>
          <w:lang w:eastAsia="zh-CN"/>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的中标供应商，将依法采取分包方式履行合同。__________</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与_______________</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9D17289">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61CF094">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__________（投标人名称）</w:t>
      </w:r>
      <w:r>
        <w:rPr>
          <w:rFonts w:hint="eastAsia" w:ascii="宋体" w:hAnsi="宋体" w:cs="宋体"/>
          <w:color w:val="auto"/>
          <w:kern w:val="0"/>
          <w:sz w:val="24"/>
          <w:highlight w:val="none"/>
          <w:lang w:val="zh-CN"/>
        </w:rPr>
        <w:t>将</w:t>
      </w:r>
      <w:r>
        <w:rPr>
          <w:rFonts w:hint="eastAsia" w:cs="宋体"/>
          <w:color w:val="auto"/>
          <w:highlight w:val="none"/>
          <w:u w:val="single"/>
          <w:lang w:eastAsia="zh-CN"/>
        </w:rPr>
        <w:t>__</w:t>
      </w:r>
      <w:r>
        <w:rPr>
          <w:rFonts w:hint="eastAsia" w:cs="宋体"/>
          <w:color w:val="auto"/>
          <w:kern w:val="0"/>
          <w:sz w:val="24"/>
          <w:highlight w:val="none"/>
          <w:u w:val="single"/>
          <w:lang w:eastAsia="zh-CN"/>
        </w:rPr>
        <w:t>_</w:t>
      </w:r>
      <w:r>
        <w:rPr>
          <w:rFonts w:ascii="宋体" w:hAnsi="宋体" w:cs="宋体"/>
          <w:color w:val="auto"/>
          <w:kern w:val="0"/>
          <w:sz w:val="24"/>
          <w:highlight w:val="none"/>
          <w:u w:val="single"/>
        </w:rPr>
        <w:t>XX工作内容</w:t>
      </w:r>
      <w:r>
        <w:rPr>
          <w:rFonts w:hint="eastAsia" w:cs="宋体"/>
          <w:color w:val="auto"/>
          <w:kern w:val="0"/>
          <w:sz w:val="24"/>
          <w:highlight w:val="none"/>
          <w:u w:val="single"/>
          <w:lang w:eastAsia="zh-CN"/>
        </w:rPr>
        <w:t>___</w:t>
      </w:r>
      <w:r>
        <w:rPr>
          <w:rFonts w:hint="eastAsia" w:ascii="宋体" w:hAnsi="宋体" w:cs="宋体"/>
          <w:color w:val="auto"/>
          <w:sz w:val="24"/>
          <w:highlight w:val="none"/>
        </w:rPr>
        <w:t>分包给_______________</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，_______________</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41917B">
      <w:pPr>
        <w:pageBreakBefore w:val="0"/>
        <w:kinsoku/>
        <w:wordWrap w:val="0"/>
        <w:overflowPunct/>
        <w:topLinePunct w:val="0"/>
        <w:bidi w:val="0"/>
        <w:snapToGrid w:val="0"/>
        <w:spacing w:line="360" w:lineRule="auto"/>
        <w:ind w:firstLine="576"/>
        <w:textAlignment w:val="auto"/>
        <w:rPr>
          <w:color w:val="auto"/>
          <w:highlight w:val="none"/>
        </w:rPr>
      </w:pPr>
      <w:r>
        <w:rPr>
          <w:rFonts w:hint="eastAsia"/>
          <w:color w:val="auto"/>
          <w:highlight w:val="none"/>
        </w:rPr>
        <w:t>……</w:t>
      </w:r>
    </w:p>
    <w:p w14:paraId="381CA6A0">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7D43521">
      <w:pPr>
        <w:pageBreakBefore w:val="0"/>
        <w:kinsoku/>
        <w:wordWrap w:val="0"/>
        <w:overflowPunct/>
        <w:topLinePunct w:val="0"/>
        <w:bidi w:val="0"/>
        <w:snapToGrid w:val="0"/>
        <w:spacing w:line="360"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（__________分包供应商X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cs="宋体"/>
          <w:color w:val="auto"/>
          <w:kern w:val="0"/>
          <w:sz w:val="24"/>
          <w:highlight w:val="none"/>
          <w:u w:val="single"/>
          <w:lang w:eastAsia="zh-CN"/>
        </w:rPr>
        <w:t>_____</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9CD355A">
      <w:pPr>
        <w:pageBreakBefore w:val="0"/>
        <w:kinsoku/>
        <w:wordWrap w:val="0"/>
        <w:overflowPunct/>
        <w:topLinePunct w:val="0"/>
        <w:bidi w:val="0"/>
        <w:spacing w:line="360"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cs="宋体"/>
          <w:color w:val="auto"/>
          <w:sz w:val="24"/>
          <w:highlight w:val="none"/>
          <w:u w:val="single"/>
          <w:lang w:eastAsia="zh-CN"/>
        </w:rPr>
        <w:t>__</w:t>
      </w:r>
      <w:r>
        <w:rPr>
          <w:rFonts w:hint="eastAsia" w:ascii="宋体" w:hAnsi="宋体" w:cs="宋体"/>
          <w:color w:val="auto"/>
          <w:sz w:val="24"/>
          <w:highlight w:val="none"/>
        </w:rPr>
        <w:t>%，小微企业合同金额达到</w:t>
      </w:r>
      <w:r>
        <w:rPr>
          <w:rFonts w:hint="eastAsia" w:cs="宋体"/>
          <w:color w:val="auto"/>
          <w:sz w:val="24"/>
          <w:highlight w:val="none"/>
          <w:u w:val="single"/>
          <w:lang w:eastAsia="zh-CN"/>
        </w:rPr>
        <w:t>_</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AC36BE6">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lang w:val="zh-CN"/>
        </w:rPr>
      </w:pPr>
      <w:r>
        <w:rPr>
          <w:rFonts w:hint="eastAsia" w:ascii="宋体" w:hAnsi="宋体" w:eastAsia="宋体" w:cs="宋体"/>
          <w:color w:val="auto"/>
          <w:highlight w:val="none"/>
          <w:u w:val="none"/>
          <w:lang w:val="zh-CN"/>
        </w:rPr>
        <w:t>三、分包工作履行期限、地点、方式</w:t>
      </w:r>
    </w:p>
    <w:p w14:paraId="60D0E81E">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______________________________________________________________________</w:t>
      </w:r>
    </w:p>
    <w:p w14:paraId="5C752C7F">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lang w:val="zh-CN"/>
        </w:rPr>
      </w:pPr>
      <w:r>
        <w:rPr>
          <w:rFonts w:hint="eastAsia" w:ascii="宋体" w:hAnsi="宋体" w:eastAsia="宋体" w:cs="宋体"/>
          <w:color w:val="auto"/>
          <w:highlight w:val="none"/>
          <w:u w:val="none"/>
          <w:lang w:val="zh-CN"/>
        </w:rPr>
        <w:t>四、质量</w:t>
      </w:r>
    </w:p>
    <w:p w14:paraId="3B90A54B">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______________________________________________________________________</w:t>
      </w:r>
    </w:p>
    <w:p w14:paraId="311779CE">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lang w:val="zh-CN"/>
        </w:rPr>
      </w:pPr>
      <w:r>
        <w:rPr>
          <w:rFonts w:hint="eastAsia" w:ascii="宋体" w:hAnsi="宋体" w:eastAsia="宋体" w:cs="宋体"/>
          <w:color w:val="auto"/>
          <w:highlight w:val="none"/>
          <w:u w:val="none"/>
          <w:lang w:val="zh-CN"/>
        </w:rPr>
        <w:t>五、价款或者报酬</w:t>
      </w:r>
    </w:p>
    <w:p w14:paraId="17FE0483">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______________________________________________________________________</w:t>
      </w:r>
    </w:p>
    <w:p w14:paraId="67780447">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lang w:val="zh-CN"/>
        </w:rPr>
      </w:pPr>
      <w:r>
        <w:rPr>
          <w:rFonts w:hint="eastAsia" w:ascii="宋体" w:hAnsi="宋体" w:eastAsia="宋体" w:cs="宋体"/>
          <w:color w:val="auto"/>
          <w:highlight w:val="none"/>
          <w:u w:val="none"/>
          <w:lang w:val="zh-CN"/>
        </w:rPr>
        <w:t>六、违约责任</w:t>
      </w:r>
    </w:p>
    <w:p w14:paraId="46F2137C">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______________________________________________________________________</w:t>
      </w:r>
    </w:p>
    <w:p w14:paraId="52BC2EFA">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lang w:val="zh-CN"/>
        </w:rPr>
      </w:pPr>
      <w:r>
        <w:rPr>
          <w:rFonts w:hint="eastAsia" w:ascii="宋体" w:hAnsi="宋体" w:eastAsia="宋体" w:cs="宋体"/>
          <w:color w:val="auto"/>
          <w:highlight w:val="none"/>
          <w:u w:val="none"/>
          <w:lang w:val="zh-CN"/>
        </w:rPr>
        <w:t>七、争议解决的办法</w:t>
      </w:r>
    </w:p>
    <w:p w14:paraId="5BD66C40">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______________________________________________________________________</w:t>
      </w:r>
    </w:p>
    <w:p w14:paraId="1DEBF807">
      <w:pPr>
        <w:pageBreakBefore w:val="0"/>
        <w:kinsoku/>
        <w:wordWrap w:val="0"/>
        <w:overflowPunct/>
        <w:topLinePunct w:val="0"/>
        <w:bidi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0F85CA">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highlight w:val="none"/>
          <w:u w:val="none"/>
          <w:lang w:val="zh-CN"/>
        </w:rPr>
      </w:pPr>
      <w:r>
        <w:rPr>
          <w:rFonts w:hint="eastAsia" w:ascii="宋体" w:hAnsi="宋体" w:eastAsia="宋体" w:cs="宋体"/>
          <w:color w:val="auto"/>
          <w:highlight w:val="none"/>
          <w:u w:val="none"/>
          <w:lang w:val="zh-CN"/>
        </w:rPr>
        <w:t>中小企业合同金额达到</w:t>
      </w:r>
      <w:r>
        <w:rPr>
          <w:rFonts w:hint="eastAsia" w:ascii="宋体" w:hAnsi="宋体" w:eastAsia="宋体" w:cs="宋体"/>
          <w:color w:val="auto"/>
          <w:highlight w:val="none"/>
          <w:u w:val="none"/>
          <w:lang w:val="zh-CN" w:eastAsia="zh-CN"/>
        </w:rPr>
        <w:t>__</w:t>
      </w:r>
      <w:r>
        <w:rPr>
          <w:rFonts w:hint="eastAsia" w:ascii="宋体" w:hAnsi="宋体" w:eastAsia="宋体" w:cs="宋体"/>
          <w:color w:val="auto"/>
          <w:highlight w:val="none"/>
          <w:u w:val="none"/>
          <w:lang w:val="zh-CN"/>
        </w:rPr>
        <w:t>%，小微企业合同金额达到</w:t>
      </w:r>
      <w:r>
        <w:rPr>
          <w:rFonts w:hint="eastAsia" w:ascii="宋体" w:hAnsi="宋体" w:eastAsia="宋体" w:cs="宋体"/>
          <w:color w:val="auto"/>
          <w:highlight w:val="none"/>
          <w:u w:val="none"/>
          <w:lang w:val="zh-CN" w:eastAsia="zh-CN"/>
        </w:rPr>
        <w:t>_</w:t>
      </w:r>
      <w:r>
        <w:rPr>
          <w:rFonts w:hint="eastAsia" w:ascii="宋体" w:hAnsi="宋体" w:eastAsia="宋体" w:cs="宋体"/>
          <w:color w:val="auto"/>
          <w:highlight w:val="none"/>
          <w:u w:val="none"/>
          <w:lang w:val="zh-CN"/>
        </w:rPr>
        <w:t>%。</w:t>
      </w:r>
    </w:p>
    <w:p w14:paraId="5F31D548">
      <w:pPr>
        <w:jc w:val="right"/>
        <w:rPr>
          <w:color w:val="auto"/>
          <w:highlight w:val="none"/>
          <w:lang w:val="zh-CN"/>
        </w:rPr>
      </w:pPr>
      <w:r>
        <w:rPr>
          <w:rFonts w:hint="eastAsia"/>
          <w:color w:val="auto"/>
          <w:highlight w:val="none"/>
          <w:lang w:val="zh-CN"/>
        </w:rPr>
        <w:t>投标人名称(电子签名)：</w:t>
      </w:r>
    </w:p>
    <w:p w14:paraId="49223C2F">
      <w:pPr>
        <w:jc w:val="right"/>
        <w:rPr>
          <w:color w:val="auto"/>
          <w:highlight w:val="none"/>
          <w:lang w:val="zh-CN"/>
        </w:rPr>
      </w:pPr>
      <w:r>
        <w:rPr>
          <w:rFonts w:hint="eastAsia"/>
          <w:color w:val="auto"/>
          <w:highlight w:val="none"/>
          <w:lang w:val="zh-CN"/>
        </w:rPr>
        <w:t>分包供应商名称(电子签名/公章)：</w:t>
      </w:r>
    </w:p>
    <w:p w14:paraId="776A7F17">
      <w:pPr>
        <w:jc w:val="right"/>
        <w:rPr>
          <w:color w:val="auto"/>
          <w:highlight w:val="none"/>
        </w:rPr>
      </w:pPr>
      <w:r>
        <w:rPr>
          <w:rFonts w:hint="eastAsia"/>
          <w:color w:val="auto"/>
          <w:highlight w:val="none"/>
          <w:lang w:val="zh-CN"/>
        </w:rPr>
        <w:t>……</w:t>
      </w:r>
    </w:p>
    <w:p w14:paraId="137F2C53">
      <w:pPr>
        <w:jc w:val="right"/>
        <w:rPr>
          <w:color w:val="auto"/>
          <w:highlight w:val="none"/>
          <w:lang w:val="zh-CN"/>
        </w:rPr>
      </w:pPr>
      <w:r>
        <w:rPr>
          <w:rFonts w:hint="eastAsia"/>
          <w:color w:val="auto"/>
          <w:highlight w:val="none"/>
          <w:lang w:val="zh-CN"/>
        </w:rPr>
        <w:t>日期：  年  月   日</w:t>
      </w:r>
    </w:p>
    <w:p w14:paraId="7259A9A3">
      <w:pPr>
        <w:pageBreakBefore w:val="0"/>
        <w:kinsoku/>
        <w:wordWrap w:val="0"/>
        <w:overflowPunct/>
        <w:topLinePunct w:val="0"/>
        <w:bidi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8AF7E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EC75DE">
      <w:pPr>
        <w:pStyle w:val="4"/>
        <w:pageBreakBefore w:val="0"/>
        <w:kinsoku/>
        <w:wordWrap w:val="0"/>
        <w:overflowPunct/>
        <w:topLinePunct w:val="0"/>
        <w:bidi w:val="0"/>
        <w:ind w:left="0" w:firstLine="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附件7：中小企业声明函</w:t>
      </w:r>
    </w:p>
    <w:p w14:paraId="40B08D04">
      <w:pPr>
        <w:pageBreakBefore w:val="0"/>
        <w:kinsoku/>
        <w:wordWrap w:val="0"/>
        <w:overflowPunct/>
        <w:topLinePunct w:val="0"/>
        <w:bidi w:val="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29D037A1">
      <w:pPr>
        <w:pageBreakBefore w:val="0"/>
        <w:kinsoku/>
        <w:wordWrap w:val="0"/>
        <w:overflowPunct/>
        <w:topLinePunct w:val="0"/>
        <w:bidi w:val="0"/>
        <w:spacing w:line="360" w:lineRule="auto"/>
        <w:ind w:firstLine="360" w:firstLineChars="150"/>
        <w:jc w:val="left"/>
        <w:textAlignment w:val="auto"/>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none"/>
        </w:rPr>
        <w:t xml:space="preserve"> </w:t>
      </w:r>
      <w:r>
        <w:rPr>
          <w:rFonts w:hint="eastAsia" w:cs="宋体"/>
          <w:color w:val="auto"/>
          <w:sz w:val="24"/>
          <w:highlight w:val="none"/>
          <w:u w:val="none"/>
          <w:lang w:eastAsia="zh-CN"/>
        </w:rPr>
        <w:t>___________________</w:t>
      </w:r>
      <w:r>
        <w:rPr>
          <w:rFonts w:hint="eastAsia" w:ascii="宋体" w:hAnsi="宋体" w:cs="宋体"/>
          <w:color w:val="auto"/>
          <w:sz w:val="24"/>
          <w:highlight w:val="none"/>
          <w:u w:val="none"/>
        </w:rPr>
        <w:t>（采购人</w:t>
      </w:r>
      <w:r>
        <w:rPr>
          <w:rFonts w:hint="eastAsia" w:ascii="宋体" w:hAnsi="宋体" w:cs="宋体"/>
          <w:color w:val="auto"/>
          <w:sz w:val="24"/>
          <w:highlight w:val="none"/>
          <w:u w:val="none"/>
          <w:lang w:val="en-US" w:eastAsia="zh-CN"/>
        </w:rPr>
        <w:t>名称</w:t>
      </w:r>
      <w:r>
        <w:rPr>
          <w:rFonts w:hint="eastAsia" w:ascii="宋体" w:hAnsi="宋体" w:cs="宋体"/>
          <w:color w:val="auto"/>
          <w:sz w:val="24"/>
          <w:highlight w:val="none"/>
          <w:u w:val="none"/>
        </w:rPr>
        <w:t>）的</w:t>
      </w:r>
      <w:r>
        <w:rPr>
          <w:rFonts w:hint="eastAsia" w:cs="宋体"/>
          <w:color w:val="auto"/>
          <w:sz w:val="24"/>
          <w:highlight w:val="none"/>
          <w:u w:val="none"/>
          <w:lang w:eastAsia="zh-CN"/>
        </w:rPr>
        <w:t>__________（项目名称）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FD7707">
      <w:pPr>
        <w:pageBreakBefore w:val="0"/>
        <w:kinsoku/>
        <w:wordWrap w:val="0"/>
        <w:overflowPunct/>
        <w:topLinePunct w:val="0"/>
        <w:bidi w:val="0"/>
        <w:spacing w:line="360" w:lineRule="auto"/>
        <w:ind w:firstLine="480" w:firstLineChars="200"/>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1.</w:t>
      </w:r>
      <w:r>
        <w:rPr>
          <w:rFonts w:hint="eastAsia" w:ascii="宋体" w:hAnsi="宋体" w:cs="宋体"/>
          <w:color w:val="auto"/>
          <w:highlight w:val="none"/>
          <w:u w:val="none"/>
        </w:rPr>
        <w:t>_______________（标的名称），属于________（采购文件中明确的所属行业）；承建（承接）企业为___________（企业名称），从业人员___人，营业收入为__万元，资产总额为___万元属于_________（中型企业、小型企业、微型企业）</w:t>
      </w:r>
      <w:r>
        <w:rPr>
          <w:rFonts w:hint="eastAsia" w:ascii="宋体" w:hAnsi="宋体" w:cs="宋体"/>
          <w:color w:val="auto"/>
          <w:sz w:val="24"/>
          <w:highlight w:val="none"/>
          <w:u w:val="none"/>
        </w:rPr>
        <w:t>；</w:t>
      </w:r>
    </w:p>
    <w:p w14:paraId="095260D0">
      <w:pPr>
        <w:pageBreakBefore w:val="0"/>
        <w:kinsoku/>
        <w:wordWrap w:val="0"/>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none"/>
        </w:rPr>
        <w:t>2.</w:t>
      </w:r>
      <w:r>
        <w:rPr>
          <w:rFonts w:hint="eastAsia" w:cs="宋体"/>
          <w:color w:val="auto"/>
          <w:sz w:val="24"/>
          <w:highlight w:val="none"/>
          <w:u w:val="none"/>
          <w:lang w:eastAsia="zh-CN"/>
        </w:rPr>
        <w:t>_______________（标的名称），属于________（采购文件中明确的所属行业）；承建（承接）企业为___________（企业名称），从业人员___人，营业收入为__万元，资产总额为___万元属于_________（中型企业、小型企业、微型企业）</w:t>
      </w:r>
      <w:r>
        <w:rPr>
          <w:rFonts w:hint="eastAsia" w:ascii="宋体" w:hAnsi="宋体" w:cs="宋体"/>
          <w:color w:val="auto"/>
          <w:sz w:val="24"/>
          <w:highlight w:val="none"/>
        </w:rPr>
        <w:t>；</w:t>
      </w:r>
    </w:p>
    <w:p w14:paraId="646CF737">
      <w:pPr>
        <w:pageBreakBefore w:val="0"/>
        <w:kinsoku/>
        <w:wordWrap w:val="0"/>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w:t>
      </w:r>
    </w:p>
    <w:p w14:paraId="65F9FBE6">
      <w:pPr>
        <w:pageBreakBefore w:val="0"/>
        <w:kinsoku/>
        <w:wordWrap w:val="0"/>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B3A158">
      <w:pPr>
        <w:pageBreakBefore w:val="0"/>
        <w:kinsoku/>
        <w:wordWrap w:val="0"/>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F2E8241">
      <w:pPr>
        <w:spacing w:line="360" w:lineRule="auto"/>
        <w:jc w:val="right"/>
        <w:rPr>
          <w:color w:val="auto"/>
          <w:highlight w:val="none"/>
        </w:rPr>
      </w:pPr>
      <w:r>
        <w:rPr>
          <w:rFonts w:hint="eastAsia"/>
          <w:color w:val="auto"/>
          <w:highlight w:val="none"/>
        </w:rPr>
        <w:t>投标人名称（电子签名）：</w:t>
      </w:r>
    </w:p>
    <w:p w14:paraId="095ED381">
      <w:pPr>
        <w:spacing w:line="360" w:lineRule="auto"/>
        <w:jc w:val="right"/>
        <w:rPr>
          <w:color w:val="auto"/>
          <w:highlight w:val="none"/>
        </w:rPr>
      </w:pPr>
      <w:r>
        <w:rPr>
          <w:rFonts w:hint="eastAsia"/>
          <w:color w:val="auto"/>
          <w:highlight w:val="none"/>
        </w:rPr>
        <w:t>日 期：</w:t>
      </w:r>
    </w:p>
    <w:p w14:paraId="3A5DC50B">
      <w:pPr>
        <w:pageBreakBefore w:val="0"/>
        <w:kinsoku/>
        <w:wordWrap w:val="0"/>
        <w:overflowPunct/>
        <w:topLinePunct w:val="0"/>
        <w:bidi w:val="0"/>
        <w:spacing w:line="360" w:lineRule="auto"/>
        <w:ind w:firstLine="325" w:firstLineChars="147"/>
        <w:jc w:val="left"/>
        <w:textAlignment w:val="auto"/>
        <w:rPr>
          <w:rFonts w:ascii="宋体" w:hAnsi="宋体" w:cs="宋体"/>
          <w:b/>
          <w:color w:val="auto"/>
          <w:sz w:val="22"/>
          <w:szCs w:val="20"/>
          <w:highlight w:val="none"/>
        </w:rPr>
      </w:pPr>
      <w:r>
        <w:rPr>
          <w:rFonts w:hint="eastAsia" w:ascii="宋体" w:hAnsi="宋体" w:cs="宋体"/>
          <w:b/>
          <w:color w:val="auto"/>
          <w:sz w:val="22"/>
          <w:szCs w:val="20"/>
          <w:highlight w:val="none"/>
        </w:rPr>
        <w:t>从业人员、营业收入、资产总额填报上一年度数据，无上一年度数据的新成立企业可不填报。</w:t>
      </w:r>
    </w:p>
    <w:p w14:paraId="6159B2C4">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color w:val="auto"/>
          <w:highlight w:val="none"/>
        </w:rPr>
      </w:pPr>
      <w:r>
        <w:rPr>
          <w:rFonts w:hint="eastAsia"/>
          <w:color w:val="auto"/>
          <w:highlight w:val="none"/>
        </w:rPr>
        <w:t>注：</w:t>
      </w:r>
    </w:p>
    <w:p w14:paraId="33ADF300">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3C8CF07">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r>
        <w:rPr>
          <w:rFonts w:hint="eastAsia"/>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27BD6F">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highlight w:val="none"/>
        </w:rPr>
      </w:pPr>
    </w:p>
    <w:p w14:paraId="5A51599A">
      <w:pPr>
        <w:rPr>
          <w:color w:val="auto"/>
          <w:highlight w:val="none"/>
        </w:rPr>
      </w:pPr>
    </w:p>
    <w:sectPr>
      <w:pgSz w:w="11906" w:h="16838"/>
      <w:pgMar w:top="1417" w:right="1417" w:bottom="1417" w:left="1417"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E4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D2CA">
    <w:pPr>
      <w:pStyle w:val="40"/>
      <w:framePr w:wrap="around" w:vAnchor="text" w:hAnchor="margin" w:xAlign="right" w:y="1"/>
      <w:rPr>
        <w:rStyle w:val="72"/>
      </w:rPr>
    </w:pPr>
    <w:r>
      <w:fldChar w:fldCharType="begin"/>
    </w:r>
    <w:r>
      <w:rPr>
        <w:rStyle w:val="72"/>
      </w:rPr>
      <w:instrText xml:space="preserve">PAGE  </w:instrText>
    </w:r>
    <w:r>
      <w:fldChar w:fldCharType="end"/>
    </w:r>
  </w:p>
  <w:p w14:paraId="19D9597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B38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36110187"/>
    <w:bookmarkStart w:id="406" w:name="_Toc164085800"/>
    <w:bookmarkStart w:id="407" w:name="_Toc91899912"/>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DBBA">
    <w:pPr>
      <w:pStyle w:val="4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46F8"/>
    <w:multiLevelType w:val="singleLevel"/>
    <w:tmpl w:val="37BF46F8"/>
    <w:lvl w:ilvl="0" w:tentative="0">
      <w:start w:val="1"/>
      <w:numFmt w:val="chineseCounting"/>
      <w:suff w:val="nothing"/>
      <w:lvlText w:val="%1、"/>
      <w:lvlJc w:val="left"/>
      <w:rPr>
        <w:rFonts w:hint="eastAsia"/>
      </w:rPr>
    </w:lvl>
  </w:abstractNum>
  <w:abstractNum w:abstractNumId="1">
    <w:nsid w:val="3CDA333A"/>
    <w:multiLevelType w:val="multilevel"/>
    <w:tmpl w:val="3CDA333A"/>
    <w:lvl w:ilvl="0" w:tentative="0">
      <w:start w:val="1"/>
      <w:numFmt w:val="bullet"/>
      <w:lvlText w:val=""/>
      <w:lvlJc w:val="left"/>
      <w:pPr>
        <w:ind w:left="1380" w:hanging="48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pStyle w:val="965"/>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56B402AC"/>
    <w:multiLevelType w:val="singleLevel"/>
    <w:tmpl w:val="56B402AC"/>
    <w:lvl w:ilvl="0" w:tentative="0">
      <w:start w:val="1"/>
      <w:numFmt w:val="decimal"/>
      <w:suff w:val="nothing"/>
      <w:lvlText w:val="（%1）"/>
      <w:lvlJc w:val="left"/>
    </w:lvl>
  </w:abstractNum>
  <w:abstractNum w:abstractNumId="3">
    <w:nsid w:val="56F6359A"/>
    <w:multiLevelType w:val="singleLevel"/>
    <w:tmpl w:val="56F6359A"/>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DFjM2YxMzUwMDA1NDcwZTZhOWNlNzkyMDczZj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92466"/>
    <w:rsid w:val="01D55165"/>
    <w:rsid w:val="01DF6BF8"/>
    <w:rsid w:val="01EC2C57"/>
    <w:rsid w:val="025F0711"/>
    <w:rsid w:val="026B2E25"/>
    <w:rsid w:val="0271473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2F7C1C"/>
    <w:rsid w:val="08452D77"/>
    <w:rsid w:val="086401F8"/>
    <w:rsid w:val="08751CAA"/>
    <w:rsid w:val="087E4C40"/>
    <w:rsid w:val="08A871D0"/>
    <w:rsid w:val="08D66AD6"/>
    <w:rsid w:val="08DA33A3"/>
    <w:rsid w:val="08E80F13"/>
    <w:rsid w:val="09335624"/>
    <w:rsid w:val="0944690F"/>
    <w:rsid w:val="09535675"/>
    <w:rsid w:val="095F057D"/>
    <w:rsid w:val="09640450"/>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4322"/>
    <w:rsid w:val="10C26171"/>
    <w:rsid w:val="10F33360"/>
    <w:rsid w:val="10FC16EA"/>
    <w:rsid w:val="110F1D40"/>
    <w:rsid w:val="11266F33"/>
    <w:rsid w:val="112F7AD4"/>
    <w:rsid w:val="118963A1"/>
    <w:rsid w:val="11C6522A"/>
    <w:rsid w:val="11E104CC"/>
    <w:rsid w:val="11E20309"/>
    <w:rsid w:val="12255233"/>
    <w:rsid w:val="123A47A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A30FA"/>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25776B"/>
    <w:rsid w:val="1E3D060F"/>
    <w:rsid w:val="1E3F7D2E"/>
    <w:rsid w:val="1E4134E4"/>
    <w:rsid w:val="1E5062B3"/>
    <w:rsid w:val="1E523514"/>
    <w:rsid w:val="1E714A66"/>
    <w:rsid w:val="1E802593"/>
    <w:rsid w:val="1E8B6156"/>
    <w:rsid w:val="1EA703CC"/>
    <w:rsid w:val="1EAB585E"/>
    <w:rsid w:val="1EB7330C"/>
    <w:rsid w:val="1F0A0FF3"/>
    <w:rsid w:val="1F5771FF"/>
    <w:rsid w:val="1FD52DD5"/>
    <w:rsid w:val="1FE868A9"/>
    <w:rsid w:val="20034907"/>
    <w:rsid w:val="20074B9B"/>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374CA"/>
    <w:rsid w:val="23E95BEF"/>
    <w:rsid w:val="23FD0064"/>
    <w:rsid w:val="240F586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4640F"/>
    <w:rsid w:val="28333E1D"/>
    <w:rsid w:val="28454BD6"/>
    <w:rsid w:val="28455253"/>
    <w:rsid w:val="28551971"/>
    <w:rsid w:val="285B1C53"/>
    <w:rsid w:val="289F7086"/>
    <w:rsid w:val="28C32028"/>
    <w:rsid w:val="28CC490F"/>
    <w:rsid w:val="28DE40AA"/>
    <w:rsid w:val="292875F4"/>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DFDFE3D"/>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04619"/>
    <w:rsid w:val="30EC586F"/>
    <w:rsid w:val="310402C4"/>
    <w:rsid w:val="312F1536"/>
    <w:rsid w:val="314550B7"/>
    <w:rsid w:val="319C6071"/>
    <w:rsid w:val="31AC537E"/>
    <w:rsid w:val="31E3679B"/>
    <w:rsid w:val="31E732FD"/>
    <w:rsid w:val="321F4010"/>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72E6D"/>
    <w:rsid w:val="363A3B40"/>
    <w:rsid w:val="365302AE"/>
    <w:rsid w:val="36607A0A"/>
    <w:rsid w:val="366E227C"/>
    <w:rsid w:val="366F2E0D"/>
    <w:rsid w:val="367B6A5C"/>
    <w:rsid w:val="36A74ADA"/>
    <w:rsid w:val="36AD60D5"/>
    <w:rsid w:val="36B224F9"/>
    <w:rsid w:val="36EC0CC9"/>
    <w:rsid w:val="36F40573"/>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63454"/>
    <w:rsid w:val="40592157"/>
    <w:rsid w:val="406E1CAE"/>
    <w:rsid w:val="40A0133A"/>
    <w:rsid w:val="40C31A53"/>
    <w:rsid w:val="40FF545D"/>
    <w:rsid w:val="410067C8"/>
    <w:rsid w:val="4176772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15903"/>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0A2542"/>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83B1E"/>
    <w:rsid w:val="58AE4F0C"/>
    <w:rsid w:val="58B85899"/>
    <w:rsid w:val="58E363A9"/>
    <w:rsid w:val="595E1678"/>
    <w:rsid w:val="596D5BD4"/>
    <w:rsid w:val="597E3DD8"/>
    <w:rsid w:val="59B14918"/>
    <w:rsid w:val="59F80043"/>
    <w:rsid w:val="5A026F22"/>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C2CE7"/>
    <w:rsid w:val="5C02690E"/>
    <w:rsid w:val="5C196DA7"/>
    <w:rsid w:val="5C2A048C"/>
    <w:rsid w:val="5C80234E"/>
    <w:rsid w:val="5C8A680C"/>
    <w:rsid w:val="5D0C4701"/>
    <w:rsid w:val="5D0F0395"/>
    <w:rsid w:val="5D221076"/>
    <w:rsid w:val="5D397964"/>
    <w:rsid w:val="5D5A391C"/>
    <w:rsid w:val="5D5F10C0"/>
    <w:rsid w:val="5D891B7B"/>
    <w:rsid w:val="5DA0787C"/>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63F5A"/>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96660"/>
    <w:rsid w:val="63AC6CC0"/>
    <w:rsid w:val="64055776"/>
    <w:rsid w:val="64240056"/>
    <w:rsid w:val="643E143A"/>
    <w:rsid w:val="64491666"/>
    <w:rsid w:val="648B6EEF"/>
    <w:rsid w:val="64C158BF"/>
    <w:rsid w:val="64CE2EAA"/>
    <w:rsid w:val="653C3090"/>
    <w:rsid w:val="65854376"/>
    <w:rsid w:val="658767BE"/>
    <w:rsid w:val="65892531"/>
    <w:rsid w:val="66195831"/>
    <w:rsid w:val="662B46E5"/>
    <w:rsid w:val="662E75B1"/>
    <w:rsid w:val="66342C2E"/>
    <w:rsid w:val="663C32DC"/>
    <w:rsid w:val="663E784C"/>
    <w:rsid w:val="668B6A45"/>
    <w:rsid w:val="66CE5E36"/>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D20A4"/>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664839"/>
    <w:rsid w:val="7583797F"/>
    <w:rsid w:val="75B50E95"/>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60CA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152E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282"/>
    <w:qFormat/>
    <w:uiPriority w:val="9"/>
    <w:pPr>
      <w:keepNext/>
      <w:keepLines/>
      <w:tabs>
        <w:tab w:val="left" w:pos="432"/>
      </w:tabs>
      <w:spacing w:after="50" w:afterLines="50" w:line="360" w:lineRule="auto"/>
      <w:ind w:left="431" w:hanging="431"/>
      <w:jc w:val="center"/>
      <w:outlineLvl w:val="0"/>
    </w:pPr>
    <w:rPr>
      <w:b/>
      <w:bCs/>
      <w:kern w:val="44"/>
      <w:sz w:val="36"/>
      <w:szCs w:val="44"/>
    </w:rPr>
  </w:style>
  <w:style w:type="paragraph" w:styleId="3">
    <w:name w:val="heading 2"/>
    <w:basedOn w:val="1"/>
    <w:next w:val="1"/>
    <w:qFormat/>
    <w:uiPriority w:val="0"/>
    <w:pPr>
      <w:keepNext/>
      <w:keepLines/>
      <w:tabs>
        <w:tab w:val="left" w:pos="432"/>
      </w:tabs>
      <w:adjustRightInd/>
      <w:spacing w:line="360" w:lineRule="auto"/>
      <w:ind w:left="0" w:firstLine="0"/>
      <w:jc w:val="center"/>
      <w:outlineLvl w:val="1"/>
    </w:pPr>
    <w:rPr>
      <w:rFonts w:ascii="宋体" w:hAnsi="宋体" w:eastAsia="宋体"/>
      <w:b/>
      <w:bCs/>
      <w:sz w:val="30"/>
      <w:szCs w:val="32"/>
      <w:lang w:val="zh-CN"/>
    </w:rPr>
  </w:style>
  <w:style w:type="paragraph" w:styleId="4">
    <w:name w:val="heading 3"/>
    <w:basedOn w:val="1"/>
    <w:next w:val="1"/>
    <w:link w:val="964"/>
    <w:qFormat/>
    <w:uiPriority w:val="0"/>
    <w:pPr>
      <w:keepNext/>
      <w:keepLines/>
      <w:tabs>
        <w:tab w:val="left" w:pos="900"/>
      </w:tabs>
      <w:spacing w:line="360" w:lineRule="auto"/>
      <w:ind w:left="0" w:firstLine="0"/>
      <w:jc w:val="center"/>
      <w:outlineLvl w:val="2"/>
    </w:pPr>
    <w:rPr>
      <w:b/>
      <w:bCs/>
      <w:sz w:val="28"/>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rFonts w:eastAsia="宋体"/>
      <w:b/>
      <w:bCs/>
      <w:kern w:val="44"/>
      <w:sz w:val="36"/>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标题 3 Char"/>
    <w:link w:val="4"/>
    <w:qFormat/>
    <w:uiPriority w:val="0"/>
    <w:rPr>
      <w:rFonts w:eastAsia="宋体"/>
      <w:b/>
      <w:bCs/>
      <w:sz w:val="28"/>
      <w:szCs w:val="32"/>
    </w:rPr>
  </w:style>
  <w:style w:type="paragraph" w:customStyle="1" w:styleId="965">
    <w:name w:val="FUNO4"/>
    <w:basedOn w:val="1"/>
    <w:qFormat/>
    <w:uiPriority w:val="0"/>
    <w:pPr>
      <w:widowControl/>
      <w:numPr>
        <w:ilvl w:val="3"/>
        <w:numId w:val="1"/>
      </w:numPr>
      <w:spacing w:before="156" w:beforeLines="50" w:after="156" w:afterLines="50"/>
      <w:jc w:val="left"/>
      <w:outlineLvl w:val="3"/>
    </w:pPr>
    <w:rPr>
      <w:rFonts w:ascii="Arial Unicode MS" w:hAnsi="Arial Unicode MS" w:eastAsia="宋体" w:cs="Times New Roman"/>
      <w:b/>
      <w:sz w:val="30"/>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20402</Words>
  <Characters>22006</Characters>
  <Lines>281</Lines>
  <Paragraphs>79</Paragraphs>
  <TotalTime>32</TotalTime>
  <ScaleCrop>false</ScaleCrop>
  <LinksUpToDate>false</LinksUpToDate>
  <CharactersWithSpaces>22215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Ssshan</cp:lastModifiedBy>
  <cp:lastPrinted>2021-12-27T19:06:00Z</cp:lastPrinted>
  <dcterms:modified xsi:type="dcterms:W3CDTF">2024-11-29T03:14:28Z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6FF24603DD4D4BE6834CEDCCA07929E7_13</vt:lpwstr>
  </property>
</Properties>
</file>