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77"/>
        </w:tabs>
        <w:spacing w:line="360" w:lineRule="auto"/>
        <w:jc w:val="left"/>
        <w:rPr>
          <w:rFonts w:cs="仿宋_GB2312" w:asciiTheme="minorEastAsia" w:hAnsiTheme="minorEastAsia" w:eastAsiaTheme="minorEastAsia"/>
          <w:b/>
          <w:color w:val="auto"/>
          <w:sz w:val="24"/>
          <w:highlight w:val="none"/>
        </w:rPr>
      </w:pPr>
      <w:bookmarkStart w:id="83" w:name="_GoBack"/>
      <w:r>
        <w:rPr>
          <w:rFonts w:cs="仿宋_GB2312" w:asciiTheme="minorEastAsia" w:hAnsiTheme="minorEastAsia" w:eastAsiaTheme="minorEastAsia"/>
          <w:b/>
          <w:color w:val="auto"/>
          <w:sz w:val="24"/>
          <w:highlight w:val="none"/>
        </w:rPr>
        <w:tab/>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扩区以来浙江自贸试验区政策实施情况</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评估</w:t>
      </w:r>
      <w:r>
        <w:rPr>
          <w:rFonts w:hint="eastAsia" w:cs="仿宋_GB2312" w:asciiTheme="minorEastAsia" w:hAnsiTheme="minorEastAsia" w:eastAsiaTheme="minorEastAsia"/>
          <w:b/>
          <w:color w:val="auto"/>
          <w:sz w:val="44"/>
          <w:szCs w:val="44"/>
          <w:highlight w:val="none"/>
        </w:rPr>
        <w:t>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pStyle w:val="74"/>
        <w:rPr>
          <w:color w:val="auto"/>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24506</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扩区以来浙江自贸试验区政策实施情况评估项目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6月17</w:t>
      </w:r>
      <w:r>
        <w:rPr>
          <w:rFonts w:hint="eastAsia" w:asciiTheme="minorEastAsia" w:hAnsiTheme="minorEastAsia" w:eastAsiaTheme="minorEastAsia"/>
          <w:color w:val="auto"/>
          <w:sz w:val="24"/>
          <w:highlight w:val="none"/>
          <w:u w:val="single"/>
          <w:lang w:eastAsia="zh-CN"/>
        </w:rPr>
        <w:t>日14点00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24506</w:t>
      </w:r>
      <w:r>
        <w:rPr>
          <w:rFonts w:hint="eastAsia" w:asciiTheme="minorEastAsia" w:hAnsiTheme="minorEastAsia" w:eastAsiaTheme="minorEastAsia"/>
          <w:bCs/>
          <w:color w:val="auto"/>
          <w:sz w:val="24"/>
          <w:highlight w:val="none"/>
          <w:lang w:val="en-US" w:eastAsia="zh-CN"/>
        </w:rPr>
        <w:t xml:space="preserve"> </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扩区以来浙江自贸试验区政策实施情况评估项目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lang w:eastAsia="zh-CN"/>
        </w:rPr>
        <w:t>00000</w:t>
      </w:r>
    </w:p>
    <w:p>
      <w:pPr>
        <w:spacing w:line="360" w:lineRule="auto"/>
        <w:ind w:firstLine="482" w:firstLineChars="20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lang w:eastAsia="zh-CN"/>
        </w:rPr>
        <w:t>00000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扩区以来浙江自贸试验区政策实施情况评估项目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扩区以来浙江自贸试验区政策实施情况评估项目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合同签订之日起至2024年8月31</w:t>
      </w:r>
      <w:r>
        <w:rPr>
          <w:rFonts w:hint="eastAsia" w:asciiTheme="minorEastAsia" w:hAnsiTheme="minorEastAsia" w:eastAsiaTheme="minorEastAsia"/>
          <w:color w:val="auto"/>
          <w:sz w:val="24"/>
          <w:highlight w:val="none"/>
          <w:u w:val="single"/>
          <w:lang w:val="en-US" w:eastAsia="zh-CN"/>
        </w:rPr>
        <w:t>日前完成</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6月17</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6月17</w:t>
      </w:r>
      <w:r>
        <w:rPr>
          <w:rFonts w:hint="eastAsia" w:asciiTheme="minorEastAsia" w:hAnsiTheme="minorEastAsia" w:eastAsiaTheme="minorEastAsia"/>
          <w:color w:val="auto"/>
          <w:sz w:val="24"/>
          <w:highlight w:val="none"/>
          <w:u w:val="single"/>
          <w:lang w:eastAsia="zh-CN"/>
        </w:rPr>
        <w:t>日14点00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6月17</w:t>
      </w:r>
      <w:r>
        <w:rPr>
          <w:rFonts w:hint="eastAsia" w:asciiTheme="minorEastAsia" w:hAnsiTheme="minorEastAsia" w:eastAsiaTheme="minorEastAsia"/>
          <w:color w:val="auto"/>
          <w:sz w:val="24"/>
          <w:highlight w:val="none"/>
          <w:u w:val="single"/>
          <w:lang w:eastAsia="zh-CN"/>
        </w:rPr>
        <w:t>日14点00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地点：杭州市拱墅区彩云路105号锦盛大楼8楼评标室，</w:t>
      </w:r>
      <w:r>
        <w:rPr>
          <w:rFonts w:hint="eastAsia" w:cs="宋体" w:asciiTheme="minorEastAsia" w:hAnsiTheme="minorEastAsia" w:eastAsiaTheme="minorEastAsia"/>
          <w:color w:val="auto"/>
          <w:sz w:val="24"/>
          <w:highlight w:val="none"/>
        </w:rPr>
        <w:t>政采云平台（https://www.zcygov.cn/）。</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94"/>
      <w:bookmarkStart w:id="33" w:name="_Toc28359017"/>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95"/>
      <w:bookmarkStart w:id="38" w:name="_Toc28359018"/>
      <w:bookmarkStart w:id="39" w:name="_Toc35393636"/>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项目联系人（询问）：王君英</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项目联系方式（询问）：0571-87058236</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质疑联系人：熊朝辉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质疑联系方式：0571-87050884  </w:t>
      </w:r>
    </w:p>
    <w:p>
      <w:pPr>
        <w:pStyle w:val="3"/>
        <w:numPr>
          <w:ilvl w:val="0"/>
          <w:numId w:val="0"/>
        </w:numPr>
        <w:ind w:left="432" w:hanging="432"/>
        <w:rPr>
          <w:rFonts w:cs="宋体" w:asciiTheme="minorEastAsia" w:hAnsiTheme="minorEastAsia" w:eastAsiaTheme="minorEastAsia"/>
          <w:color w:val="auto"/>
          <w:sz w:val="24"/>
          <w:highlight w:val="none"/>
        </w:rPr>
      </w:pPr>
      <w:bookmarkStart w:id="45" w:name="_Toc35393807"/>
      <w:bookmarkStart w:id="46" w:name="_Toc35393638"/>
      <w:bookmarkStart w:id="47" w:name="_Toc28359020"/>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宓圣杰</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pPr>
        <w:spacing w:line="360" w:lineRule="auto"/>
        <w:rPr>
          <w:rFonts w:asciiTheme="minorEastAsia" w:hAnsiTheme="minorEastAsia" w:eastAsiaTheme="minorEastAsia"/>
          <w:b/>
          <w:color w:val="auto"/>
          <w:sz w:val="24"/>
          <w:highlight w:val="none"/>
        </w:rPr>
      </w:pPr>
      <w:bookmarkStart w:id="49" w:name="_Toc35393808"/>
      <w:bookmarkStart w:id="50" w:name="_Toc28359098"/>
      <w:bookmarkStart w:id="51" w:name="_Toc28359021"/>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pPr>
        <w:pStyle w:val="74"/>
        <w:ind w:firstLine="463" w:firstLineChars="193"/>
        <w:rPr>
          <w:color w:val="auto"/>
          <w:highlight w:val="none"/>
        </w:rPr>
      </w:pPr>
      <w:r>
        <w:rPr>
          <w:rFonts w:hint="eastAsia" w:hAnsi="宋体"/>
          <w:color w:val="auto"/>
          <w:highlight w:val="none"/>
        </w:rPr>
        <w:t>预算金额未达100万元的采购项目，由采购人处理采购争议。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扩区以来浙江自贸试验区政策实施情况评估项目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p>
          <w:p>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highlight w:val="none"/>
          <w:lang w:val="en-US"/>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3"/>
        <w:spacing w:before="0"/>
        <w:ind w:firstLine="0" w:firstLineChars="0"/>
        <w:rPr>
          <w:rFonts w:cs="仿宋_GB2312" w:asciiTheme="minorEastAsia" w:hAnsiTheme="minorEastAsia" w:eastAsiaTheme="minorEastAsia"/>
          <w:b/>
          <w:color w:val="auto"/>
          <w:szCs w:val="24"/>
          <w:highlight w:val="none"/>
        </w:rPr>
      </w:pP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14665"/>
      <w:bookmarkEnd w:id="55"/>
      <w:bookmarkStart w:id="56" w:name="_Hlt68072990"/>
      <w:bookmarkEnd w:id="56"/>
      <w:bookmarkStart w:id="57" w:name="_Hlt75236290"/>
      <w:bookmarkEnd w:id="57"/>
      <w:bookmarkStart w:id="58" w:name="_Hlt75236101"/>
      <w:bookmarkEnd w:id="58"/>
      <w:bookmarkStart w:id="59" w:name="_Hlt74729768"/>
      <w:bookmarkEnd w:id="59"/>
      <w:bookmarkStart w:id="60" w:name="_Hlt75236011"/>
      <w:bookmarkEnd w:id="60"/>
      <w:bookmarkStart w:id="61" w:name="_Hlt74707468"/>
      <w:bookmarkEnd w:id="61"/>
      <w:bookmarkStart w:id="62" w:name="_Hlt74730295"/>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扩区以来浙江自贸试验区政策实施情况评估项目</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30.00</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pPr>
              <w:widowControl/>
              <w:snapToGrid w:val="0"/>
              <w:spacing w:line="360" w:lineRule="auto"/>
              <w:jc w:val="center"/>
              <w:rPr>
                <w:rFonts w:ascii="宋体" w:hAnsi="宋体" w:cs="宋体"/>
                <w:bCs/>
                <w:color w:val="auto"/>
                <w:kern w:val="0"/>
                <w:szCs w:val="21"/>
                <w:highlight w:val="none"/>
              </w:rPr>
            </w:pPr>
          </w:p>
        </w:tc>
      </w:tr>
    </w:tbl>
    <w:p>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rPr>
      </w:pPr>
      <w:bookmarkStart w:id="67" w:name="_Toc391886191"/>
      <w:r>
        <w:rPr>
          <w:rFonts w:hint="eastAsia" w:ascii="宋体" w:hAnsi="宋体" w:eastAsia="宋体" w:cs="宋体"/>
          <w:b/>
          <w:bCs/>
          <w:color w:val="auto"/>
          <w:sz w:val="24"/>
          <w:szCs w:val="24"/>
          <w:highlight w:val="none"/>
        </w:rPr>
        <w:t>一、项目背景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自浙江自贸试验区扩区以来，</w:t>
      </w:r>
      <w:r>
        <w:rPr>
          <w:rFonts w:hint="eastAsia" w:ascii="宋体" w:hAnsi="宋体" w:eastAsia="宋体" w:cs="宋体"/>
          <w:color w:val="auto"/>
          <w:kern w:val="2"/>
          <w:sz w:val="24"/>
          <w:szCs w:val="24"/>
          <w:highlight w:val="none"/>
          <w:lang w:val="en-US" w:eastAsia="zh-CN" w:bidi="ar"/>
        </w:rPr>
        <w:t>各省级单位陆续出台了一系列政策文件支持自贸试验区发展</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b w:val="0"/>
          <w:bCs w:val="0"/>
          <w:color w:val="auto"/>
          <w:kern w:val="2"/>
          <w:sz w:val="24"/>
          <w:szCs w:val="24"/>
          <w:highlight w:val="none"/>
          <w:lang w:eastAsia="zh-CN" w:bidi="ar-SA"/>
        </w:rPr>
        <w:t>涉及</w:t>
      </w:r>
      <w:r>
        <w:rPr>
          <w:rFonts w:hint="eastAsia" w:ascii="宋体" w:hAnsi="宋体" w:eastAsia="宋体" w:cs="宋体"/>
          <w:b w:val="0"/>
          <w:bCs w:val="0"/>
          <w:color w:val="auto"/>
          <w:kern w:val="2"/>
          <w:sz w:val="24"/>
          <w:szCs w:val="24"/>
          <w:highlight w:val="none"/>
          <w:lang w:val="en-US" w:eastAsia="zh-CN" w:bidi="ar-SA"/>
        </w:rPr>
        <w:t>金融、物流运输、大宗商品贸易、新型国际贸易、先进制造、文化旅游等领域。</w:t>
      </w:r>
      <w:r>
        <w:rPr>
          <w:rFonts w:hint="eastAsia" w:ascii="宋体" w:hAnsi="宋体" w:eastAsia="宋体" w:cs="宋体"/>
          <w:color w:val="auto"/>
          <w:sz w:val="24"/>
          <w:szCs w:val="24"/>
          <w:highlight w:val="none"/>
        </w:rPr>
        <w:t>在新一轮自贸试验区提升发展时期，本项目将重点评价有关政策的实施情况和实效成果，为后续政策延续完善或迭代更新形成理论依据</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w:t>
      </w:r>
      <w:bookmarkEnd w:id="67"/>
      <w:r>
        <w:rPr>
          <w:rFonts w:hint="eastAsia" w:ascii="宋体" w:hAnsi="宋体" w:eastAsia="宋体" w:cs="宋体"/>
          <w:b/>
          <w:bCs/>
          <w:color w:val="auto"/>
          <w:sz w:val="24"/>
          <w:szCs w:val="24"/>
          <w:highlight w:val="none"/>
        </w:rPr>
        <w:t>内容概述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扩区以来浙江自贸试验区政策实施情况评估</w:t>
      </w:r>
      <w:r>
        <w:rPr>
          <w:rFonts w:hint="eastAsia" w:ascii="宋体" w:hAnsi="宋体" w:eastAsia="宋体" w:cs="宋体"/>
          <w:b w:val="0"/>
          <w:bCs w:val="0"/>
          <w:color w:val="auto"/>
          <w:sz w:val="24"/>
          <w:szCs w:val="24"/>
          <w:highlight w:val="none"/>
        </w:rPr>
        <w:t>项目预算限额</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万元。</w:t>
      </w:r>
      <w:r>
        <w:rPr>
          <w:rFonts w:hint="eastAsia" w:ascii="宋体" w:hAnsi="宋体" w:eastAsia="宋体" w:cs="宋体"/>
          <w:color w:val="auto"/>
          <w:sz w:val="24"/>
          <w:szCs w:val="24"/>
          <w:highlight w:val="none"/>
        </w:rPr>
        <w:t>浙江自贸试验区扩区以来，省委省政府及各省级单位陆续出台了一系列支持自贸试验区发展</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政策文件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通过梳理已出台的省级特色支持文件，提取含金量较高的自贸试验区特色政策，逐条进行评估。通过主管单位座谈、专家咨询、政企互动、调查问卷等形式评估政策含金量，对政策实施效果进行评价，</w:t>
      </w:r>
      <w:r>
        <w:rPr>
          <w:rFonts w:hint="eastAsia" w:ascii="宋体" w:hAnsi="宋体" w:eastAsia="宋体" w:cs="宋体"/>
          <w:color w:val="auto"/>
          <w:kern w:val="2"/>
          <w:sz w:val="24"/>
          <w:szCs w:val="24"/>
          <w:highlight w:val="none"/>
          <w:lang w:eastAsia="zh-CN" w:bidi="ar-SA"/>
        </w:rPr>
        <w:t>并对标国内外其他自贸试验区建设经验，</w:t>
      </w:r>
      <w:r>
        <w:rPr>
          <w:rFonts w:hint="eastAsia" w:ascii="宋体" w:hAnsi="宋体" w:eastAsia="宋体" w:cs="宋体"/>
          <w:color w:val="auto"/>
          <w:kern w:val="2"/>
          <w:sz w:val="24"/>
          <w:szCs w:val="24"/>
          <w:highlight w:val="none"/>
          <w:lang w:val="en-US" w:eastAsia="zh-CN" w:bidi="ar-SA"/>
        </w:rPr>
        <w:t>为后续政策延续完善或复制推广提供建议。</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bookmarkStart w:id="68" w:name="_Toc37243119"/>
      <w:bookmarkStart w:id="69" w:name="_Toc91899916"/>
      <w:bookmarkStart w:id="70" w:name="_Toc35401305"/>
      <w:r>
        <w:rPr>
          <w:rFonts w:hint="eastAsia" w:ascii="宋体" w:hAnsi="宋体" w:eastAsia="宋体" w:cs="宋体"/>
          <w:b/>
          <w:bCs/>
          <w:color w:val="auto"/>
          <w:sz w:val="24"/>
          <w:szCs w:val="24"/>
          <w:highlight w:val="none"/>
        </w:rPr>
        <w:t>项目团队要求</w:t>
      </w:r>
    </w:p>
    <w:bookmarkEnd w:id="68"/>
    <w:bookmarkEnd w:id="69"/>
    <w:bookmarkEnd w:id="70"/>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1.项目承接团队需具有丰富自贸工作经验。团队中主要负责人需具备浙江自贸试验区</w:t>
      </w:r>
      <w:r>
        <w:rPr>
          <w:rFonts w:hint="eastAsia" w:ascii="宋体" w:hAnsi="宋体" w:eastAsia="宋体" w:cs="宋体"/>
          <w:b w:val="0"/>
          <w:bCs w:val="0"/>
          <w:color w:val="auto"/>
          <w:sz w:val="24"/>
          <w:szCs w:val="24"/>
          <w:highlight w:val="none"/>
          <w:lang w:val="en-US" w:eastAsia="zh-CN"/>
        </w:rPr>
        <w:t>重要</w:t>
      </w:r>
      <w:r>
        <w:rPr>
          <w:rFonts w:hint="eastAsia" w:ascii="宋体" w:hAnsi="宋体" w:eastAsia="宋体" w:cs="宋体"/>
          <w:b w:val="0"/>
          <w:bCs w:val="0"/>
          <w:color w:val="auto"/>
          <w:sz w:val="24"/>
          <w:szCs w:val="24"/>
          <w:highlight w:val="none"/>
        </w:rPr>
        <w:t>文件撰写</w:t>
      </w:r>
      <w:r>
        <w:rPr>
          <w:rFonts w:hint="eastAsia" w:ascii="宋体" w:hAnsi="宋体" w:eastAsia="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rPr>
        <w:t>政策制定的经历。团队主要成员需参与过自贸试验区</w:t>
      </w:r>
      <w:r>
        <w:rPr>
          <w:rFonts w:hint="eastAsia" w:ascii="宋体" w:hAnsi="宋体" w:eastAsia="宋体" w:cs="宋体"/>
          <w:b w:val="0"/>
          <w:bCs w:val="0"/>
          <w:color w:val="auto"/>
          <w:sz w:val="24"/>
          <w:szCs w:val="24"/>
          <w:highlight w:val="none"/>
          <w:lang w:val="en-US" w:eastAsia="zh-CN"/>
        </w:rPr>
        <w:t>课题或</w:t>
      </w:r>
      <w:r>
        <w:rPr>
          <w:rFonts w:hint="eastAsia" w:ascii="宋体" w:hAnsi="宋体" w:eastAsia="宋体" w:cs="宋体"/>
          <w:b w:val="0"/>
          <w:bCs w:val="0"/>
          <w:color w:val="auto"/>
          <w:sz w:val="24"/>
          <w:szCs w:val="24"/>
          <w:highlight w:val="none"/>
        </w:rPr>
        <w:t>专报等材料撰写等自贸有关工作，对</w:t>
      </w:r>
      <w:r>
        <w:rPr>
          <w:rFonts w:hint="eastAsia" w:ascii="宋体" w:hAnsi="宋体" w:eastAsia="宋体" w:cs="宋体"/>
          <w:b w:val="0"/>
          <w:bCs w:val="0"/>
          <w:color w:val="auto"/>
          <w:sz w:val="24"/>
          <w:szCs w:val="24"/>
          <w:highlight w:val="none"/>
          <w:lang w:val="en-US" w:eastAsia="zh-CN"/>
        </w:rPr>
        <w:t>浙江自贸试验区建设</w:t>
      </w:r>
      <w:r>
        <w:rPr>
          <w:rFonts w:hint="eastAsia" w:ascii="宋体" w:hAnsi="宋体" w:eastAsia="宋体" w:cs="宋体"/>
          <w:b w:val="0"/>
          <w:bCs w:val="0"/>
          <w:color w:val="auto"/>
          <w:sz w:val="24"/>
          <w:szCs w:val="24"/>
          <w:highlight w:val="none"/>
        </w:rPr>
        <w:t>有着一定的工作或研究经验。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2.项目承接团队需有效对接自贸政策资源，高标准完成项目工作。一是能有效对接国家部委对口司局和省商务厅有关业务处室资源，可深度解读和运用自贸政策；二是团队内部分工明确，具有</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人以上常态化保障各项工作的能力；三是能有效对接高校智库、行业协会和自贸试验区重点平台企业，为项目执行提供资源保障。</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3.项目承接团队需提供人员驻场保障服务。项目承接团队需提供1-2名特定人员长期驻场接受任务指派，对接项目团队，扎实推进项目工作。</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项目履行时间</w:t>
      </w:r>
    </w:p>
    <w:p>
      <w:pPr>
        <w:pStyle w:val="60"/>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自合同签订之日起至2024年8月31日。</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付款方式</w:t>
      </w:r>
    </w:p>
    <w:p>
      <w:pPr>
        <w:pStyle w:val="60"/>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1.合同签订生效以及具备实施条件后7个工作日内支付合同金额的70%；服务完成并验收合格后7个工作日内支付合同金额的30%（不计息）。</w:t>
      </w:r>
    </w:p>
    <w:p>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2.成交人应随付款进度提供正式税务发票</w:t>
      </w:r>
      <w:r>
        <w:rPr>
          <w:rFonts w:hint="eastAsia" w:ascii="宋体" w:hAnsi="宋体" w:eastAsia="宋体" w:cs="宋体"/>
          <w:i w:val="0"/>
          <w:iCs/>
          <w:color w:val="auto"/>
          <w:sz w:val="24"/>
          <w:szCs w:val="24"/>
          <w:highlight w:val="none"/>
        </w:rPr>
        <w:t>。</w:t>
      </w:r>
    </w:p>
    <w:p>
      <w:pPr>
        <w:pStyle w:val="59"/>
        <w:rPr>
          <w:rFonts w:hint="eastAsia" w:ascii="宋体" w:hAnsi="宋体" w:eastAsia="宋体" w:cs="宋体"/>
          <w:color w:val="auto"/>
          <w:sz w:val="21"/>
          <w:szCs w:val="21"/>
          <w:highlight w:val="none"/>
          <w:lang w:val="en-US" w:eastAsia="zh-CN"/>
        </w:rPr>
      </w:pPr>
    </w:p>
    <w:p>
      <w:pPr>
        <w:jc w:val="left"/>
        <w:rPr>
          <w:rFonts w:cs="仿宋_GB2312" w:asciiTheme="minorEastAsia" w:hAnsiTheme="minorEastAsia" w:eastAsiaTheme="minorEastAsia"/>
          <w:b/>
          <w:color w:val="auto"/>
          <w:sz w:val="36"/>
          <w:szCs w:val="36"/>
          <w:highlight w:val="none"/>
        </w:rPr>
      </w:pPr>
    </w:p>
    <w:p>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71" w:name="第四部分"/>
      <w:r>
        <w:rPr>
          <w:rFonts w:hint="eastAsia" w:cs="仿宋_GB2312" w:asciiTheme="minorEastAsia" w:hAnsiTheme="minorEastAsia" w:eastAsiaTheme="minorEastAsia"/>
          <w:b/>
          <w:color w:val="auto"/>
          <w:sz w:val="36"/>
          <w:szCs w:val="36"/>
          <w:highlight w:val="none"/>
        </w:rPr>
        <w:t>评审方法及评审标准</w:t>
      </w:r>
    </w:p>
    <w:p>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05"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pPr>
              <w:pStyle w:val="393"/>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pPr>
              <w:pStyle w:val="393"/>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5505" w:type="dxa"/>
            <w:vAlign w:val="center"/>
          </w:tcPr>
          <w:p>
            <w:pPr>
              <w:snapToGrid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pPr>
              <w:spacing w:line="276"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5" w:type="dxa"/>
            <w:vAlign w:val="center"/>
          </w:tcPr>
          <w:p>
            <w:pPr>
              <w:pStyle w:val="375"/>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采购需求响应情况：</w:t>
            </w:r>
          </w:p>
          <w:p>
            <w:pPr>
              <w:pStyle w:val="375"/>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能完全响应“第四章 采购需求”的得15分，每有一条未响应的扣5分，本项分值扣完为止。</w:t>
            </w:r>
          </w:p>
        </w:tc>
        <w:tc>
          <w:tcPr>
            <w:tcW w:w="741" w:type="dxa"/>
            <w:vAlign w:val="center"/>
          </w:tcPr>
          <w:p>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50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pPr>
              <w:pStyle w:val="375"/>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内容完整、符合采购需求的得5分，内容较完整的得3分，内容欠缺的得1分，不提供不得分。</w:t>
            </w:r>
          </w:p>
        </w:tc>
        <w:tc>
          <w:tcPr>
            <w:tcW w:w="741" w:type="dxa"/>
            <w:vAlign w:val="center"/>
          </w:tcPr>
          <w:p>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5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总体执行方案：要求针对本项目的采购内容，设计和制定项目执行方案</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体现针对性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专业性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3.方案内容完整；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单项打分依据：</w:t>
            </w:r>
            <w:r>
              <w:rPr>
                <w:rFonts w:hint="eastAsia" w:ascii="宋体" w:hAnsi="宋体" w:eastAsia="宋体" w:cs="宋体"/>
                <w:color w:val="auto"/>
                <w:sz w:val="21"/>
                <w:szCs w:val="21"/>
                <w:highlight w:val="none"/>
                <w:lang w:val="zh-CN"/>
              </w:rPr>
              <w:t>方案较详尽、</w:t>
            </w:r>
            <w:r>
              <w:rPr>
                <w:rFonts w:hint="eastAsia" w:ascii="宋体" w:hAnsi="宋体" w:eastAsia="宋体" w:cs="宋体"/>
                <w:color w:val="auto"/>
                <w:sz w:val="21"/>
                <w:szCs w:val="21"/>
                <w:highlight w:val="none"/>
                <w:lang w:val="en-US" w:eastAsia="zh-CN"/>
              </w:rPr>
              <w:t>内容完整</w:t>
            </w:r>
            <w:r>
              <w:rPr>
                <w:rFonts w:hint="eastAsia" w:ascii="宋体" w:hAnsi="宋体" w:eastAsia="宋体" w:cs="宋体"/>
                <w:color w:val="auto"/>
                <w:sz w:val="21"/>
                <w:szCs w:val="21"/>
                <w:highlight w:val="none"/>
                <w:lang w:val="zh-CN"/>
              </w:rPr>
              <w:t>且较合理可行的，得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分；方案基本合理可行的，得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分；略有欠缺的得1分，不符合或未提供的不得分。</w:t>
            </w:r>
            <w:r>
              <w:rPr>
                <w:rFonts w:hint="eastAsia" w:ascii="宋体" w:hAnsi="宋体" w:eastAsia="宋体" w:cs="宋体"/>
                <w:color w:val="auto"/>
                <w:kern w:val="0"/>
                <w:sz w:val="21"/>
                <w:szCs w:val="21"/>
                <w:highlight w:val="none"/>
              </w:rPr>
              <w:t>（注：提供相关保障措施方案）</w:t>
            </w:r>
          </w:p>
        </w:tc>
        <w:tc>
          <w:tcPr>
            <w:tcW w:w="741" w:type="dxa"/>
            <w:vAlign w:val="center"/>
          </w:tcPr>
          <w:p>
            <w:pPr>
              <w:numPr>
                <w:ilvl w:val="0"/>
                <w:numId w:val="0"/>
              </w:num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5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实施进度计划：</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针对本项目制定详细的实施计划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对项目实施要求提供保障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实施计划的合理性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单项打分依据：</w:t>
            </w:r>
            <w:r>
              <w:rPr>
                <w:rFonts w:hint="eastAsia" w:ascii="宋体" w:hAnsi="宋体" w:eastAsia="宋体" w:cs="宋体"/>
                <w:color w:val="auto"/>
                <w:sz w:val="21"/>
                <w:szCs w:val="21"/>
                <w:highlight w:val="none"/>
                <w:lang w:val="zh-CN"/>
              </w:rPr>
              <w:t>方案较详尽、</w:t>
            </w:r>
            <w:r>
              <w:rPr>
                <w:rFonts w:hint="eastAsia" w:ascii="宋体" w:hAnsi="宋体" w:eastAsia="宋体" w:cs="宋体"/>
                <w:color w:val="auto"/>
                <w:sz w:val="21"/>
                <w:szCs w:val="21"/>
                <w:highlight w:val="none"/>
                <w:lang w:val="en-US" w:eastAsia="zh-CN"/>
              </w:rPr>
              <w:t>内容完整</w:t>
            </w:r>
            <w:r>
              <w:rPr>
                <w:rFonts w:hint="eastAsia" w:ascii="宋体" w:hAnsi="宋体" w:eastAsia="宋体" w:cs="宋体"/>
                <w:color w:val="auto"/>
                <w:sz w:val="21"/>
                <w:szCs w:val="21"/>
                <w:highlight w:val="none"/>
                <w:lang w:val="zh-CN"/>
              </w:rPr>
              <w:t>且较合理可行的，得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分；方案基本合理可行的，得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分；略有欠缺的得1分，不符合或未提供的不得分。</w:t>
            </w:r>
            <w:r>
              <w:rPr>
                <w:rFonts w:hint="eastAsia" w:ascii="宋体" w:hAnsi="宋体" w:eastAsia="宋体" w:cs="宋体"/>
                <w:color w:val="auto"/>
                <w:kern w:val="0"/>
                <w:sz w:val="21"/>
                <w:szCs w:val="21"/>
                <w:highlight w:val="none"/>
              </w:rPr>
              <w:t>（注：提供相关保障措施方案）</w:t>
            </w:r>
            <w:r>
              <w:rPr>
                <w:rFonts w:hint="eastAsia" w:ascii="宋体" w:hAnsi="宋体" w:eastAsia="宋体" w:cs="宋体"/>
                <w:color w:val="auto"/>
                <w:sz w:val="21"/>
                <w:szCs w:val="21"/>
                <w:highlight w:val="none"/>
              </w:rPr>
              <w:t>（注：提供实施进度计划）</w:t>
            </w:r>
          </w:p>
        </w:tc>
        <w:tc>
          <w:tcPr>
            <w:tcW w:w="741" w:type="dxa"/>
            <w:vAlign w:val="center"/>
          </w:tcPr>
          <w:p>
            <w:pPr>
              <w:numPr>
                <w:ilvl w:val="0"/>
                <w:numId w:val="0"/>
              </w:num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505"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有关措施保障：</w:t>
            </w:r>
          </w:p>
          <w:p>
            <w:pPr>
              <w:keepNext w:val="0"/>
              <w:keepLines w:val="0"/>
              <w:pageBreakBefore w:val="0"/>
              <w:numPr>
                <w:ilvl w:val="0"/>
                <w:numId w:val="8"/>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服务保障措施（5分）</w:t>
            </w:r>
          </w:p>
          <w:p>
            <w:pPr>
              <w:keepNext w:val="0"/>
              <w:keepLines w:val="0"/>
              <w:pageBreakBefore w:val="0"/>
              <w:numPr>
                <w:ilvl w:val="0"/>
                <w:numId w:val="8"/>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应急预案措施（5分）</w:t>
            </w:r>
          </w:p>
          <w:p>
            <w:pPr>
              <w:keepNext w:val="0"/>
              <w:keepLines w:val="0"/>
              <w:pageBreakBefore w:val="0"/>
              <w:numPr>
                <w:ilvl w:val="0"/>
                <w:numId w:val="8"/>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知识产权保护措施（5分）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单项打分依据：</w:t>
            </w:r>
            <w:r>
              <w:rPr>
                <w:rFonts w:hint="eastAsia" w:ascii="宋体" w:hAnsi="宋体" w:eastAsia="宋体" w:cs="宋体"/>
                <w:color w:val="auto"/>
                <w:sz w:val="21"/>
                <w:szCs w:val="21"/>
                <w:highlight w:val="none"/>
                <w:lang w:val="zh-CN"/>
              </w:rPr>
              <w:t>方案较详尽、</w:t>
            </w:r>
            <w:r>
              <w:rPr>
                <w:rFonts w:hint="eastAsia" w:ascii="宋体" w:hAnsi="宋体" w:eastAsia="宋体" w:cs="宋体"/>
                <w:color w:val="auto"/>
                <w:sz w:val="21"/>
                <w:szCs w:val="21"/>
                <w:highlight w:val="none"/>
                <w:lang w:val="en-US" w:eastAsia="zh-CN"/>
              </w:rPr>
              <w:t>内容完整</w:t>
            </w:r>
            <w:r>
              <w:rPr>
                <w:rFonts w:hint="eastAsia" w:ascii="宋体" w:hAnsi="宋体" w:eastAsia="宋体" w:cs="宋体"/>
                <w:color w:val="auto"/>
                <w:sz w:val="21"/>
                <w:szCs w:val="21"/>
                <w:highlight w:val="none"/>
                <w:lang w:val="zh-CN"/>
              </w:rPr>
              <w:t>且较合理可行的，得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分；方案基本合理可行的，得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分；略有欠缺的得1分，不符合或未提供的不得分。</w:t>
            </w:r>
            <w:r>
              <w:rPr>
                <w:rFonts w:hint="eastAsia" w:ascii="宋体" w:hAnsi="宋体" w:eastAsia="宋体" w:cs="宋体"/>
                <w:color w:val="auto"/>
                <w:kern w:val="0"/>
                <w:sz w:val="21"/>
                <w:szCs w:val="21"/>
                <w:highlight w:val="none"/>
              </w:rPr>
              <w:t>（注：提供相关保障措施方案）</w:t>
            </w:r>
          </w:p>
        </w:tc>
        <w:tc>
          <w:tcPr>
            <w:tcW w:w="741"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c>
          <w:tcPr>
            <w:tcW w:w="5505" w:type="dxa"/>
            <w:vAlign w:val="center"/>
          </w:tcPr>
          <w:p>
            <w:pPr>
              <w:snapToGrid w:val="0"/>
              <w:spacing w:line="276" w:lineRule="auto"/>
              <w:jc w:val="left"/>
              <w:rPr>
                <w:rFonts w:hint="eastAsia" w:ascii="宋体" w:hAnsi="宋体" w:eastAsia="宋体" w:cs="宋体"/>
                <w:color w:val="auto"/>
                <w:sz w:val="21"/>
                <w:szCs w:val="21"/>
                <w:highlight w:val="none"/>
              </w:rPr>
            </w:pPr>
          </w:p>
        </w:tc>
        <w:tc>
          <w:tcPr>
            <w:tcW w:w="741" w:type="dxa"/>
            <w:vAlign w:val="center"/>
          </w:tcPr>
          <w:p>
            <w:pPr>
              <w:spacing w:line="276" w:lineRule="auto"/>
              <w:jc w:val="center"/>
              <w:rPr>
                <w:rFonts w:hint="eastAsia" w:ascii="宋体" w:hAnsi="宋体" w:eastAsia="宋体" w:cs="宋体"/>
                <w:color w:val="auto"/>
                <w:sz w:val="21"/>
                <w:szCs w:val="21"/>
                <w:highlight w:val="none"/>
                <w:lang w:val="en-US" w:eastAsia="zh-CN"/>
              </w:rPr>
            </w:pP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505"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项目团队分工合理性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人员安排合理经验丰富、</w:t>
            </w:r>
            <w:r>
              <w:rPr>
                <w:rFonts w:hint="eastAsia" w:ascii="宋体" w:hAnsi="宋体" w:eastAsia="宋体" w:cs="宋体"/>
                <w:color w:val="auto"/>
                <w:sz w:val="21"/>
                <w:szCs w:val="21"/>
                <w:highlight w:val="none"/>
              </w:rPr>
              <w:t>综合能力</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人员经验较浅</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略有</w:t>
            </w:r>
            <w:r>
              <w:rPr>
                <w:rFonts w:hint="eastAsia" w:ascii="宋体" w:hAnsi="宋体" w:eastAsia="宋体" w:cs="宋体"/>
                <w:color w:val="auto"/>
                <w:sz w:val="21"/>
                <w:szCs w:val="21"/>
                <w:highlight w:val="none"/>
                <w:lang w:val="en-US" w:eastAsia="zh-CN"/>
              </w:rPr>
              <w:t>不足</w:t>
            </w:r>
            <w:r>
              <w:rPr>
                <w:rFonts w:hint="eastAsia" w:ascii="宋体" w:hAnsi="宋体" w:eastAsia="宋体" w:cs="宋体"/>
                <w:color w:val="auto"/>
                <w:sz w:val="21"/>
                <w:szCs w:val="21"/>
                <w:highlight w:val="none"/>
                <w:lang w:val="zh-CN"/>
              </w:rPr>
              <w:t>的得1分，未提供或不能满足的不得分。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项目组</w:t>
            </w:r>
            <w:r>
              <w:rPr>
                <w:rFonts w:hint="eastAsia" w:ascii="宋体" w:hAnsi="宋体" w:eastAsia="宋体" w:cs="宋体"/>
                <w:color w:val="auto"/>
                <w:sz w:val="21"/>
                <w:szCs w:val="21"/>
                <w:highlight w:val="none"/>
                <w:lang w:eastAsia="zh-CN"/>
              </w:rPr>
              <w:t>团队（</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）：项目组人员的</w:t>
            </w:r>
            <w:r>
              <w:rPr>
                <w:rFonts w:hint="eastAsia" w:ascii="宋体" w:hAnsi="宋体" w:eastAsia="宋体" w:cs="宋体"/>
                <w:color w:val="auto"/>
                <w:sz w:val="21"/>
                <w:szCs w:val="21"/>
                <w:highlight w:val="none"/>
                <w:lang w:val="en-US" w:eastAsia="zh-CN"/>
              </w:rPr>
              <w:t>数量、</w:t>
            </w:r>
            <w:r>
              <w:rPr>
                <w:rFonts w:hint="eastAsia" w:ascii="宋体" w:hAnsi="宋体" w:eastAsia="宋体" w:cs="宋体"/>
                <w:color w:val="auto"/>
                <w:sz w:val="21"/>
                <w:szCs w:val="21"/>
                <w:highlight w:val="none"/>
                <w:lang w:eastAsia="zh-CN"/>
              </w:rPr>
              <w:t>履历、业绩、能力，能满足项目实施需要。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能完全满足项目需求的得5分，基本满足的得3分，略有欠缺的得1分。</w:t>
            </w:r>
          </w:p>
        </w:tc>
        <w:tc>
          <w:tcPr>
            <w:tcW w:w="741" w:type="dxa"/>
            <w:vAlign w:val="center"/>
          </w:tcPr>
          <w:p>
            <w:pPr>
              <w:numPr>
                <w:ilvl w:val="0"/>
                <w:numId w:val="0"/>
              </w:num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26" w:type="dxa"/>
            <w:vAlign w:val="center"/>
          </w:tcPr>
          <w:p>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505" w:type="dxa"/>
            <w:vAlign w:val="center"/>
          </w:tcPr>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pPr>
              <w:pStyle w:val="393"/>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pPr>
              <w:adjustRightInd/>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026" w:type="dxa"/>
            <w:vAlign w:val="center"/>
          </w:tcPr>
          <w:p>
            <w:pPr>
              <w:pStyle w:val="393"/>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8"/>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393"/>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71"/>
      <w:r>
        <w:rPr>
          <w:rFonts w:hint="eastAsia" w:cs="仿宋_GB2312" w:asciiTheme="minorEastAsia" w:hAnsiTheme="minorEastAsia" w:eastAsiaTheme="minorEastAsia"/>
          <w:b/>
          <w:color w:val="auto"/>
          <w:sz w:val="36"/>
          <w:szCs w:val="36"/>
          <w:highlight w:val="none"/>
        </w:rPr>
        <w:t>章  拟签订的合同文本</w:t>
      </w:r>
    </w:p>
    <w:p>
      <w:pPr>
        <w:spacing w:line="360" w:lineRule="auto"/>
        <w:jc w:val="center"/>
        <w:rPr>
          <w:rFonts w:hint="eastAsia" w:ascii="宋体" w:hAnsi="宋体"/>
          <w:b/>
          <w:color w:val="auto"/>
          <w:sz w:val="24"/>
          <w:highlight w:val="none"/>
        </w:rPr>
      </w:pPr>
      <w:bookmarkStart w:id="72" w:name="_Toc86217003"/>
      <w:bookmarkStart w:id="73" w:name="第五部分"/>
      <w:r>
        <w:rPr>
          <w:rFonts w:hint="eastAsia" w:ascii="宋体" w:hAnsi="宋体"/>
          <w:b/>
          <w:color w:val="auto"/>
          <w:sz w:val="24"/>
          <w:highlight w:val="none"/>
        </w:rPr>
        <w:t>（最终以双方签字盖章的合同文本为准）</w:t>
      </w:r>
    </w:p>
    <w:p>
      <w:pPr>
        <w:spacing w:line="360" w:lineRule="auto"/>
        <w:jc w:val="center"/>
        <w:rPr>
          <w:rFonts w:hint="eastAsia" w:ascii="宋体" w:hAnsi="宋体"/>
          <w:b/>
          <w:color w:val="auto"/>
          <w:sz w:val="24"/>
          <w:highlight w:val="none"/>
        </w:rPr>
      </w:pPr>
    </w:p>
    <w:p>
      <w:pPr>
        <w:ind w:right="-210" w:rightChars="-100"/>
        <w:rPr>
          <w:rFonts w:eastAsia="黑体"/>
          <w:color w:val="auto"/>
          <w:sz w:val="28"/>
          <w:highlight w:val="none"/>
          <w:u w:val="single"/>
        </w:rPr>
      </w:pPr>
      <w:bookmarkStart w:id="74"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pPr>
        <w:ind w:firstLine="3132" w:firstLineChars="650"/>
        <w:rPr>
          <w:rFonts w:eastAsia="黑体"/>
          <w:b/>
          <w:color w:val="auto"/>
          <w:sz w:val="48"/>
          <w:highlight w:val="none"/>
        </w:rPr>
      </w:pPr>
    </w:p>
    <w:bookmarkEnd w:id="74"/>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pPr>
        <w:jc w:val="center"/>
        <w:rPr>
          <w:rFonts w:ascii="宋体" w:hAnsi="宋体"/>
          <w:color w:val="auto"/>
          <w:sz w:val="36"/>
          <w:highlight w:val="none"/>
        </w:rPr>
      </w:pPr>
      <w:r>
        <w:rPr>
          <w:rFonts w:ascii="宋体" w:hAnsi="宋体"/>
          <w:color w:val="auto"/>
          <w:sz w:val="36"/>
          <w:highlight w:val="none"/>
        </w:rPr>
        <w:t xml:space="preserve">  </w:t>
      </w:r>
    </w:p>
    <w:p>
      <w:pPr>
        <w:jc w:val="center"/>
        <w:rPr>
          <w:rFonts w:ascii="宋体" w:hAnsi="宋体"/>
          <w:color w:val="auto"/>
          <w:sz w:val="36"/>
          <w:highlight w:val="none"/>
        </w:rPr>
      </w:pPr>
    </w:p>
    <w:p>
      <w:pPr>
        <w:spacing w:line="520" w:lineRule="exact"/>
        <w:ind w:left="279" w:hanging="279" w:hangingChars="133"/>
        <w:jc w:val="center"/>
        <w:rPr>
          <w:rFonts w:hint="eastAsia" w:ascii="宋体" w:hAnsi="宋体"/>
          <w:color w:val="auto"/>
          <w:highlight w:val="none"/>
        </w:rPr>
      </w:pPr>
    </w:p>
    <w:p>
      <w:pPr>
        <w:spacing w:line="520" w:lineRule="exact"/>
        <w:ind w:left="279" w:hanging="279" w:hangingChars="133"/>
        <w:jc w:val="center"/>
        <w:rPr>
          <w:rFonts w:hint="eastAsia" w:ascii="宋体" w:hAnsi="宋体"/>
          <w:color w:val="auto"/>
          <w:highlight w:val="none"/>
        </w:rPr>
      </w:pPr>
    </w:p>
    <w:p>
      <w:pPr>
        <w:spacing w:line="520" w:lineRule="exact"/>
        <w:ind w:left="279" w:hanging="279" w:hangingChars="133"/>
        <w:jc w:val="center"/>
        <w:rPr>
          <w:rFonts w:hint="eastAsia" w:ascii="宋体" w:hAnsi="宋体"/>
          <w:color w:val="auto"/>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签订合同后10个工作日内，支付合同总额的70%；提交最终项目成果并验收通过后，支付合同款总额的30% </w:t>
      </w:r>
      <w:r>
        <w:rPr>
          <w:rFonts w:hint="eastAsia" w:ascii="宋体" w:hAnsi="宋体"/>
          <w:color w:val="auto"/>
          <w:sz w:val="24"/>
          <w:highlight w:val="none"/>
        </w:rPr>
        <w:t xml:space="preserve">。  </w:t>
      </w:r>
    </w:p>
    <w:p>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72"/>
      <w:bookmarkEnd w:id="73"/>
      <w:r>
        <w:rPr>
          <w:rFonts w:hint="eastAsia" w:cs="仿宋_GB2312" w:asciiTheme="minorEastAsia" w:hAnsiTheme="minorEastAsia" w:eastAsiaTheme="minorEastAsia"/>
          <w:b/>
          <w:color w:val="auto"/>
          <w:sz w:val="36"/>
          <w:szCs w:val="20"/>
          <w:highlight w:val="none"/>
        </w:rPr>
        <w:t>章应提交的有关格式范例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扩区以来浙江自贸试验区政策实施情况评估项目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24506</w:t>
      </w:r>
      <w:r>
        <w:rPr>
          <w:rFonts w:hint="eastAsia" w:cs="仿宋_GB2312" w:asciiTheme="minorEastAsia" w:hAnsiTheme="minorEastAsia" w:eastAsiaTheme="minorEastAsia"/>
          <w:color w:val="auto"/>
          <w:sz w:val="24"/>
          <w:highlight w:val="none"/>
        </w:rPr>
        <w:t>】的有关活动，并对此项目进行响应。为此：</w:t>
      </w:r>
    </w:p>
    <w:p>
      <w:pPr>
        <w:pStyle w:val="108"/>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扩区以来浙江自贸试验区政策实施情况评估项目</w:t>
      </w:r>
      <w:r>
        <w:rPr>
          <w:rFonts w:hint="eastAsia" w:cs="仿宋_GB2312" w:asciiTheme="minorEastAsia" w:hAnsiTheme="minorEastAsia" w:eastAsiaTheme="minorEastAsia"/>
          <w:color w:val="auto"/>
          <w:kern w:val="0"/>
          <w:sz w:val="24"/>
          <w:highlight w:val="none"/>
          <w:lang w:val="zh-CN"/>
        </w:rPr>
        <w:t>【项目编号：HCZX-24506】</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扩区以来浙江自贸试验区政策实施情况评估项目</w:t>
      </w:r>
      <w:r>
        <w:rPr>
          <w:rFonts w:hint="eastAsia" w:cs="仿宋_GB2312" w:asciiTheme="minorEastAsia" w:hAnsiTheme="minorEastAsia" w:eastAsiaTheme="minorEastAsia"/>
          <w:color w:val="auto"/>
          <w:kern w:val="0"/>
          <w:sz w:val="24"/>
          <w:highlight w:val="none"/>
          <w:lang w:val="zh-CN"/>
        </w:rPr>
        <w:t>【项目编号：HCZX-24506】响应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5"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5"/>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6"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6"/>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7"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7"/>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扩区以来浙江自贸试验区政策实施情况评估项目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24506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扩区以来浙江自贸试验区政策实施情况评估项目</w:t>
      </w:r>
      <w:r>
        <w:rPr>
          <w:rFonts w:hint="eastAsia" w:cs="仿宋_GB2312" w:asciiTheme="minorEastAsia" w:hAnsiTheme="minorEastAsia" w:eastAsiaTheme="minorEastAsia"/>
          <w:color w:val="auto"/>
          <w:kern w:val="0"/>
          <w:sz w:val="24"/>
          <w:highlight w:val="none"/>
          <w:lang w:val="zh-CN"/>
        </w:rPr>
        <w:t>【项目编号：HCZX-24506】政府采购响应的一切事项，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扩区以来浙江自贸试验区政策实施情况评估项目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24506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rPr>
          <w:color w:val="auto"/>
          <w:highlight w:val="none"/>
        </w:rPr>
      </w:pPr>
    </w:p>
    <w:p>
      <w:pPr>
        <w:pStyle w:val="74"/>
        <w:ind w:firstLine="643"/>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扩区以来浙江自贸试验区政策实施情况评估项目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24506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8"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8"/>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pPr>
        <w:snapToGrid w:val="0"/>
        <w:spacing w:line="360" w:lineRule="auto"/>
        <w:rPr>
          <w:rFonts w:cs="仿宋_GB2312" w:asciiTheme="minorEastAsia" w:hAnsiTheme="minorEastAsia" w:eastAsiaTheme="minorEastAsia"/>
          <w:color w:val="auto"/>
          <w:sz w:val="24"/>
          <w:highlight w:val="none"/>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pPr>
        <w:snapToGrid w:val="0"/>
        <w:spacing w:line="360" w:lineRule="auto"/>
        <w:rPr>
          <w:rFonts w:cs="仿宋_GB2312" w:asciiTheme="minorEastAsia" w:hAnsiTheme="minorEastAsia" w:eastAsiaTheme="minorEastAsia"/>
          <w:color w:val="auto"/>
          <w:sz w:val="24"/>
          <w:highlight w:val="none"/>
          <w:u w:val="dotted"/>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pPr>
        <w:spacing w:line="360" w:lineRule="auto"/>
        <w:rPr>
          <w:rFonts w:cs="仿宋_GB2312" w:asciiTheme="minorEastAsia" w:hAnsiTheme="minorEastAsia" w:eastAsiaTheme="minorEastAsia"/>
          <w:color w:val="auto"/>
          <w:sz w:val="24"/>
          <w:highlight w:val="none"/>
          <w:u w:val="dotted"/>
        </w:rPr>
      </w:pP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u w:val="singl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扩区以来浙江自贸试验区政策实施情况评估项目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扩区以来浙江自贸试验区政策实施情况评估项目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bookmarkEnd w:id="83"/>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9" w:name="_Toc131845147"/>
    <w:bookmarkStart w:id="80" w:name="_Toc36110187"/>
    <w:bookmarkStart w:id="81" w:name="_Toc164085800"/>
    <w:bookmarkStart w:id="82" w:name="_Toc91899912"/>
    <w:r>
      <w:rPr>
        <w:rFonts w:hint="eastAsia" w:ascii="仿宋_GB2312" w:eastAsia="仿宋_GB2312"/>
        <w:kern w:val="0"/>
        <w:szCs w:val="21"/>
      </w:rPr>
      <w:t xml:space="preserve"> 页</w:t>
    </w:r>
    <w:bookmarkEnd w:id="79"/>
    <w:bookmarkEnd w:id="80"/>
    <w:bookmarkEnd w:id="81"/>
    <w:bookmarkEnd w:id="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7F5AF5F"/>
    <w:multiLevelType w:val="singleLevel"/>
    <w:tmpl w:val="57F5AF5F"/>
    <w:lvl w:ilvl="0" w:tentative="0">
      <w:start w:val="1"/>
      <w:numFmt w:val="decimal"/>
      <w:lvlText w:val="%1."/>
      <w:lvlJc w:val="left"/>
      <w:pPr>
        <w:tabs>
          <w:tab w:val="left" w:pos="312"/>
        </w:tabs>
      </w:p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9"/>
  </w:num>
  <w:num w:numId="7">
    <w:abstractNumId w:val="10"/>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61F"/>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C56903"/>
    <w:rsid w:val="01CD7566"/>
    <w:rsid w:val="021B2B71"/>
    <w:rsid w:val="02693471"/>
    <w:rsid w:val="02A0618D"/>
    <w:rsid w:val="02B272FF"/>
    <w:rsid w:val="02B524D4"/>
    <w:rsid w:val="02C227B3"/>
    <w:rsid w:val="02DA0C0E"/>
    <w:rsid w:val="03B10EED"/>
    <w:rsid w:val="03DD35E4"/>
    <w:rsid w:val="04206073"/>
    <w:rsid w:val="05073F4F"/>
    <w:rsid w:val="05810D93"/>
    <w:rsid w:val="059C797B"/>
    <w:rsid w:val="06450013"/>
    <w:rsid w:val="065A6178"/>
    <w:rsid w:val="070B4DB8"/>
    <w:rsid w:val="07536A42"/>
    <w:rsid w:val="075562B7"/>
    <w:rsid w:val="07716F4D"/>
    <w:rsid w:val="078D1C71"/>
    <w:rsid w:val="079B438E"/>
    <w:rsid w:val="083F2F13"/>
    <w:rsid w:val="08687FE8"/>
    <w:rsid w:val="08B60D54"/>
    <w:rsid w:val="090917CB"/>
    <w:rsid w:val="0928674D"/>
    <w:rsid w:val="093D20B4"/>
    <w:rsid w:val="096B2097"/>
    <w:rsid w:val="09BB60A9"/>
    <w:rsid w:val="09E55D95"/>
    <w:rsid w:val="09E57B43"/>
    <w:rsid w:val="0A5B7E63"/>
    <w:rsid w:val="0B043D3E"/>
    <w:rsid w:val="0C6C713C"/>
    <w:rsid w:val="0C87121B"/>
    <w:rsid w:val="0CC5766E"/>
    <w:rsid w:val="0CCC6D98"/>
    <w:rsid w:val="0D931E71"/>
    <w:rsid w:val="0DF702FE"/>
    <w:rsid w:val="0E3F698B"/>
    <w:rsid w:val="0E480687"/>
    <w:rsid w:val="0E6B430B"/>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3072A44"/>
    <w:rsid w:val="137B1616"/>
    <w:rsid w:val="138E124B"/>
    <w:rsid w:val="13906D71"/>
    <w:rsid w:val="13946D00"/>
    <w:rsid w:val="143A1F2E"/>
    <w:rsid w:val="145044FA"/>
    <w:rsid w:val="14B95221"/>
    <w:rsid w:val="150A2B53"/>
    <w:rsid w:val="1527276E"/>
    <w:rsid w:val="1542409B"/>
    <w:rsid w:val="15506787"/>
    <w:rsid w:val="15895853"/>
    <w:rsid w:val="164B6AF4"/>
    <w:rsid w:val="17A76437"/>
    <w:rsid w:val="17C52D61"/>
    <w:rsid w:val="17E53404"/>
    <w:rsid w:val="18055854"/>
    <w:rsid w:val="18610CDC"/>
    <w:rsid w:val="18695DE3"/>
    <w:rsid w:val="189866C8"/>
    <w:rsid w:val="18B319A9"/>
    <w:rsid w:val="18DB41EE"/>
    <w:rsid w:val="18F948B4"/>
    <w:rsid w:val="192166BD"/>
    <w:rsid w:val="1983088B"/>
    <w:rsid w:val="1A516B2E"/>
    <w:rsid w:val="1A911621"/>
    <w:rsid w:val="1A9A04D5"/>
    <w:rsid w:val="1AA255DC"/>
    <w:rsid w:val="1AE9320B"/>
    <w:rsid w:val="1B08394D"/>
    <w:rsid w:val="1B15788C"/>
    <w:rsid w:val="1B2A271F"/>
    <w:rsid w:val="1B46240B"/>
    <w:rsid w:val="1B537AC1"/>
    <w:rsid w:val="1B890139"/>
    <w:rsid w:val="1BA57132"/>
    <w:rsid w:val="1C5237EF"/>
    <w:rsid w:val="1C5B1EE6"/>
    <w:rsid w:val="1CDC0B3F"/>
    <w:rsid w:val="1CF33ECD"/>
    <w:rsid w:val="1D266CE1"/>
    <w:rsid w:val="1D293D92"/>
    <w:rsid w:val="1D3963AF"/>
    <w:rsid w:val="1D5A3F4C"/>
    <w:rsid w:val="1E4F15D7"/>
    <w:rsid w:val="1E557950"/>
    <w:rsid w:val="1E714A66"/>
    <w:rsid w:val="1E7D4396"/>
    <w:rsid w:val="1EBE505F"/>
    <w:rsid w:val="1FA71CAB"/>
    <w:rsid w:val="1FE868A9"/>
    <w:rsid w:val="2054426F"/>
    <w:rsid w:val="207E512B"/>
    <w:rsid w:val="20A10B5A"/>
    <w:rsid w:val="20A76B14"/>
    <w:rsid w:val="20AA51EA"/>
    <w:rsid w:val="20BB67FE"/>
    <w:rsid w:val="211E26D6"/>
    <w:rsid w:val="21283D08"/>
    <w:rsid w:val="21BD282F"/>
    <w:rsid w:val="224D407F"/>
    <w:rsid w:val="23445482"/>
    <w:rsid w:val="23700025"/>
    <w:rsid w:val="243A0633"/>
    <w:rsid w:val="246300E9"/>
    <w:rsid w:val="24C96FB7"/>
    <w:rsid w:val="250E5D48"/>
    <w:rsid w:val="252A72C7"/>
    <w:rsid w:val="25A54728"/>
    <w:rsid w:val="25B440B3"/>
    <w:rsid w:val="25B85CB3"/>
    <w:rsid w:val="261750D0"/>
    <w:rsid w:val="26296BB1"/>
    <w:rsid w:val="264779F7"/>
    <w:rsid w:val="264B6B28"/>
    <w:rsid w:val="278E314B"/>
    <w:rsid w:val="27BD6D7E"/>
    <w:rsid w:val="27C9130D"/>
    <w:rsid w:val="282868D6"/>
    <w:rsid w:val="288527C5"/>
    <w:rsid w:val="28B52365"/>
    <w:rsid w:val="28E6210D"/>
    <w:rsid w:val="2927387C"/>
    <w:rsid w:val="2AA1365A"/>
    <w:rsid w:val="2B465B0F"/>
    <w:rsid w:val="2B541EBF"/>
    <w:rsid w:val="2B7036E6"/>
    <w:rsid w:val="2C9F3729"/>
    <w:rsid w:val="2CD31625"/>
    <w:rsid w:val="2D214FC0"/>
    <w:rsid w:val="2D497F94"/>
    <w:rsid w:val="2D7C1CBC"/>
    <w:rsid w:val="2D8A43D9"/>
    <w:rsid w:val="2DD13DB6"/>
    <w:rsid w:val="2DD15014"/>
    <w:rsid w:val="2DEA131C"/>
    <w:rsid w:val="2E332AA1"/>
    <w:rsid w:val="2E8B2B4F"/>
    <w:rsid w:val="2E8C4181"/>
    <w:rsid w:val="2ED075DC"/>
    <w:rsid w:val="2EF069F5"/>
    <w:rsid w:val="2F126434"/>
    <w:rsid w:val="2FAF0127"/>
    <w:rsid w:val="2FD25781"/>
    <w:rsid w:val="2FFB511A"/>
    <w:rsid w:val="300A1801"/>
    <w:rsid w:val="30913CD1"/>
    <w:rsid w:val="309A0DD7"/>
    <w:rsid w:val="30E3277E"/>
    <w:rsid w:val="3140197F"/>
    <w:rsid w:val="31570A76"/>
    <w:rsid w:val="318765DF"/>
    <w:rsid w:val="319C6071"/>
    <w:rsid w:val="32987720"/>
    <w:rsid w:val="32DB72BE"/>
    <w:rsid w:val="32DC7485"/>
    <w:rsid w:val="33D309A5"/>
    <w:rsid w:val="33D91C17"/>
    <w:rsid w:val="33FB4AD5"/>
    <w:rsid w:val="342E63AB"/>
    <w:rsid w:val="345D260B"/>
    <w:rsid w:val="34DF14AF"/>
    <w:rsid w:val="35F42D38"/>
    <w:rsid w:val="363964A4"/>
    <w:rsid w:val="365302AE"/>
    <w:rsid w:val="36624145"/>
    <w:rsid w:val="36631C6B"/>
    <w:rsid w:val="36767BF1"/>
    <w:rsid w:val="36B91444"/>
    <w:rsid w:val="373A09AA"/>
    <w:rsid w:val="374B24EE"/>
    <w:rsid w:val="375673DD"/>
    <w:rsid w:val="37CA2D84"/>
    <w:rsid w:val="38A31F2B"/>
    <w:rsid w:val="38AD71CE"/>
    <w:rsid w:val="38D86941"/>
    <w:rsid w:val="38ED3A6E"/>
    <w:rsid w:val="390D65DD"/>
    <w:rsid w:val="391B682D"/>
    <w:rsid w:val="39A13F14"/>
    <w:rsid w:val="39F204E9"/>
    <w:rsid w:val="3A1F234D"/>
    <w:rsid w:val="3ABB2F58"/>
    <w:rsid w:val="3BD678D4"/>
    <w:rsid w:val="3BDF7FE6"/>
    <w:rsid w:val="3C1A2DCC"/>
    <w:rsid w:val="3C5F759A"/>
    <w:rsid w:val="3D4D2D2E"/>
    <w:rsid w:val="3D5C78D4"/>
    <w:rsid w:val="3E096188"/>
    <w:rsid w:val="3EC040FF"/>
    <w:rsid w:val="3F051B12"/>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8B2DD0"/>
    <w:rsid w:val="47F0329D"/>
    <w:rsid w:val="486F747C"/>
    <w:rsid w:val="48940C70"/>
    <w:rsid w:val="48C061F1"/>
    <w:rsid w:val="48D65E3E"/>
    <w:rsid w:val="494B4B69"/>
    <w:rsid w:val="49804BB7"/>
    <w:rsid w:val="4A3D2AA8"/>
    <w:rsid w:val="4AD4683C"/>
    <w:rsid w:val="4AD541FC"/>
    <w:rsid w:val="4ADA0FDC"/>
    <w:rsid w:val="4B11183E"/>
    <w:rsid w:val="4B4C2876"/>
    <w:rsid w:val="4C4F6AC2"/>
    <w:rsid w:val="4C60482B"/>
    <w:rsid w:val="4CAC5CC3"/>
    <w:rsid w:val="4CB16E35"/>
    <w:rsid w:val="4CFB4554"/>
    <w:rsid w:val="4CFE4613"/>
    <w:rsid w:val="4D023B34"/>
    <w:rsid w:val="4D861CF6"/>
    <w:rsid w:val="4DDA685F"/>
    <w:rsid w:val="4E141D71"/>
    <w:rsid w:val="4E54216E"/>
    <w:rsid w:val="4E636855"/>
    <w:rsid w:val="4E8A4DEC"/>
    <w:rsid w:val="4E950123"/>
    <w:rsid w:val="4F42290E"/>
    <w:rsid w:val="4F8C437A"/>
    <w:rsid w:val="50BB4CD3"/>
    <w:rsid w:val="516E3547"/>
    <w:rsid w:val="5177465B"/>
    <w:rsid w:val="51A0432A"/>
    <w:rsid w:val="527140E5"/>
    <w:rsid w:val="5292508F"/>
    <w:rsid w:val="52A96B6F"/>
    <w:rsid w:val="52C8137C"/>
    <w:rsid w:val="54684BC5"/>
    <w:rsid w:val="54843081"/>
    <w:rsid w:val="54907C78"/>
    <w:rsid w:val="54D756D6"/>
    <w:rsid w:val="550764A4"/>
    <w:rsid w:val="551926E0"/>
    <w:rsid w:val="55471DD5"/>
    <w:rsid w:val="559B4B26"/>
    <w:rsid w:val="55AF05D2"/>
    <w:rsid w:val="55E069DD"/>
    <w:rsid w:val="564E1B99"/>
    <w:rsid w:val="56515F3B"/>
    <w:rsid w:val="56D025AE"/>
    <w:rsid w:val="570117CE"/>
    <w:rsid w:val="572B71CA"/>
    <w:rsid w:val="578B0416"/>
    <w:rsid w:val="57C93BCD"/>
    <w:rsid w:val="57D9322F"/>
    <w:rsid w:val="57EF2F07"/>
    <w:rsid w:val="58466E37"/>
    <w:rsid w:val="58AE4F0C"/>
    <w:rsid w:val="59AF5E22"/>
    <w:rsid w:val="5A143677"/>
    <w:rsid w:val="5A2A7C7B"/>
    <w:rsid w:val="5A6D7BCF"/>
    <w:rsid w:val="5A800A5E"/>
    <w:rsid w:val="5AB15E38"/>
    <w:rsid w:val="5AF0571F"/>
    <w:rsid w:val="5B413A7A"/>
    <w:rsid w:val="5C3B4A8E"/>
    <w:rsid w:val="5C4178A3"/>
    <w:rsid w:val="5C80234E"/>
    <w:rsid w:val="5CDA1AA5"/>
    <w:rsid w:val="5D177188"/>
    <w:rsid w:val="5D9A2B83"/>
    <w:rsid w:val="5DB20402"/>
    <w:rsid w:val="5DE11544"/>
    <w:rsid w:val="5E0A45F7"/>
    <w:rsid w:val="5E261785"/>
    <w:rsid w:val="5E9B5B97"/>
    <w:rsid w:val="5F3A527D"/>
    <w:rsid w:val="5FA31229"/>
    <w:rsid w:val="5FCC5339"/>
    <w:rsid w:val="602C1292"/>
    <w:rsid w:val="609664CC"/>
    <w:rsid w:val="60E53485"/>
    <w:rsid w:val="61054A27"/>
    <w:rsid w:val="611B4D6D"/>
    <w:rsid w:val="611D2366"/>
    <w:rsid w:val="614122CC"/>
    <w:rsid w:val="61CB5995"/>
    <w:rsid w:val="62284617"/>
    <w:rsid w:val="6280132C"/>
    <w:rsid w:val="62885958"/>
    <w:rsid w:val="62C6396E"/>
    <w:rsid w:val="62DC37E2"/>
    <w:rsid w:val="6339758E"/>
    <w:rsid w:val="644B16ED"/>
    <w:rsid w:val="64AC465A"/>
    <w:rsid w:val="64CE2EAA"/>
    <w:rsid w:val="654F3237"/>
    <w:rsid w:val="65F755BB"/>
    <w:rsid w:val="661B43E6"/>
    <w:rsid w:val="662E75B1"/>
    <w:rsid w:val="66342C2E"/>
    <w:rsid w:val="663E784C"/>
    <w:rsid w:val="667473F9"/>
    <w:rsid w:val="66C51A03"/>
    <w:rsid w:val="676034DA"/>
    <w:rsid w:val="67954B54"/>
    <w:rsid w:val="685867EC"/>
    <w:rsid w:val="687675A9"/>
    <w:rsid w:val="6892776D"/>
    <w:rsid w:val="68DE3D38"/>
    <w:rsid w:val="690F3409"/>
    <w:rsid w:val="69C51D1A"/>
    <w:rsid w:val="6A0E36C1"/>
    <w:rsid w:val="6A8C4F3A"/>
    <w:rsid w:val="6AA81420"/>
    <w:rsid w:val="6B7E4876"/>
    <w:rsid w:val="6B7E6624"/>
    <w:rsid w:val="6B8D6867"/>
    <w:rsid w:val="6BDB3A77"/>
    <w:rsid w:val="6C05633C"/>
    <w:rsid w:val="6CED3A62"/>
    <w:rsid w:val="6D9914F3"/>
    <w:rsid w:val="6E8E12EF"/>
    <w:rsid w:val="6EBF142E"/>
    <w:rsid w:val="6ED6350D"/>
    <w:rsid w:val="6EE36ECA"/>
    <w:rsid w:val="6F413BF1"/>
    <w:rsid w:val="6F683679"/>
    <w:rsid w:val="6FD164A5"/>
    <w:rsid w:val="70076BE8"/>
    <w:rsid w:val="706F2940"/>
    <w:rsid w:val="7097629B"/>
    <w:rsid w:val="70A12729"/>
    <w:rsid w:val="70DC1E23"/>
    <w:rsid w:val="7169065D"/>
    <w:rsid w:val="71840FD7"/>
    <w:rsid w:val="71D43752"/>
    <w:rsid w:val="71EF202A"/>
    <w:rsid w:val="723F3DF5"/>
    <w:rsid w:val="729A68D3"/>
    <w:rsid w:val="732D6613"/>
    <w:rsid w:val="73DD6243"/>
    <w:rsid w:val="749C4185"/>
    <w:rsid w:val="74AA070B"/>
    <w:rsid w:val="74E27C24"/>
    <w:rsid w:val="759A6D6F"/>
    <w:rsid w:val="75A849CA"/>
    <w:rsid w:val="75CE1F56"/>
    <w:rsid w:val="75DA2C18"/>
    <w:rsid w:val="75E04B67"/>
    <w:rsid w:val="75EB0D5A"/>
    <w:rsid w:val="75FE1CE9"/>
    <w:rsid w:val="76402E54"/>
    <w:rsid w:val="76760624"/>
    <w:rsid w:val="76992564"/>
    <w:rsid w:val="76DE6D2F"/>
    <w:rsid w:val="76EC1B1A"/>
    <w:rsid w:val="76FA74A7"/>
    <w:rsid w:val="77275DC2"/>
    <w:rsid w:val="775319EF"/>
    <w:rsid w:val="78F32400"/>
    <w:rsid w:val="78FF66E6"/>
    <w:rsid w:val="790F1C77"/>
    <w:rsid w:val="798474FC"/>
    <w:rsid w:val="79A47B9E"/>
    <w:rsid w:val="7A37E424"/>
    <w:rsid w:val="7A57526B"/>
    <w:rsid w:val="7A67303B"/>
    <w:rsid w:val="7A8377B3"/>
    <w:rsid w:val="7AAB1D04"/>
    <w:rsid w:val="7ABA4368"/>
    <w:rsid w:val="7AD149C3"/>
    <w:rsid w:val="7B110377"/>
    <w:rsid w:val="7B257FFD"/>
    <w:rsid w:val="7C2B1DA5"/>
    <w:rsid w:val="7C6149D1"/>
    <w:rsid w:val="7CA852AF"/>
    <w:rsid w:val="7CD95DB0"/>
    <w:rsid w:val="7D20578D"/>
    <w:rsid w:val="7D9046C1"/>
    <w:rsid w:val="7DCF5781"/>
    <w:rsid w:val="7DF4317E"/>
    <w:rsid w:val="7E57351B"/>
    <w:rsid w:val="7E64308B"/>
    <w:rsid w:val="7F6A5042"/>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23"/>
    <w:link w:val="511"/>
    <w:autoRedefine/>
    <w:qFormat/>
    <w:uiPriority w:val="0"/>
    <w:pPr>
      <w:autoSpaceDE w:val="0"/>
      <w:autoSpaceDN w:val="0"/>
      <w:spacing w:line="360" w:lineRule="auto"/>
    </w:pPr>
    <w:rPr>
      <w:rFonts w:ascii="宋体"/>
      <w:sz w:val="24"/>
      <w:szCs w:val="21"/>
      <w:lang w:val="zh-CN"/>
    </w:rPr>
  </w:style>
  <w:style w:type="paragraph" w:customStyle="1" w:styleId="2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24">
    <w:name w:val="Body Text Indent"/>
    <w:basedOn w:val="1"/>
    <w:link w:val="474"/>
    <w:autoRedefine/>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next w:val="1"/>
    <w:link w:val="544"/>
    <w:autoRedefine/>
    <w:qFormat/>
    <w:uiPriority w:val="0"/>
    <w:pPr>
      <w:ind w:firstLine="420"/>
    </w:pPr>
    <w:rPr>
      <w:szCs w:val="20"/>
    </w:rPr>
  </w:style>
  <w:style w:type="paragraph" w:styleId="60">
    <w:name w:val="Body Text First Indent 2"/>
    <w:basedOn w:val="24"/>
    <w:next w:val="1"/>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文章标题"/>
    <w:next w:val="7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4">
    <w:name w:val="首行缩进"/>
    <w:basedOn w:val="1"/>
    <w:autoRedefine/>
    <w:qFormat/>
    <w:uiPriority w:val="0"/>
    <w:pPr>
      <w:spacing w:line="360" w:lineRule="auto"/>
      <w:ind w:firstLine="480" w:firstLineChars="200"/>
    </w:pPr>
    <w:rPr>
      <w:rFonts w:ascii="宋体"/>
      <w:sz w:val="24"/>
      <w:szCs w:val="20"/>
    </w:rPr>
  </w:style>
  <w:style w:type="paragraph" w:customStyle="1" w:styleId="75">
    <w:name w:val="Default"/>
    <w:next w:val="76"/>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autoRedefine/>
    <w:qFormat/>
    <w:uiPriority w:val="0"/>
    <w:pPr>
      <w:tabs>
        <w:tab w:val="left" w:pos="2790"/>
        <w:tab w:val="left" w:pos="4230"/>
      </w:tabs>
      <w:spacing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autoRedefine/>
    <w:qFormat/>
    <w:uiPriority w:val="0"/>
    <w:pPr>
      <w:adjustRightInd/>
      <w:spacing w:line="288" w:lineRule="auto"/>
      <w:ind w:firstLine="425" w:firstLineChars="200"/>
    </w:pPr>
  </w:style>
  <w:style w:type="paragraph" w:customStyle="1" w:styleId="82">
    <w:name w:val="Char1 Char Char Char"/>
    <w:basedOn w:val="1"/>
    <w:autoRedefine/>
    <w:qFormat/>
    <w:uiPriority w:val="0"/>
    <w:rPr>
      <w:rFonts w:ascii="Tahoma" w:hAnsi="Tahoma"/>
      <w:sz w:val="24"/>
      <w:szCs w:val="20"/>
    </w:rPr>
  </w:style>
  <w:style w:type="paragraph" w:customStyle="1" w:styleId="8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autoRedefine/>
    <w:qFormat/>
    <w:uiPriority w:val="0"/>
    <w:pPr>
      <w:spacing w:afterLines="50"/>
      <w:jc w:val="left"/>
      <w:outlineLvl w:val="3"/>
    </w:pPr>
    <w:rPr>
      <w:sz w:val="24"/>
      <w:szCs w:val="24"/>
    </w:rPr>
  </w:style>
  <w:style w:type="paragraph" w:customStyle="1" w:styleId="8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autoRedefine/>
    <w:qFormat/>
    <w:uiPriority w:val="0"/>
    <w:pPr>
      <w:numPr>
        <w:ilvl w:val="1"/>
        <w:numId w:val="4"/>
      </w:numPr>
      <w:adjustRightInd/>
    </w:pPr>
  </w:style>
  <w:style w:type="paragraph" w:customStyle="1" w:styleId="90">
    <w:name w:val="Char3"/>
    <w:basedOn w:val="1"/>
    <w:autoRedefine/>
    <w:qFormat/>
    <w:uiPriority w:val="0"/>
    <w:pPr>
      <w:adjustRightInd/>
    </w:pPr>
    <w:rPr>
      <w:rFonts w:ascii="仿宋_GB2312" w:eastAsia="仿宋_GB2312"/>
      <w:b/>
      <w:sz w:val="32"/>
      <w:szCs w:val="32"/>
    </w:rPr>
  </w:style>
  <w:style w:type="paragraph" w:customStyle="1" w:styleId="91">
    <w:name w:val="Char Char1 Char Char Char Char Char Char"/>
    <w:basedOn w:val="1"/>
    <w:autoRedefine/>
    <w:qFormat/>
    <w:uiPriority w:val="0"/>
    <w:rPr>
      <w:rFonts w:ascii="仿宋_GB2312" w:eastAsia="仿宋_GB2312"/>
      <w:b/>
      <w:sz w:val="32"/>
      <w:szCs w:val="20"/>
    </w:rPr>
  </w:style>
  <w:style w:type="paragraph" w:customStyle="1" w:styleId="92">
    <w:name w:val="文本正文 Char"/>
    <w:basedOn w:val="1"/>
    <w:autoRedefine/>
    <w:qFormat/>
    <w:uiPriority w:val="0"/>
    <w:pPr>
      <w:spacing w:line="360" w:lineRule="auto"/>
      <w:ind w:firstLine="200" w:firstLineChars="200"/>
    </w:pPr>
    <w:rPr>
      <w:kern w:val="0"/>
      <w:sz w:val="24"/>
      <w:szCs w:val="20"/>
    </w:rPr>
  </w:style>
  <w:style w:type="paragraph" w:customStyle="1" w:styleId="9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5"/>
    <w:next w:val="75"/>
    <w:autoRedefine/>
    <w:qFormat/>
    <w:uiPriority w:val="0"/>
    <w:pPr>
      <w:spacing w:after="68"/>
    </w:pPr>
    <w:rPr>
      <w:rFonts w:ascii="FHLHE E+ Futura Bk" w:eastAsia="FHLHE E+ Futura Bk" w:cs="Times New Roman"/>
      <w:color w:val="auto"/>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0"/>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8"/>
    <w:autoRedefine/>
    <w:qFormat/>
    <w:uiPriority w:val="0"/>
    <w:pPr>
      <w:tabs>
        <w:tab w:val="left" w:pos="2356"/>
      </w:tabs>
    </w:pPr>
  </w:style>
  <w:style w:type="paragraph" w:customStyle="1" w:styleId="173">
    <w:name w:val="样式 标题 4h4H4Fab-4T5Ref Heading 1rh1Heading sqlsect 1.2.3...."/>
    <w:basedOn w:val="5"/>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4"/>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Lines="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92"/>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5"/>
    <w:next w:val="75"/>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5"/>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4"/>
    <w:next w:val="141"/>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6"/>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60"/>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8"/>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71"/>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5"/>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autoRedefine/>
    <w:semiHidden/>
    <w:unhideWhenUsed/>
    <w:qFormat/>
    <w:uiPriority w:val="0"/>
    <w:tblPr>
      <w:tblCellMar>
        <w:top w:w="0" w:type="dxa"/>
        <w:left w:w="0" w:type="dxa"/>
        <w:bottom w:w="0" w:type="dxa"/>
        <w:right w:w="0" w:type="dxa"/>
      </w:tblCellMar>
    </w:tblPr>
  </w:style>
  <w:style w:type="paragraph" w:customStyle="1" w:styleId="632">
    <w:name w:val="NormalIndent"/>
    <w:basedOn w:val="1"/>
    <w:autoRedefine/>
    <w:qFormat/>
    <w:uiPriority w:val="0"/>
    <w:pPr>
      <w:ind w:firstLine="420" w:firstLineChars="200"/>
    </w:pPr>
  </w:style>
  <w:style w:type="paragraph" w:customStyle="1" w:styleId="633">
    <w:name w:val="正文-公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32814</Words>
  <Characters>34146</Characters>
  <Lines>261</Lines>
  <Paragraphs>73</Paragraphs>
  <TotalTime>195</TotalTime>
  <ScaleCrop>false</ScaleCrop>
  <LinksUpToDate>false</LinksUpToDate>
  <CharactersWithSpaces>36929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2024-06-06T02:43:13Z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1D7D0CD2F1694D3E898CB7EA1BC12A15_13</vt:lpwstr>
  </property>
</Properties>
</file>