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D19A1">
      <w:pPr>
        <w:spacing w:line="360" w:lineRule="auto"/>
        <w:jc w:val="center"/>
        <w:rPr>
          <w:rFonts w:ascii="宋体" w:hAnsi="宋体" w:cs="宋体"/>
          <w:b/>
          <w:color w:val="auto"/>
          <w:sz w:val="24"/>
          <w:highlight w:val="none"/>
        </w:rPr>
      </w:pPr>
      <w:bookmarkStart w:id="668" w:name="_GoBack"/>
    </w:p>
    <w:p w14:paraId="5E5882D4">
      <w:pPr>
        <w:spacing w:line="360" w:lineRule="auto"/>
        <w:jc w:val="center"/>
        <w:rPr>
          <w:rFonts w:ascii="宋体" w:hAnsi="宋体" w:cs="宋体"/>
          <w:b/>
          <w:color w:val="auto"/>
          <w:sz w:val="24"/>
          <w:highlight w:val="none"/>
        </w:rPr>
      </w:pPr>
    </w:p>
    <w:p w14:paraId="111540C1">
      <w:pPr>
        <w:spacing w:line="360" w:lineRule="auto"/>
        <w:jc w:val="both"/>
        <w:rPr>
          <w:rFonts w:ascii="宋体" w:hAnsi="宋体" w:cs="宋体"/>
          <w:b/>
          <w:color w:val="auto"/>
          <w:sz w:val="44"/>
          <w:szCs w:val="44"/>
          <w:highlight w:val="none"/>
        </w:rPr>
      </w:pPr>
    </w:p>
    <w:p w14:paraId="2A38ED19">
      <w:pPr>
        <w:adjustRightInd/>
        <w:spacing w:line="360" w:lineRule="auto"/>
        <w:jc w:val="center"/>
        <w:rPr>
          <w:rFonts w:hint="eastAsia" w:ascii="宋体" w:hAnsi="宋体" w:cs="宋体"/>
          <w:b/>
          <w:bCs/>
          <w:color w:val="auto"/>
          <w:sz w:val="52"/>
          <w:szCs w:val="52"/>
          <w:highlight w:val="none"/>
          <w:lang w:eastAsia="zh-CN"/>
        </w:rPr>
      </w:pPr>
      <w:r>
        <w:rPr>
          <w:rFonts w:hint="eastAsia" w:ascii="宋体" w:hAnsi="宋体" w:cs="宋体"/>
          <w:b/>
          <w:bCs/>
          <w:color w:val="auto"/>
          <w:sz w:val="52"/>
          <w:szCs w:val="52"/>
          <w:highlight w:val="none"/>
          <w:lang w:eastAsia="zh-CN"/>
        </w:rPr>
        <w:t>融媒体平台运行服务采购项目</w:t>
      </w:r>
    </w:p>
    <w:p w14:paraId="3368E8C5">
      <w:pPr>
        <w:adjustRightInd/>
        <w:spacing w:line="360" w:lineRule="auto"/>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 xml:space="preserve">招标文件 </w:t>
      </w:r>
    </w:p>
    <w:p w14:paraId="1E1DEB9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BC02C71">
      <w:pPr>
        <w:snapToGrid w:val="0"/>
        <w:spacing w:line="360" w:lineRule="auto"/>
        <w:jc w:val="center"/>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lang w:val="en-US" w:eastAsia="zh-CN"/>
        </w:rPr>
        <w:t>招标</w:t>
      </w:r>
      <w:r>
        <w:rPr>
          <w:rFonts w:hint="eastAsia" w:ascii="宋体" w:hAnsi="宋体" w:cs="宋体"/>
          <w:b/>
          <w:bCs/>
          <w:color w:val="auto"/>
          <w:sz w:val="36"/>
          <w:szCs w:val="36"/>
          <w:highlight w:val="none"/>
        </w:rPr>
        <w:t>编号</w:t>
      </w:r>
      <w:r>
        <w:rPr>
          <w:rFonts w:hint="eastAsia" w:ascii="宋体" w:hAnsi="宋体" w:cs="宋体"/>
          <w:b/>
          <w:bCs/>
          <w:color w:val="auto"/>
          <w:sz w:val="36"/>
          <w:szCs w:val="36"/>
          <w:highlight w:val="none"/>
          <w:lang w:eastAsia="zh-CN"/>
        </w:rPr>
        <w:t>：CTZB-2025020163</w:t>
      </w:r>
    </w:p>
    <w:p w14:paraId="157F9B0A">
      <w:pPr>
        <w:adjustRightInd/>
        <w:spacing w:line="360" w:lineRule="auto"/>
        <w:rPr>
          <w:rFonts w:ascii="宋体" w:hAnsi="宋体" w:cs="宋体"/>
          <w:color w:val="auto"/>
          <w:sz w:val="28"/>
          <w:szCs w:val="20"/>
          <w:highlight w:val="none"/>
        </w:rPr>
      </w:pPr>
    </w:p>
    <w:p w14:paraId="582EB6A8">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C8C6D07">
      <w:pPr>
        <w:spacing w:line="360" w:lineRule="auto"/>
        <w:jc w:val="center"/>
        <w:rPr>
          <w:rFonts w:ascii="宋体" w:hAnsi="宋体" w:cs="宋体"/>
          <w:b/>
          <w:color w:val="auto"/>
          <w:sz w:val="44"/>
          <w:szCs w:val="44"/>
          <w:highlight w:val="none"/>
        </w:rPr>
      </w:pPr>
    </w:p>
    <w:p w14:paraId="3E39ED6F">
      <w:pPr>
        <w:spacing w:line="360" w:lineRule="auto"/>
        <w:jc w:val="center"/>
        <w:rPr>
          <w:rFonts w:ascii="宋体" w:hAnsi="宋体" w:cs="宋体"/>
          <w:color w:val="auto"/>
          <w:sz w:val="24"/>
          <w:highlight w:val="none"/>
        </w:rPr>
      </w:pPr>
    </w:p>
    <w:p w14:paraId="4A0CE9E6">
      <w:pPr>
        <w:spacing w:line="360" w:lineRule="auto"/>
        <w:jc w:val="center"/>
        <w:rPr>
          <w:rFonts w:ascii="宋体" w:hAnsi="宋体" w:cs="宋体"/>
          <w:color w:val="auto"/>
          <w:sz w:val="24"/>
          <w:highlight w:val="none"/>
        </w:rPr>
      </w:pPr>
    </w:p>
    <w:p w14:paraId="70060540">
      <w:pPr>
        <w:spacing w:line="360" w:lineRule="auto"/>
        <w:rPr>
          <w:rFonts w:ascii="宋体" w:hAnsi="宋体" w:cs="宋体"/>
          <w:color w:val="auto"/>
          <w:sz w:val="32"/>
          <w:szCs w:val="32"/>
          <w:highlight w:val="none"/>
        </w:rPr>
      </w:pPr>
    </w:p>
    <w:p w14:paraId="2F970986">
      <w:pPr>
        <w:pStyle w:val="2"/>
        <w:rPr>
          <w:rFonts w:ascii="宋体" w:hAnsi="宋体" w:cs="宋体"/>
          <w:color w:val="auto"/>
          <w:sz w:val="32"/>
          <w:szCs w:val="32"/>
          <w:highlight w:val="none"/>
        </w:rPr>
      </w:pPr>
    </w:p>
    <w:p w14:paraId="77727220">
      <w:pPr>
        <w:rPr>
          <w:rFonts w:hint="default"/>
          <w:color w:val="auto"/>
          <w:highlight w:val="none"/>
          <w:lang w:val="en-US"/>
        </w:rPr>
      </w:pPr>
    </w:p>
    <w:p w14:paraId="0E1444EB">
      <w:pPr>
        <w:pStyle w:val="24"/>
        <w:rPr>
          <w:rFonts w:ascii="宋体" w:hAnsi="宋体" w:cs="宋体"/>
          <w:color w:val="auto"/>
          <w:sz w:val="32"/>
          <w:szCs w:val="32"/>
          <w:highlight w:val="none"/>
        </w:rPr>
      </w:pPr>
    </w:p>
    <w:p w14:paraId="40B04F1B">
      <w:pPr>
        <w:pStyle w:val="24"/>
        <w:rPr>
          <w:rFonts w:ascii="宋体" w:hAnsi="宋体" w:cs="宋体"/>
          <w:color w:val="auto"/>
          <w:sz w:val="32"/>
          <w:szCs w:val="32"/>
          <w:highlight w:val="none"/>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4"/>
        <w:gridCol w:w="6810"/>
      </w:tblGrid>
      <w:tr w14:paraId="003A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84" w:type="dxa"/>
            <w:tcBorders>
              <w:top w:val="nil"/>
              <w:left w:val="nil"/>
              <w:bottom w:val="nil"/>
              <w:right w:val="nil"/>
            </w:tcBorders>
            <w:vAlign w:val="center"/>
          </w:tcPr>
          <w:p w14:paraId="3960B6B6">
            <w:pPr>
              <w:keepNext w:val="0"/>
              <w:keepLines w:val="0"/>
              <w:pageBreakBefore w:val="0"/>
              <w:widowControl w:val="0"/>
              <w:kinsoku/>
              <w:wordWrap/>
              <w:overflowPunct/>
              <w:topLinePunct w:val="0"/>
              <w:autoSpaceDE/>
              <w:autoSpaceDN/>
              <w:bidi w:val="0"/>
              <w:adjustRightInd w:val="0"/>
              <w:snapToGrid/>
              <w:spacing w:before="157" w:beforeLines="50" w:line="360" w:lineRule="auto"/>
              <w:jc w:val="both"/>
              <w:textAlignment w:val="auto"/>
              <w:rPr>
                <w:rFonts w:hint="eastAsia"/>
                <w:b/>
                <w:bCs/>
                <w:color w:val="auto"/>
                <w:sz w:val="28"/>
                <w:szCs w:val="36"/>
                <w:highlight w:val="none"/>
              </w:rPr>
            </w:pPr>
            <w:r>
              <w:rPr>
                <w:rFonts w:hint="eastAsia"/>
                <w:b/>
                <w:bCs/>
                <w:color w:val="auto"/>
                <w:sz w:val="28"/>
                <w:szCs w:val="36"/>
                <w:highlight w:val="none"/>
                <w:lang w:val="zh-CN" w:eastAsia="zh-CN"/>
              </w:rPr>
              <w:t>采</w:t>
            </w:r>
            <w:r>
              <w:rPr>
                <w:rFonts w:hint="eastAsia"/>
                <w:b/>
                <w:bCs/>
                <w:color w:val="auto"/>
                <w:sz w:val="28"/>
                <w:szCs w:val="36"/>
                <w:highlight w:val="none"/>
                <w:lang w:val="en-US" w:eastAsia="zh-CN"/>
              </w:rPr>
              <w:t xml:space="preserve">   </w:t>
            </w:r>
            <w:r>
              <w:rPr>
                <w:rFonts w:hint="eastAsia"/>
                <w:b/>
                <w:bCs/>
                <w:color w:val="auto"/>
                <w:sz w:val="28"/>
                <w:szCs w:val="36"/>
                <w:highlight w:val="none"/>
                <w:lang w:val="zh-CN" w:eastAsia="zh-CN"/>
              </w:rPr>
              <w:t>购</w:t>
            </w:r>
            <w:r>
              <w:rPr>
                <w:rFonts w:hint="eastAsia"/>
                <w:b/>
                <w:bCs/>
                <w:color w:val="auto"/>
                <w:sz w:val="28"/>
                <w:szCs w:val="36"/>
                <w:highlight w:val="none"/>
                <w:lang w:val="en-US" w:eastAsia="zh-CN"/>
              </w:rPr>
              <w:t xml:space="preserve">   </w:t>
            </w:r>
            <w:r>
              <w:rPr>
                <w:rFonts w:hint="eastAsia"/>
                <w:b/>
                <w:bCs/>
                <w:color w:val="auto"/>
                <w:sz w:val="28"/>
                <w:szCs w:val="36"/>
                <w:highlight w:val="none"/>
                <w:lang w:val="zh-CN" w:eastAsia="zh-CN"/>
              </w:rPr>
              <w:t>人：</w:t>
            </w:r>
          </w:p>
        </w:tc>
        <w:tc>
          <w:tcPr>
            <w:tcW w:w="6810" w:type="dxa"/>
            <w:tcBorders>
              <w:top w:val="nil"/>
              <w:left w:val="nil"/>
              <w:bottom w:val="nil"/>
              <w:right w:val="nil"/>
            </w:tcBorders>
            <w:vAlign w:val="center"/>
          </w:tcPr>
          <w:p w14:paraId="0FA14020">
            <w:pPr>
              <w:keepNext w:val="0"/>
              <w:keepLines w:val="0"/>
              <w:pageBreakBefore w:val="0"/>
              <w:widowControl w:val="0"/>
              <w:kinsoku/>
              <w:wordWrap/>
              <w:overflowPunct/>
              <w:topLinePunct w:val="0"/>
              <w:autoSpaceDE/>
              <w:autoSpaceDN/>
              <w:bidi w:val="0"/>
              <w:adjustRightInd w:val="0"/>
              <w:snapToGrid/>
              <w:spacing w:before="157" w:beforeLines="50" w:line="360" w:lineRule="auto"/>
              <w:jc w:val="both"/>
              <w:textAlignment w:val="auto"/>
              <w:rPr>
                <w:rFonts w:hint="eastAsia"/>
                <w:b/>
                <w:bCs/>
                <w:color w:val="auto"/>
                <w:sz w:val="28"/>
                <w:szCs w:val="36"/>
                <w:highlight w:val="none"/>
              </w:rPr>
            </w:pPr>
            <w:r>
              <w:rPr>
                <w:rFonts w:hint="eastAsia"/>
                <w:b/>
                <w:bCs/>
                <w:color w:val="auto"/>
                <w:sz w:val="28"/>
                <w:szCs w:val="36"/>
                <w:highlight w:val="none"/>
              </w:rPr>
              <w:t>杭州市余杭区融媒体中心（杭州市余杭区广播电视台）</w:t>
            </w:r>
          </w:p>
        </w:tc>
      </w:tr>
      <w:tr w14:paraId="7142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Borders>
              <w:top w:val="nil"/>
              <w:left w:val="nil"/>
              <w:bottom w:val="nil"/>
              <w:right w:val="nil"/>
            </w:tcBorders>
            <w:vAlign w:val="center"/>
          </w:tcPr>
          <w:p w14:paraId="38C8708E">
            <w:pPr>
              <w:keepNext w:val="0"/>
              <w:keepLines w:val="0"/>
              <w:pageBreakBefore w:val="0"/>
              <w:widowControl w:val="0"/>
              <w:kinsoku/>
              <w:wordWrap/>
              <w:overflowPunct/>
              <w:topLinePunct w:val="0"/>
              <w:autoSpaceDE/>
              <w:autoSpaceDN/>
              <w:bidi w:val="0"/>
              <w:adjustRightInd w:val="0"/>
              <w:snapToGrid/>
              <w:spacing w:before="157" w:beforeLines="50" w:line="360" w:lineRule="auto"/>
              <w:jc w:val="both"/>
              <w:textAlignment w:val="auto"/>
              <w:rPr>
                <w:rFonts w:hint="eastAsia"/>
                <w:b/>
                <w:bCs/>
                <w:color w:val="auto"/>
                <w:sz w:val="28"/>
                <w:szCs w:val="36"/>
                <w:highlight w:val="none"/>
              </w:rPr>
            </w:pPr>
            <w:r>
              <w:rPr>
                <w:rFonts w:hint="eastAsia"/>
                <w:b/>
                <w:bCs/>
                <w:color w:val="auto"/>
                <w:sz w:val="28"/>
                <w:szCs w:val="36"/>
                <w:highlight w:val="none"/>
                <w:lang w:val="zh-CN" w:eastAsia="zh-CN"/>
              </w:rPr>
              <w:t>采购代理机构：</w:t>
            </w:r>
          </w:p>
        </w:tc>
        <w:tc>
          <w:tcPr>
            <w:tcW w:w="6810" w:type="dxa"/>
            <w:tcBorders>
              <w:top w:val="nil"/>
              <w:left w:val="nil"/>
              <w:bottom w:val="nil"/>
              <w:right w:val="nil"/>
            </w:tcBorders>
            <w:vAlign w:val="center"/>
          </w:tcPr>
          <w:p w14:paraId="263CB32C">
            <w:pPr>
              <w:keepNext w:val="0"/>
              <w:keepLines w:val="0"/>
              <w:pageBreakBefore w:val="0"/>
              <w:widowControl w:val="0"/>
              <w:kinsoku/>
              <w:wordWrap/>
              <w:overflowPunct/>
              <w:topLinePunct w:val="0"/>
              <w:autoSpaceDE/>
              <w:autoSpaceDN/>
              <w:bidi w:val="0"/>
              <w:adjustRightInd w:val="0"/>
              <w:snapToGrid/>
              <w:spacing w:before="157" w:beforeLines="50" w:line="360" w:lineRule="auto"/>
              <w:jc w:val="both"/>
              <w:textAlignment w:val="auto"/>
              <w:rPr>
                <w:rFonts w:hint="eastAsia"/>
                <w:b/>
                <w:bCs/>
                <w:color w:val="auto"/>
                <w:sz w:val="28"/>
                <w:szCs w:val="36"/>
                <w:highlight w:val="none"/>
              </w:rPr>
            </w:pPr>
            <w:r>
              <w:rPr>
                <w:rFonts w:hint="eastAsia"/>
                <w:b/>
                <w:bCs/>
                <w:color w:val="auto"/>
                <w:sz w:val="28"/>
                <w:szCs w:val="36"/>
                <w:highlight w:val="none"/>
                <w:lang w:val="en-US" w:eastAsia="zh-CN"/>
              </w:rPr>
              <w:t>浙江省成套招标代理有限公司</w:t>
            </w:r>
          </w:p>
        </w:tc>
      </w:tr>
      <w:tr w14:paraId="781B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tcBorders>
              <w:top w:val="nil"/>
              <w:left w:val="nil"/>
              <w:bottom w:val="nil"/>
              <w:right w:val="nil"/>
            </w:tcBorders>
            <w:vAlign w:val="center"/>
          </w:tcPr>
          <w:p w14:paraId="72625DA8">
            <w:pPr>
              <w:keepNext w:val="0"/>
              <w:keepLines w:val="0"/>
              <w:pageBreakBefore w:val="0"/>
              <w:widowControl w:val="0"/>
              <w:kinsoku/>
              <w:wordWrap/>
              <w:overflowPunct/>
              <w:topLinePunct w:val="0"/>
              <w:autoSpaceDE/>
              <w:autoSpaceDN/>
              <w:bidi w:val="0"/>
              <w:adjustRightInd w:val="0"/>
              <w:snapToGrid/>
              <w:spacing w:before="157" w:beforeLines="50" w:line="360" w:lineRule="auto"/>
              <w:jc w:val="both"/>
              <w:textAlignment w:val="auto"/>
              <w:rPr>
                <w:rFonts w:hint="eastAsia"/>
                <w:b/>
                <w:bCs/>
                <w:color w:val="auto"/>
                <w:sz w:val="28"/>
                <w:szCs w:val="36"/>
                <w:highlight w:val="none"/>
              </w:rPr>
            </w:pPr>
            <w:r>
              <w:rPr>
                <w:rFonts w:hint="eastAsia"/>
                <w:b/>
                <w:bCs/>
                <w:color w:val="auto"/>
                <w:sz w:val="28"/>
                <w:szCs w:val="36"/>
                <w:highlight w:val="none"/>
                <w:lang w:val="zh-CN" w:eastAsia="zh-CN"/>
              </w:rPr>
              <w:t>日</w:t>
            </w:r>
            <w:r>
              <w:rPr>
                <w:rFonts w:hint="eastAsia"/>
                <w:b/>
                <w:bCs/>
                <w:color w:val="auto"/>
                <w:sz w:val="28"/>
                <w:szCs w:val="36"/>
                <w:highlight w:val="none"/>
                <w:lang w:val="en-US" w:eastAsia="zh-CN"/>
              </w:rPr>
              <w:t xml:space="preserve">        </w:t>
            </w:r>
            <w:r>
              <w:rPr>
                <w:rFonts w:hint="eastAsia"/>
                <w:b/>
                <w:bCs/>
                <w:color w:val="auto"/>
                <w:sz w:val="28"/>
                <w:szCs w:val="36"/>
                <w:highlight w:val="none"/>
                <w:lang w:val="zh-CN" w:eastAsia="zh-CN"/>
              </w:rPr>
              <w:t>期：</w:t>
            </w:r>
          </w:p>
        </w:tc>
        <w:tc>
          <w:tcPr>
            <w:tcW w:w="6810" w:type="dxa"/>
            <w:tcBorders>
              <w:top w:val="nil"/>
              <w:left w:val="nil"/>
              <w:bottom w:val="nil"/>
              <w:right w:val="nil"/>
            </w:tcBorders>
            <w:vAlign w:val="center"/>
          </w:tcPr>
          <w:p w14:paraId="0808E9C5">
            <w:pPr>
              <w:keepNext w:val="0"/>
              <w:keepLines w:val="0"/>
              <w:pageBreakBefore w:val="0"/>
              <w:widowControl w:val="0"/>
              <w:kinsoku/>
              <w:wordWrap/>
              <w:overflowPunct/>
              <w:topLinePunct w:val="0"/>
              <w:autoSpaceDE/>
              <w:autoSpaceDN/>
              <w:bidi w:val="0"/>
              <w:adjustRightInd w:val="0"/>
              <w:snapToGrid/>
              <w:spacing w:before="157" w:beforeLines="50" w:line="360" w:lineRule="auto"/>
              <w:jc w:val="both"/>
              <w:textAlignment w:val="auto"/>
              <w:rPr>
                <w:rFonts w:hint="eastAsia"/>
                <w:b/>
                <w:bCs/>
                <w:color w:val="auto"/>
                <w:sz w:val="28"/>
                <w:szCs w:val="36"/>
                <w:highlight w:val="none"/>
              </w:rPr>
            </w:pPr>
            <w:r>
              <w:rPr>
                <w:rFonts w:hint="eastAsia"/>
                <w:b/>
                <w:bCs/>
                <w:color w:val="auto"/>
                <w:sz w:val="28"/>
                <w:szCs w:val="36"/>
                <w:highlight w:val="none"/>
              </w:rPr>
              <w:t>二〇二</w:t>
            </w:r>
            <w:r>
              <w:rPr>
                <w:rFonts w:hint="eastAsia"/>
                <w:b/>
                <w:bCs/>
                <w:color w:val="auto"/>
                <w:sz w:val="28"/>
                <w:szCs w:val="36"/>
                <w:highlight w:val="none"/>
                <w:lang w:val="en-US" w:eastAsia="zh-CN"/>
              </w:rPr>
              <w:t>五</w:t>
            </w:r>
            <w:r>
              <w:rPr>
                <w:rFonts w:hint="eastAsia"/>
                <w:b/>
                <w:bCs/>
                <w:color w:val="auto"/>
                <w:sz w:val="28"/>
                <w:szCs w:val="36"/>
                <w:highlight w:val="none"/>
              </w:rPr>
              <w:t>年</w:t>
            </w:r>
            <w:r>
              <w:rPr>
                <w:rFonts w:hint="eastAsia"/>
                <w:b/>
                <w:bCs/>
                <w:color w:val="auto"/>
                <w:sz w:val="28"/>
                <w:szCs w:val="36"/>
                <w:highlight w:val="none"/>
                <w:lang w:val="en-US" w:eastAsia="zh-CN"/>
              </w:rPr>
              <w:t>二</w:t>
            </w:r>
            <w:r>
              <w:rPr>
                <w:rFonts w:hint="eastAsia"/>
                <w:b/>
                <w:bCs/>
                <w:color w:val="auto"/>
                <w:sz w:val="28"/>
                <w:szCs w:val="36"/>
                <w:highlight w:val="none"/>
              </w:rPr>
              <w:t>月</w:t>
            </w:r>
          </w:p>
        </w:tc>
      </w:tr>
    </w:tbl>
    <w:p w14:paraId="6F7F5F80">
      <w:pPr>
        <w:snapToGrid w:val="0"/>
        <w:spacing w:line="360" w:lineRule="auto"/>
        <w:jc w:val="center"/>
        <w:rPr>
          <w:rFonts w:ascii="宋体" w:hAnsi="宋体" w:cs="宋体"/>
          <w:bCs/>
          <w:color w:val="auto"/>
          <w:sz w:val="32"/>
          <w:szCs w:val="32"/>
          <w:highlight w:val="none"/>
        </w:rPr>
      </w:pPr>
    </w:p>
    <w:p w14:paraId="66A23F26">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5C609B30">
      <w:pPr>
        <w:keepNext w:val="0"/>
        <w:keepLines w:val="0"/>
        <w:pageBreakBefore w:val="0"/>
        <w:kinsoku/>
        <w:wordWrap/>
        <w:overflowPunct/>
        <w:topLinePunct w:val="0"/>
        <w:autoSpaceDE/>
        <w:autoSpaceDN/>
        <w:bidi w:val="0"/>
        <w:snapToGrid/>
        <w:spacing w:before="0" w:after="0" w:line="480" w:lineRule="auto"/>
        <w:ind w:left="0" w:leftChars="0" w:right="0" w:rightChars="0" w:firstLine="0" w:firstLineChars="0"/>
        <w:jc w:val="center"/>
        <w:textAlignment w:val="auto"/>
        <w:rPr>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rPr>
        <w:t>目</w:t>
      </w:r>
      <w:r>
        <w:rPr>
          <w:rFonts w:hint="eastAsia" w:ascii="宋体" w:hAnsi="宋体" w:cs="宋体"/>
          <w:b/>
          <w:bCs/>
          <w:color w:val="auto"/>
          <w:sz w:val="40"/>
          <w:szCs w:val="40"/>
          <w:highlight w:val="none"/>
          <w:lang w:val="en-US" w:eastAsia="zh-CN"/>
        </w:rPr>
        <w:t xml:space="preserve"> </w:t>
      </w:r>
      <w:r>
        <w:rPr>
          <w:rFonts w:hint="eastAsia" w:ascii="宋体" w:hAnsi="宋体" w:eastAsia="宋体" w:cs="宋体"/>
          <w:b/>
          <w:bCs/>
          <w:color w:val="auto"/>
          <w:sz w:val="40"/>
          <w:szCs w:val="40"/>
          <w:highlight w:val="none"/>
        </w:rPr>
        <w:t>录</w:t>
      </w:r>
    </w:p>
    <w:p w14:paraId="4A8D2F0F">
      <w:pPr>
        <w:pStyle w:val="962"/>
        <w:keepNext w:val="0"/>
        <w:keepLines w:val="0"/>
        <w:pageBreakBefore w:val="0"/>
        <w:tabs>
          <w:tab w:val="right" w:leader="dot" w:pos="9071"/>
        </w:tabs>
        <w:kinsoku/>
        <w:wordWrap/>
        <w:overflowPunct/>
        <w:topLinePunct w:val="0"/>
        <w:autoSpaceDE/>
        <w:autoSpaceDN/>
        <w:bidi w:val="0"/>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"1-3"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_Toc28556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第一部分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_Toc28556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1E3EB94">
      <w:pPr>
        <w:pStyle w:val="962"/>
        <w:keepNext w:val="0"/>
        <w:keepLines w:val="0"/>
        <w:pageBreakBefore w:val="0"/>
        <w:tabs>
          <w:tab w:val="right" w:leader="dot" w:pos="9071"/>
        </w:tabs>
        <w:kinsoku/>
        <w:wordWrap/>
        <w:overflowPunct/>
        <w:topLinePunct w:val="0"/>
        <w:autoSpaceDE/>
        <w:autoSpaceDN/>
        <w:bidi w:val="0"/>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_Toc19723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第二部分 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_Toc19723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EAF2054">
      <w:pPr>
        <w:pStyle w:val="962"/>
        <w:keepNext w:val="0"/>
        <w:keepLines w:val="0"/>
        <w:pageBreakBefore w:val="0"/>
        <w:tabs>
          <w:tab w:val="right" w:leader="dot" w:pos="9071"/>
        </w:tabs>
        <w:kinsoku/>
        <w:wordWrap/>
        <w:overflowPunct/>
        <w:topLinePunct w:val="0"/>
        <w:autoSpaceDE/>
        <w:autoSpaceDN/>
        <w:bidi w:val="0"/>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_Toc12090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第三部分 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_Toc12090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3060C23">
      <w:pPr>
        <w:pStyle w:val="962"/>
        <w:keepNext w:val="0"/>
        <w:keepLines w:val="0"/>
        <w:pageBreakBefore w:val="0"/>
        <w:tabs>
          <w:tab w:val="right" w:leader="dot" w:pos="9071"/>
        </w:tabs>
        <w:kinsoku/>
        <w:wordWrap/>
        <w:overflowPunct/>
        <w:topLinePunct w:val="0"/>
        <w:autoSpaceDE/>
        <w:autoSpaceDN/>
        <w:bidi w:val="0"/>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_Toc4177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第四部分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_Toc4177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EFFE891">
      <w:pPr>
        <w:pStyle w:val="962"/>
        <w:keepNext w:val="0"/>
        <w:keepLines w:val="0"/>
        <w:pageBreakBefore w:val="0"/>
        <w:tabs>
          <w:tab w:val="right" w:leader="dot" w:pos="9071"/>
        </w:tabs>
        <w:kinsoku/>
        <w:wordWrap/>
        <w:overflowPunct/>
        <w:topLinePunct w:val="0"/>
        <w:autoSpaceDE/>
        <w:autoSpaceDN/>
        <w:bidi w:val="0"/>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_Toc13476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第五部分 拟签订的合同文本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_Toc13476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6A4DDB4">
      <w:pPr>
        <w:pStyle w:val="962"/>
        <w:keepNext w:val="0"/>
        <w:keepLines w:val="0"/>
        <w:pageBreakBefore w:val="0"/>
        <w:tabs>
          <w:tab w:val="right" w:leader="dot" w:pos="9071"/>
        </w:tabs>
        <w:kinsoku/>
        <w:wordWrap/>
        <w:overflowPunct/>
        <w:topLinePunct w:val="0"/>
        <w:autoSpaceDE/>
        <w:autoSpaceDN/>
        <w:bidi w:val="0"/>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_Toc18369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第六部分 应提交的有关格式范例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_Toc18369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9A88F11">
      <w:pPr>
        <w:pStyle w:val="962"/>
        <w:keepNext w:val="0"/>
        <w:keepLines w:val="0"/>
        <w:pageBreakBefore w:val="0"/>
        <w:tabs>
          <w:tab w:val="right" w:leader="dot" w:pos="9071"/>
        </w:tabs>
        <w:kinsoku/>
        <w:wordWrap/>
        <w:overflowPunct/>
        <w:topLinePunct w:val="0"/>
        <w:autoSpaceDE/>
        <w:autoSpaceDN/>
        <w:bidi w:val="0"/>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_Toc27905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附件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_Toc27905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88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A084486">
      <w:pPr>
        <w:pStyle w:val="24"/>
        <w:keepNext w:val="0"/>
        <w:keepLines w:val="0"/>
        <w:pageBreakBefore w:val="0"/>
        <w:kinsoku/>
        <w:wordWrap/>
        <w:overflowPunct/>
        <w:topLinePunct w:val="0"/>
        <w:autoSpaceDE/>
        <w:autoSpaceDN/>
        <w:bidi w:val="0"/>
        <w:snapToGrid/>
        <w:spacing w:line="480" w:lineRule="auto"/>
        <w:ind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p w14:paraId="1E214C66">
      <w:pPr>
        <w:spacing w:line="360" w:lineRule="auto"/>
        <w:ind w:firstLine="549" w:firstLineChars="229"/>
        <w:rPr>
          <w:rFonts w:ascii="宋体" w:hAnsi="宋体" w:cs="宋体"/>
          <w:color w:val="auto"/>
          <w:sz w:val="24"/>
          <w:highlight w:val="none"/>
        </w:rPr>
      </w:pPr>
    </w:p>
    <w:p w14:paraId="6284A70F">
      <w:pPr>
        <w:spacing w:line="360" w:lineRule="auto"/>
        <w:ind w:firstLine="549" w:firstLineChars="229"/>
        <w:rPr>
          <w:rFonts w:ascii="宋体" w:hAnsi="宋体" w:cs="宋体"/>
          <w:color w:val="auto"/>
          <w:sz w:val="24"/>
          <w:highlight w:val="none"/>
        </w:rPr>
      </w:pPr>
    </w:p>
    <w:p w14:paraId="02482D41">
      <w:pPr>
        <w:spacing w:line="360" w:lineRule="auto"/>
        <w:ind w:firstLine="549" w:firstLineChars="229"/>
        <w:rPr>
          <w:rFonts w:ascii="宋体" w:hAnsi="宋体" w:cs="宋体"/>
          <w:color w:val="auto"/>
          <w:sz w:val="24"/>
          <w:highlight w:val="none"/>
        </w:rPr>
      </w:pPr>
    </w:p>
    <w:p w14:paraId="212EBF8E">
      <w:pPr>
        <w:spacing w:line="360" w:lineRule="auto"/>
        <w:ind w:firstLine="549" w:firstLineChars="229"/>
        <w:rPr>
          <w:rFonts w:ascii="宋体" w:hAnsi="宋体" w:cs="宋体"/>
          <w:color w:val="auto"/>
          <w:sz w:val="24"/>
          <w:highlight w:val="none"/>
        </w:rPr>
      </w:pPr>
    </w:p>
    <w:p w14:paraId="3B2D0C34">
      <w:pPr>
        <w:spacing w:line="360" w:lineRule="auto"/>
        <w:ind w:firstLine="549" w:firstLineChars="229"/>
        <w:rPr>
          <w:rFonts w:ascii="宋体" w:hAnsi="宋体" w:cs="宋体"/>
          <w:color w:val="auto"/>
          <w:sz w:val="24"/>
          <w:highlight w:val="none"/>
        </w:rPr>
      </w:pPr>
    </w:p>
    <w:p w14:paraId="4A9B70C7">
      <w:pPr>
        <w:spacing w:line="360" w:lineRule="auto"/>
        <w:ind w:firstLine="549" w:firstLineChars="229"/>
        <w:rPr>
          <w:rFonts w:ascii="宋体" w:hAnsi="宋体" w:cs="宋体"/>
          <w:color w:val="auto"/>
          <w:sz w:val="24"/>
          <w:highlight w:val="none"/>
        </w:rPr>
      </w:pPr>
    </w:p>
    <w:p w14:paraId="1CEA2639">
      <w:pPr>
        <w:spacing w:line="360" w:lineRule="auto"/>
        <w:ind w:firstLine="549" w:firstLineChars="229"/>
        <w:rPr>
          <w:rFonts w:ascii="宋体" w:hAnsi="宋体" w:cs="宋体"/>
          <w:color w:val="auto"/>
          <w:sz w:val="24"/>
          <w:highlight w:val="none"/>
        </w:rPr>
      </w:pPr>
    </w:p>
    <w:p w14:paraId="7DD96F97">
      <w:pPr>
        <w:spacing w:line="360" w:lineRule="auto"/>
        <w:ind w:firstLine="549" w:firstLineChars="229"/>
        <w:rPr>
          <w:rFonts w:ascii="宋体" w:hAnsi="宋体" w:cs="宋体"/>
          <w:color w:val="auto"/>
          <w:sz w:val="24"/>
          <w:highlight w:val="none"/>
        </w:rPr>
      </w:pPr>
    </w:p>
    <w:p w14:paraId="271F99B6">
      <w:pPr>
        <w:spacing w:line="360" w:lineRule="auto"/>
        <w:ind w:firstLine="549" w:firstLineChars="229"/>
        <w:rPr>
          <w:rFonts w:ascii="宋体" w:hAnsi="宋体" w:cs="宋体"/>
          <w:color w:val="auto"/>
          <w:sz w:val="24"/>
          <w:highlight w:val="none"/>
        </w:rPr>
      </w:pPr>
    </w:p>
    <w:p w14:paraId="0D6EB3B9">
      <w:pPr>
        <w:spacing w:line="360" w:lineRule="auto"/>
        <w:ind w:firstLine="549" w:firstLineChars="229"/>
        <w:rPr>
          <w:rFonts w:ascii="宋体" w:hAnsi="宋体" w:cs="宋体"/>
          <w:color w:val="auto"/>
          <w:sz w:val="24"/>
          <w:highlight w:val="none"/>
        </w:rPr>
      </w:pPr>
    </w:p>
    <w:p w14:paraId="1B7BD723">
      <w:pPr>
        <w:spacing w:line="360" w:lineRule="auto"/>
        <w:ind w:firstLine="549" w:firstLineChars="229"/>
        <w:rPr>
          <w:rFonts w:ascii="宋体" w:hAnsi="宋体" w:cs="宋体"/>
          <w:color w:val="auto"/>
          <w:sz w:val="24"/>
          <w:highlight w:val="none"/>
        </w:rPr>
      </w:pPr>
    </w:p>
    <w:p w14:paraId="35E8D1B2">
      <w:pPr>
        <w:spacing w:line="360" w:lineRule="auto"/>
        <w:ind w:firstLine="549" w:firstLineChars="229"/>
        <w:rPr>
          <w:rFonts w:ascii="宋体" w:hAnsi="宋体" w:cs="宋体"/>
          <w:color w:val="auto"/>
          <w:sz w:val="24"/>
          <w:highlight w:val="none"/>
        </w:rPr>
      </w:pPr>
    </w:p>
    <w:p w14:paraId="1DD47481">
      <w:pPr>
        <w:spacing w:line="360" w:lineRule="auto"/>
        <w:rPr>
          <w:rFonts w:ascii="宋体" w:hAnsi="宋体" w:cs="宋体"/>
          <w:color w:val="auto"/>
          <w:sz w:val="24"/>
          <w:highlight w:val="none"/>
        </w:rPr>
      </w:pPr>
    </w:p>
    <w:p w14:paraId="4853B556">
      <w:pPr>
        <w:adjustRightInd/>
        <w:spacing w:line="360" w:lineRule="auto"/>
        <w:jc w:val="center"/>
        <w:outlineLvl w:val="0"/>
        <w:rPr>
          <w:rFonts w:hint="eastAsia" w:ascii="宋体" w:hAnsi="宋体" w:cs="宋体"/>
          <w:b/>
          <w:color w:val="auto"/>
          <w:sz w:val="36"/>
          <w:szCs w:val="20"/>
          <w:highlight w:val="none"/>
        </w:rPr>
        <w:sectPr>
          <w:headerReference r:id="rId4" w:type="first"/>
          <w:footerReference r:id="rId7" w:type="first"/>
          <w:headerReference r:id="rId3" w:type="default"/>
          <w:footerReference r:id="rId5" w:type="default"/>
          <w:footerReference r:id="rId6" w:type="even"/>
          <w:pgSz w:w="11905" w:h="16838"/>
          <w:pgMar w:top="1417" w:right="1417" w:bottom="1417" w:left="1417" w:header="851" w:footer="850" w:gutter="0"/>
          <w:cols w:space="0" w:num="1"/>
          <w:rtlGutter w:val="0"/>
          <w:docGrid w:linePitch="312" w:charSpace="0"/>
        </w:sectPr>
      </w:pPr>
      <w:bookmarkStart w:id="1" w:name="_Hlt74729822"/>
      <w:bookmarkEnd w:id="1"/>
      <w:bookmarkStart w:id="2" w:name="_Hlt74649545"/>
      <w:bookmarkEnd w:id="2"/>
      <w:bookmarkStart w:id="3" w:name="_Hlt74707423"/>
      <w:bookmarkEnd w:id="3"/>
      <w:bookmarkStart w:id="4" w:name="_Hlt74728647"/>
      <w:bookmarkEnd w:id="4"/>
      <w:bookmarkStart w:id="5" w:name="_Toc28556"/>
      <w:bookmarkStart w:id="6" w:name="_Toc91899870"/>
      <w:bookmarkStart w:id="7" w:name="_Toc91899871"/>
    </w:p>
    <w:p w14:paraId="775CFE91">
      <w:pPr>
        <w:numPr>
          <w:ilvl w:val="0"/>
          <w:numId w:val="0"/>
        </w:numPr>
        <w:adjustRightInd/>
        <w:spacing w:line="360" w:lineRule="auto"/>
        <w:jc w:val="center"/>
        <w:outlineLvl w:val="0"/>
        <w:rPr>
          <w:rFonts w:hint="eastAsia" w:ascii="宋体" w:hAnsi="宋体" w:cs="宋体"/>
          <w:b/>
          <w:color w:val="auto"/>
          <w:sz w:val="32"/>
          <w:szCs w:val="18"/>
          <w:highlight w:val="none"/>
        </w:rPr>
      </w:pPr>
      <w:r>
        <w:rPr>
          <w:rFonts w:hint="eastAsia" w:ascii="宋体" w:hAnsi="宋体" w:cs="宋体"/>
          <w:b/>
          <w:color w:val="auto"/>
          <w:sz w:val="32"/>
          <w:szCs w:val="18"/>
          <w:highlight w:val="none"/>
          <w:lang w:val="en-US" w:eastAsia="zh-CN"/>
        </w:rPr>
        <w:t xml:space="preserve">第一部分 </w:t>
      </w:r>
      <w:r>
        <w:rPr>
          <w:rFonts w:hint="eastAsia" w:ascii="宋体" w:hAnsi="宋体" w:cs="宋体"/>
          <w:b/>
          <w:color w:val="auto"/>
          <w:sz w:val="32"/>
          <w:szCs w:val="18"/>
          <w:highlight w:val="none"/>
        </w:rPr>
        <w:t>招标公告</w:t>
      </w:r>
      <w:bookmarkEnd w:id="5"/>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6"/>
      </w:tblGrid>
      <w:tr w14:paraId="2F87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6" w:type="dxa"/>
          </w:tcPr>
          <w:p w14:paraId="336EA5BE">
            <w:pPr>
              <w:bidi w:val="0"/>
              <w:rPr>
                <w:rFonts w:hint="eastAsia"/>
                <w:color w:val="auto"/>
                <w:sz w:val="24"/>
                <w:szCs w:val="24"/>
                <w:highlight w:val="none"/>
              </w:rPr>
            </w:pPr>
            <w:r>
              <w:rPr>
                <w:rFonts w:hint="eastAsia"/>
                <w:color w:val="auto"/>
                <w:sz w:val="24"/>
                <w:szCs w:val="24"/>
                <w:highlight w:val="none"/>
              </w:rPr>
              <w:t>项目概况</w:t>
            </w:r>
          </w:p>
          <w:p w14:paraId="2FA1DC46">
            <w:pPr>
              <w:pStyle w:val="24"/>
              <w:rPr>
                <w:color w:val="auto"/>
                <w:highlight w:val="none"/>
              </w:rPr>
            </w:pPr>
            <w:r>
              <w:rPr>
                <w:rFonts w:hint="eastAsia" w:cs="宋体"/>
                <w:color w:val="auto"/>
                <w:sz w:val="24"/>
                <w:szCs w:val="24"/>
                <w:highlight w:val="none"/>
                <w:u w:val="single"/>
                <w:lang w:eastAsia="zh-CN"/>
              </w:rPr>
              <w:t>融媒体平台运行服务采购项目</w:t>
            </w:r>
            <w:r>
              <w:rPr>
                <w:rFonts w:hint="eastAsia" w:ascii="宋体" w:hAnsi="宋体" w:cs="宋体"/>
                <w:color w:val="auto"/>
                <w:sz w:val="24"/>
                <w:szCs w:val="24"/>
                <w:highlight w:val="none"/>
              </w:rPr>
              <w:t>招标项目的潜在投标人应在政采云平台（</w:t>
            </w:r>
            <w:r>
              <w:rPr>
                <w:color w:val="auto"/>
                <w:sz w:val="24"/>
                <w:szCs w:val="24"/>
                <w:highlight w:val="none"/>
              </w:rPr>
              <w:fldChar w:fldCharType="begin"/>
            </w:r>
            <w:r>
              <w:rPr>
                <w:color w:val="auto"/>
                <w:sz w:val="24"/>
                <w:szCs w:val="24"/>
                <w:highlight w:val="none"/>
              </w:rPr>
              <w:instrText xml:space="preserve"> HYPERLINK "https://www.zcygov.cn/）获取（下载）招标文件，并于202%20年%20月%20日%20点%20分00秒" </w:instrText>
            </w:r>
            <w:r>
              <w:rPr>
                <w:color w:val="auto"/>
                <w:sz w:val="24"/>
                <w:szCs w:val="24"/>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eastAsia="宋体" w:cs="宋体"/>
                <w:color w:val="auto"/>
                <w:kern w:val="2"/>
                <w:sz w:val="24"/>
                <w:szCs w:val="24"/>
                <w:highlight w:val="none"/>
                <w:u w:val="none"/>
                <w:lang w:val="en-US" w:eastAsia="zh-CN" w:bidi="ar-SA"/>
              </w:rPr>
              <w:t>202</w:t>
            </w:r>
            <w:r>
              <w:rPr>
                <w:rFonts w:hint="eastAsia" w:cs="宋体"/>
                <w:color w:val="auto"/>
                <w:kern w:val="2"/>
                <w:sz w:val="24"/>
                <w:szCs w:val="24"/>
                <w:highlight w:val="none"/>
                <w:u w:val="none"/>
                <w:lang w:val="en-US" w:eastAsia="zh-CN" w:bidi="ar-SA"/>
              </w:rPr>
              <w:t>5</w:t>
            </w:r>
            <w:r>
              <w:rPr>
                <w:rFonts w:hint="eastAsia" w:ascii="宋体" w:hAnsi="宋体" w:eastAsia="宋体" w:cs="宋体"/>
                <w:color w:val="auto"/>
                <w:kern w:val="2"/>
                <w:sz w:val="24"/>
                <w:szCs w:val="24"/>
                <w:highlight w:val="none"/>
                <w:u w:val="none"/>
                <w:lang w:val="en-US" w:eastAsia="zh-CN" w:bidi="ar-SA"/>
              </w:rPr>
              <w:t>年</w:t>
            </w:r>
            <w:r>
              <w:rPr>
                <w:rFonts w:hint="eastAsia" w:cs="宋体"/>
                <w:color w:val="auto"/>
                <w:kern w:val="2"/>
                <w:sz w:val="24"/>
                <w:szCs w:val="24"/>
                <w:highlight w:val="none"/>
                <w:u w:val="none"/>
                <w:lang w:val="en-US" w:eastAsia="zh-CN" w:bidi="ar-SA"/>
              </w:rPr>
              <w:t>3</w:t>
            </w:r>
            <w:r>
              <w:rPr>
                <w:rFonts w:hint="eastAsia" w:ascii="宋体" w:hAnsi="宋体" w:eastAsia="宋体" w:cs="宋体"/>
                <w:color w:val="auto"/>
                <w:kern w:val="2"/>
                <w:sz w:val="24"/>
                <w:szCs w:val="24"/>
                <w:highlight w:val="none"/>
                <w:u w:val="none"/>
                <w:lang w:val="en-US" w:eastAsia="zh-CN" w:bidi="ar-SA"/>
              </w:rPr>
              <w:t>月</w:t>
            </w:r>
            <w:r>
              <w:rPr>
                <w:rFonts w:hint="eastAsia" w:cs="宋体"/>
                <w:color w:val="auto"/>
                <w:kern w:val="2"/>
                <w:sz w:val="24"/>
                <w:szCs w:val="24"/>
                <w:highlight w:val="none"/>
                <w:u w:val="none"/>
                <w:lang w:val="en-US" w:eastAsia="zh-CN" w:bidi="ar-SA"/>
              </w:rPr>
              <w:t>11</w:t>
            </w:r>
            <w:r>
              <w:rPr>
                <w:rFonts w:hint="eastAsia" w:ascii="宋体" w:hAnsi="宋体" w:eastAsia="宋体" w:cs="宋体"/>
                <w:color w:val="auto"/>
                <w:kern w:val="2"/>
                <w:sz w:val="24"/>
                <w:szCs w:val="24"/>
                <w:highlight w:val="none"/>
                <w:u w:val="none"/>
                <w:lang w:val="en-US" w:eastAsia="zh-CN" w:bidi="ar-SA"/>
              </w:rPr>
              <w:t>日</w:t>
            </w:r>
            <w:r>
              <w:rPr>
                <w:rFonts w:hint="eastAsia" w:cs="宋体"/>
                <w:color w:val="auto"/>
                <w:kern w:val="2"/>
                <w:sz w:val="24"/>
                <w:szCs w:val="24"/>
                <w:highlight w:val="none"/>
                <w:u w:val="none"/>
                <w:lang w:val="en-US" w:eastAsia="zh-CN" w:bidi="ar-SA"/>
              </w:rPr>
              <w:t>9</w:t>
            </w:r>
            <w:r>
              <w:rPr>
                <w:rFonts w:hint="eastAsia" w:ascii="宋体" w:hAnsi="宋体" w:eastAsia="宋体" w:cs="宋体"/>
                <w:color w:val="auto"/>
                <w:kern w:val="2"/>
                <w:sz w:val="24"/>
                <w:szCs w:val="24"/>
                <w:highlight w:val="none"/>
                <w:u w:val="none"/>
                <w:lang w:val="en-US" w:eastAsia="zh-CN" w:bidi="ar-SA"/>
              </w:rPr>
              <w:t>点</w:t>
            </w:r>
            <w:r>
              <w:rPr>
                <w:rFonts w:hint="eastAsia" w:cs="宋体"/>
                <w:color w:val="auto"/>
                <w:kern w:val="2"/>
                <w:sz w:val="24"/>
                <w:szCs w:val="24"/>
                <w:highlight w:val="none"/>
                <w:u w:val="none"/>
                <w:lang w:val="en-US" w:eastAsia="zh-CN" w:bidi="ar-SA"/>
              </w:rPr>
              <w:t>00</w:t>
            </w:r>
            <w:r>
              <w:rPr>
                <w:rFonts w:hint="eastAsia" w:ascii="宋体" w:hAnsi="宋体" w:eastAsia="宋体" w:cs="宋体"/>
                <w:color w:val="auto"/>
                <w:kern w:val="2"/>
                <w:sz w:val="24"/>
                <w:szCs w:val="24"/>
                <w:highlight w:val="none"/>
                <w:u w:val="none"/>
                <w:lang w:val="en-US" w:eastAsia="zh-CN" w:bidi="ar-SA"/>
              </w:rPr>
              <w:t>分00秒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szCs w:val="24"/>
                <w:highlight w:val="none"/>
              </w:rPr>
              <w:t>（北京时间）前</w:t>
            </w:r>
            <w:r>
              <w:rPr>
                <w:rFonts w:hint="eastAsia" w:ascii="宋体" w:hAnsi="宋体" w:cs="宋体"/>
                <w:color w:val="auto"/>
                <w:sz w:val="24"/>
                <w:szCs w:val="24"/>
                <w:highlight w:val="none"/>
              </w:rPr>
              <w:t>递交（上传）投标文件。</w:t>
            </w:r>
          </w:p>
        </w:tc>
      </w:tr>
    </w:tbl>
    <w:p w14:paraId="3FAF2BE8">
      <w:pPr>
        <w:bidi w:val="0"/>
        <w:rPr>
          <w:color w:val="auto"/>
          <w:highlight w:val="none"/>
        </w:rPr>
      </w:pPr>
    </w:p>
    <w:p w14:paraId="229DD4D9">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cs="宋体"/>
          <w:b w:val="0"/>
          <w:bCs/>
          <w:color w:val="auto"/>
          <w:sz w:val="24"/>
          <w:highlight w:val="none"/>
        </w:rPr>
      </w:pPr>
      <w:r>
        <w:rPr>
          <w:rFonts w:hint="eastAsia" w:ascii="宋体" w:hAnsi="宋体" w:cs="宋体"/>
          <w:b/>
          <w:color w:val="auto"/>
          <w:sz w:val="24"/>
          <w:highlight w:val="none"/>
        </w:rPr>
        <w:t xml:space="preserve">一、项目基本情况                                            </w:t>
      </w:r>
    </w:p>
    <w:p w14:paraId="7366E606">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rPr>
        <w:t xml:space="preserve">    </w:t>
      </w:r>
      <w:bookmarkStart w:id="8" w:name="_Toc7048"/>
      <w:r>
        <w:rPr>
          <w:rFonts w:hint="eastAsia" w:ascii="宋体" w:hAnsi="宋体" w:cs="宋体"/>
          <w:b w:val="0"/>
          <w:bCs/>
          <w:color w:val="auto"/>
          <w:sz w:val="24"/>
          <w:highlight w:val="none"/>
        </w:rPr>
        <w:t>项目编号：</w:t>
      </w:r>
      <w:bookmarkEnd w:id="8"/>
      <w:r>
        <w:rPr>
          <w:rFonts w:hint="eastAsia" w:ascii="宋体" w:hAnsi="宋体" w:cs="宋体"/>
          <w:b w:val="0"/>
          <w:bCs/>
          <w:color w:val="auto"/>
          <w:sz w:val="24"/>
          <w:highlight w:val="none"/>
          <w:lang w:eastAsia="zh-CN"/>
        </w:rPr>
        <w:t>CTZB-2025020163</w:t>
      </w:r>
    </w:p>
    <w:p w14:paraId="7C294D4A">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rPr>
        <w:t xml:space="preserve">    项目名称：</w:t>
      </w:r>
      <w:r>
        <w:rPr>
          <w:rFonts w:hint="eastAsia" w:ascii="宋体" w:hAnsi="宋体" w:cs="宋体"/>
          <w:b w:val="0"/>
          <w:bCs/>
          <w:color w:val="auto"/>
          <w:sz w:val="24"/>
          <w:highlight w:val="none"/>
          <w:lang w:eastAsia="zh-CN"/>
        </w:rPr>
        <w:t>融媒体平台运行服务采购项目</w:t>
      </w:r>
    </w:p>
    <w:p w14:paraId="7E7B274D">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val="0"/>
          <w:bCs/>
          <w:color w:val="auto"/>
          <w:sz w:val="24"/>
          <w:highlight w:val="none"/>
        </w:rPr>
      </w:pPr>
      <w:r>
        <w:rPr>
          <w:rFonts w:hint="eastAsia" w:ascii="宋体" w:hAnsi="宋体" w:cs="宋体"/>
          <w:b w:val="0"/>
          <w:bCs/>
          <w:color w:val="auto"/>
          <w:sz w:val="24"/>
          <w:highlight w:val="none"/>
        </w:rPr>
        <w:t xml:space="preserve">    预算金额（元）：</w:t>
      </w:r>
      <w:r>
        <w:rPr>
          <w:rFonts w:hint="eastAsia" w:ascii="宋体" w:hAnsi="宋体" w:cs="宋体"/>
          <w:b w:val="0"/>
          <w:bCs/>
          <w:color w:val="auto"/>
          <w:sz w:val="24"/>
          <w:highlight w:val="none"/>
          <w:lang w:val="en-US" w:eastAsia="zh-CN"/>
        </w:rPr>
        <w:t>1230000</w:t>
      </w:r>
      <w:r>
        <w:rPr>
          <w:rFonts w:ascii="宋体" w:hAnsi="宋体" w:cs="宋体"/>
          <w:b w:val="0"/>
          <w:bCs/>
          <w:color w:val="auto"/>
          <w:sz w:val="24"/>
          <w:highlight w:val="none"/>
        </w:rPr>
        <w:t xml:space="preserve"> </w:t>
      </w:r>
    </w:p>
    <w:p w14:paraId="1D121DF9">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b w:val="0"/>
          <w:bCs/>
          <w:color w:val="auto"/>
          <w:sz w:val="24"/>
          <w:highlight w:val="none"/>
        </w:rPr>
      </w:pPr>
      <w:r>
        <w:rPr>
          <w:rFonts w:hint="eastAsia" w:ascii="宋体" w:hAnsi="宋体" w:cs="宋体"/>
          <w:b w:val="0"/>
          <w:bCs/>
          <w:color w:val="auto"/>
          <w:sz w:val="24"/>
          <w:highlight w:val="none"/>
        </w:rPr>
        <w:t>最高限价（元）：</w:t>
      </w:r>
      <w:r>
        <w:rPr>
          <w:rFonts w:hint="eastAsia" w:ascii="宋体" w:hAnsi="宋体" w:cs="宋体"/>
          <w:b w:val="0"/>
          <w:bCs/>
          <w:color w:val="auto"/>
          <w:sz w:val="24"/>
          <w:highlight w:val="none"/>
          <w:lang w:val="en-US" w:eastAsia="zh-CN"/>
        </w:rPr>
        <w:t>1230000</w:t>
      </w:r>
      <w:r>
        <w:rPr>
          <w:rFonts w:ascii="宋体" w:hAnsi="宋体" w:cs="宋体"/>
          <w:b w:val="0"/>
          <w:bCs/>
          <w:color w:val="auto"/>
          <w:sz w:val="24"/>
          <w:highlight w:val="none"/>
        </w:rPr>
        <w:t xml:space="preserve"> </w:t>
      </w:r>
    </w:p>
    <w:p w14:paraId="52AADC8D">
      <w:pPr>
        <w:pStyle w:val="15"/>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b w:val="0"/>
          <w:bCs/>
          <w:snapToGrid/>
          <w:color w:val="auto"/>
          <w:kern w:val="2"/>
          <w:sz w:val="24"/>
          <w:szCs w:val="24"/>
          <w:highlight w:val="none"/>
        </w:rPr>
      </w:pPr>
      <w:r>
        <w:rPr>
          <w:rFonts w:hint="eastAsia" w:hAnsi="宋体" w:cs="宋体"/>
          <w:b w:val="0"/>
          <w:bCs/>
          <w:color w:val="auto"/>
          <w:sz w:val="24"/>
          <w:highlight w:val="none"/>
        </w:rPr>
        <w:t>采购需求：</w:t>
      </w:r>
      <w:r>
        <w:rPr>
          <w:rFonts w:hint="eastAsia" w:hAnsi="宋体" w:cs="宋体"/>
          <w:b w:val="0"/>
          <w:bCs/>
          <w:snapToGrid/>
          <w:color w:val="auto"/>
          <w:kern w:val="2"/>
          <w:sz w:val="24"/>
          <w:szCs w:val="24"/>
          <w:highlight w:val="none"/>
          <w:lang w:eastAsia="zh-CN"/>
        </w:rPr>
        <w:t>区县级融媒体中心是打通宣传思想工作中至关重要的“最后一公里”，建立以主流媒体自主可控的新型互联网传播平台为核心的现代传播体系，打造成为新时代治国理政新平台。</w:t>
      </w:r>
      <w:r>
        <w:rPr>
          <w:rFonts w:hint="eastAsia" w:asciiTheme="minorEastAsia" w:hAnsiTheme="minorEastAsia" w:eastAsiaTheme="minorEastAsia"/>
          <w:b w:val="0"/>
          <w:bCs/>
          <w:snapToGrid/>
          <w:color w:val="auto"/>
          <w:kern w:val="2"/>
          <w:sz w:val="24"/>
          <w:szCs w:val="24"/>
          <w:highlight w:val="none"/>
        </w:rPr>
        <w:t>具体以招标文件第三部分采购需求为准，供应商可点击本公告下方“浏览采购文件”查看采购需求。</w:t>
      </w:r>
    </w:p>
    <w:p w14:paraId="2C003370">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b w:val="0"/>
          <w:bCs/>
          <w:snapToGrid w:val="0"/>
          <w:color w:val="auto"/>
          <w:kern w:val="28"/>
          <w:sz w:val="24"/>
          <w:szCs w:val="20"/>
          <w:highlight w:val="none"/>
          <w:lang w:val="en-US" w:eastAsia="zh-CN" w:bidi="ar-SA"/>
        </w:rPr>
      </w:pPr>
      <w:bookmarkStart w:id="9" w:name="_Toc17099"/>
      <w:r>
        <w:rPr>
          <w:rFonts w:hint="eastAsia" w:ascii="宋体" w:hAnsi="宋体" w:eastAsia="宋体" w:cs="宋体"/>
          <w:b w:val="0"/>
          <w:bCs/>
          <w:snapToGrid w:val="0"/>
          <w:color w:val="auto"/>
          <w:kern w:val="28"/>
          <w:sz w:val="24"/>
          <w:szCs w:val="20"/>
          <w:highlight w:val="none"/>
          <w:lang w:val="en-US" w:eastAsia="zh-CN" w:bidi="ar-SA"/>
        </w:rPr>
        <w:t>合同履约期限：</w:t>
      </w:r>
      <w:bookmarkEnd w:id="9"/>
      <w:r>
        <w:rPr>
          <w:rFonts w:hint="eastAsia" w:ascii="宋体" w:hAnsi="宋体" w:eastAsia="宋体" w:cs="宋体"/>
          <w:b w:val="0"/>
          <w:bCs/>
          <w:snapToGrid w:val="0"/>
          <w:color w:val="auto"/>
          <w:kern w:val="28"/>
          <w:sz w:val="24"/>
          <w:szCs w:val="20"/>
          <w:highlight w:val="none"/>
          <w:lang w:val="en-US" w:eastAsia="zh-CN" w:bidi="ar-SA"/>
        </w:rPr>
        <w:t>自合同签订之日起一年。</w:t>
      </w:r>
      <w:r>
        <w:rPr>
          <w:rFonts w:hint="eastAsia" w:ascii="宋体" w:hAnsi="宋体" w:eastAsia="宋体" w:cs="宋体"/>
          <w:b w:val="0"/>
          <w:bCs/>
          <w:snapToGrid w:val="0"/>
          <w:color w:val="auto"/>
          <w:kern w:val="28"/>
          <w:sz w:val="24"/>
          <w:szCs w:val="20"/>
          <w:highlight w:val="none"/>
          <w:lang w:val="en-US" w:eastAsia="zh-CN" w:bidi="ar-SA"/>
        </w:rPr>
        <w:t xml:space="preserve"> </w:t>
      </w:r>
    </w:p>
    <w:p w14:paraId="4F7A8613">
      <w:pPr>
        <w:pStyle w:val="15"/>
        <w:keepNext w:val="0"/>
        <w:keepLines w:val="0"/>
        <w:pageBreakBefore w:val="0"/>
        <w:kinsoku/>
        <w:wordWrap/>
        <w:overflowPunct/>
        <w:topLinePunct w:val="0"/>
        <w:autoSpaceDE/>
        <w:autoSpaceDN/>
        <w:bidi w:val="0"/>
        <w:adjustRightInd w:val="0"/>
        <w:spacing w:line="360" w:lineRule="auto"/>
        <w:ind w:firstLine="480"/>
        <w:textAlignment w:val="auto"/>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474523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0649A63">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color w:val="auto"/>
          <w:sz w:val="24"/>
          <w:highlight w:val="none"/>
        </w:rPr>
      </w:pPr>
      <w:bookmarkStart w:id="10" w:name="_Toc25104"/>
      <w:r>
        <w:rPr>
          <w:rFonts w:hint="eastAsia" w:ascii="宋体" w:hAnsi="宋体" w:cs="宋体"/>
          <w:b/>
          <w:color w:val="auto"/>
          <w:sz w:val="24"/>
          <w:highlight w:val="none"/>
        </w:rPr>
        <w:t>二、申请人的资格要求：</w:t>
      </w:r>
      <w:bookmarkEnd w:id="10"/>
    </w:p>
    <w:p w14:paraId="044FA75D">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F6597A5">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1F7BEDC">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cs="宋体"/>
          <w:snapToGrid w:val="0"/>
          <w:color w:val="auto"/>
          <w:kern w:val="28"/>
          <w:sz w:val="24"/>
          <w:szCs w:val="20"/>
          <w:highlight w:val="none"/>
        </w:rPr>
      </w:pPr>
      <w:bookmarkStart w:id="11" w:name="_Toc16646"/>
      <w:r>
        <w:rPr>
          <w:rFonts w:hint="eastAsia" w:ascii="宋体" w:hAnsi="宋体" w:cs="宋体"/>
          <w:snapToGrid w:val="0"/>
          <w:color w:val="auto"/>
          <w:kern w:val="28"/>
          <w:sz w:val="24"/>
          <w:szCs w:val="20"/>
          <w:highlight w:val="none"/>
        </w:rPr>
        <w:t>3.落实政府采购政策需满足的资格要求：</w:t>
      </w:r>
      <w:bookmarkEnd w:id="11"/>
    </w:p>
    <w:p w14:paraId="4C43EBD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60678D4B">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47607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D659453">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4640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0A3ABFF8">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hint="eastAsia" w:ascii="宋体" w:hAnsi="宋体" w:cs="宋体"/>
          <w:color w:val="auto"/>
          <w:sz w:val="24"/>
          <w:highlight w:val="none"/>
        </w:rPr>
      </w:pPr>
      <w:sdt>
        <w:sdtPr>
          <w:rPr>
            <w:rFonts w:hint="eastAsia" w:ascii="宋体" w:hAnsi="宋体" w:cs="宋体"/>
            <w:color w:val="auto"/>
            <w:kern w:val="0"/>
            <w:sz w:val="24"/>
            <w:highlight w:val="none"/>
          </w:rPr>
          <w:id w:val="14746975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14:paraId="74E4FEC2">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4811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2D2FEF17">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879979B">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bookmarkStart w:id="12" w:name="_Toc14851"/>
      <w:r>
        <w:rPr>
          <w:rFonts w:ascii="宋体" w:hAnsi="宋体" w:cs="宋体"/>
          <w:color w:val="auto"/>
          <w:sz w:val="24"/>
          <w:highlight w:val="none"/>
        </w:rPr>
        <w:t>4</w:t>
      </w:r>
      <w:r>
        <w:rPr>
          <w:rFonts w:hint="eastAsia" w:ascii="宋体" w:hAnsi="宋体" w:cs="宋体"/>
          <w:color w:val="auto"/>
          <w:sz w:val="24"/>
          <w:highlight w:val="none"/>
        </w:rPr>
        <w:t>.本项目的特定资格要求：无；</w:t>
      </w:r>
      <w:bookmarkEnd w:id="12"/>
    </w:p>
    <w:p w14:paraId="35CC431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C076C76">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color w:val="auto"/>
          <w:sz w:val="24"/>
          <w:highlight w:val="none"/>
        </w:rPr>
      </w:pPr>
      <w:bookmarkStart w:id="13" w:name="_Toc26844"/>
      <w:r>
        <w:rPr>
          <w:rFonts w:hint="eastAsia" w:ascii="宋体" w:hAnsi="宋体" w:cs="宋体"/>
          <w:b/>
          <w:color w:val="auto"/>
          <w:sz w:val="24"/>
          <w:highlight w:val="none"/>
        </w:rPr>
        <w:t>三、获取招标文件</w:t>
      </w:r>
      <w:bookmarkEnd w:id="13"/>
      <w:r>
        <w:rPr>
          <w:rFonts w:hint="eastAsia" w:ascii="宋体" w:hAnsi="宋体" w:cs="宋体"/>
          <w:b/>
          <w:color w:val="auto"/>
          <w:sz w:val="24"/>
          <w:highlight w:val="none"/>
        </w:rPr>
        <w:t xml:space="preserve"> </w:t>
      </w:r>
    </w:p>
    <w:p w14:paraId="29E01EFA">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3</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11</w:t>
      </w:r>
      <w:r>
        <w:rPr>
          <w:rFonts w:hint="eastAsia" w:ascii="宋体" w:hAnsi="宋体" w:cs="宋体"/>
          <w:color w:val="auto"/>
          <w:sz w:val="24"/>
          <w:highlight w:val="none"/>
          <w:u w:val="non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9F9D7A0">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8CFB23C">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A590FB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8E599AC">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color w:val="auto"/>
          <w:sz w:val="24"/>
          <w:highlight w:val="none"/>
        </w:rPr>
      </w:pPr>
      <w:bookmarkStart w:id="14" w:name="_Toc15507"/>
      <w:r>
        <w:rPr>
          <w:rFonts w:hint="eastAsia" w:ascii="宋体" w:hAnsi="宋体" w:cs="宋体"/>
          <w:b/>
          <w:color w:val="auto"/>
          <w:sz w:val="24"/>
          <w:highlight w:val="none"/>
        </w:rPr>
        <w:t>四、提交投标文件截止时间、开标时间和地点</w:t>
      </w:r>
      <w:bookmarkEnd w:id="14"/>
    </w:p>
    <w:p w14:paraId="2F7666E6">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3</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11</w:t>
      </w:r>
      <w:r>
        <w:rPr>
          <w:rFonts w:hint="eastAsia" w:ascii="宋体" w:hAnsi="宋体" w:cs="宋体"/>
          <w:color w:val="auto"/>
          <w:sz w:val="24"/>
          <w:highlight w:val="none"/>
          <w:u w:val="none"/>
        </w:rPr>
        <w:t>日</w:t>
      </w:r>
      <w:r>
        <w:rPr>
          <w:rFonts w:hint="eastAsia" w:ascii="宋体" w:hAnsi="宋体" w:cs="宋体"/>
          <w:color w:val="auto"/>
          <w:sz w:val="24"/>
          <w:highlight w:val="none"/>
          <w:u w:val="none"/>
          <w:lang w:val="en-US" w:eastAsia="zh-CN"/>
        </w:rPr>
        <w:t>9</w:t>
      </w:r>
      <w:r>
        <w:rPr>
          <w:rFonts w:hint="eastAsia" w:ascii="宋体" w:hAnsi="宋体" w:cs="宋体"/>
          <w:color w:val="auto"/>
          <w:sz w:val="24"/>
          <w:highlight w:val="none"/>
          <w:u w:val="none"/>
        </w:rPr>
        <w:t>点</w:t>
      </w:r>
      <w:r>
        <w:rPr>
          <w:rFonts w:hint="eastAsia" w:ascii="宋体" w:hAnsi="宋体" w:cs="宋体"/>
          <w:color w:val="auto"/>
          <w:sz w:val="24"/>
          <w:highlight w:val="none"/>
          <w:u w:val="none"/>
          <w:lang w:val="en-US" w:eastAsia="zh-CN"/>
        </w:rPr>
        <w:t>00</w:t>
      </w:r>
      <w:r>
        <w:rPr>
          <w:rFonts w:hint="eastAsia" w:ascii="宋体" w:hAnsi="宋体" w:cs="宋体"/>
          <w:color w:val="auto"/>
          <w:sz w:val="24"/>
          <w:highlight w:val="none"/>
          <w:u w:val="none"/>
        </w:rPr>
        <w:t>分00秒</w:t>
      </w:r>
      <w:r>
        <w:rPr>
          <w:rFonts w:hint="eastAsia" w:ascii="宋体" w:hAnsi="宋体" w:cs="宋体"/>
          <w:color w:val="auto"/>
          <w:sz w:val="24"/>
          <w:highlight w:val="none"/>
        </w:rPr>
        <w:t>（北京时间）</w:t>
      </w:r>
    </w:p>
    <w:p w14:paraId="06125639">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D490D6C">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年</w:t>
      </w:r>
      <w:r>
        <w:rPr>
          <w:rFonts w:hint="eastAsia" w:ascii="宋体" w:hAnsi="宋体" w:cs="宋体"/>
          <w:color w:val="auto"/>
          <w:sz w:val="24"/>
          <w:highlight w:val="none"/>
          <w:u w:val="none"/>
          <w:lang w:val="en-US" w:eastAsia="zh-CN"/>
        </w:rPr>
        <w:t>3</w:t>
      </w:r>
      <w:r>
        <w:rPr>
          <w:rFonts w:hint="eastAsia" w:ascii="宋体" w:hAnsi="宋体" w:cs="宋体"/>
          <w:color w:val="auto"/>
          <w:sz w:val="24"/>
          <w:highlight w:val="none"/>
          <w:u w:val="none"/>
        </w:rPr>
        <w:t>月</w:t>
      </w:r>
      <w:r>
        <w:rPr>
          <w:rFonts w:hint="eastAsia" w:ascii="宋体" w:hAnsi="宋体" w:cs="宋体"/>
          <w:color w:val="auto"/>
          <w:sz w:val="24"/>
          <w:highlight w:val="none"/>
          <w:u w:val="none"/>
          <w:lang w:val="en-US" w:eastAsia="zh-CN"/>
        </w:rPr>
        <w:t>11</w:t>
      </w:r>
      <w:r>
        <w:rPr>
          <w:rFonts w:hint="eastAsia" w:ascii="宋体" w:hAnsi="宋体" w:cs="宋体"/>
          <w:color w:val="auto"/>
          <w:sz w:val="24"/>
          <w:highlight w:val="none"/>
          <w:u w:val="none"/>
        </w:rPr>
        <w:t>日</w:t>
      </w:r>
      <w:r>
        <w:rPr>
          <w:rFonts w:hint="eastAsia" w:ascii="宋体" w:hAnsi="宋体" w:cs="宋体"/>
          <w:color w:val="auto"/>
          <w:sz w:val="24"/>
          <w:highlight w:val="none"/>
          <w:u w:val="none"/>
          <w:lang w:val="en-US" w:eastAsia="zh-CN"/>
        </w:rPr>
        <w:t>9</w:t>
      </w:r>
      <w:r>
        <w:rPr>
          <w:rFonts w:hint="eastAsia" w:ascii="宋体" w:hAnsi="宋体" w:cs="宋体"/>
          <w:color w:val="auto"/>
          <w:sz w:val="24"/>
          <w:highlight w:val="none"/>
          <w:u w:val="none"/>
        </w:rPr>
        <w:t>点</w:t>
      </w:r>
      <w:r>
        <w:rPr>
          <w:rFonts w:hint="eastAsia" w:ascii="宋体" w:hAnsi="宋体" w:cs="宋体"/>
          <w:color w:val="auto"/>
          <w:sz w:val="24"/>
          <w:highlight w:val="none"/>
          <w:u w:val="none"/>
          <w:lang w:val="en-US" w:eastAsia="zh-CN"/>
        </w:rPr>
        <w:t>00</w:t>
      </w:r>
      <w:r>
        <w:rPr>
          <w:rFonts w:hint="eastAsia" w:ascii="宋体" w:hAnsi="宋体" w:cs="宋体"/>
          <w:color w:val="auto"/>
          <w:sz w:val="24"/>
          <w:highlight w:val="none"/>
          <w:u w:val="none"/>
        </w:rPr>
        <w:t>分00秒</w:t>
      </w:r>
    </w:p>
    <w:p w14:paraId="6A8A1EB8">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2F789E6">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bookmarkStart w:id="15" w:name="_Toc22428"/>
      <w:r>
        <w:rPr>
          <w:rFonts w:hint="eastAsia" w:ascii="宋体" w:hAnsi="宋体" w:cs="宋体"/>
          <w:b/>
          <w:color w:val="auto"/>
          <w:sz w:val="24"/>
          <w:highlight w:val="none"/>
        </w:rPr>
        <w:t>五、公告期限</w:t>
      </w:r>
      <w:bookmarkEnd w:id="15"/>
      <w:r>
        <w:rPr>
          <w:rFonts w:hint="eastAsia" w:ascii="宋体" w:hAnsi="宋体" w:cs="宋体"/>
          <w:b/>
          <w:color w:val="auto"/>
          <w:sz w:val="24"/>
          <w:highlight w:val="none"/>
        </w:rPr>
        <w:t xml:space="preserve"> </w:t>
      </w:r>
    </w:p>
    <w:p w14:paraId="185CC6BB">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16E884C">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b/>
          <w:color w:val="auto"/>
          <w:sz w:val="24"/>
          <w:highlight w:val="none"/>
        </w:rPr>
      </w:pPr>
      <w:bookmarkStart w:id="16" w:name="_Toc24362"/>
      <w:r>
        <w:rPr>
          <w:rFonts w:hint="eastAsia" w:ascii="宋体" w:hAnsi="宋体" w:cs="宋体"/>
          <w:b/>
          <w:color w:val="auto"/>
          <w:sz w:val="24"/>
          <w:highlight w:val="none"/>
        </w:rPr>
        <w:t>六、其他补充事宜</w:t>
      </w:r>
      <w:bookmarkEnd w:id="16"/>
    </w:p>
    <w:p w14:paraId="3B7A3A7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023BCF5">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C8C48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F307AAD">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DEFF505">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cs="宋体"/>
          <w:color w:val="auto"/>
          <w:sz w:val="24"/>
          <w:highlight w:val="none"/>
        </w:rPr>
      </w:pPr>
      <w:bookmarkStart w:id="17" w:name="_Toc11509"/>
      <w:r>
        <w:rPr>
          <w:rFonts w:hint="eastAsia" w:ascii="宋体" w:hAnsi="宋体" w:cs="宋体"/>
          <w:b/>
          <w:color w:val="auto"/>
          <w:sz w:val="24"/>
          <w:highlight w:val="none"/>
        </w:rPr>
        <w:t>七、对本次采购提出询问、质疑、投诉，请按以下方式联系</w:t>
      </w:r>
      <w:bookmarkEnd w:id="17"/>
    </w:p>
    <w:p w14:paraId="742C408B">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w:t>
      </w:r>
      <w:bookmarkStart w:id="18" w:name="_Toc13909"/>
      <w:r>
        <w:rPr>
          <w:rFonts w:hint="eastAsia" w:ascii="宋体" w:hAnsi="宋体" w:cs="宋体"/>
          <w:color w:val="auto"/>
          <w:sz w:val="24"/>
          <w:highlight w:val="none"/>
        </w:rPr>
        <w:t>1.采购人信息</w:t>
      </w:r>
      <w:bookmarkEnd w:id="18"/>
    </w:p>
    <w:p w14:paraId="7406AD84">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杭州市余杭区融媒体中心（杭州市余杭区广播电视台）</w:t>
      </w:r>
      <w:r>
        <w:rPr>
          <w:rFonts w:hint="eastAsia" w:ascii="宋体" w:hAnsi="宋体" w:cs="宋体"/>
          <w:color w:val="auto"/>
          <w:sz w:val="24"/>
          <w:highlight w:val="none"/>
        </w:rPr>
        <w:t xml:space="preserve"> </w:t>
      </w:r>
    </w:p>
    <w:p w14:paraId="6F34A7CA">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地    址：杭州市余杭区文一西路1500号       </w:t>
      </w:r>
    </w:p>
    <w:p w14:paraId="709A6EC7">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传    真：/</w:t>
      </w:r>
    </w:p>
    <w:p w14:paraId="7548542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 xml:space="preserve">项目联系人（询问）：章艺  </w:t>
      </w:r>
    </w:p>
    <w:p w14:paraId="6836FC7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 xml:space="preserve">项目联系方式（询问）：0571-89391519 </w:t>
      </w:r>
    </w:p>
    <w:p w14:paraId="61DA66D5">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cs="宋体"/>
          <w:color w:val="auto"/>
          <w:sz w:val="24"/>
          <w:highlight w:val="none"/>
          <w:u w:val="none"/>
        </w:rPr>
      </w:pPr>
      <w:r>
        <w:rPr>
          <w:rFonts w:hint="eastAsia" w:ascii="宋体" w:hAnsi="宋体" w:cs="宋体"/>
          <w:color w:val="auto"/>
          <w:sz w:val="24"/>
          <w:highlight w:val="none"/>
          <w:u w:val="none"/>
        </w:rPr>
        <w:t xml:space="preserve">质疑联系人：周阳 </w:t>
      </w:r>
    </w:p>
    <w:p w14:paraId="63DFC987">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u w:val="none"/>
        </w:rPr>
        <w:t xml:space="preserve">质疑联系方式：0571-89188200 </w:t>
      </w:r>
    </w:p>
    <w:p w14:paraId="5E6A6A7D">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w:t>
      </w:r>
      <w:bookmarkStart w:id="19" w:name="_Toc23194"/>
      <w:r>
        <w:rPr>
          <w:rFonts w:hint="eastAsia" w:ascii="宋体" w:hAnsi="宋体" w:cs="宋体"/>
          <w:color w:val="auto"/>
          <w:sz w:val="24"/>
          <w:highlight w:val="none"/>
        </w:rPr>
        <w:t>2.采购代理机构信息</w:t>
      </w:r>
      <w:bookmarkEnd w:id="19"/>
      <w:r>
        <w:rPr>
          <w:rFonts w:hint="eastAsia" w:ascii="宋体" w:hAnsi="宋体" w:cs="宋体"/>
          <w:color w:val="auto"/>
          <w:sz w:val="24"/>
          <w:highlight w:val="none"/>
        </w:rPr>
        <w:t xml:space="preserve">            </w:t>
      </w:r>
    </w:p>
    <w:p w14:paraId="6BB34699">
      <w:pPr>
        <w:keepNext w:val="0"/>
        <w:keepLines w:val="0"/>
        <w:pageBreakBefore w:val="0"/>
        <w:kinsoku/>
        <w:wordWrap/>
        <w:overflowPunct/>
        <w:topLinePunct w:val="0"/>
        <w:autoSpaceDE/>
        <w:autoSpaceDN/>
        <w:bidi w:val="0"/>
        <w:adjustRightInd w:val="0"/>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浙江省成套招标代理有限公司</w:t>
      </w:r>
    </w:p>
    <w:p w14:paraId="56751C89">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地    址：杭州市文晖路42号现代置业大厦西楼1801</w:t>
      </w:r>
      <w:r>
        <w:rPr>
          <w:rFonts w:hint="eastAsia" w:ascii="宋体" w:hAnsi="宋体" w:cs="宋体"/>
          <w:color w:val="auto"/>
          <w:sz w:val="24"/>
          <w:highlight w:val="none"/>
          <w:lang w:val="en-US" w:eastAsia="zh-CN"/>
        </w:rPr>
        <w:t>室</w:t>
      </w:r>
    </w:p>
    <w:p w14:paraId="472E7797">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传    真：/ </w:t>
      </w:r>
    </w:p>
    <w:p w14:paraId="6547DD30">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cs="宋体"/>
          <w:color w:val="auto"/>
          <w:sz w:val="24"/>
          <w:highlight w:val="none"/>
          <w:lang w:val="en-US"/>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潘佳维、刘潇云</w:t>
      </w:r>
    </w:p>
    <w:p w14:paraId="4DAF0C04">
      <w:pPr>
        <w:keepNext w:val="0"/>
        <w:keepLines w:val="0"/>
        <w:pageBreakBefore w:val="0"/>
        <w:kinsoku/>
        <w:wordWrap/>
        <w:overflowPunct/>
        <w:topLinePunct w:val="0"/>
        <w:autoSpaceDE/>
        <w:autoSpaceDN/>
        <w:bidi w:val="0"/>
        <w:adjustRightIn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0571-85831685、17826815466</w:t>
      </w:r>
    </w:p>
    <w:p w14:paraId="7FC3D747">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冯东东</w:t>
      </w:r>
      <w:r>
        <w:rPr>
          <w:rFonts w:hint="eastAsia" w:ascii="宋体" w:hAnsi="宋体" w:cs="宋体"/>
          <w:color w:val="auto"/>
          <w:sz w:val="24"/>
          <w:highlight w:val="none"/>
        </w:rPr>
        <w:t xml:space="preserve"> </w:t>
      </w:r>
    </w:p>
    <w:p w14:paraId="4AE9A7F3">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质疑联系方式：0571-85331293</w:t>
      </w:r>
    </w:p>
    <w:p w14:paraId="6CB3AD74">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w:t>
      </w:r>
      <w:bookmarkStart w:id="20" w:name="_Toc7321"/>
      <w:r>
        <w:rPr>
          <w:rFonts w:hint="eastAsia" w:ascii="宋体" w:hAnsi="宋体" w:cs="宋体"/>
          <w:color w:val="auto"/>
          <w:sz w:val="24"/>
          <w:highlight w:val="none"/>
        </w:rPr>
        <w:t>3.同级政府采购监督管理部门</w:t>
      </w:r>
      <w:bookmarkEnd w:id="20"/>
      <w:r>
        <w:rPr>
          <w:rFonts w:hint="eastAsia" w:ascii="宋体" w:hAnsi="宋体" w:cs="宋体"/>
          <w:color w:val="auto"/>
          <w:sz w:val="24"/>
          <w:highlight w:val="none"/>
        </w:rPr>
        <w:t xml:space="preserve">            </w:t>
      </w:r>
    </w:p>
    <w:p w14:paraId="7537A347">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名    称：杭州市余杭区财政局、浙江省政府采购行政裁决服务中心（杭州）</w:t>
      </w:r>
    </w:p>
    <w:p w14:paraId="5F7DB5CD">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w:t>
      </w:r>
    </w:p>
    <w:p w14:paraId="4151A390">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传    真：/</w:t>
      </w:r>
    </w:p>
    <w:p w14:paraId="57A8F8A2">
      <w:pPr>
        <w:keepNext w:val="0"/>
        <w:keepLines w:val="0"/>
        <w:pageBreakBefore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    联</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人：朱女士、王女士</w:t>
      </w:r>
    </w:p>
    <w:p w14:paraId="581BDD82">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监督投诉电话：0571-87227671,0571-87800218 </w:t>
      </w:r>
    </w:p>
    <w:p w14:paraId="6DD119A9">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政策咨询电话：0571-89516936政府采购监管部门工作人员   </w:t>
      </w:r>
    </w:p>
    <w:p w14:paraId="063B1FF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1E1876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0392AF8">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0DF746D4">
      <w:pPr>
        <w:numPr>
          <w:ilvl w:val="0"/>
          <w:numId w:val="0"/>
        </w:numPr>
        <w:adjustRightInd/>
        <w:spacing w:line="360" w:lineRule="auto"/>
        <w:jc w:val="center"/>
        <w:outlineLvl w:val="0"/>
        <w:rPr>
          <w:rFonts w:hint="eastAsia" w:ascii="宋体" w:hAnsi="宋体" w:cs="宋体"/>
          <w:b/>
          <w:color w:val="auto"/>
          <w:sz w:val="32"/>
          <w:szCs w:val="18"/>
          <w:highlight w:val="none"/>
        </w:rPr>
      </w:pPr>
      <w:bookmarkStart w:id="21" w:name="_Toc19723"/>
      <w:r>
        <w:rPr>
          <w:rFonts w:hint="eastAsia" w:ascii="宋体" w:hAnsi="宋体" w:cs="宋体"/>
          <w:b/>
          <w:color w:val="auto"/>
          <w:sz w:val="32"/>
          <w:szCs w:val="18"/>
          <w:highlight w:val="none"/>
          <w:lang w:val="en-US" w:eastAsia="zh-CN"/>
        </w:rPr>
        <w:t xml:space="preserve">第二部分 </w:t>
      </w:r>
      <w:r>
        <w:rPr>
          <w:rFonts w:hint="eastAsia" w:ascii="宋体" w:hAnsi="宋体" w:cs="宋体"/>
          <w:b/>
          <w:color w:val="auto"/>
          <w:sz w:val="32"/>
          <w:szCs w:val="18"/>
          <w:highlight w:val="none"/>
        </w:rPr>
        <w:t>投标人须知</w:t>
      </w:r>
      <w:bookmarkEnd w:id="6"/>
      <w:bookmarkEnd w:id="21"/>
    </w:p>
    <w:p w14:paraId="409E4E4F">
      <w:pPr>
        <w:numPr>
          <w:ilvl w:val="0"/>
          <w:numId w:val="0"/>
        </w:numPr>
        <w:adjustRightInd/>
        <w:spacing w:line="360" w:lineRule="auto"/>
        <w:jc w:val="center"/>
        <w:outlineLvl w:val="1"/>
        <w:rPr>
          <w:rFonts w:hint="eastAsia"/>
          <w:color w:val="auto"/>
          <w:highlight w:val="none"/>
        </w:rPr>
      </w:pPr>
      <w:r>
        <w:rPr>
          <w:rFonts w:hint="eastAsia" w:ascii="宋体" w:hAnsi="宋体" w:cs="宋体"/>
          <w:b/>
          <w:color w:val="auto"/>
          <w:sz w:val="32"/>
          <w:szCs w:val="18"/>
          <w:highlight w:val="none"/>
        </w:rPr>
        <w:t>前附表</w:t>
      </w:r>
    </w:p>
    <w:tbl>
      <w:tblPr>
        <w:tblStyle w:val="62"/>
        <w:tblW w:w="90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9"/>
        <w:gridCol w:w="1776"/>
        <w:gridCol w:w="6681"/>
      </w:tblGrid>
      <w:tr w14:paraId="235CF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90" w:hRule="atLeast"/>
          <w:tblHeader/>
          <w:jc w:val="center"/>
        </w:trPr>
        <w:tc>
          <w:tcPr>
            <w:tcW w:w="629" w:type="dxa"/>
          </w:tcPr>
          <w:p w14:paraId="70AAA4D7">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b/>
                <w:color w:val="auto"/>
                <w:sz w:val="24"/>
                <w:highlight w:val="none"/>
              </w:rPr>
            </w:pPr>
            <w:bookmarkStart w:id="22" w:name="_Toc31407"/>
            <w:r>
              <w:rPr>
                <w:rFonts w:hint="eastAsia" w:ascii="宋体" w:hAnsi="宋体" w:cs="宋体"/>
                <w:b/>
                <w:color w:val="auto"/>
                <w:sz w:val="24"/>
                <w:highlight w:val="none"/>
              </w:rPr>
              <w:t>序号</w:t>
            </w:r>
          </w:p>
        </w:tc>
        <w:tc>
          <w:tcPr>
            <w:tcW w:w="1776" w:type="dxa"/>
            <w:vAlign w:val="center"/>
          </w:tcPr>
          <w:p w14:paraId="3676E764">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6681" w:type="dxa"/>
            <w:vAlign w:val="center"/>
          </w:tcPr>
          <w:p w14:paraId="157D190F">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DDC2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94" w:hRule="atLeast"/>
          <w:jc w:val="center"/>
        </w:trPr>
        <w:tc>
          <w:tcPr>
            <w:tcW w:w="629" w:type="dxa"/>
            <w:vAlign w:val="center"/>
          </w:tcPr>
          <w:p w14:paraId="79043F57">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776" w:type="dxa"/>
            <w:vAlign w:val="center"/>
          </w:tcPr>
          <w:p w14:paraId="3A3FF773">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681" w:type="dxa"/>
            <w:vAlign w:val="center"/>
          </w:tcPr>
          <w:p w14:paraId="06D6E39D">
            <w:pPr>
              <w:keepNext w:val="0"/>
              <w:keepLines w:val="0"/>
              <w:pageBreakBefore w:val="0"/>
              <w:widowControl w:val="0"/>
              <w:kinsoku/>
              <w:wordWrap/>
              <w:overflowPunct/>
              <w:topLinePunct w:val="0"/>
              <w:autoSpaceDE/>
              <w:autoSpaceDN/>
              <w:bidi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服务类。</w:t>
            </w:r>
          </w:p>
        </w:tc>
      </w:tr>
      <w:tr w14:paraId="76C09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66" w:hRule="atLeast"/>
          <w:jc w:val="center"/>
        </w:trPr>
        <w:tc>
          <w:tcPr>
            <w:tcW w:w="629" w:type="dxa"/>
            <w:vAlign w:val="center"/>
          </w:tcPr>
          <w:p w14:paraId="4D81F54D">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776" w:type="dxa"/>
            <w:vAlign w:val="center"/>
          </w:tcPr>
          <w:p w14:paraId="3CC498DA">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681" w:type="dxa"/>
            <w:vAlign w:val="center"/>
          </w:tcPr>
          <w:p w14:paraId="4D3C9CE2">
            <w:pPr>
              <w:keepNext w:val="0"/>
              <w:keepLines w:val="0"/>
              <w:pageBreakBefore w:val="0"/>
              <w:widowControl w:val="0"/>
              <w:kinsoku/>
              <w:wordWrap/>
              <w:overflowPunct/>
              <w:topLinePunct w:val="0"/>
              <w:autoSpaceDE/>
              <w:autoSpaceDN/>
              <w:bidi w:val="0"/>
              <w:snapToGrid w:val="0"/>
              <w:spacing w:line="440" w:lineRule="exact"/>
              <w:textAlignment w:val="auto"/>
              <w:rPr>
                <w:rFonts w:ascii="宋体" w:hAnsi="宋体" w:eastAsia="宋体" w:cs="宋体"/>
                <w:color w:val="auto"/>
                <w:highlight w:val="none"/>
                <w:lang w:val="en-US"/>
              </w:rPr>
            </w:pPr>
            <w:r>
              <w:rPr>
                <w:rFonts w:hint="eastAsia" w:ascii="宋体" w:hAnsi="宋体" w:cs="宋体"/>
                <w:color w:val="auto"/>
                <w:kern w:val="0"/>
                <w:sz w:val="24"/>
                <w:highlight w:val="none"/>
              </w:rPr>
              <w:t>（1）标的：详见“第三部分 采购需求”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软件和信息技术服务业</w:t>
            </w:r>
            <w:r>
              <w:rPr>
                <w:rFonts w:hint="eastAsia" w:ascii="宋体" w:hAnsi="宋体" w:cs="宋体"/>
                <w:color w:val="auto"/>
                <w:kern w:val="0"/>
                <w:sz w:val="24"/>
                <w:highlight w:val="none"/>
              </w:rPr>
              <w:t>行业；</w:t>
            </w:r>
          </w:p>
        </w:tc>
      </w:tr>
      <w:tr w14:paraId="3E2AF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989" w:hRule="atLeast"/>
          <w:jc w:val="center"/>
        </w:trPr>
        <w:tc>
          <w:tcPr>
            <w:tcW w:w="629" w:type="dxa"/>
            <w:vAlign w:val="center"/>
          </w:tcPr>
          <w:p w14:paraId="2A3320D0">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776" w:type="dxa"/>
            <w:vAlign w:val="center"/>
          </w:tcPr>
          <w:p w14:paraId="75D8B4F1">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681" w:type="dxa"/>
            <w:vAlign w:val="center"/>
          </w:tcPr>
          <w:p w14:paraId="6E0D24B0">
            <w:pPr>
              <w:keepNext w:val="0"/>
              <w:keepLines w:val="0"/>
              <w:pageBreakBefore w:val="0"/>
              <w:widowControl w:val="0"/>
              <w:kinsoku/>
              <w:wordWrap/>
              <w:overflowPunct/>
              <w:topLinePunct w:val="0"/>
              <w:autoSpaceDE/>
              <w:autoSpaceDN/>
              <w:bidi w:val="0"/>
              <w:spacing w:line="440" w:lineRule="exact"/>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4746745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65808C7">
            <w:pPr>
              <w:keepNext w:val="0"/>
              <w:keepLines w:val="0"/>
              <w:pageBreakBefore w:val="0"/>
              <w:widowControl w:val="0"/>
              <w:kinsoku/>
              <w:wordWrap/>
              <w:overflowPunct/>
              <w:topLinePunct w:val="0"/>
              <w:autoSpaceDE/>
              <w:autoSpaceDN/>
              <w:bidi w:val="0"/>
              <w:spacing w:line="440" w:lineRule="exact"/>
              <w:textAlignment w:val="auto"/>
              <w:rPr>
                <w:rFonts w:ascii="宋体" w:hAnsi="宋体" w:cs="宋体"/>
                <w:color w:val="auto"/>
                <w:highlight w:val="none"/>
              </w:rPr>
            </w:pPr>
            <w:sdt>
              <w:sdtPr>
                <w:rPr>
                  <w:rFonts w:hint="eastAsia" w:ascii="宋体" w:hAnsi="宋体" w:cs="宋体"/>
                  <w:color w:val="auto"/>
                  <w:kern w:val="0"/>
                  <w:sz w:val="24"/>
                  <w:highlight w:val="none"/>
                </w:rPr>
                <w:id w:val="14747254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05314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1037" w:hRule="atLeast"/>
          <w:jc w:val="center"/>
        </w:trPr>
        <w:tc>
          <w:tcPr>
            <w:tcW w:w="629" w:type="dxa"/>
            <w:vAlign w:val="center"/>
          </w:tcPr>
          <w:p w14:paraId="18866BDF">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776" w:type="dxa"/>
            <w:vAlign w:val="center"/>
          </w:tcPr>
          <w:p w14:paraId="4D58BD52">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分包</w:t>
            </w:r>
          </w:p>
        </w:tc>
        <w:tc>
          <w:tcPr>
            <w:tcW w:w="6681" w:type="dxa"/>
            <w:vAlign w:val="center"/>
          </w:tcPr>
          <w:p w14:paraId="621C431B">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s="宋体"/>
                <w:color w:val="auto"/>
                <w:sz w:val="24"/>
                <w:highlight w:val="none"/>
              </w:rPr>
            </w:pPr>
            <w:sdt>
              <w:sdtPr>
                <w:rPr>
                  <w:rFonts w:hint="eastAsia" w:ascii="宋体" w:hAnsi="宋体" w:cs="宋体"/>
                  <w:color w:val="auto"/>
                  <w:kern w:val="0"/>
                  <w:sz w:val="24"/>
                  <w:highlight w:val="none"/>
                </w:rPr>
                <w:id w:val="14747233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CDN服务</w:t>
            </w:r>
            <w:r>
              <w:rPr>
                <w:rFonts w:hint="eastAsia" w:ascii="宋体" w:hAnsi="宋体" w:cs="宋体"/>
                <w:color w:val="auto"/>
                <w:sz w:val="24"/>
                <w:highlight w:val="none"/>
              </w:rPr>
              <w:t>工作分包。</w:t>
            </w:r>
          </w:p>
          <w:p w14:paraId="1EC8C5CF">
            <w:pPr>
              <w:keepNext w:val="0"/>
              <w:keepLines w:val="0"/>
              <w:pageBreakBefore w:val="0"/>
              <w:widowControl w:val="0"/>
              <w:kinsoku/>
              <w:wordWrap/>
              <w:overflowPunct/>
              <w:topLinePunct w:val="0"/>
              <w:autoSpaceDE/>
              <w:autoSpaceDN/>
              <w:bidi w:val="0"/>
              <w:spacing w:line="440" w:lineRule="exact"/>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4606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3B40414">
            <w:pPr>
              <w:keepNext w:val="0"/>
              <w:keepLines w:val="0"/>
              <w:pageBreakBefore w:val="0"/>
              <w:widowControl w:val="0"/>
              <w:kinsoku/>
              <w:wordWrap/>
              <w:overflowPunct/>
              <w:topLinePunct w:val="0"/>
              <w:autoSpaceDE/>
              <w:autoSpaceDN/>
              <w:bidi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EF5F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963" w:hRule="atLeast"/>
          <w:jc w:val="center"/>
        </w:trPr>
        <w:tc>
          <w:tcPr>
            <w:tcW w:w="629" w:type="dxa"/>
            <w:vAlign w:val="center"/>
          </w:tcPr>
          <w:p w14:paraId="1D622F39">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776" w:type="dxa"/>
            <w:vAlign w:val="center"/>
          </w:tcPr>
          <w:p w14:paraId="40684F73">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681" w:type="dxa"/>
            <w:vAlign w:val="center"/>
          </w:tcPr>
          <w:p w14:paraId="6DC34C87">
            <w:pPr>
              <w:keepNext w:val="0"/>
              <w:keepLines w:val="0"/>
              <w:pageBreakBefore w:val="0"/>
              <w:widowControl w:val="0"/>
              <w:kinsoku/>
              <w:wordWrap/>
              <w:overflowPunct/>
              <w:topLinePunct w:val="0"/>
              <w:autoSpaceDE/>
              <w:autoSpaceDN/>
              <w:bidi w:val="0"/>
              <w:spacing w:line="440" w:lineRule="exact"/>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4836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70B25A8">
            <w:pPr>
              <w:keepNext w:val="0"/>
              <w:keepLines w:val="0"/>
              <w:pageBreakBefore w:val="0"/>
              <w:widowControl w:val="0"/>
              <w:kinsoku/>
              <w:wordWrap/>
              <w:overflowPunct/>
              <w:topLinePunct w:val="0"/>
              <w:autoSpaceDE/>
              <w:autoSpaceDN/>
              <w:bidi w:val="0"/>
              <w:spacing w:line="440" w:lineRule="exact"/>
              <w:textAlignment w:val="auto"/>
              <w:rPr>
                <w:rFonts w:ascii="宋体" w:hAnsi="宋体" w:cs="宋体"/>
                <w:color w:val="auto"/>
                <w:sz w:val="24"/>
                <w:szCs w:val="20"/>
                <w:highlight w:val="none"/>
              </w:rPr>
            </w:pPr>
            <w:sdt>
              <w:sdtPr>
                <w:rPr>
                  <w:rFonts w:hint="eastAsia" w:ascii="宋体" w:hAnsi="宋体" w:cs="宋体"/>
                  <w:color w:val="auto"/>
                  <w:kern w:val="0"/>
                  <w:sz w:val="24"/>
                  <w:highlight w:val="none"/>
                </w:rPr>
                <w:id w:val="14745126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F992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514" w:hRule="atLeast"/>
          <w:jc w:val="center"/>
        </w:trPr>
        <w:tc>
          <w:tcPr>
            <w:tcW w:w="629" w:type="dxa"/>
            <w:vAlign w:val="center"/>
          </w:tcPr>
          <w:p w14:paraId="606EC30B">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776" w:type="dxa"/>
            <w:vAlign w:val="center"/>
          </w:tcPr>
          <w:p w14:paraId="22C877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样品提供</w:t>
            </w:r>
          </w:p>
        </w:tc>
        <w:tc>
          <w:tcPr>
            <w:tcW w:w="6681" w:type="dxa"/>
            <w:vAlign w:val="center"/>
          </w:tcPr>
          <w:p w14:paraId="0246455E">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45420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D65E0A9">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CD72D4E">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4E8D2C0">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72603A9">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2C5BA843">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D19D059">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5B9FDE7">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125DF3A">
            <w:pPr>
              <w:keepNext w:val="0"/>
              <w:keepLines w:val="0"/>
              <w:pageBreakBefore w:val="0"/>
              <w:widowControl w:val="0"/>
              <w:kinsoku/>
              <w:wordWrap/>
              <w:overflowPunct/>
              <w:topLinePunct w:val="0"/>
              <w:autoSpaceDE/>
              <w:autoSpaceDN/>
              <w:bidi w:val="0"/>
              <w:adjustRightInd w:val="0"/>
              <w:spacing w:line="400" w:lineRule="exact"/>
              <w:textAlignment w:val="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A7FC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105" w:hRule="atLeast"/>
          <w:jc w:val="center"/>
        </w:trPr>
        <w:tc>
          <w:tcPr>
            <w:tcW w:w="629" w:type="dxa"/>
            <w:vAlign w:val="center"/>
          </w:tcPr>
          <w:p w14:paraId="1B482C2F">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1776" w:type="dxa"/>
            <w:vAlign w:val="center"/>
          </w:tcPr>
          <w:p w14:paraId="6C31DF10">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681" w:type="dxa"/>
            <w:vAlign w:val="center"/>
          </w:tcPr>
          <w:p w14:paraId="1B2AA03B">
            <w:pPr>
              <w:keepNext w:val="0"/>
              <w:keepLines w:val="0"/>
              <w:pageBreakBefore w:val="0"/>
              <w:widowControl w:val="0"/>
              <w:kinsoku/>
              <w:wordWrap/>
              <w:overflowPunct/>
              <w:topLinePunct w:val="0"/>
              <w:autoSpaceDE/>
              <w:autoSpaceDN/>
              <w:bidi w:val="0"/>
              <w:spacing w:line="440" w:lineRule="exact"/>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4669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66CC49D">
            <w:pPr>
              <w:keepNext w:val="0"/>
              <w:keepLines w:val="0"/>
              <w:pageBreakBefore w:val="0"/>
              <w:widowControl w:val="0"/>
              <w:kinsoku/>
              <w:wordWrap/>
              <w:overflowPunct/>
              <w:topLinePunct w:val="0"/>
              <w:autoSpaceDE/>
              <w:autoSpaceDN/>
              <w:bidi w:val="0"/>
              <w:spacing w:line="440" w:lineRule="exact"/>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14:paraId="2023E3D2">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rPr>
              <w:t>（1）在评标时安排每个投标人进行方案讲解演示。每个投标人时间不超过</w:t>
            </w:r>
            <w:r>
              <w:rPr>
                <w:rFonts w:hint="eastAsia" w:ascii="宋体" w:hAnsi="宋体" w:cs="宋体"/>
                <w:b w:val="0"/>
                <w:bCs w:val="0"/>
                <w:color w:val="auto"/>
                <w:kern w:val="0"/>
                <w:sz w:val="24"/>
                <w:highlight w:val="none"/>
                <w:u w:val="single"/>
                <w:lang w:val="en-US" w:eastAsia="zh-CN"/>
              </w:rPr>
              <w:t>10</w:t>
            </w:r>
            <w:r>
              <w:rPr>
                <w:rFonts w:hint="eastAsia" w:ascii="宋体" w:hAnsi="宋体" w:cs="宋体"/>
                <w:b w:val="0"/>
                <w:bCs w:val="0"/>
                <w:color w:val="auto"/>
                <w:kern w:val="0"/>
                <w:sz w:val="24"/>
                <w:highlight w:val="none"/>
              </w:rPr>
              <w:t>分钟，讲解</w:t>
            </w:r>
            <w:r>
              <w:rPr>
                <w:rFonts w:hint="eastAsia" w:ascii="宋体" w:hAnsi="宋体" w:cs="宋体"/>
                <w:b w:val="0"/>
                <w:bCs w:val="0"/>
                <w:color w:val="auto"/>
                <w:kern w:val="0"/>
                <w:sz w:val="24"/>
                <w:highlight w:val="none"/>
                <w:lang w:val="en-US" w:eastAsia="zh-CN"/>
              </w:rPr>
              <w:t>演示</w:t>
            </w:r>
            <w:r>
              <w:rPr>
                <w:rFonts w:hint="eastAsia" w:ascii="宋体" w:hAnsi="宋体" w:cs="宋体"/>
                <w:b w:val="0"/>
                <w:bCs w:val="0"/>
                <w:color w:val="auto"/>
                <w:kern w:val="0"/>
                <w:sz w:val="24"/>
                <w:highlight w:val="none"/>
              </w:rPr>
              <w:t>次序以投标文件解密时间先后次序为准</w:t>
            </w:r>
            <w:r>
              <w:rPr>
                <w:rFonts w:hint="eastAsia" w:ascii="宋体" w:hAnsi="宋体" w:cs="宋体"/>
                <w:b w:val="0"/>
                <w:bCs w:val="0"/>
                <w:color w:val="auto"/>
                <w:kern w:val="0"/>
                <w:sz w:val="24"/>
                <w:highlight w:val="none"/>
                <w:lang w:val="en-US" w:eastAsia="zh-CN"/>
              </w:rPr>
              <w:t>。</w:t>
            </w:r>
          </w:p>
          <w:p w14:paraId="7C1B19BF">
            <w:pPr>
              <w:keepNext w:val="0"/>
              <w:keepLines w:val="0"/>
              <w:pageBreakBefore w:val="0"/>
              <w:widowControl w:val="0"/>
              <w:kinsoku/>
              <w:wordWrap/>
              <w:overflowPunct/>
              <w:topLinePunct w:val="0"/>
              <w:autoSpaceDE/>
              <w:autoSpaceDN/>
              <w:bidi w:val="0"/>
              <w:snapToGrid w:val="0"/>
              <w:spacing w:line="440" w:lineRule="exact"/>
              <w:textAlignment w:val="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6FA28D0">
            <w:pPr>
              <w:keepNext w:val="0"/>
              <w:keepLines w:val="0"/>
              <w:pageBreakBefore w:val="0"/>
              <w:widowControl w:val="0"/>
              <w:kinsoku/>
              <w:wordWrap/>
              <w:overflowPunct/>
              <w:topLinePunct w:val="0"/>
              <w:autoSpaceDE/>
              <w:autoSpaceDN/>
              <w:bidi w:val="0"/>
              <w:snapToGrid w:val="0"/>
              <w:spacing w:line="440" w:lineRule="exact"/>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4747474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C497C6E">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4745601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BF7A94F">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宋体" w:hAnsi="宋体" w:cs="宋体"/>
                <w:b w:val="0"/>
                <w:bCs w:val="0"/>
                <w:color w:val="auto"/>
                <w:sz w:val="24"/>
                <w:highlight w:val="none"/>
              </w:rPr>
            </w:pPr>
            <w:sdt>
              <w:sdtPr>
                <w:rPr>
                  <w:rFonts w:hint="eastAsia" w:ascii="宋体" w:hAnsi="宋体" w:cs="宋体"/>
                  <w:color w:val="auto"/>
                  <w:kern w:val="0"/>
                  <w:sz w:val="24"/>
                  <w:highlight w:val="none"/>
                </w:rPr>
                <w:id w:val="147466795"/>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b/>
                <w:bCs/>
                <w:color w:val="auto"/>
                <w:sz w:val="24"/>
                <w:highlight w:val="none"/>
                <w:lang w:val="en-US" w:eastAsia="zh-CN"/>
              </w:rPr>
              <w:t>方式三：</w:t>
            </w:r>
            <w:r>
              <w:rPr>
                <w:rFonts w:hint="eastAsia" w:ascii="宋体" w:hAnsi="宋体" w:eastAsia="宋体" w:cs="宋体"/>
                <w:b/>
                <w:bCs/>
                <w:color w:val="auto"/>
                <w:sz w:val="24"/>
                <w:szCs w:val="24"/>
                <w:highlight w:val="none"/>
              </w:rPr>
              <w:t>第四部分评标办法</w:t>
            </w:r>
            <w:r>
              <w:rPr>
                <w:rFonts w:hint="eastAsia" w:ascii="宋体" w:hAnsi="宋体" w:cs="宋体"/>
                <w:b/>
                <w:bCs/>
                <w:color w:val="auto"/>
                <w:sz w:val="24"/>
                <w:szCs w:val="24"/>
                <w:highlight w:val="none"/>
                <w:lang w:val="en-US" w:eastAsia="zh-CN"/>
              </w:rPr>
              <w:t>功能演示评分项采用</w:t>
            </w:r>
            <w:r>
              <w:rPr>
                <w:rFonts w:hint="eastAsia" w:ascii="宋体" w:hAnsi="宋体" w:cs="宋体"/>
                <w:b/>
                <w:bCs/>
                <w:color w:val="auto"/>
                <w:sz w:val="24"/>
                <w:highlight w:val="none"/>
                <w:lang w:val="en-US" w:eastAsia="zh-CN"/>
              </w:rPr>
              <w:t>录制视频方式实施（并配有讲解录音），可采用系统原型或者demo系统，视频格式建议为MP4格式，因格式问题导致演示内容无法正常播放造成的后果由投标人承担，演示视频以U盘为载体，演示视频U盘在提交投标文件截止时间前通过邮寄或现场送达至杭州市文晖路42号现代置业大厦西楼1801室，演示视频U盘签收人员及联系电话：潘佳维 17826815466，演示视频U盘应当密封包装并在包装上标注演示视频U盘、投标项目名称、投标人名称并加盖公章。</w:t>
            </w:r>
          </w:p>
          <w:p w14:paraId="67E91562">
            <w:pPr>
              <w:keepNext w:val="0"/>
              <w:keepLines w:val="0"/>
              <w:pageBreakBefore w:val="0"/>
              <w:widowControl w:val="0"/>
              <w:kinsoku/>
              <w:wordWrap/>
              <w:overflowPunct/>
              <w:topLinePunct w:val="0"/>
              <w:autoSpaceDE/>
              <w:autoSpaceDN/>
              <w:bidi w:val="0"/>
              <w:snapToGrid w:val="0"/>
              <w:spacing w:line="440" w:lineRule="exact"/>
              <w:textAlignment w:val="auto"/>
              <w:rPr>
                <w:rFonts w:ascii="宋体" w:hAnsi="宋体" w:cs="宋体"/>
                <w:b/>
                <w:color w:val="auto"/>
                <w:kern w:val="0"/>
                <w:sz w:val="24"/>
                <w:highlight w:val="none"/>
                <w:lang w:val="zh-CN"/>
              </w:rPr>
            </w:pPr>
            <w:r>
              <w:rPr>
                <w:rFonts w:hint="eastAsia" w:ascii="宋体" w:hAnsi="宋体" w:cs="宋体"/>
                <w:b w:val="0"/>
                <w:bCs w:val="0"/>
                <w:color w:val="auto"/>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2038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61" w:hRule="atLeast"/>
          <w:jc w:val="center"/>
        </w:trPr>
        <w:tc>
          <w:tcPr>
            <w:tcW w:w="629" w:type="dxa"/>
            <w:vMerge w:val="restart"/>
            <w:vAlign w:val="center"/>
          </w:tcPr>
          <w:p w14:paraId="19950407">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1776" w:type="dxa"/>
            <w:vMerge w:val="restart"/>
            <w:vAlign w:val="center"/>
          </w:tcPr>
          <w:p w14:paraId="49EC5AD5">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681" w:type="dxa"/>
            <w:vAlign w:val="center"/>
          </w:tcPr>
          <w:p w14:paraId="68CB592D">
            <w:pPr>
              <w:keepNext w:val="0"/>
              <w:keepLines w:val="0"/>
              <w:pageBreakBefore w:val="0"/>
              <w:widowControl w:val="0"/>
              <w:kinsoku/>
              <w:wordWrap/>
              <w:overflowPunct/>
              <w:topLinePunct w:val="0"/>
              <w:autoSpaceDE/>
              <w:autoSpaceDN/>
              <w:bidi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C45FBA7">
            <w:pPr>
              <w:keepNext w:val="0"/>
              <w:keepLines w:val="0"/>
              <w:pageBreakBefore w:val="0"/>
              <w:widowControl w:val="0"/>
              <w:kinsoku/>
              <w:wordWrap/>
              <w:overflowPunct/>
              <w:topLinePunct w:val="0"/>
              <w:autoSpaceDE/>
              <w:autoSpaceDN/>
              <w:bidi w:val="0"/>
              <w:spacing w:line="440" w:lineRule="exact"/>
              <w:textAlignment w:val="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992F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64" w:hRule="atLeast"/>
          <w:jc w:val="center"/>
        </w:trPr>
        <w:tc>
          <w:tcPr>
            <w:tcW w:w="629" w:type="dxa"/>
            <w:vMerge w:val="continue"/>
          </w:tcPr>
          <w:p w14:paraId="4A0A9229">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auto"/>
                <w:sz w:val="24"/>
                <w:highlight w:val="none"/>
              </w:rPr>
            </w:pPr>
          </w:p>
        </w:tc>
        <w:tc>
          <w:tcPr>
            <w:tcW w:w="1776" w:type="dxa"/>
            <w:vMerge w:val="continue"/>
            <w:vAlign w:val="center"/>
          </w:tcPr>
          <w:p w14:paraId="22A1BFE4">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b/>
                <w:color w:val="auto"/>
                <w:sz w:val="24"/>
                <w:highlight w:val="none"/>
              </w:rPr>
            </w:pPr>
          </w:p>
        </w:tc>
        <w:tc>
          <w:tcPr>
            <w:tcW w:w="6681" w:type="dxa"/>
            <w:vAlign w:val="center"/>
          </w:tcPr>
          <w:p w14:paraId="344E1CFE">
            <w:pPr>
              <w:keepNext w:val="0"/>
              <w:keepLines w:val="0"/>
              <w:pageBreakBefore w:val="0"/>
              <w:widowControl w:val="0"/>
              <w:kinsoku/>
              <w:wordWrap/>
              <w:overflowPunct/>
              <w:topLinePunct w:val="0"/>
              <w:autoSpaceDE/>
              <w:autoSpaceDN/>
              <w:bidi w:val="0"/>
              <w:spacing w:line="440" w:lineRule="exact"/>
              <w:textAlignment w:val="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33E1C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86" w:hRule="atLeast"/>
          <w:jc w:val="center"/>
        </w:trPr>
        <w:tc>
          <w:tcPr>
            <w:tcW w:w="629" w:type="dxa"/>
            <w:vAlign w:val="center"/>
          </w:tcPr>
          <w:p w14:paraId="1893B49B">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1776" w:type="dxa"/>
            <w:vAlign w:val="center"/>
          </w:tcPr>
          <w:p w14:paraId="7429B8B1">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681" w:type="dxa"/>
            <w:vAlign w:val="center"/>
          </w:tcPr>
          <w:p w14:paraId="638427CE">
            <w:pPr>
              <w:keepNext w:val="0"/>
              <w:keepLines w:val="0"/>
              <w:pageBreakBefore w:val="0"/>
              <w:widowControl w:val="0"/>
              <w:kinsoku/>
              <w:wordWrap/>
              <w:overflowPunct/>
              <w:topLinePunct w:val="0"/>
              <w:autoSpaceDE/>
              <w:autoSpaceDN/>
              <w:bidi w:val="0"/>
              <w:snapToGrid w:val="0"/>
              <w:spacing w:line="440" w:lineRule="exact"/>
              <w:textAlignment w:val="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F258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86" w:hRule="atLeast"/>
          <w:jc w:val="center"/>
        </w:trPr>
        <w:tc>
          <w:tcPr>
            <w:tcW w:w="629" w:type="dxa"/>
            <w:vAlign w:val="center"/>
          </w:tcPr>
          <w:p w14:paraId="640F5CFE">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1776" w:type="dxa"/>
            <w:vAlign w:val="center"/>
          </w:tcPr>
          <w:p w14:paraId="163CEA6C">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报价要求</w:t>
            </w:r>
          </w:p>
        </w:tc>
        <w:tc>
          <w:tcPr>
            <w:tcW w:w="6681" w:type="dxa"/>
            <w:vAlign w:val="center"/>
          </w:tcPr>
          <w:p w14:paraId="1B3E80E8">
            <w:pPr>
              <w:keepNext w:val="0"/>
              <w:keepLines w:val="0"/>
              <w:pageBreakBefore w:val="0"/>
              <w:widowControl w:val="0"/>
              <w:kinsoku/>
              <w:wordWrap/>
              <w:overflowPunct/>
              <w:topLinePunct w:val="0"/>
              <w:autoSpaceDE/>
              <w:autoSpaceDN/>
              <w:bidi w:val="0"/>
              <w:snapToGrid w:val="0"/>
              <w:spacing w:line="440" w:lineRule="exact"/>
              <w:jc w:val="left"/>
              <w:textAlignment w:val="auto"/>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7789391">
            <w:pPr>
              <w:keepNext w:val="0"/>
              <w:keepLines w:val="0"/>
              <w:pageBreakBefore w:val="0"/>
              <w:widowControl w:val="0"/>
              <w:kinsoku/>
              <w:wordWrap/>
              <w:overflowPunct/>
              <w:topLinePunct w:val="0"/>
              <w:autoSpaceDE/>
              <w:autoSpaceDN/>
              <w:bidi w:val="0"/>
              <w:snapToGrid w:val="0"/>
              <w:spacing w:line="440" w:lineRule="exact"/>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079F232">
            <w:pPr>
              <w:keepNext w:val="0"/>
              <w:keepLines w:val="0"/>
              <w:pageBreakBefore w:val="0"/>
              <w:widowControl w:val="0"/>
              <w:kinsoku/>
              <w:wordWrap/>
              <w:overflowPunct/>
              <w:topLinePunct w:val="0"/>
              <w:autoSpaceDE/>
              <w:autoSpaceDN/>
              <w:bidi w:val="0"/>
              <w:snapToGrid w:val="0"/>
              <w:spacing w:line="440" w:lineRule="exact"/>
              <w:ind w:firstLine="241" w:firstLineChars="100"/>
              <w:jc w:val="left"/>
              <w:textAlignment w:val="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44288BC">
            <w:pPr>
              <w:keepNext w:val="0"/>
              <w:keepLines w:val="0"/>
              <w:pageBreakBefore w:val="0"/>
              <w:widowControl w:val="0"/>
              <w:kinsoku/>
              <w:wordWrap/>
              <w:overflowPunct/>
              <w:topLinePunct w:val="0"/>
              <w:autoSpaceDE/>
              <w:autoSpaceDN/>
              <w:bidi w:val="0"/>
              <w:snapToGrid w:val="0"/>
              <w:spacing w:line="440" w:lineRule="exact"/>
              <w:ind w:firstLine="241" w:firstLineChars="100"/>
              <w:jc w:val="left"/>
              <w:textAlignment w:val="auto"/>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2ACCC0C">
            <w:pPr>
              <w:keepNext w:val="0"/>
              <w:keepLines w:val="0"/>
              <w:pageBreakBefore w:val="0"/>
              <w:widowControl w:val="0"/>
              <w:kinsoku/>
              <w:wordWrap/>
              <w:overflowPunct/>
              <w:topLinePunct w:val="0"/>
              <w:autoSpaceDE/>
              <w:autoSpaceDN/>
              <w:bidi w:val="0"/>
              <w:spacing w:line="440" w:lineRule="exact"/>
              <w:ind w:firstLine="241" w:firstLineChars="100"/>
              <w:textAlignment w:val="auto"/>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6AC8CDE5">
            <w:pPr>
              <w:keepNext w:val="0"/>
              <w:keepLines w:val="0"/>
              <w:pageBreakBefore w:val="0"/>
              <w:widowControl w:val="0"/>
              <w:kinsoku/>
              <w:wordWrap/>
              <w:overflowPunct/>
              <w:topLinePunct w:val="0"/>
              <w:autoSpaceDE/>
              <w:autoSpaceDN/>
              <w:bidi w:val="0"/>
              <w:spacing w:line="440" w:lineRule="exact"/>
              <w:ind w:firstLine="241" w:firstLineChars="100"/>
              <w:textAlignment w:val="auto"/>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D511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1633" w:hRule="atLeast"/>
          <w:jc w:val="center"/>
        </w:trPr>
        <w:tc>
          <w:tcPr>
            <w:tcW w:w="629" w:type="dxa"/>
            <w:vAlign w:val="center"/>
          </w:tcPr>
          <w:p w14:paraId="023A394E">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776" w:type="dxa"/>
            <w:vAlign w:val="center"/>
          </w:tcPr>
          <w:p w14:paraId="72807476">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681" w:type="dxa"/>
            <w:vAlign w:val="center"/>
          </w:tcPr>
          <w:p w14:paraId="0C301F09">
            <w:pPr>
              <w:keepNext w:val="0"/>
              <w:keepLines w:val="0"/>
              <w:pageBreakBefore w:val="0"/>
              <w:widowControl w:val="0"/>
              <w:kinsoku/>
              <w:wordWrap/>
              <w:overflowPunct/>
              <w:topLinePunct w:val="0"/>
              <w:autoSpaceDE/>
              <w:autoSpaceDN/>
              <w:bidi w:val="0"/>
              <w:spacing w:line="440" w:lineRule="exact"/>
              <w:textAlignment w:val="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27B1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1340" w:hRule="atLeast"/>
          <w:jc w:val="center"/>
        </w:trPr>
        <w:tc>
          <w:tcPr>
            <w:tcW w:w="629" w:type="dxa"/>
            <w:vAlign w:val="center"/>
          </w:tcPr>
          <w:p w14:paraId="70208E4E">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1776" w:type="dxa"/>
            <w:vAlign w:val="center"/>
          </w:tcPr>
          <w:p w14:paraId="11BF72D6">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681" w:type="dxa"/>
            <w:vAlign w:val="center"/>
          </w:tcPr>
          <w:p w14:paraId="573020A1">
            <w:pPr>
              <w:pStyle w:val="32"/>
              <w:keepNext w:val="0"/>
              <w:keepLines w:val="0"/>
              <w:pageBreakBefore w:val="0"/>
              <w:widowControl w:val="0"/>
              <w:kinsoku/>
              <w:wordWrap/>
              <w:overflowPunct/>
              <w:topLinePunct w:val="0"/>
              <w:autoSpaceDE/>
              <w:autoSpaceDN/>
              <w:bidi w:val="0"/>
              <w:spacing w:line="440" w:lineRule="exact"/>
              <w:textAlignment w:val="auto"/>
              <w:rPr>
                <w:rFonts w:hint="eastAsia" w:hAnsi="宋体" w:cs="宋体"/>
                <w:color w:val="auto"/>
                <w:sz w:val="24"/>
                <w:szCs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杭州市文晖路42号现代置业大厦西楼1801室</w:t>
            </w:r>
            <w:r>
              <w:rPr>
                <w:rFonts w:hint="eastAsia" w:hAnsi="宋体" w:cs="宋体"/>
                <w:color w:val="auto"/>
                <w:kern w:val="28"/>
                <w:sz w:val="24"/>
                <w:szCs w:val="24"/>
                <w:highlight w:val="none"/>
              </w:rPr>
              <w:t>；备份投标文件签收人员联系电话：</w:t>
            </w:r>
            <w:r>
              <w:rPr>
                <w:rFonts w:hint="eastAsia" w:asciiTheme="minorEastAsia" w:hAnsiTheme="minorEastAsia" w:eastAsiaTheme="minorEastAsia"/>
                <w:color w:val="auto"/>
                <w:sz w:val="24"/>
                <w:highlight w:val="none"/>
                <w:u w:val="single"/>
                <w:lang w:eastAsia="zh-CN"/>
              </w:rPr>
              <w:t>潘佳维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eastAsia="zh-CN"/>
              </w:rPr>
              <w:t>17826815466</w:t>
            </w:r>
            <w:r>
              <w:rPr>
                <w:rFonts w:hint="eastAsia" w:hAnsi="宋体" w:cs="宋体"/>
                <w:color w:val="auto"/>
                <w:sz w:val="24"/>
                <w:szCs w:val="24"/>
                <w:highlight w:val="none"/>
              </w:rPr>
              <w:t>。</w:t>
            </w:r>
          </w:p>
          <w:p w14:paraId="55127EDE">
            <w:pPr>
              <w:pStyle w:val="32"/>
              <w:keepNext w:val="0"/>
              <w:keepLines w:val="0"/>
              <w:pageBreakBefore w:val="0"/>
              <w:widowControl w:val="0"/>
              <w:kinsoku/>
              <w:wordWrap/>
              <w:overflowPunct/>
              <w:topLinePunct w:val="0"/>
              <w:autoSpaceDE/>
              <w:autoSpaceDN/>
              <w:bidi w:val="0"/>
              <w:spacing w:line="440" w:lineRule="exact"/>
              <w:textAlignment w:val="auto"/>
              <w:rPr>
                <w:rFonts w:hAnsi="宋体" w:cs="宋体"/>
                <w:color w:val="auto"/>
                <w:kern w:val="28"/>
                <w:sz w:val="24"/>
                <w:highlight w:val="none"/>
              </w:rPr>
            </w:pP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2A8E8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935" w:hRule="atLeast"/>
          <w:jc w:val="center"/>
        </w:trPr>
        <w:tc>
          <w:tcPr>
            <w:tcW w:w="629" w:type="dxa"/>
            <w:vMerge w:val="restart"/>
            <w:vAlign w:val="center"/>
          </w:tcPr>
          <w:p w14:paraId="2F84A95A">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13</w:t>
            </w:r>
          </w:p>
        </w:tc>
        <w:tc>
          <w:tcPr>
            <w:tcW w:w="1776" w:type="dxa"/>
            <w:vMerge w:val="restart"/>
            <w:vAlign w:val="center"/>
          </w:tcPr>
          <w:p w14:paraId="29737838">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681" w:type="dxa"/>
            <w:vAlign w:val="center"/>
          </w:tcPr>
          <w:p w14:paraId="78D397D1">
            <w:pPr>
              <w:keepNext w:val="0"/>
              <w:keepLines w:val="0"/>
              <w:pageBreakBefore w:val="0"/>
              <w:widowControl w:val="0"/>
              <w:kinsoku/>
              <w:wordWrap/>
              <w:overflowPunct/>
              <w:topLinePunct w:val="0"/>
              <w:autoSpaceDE/>
              <w:autoSpaceDN/>
              <w:bidi w:val="0"/>
              <w:spacing w:line="440" w:lineRule="exact"/>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7E4C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53" w:hRule="atLeast"/>
          <w:jc w:val="center"/>
        </w:trPr>
        <w:tc>
          <w:tcPr>
            <w:tcW w:w="629" w:type="dxa"/>
            <w:vMerge w:val="continue"/>
            <w:vAlign w:val="center"/>
          </w:tcPr>
          <w:p w14:paraId="79CFE444">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cs="宋体"/>
                <w:color w:val="auto"/>
                <w:sz w:val="24"/>
                <w:highlight w:val="none"/>
              </w:rPr>
            </w:pPr>
          </w:p>
        </w:tc>
        <w:tc>
          <w:tcPr>
            <w:tcW w:w="1776" w:type="dxa"/>
            <w:vMerge w:val="continue"/>
            <w:vAlign w:val="center"/>
          </w:tcPr>
          <w:p w14:paraId="0F5AA66F">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cs="仿宋_GB2312" w:asciiTheme="minorEastAsia" w:hAnsiTheme="minorEastAsia" w:eastAsiaTheme="minorEastAsia"/>
                <w:b/>
                <w:color w:val="auto"/>
                <w:sz w:val="24"/>
                <w:highlight w:val="none"/>
              </w:rPr>
            </w:pPr>
          </w:p>
        </w:tc>
        <w:tc>
          <w:tcPr>
            <w:tcW w:w="6681" w:type="dxa"/>
            <w:vAlign w:val="center"/>
          </w:tcPr>
          <w:p w14:paraId="4AB9E879">
            <w:pPr>
              <w:keepNext w:val="0"/>
              <w:keepLines w:val="0"/>
              <w:pageBreakBefore w:val="0"/>
              <w:widowControl w:val="0"/>
              <w:kinsoku/>
              <w:wordWrap/>
              <w:overflowPunct/>
              <w:topLinePunct w:val="0"/>
              <w:autoSpaceDE/>
              <w:autoSpaceDN/>
              <w:bidi w:val="0"/>
              <w:spacing w:line="440" w:lineRule="exact"/>
              <w:textAlignment w:val="auto"/>
              <w:rPr>
                <w:rFonts w:hint="default" w:ascii="宋体" w:hAnsi="宋体" w:eastAsia="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本项目推荐中标候选人数量为1人。</w:t>
            </w:r>
          </w:p>
        </w:tc>
      </w:tr>
      <w:tr w14:paraId="0A43E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935" w:hRule="atLeast"/>
          <w:jc w:val="center"/>
        </w:trPr>
        <w:tc>
          <w:tcPr>
            <w:tcW w:w="629" w:type="dxa"/>
            <w:vMerge w:val="continue"/>
          </w:tcPr>
          <w:p w14:paraId="5956132F">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auto"/>
                <w:sz w:val="24"/>
                <w:highlight w:val="none"/>
              </w:rPr>
            </w:pPr>
          </w:p>
          <w:p w14:paraId="1A126600">
            <w:pPr>
              <w:pStyle w:val="24"/>
              <w:rPr>
                <w:color w:val="auto"/>
                <w:highlight w:val="none"/>
              </w:rPr>
            </w:pPr>
          </w:p>
        </w:tc>
        <w:tc>
          <w:tcPr>
            <w:tcW w:w="1776" w:type="dxa"/>
            <w:vMerge w:val="continue"/>
            <w:vAlign w:val="center"/>
          </w:tcPr>
          <w:p w14:paraId="6570B311">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b/>
                <w:color w:val="auto"/>
                <w:sz w:val="24"/>
                <w:highlight w:val="none"/>
              </w:rPr>
            </w:pPr>
          </w:p>
        </w:tc>
        <w:tc>
          <w:tcPr>
            <w:tcW w:w="6681" w:type="dxa"/>
            <w:vAlign w:val="center"/>
          </w:tcPr>
          <w:p w14:paraId="0AAA2B85">
            <w:pPr>
              <w:keepNext w:val="0"/>
              <w:keepLines w:val="0"/>
              <w:pageBreakBefore w:val="0"/>
              <w:widowControl w:val="0"/>
              <w:kinsoku/>
              <w:wordWrap/>
              <w:overflowPunct/>
              <w:topLinePunct w:val="0"/>
              <w:autoSpaceDE/>
              <w:autoSpaceDN/>
              <w:bidi w:val="0"/>
              <w:spacing w:line="440" w:lineRule="exact"/>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79669"/>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A9F9B5F">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80240"/>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p w14:paraId="437F02C1">
            <w:pPr>
              <w:pStyle w:val="24"/>
              <w:ind w:left="0" w:leftChars="0" w:firstLine="0" w:firstLineChars="0"/>
              <w:rPr>
                <w:color w:val="auto"/>
                <w:highlight w:val="none"/>
              </w:rPr>
            </w:pPr>
            <w:sdt>
              <w:sdtPr>
                <w:rPr>
                  <w:rFonts w:hint="eastAsia" w:cs="Arial" w:asciiTheme="minorEastAsia" w:hAnsiTheme="minorEastAsia" w:eastAsiaTheme="minorEastAsia"/>
                  <w:color w:val="auto"/>
                  <w:kern w:val="0"/>
                  <w:sz w:val="24"/>
                  <w:highlight w:val="none"/>
                </w:rPr>
                <w:id w:val="147456888"/>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w:t>
            </w:r>
            <w:r>
              <w:rPr>
                <w:rFonts w:hint="eastAsia" w:ascii="宋体" w:hAnsi="宋体" w:cs="宋体"/>
                <w:snapToGrid w:val="0"/>
                <w:color w:val="auto"/>
                <w:kern w:val="28"/>
                <w:sz w:val="24"/>
                <w:highlight w:val="none"/>
                <w:lang w:val="en-US" w:eastAsia="zh-CN"/>
              </w:rPr>
              <w:t>各方均需提供《</w:t>
            </w:r>
            <w:r>
              <w:rPr>
                <w:rFonts w:hint="eastAsia" w:ascii="宋体" w:hAnsi="宋体" w:cs="宋体"/>
                <w:color w:val="auto"/>
                <w:sz w:val="24"/>
                <w:highlight w:val="none"/>
              </w:rPr>
              <w:t>符合参加政府采购活动应当具备的一般条件的承诺函</w:t>
            </w:r>
            <w:r>
              <w:rPr>
                <w:rFonts w:hint="eastAsia" w:ascii="宋体" w:hAnsi="宋体" w:cs="宋体"/>
                <w:color w:val="auto"/>
                <w:sz w:val="24"/>
                <w:highlight w:val="none"/>
                <w:lang w:eastAsia="zh-CN"/>
              </w:rPr>
              <w:t>》</w:t>
            </w:r>
            <w:r>
              <w:rPr>
                <w:rFonts w:hint="eastAsia" w:ascii="宋体" w:hAnsi="宋体" w:cs="宋体"/>
                <w:snapToGrid w:val="0"/>
                <w:color w:val="auto"/>
                <w:kern w:val="28"/>
                <w:sz w:val="24"/>
                <w:highlight w:val="none"/>
              </w:rPr>
              <w:t>。</w:t>
            </w:r>
          </w:p>
        </w:tc>
      </w:tr>
      <w:tr w14:paraId="44ED3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935" w:hRule="atLeast"/>
          <w:jc w:val="center"/>
        </w:trPr>
        <w:tc>
          <w:tcPr>
            <w:tcW w:w="629" w:type="dxa"/>
          </w:tcPr>
          <w:p w14:paraId="349CDAC4">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color w:val="auto"/>
                <w:sz w:val="24"/>
                <w:highlight w:val="none"/>
              </w:rPr>
            </w:pPr>
          </w:p>
        </w:tc>
        <w:tc>
          <w:tcPr>
            <w:tcW w:w="1776" w:type="dxa"/>
            <w:vAlign w:val="center"/>
          </w:tcPr>
          <w:p w14:paraId="4BD913B0">
            <w:pPr>
              <w:keepNext w:val="0"/>
              <w:keepLines w:val="0"/>
              <w:pageBreakBefore w:val="0"/>
              <w:widowControl w:val="0"/>
              <w:kinsoku/>
              <w:wordWrap/>
              <w:overflowPunct/>
              <w:topLinePunct w:val="0"/>
              <w:autoSpaceDE/>
              <w:autoSpaceDN/>
              <w:bidi w:val="0"/>
              <w:snapToGrid w:val="0"/>
              <w:spacing w:line="440" w:lineRule="exact"/>
              <w:jc w:val="center"/>
              <w:textAlignment w:val="auto"/>
              <w:rPr>
                <w:rFonts w:ascii="宋体" w:hAnsi="宋体" w:cs="宋体"/>
                <w:b/>
                <w:color w:val="auto"/>
                <w:sz w:val="24"/>
                <w:highlight w:val="none"/>
              </w:rPr>
            </w:pPr>
          </w:p>
        </w:tc>
        <w:tc>
          <w:tcPr>
            <w:tcW w:w="6681" w:type="dxa"/>
            <w:vAlign w:val="center"/>
          </w:tcPr>
          <w:p w14:paraId="264CF7E7">
            <w:pPr>
              <w:pStyle w:val="781"/>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val="0"/>
                <w:color w:val="auto"/>
                <w:sz w:val="24"/>
                <w:szCs w:val="21"/>
                <w:highlight w:val="none"/>
                <w:shd w:val="clear" w:color="auto" w:fill="auto"/>
                <w:lang w:val="en-US" w:eastAsia="zh-CN"/>
              </w:rPr>
              <w:t>收取</w:t>
            </w:r>
            <w:r>
              <w:rPr>
                <w:rFonts w:hint="eastAsia" w:ascii="宋体" w:hAnsi="宋体" w:eastAsia="宋体" w:cs="宋体"/>
                <w:b/>
                <w:bCs w:val="0"/>
                <w:color w:val="auto"/>
                <w:sz w:val="24"/>
                <w:szCs w:val="21"/>
                <w:highlight w:val="none"/>
                <w:shd w:val="clear" w:color="auto" w:fill="auto"/>
              </w:rPr>
              <w:t>标准：</w:t>
            </w:r>
            <w:r>
              <w:rPr>
                <w:rFonts w:hint="eastAsia" w:ascii="宋体" w:hAnsi="宋体" w:eastAsia="宋体" w:cs="宋体"/>
                <w:color w:val="auto"/>
                <w:sz w:val="24"/>
                <w:szCs w:val="21"/>
                <w:highlight w:val="none"/>
                <w:lang w:val="zh-TW" w:eastAsia="zh-TW"/>
              </w:rPr>
              <w:t>以中标金额为计费基准，按《计价格［2002］1980号》及《发改办价格［2003］857号》规定的收费标准计取</w:t>
            </w:r>
            <w:r>
              <w:rPr>
                <w:rFonts w:hint="eastAsia" w:ascii="宋体" w:hAnsi="宋体" w:eastAsia="宋体" w:cs="宋体"/>
                <w:color w:val="auto"/>
                <w:sz w:val="24"/>
                <w:szCs w:val="21"/>
                <w:highlight w:val="none"/>
                <w:shd w:val="clear" w:color="auto" w:fill="auto"/>
                <w:lang w:val="zh-TW" w:eastAsia="zh-TW"/>
              </w:rPr>
              <w:t>，不足人民币</w:t>
            </w:r>
            <w:r>
              <w:rPr>
                <w:rFonts w:hint="eastAsia" w:ascii="宋体" w:hAnsi="宋体" w:eastAsia="宋体" w:cs="宋体"/>
                <w:color w:val="auto"/>
                <w:sz w:val="24"/>
                <w:szCs w:val="21"/>
                <w:highlight w:val="none"/>
                <w:shd w:val="clear" w:color="auto" w:fill="auto"/>
                <w:lang w:eastAsia="zh-TW"/>
              </w:rPr>
              <w:t>陆</w:t>
            </w:r>
            <w:r>
              <w:rPr>
                <w:rFonts w:hint="eastAsia" w:ascii="宋体" w:hAnsi="宋体" w:eastAsia="宋体" w:cs="宋体"/>
                <w:color w:val="auto"/>
                <w:sz w:val="24"/>
                <w:szCs w:val="21"/>
                <w:highlight w:val="none"/>
                <w:shd w:val="clear" w:color="auto" w:fill="auto"/>
                <w:lang w:val="zh-TW" w:eastAsia="zh-TW"/>
              </w:rPr>
              <w:t>仟元按</w:t>
            </w:r>
            <w:r>
              <w:rPr>
                <w:rFonts w:hint="eastAsia" w:ascii="宋体" w:hAnsi="宋体" w:eastAsia="宋体" w:cs="宋体"/>
                <w:color w:val="auto"/>
                <w:sz w:val="24"/>
                <w:szCs w:val="21"/>
                <w:highlight w:val="none"/>
                <w:shd w:val="clear" w:color="auto" w:fill="auto"/>
                <w:lang w:eastAsia="zh-TW"/>
              </w:rPr>
              <w:t>陆</w:t>
            </w:r>
            <w:r>
              <w:rPr>
                <w:rFonts w:hint="eastAsia" w:ascii="宋体" w:hAnsi="宋体" w:eastAsia="宋体" w:cs="宋体"/>
                <w:color w:val="auto"/>
                <w:sz w:val="24"/>
                <w:szCs w:val="21"/>
                <w:highlight w:val="none"/>
                <w:shd w:val="clear" w:color="auto" w:fill="auto"/>
                <w:lang w:val="zh-TW" w:eastAsia="zh-TW"/>
              </w:rPr>
              <w:t>仟元计取。</w:t>
            </w:r>
            <w:r>
              <w:rPr>
                <w:rFonts w:hint="eastAsia" w:ascii="宋体" w:hAnsi="宋体" w:eastAsia="宋体" w:cs="宋体"/>
                <w:color w:val="auto"/>
                <w:sz w:val="24"/>
                <w:szCs w:val="21"/>
                <w:highlight w:val="none"/>
              </w:rPr>
              <w:t>即：</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2525"/>
            </w:tblGrid>
            <w:tr w14:paraId="15E6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2" w:type="dxa"/>
                  <w:noWrap w:val="0"/>
                  <w:vAlign w:val="top"/>
                </w:tcPr>
                <w:p w14:paraId="73BFF28D">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1"/>
                      <w:szCs w:val="21"/>
                      <w:highlight w:val="none"/>
                      <w:lang w:val="zh-TW" w:eastAsia="zh-TW"/>
                    </w:rPr>
                  </w:pPr>
                  <w:r>
                    <w:rPr>
                      <w:rFonts w:hint="eastAsia" w:ascii="宋体" w:hAnsi="宋体" w:eastAsia="宋体" w:cs="宋体"/>
                      <w:snapToGrid w:val="0"/>
                      <w:color w:val="auto"/>
                      <w:kern w:val="0"/>
                      <w:sz w:val="24"/>
                      <w:szCs w:val="21"/>
                      <w:highlight w:val="none"/>
                    </w:rPr>
                    <w:t>中标金额</w:t>
                  </w:r>
                </w:p>
              </w:tc>
              <w:tc>
                <w:tcPr>
                  <w:tcW w:w="2525" w:type="dxa"/>
                  <w:noWrap w:val="0"/>
                  <w:vAlign w:val="top"/>
                </w:tcPr>
                <w:p w14:paraId="7093D5B3">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1"/>
                      <w:szCs w:val="21"/>
                      <w:highlight w:val="none"/>
                      <w:lang w:val="zh-TW" w:eastAsia="zh-TW"/>
                    </w:rPr>
                  </w:pPr>
                  <w:r>
                    <w:rPr>
                      <w:rFonts w:hint="eastAsia" w:ascii="宋体" w:hAnsi="宋体" w:eastAsia="宋体" w:cs="宋体"/>
                      <w:snapToGrid w:val="0"/>
                      <w:color w:val="auto"/>
                      <w:kern w:val="0"/>
                      <w:sz w:val="24"/>
                      <w:szCs w:val="21"/>
                      <w:highlight w:val="none"/>
                    </w:rPr>
                    <w:t>服务类收费费率</w:t>
                  </w:r>
                </w:p>
              </w:tc>
            </w:tr>
            <w:tr w14:paraId="43BA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2" w:type="dxa"/>
                  <w:noWrap w:val="0"/>
                  <w:vAlign w:val="top"/>
                </w:tcPr>
                <w:p w14:paraId="1F4ACF70">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1"/>
                      <w:szCs w:val="21"/>
                      <w:highlight w:val="none"/>
                      <w:lang w:val="zh-TW" w:eastAsia="zh-TW"/>
                    </w:rPr>
                  </w:pPr>
                  <w:r>
                    <w:rPr>
                      <w:rFonts w:hint="eastAsia" w:ascii="宋体" w:hAnsi="宋体" w:eastAsia="宋体" w:cs="宋体"/>
                      <w:snapToGrid w:val="0"/>
                      <w:color w:val="auto"/>
                      <w:kern w:val="0"/>
                      <w:sz w:val="24"/>
                      <w:szCs w:val="21"/>
                      <w:highlight w:val="none"/>
                    </w:rPr>
                    <w:t>≤100万元（部分）</w:t>
                  </w:r>
                </w:p>
              </w:tc>
              <w:tc>
                <w:tcPr>
                  <w:tcW w:w="2525" w:type="dxa"/>
                  <w:noWrap w:val="0"/>
                  <w:vAlign w:val="top"/>
                </w:tcPr>
                <w:p w14:paraId="385F7C95">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1"/>
                      <w:szCs w:val="21"/>
                      <w:highlight w:val="none"/>
                      <w:lang w:val="zh-TW" w:eastAsia="zh-TW"/>
                    </w:rPr>
                  </w:pPr>
                  <w:r>
                    <w:rPr>
                      <w:rFonts w:hint="eastAsia" w:ascii="宋体" w:hAnsi="宋体" w:eastAsia="宋体" w:cs="宋体"/>
                      <w:snapToGrid w:val="0"/>
                      <w:color w:val="auto"/>
                      <w:kern w:val="0"/>
                      <w:sz w:val="24"/>
                      <w:szCs w:val="21"/>
                      <w:highlight w:val="none"/>
                    </w:rPr>
                    <w:t>1.5%</w:t>
                  </w:r>
                </w:p>
              </w:tc>
            </w:tr>
            <w:tr w14:paraId="4145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2" w:type="dxa"/>
                  <w:noWrap w:val="0"/>
                  <w:vAlign w:val="top"/>
                </w:tcPr>
                <w:p w14:paraId="7C81DD18">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1"/>
                      <w:szCs w:val="21"/>
                      <w:highlight w:val="none"/>
                      <w:lang w:val="zh-TW" w:eastAsia="zh-TW"/>
                    </w:rPr>
                  </w:pPr>
                  <w:r>
                    <w:rPr>
                      <w:rFonts w:hint="eastAsia" w:ascii="宋体" w:hAnsi="宋体" w:eastAsia="宋体" w:cs="宋体"/>
                      <w:snapToGrid w:val="0"/>
                      <w:color w:val="auto"/>
                      <w:kern w:val="0"/>
                      <w:sz w:val="24"/>
                      <w:szCs w:val="21"/>
                      <w:highlight w:val="none"/>
                    </w:rPr>
                    <w:t>100万元-500万元（部分）</w:t>
                  </w:r>
                </w:p>
              </w:tc>
              <w:tc>
                <w:tcPr>
                  <w:tcW w:w="2525" w:type="dxa"/>
                  <w:noWrap w:val="0"/>
                  <w:vAlign w:val="top"/>
                </w:tcPr>
                <w:p w14:paraId="2B507C9F">
                  <w:pPr>
                    <w:keepNext w:val="0"/>
                    <w:keepLines w:val="0"/>
                    <w:pageBreakBefore w:val="0"/>
                    <w:widowControl w:val="0"/>
                    <w:kinsoku/>
                    <w:wordWrap/>
                    <w:overflowPunct/>
                    <w:topLinePunct w:val="0"/>
                    <w:autoSpaceDE/>
                    <w:autoSpaceDN/>
                    <w:bidi w:val="0"/>
                    <w:spacing w:line="460" w:lineRule="exact"/>
                    <w:jc w:val="center"/>
                    <w:textAlignment w:val="auto"/>
                    <w:rPr>
                      <w:rFonts w:hint="eastAsia" w:ascii="宋体" w:hAnsi="宋体" w:eastAsia="宋体" w:cs="宋体"/>
                      <w:color w:val="auto"/>
                      <w:sz w:val="21"/>
                      <w:szCs w:val="21"/>
                      <w:highlight w:val="none"/>
                      <w:lang w:val="zh-TW" w:eastAsia="zh-TW"/>
                    </w:rPr>
                  </w:pPr>
                  <w:r>
                    <w:rPr>
                      <w:rFonts w:hint="eastAsia" w:ascii="宋体" w:hAnsi="宋体" w:eastAsia="宋体" w:cs="宋体"/>
                      <w:snapToGrid w:val="0"/>
                      <w:color w:val="auto"/>
                      <w:kern w:val="0"/>
                      <w:sz w:val="24"/>
                      <w:szCs w:val="21"/>
                      <w:highlight w:val="none"/>
                    </w:rPr>
                    <w:t>0.8%</w:t>
                  </w:r>
                </w:p>
              </w:tc>
            </w:tr>
          </w:tbl>
          <w:p w14:paraId="18B13638">
            <w:pPr>
              <w:pStyle w:val="781"/>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Cs/>
                <w:color w:val="auto"/>
                <w:sz w:val="24"/>
                <w:szCs w:val="21"/>
                <w:highlight w:val="none"/>
                <w:lang w:val="en-US" w:eastAsia="zh-CN"/>
              </w:rPr>
            </w:pPr>
            <w:r>
              <w:rPr>
                <w:rFonts w:hint="eastAsia" w:ascii="宋体" w:hAnsi="宋体" w:eastAsia="宋体" w:cs="宋体"/>
                <w:b/>
                <w:bCs w:val="0"/>
                <w:color w:val="auto"/>
                <w:sz w:val="24"/>
                <w:szCs w:val="21"/>
                <w:highlight w:val="none"/>
                <w:shd w:val="clear" w:color="auto" w:fill="auto"/>
                <w:lang w:val="en-US" w:eastAsia="zh-CN"/>
              </w:rPr>
              <w:t>收取方式：</w:t>
            </w:r>
            <w:r>
              <w:rPr>
                <w:rFonts w:hint="eastAsia" w:ascii="宋体" w:hAnsi="宋体" w:eastAsia="宋体" w:cs="宋体"/>
                <w:bCs/>
                <w:color w:val="auto"/>
                <w:sz w:val="24"/>
                <w:szCs w:val="21"/>
                <w:highlight w:val="none"/>
                <w:shd w:val="clear" w:color="auto" w:fill="auto"/>
              </w:rPr>
              <w:t>本项目的代理费由中标人支付</w:t>
            </w:r>
            <w:r>
              <w:rPr>
                <w:rFonts w:hint="eastAsia" w:ascii="宋体" w:hAnsi="宋体" w:eastAsia="宋体" w:cs="宋体"/>
                <w:bCs/>
                <w:color w:val="auto"/>
                <w:sz w:val="24"/>
                <w:szCs w:val="21"/>
                <w:highlight w:val="none"/>
                <w:shd w:val="clear" w:color="auto" w:fill="auto"/>
                <w:lang w:eastAsia="zh-CN"/>
              </w:rPr>
              <w:t>。</w:t>
            </w:r>
            <w:r>
              <w:rPr>
                <w:rFonts w:hint="eastAsia" w:ascii="宋体" w:hAnsi="宋体" w:eastAsia="宋体" w:cs="宋体"/>
                <w:bCs/>
                <w:color w:val="auto"/>
                <w:sz w:val="24"/>
                <w:szCs w:val="21"/>
                <w:highlight w:val="none"/>
              </w:rPr>
              <w:t>在</w:t>
            </w:r>
            <w:r>
              <w:rPr>
                <w:rFonts w:hint="eastAsia" w:ascii="宋体" w:hAnsi="宋体" w:eastAsia="宋体" w:cs="宋体"/>
                <w:bCs/>
                <w:color w:val="auto"/>
                <w:sz w:val="24"/>
                <w:szCs w:val="21"/>
                <w:highlight w:val="none"/>
                <w:lang w:val="en-US" w:eastAsia="zh-CN"/>
              </w:rPr>
              <w:t>中标结果公告发出后15个工作日内</w:t>
            </w:r>
            <w:r>
              <w:rPr>
                <w:rFonts w:hint="eastAsia" w:ascii="宋体" w:hAnsi="宋体" w:eastAsia="宋体" w:cs="宋体"/>
                <w:bCs/>
                <w:color w:val="auto"/>
                <w:sz w:val="24"/>
                <w:szCs w:val="21"/>
                <w:highlight w:val="none"/>
              </w:rPr>
              <w:t>由中标人一次性向采购代理机构付清。</w:t>
            </w:r>
            <w:r>
              <w:rPr>
                <w:rFonts w:hint="eastAsia" w:ascii="宋体" w:hAnsi="宋体" w:eastAsia="宋体" w:cs="宋体"/>
                <w:bCs/>
                <w:color w:val="auto"/>
                <w:sz w:val="24"/>
                <w:szCs w:val="21"/>
                <w:highlight w:val="none"/>
                <w:lang w:val="en-US" w:eastAsia="zh-CN"/>
              </w:rPr>
              <w:t>账户信息如下：</w:t>
            </w:r>
          </w:p>
          <w:p w14:paraId="0A0A4E53">
            <w:pPr>
              <w:pStyle w:val="781"/>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color w:val="auto"/>
                <w:sz w:val="24"/>
                <w:szCs w:val="21"/>
                <w:highlight w:val="none"/>
                <w:lang w:eastAsia="zh-CN"/>
              </w:rPr>
            </w:pPr>
            <w:r>
              <w:rPr>
                <w:rFonts w:hint="eastAsia" w:ascii="宋体" w:hAnsi="宋体" w:eastAsia="宋体" w:cs="宋体"/>
                <w:b/>
                <w:bCs w:val="0"/>
                <w:color w:val="auto"/>
                <w:sz w:val="24"/>
                <w:szCs w:val="21"/>
                <w:highlight w:val="none"/>
              </w:rPr>
              <w:t>账户名称：</w:t>
            </w:r>
            <w:r>
              <w:rPr>
                <w:rFonts w:hint="eastAsia" w:ascii="宋体" w:hAnsi="宋体" w:eastAsia="宋体" w:cs="宋体"/>
                <w:b w:val="0"/>
                <w:bCs/>
                <w:color w:val="auto"/>
                <w:sz w:val="24"/>
                <w:szCs w:val="21"/>
                <w:highlight w:val="none"/>
              </w:rPr>
              <w:t>浙江省成套招标代理有限公司</w:t>
            </w:r>
            <w:r>
              <w:rPr>
                <w:rFonts w:hint="eastAsia" w:ascii="宋体" w:hAnsi="宋体" w:cs="宋体"/>
                <w:b w:val="0"/>
                <w:bCs/>
                <w:color w:val="auto"/>
                <w:sz w:val="24"/>
                <w:szCs w:val="21"/>
                <w:highlight w:val="none"/>
                <w:lang w:val="en-US" w:eastAsia="zh-CN"/>
              </w:rPr>
              <w:t xml:space="preserve"> </w:t>
            </w:r>
          </w:p>
          <w:p w14:paraId="0103E6C3">
            <w:pPr>
              <w:pStyle w:val="781"/>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val="0"/>
                <w:color w:val="auto"/>
                <w:sz w:val="24"/>
                <w:szCs w:val="21"/>
                <w:highlight w:val="none"/>
                <w:lang w:eastAsia="zh-CN"/>
              </w:rPr>
            </w:pPr>
            <w:r>
              <w:rPr>
                <w:rFonts w:hint="eastAsia" w:ascii="宋体" w:hAnsi="宋体" w:eastAsia="宋体" w:cs="宋体"/>
                <w:b/>
                <w:bCs w:val="0"/>
                <w:color w:val="auto"/>
                <w:sz w:val="24"/>
                <w:szCs w:val="21"/>
                <w:highlight w:val="none"/>
              </w:rPr>
              <w:t>开户银行：</w:t>
            </w:r>
            <w:r>
              <w:rPr>
                <w:rFonts w:hint="eastAsia" w:ascii="宋体" w:hAnsi="宋体" w:eastAsia="宋体" w:cs="宋体"/>
                <w:b w:val="0"/>
                <w:bCs/>
                <w:color w:val="auto"/>
                <w:sz w:val="24"/>
                <w:szCs w:val="21"/>
                <w:highlight w:val="none"/>
              </w:rPr>
              <w:t>中信银行杭州西湖支行</w:t>
            </w:r>
            <w:r>
              <w:rPr>
                <w:rFonts w:hint="eastAsia" w:ascii="宋体" w:hAnsi="宋体" w:cs="宋体"/>
                <w:b w:val="0"/>
                <w:bCs/>
                <w:color w:val="auto"/>
                <w:sz w:val="24"/>
                <w:szCs w:val="21"/>
                <w:highlight w:val="none"/>
                <w:lang w:val="en-US" w:eastAsia="zh-CN"/>
              </w:rPr>
              <w:t xml:space="preserve"> </w:t>
            </w:r>
          </w:p>
          <w:p w14:paraId="54CFD2EF">
            <w:pPr>
              <w:keepNext w:val="0"/>
              <w:keepLines w:val="0"/>
              <w:pageBreakBefore w:val="0"/>
              <w:widowControl w:val="0"/>
              <w:kinsoku/>
              <w:wordWrap/>
              <w:overflowPunct/>
              <w:topLinePunct w:val="0"/>
              <w:autoSpaceDE/>
              <w:autoSpaceDN/>
              <w:bidi w:val="0"/>
              <w:spacing w:line="440" w:lineRule="exact"/>
              <w:textAlignment w:val="auto"/>
              <w:rPr>
                <w:rFonts w:hint="eastAsia" w:cs="Arial" w:asciiTheme="minorEastAsia" w:hAnsiTheme="minorEastAsia" w:eastAsiaTheme="minorEastAsia"/>
                <w:color w:val="auto"/>
                <w:kern w:val="0"/>
                <w:sz w:val="24"/>
                <w:highlight w:val="none"/>
              </w:rPr>
            </w:pPr>
            <w:r>
              <w:rPr>
                <w:rFonts w:hint="eastAsia" w:ascii="宋体" w:hAnsi="宋体" w:eastAsia="宋体" w:cs="宋体"/>
                <w:b/>
                <w:bCs w:val="0"/>
                <w:color w:val="auto"/>
                <w:sz w:val="24"/>
                <w:szCs w:val="21"/>
                <w:highlight w:val="none"/>
              </w:rPr>
              <w:t>银行账号：</w:t>
            </w:r>
            <w:r>
              <w:rPr>
                <w:rFonts w:hint="eastAsia" w:ascii="宋体" w:hAnsi="宋体" w:eastAsia="宋体" w:cs="宋体"/>
                <w:b w:val="0"/>
                <w:bCs/>
                <w:color w:val="auto"/>
                <w:sz w:val="24"/>
                <w:szCs w:val="21"/>
                <w:highlight w:val="none"/>
              </w:rPr>
              <w:t>7331610182600126385</w:t>
            </w:r>
          </w:p>
        </w:tc>
      </w:tr>
    </w:tbl>
    <w:p w14:paraId="197EAD10">
      <w:pPr>
        <w:pStyle w:val="24"/>
        <w:rPr>
          <w:rFonts w:hint="eastAsia"/>
          <w:color w:val="auto"/>
          <w:highlight w:val="none"/>
        </w:rPr>
        <w:sectPr>
          <w:pgSz w:w="11905" w:h="16838"/>
          <w:pgMar w:top="1417" w:right="1417" w:bottom="1417" w:left="1417" w:header="851" w:footer="850" w:gutter="0"/>
          <w:cols w:space="0" w:num="1"/>
          <w:rtlGutter w:val="0"/>
          <w:docGrid w:linePitch="312" w:charSpace="0"/>
        </w:sectPr>
      </w:pPr>
    </w:p>
    <w:bookmarkEnd w:id="7"/>
    <w:bookmarkEnd w:id="22"/>
    <w:p w14:paraId="2D8CE92A">
      <w:pPr>
        <w:numPr>
          <w:ilvl w:val="0"/>
          <w:numId w:val="0"/>
        </w:numPr>
        <w:adjustRightInd/>
        <w:spacing w:line="360" w:lineRule="auto"/>
        <w:jc w:val="center"/>
        <w:outlineLvl w:val="2"/>
        <w:rPr>
          <w:rFonts w:hint="eastAsia" w:ascii="宋体" w:hAnsi="宋体" w:cs="宋体"/>
          <w:b/>
          <w:color w:val="auto"/>
          <w:sz w:val="32"/>
          <w:szCs w:val="18"/>
          <w:highlight w:val="none"/>
        </w:rPr>
      </w:pPr>
      <w:bookmarkStart w:id="23" w:name="_Toc5557"/>
      <w:bookmarkStart w:id="24" w:name="_Toc164416483"/>
      <w:r>
        <w:rPr>
          <w:rFonts w:hint="eastAsia" w:ascii="宋体" w:hAnsi="宋体" w:cs="宋体"/>
          <w:b/>
          <w:color w:val="auto"/>
          <w:sz w:val="32"/>
          <w:szCs w:val="18"/>
          <w:highlight w:val="none"/>
        </w:rPr>
        <w:t>一、总则</w:t>
      </w:r>
      <w:bookmarkEnd w:id="23"/>
    </w:p>
    <w:p w14:paraId="044DA32D">
      <w:pPr>
        <w:pageBreakBefore w:val="0"/>
        <w:kinsoku/>
        <w:wordWrap/>
        <w:overflowPunct/>
        <w:topLinePunct w:val="0"/>
        <w:bidi w:val="0"/>
        <w:snapToGrid w:val="0"/>
        <w:spacing w:beforeAutospacing="0" w:line="360" w:lineRule="auto"/>
        <w:jc w:val="left"/>
        <w:textAlignment w:val="auto"/>
        <w:rPr>
          <w:rFonts w:ascii="宋体" w:hAnsi="宋体" w:cs="宋体"/>
          <w:b/>
          <w:color w:val="auto"/>
          <w:sz w:val="24"/>
          <w:highlight w:val="none"/>
        </w:rPr>
      </w:pPr>
      <w:bookmarkStart w:id="25" w:name="_Toc12998"/>
      <w:r>
        <w:rPr>
          <w:rFonts w:hint="eastAsia" w:ascii="宋体" w:hAnsi="宋体" w:cs="宋体"/>
          <w:b/>
          <w:color w:val="auto"/>
          <w:sz w:val="24"/>
          <w:highlight w:val="none"/>
        </w:rPr>
        <w:t>1. 适用范围</w:t>
      </w:r>
      <w:bookmarkEnd w:id="25"/>
    </w:p>
    <w:p w14:paraId="5EACCB18">
      <w:pPr>
        <w:pageBreakBefore w:val="0"/>
        <w:kinsoku/>
        <w:wordWrap/>
        <w:overflowPunct/>
        <w:topLinePunct w:val="0"/>
        <w:bidi w:val="0"/>
        <w:snapToGrid w:val="0"/>
        <w:spacing w:beforeAutospacing="0" w:line="360" w:lineRule="auto"/>
        <w:ind w:firstLine="480" w:firstLineChars="200"/>
        <w:jc w:val="left"/>
        <w:textAlignment w:val="auto"/>
        <w:rPr>
          <w:rFonts w:hint="eastAsia" w:ascii="宋体" w:hAnsi="宋体" w:cs="宋体"/>
          <w:b/>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793998E">
      <w:pPr>
        <w:pageBreakBefore w:val="0"/>
        <w:kinsoku/>
        <w:wordWrap/>
        <w:overflowPunct/>
        <w:topLinePunct w:val="0"/>
        <w:bidi w:val="0"/>
        <w:snapToGrid w:val="0"/>
        <w:spacing w:beforeAutospacing="0" w:line="360" w:lineRule="auto"/>
        <w:jc w:val="left"/>
        <w:textAlignment w:val="auto"/>
        <w:rPr>
          <w:rFonts w:ascii="宋体" w:hAnsi="宋体" w:cs="宋体"/>
          <w:b/>
          <w:color w:val="auto"/>
          <w:sz w:val="24"/>
          <w:highlight w:val="none"/>
        </w:rPr>
      </w:pPr>
      <w:bookmarkStart w:id="26" w:name="_Toc5012"/>
      <w:r>
        <w:rPr>
          <w:rFonts w:hint="eastAsia" w:ascii="宋体" w:hAnsi="宋体" w:cs="宋体"/>
          <w:b/>
          <w:color w:val="auto"/>
          <w:sz w:val="24"/>
          <w:highlight w:val="none"/>
        </w:rPr>
        <w:t>2.定义</w:t>
      </w:r>
      <w:bookmarkEnd w:id="26"/>
    </w:p>
    <w:p w14:paraId="3363CA2C">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355F25B">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4DFFE21">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7AAC0A8">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113BE91">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C3FB8FA">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7EE67447">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B3ACEFE">
      <w:pPr>
        <w:pageBreakBefore w:val="0"/>
        <w:kinsoku/>
        <w:wordWrap/>
        <w:overflowPunct/>
        <w:topLinePunct w:val="0"/>
        <w:bidi w:val="0"/>
        <w:snapToGrid w:val="0"/>
        <w:spacing w:beforeAutospacing="0" w:line="360" w:lineRule="auto"/>
        <w:jc w:val="left"/>
        <w:textAlignment w:val="auto"/>
        <w:rPr>
          <w:rFonts w:ascii="宋体" w:hAnsi="宋体" w:cs="宋体"/>
          <w:b/>
          <w:color w:val="auto"/>
          <w:sz w:val="24"/>
          <w:highlight w:val="none"/>
        </w:rPr>
      </w:pPr>
      <w:bookmarkStart w:id="27" w:name="_Toc20759"/>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bookmarkEnd w:id="27"/>
    </w:p>
    <w:p w14:paraId="72C60587">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3ADE4CB">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 支持绿色发展</w:t>
      </w:r>
    </w:p>
    <w:p w14:paraId="2592CBEB">
      <w:pPr>
        <w:pageBreakBefore w:val="0"/>
        <w:kinsoku/>
        <w:wordWrap/>
        <w:overflowPunct/>
        <w:topLinePunct w:val="0"/>
        <w:bidi w:val="0"/>
        <w:spacing w:beforeAutospacing="0"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53A3A84">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5186EAD5">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09B0E4C">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9CE5B5D">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3.3支持中小企业发展</w:t>
      </w:r>
    </w:p>
    <w:p w14:paraId="19BC9FA3">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BE9EBEE">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D4E0AB4">
      <w:pPr>
        <w:pageBreakBefore w:val="0"/>
        <w:widowControl/>
        <w:kinsoku/>
        <w:wordWrap/>
        <w:overflowPunct/>
        <w:topLinePunct w:val="0"/>
        <w:bidi w:val="0"/>
        <w:spacing w:beforeAutospacing="0" w:line="360" w:lineRule="auto"/>
        <w:ind w:firstLine="480" w:firstLineChars="200"/>
        <w:jc w:val="left"/>
        <w:textAlignment w:val="auto"/>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22F41FC">
      <w:pPr>
        <w:pageBreakBefore w:val="0"/>
        <w:widowControl/>
        <w:kinsoku/>
        <w:wordWrap/>
        <w:overflowPunct/>
        <w:topLinePunct w:val="0"/>
        <w:bidi w:val="0"/>
        <w:spacing w:beforeAutospacing="0"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2723F80">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F363079">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DE8BF42">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A61617E">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C0EBD62">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D334408">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A7DDACC">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31463DD">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7FC5A77B">
      <w:pPr>
        <w:pageBreakBefore w:val="0"/>
        <w:kinsoku/>
        <w:wordWrap/>
        <w:overflowPunct/>
        <w:topLinePunct w:val="0"/>
        <w:bidi w:val="0"/>
        <w:spacing w:beforeAutospacing="0" w:line="360" w:lineRule="auto"/>
        <w:textAlignment w:val="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F2D5C6E">
      <w:pPr>
        <w:pageBreakBefore w:val="0"/>
        <w:kinsoku/>
        <w:wordWrap/>
        <w:overflowPunct/>
        <w:topLinePunct w:val="0"/>
        <w:bidi w:val="0"/>
        <w:snapToGrid w:val="0"/>
        <w:spacing w:beforeAutospacing="0" w:line="360" w:lineRule="auto"/>
        <w:ind w:firstLine="480" w:firstLineChars="200"/>
        <w:jc w:val="left"/>
        <w:textAlignment w:val="auto"/>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514EED49">
      <w:pPr>
        <w:pageBreakBefore w:val="0"/>
        <w:kinsoku/>
        <w:wordWrap/>
        <w:overflowPunct/>
        <w:topLinePunct w:val="0"/>
        <w:autoSpaceDE w:val="0"/>
        <w:autoSpaceDN w:val="0"/>
        <w:bidi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1935C2">
      <w:pPr>
        <w:pageBreakBefore w:val="0"/>
        <w:kinsoku/>
        <w:wordWrap/>
        <w:overflowPunct/>
        <w:topLinePunct w:val="0"/>
        <w:autoSpaceDE w:val="0"/>
        <w:autoSpaceDN w:val="0"/>
        <w:bidi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095843C">
      <w:pPr>
        <w:pageBreakBefore w:val="0"/>
        <w:kinsoku/>
        <w:wordWrap/>
        <w:overflowPunct/>
        <w:topLinePunct w:val="0"/>
        <w:autoSpaceDE w:val="0"/>
        <w:autoSpaceDN w:val="0"/>
        <w:bidi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465F131">
      <w:pPr>
        <w:pageBreakBefore w:val="0"/>
        <w:kinsoku/>
        <w:wordWrap/>
        <w:overflowPunct/>
        <w:topLinePunct w:val="0"/>
        <w:autoSpaceDE w:val="0"/>
        <w:autoSpaceDN w:val="0"/>
        <w:bidi w:val="0"/>
        <w:spacing w:beforeAutospacing="0"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5D68589">
      <w:pPr>
        <w:pStyle w:val="32"/>
        <w:pageBreakBefore w:val="0"/>
        <w:kinsoku/>
        <w:wordWrap/>
        <w:overflowPunct/>
        <w:topLinePunct w:val="0"/>
        <w:bidi w:val="0"/>
        <w:spacing w:beforeAutospacing="0"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C2401B6">
      <w:pPr>
        <w:pStyle w:val="32"/>
        <w:pageBreakBefore w:val="0"/>
        <w:kinsoku/>
        <w:wordWrap/>
        <w:overflowPunct/>
        <w:topLinePunct w:val="0"/>
        <w:bidi w:val="0"/>
        <w:spacing w:beforeAutospacing="0"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3DA87994">
      <w:pPr>
        <w:pStyle w:val="15"/>
        <w:pageBreakBefore w:val="0"/>
        <w:kinsoku/>
        <w:wordWrap/>
        <w:overflowPunct/>
        <w:topLinePunct w:val="0"/>
        <w:bidi w:val="0"/>
        <w:spacing w:beforeAutospacing="0" w:line="360" w:lineRule="auto"/>
        <w:ind w:firstLine="480" w:firstLineChars="200"/>
        <w:textAlignment w:val="auto"/>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12AE5D4">
      <w:pPr>
        <w:pStyle w:val="32"/>
        <w:pageBreakBefore w:val="0"/>
        <w:kinsoku/>
        <w:wordWrap/>
        <w:overflowPunct/>
        <w:topLinePunct w:val="0"/>
        <w:bidi w:val="0"/>
        <w:spacing w:beforeAutospacing="0" w:line="360" w:lineRule="auto"/>
        <w:ind w:left="479" w:leftChars="228"/>
        <w:textAlignment w:val="auto"/>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AA8B2C8">
      <w:pPr>
        <w:pStyle w:val="32"/>
        <w:pageBreakBefore w:val="0"/>
        <w:kinsoku/>
        <w:wordWrap/>
        <w:overflowPunct/>
        <w:topLinePunct w:val="0"/>
        <w:bidi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01D50E9">
      <w:pPr>
        <w:pStyle w:val="32"/>
        <w:pageBreakBefore w:val="0"/>
        <w:kinsoku/>
        <w:wordWrap/>
        <w:overflowPunct/>
        <w:topLinePunct w:val="0"/>
        <w:bidi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73F4B186">
      <w:pPr>
        <w:pStyle w:val="32"/>
        <w:pageBreakBefore w:val="0"/>
        <w:kinsoku/>
        <w:wordWrap/>
        <w:overflowPunct/>
        <w:topLinePunct w:val="0"/>
        <w:bidi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632A95E4">
      <w:pPr>
        <w:pStyle w:val="32"/>
        <w:pageBreakBefore w:val="0"/>
        <w:kinsoku/>
        <w:wordWrap/>
        <w:overflowPunct/>
        <w:topLinePunct w:val="0"/>
        <w:bidi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405DA27F">
      <w:pPr>
        <w:pStyle w:val="32"/>
        <w:pageBreakBefore w:val="0"/>
        <w:kinsoku/>
        <w:wordWrap/>
        <w:overflowPunct/>
        <w:topLinePunct w:val="0"/>
        <w:bidi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2B0C2E18">
      <w:pPr>
        <w:pStyle w:val="32"/>
        <w:pageBreakBefore w:val="0"/>
        <w:kinsoku/>
        <w:wordWrap/>
        <w:overflowPunct/>
        <w:topLinePunct w:val="0"/>
        <w:bidi w:val="0"/>
        <w:spacing w:beforeAutospacing="0" w:line="360" w:lineRule="auto"/>
        <w:ind w:firstLine="240" w:firstLineChars="1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9F50E80">
      <w:pPr>
        <w:pStyle w:val="32"/>
        <w:pageBreakBefore w:val="0"/>
        <w:kinsoku/>
        <w:wordWrap/>
        <w:overflowPunct/>
        <w:topLinePunct w:val="0"/>
        <w:bidi w:val="0"/>
        <w:spacing w:beforeAutospacing="0"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7489008">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B826546">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质疑函范本及制作说明详见附件2。</w:t>
      </w:r>
    </w:p>
    <w:p w14:paraId="48783F94">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4.3.4对同一采购程序环节的质疑，供应商须在法定质疑期内一次性提出。</w:t>
      </w:r>
    </w:p>
    <w:p w14:paraId="7D68997A">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E98B945">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DF9A603">
      <w:pPr>
        <w:pStyle w:val="886"/>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color w:val="auto"/>
          <w:highlight w:val="none"/>
          <w:lang w:val="zh-CN"/>
        </w:rPr>
      </w:pPr>
      <w:r>
        <w:rPr>
          <w:rFonts w:hint="eastAsia"/>
          <w:color w:val="auto"/>
          <w:highlight w:val="none"/>
          <w:lang w:val="zh-CN"/>
        </w:rPr>
        <w:t>4.4供应商投诉</w:t>
      </w:r>
    </w:p>
    <w:p w14:paraId="5B466D1D">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202D0C05">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76E2457">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4.4.3供应商投诉应当有明确的请求和必要的证明材料。</w:t>
      </w:r>
    </w:p>
    <w:p w14:paraId="6B7F747F">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4.4.4以联合体形式参加政府采购活动的，其投诉应当由组成联合体的所有供应商共同提出。</w:t>
      </w:r>
    </w:p>
    <w:p w14:paraId="1872692B">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783632D0">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color w:val="auto"/>
          <w:highlight w:val="none"/>
        </w:rPr>
      </w:pPr>
      <w:r>
        <w:rPr>
          <w:rFonts w:hint="eastAsia"/>
          <w:color w:val="auto"/>
          <w:highlight w:val="none"/>
        </w:rPr>
        <w:t>投诉书范本及制作说明详见附件3。</w:t>
      </w:r>
    </w:p>
    <w:p w14:paraId="55C9ADB6">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cs="宋体"/>
          <w:b/>
          <w:color w:val="auto"/>
          <w:sz w:val="32"/>
          <w:szCs w:val="18"/>
          <w:highlight w:val="none"/>
        </w:rPr>
      </w:pPr>
    </w:p>
    <w:p w14:paraId="34AFD6E4">
      <w:pPr>
        <w:numPr>
          <w:ilvl w:val="0"/>
          <w:numId w:val="0"/>
        </w:numPr>
        <w:adjustRightInd/>
        <w:spacing w:line="360" w:lineRule="auto"/>
        <w:jc w:val="center"/>
        <w:outlineLvl w:val="2"/>
        <w:rPr>
          <w:rFonts w:hint="eastAsia" w:ascii="宋体" w:hAnsi="宋体" w:cs="宋体"/>
          <w:b/>
          <w:color w:val="auto"/>
          <w:sz w:val="32"/>
          <w:szCs w:val="18"/>
          <w:highlight w:val="none"/>
        </w:rPr>
      </w:pPr>
      <w:bookmarkStart w:id="28" w:name="_Toc8440"/>
      <w:r>
        <w:rPr>
          <w:rFonts w:hint="eastAsia" w:ascii="宋体" w:hAnsi="宋体" w:cs="宋体"/>
          <w:b/>
          <w:color w:val="auto"/>
          <w:sz w:val="32"/>
          <w:szCs w:val="18"/>
          <w:highlight w:val="none"/>
        </w:rPr>
        <w:t>二、招标文件的构成、澄清、修改</w:t>
      </w:r>
      <w:bookmarkEnd w:id="28"/>
    </w:p>
    <w:p w14:paraId="5763D519">
      <w:pPr>
        <w:pageBreakBefore w:val="0"/>
        <w:kinsoku/>
        <w:wordWrap/>
        <w:overflowPunct/>
        <w:topLinePunct w:val="0"/>
        <w:bidi w:val="0"/>
        <w:snapToGrid w:val="0"/>
        <w:spacing w:beforeAutospacing="0" w:line="360" w:lineRule="auto"/>
        <w:jc w:val="left"/>
        <w:textAlignment w:val="auto"/>
        <w:rPr>
          <w:rFonts w:hint="eastAsia" w:ascii="宋体" w:hAnsi="宋体" w:eastAsia="宋体" w:cs="宋体"/>
          <w:b/>
          <w:color w:val="auto"/>
          <w:sz w:val="24"/>
          <w:szCs w:val="24"/>
          <w:highlight w:val="none"/>
        </w:rPr>
      </w:pPr>
      <w:bookmarkStart w:id="29" w:name="_Toc24453"/>
      <w:r>
        <w:rPr>
          <w:rFonts w:hint="eastAsia" w:ascii="宋体" w:hAnsi="宋体" w:eastAsia="宋体" w:cs="宋体"/>
          <w:b/>
          <w:color w:val="auto"/>
          <w:sz w:val="24"/>
          <w:szCs w:val="24"/>
          <w:highlight w:val="none"/>
        </w:rPr>
        <w:t>5．招标文件的构成</w:t>
      </w:r>
      <w:bookmarkEnd w:id="29"/>
    </w:p>
    <w:p w14:paraId="352EAE0F">
      <w:pPr>
        <w:pStyle w:val="32"/>
        <w:pageBreakBefore w:val="0"/>
        <w:kinsoku/>
        <w:wordWrap/>
        <w:overflowPunct/>
        <w:topLinePunct w:val="0"/>
        <w:bidi w:val="0"/>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FB254F6">
      <w:pPr>
        <w:pStyle w:val="32"/>
        <w:pageBreakBefore w:val="0"/>
        <w:tabs>
          <w:tab w:val="left" w:pos="840"/>
        </w:tabs>
        <w:kinsoku/>
        <w:wordWrap/>
        <w:overflowPunct/>
        <w:topLinePunct w:val="0"/>
        <w:bidi w:val="0"/>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5.1.1招标公告；</w:t>
      </w:r>
    </w:p>
    <w:p w14:paraId="3BD7D50F">
      <w:pPr>
        <w:pStyle w:val="32"/>
        <w:pageBreakBefore w:val="0"/>
        <w:tabs>
          <w:tab w:val="left" w:pos="840"/>
        </w:tabs>
        <w:kinsoku/>
        <w:wordWrap/>
        <w:overflowPunct/>
        <w:topLinePunct w:val="0"/>
        <w:bidi w:val="0"/>
        <w:spacing w:beforeAutospacing="0" w:line="360" w:lineRule="auto"/>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4BC59DD6">
      <w:pPr>
        <w:pStyle w:val="32"/>
        <w:pageBreakBefore w:val="0"/>
        <w:tabs>
          <w:tab w:val="left" w:pos="840"/>
        </w:tabs>
        <w:kinsoku/>
        <w:wordWrap/>
        <w:overflowPunct/>
        <w:topLinePunct w:val="0"/>
        <w:bidi w:val="0"/>
        <w:spacing w:beforeAutospacing="0" w:line="360" w:lineRule="auto"/>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5.1.3采购需求；</w:t>
      </w:r>
    </w:p>
    <w:p w14:paraId="2DF5A2F2">
      <w:pPr>
        <w:pStyle w:val="32"/>
        <w:pageBreakBefore w:val="0"/>
        <w:tabs>
          <w:tab w:val="left" w:pos="840"/>
        </w:tabs>
        <w:kinsoku/>
        <w:wordWrap/>
        <w:overflowPunct/>
        <w:topLinePunct w:val="0"/>
        <w:bidi w:val="0"/>
        <w:spacing w:beforeAutospacing="0" w:line="360" w:lineRule="auto"/>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5.1.4评标办法；</w:t>
      </w:r>
    </w:p>
    <w:p w14:paraId="2B7C050C">
      <w:pPr>
        <w:pStyle w:val="32"/>
        <w:pageBreakBefore w:val="0"/>
        <w:tabs>
          <w:tab w:val="left" w:pos="840"/>
        </w:tabs>
        <w:kinsoku/>
        <w:wordWrap/>
        <w:overflowPunct/>
        <w:topLinePunct w:val="0"/>
        <w:bidi w:val="0"/>
        <w:spacing w:beforeAutospacing="0" w:line="360" w:lineRule="auto"/>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3F9A7C98">
      <w:pPr>
        <w:pStyle w:val="32"/>
        <w:pageBreakBefore w:val="0"/>
        <w:tabs>
          <w:tab w:val="left" w:pos="840"/>
        </w:tabs>
        <w:kinsoku/>
        <w:wordWrap/>
        <w:overflowPunct/>
        <w:topLinePunct w:val="0"/>
        <w:bidi w:val="0"/>
        <w:spacing w:beforeAutospacing="0" w:line="360" w:lineRule="auto"/>
        <w:ind w:firstLine="480" w:firstLineChars="200"/>
        <w:textAlignment w:val="auto"/>
        <w:rPr>
          <w:rFonts w:hint="eastAsia" w:hAnsi="宋体" w:cs="宋体"/>
          <w:color w:val="auto"/>
          <w:sz w:val="24"/>
          <w:szCs w:val="24"/>
          <w:highlight w:val="none"/>
        </w:rPr>
      </w:pPr>
      <w:r>
        <w:rPr>
          <w:rFonts w:hint="eastAsia" w:hAnsi="宋体" w:cs="宋体"/>
          <w:color w:val="auto"/>
          <w:sz w:val="24"/>
          <w:szCs w:val="24"/>
          <w:highlight w:val="none"/>
        </w:rPr>
        <w:t>5.1.6应提交的有关格式范例。</w:t>
      </w:r>
    </w:p>
    <w:p w14:paraId="59E48319">
      <w:pPr>
        <w:pageBreakBefore w:val="0"/>
        <w:kinsoku/>
        <w:wordWrap/>
        <w:overflowPunct/>
        <w:topLinePunct w:val="0"/>
        <w:bidi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08CBDB2">
      <w:pPr>
        <w:pageBreakBefore w:val="0"/>
        <w:kinsoku/>
        <w:wordWrap/>
        <w:overflowPunct/>
        <w:topLinePunct w:val="0"/>
        <w:bidi w:val="0"/>
        <w:snapToGrid w:val="0"/>
        <w:spacing w:beforeAutospacing="0" w:line="360" w:lineRule="auto"/>
        <w:jc w:val="left"/>
        <w:textAlignment w:val="auto"/>
        <w:rPr>
          <w:rFonts w:hint="eastAsia" w:ascii="宋体" w:hAnsi="宋体" w:eastAsia="宋体" w:cs="宋体"/>
          <w:b/>
          <w:color w:val="auto"/>
          <w:sz w:val="24"/>
          <w:szCs w:val="24"/>
          <w:highlight w:val="none"/>
        </w:rPr>
      </w:pPr>
      <w:bookmarkStart w:id="30" w:name="_Toc770"/>
      <w:r>
        <w:rPr>
          <w:rFonts w:hint="eastAsia" w:ascii="宋体" w:hAnsi="宋体" w:eastAsia="宋体" w:cs="宋体"/>
          <w:b/>
          <w:color w:val="auto"/>
          <w:sz w:val="24"/>
          <w:szCs w:val="24"/>
          <w:highlight w:val="none"/>
        </w:rPr>
        <w:t>6. 招标文件的澄清、修改</w:t>
      </w:r>
      <w:bookmarkEnd w:id="30"/>
    </w:p>
    <w:p w14:paraId="3171A072">
      <w:pPr>
        <w:pStyle w:val="129"/>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D36262B">
      <w:pPr>
        <w:pStyle w:val="129"/>
        <w:pageBreakBefore w:val="0"/>
        <w:kinsoku/>
        <w:wordWrap/>
        <w:overflowPunct/>
        <w:topLinePunct w:val="0"/>
        <w:bidi w:val="0"/>
        <w:snapToGrid w:val="0"/>
        <w:spacing w:before="0" w:beforeAutospacing="0" w:line="360" w:lineRule="auto"/>
        <w:ind w:firstLine="480"/>
        <w:textAlignment w:val="auto"/>
        <w:rPr>
          <w:rFonts w:hint="eastAsia"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90E50E4">
      <w:pPr>
        <w:pStyle w:val="129"/>
        <w:pageBreakBefore w:val="0"/>
        <w:kinsoku/>
        <w:wordWrap/>
        <w:overflowPunct/>
        <w:topLinePunct w:val="0"/>
        <w:bidi w:val="0"/>
        <w:snapToGrid w:val="0"/>
        <w:spacing w:before="0" w:beforeAutospacing="0" w:line="360" w:lineRule="auto"/>
        <w:ind w:firstLine="480"/>
        <w:textAlignment w:val="auto"/>
        <w:rPr>
          <w:rFonts w:hint="eastAsia" w:ascii="宋体" w:hAnsi="宋体" w:cs="宋体"/>
          <w:color w:val="auto"/>
          <w:highlight w:val="none"/>
          <w:lang w:val="en-US"/>
        </w:rPr>
      </w:pPr>
    </w:p>
    <w:p w14:paraId="759C77DC">
      <w:pPr>
        <w:numPr>
          <w:ilvl w:val="0"/>
          <w:numId w:val="0"/>
        </w:numPr>
        <w:adjustRightInd/>
        <w:spacing w:line="360" w:lineRule="auto"/>
        <w:jc w:val="center"/>
        <w:outlineLvl w:val="2"/>
        <w:rPr>
          <w:rFonts w:hint="eastAsia" w:ascii="宋体" w:hAnsi="宋体" w:cs="宋体"/>
          <w:b/>
          <w:color w:val="auto"/>
          <w:sz w:val="32"/>
          <w:szCs w:val="20"/>
          <w:highlight w:val="none"/>
        </w:rPr>
      </w:pPr>
      <w:bookmarkStart w:id="31" w:name="_Toc32272"/>
      <w:r>
        <w:rPr>
          <w:rFonts w:hint="eastAsia" w:ascii="宋体" w:hAnsi="宋体" w:cs="宋体"/>
          <w:b/>
          <w:color w:val="auto"/>
          <w:sz w:val="32"/>
          <w:szCs w:val="20"/>
          <w:highlight w:val="none"/>
        </w:rPr>
        <w:t>三、投标</w:t>
      </w:r>
      <w:bookmarkEnd w:id="31"/>
    </w:p>
    <w:p w14:paraId="6C4B898F">
      <w:pPr>
        <w:pageBreakBefore w:val="0"/>
        <w:kinsoku/>
        <w:wordWrap/>
        <w:overflowPunct/>
        <w:topLinePunct w:val="0"/>
        <w:bidi w:val="0"/>
        <w:snapToGrid w:val="0"/>
        <w:spacing w:beforeAutospacing="0" w:line="360" w:lineRule="auto"/>
        <w:jc w:val="left"/>
        <w:textAlignment w:val="auto"/>
        <w:rPr>
          <w:rFonts w:hint="eastAsia" w:ascii="宋体" w:hAnsi="宋体" w:eastAsia="宋体" w:cs="宋体"/>
          <w:b/>
          <w:color w:val="auto"/>
          <w:sz w:val="24"/>
          <w:szCs w:val="24"/>
          <w:highlight w:val="none"/>
        </w:rPr>
      </w:pPr>
      <w:bookmarkStart w:id="32" w:name="_Toc5001"/>
      <w:r>
        <w:rPr>
          <w:rFonts w:hint="eastAsia" w:ascii="宋体" w:hAnsi="宋体" w:eastAsia="宋体" w:cs="宋体"/>
          <w:b/>
          <w:color w:val="auto"/>
          <w:sz w:val="24"/>
          <w:szCs w:val="24"/>
          <w:highlight w:val="none"/>
        </w:rPr>
        <w:t>7. 招标文件的获取</w:t>
      </w:r>
      <w:bookmarkEnd w:id="32"/>
    </w:p>
    <w:p w14:paraId="3DEBB324">
      <w:pPr>
        <w:pageBreakBefore w:val="0"/>
        <w:kinsoku/>
        <w:wordWrap/>
        <w:overflowPunct/>
        <w:topLinePunct w:val="0"/>
        <w:bidi w:val="0"/>
        <w:spacing w:beforeAutospacing="0" w:line="360" w:lineRule="auto"/>
        <w:ind w:firstLine="480" w:firstLineChars="200"/>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BBAC88C">
      <w:pPr>
        <w:pageBreakBefore w:val="0"/>
        <w:kinsoku/>
        <w:wordWrap/>
        <w:overflowPunct/>
        <w:topLinePunct w:val="0"/>
        <w:bidi w:val="0"/>
        <w:snapToGrid w:val="0"/>
        <w:spacing w:beforeAutospacing="0" w:line="360" w:lineRule="auto"/>
        <w:jc w:val="left"/>
        <w:textAlignment w:val="auto"/>
        <w:rPr>
          <w:rFonts w:hint="eastAsia" w:ascii="宋体" w:hAnsi="宋体" w:eastAsia="宋体" w:cs="宋体"/>
          <w:b/>
          <w:color w:val="auto"/>
          <w:sz w:val="24"/>
          <w:szCs w:val="24"/>
          <w:highlight w:val="none"/>
        </w:rPr>
      </w:pPr>
      <w:bookmarkStart w:id="33" w:name="_Toc22946"/>
      <w:r>
        <w:rPr>
          <w:rFonts w:hint="eastAsia" w:ascii="宋体" w:hAnsi="宋体" w:eastAsia="宋体" w:cs="宋体"/>
          <w:b/>
          <w:color w:val="auto"/>
          <w:sz w:val="24"/>
          <w:szCs w:val="24"/>
          <w:highlight w:val="none"/>
        </w:rPr>
        <w:t>8.开标前答疑会或现场考察</w:t>
      </w:r>
      <w:bookmarkEnd w:id="33"/>
    </w:p>
    <w:p w14:paraId="52054C04">
      <w:pPr>
        <w:pStyle w:val="32"/>
        <w:pageBreakBefore w:val="0"/>
        <w:kinsoku/>
        <w:wordWrap/>
        <w:overflowPunct/>
        <w:topLinePunct w:val="0"/>
        <w:bidi w:val="0"/>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A0B4EE6">
      <w:pPr>
        <w:pageBreakBefore w:val="0"/>
        <w:kinsoku/>
        <w:wordWrap/>
        <w:overflowPunct/>
        <w:topLinePunct w:val="0"/>
        <w:bidi w:val="0"/>
        <w:snapToGrid w:val="0"/>
        <w:spacing w:beforeAutospacing="0" w:line="360" w:lineRule="auto"/>
        <w:jc w:val="left"/>
        <w:textAlignment w:val="auto"/>
        <w:rPr>
          <w:rFonts w:hint="eastAsia" w:ascii="宋体" w:hAnsi="宋体" w:eastAsia="宋体" w:cs="宋体"/>
          <w:b/>
          <w:color w:val="auto"/>
          <w:sz w:val="24"/>
          <w:szCs w:val="24"/>
          <w:highlight w:val="none"/>
        </w:rPr>
      </w:pPr>
      <w:bookmarkStart w:id="34" w:name="_Toc25722"/>
      <w:r>
        <w:rPr>
          <w:rFonts w:hint="eastAsia" w:ascii="宋体" w:hAnsi="宋体" w:eastAsia="宋体" w:cs="宋体"/>
          <w:b/>
          <w:color w:val="auto"/>
          <w:sz w:val="24"/>
          <w:szCs w:val="24"/>
          <w:highlight w:val="none"/>
        </w:rPr>
        <w:t>9.投标保证金</w:t>
      </w:r>
      <w:bookmarkEnd w:id="34"/>
    </w:p>
    <w:p w14:paraId="6D29B536">
      <w:pPr>
        <w:pStyle w:val="15"/>
        <w:pageBreakBefore w:val="0"/>
        <w:kinsoku/>
        <w:wordWrap/>
        <w:overflowPunct/>
        <w:topLinePunct w:val="0"/>
        <w:bidi w:val="0"/>
        <w:spacing w:beforeAutospacing="0" w:line="360" w:lineRule="auto"/>
        <w:ind w:firstLine="470" w:firstLineChars="196"/>
        <w:textAlignment w:val="auto"/>
        <w:rPr>
          <w:rFonts w:hAnsi="宋体" w:cs="宋体"/>
          <w:color w:val="auto"/>
          <w:sz w:val="24"/>
          <w:highlight w:val="none"/>
        </w:rPr>
      </w:pPr>
      <w:r>
        <w:rPr>
          <w:rFonts w:hint="eastAsia" w:hAnsi="宋体" w:cs="宋体"/>
          <w:color w:val="auto"/>
          <w:sz w:val="24"/>
          <w:highlight w:val="none"/>
        </w:rPr>
        <w:t>本项目不需缴纳投标保证金。</w:t>
      </w:r>
    </w:p>
    <w:p w14:paraId="543AB44E">
      <w:pPr>
        <w:pageBreakBefore w:val="0"/>
        <w:kinsoku/>
        <w:wordWrap/>
        <w:overflowPunct/>
        <w:topLinePunct w:val="0"/>
        <w:bidi w:val="0"/>
        <w:snapToGrid w:val="0"/>
        <w:spacing w:beforeAutospacing="0" w:line="360" w:lineRule="auto"/>
        <w:jc w:val="left"/>
        <w:textAlignment w:val="auto"/>
        <w:rPr>
          <w:rFonts w:hint="eastAsia" w:ascii="宋体" w:hAnsi="宋体" w:eastAsia="宋体" w:cs="宋体"/>
          <w:b/>
          <w:color w:val="auto"/>
          <w:sz w:val="24"/>
          <w:szCs w:val="24"/>
          <w:highlight w:val="none"/>
        </w:rPr>
      </w:pPr>
      <w:bookmarkStart w:id="35" w:name="_Toc6779"/>
      <w:r>
        <w:rPr>
          <w:rFonts w:hint="eastAsia" w:ascii="宋体" w:hAnsi="宋体" w:eastAsia="宋体" w:cs="宋体"/>
          <w:b/>
          <w:color w:val="auto"/>
          <w:sz w:val="24"/>
          <w:szCs w:val="24"/>
          <w:highlight w:val="none"/>
        </w:rPr>
        <w:t>10. 投标文件的语言</w:t>
      </w:r>
      <w:bookmarkEnd w:id="35"/>
    </w:p>
    <w:p w14:paraId="12ECFA10">
      <w:pPr>
        <w:pageBreakBefore w:val="0"/>
        <w:kinsoku/>
        <w:wordWrap/>
        <w:overflowPunct/>
        <w:topLinePunct w:val="0"/>
        <w:autoSpaceDE w:val="0"/>
        <w:autoSpaceDN w:val="0"/>
        <w:bidi w:val="0"/>
        <w:spacing w:beforeAutospacing="0"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CF34B14">
      <w:pPr>
        <w:pageBreakBefore w:val="0"/>
        <w:kinsoku/>
        <w:wordWrap/>
        <w:overflowPunct/>
        <w:topLinePunct w:val="0"/>
        <w:bidi w:val="0"/>
        <w:snapToGrid w:val="0"/>
        <w:spacing w:beforeAutospacing="0" w:line="360" w:lineRule="auto"/>
        <w:jc w:val="left"/>
        <w:textAlignment w:val="auto"/>
        <w:rPr>
          <w:rFonts w:hint="eastAsia" w:ascii="宋体" w:hAnsi="宋体" w:eastAsia="宋体" w:cs="宋体"/>
          <w:b/>
          <w:color w:val="auto"/>
          <w:sz w:val="24"/>
          <w:szCs w:val="24"/>
          <w:highlight w:val="none"/>
        </w:rPr>
      </w:pPr>
      <w:bookmarkStart w:id="36" w:name="_Toc27408"/>
      <w:r>
        <w:rPr>
          <w:rFonts w:hint="eastAsia" w:ascii="宋体" w:hAnsi="宋体" w:eastAsia="宋体" w:cs="宋体"/>
          <w:b/>
          <w:color w:val="auto"/>
          <w:sz w:val="24"/>
          <w:szCs w:val="24"/>
          <w:highlight w:val="none"/>
        </w:rPr>
        <w:t>11. 投标文件的组成</w:t>
      </w:r>
      <w:bookmarkEnd w:id="36"/>
    </w:p>
    <w:p w14:paraId="37AAEA76">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86A44E6">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2E43AF64">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11.1.2联合协议（如果有)；</w:t>
      </w:r>
    </w:p>
    <w:p w14:paraId="5F4B3E6A">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11.1.3落实政府采购政策需满足的资格要求（如果有)；</w:t>
      </w:r>
    </w:p>
    <w:p w14:paraId="6E655804">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11.1.4本项目的特定资格要求（如果有)。</w:t>
      </w:r>
    </w:p>
    <w:p w14:paraId="334280F1">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2B7DB75">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B429C47">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077E292">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11.2.3分包意向协议（如果有)；</w:t>
      </w:r>
    </w:p>
    <w:p w14:paraId="04343B61">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762A43FB">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11.2.5评标标准相应的商务技术资料；</w:t>
      </w:r>
    </w:p>
    <w:p w14:paraId="71EAD03D">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11.2.6投标标的清单；</w:t>
      </w:r>
    </w:p>
    <w:p w14:paraId="132442A8">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11.2.7商务技术偏离表；</w:t>
      </w:r>
    </w:p>
    <w:p w14:paraId="346F4C77">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E54CAE8">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853F43A">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03FCC5B8">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11.3.2中小企业声明函。</w:t>
      </w:r>
    </w:p>
    <w:p w14:paraId="33686175">
      <w:pPr>
        <w:pageBreakBefore w:val="0"/>
        <w:kinsoku/>
        <w:wordWrap/>
        <w:overflowPunct/>
        <w:topLinePunct w:val="0"/>
        <w:bidi w:val="0"/>
        <w:spacing w:beforeAutospacing="0" w:line="360" w:lineRule="auto"/>
        <w:ind w:firstLine="482" w:firstLineChars="200"/>
        <w:textAlignment w:val="auto"/>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9AA2A9A">
      <w:pPr>
        <w:pageBreakBefore w:val="0"/>
        <w:kinsoku/>
        <w:wordWrap/>
        <w:overflowPunct/>
        <w:topLinePunct w:val="0"/>
        <w:bidi w:val="0"/>
        <w:spacing w:beforeAutospacing="0" w:line="360" w:lineRule="auto"/>
        <w:ind w:firstLine="482" w:firstLineChars="200"/>
        <w:textAlignment w:val="auto"/>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301975C6">
      <w:pPr>
        <w:pageBreakBefore w:val="0"/>
        <w:kinsoku/>
        <w:wordWrap/>
        <w:overflowPunct/>
        <w:topLinePunct w:val="0"/>
        <w:bidi w:val="0"/>
        <w:snapToGrid w:val="0"/>
        <w:spacing w:beforeAutospacing="0" w:line="360" w:lineRule="auto"/>
        <w:jc w:val="left"/>
        <w:textAlignment w:val="auto"/>
        <w:rPr>
          <w:rFonts w:hint="eastAsia" w:ascii="宋体" w:hAnsi="宋体" w:eastAsia="宋体" w:cs="宋体"/>
          <w:b/>
          <w:color w:val="auto"/>
          <w:sz w:val="24"/>
          <w:szCs w:val="24"/>
          <w:highlight w:val="none"/>
        </w:rPr>
      </w:pPr>
      <w:bookmarkStart w:id="37" w:name="_Toc32503"/>
      <w:r>
        <w:rPr>
          <w:rFonts w:hint="eastAsia" w:ascii="宋体" w:hAnsi="宋体" w:eastAsia="宋体" w:cs="宋体"/>
          <w:b/>
          <w:color w:val="auto"/>
          <w:sz w:val="24"/>
          <w:szCs w:val="24"/>
          <w:highlight w:val="none"/>
        </w:rPr>
        <w:t>12</w:t>
      </w:r>
      <w:r>
        <w:rPr>
          <w:rFonts w:hint="eastAsia" w:ascii="宋体" w:hAnsi="宋体" w:eastAsia="宋体" w:cs="宋体"/>
          <w:b/>
          <w:color w:val="auto"/>
          <w:sz w:val="24"/>
          <w:szCs w:val="24"/>
          <w:highlight w:val="none"/>
          <w:lang w:val="zh-CN"/>
        </w:rPr>
        <w:t xml:space="preserve">. </w:t>
      </w:r>
      <w:r>
        <w:rPr>
          <w:rFonts w:hint="eastAsia" w:ascii="宋体" w:hAnsi="宋体" w:eastAsia="宋体" w:cs="宋体"/>
          <w:b/>
          <w:color w:val="auto"/>
          <w:sz w:val="24"/>
          <w:szCs w:val="24"/>
          <w:highlight w:val="none"/>
        </w:rPr>
        <w:t>投标文件的编制</w:t>
      </w:r>
      <w:bookmarkEnd w:id="37"/>
    </w:p>
    <w:p w14:paraId="1CBC91AC">
      <w:pPr>
        <w:pageBreakBefore w:val="0"/>
        <w:kinsoku/>
        <w:wordWrap/>
        <w:overflowPunct/>
        <w:topLinePunct w:val="0"/>
        <w:bidi w:val="0"/>
        <w:spacing w:beforeAutospacing="0" w:line="360" w:lineRule="auto"/>
        <w:ind w:firstLine="480" w:firstLineChars="200"/>
        <w:textAlignment w:val="auto"/>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7296EAC">
      <w:pPr>
        <w:pageBreakBefore w:val="0"/>
        <w:kinsoku/>
        <w:wordWrap/>
        <w:overflowPunct/>
        <w:topLinePunct w:val="0"/>
        <w:bidi w:val="0"/>
        <w:spacing w:beforeAutospacing="0" w:line="360" w:lineRule="auto"/>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9B8FE39">
      <w:pPr>
        <w:pageBreakBefore w:val="0"/>
        <w:kinsoku/>
        <w:wordWrap/>
        <w:overflowPunct/>
        <w:topLinePunct w:val="0"/>
        <w:bidi w:val="0"/>
        <w:spacing w:beforeAutospacing="0" w:line="360" w:lineRule="auto"/>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D4E8DCA">
      <w:pPr>
        <w:pageBreakBefore w:val="0"/>
        <w:kinsoku/>
        <w:wordWrap/>
        <w:overflowPunct/>
        <w:topLinePunct w:val="0"/>
        <w:bidi w:val="0"/>
        <w:snapToGrid w:val="0"/>
        <w:spacing w:beforeAutospacing="0" w:line="360" w:lineRule="auto"/>
        <w:jc w:val="left"/>
        <w:textAlignment w:val="auto"/>
        <w:rPr>
          <w:rFonts w:hint="eastAsia" w:ascii="宋体" w:hAnsi="宋体" w:eastAsia="宋体" w:cs="宋体"/>
          <w:b/>
          <w:color w:val="auto"/>
          <w:sz w:val="24"/>
          <w:szCs w:val="24"/>
          <w:highlight w:val="none"/>
        </w:rPr>
      </w:pPr>
      <w:bookmarkStart w:id="38" w:name="_Toc23039"/>
      <w:r>
        <w:rPr>
          <w:rFonts w:hint="eastAsia" w:ascii="宋体" w:hAnsi="宋体" w:eastAsia="宋体" w:cs="宋体"/>
          <w:b/>
          <w:color w:val="auto"/>
          <w:sz w:val="24"/>
          <w:szCs w:val="24"/>
          <w:highlight w:val="none"/>
        </w:rPr>
        <w:t>13.投标文件的签署、盖章</w:t>
      </w:r>
      <w:bookmarkEnd w:id="38"/>
    </w:p>
    <w:p w14:paraId="0605A958">
      <w:pPr>
        <w:pStyle w:val="129"/>
        <w:pageBreakBefore w:val="0"/>
        <w:kinsoku/>
        <w:wordWrap/>
        <w:overflowPunct/>
        <w:topLinePunct w:val="0"/>
        <w:bidi w:val="0"/>
        <w:snapToGrid w:val="0"/>
        <w:spacing w:before="0" w:beforeAutospacing="0" w:line="360" w:lineRule="auto"/>
        <w:ind w:firstLine="480"/>
        <w:textAlignment w:val="auto"/>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BB7180B">
      <w:pPr>
        <w:pStyle w:val="129"/>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F71E629">
      <w:pPr>
        <w:pStyle w:val="129"/>
        <w:pageBreakBefore w:val="0"/>
        <w:kinsoku/>
        <w:wordWrap/>
        <w:overflowPunct/>
        <w:topLinePunct w:val="0"/>
        <w:bidi w:val="0"/>
        <w:snapToGrid w:val="0"/>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E38DDBF">
      <w:pPr>
        <w:pageBreakBefore w:val="0"/>
        <w:kinsoku/>
        <w:wordWrap/>
        <w:overflowPunct/>
        <w:topLinePunct w:val="0"/>
        <w:bidi w:val="0"/>
        <w:snapToGrid w:val="0"/>
        <w:spacing w:beforeAutospacing="0" w:line="360" w:lineRule="auto"/>
        <w:jc w:val="left"/>
        <w:textAlignment w:val="auto"/>
        <w:rPr>
          <w:rFonts w:hint="eastAsia" w:ascii="宋体" w:hAnsi="宋体" w:eastAsia="宋体" w:cs="宋体"/>
          <w:b/>
          <w:color w:val="auto"/>
          <w:sz w:val="24"/>
          <w:szCs w:val="24"/>
          <w:highlight w:val="none"/>
        </w:rPr>
      </w:pPr>
      <w:bookmarkStart w:id="39" w:name="_Toc19871"/>
      <w:r>
        <w:rPr>
          <w:rFonts w:hint="eastAsia" w:ascii="宋体" w:hAnsi="宋体" w:eastAsia="宋体" w:cs="宋体"/>
          <w:b/>
          <w:color w:val="auto"/>
          <w:sz w:val="24"/>
          <w:szCs w:val="24"/>
          <w:highlight w:val="none"/>
        </w:rPr>
        <w:t>14. 投标文件的提交、补充、修改、撤回</w:t>
      </w:r>
      <w:bookmarkEnd w:id="39"/>
    </w:p>
    <w:p w14:paraId="798C8D7E">
      <w:pPr>
        <w:pStyle w:val="129"/>
        <w:pageBreakBefore w:val="0"/>
        <w:kinsoku/>
        <w:wordWrap/>
        <w:overflowPunct/>
        <w:topLinePunct w:val="0"/>
        <w:bidi w:val="0"/>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32A7F1E">
      <w:pPr>
        <w:pStyle w:val="129"/>
        <w:pageBreakBefore w:val="0"/>
        <w:kinsoku/>
        <w:wordWrap/>
        <w:overflowPunct/>
        <w:topLinePunct w:val="0"/>
        <w:bidi w:val="0"/>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1DB6757">
      <w:pPr>
        <w:pStyle w:val="129"/>
        <w:pageBreakBefore w:val="0"/>
        <w:kinsoku/>
        <w:wordWrap/>
        <w:overflowPunct/>
        <w:topLinePunct w:val="0"/>
        <w:bidi w:val="0"/>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47DCE34">
      <w:pPr>
        <w:pageBreakBefore w:val="0"/>
        <w:kinsoku/>
        <w:wordWrap/>
        <w:overflowPunct/>
        <w:topLinePunct w:val="0"/>
        <w:bidi w:val="0"/>
        <w:snapToGrid w:val="0"/>
        <w:spacing w:beforeAutospacing="0" w:line="360" w:lineRule="auto"/>
        <w:jc w:val="left"/>
        <w:textAlignment w:val="auto"/>
        <w:rPr>
          <w:rFonts w:hint="eastAsia" w:ascii="宋体" w:hAnsi="宋体" w:eastAsia="宋体" w:cs="宋体"/>
          <w:b/>
          <w:color w:val="auto"/>
          <w:sz w:val="24"/>
          <w:szCs w:val="24"/>
          <w:highlight w:val="none"/>
        </w:rPr>
      </w:pPr>
      <w:bookmarkStart w:id="40" w:name="_Toc18888"/>
      <w:r>
        <w:rPr>
          <w:rFonts w:hint="eastAsia" w:ascii="宋体" w:hAnsi="宋体" w:eastAsia="宋体" w:cs="宋体"/>
          <w:b/>
          <w:color w:val="auto"/>
          <w:sz w:val="24"/>
          <w:szCs w:val="24"/>
          <w:highlight w:val="none"/>
        </w:rPr>
        <w:t>15.备份投标文件</w:t>
      </w:r>
      <w:bookmarkEnd w:id="40"/>
    </w:p>
    <w:p w14:paraId="6D375F9F">
      <w:pPr>
        <w:pStyle w:val="32"/>
        <w:pageBreakBefore w:val="0"/>
        <w:kinsoku/>
        <w:wordWrap/>
        <w:overflowPunct/>
        <w:topLinePunct w:val="0"/>
        <w:bidi w:val="0"/>
        <w:spacing w:beforeAutospacing="0" w:line="360" w:lineRule="auto"/>
        <w:ind w:firstLine="360" w:firstLineChars="150"/>
        <w:textAlignment w:val="auto"/>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65AC33F6">
      <w:pPr>
        <w:pStyle w:val="32"/>
        <w:pageBreakBefore w:val="0"/>
        <w:kinsoku/>
        <w:wordWrap/>
        <w:overflowPunct/>
        <w:topLinePunct w:val="0"/>
        <w:bidi w:val="0"/>
        <w:spacing w:beforeAutospacing="0" w:line="360" w:lineRule="auto"/>
        <w:ind w:firstLine="480" w:firstLineChars="200"/>
        <w:textAlignment w:val="auto"/>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17FB4DE">
      <w:pPr>
        <w:pStyle w:val="32"/>
        <w:pageBreakBefore w:val="0"/>
        <w:kinsoku/>
        <w:wordWrap/>
        <w:overflowPunct/>
        <w:topLinePunct w:val="0"/>
        <w:bidi w:val="0"/>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75F67D4E">
      <w:pPr>
        <w:pStyle w:val="32"/>
        <w:pageBreakBefore w:val="0"/>
        <w:kinsoku/>
        <w:wordWrap/>
        <w:overflowPunct/>
        <w:topLinePunct w:val="0"/>
        <w:bidi w:val="0"/>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376D23C1">
      <w:pPr>
        <w:pStyle w:val="32"/>
        <w:pageBreakBefore w:val="0"/>
        <w:kinsoku/>
        <w:wordWrap/>
        <w:overflowPunct/>
        <w:topLinePunct w:val="0"/>
        <w:bidi w:val="0"/>
        <w:spacing w:beforeAutospacing="0" w:line="360" w:lineRule="auto"/>
        <w:ind w:firstLine="479" w:firstLineChars="199"/>
        <w:textAlignment w:val="auto"/>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A680991">
      <w:pPr>
        <w:pageBreakBefore w:val="0"/>
        <w:kinsoku/>
        <w:wordWrap/>
        <w:overflowPunct/>
        <w:topLinePunct w:val="0"/>
        <w:bidi w:val="0"/>
        <w:snapToGrid w:val="0"/>
        <w:spacing w:beforeAutospacing="0" w:line="360" w:lineRule="auto"/>
        <w:jc w:val="left"/>
        <w:textAlignment w:val="auto"/>
        <w:rPr>
          <w:rFonts w:hint="eastAsia" w:ascii="宋体" w:hAnsi="宋体" w:eastAsia="宋体" w:cs="宋体"/>
          <w:b/>
          <w:color w:val="auto"/>
          <w:sz w:val="24"/>
          <w:szCs w:val="24"/>
          <w:highlight w:val="none"/>
        </w:rPr>
      </w:pPr>
      <w:bookmarkStart w:id="41" w:name="_Toc24737"/>
      <w:r>
        <w:rPr>
          <w:rFonts w:hint="eastAsia" w:ascii="宋体" w:hAnsi="宋体" w:eastAsia="宋体" w:cs="宋体"/>
          <w:b/>
          <w:color w:val="auto"/>
          <w:sz w:val="24"/>
          <w:szCs w:val="24"/>
          <w:highlight w:val="none"/>
        </w:rPr>
        <w:t>16.投标文件的无效处理</w:t>
      </w:r>
      <w:bookmarkEnd w:id="41"/>
    </w:p>
    <w:p w14:paraId="77612E08">
      <w:pPr>
        <w:pStyle w:val="24"/>
        <w:pageBreakBefore w:val="0"/>
        <w:kinsoku/>
        <w:wordWrap/>
        <w:overflowPunct/>
        <w:topLinePunct w:val="0"/>
        <w:bidi w:val="0"/>
        <w:spacing w:beforeAutospacing="0" w:line="360" w:lineRule="auto"/>
        <w:ind w:firstLine="360" w:firstLineChars="150"/>
        <w:textAlignment w:val="auto"/>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2CA0EDB">
      <w:pPr>
        <w:pageBreakBefore w:val="0"/>
        <w:kinsoku/>
        <w:wordWrap/>
        <w:overflowPunct/>
        <w:topLinePunct w:val="0"/>
        <w:bidi w:val="0"/>
        <w:snapToGrid w:val="0"/>
        <w:spacing w:beforeAutospacing="0" w:line="360" w:lineRule="auto"/>
        <w:jc w:val="left"/>
        <w:textAlignment w:val="auto"/>
        <w:rPr>
          <w:rFonts w:hint="eastAsia" w:ascii="宋体" w:hAnsi="宋体" w:eastAsia="宋体" w:cs="宋体"/>
          <w:b/>
          <w:color w:val="auto"/>
          <w:sz w:val="24"/>
          <w:szCs w:val="24"/>
          <w:highlight w:val="none"/>
        </w:rPr>
      </w:pPr>
      <w:bookmarkStart w:id="42" w:name="_Toc2251"/>
      <w:r>
        <w:rPr>
          <w:rFonts w:hint="eastAsia" w:ascii="宋体" w:hAnsi="宋体" w:eastAsia="宋体" w:cs="宋体"/>
          <w:b/>
          <w:color w:val="auto"/>
          <w:sz w:val="24"/>
          <w:szCs w:val="24"/>
          <w:highlight w:val="none"/>
        </w:rPr>
        <w:t>17.投标有效期</w:t>
      </w:r>
      <w:bookmarkEnd w:id="42"/>
    </w:p>
    <w:p w14:paraId="11208E29">
      <w:pPr>
        <w:pageBreakBefore w:val="0"/>
        <w:kinsoku/>
        <w:wordWrap/>
        <w:overflowPunct/>
        <w:topLinePunct w:val="0"/>
        <w:bidi w:val="0"/>
        <w:spacing w:beforeAutospacing="0" w:line="360" w:lineRule="auto"/>
        <w:ind w:firstLine="480" w:firstLineChars="200"/>
        <w:textAlignment w:val="auto"/>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3F7FB4A">
      <w:pPr>
        <w:pStyle w:val="129"/>
        <w:pageBreakBefore w:val="0"/>
        <w:kinsoku/>
        <w:wordWrap/>
        <w:overflowPunct/>
        <w:topLinePunct w:val="0"/>
        <w:bidi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ABBC633">
      <w:pPr>
        <w:pStyle w:val="129"/>
        <w:pageBreakBefore w:val="0"/>
        <w:kinsoku/>
        <w:wordWrap/>
        <w:overflowPunct/>
        <w:topLinePunct w:val="0"/>
        <w:bidi w:val="0"/>
        <w:spacing w:before="0" w:beforeAutospacing="0" w:line="360" w:lineRule="auto"/>
        <w:ind w:firstLine="480"/>
        <w:textAlignment w:val="auto"/>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3F47D38E">
      <w:pPr>
        <w:pStyle w:val="129"/>
        <w:pageBreakBefore w:val="0"/>
        <w:kinsoku/>
        <w:wordWrap/>
        <w:overflowPunct/>
        <w:topLinePunct w:val="0"/>
        <w:bidi w:val="0"/>
        <w:spacing w:before="0" w:beforeAutospacing="0" w:line="360" w:lineRule="auto"/>
        <w:ind w:firstLine="480"/>
        <w:textAlignment w:val="auto"/>
        <w:rPr>
          <w:rFonts w:hint="eastAsia" w:ascii="宋体" w:hAnsi="宋体" w:cs="宋体"/>
          <w:color w:val="auto"/>
          <w:highlight w:val="none"/>
        </w:rPr>
      </w:pPr>
    </w:p>
    <w:p w14:paraId="3D6B2A44">
      <w:pPr>
        <w:pageBreakBefore w:val="0"/>
        <w:kinsoku/>
        <w:wordWrap/>
        <w:overflowPunct/>
        <w:topLinePunct w:val="0"/>
        <w:bidi w:val="0"/>
        <w:adjustRightInd/>
        <w:spacing w:beforeAutospacing="0" w:line="360" w:lineRule="auto"/>
        <w:jc w:val="center"/>
        <w:textAlignment w:val="auto"/>
        <w:outlineLvl w:val="2"/>
        <w:rPr>
          <w:rFonts w:hint="eastAsia" w:ascii="宋体" w:hAnsi="宋体" w:cs="宋体"/>
          <w:b/>
          <w:color w:val="auto"/>
          <w:sz w:val="32"/>
          <w:szCs w:val="20"/>
          <w:highlight w:val="none"/>
        </w:rPr>
      </w:pPr>
      <w:bookmarkStart w:id="43" w:name="_Toc24096"/>
      <w:r>
        <w:rPr>
          <w:rFonts w:hint="eastAsia" w:ascii="宋体" w:hAnsi="宋体" w:cs="宋体"/>
          <w:b/>
          <w:color w:val="auto"/>
          <w:sz w:val="32"/>
          <w:szCs w:val="20"/>
          <w:highlight w:val="none"/>
        </w:rPr>
        <w:t>四、开标、资格审查与信用信息查询</w:t>
      </w:r>
      <w:bookmarkEnd w:id="43"/>
    </w:p>
    <w:p w14:paraId="6CF61ABD">
      <w:pPr>
        <w:pageBreakBefore w:val="0"/>
        <w:kinsoku/>
        <w:wordWrap/>
        <w:overflowPunct/>
        <w:topLinePunct w:val="0"/>
        <w:bidi w:val="0"/>
        <w:snapToGrid w:val="0"/>
        <w:spacing w:beforeAutospacing="0" w:line="360" w:lineRule="auto"/>
        <w:jc w:val="left"/>
        <w:textAlignment w:val="auto"/>
        <w:rPr>
          <w:rFonts w:hint="eastAsia" w:ascii="宋体" w:hAnsi="宋体" w:eastAsia="宋体" w:cs="宋体"/>
          <w:b/>
          <w:color w:val="auto"/>
          <w:sz w:val="24"/>
          <w:szCs w:val="24"/>
          <w:highlight w:val="none"/>
        </w:rPr>
      </w:pPr>
      <w:bookmarkStart w:id="44" w:name="_Toc30934"/>
      <w:r>
        <w:rPr>
          <w:rFonts w:hint="eastAsia" w:ascii="宋体" w:hAnsi="宋体" w:eastAsia="宋体" w:cs="宋体"/>
          <w:b/>
          <w:color w:val="auto"/>
          <w:sz w:val="24"/>
          <w:szCs w:val="24"/>
          <w:highlight w:val="none"/>
        </w:rPr>
        <w:t>18.开标</w:t>
      </w:r>
      <w:bookmarkEnd w:id="44"/>
      <w:r>
        <w:rPr>
          <w:rFonts w:hint="eastAsia" w:ascii="宋体" w:hAnsi="宋体" w:eastAsia="宋体" w:cs="宋体"/>
          <w:b/>
          <w:color w:val="auto"/>
          <w:sz w:val="24"/>
          <w:szCs w:val="24"/>
          <w:highlight w:val="none"/>
        </w:rPr>
        <w:t xml:space="preserve"> </w:t>
      </w:r>
    </w:p>
    <w:p w14:paraId="4711B9C9">
      <w:pPr>
        <w:pStyle w:val="554"/>
        <w:pageBreakBefore w:val="0"/>
        <w:kinsoku/>
        <w:wordWrap/>
        <w:overflowPunct/>
        <w:topLinePunct w:val="0"/>
        <w:bidi w:val="0"/>
        <w:spacing w:before="0" w:beforeAutospacing="0" w:line="360" w:lineRule="auto"/>
        <w:ind w:left="0"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E5F501A">
      <w:pPr>
        <w:pStyle w:val="554"/>
        <w:pageBreakBefore w:val="0"/>
        <w:kinsoku/>
        <w:wordWrap/>
        <w:overflowPunct/>
        <w:topLinePunct w:val="0"/>
        <w:bidi w:val="0"/>
        <w:spacing w:before="0" w:beforeAutospacing="0" w:line="360" w:lineRule="auto"/>
        <w:ind w:left="0" w:firstLine="240" w:firstLineChars="100"/>
        <w:contextualSpacing/>
        <w:textAlignment w:val="auto"/>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CCC92B9">
      <w:pPr>
        <w:pStyle w:val="554"/>
        <w:pageBreakBefore w:val="0"/>
        <w:kinsoku/>
        <w:wordWrap/>
        <w:overflowPunct/>
        <w:topLinePunct w:val="0"/>
        <w:bidi w:val="0"/>
        <w:spacing w:before="0" w:beforeAutospacing="0" w:line="360" w:lineRule="auto"/>
        <w:ind w:left="0" w:firstLine="240" w:firstLineChars="100"/>
        <w:contextualSpacing/>
        <w:textAlignment w:val="auto"/>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95B08BC">
      <w:pPr>
        <w:pageBreakBefore w:val="0"/>
        <w:kinsoku/>
        <w:wordWrap/>
        <w:overflowPunct/>
        <w:topLinePunct w:val="0"/>
        <w:bidi w:val="0"/>
        <w:snapToGrid w:val="0"/>
        <w:spacing w:beforeAutospacing="0" w:line="360" w:lineRule="auto"/>
        <w:jc w:val="left"/>
        <w:textAlignment w:val="auto"/>
        <w:rPr>
          <w:rFonts w:hint="eastAsia" w:ascii="宋体" w:hAnsi="宋体" w:eastAsia="宋体" w:cs="宋体"/>
          <w:b/>
          <w:color w:val="auto"/>
          <w:sz w:val="24"/>
          <w:szCs w:val="24"/>
          <w:highlight w:val="none"/>
        </w:rPr>
      </w:pPr>
      <w:bookmarkStart w:id="45" w:name="_Toc3075"/>
      <w:r>
        <w:rPr>
          <w:rFonts w:hint="eastAsia" w:ascii="宋体" w:hAnsi="宋体" w:eastAsia="宋体" w:cs="宋体"/>
          <w:b/>
          <w:color w:val="auto"/>
          <w:sz w:val="24"/>
          <w:szCs w:val="24"/>
          <w:highlight w:val="none"/>
        </w:rPr>
        <w:t>19、资格审查</w:t>
      </w:r>
      <w:bookmarkEnd w:id="45"/>
    </w:p>
    <w:p w14:paraId="0397610D">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AA1E04F">
      <w:pPr>
        <w:pStyle w:val="129"/>
        <w:pageBreakBefore w:val="0"/>
        <w:kinsoku/>
        <w:wordWrap/>
        <w:overflowPunct/>
        <w:topLinePunct w:val="0"/>
        <w:bidi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9231952">
      <w:pPr>
        <w:pStyle w:val="129"/>
        <w:pageBreakBefore w:val="0"/>
        <w:kinsoku/>
        <w:wordWrap/>
        <w:overflowPunct/>
        <w:topLinePunct w:val="0"/>
        <w:bidi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6065F45B">
      <w:pPr>
        <w:pStyle w:val="129"/>
        <w:pageBreakBefore w:val="0"/>
        <w:kinsoku/>
        <w:wordWrap/>
        <w:overflowPunct/>
        <w:topLinePunct w:val="0"/>
        <w:bidi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751753E2">
      <w:pPr>
        <w:pageBreakBefore w:val="0"/>
        <w:kinsoku/>
        <w:wordWrap/>
        <w:overflowPunct/>
        <w:topLinePunct w:val="0"/>
        <w:bidi w:val="0"/>
        <w:snapToGrid w:val="0"/>
        <w:spacing w:beforeAutospacing="0" w:line="360" w:lineRule="auto"/>
        <w:jc w:val="left"/>
        <w:textAlignment w:val="auto"/>
        <w:rPr>
          <w:rFonts w:hint="eastAsia" w:ascii="宋体" w:hAnsi="宋体" w:eastAsia="宋体" w:cs="宋体"/>
          <w:b/>
          <w:color w:val="auto"/>
          <w:sz w:val="24"/>
          <w:szCs w:val="24"/>
          <w:highlight w:val="none"/>
        </w:rPr>
      </w:pPr>
      <w:bookmarkStart w:id="46" w:name="_Toc20033"/>
      <w:r>
        <w:rPr>
          <w:rFonts w:hint="eastAsia" w:ascii="宋体" w:hAnsi="宋体" w:eastAsia="宋体" w:cs="宋体"/>
          <w:b/>
          <w:color w:val="auto"/>
          <w:sz w:val="24"/>
          <w:szCs w:val="24"/>
          <w:highlight w:val="none"/>
        </w:rPr>
        <w:t>20、信用信息查询</w:t>
      </w:r>
      <w:bookmarkEnd w:id="46"/>
    </w:p>
    <w:p w14:paraId="04A37FF3">
      <w:pPr>
        <w:pStyle w:val="129"/>
        <w:pageBreakBefore w:val="0"/>
        <w:kinsoku/>
        <w:wordWrap/>
        <w:overflowPunct/>
        <w:topLinePunct w:val="0"/>
        <w:bidi w:val="0"/>
        <w:spacing w:before="0" w:beforeAutospacing="0" w:line="360" w:lineRule="auto"/>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37D42670">
      <w:pPr>
        <w:pStyle w:val="129"/>
        <w:pageBreakBefore w:val="0"/>
        <w:kinsoku/>
        <w:wordWrap/>
        <w:overflowPunct/>
        <w:topLinePunct w:val="0"/>
        <w:bidi w:val="0"/>
        <w:spacing w:before="0" w:beforeAutospacing="0" w:line="360" w:lineRule="auto"/>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7B42EBBE">
      <w:pPr>
        <w:pStyle w:val="129"/>
        <w:pageBreakBefore w:val="0"/>
        <w:kinsoku/>
        <w:wordWrap/>
        <w:overflowPunct/>
        <w:topLinePunct w:val="0"/>
        <w:bidi w:val="0"/>
        <w:spacing w:before="0" w:beforeAutospacing="0" w:line="360" w:lineRule="auto"/>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2887C95">
      <w:pPr>
        <w:pStyle w:val="129"/>
        <w:pageBreakBefore w:val="0"/>
        <w:kinsoku/>
        <w:wordWrap/>
        <w:overflowPunct/>
        <w:topLinePunct w:val="0"/>
        <w:bidi w:val="0"/>
        <w:spacing w:before="0" w:beforeAutospacing="0" w:line="360" w:lineRule="auto"/>
        <w:ind w:firstLine="480"/>
        <w:textAlignment w:val="auto"/>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500ED29">
      <w:pPr>
        <w:pStyle w:val="129"/>
        <w:pageBreakBefore w:val="0"/>
        <w:kinsoku/>
        <w:wordWrap/>
        <w:overflowPunct/>
        <w:topLinePunct w:val="0"/>
        <w:bidi w:val="0"/>
        <w:spacing w:before="0" w:beforeAutospacing="0" w:line="360" w:lineRule="auto"/>
        <w:ind w:firstLine="480"/>
        <w:textAlignment w:val="auto"/>
        <w:rPr>
          <w:rFonts w:hint="eastAsia" w:ascii="宋体" w:hAnsi="宋体" w:cs="宋体"/>
          <w:color w:val="auto"/>
          <w:highlight w:val="none"/>
        </w:rPr>
      </w:pPr>
    </w:p>
    <w:p w14:paraId="7D607F41">
      <w:pPr>
        <w:pageBreakBefore w:val="0"/>
        <w:kinsoku/>
        <w:wordWrap/>
        <w:overflowPunct/>
        <w:topLinePunct w:val="0"/>
        <w:bidi w:val="0"/>
        <w:adjustRightInd/>
        <w:spacing w:beforeAutospacing="0" w:line="360" w:lineRule="auto"/>
        <w:jc w:val="center"/>
        <w:textAlignment w:val="auto"/>
        <w:outlineLvl w:val="2"/>
        <w:rPr>
          <w:rFonts w:hint="eastAsia" w:ascii="宋体" w:hAnsi="宋体" w:cs="宋体"/>
          <w:b/>
          <w:color w:val="auto"/>
          <w:sz w:val="32"/>
          <w:szCs w:val="20"/>
          <w:highlight w:val="none"/>
        </w:rPr>
      </w:pPr>
      <w:bookmarkStart w:id="47" w:name="_Toc25380"/>
      <w:r>
        <w:rPr>
          <w:rFonts w:hint="eastAsia" w:ascii="宋体" w:hAnsi="宋体" w:cs="宋体"/>
          <w:b/>
          <w:color w:val="auto"/>
          <w:sz w:val="32"/>
          <w:szCs w:val="20"/>
          <w:highlight w:val="none"/>
        </w:rPr>
        <w:t>五、评标</w:t>
      </w:r>
      <w:bookmarkEnd w:id="47"/>
    </w:p>
    <w:p w14:paraId="7818519E">
      <w:pPr>
        <w:pageBreakBefore w:val="0"/>
        <w:kinsoku/>
        <w:wordWrap/>
        <w:overflowPunct/>
        <w:topLinePunct w:val="0"/>
        <w:bidi w:val="0"/>
        <w:spacing w:beforeAutospacing="0" w:line="360" w:lineRule="auto"/>
        <w:textAlignment w:val="auto"/>
        <w:rPr>
          <w:rFonts w:hint="eastAsia" w:ascii="宋体" w:hAnsi="宋体" w:cs="宋体"/>
          <w:b/>
          <w:color w:val="auto"/>
          <w:sz w:val="24"/>
          <w:highlight w:val="none"/>
        </w:rPr>
      </w:pPr>
      <w:bookmarkStart w:id="4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0980CC7">
      <w:pPr>
        <w:pStyle w:val="24"/>
        <w:pageBreakBefore w:val="0"/>
        <w:kinsoku/>
        <w:wordWrap/>
        <w:overflowPunct/>
        <w:topLinePunct w:val="0"/>
        <w:bidi w:val="0"/>
        <w:spacing w:beforeAutospacing="0" w:line="360" w:lineRule="auto"/>
        <w:textAlignment w:val="auto"/>
        <w:rPr>
          <w:color w:val="auto"/>
          <w:highlight w:val="none"/>
        </w:rPr>
      </w:pPr>
    </w:p>
    <w:p w14:paraId="6F980D25">
      <w:pPr>
        <w:pageBreakBefore w:val="0"/>
        <w:kinsoku/>
        <w:wordWrap/>
        <w:overflowPunct/>
        <w:topLinePunct w:val="0"/>
        <w:bidi w:val="0"/>
        <w:adjustRightInd/>
        <w:spacing w:beforeAutospacing="0" w:line="360" w:lineRule="auto"/>
        <w:jc w:val="center"/>
        <w:textAlignment w:val="auto"/>
        <w:outlineLvl w:val="2"/>
        <w:rPr>
          <w:rFonts w:hint="eastAsia" w:ascii="宋体" w:hAnsi="宋体" w:cs="宋体"/>
          <w:b/>
          <w:color w:val="auto"/>
          <w:sz w:val="32"/>
          <w:szCs w:val="20"/>
          <w:highlight w:val="none"/>
        </w:rPr>
      </w:pPr>
      <w:bookmarkStart w:id="49" w:name="_Toc25817"/>
      <w:r>
        <w:rPr>
          <w:rFonts w:hint="eastAsia" w:ascii="宋体" w:hAnsi="宋体" w:cs="宋体"/>
          <w:b/>
          <w:color w:val="auto"/>
          <w:sz w:val="32"/>
          <w:szCs w:val="20"/>
          <w:highlight w:val="none"/>
        </w:rPr>
        <w:t>六、定标</w:t>
      </w:r>
      <w:bookmarkEnd w:id="49"/>
    </w:p>
    <w:p w14:paraId="2579D5CA">
      <w:pPr>
        <w:pageBreakBefore w:val="0"/>
        <w:kinsoku/>
        <w:wordWrap/>
        <w:overflowPunct/>
        <w:topLinePunct w:val="0"/>
        <w:bidi w:val="0"/>
        <w:snapToGrid w:val="0"/>
        <w:spacing w:beforeAutospacing="0" w:line="360" w:lineRule="auto"/>
        <w:jc w:val="left"/>
        <w:textAlignment w:val="auto"/>
        <w:rPr>
          <w:rFonts w:hint="eastAsia" w:ascii="宋体" w:hAnsi="宋体" w:eastAsia="宋体" w:cs="宋体"/>
          <w:b/>
          <w:color w:val="auto"/>
          <w:sz w:val="24"/>
          <w:szCs w:val="24"/>
          <w:highlight w:val="none"/>
        </w:rPr>
      </w:pPr>
      <w:bookmarkStart w:id="50" w:name="_Toc25870"/>
      <w:r>
        <w:rPr>
          <w:rFonts w:hint="eastAsia" w:ascii="宋体" w:hAnsi="宋体" w:eastAsia="宋体" w:cs="宋体"/>
          <w:b/>
          <w:color w:val="auto"/>
          <w:sz w:val="24"/>
          <w:szCs w:val="24"/>
          <w:highlight w:val="none"/>
        </w:rPr>
        <w:t>22. 确定中标供应商</w:t>
      </w:r>
      <w:bookmarkEnd w:id="50"/>
    </w:p>
    <w:p w14:paraId="3EC65B76">
      <w:pPr>
        <w:pStyle w:val="129"/>
        <w:pageBreakBefore w:val="0"/>
        <w:kinsoku/>
        <w:wordWrap/>
        <w:overflowPunct/>
        <w:topLinePunct w:val="0"/>
        <w:bidi w:val="0"/>
        <w:snapToGrid w:val="0"/>
        <w:spacing w:before="0" w:beforeAutospacing="0" w:line="360" w:lineRule="auto"/>
        <w:ind w:firstLine="480"/>
        <w:textAlignment w:val="auto"/>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A633024">
      <w:pPr>
        <w:pageBreakBefore w:val="0"/>
        <w:kinsoku/>
        <w:wordWrap/>
        <w:overflowPunct/>
        <w:topLinePunct w:val="0"/>
        <w:bidi w:val="0"/>
        <w:snapToGrid w:val="0"/>
        <w:spacing w:beforeAutospacing="0" w:line="360" w:lineRule="auto"/>
        <w:jc w:val="left"/>
        <w:textAlignment w:val="auto"/>
        <w:rPr>
          <w:rFonts w:hint="eastAsia" w:ascii="宋体" w:hAnsi="宋体" w:eastAsia="宋体" w:cs="宋体"/>
          <w:b/>
          <w:color w:val="auto"/>
          <w:sz w:val="24"/>
          <w:szCs w:val="24"/>
          <w:highlight w:val="none"/>
        </w:rPr>
      </w:pPr>
      <w:bookmarkStart w:id="51" w:name="_Toc16675"/>
      <w:r>
        <w:rPr>
          <w:rFonts w:hint="eastAsia" w:ascii="宋体" w:hAnsi="宋体" w:eastAsia="宋体" w:cs="宋体"/>
          <w:b/>
          <w:color w:val="auto"/>
          <w:sz w:val="24"/>
          <w:szCs w:val="24"/>
          <w:highlight w:val="none"/>
        </w:rPr>
        <w:t>23. 中标通知与中标结果公告</w:t>
      </w:r>
      <w:bookmarkEnd w:id="51"/>
    </w:p>
    <w:p w14:paraId="3C9953C9">
      <w:pPr>
        <w:pageBreakBefore w:val="0"/>
        <w:widowControl/>
        <w:shd w:val="clear" w:color="auto" w:fill="FFFFFF"/>
        <w:kinsoku/>
        <w:wordWrap/>
        <w:overflowPunct/>
        <w:topLinePunct w:val="0"/>
        <w:bidi w:val="0"/>
        <w:spacing w:beforeAutospacing="0"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7227CA52">
      <w:pPr>
        <w:pageBreakBefore w:val="0"/>
        <w:widowControl/>
        <w:shd w:val="clear" w:color="auto" w:fill="FFFFFF"/>
        <w:kinsoku/>
        <w:wordWrap/>
        <w:overflowPunct/>
        <w:topLinePunct w:val="0"/>
        <w:bidi w:val="0"/>
        <w:spacing w:beforeAutospacing="0"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52" w:name="_Hlk101184471"/>
      <w:r>
        <w:rPr>
          <w:rFonts w:hint="eastAsia" w:ascii="宋体" w:hAnsi="宋体" w:cs="宋体"/>
          <w:color w:val="auto"/>
          <w:sz w:val="24"/>
          <w:highlight w:val="none"/>
        </w:rPr>
        <w:t>资格审查情况、评审专家抽取规则、符合性审查情况、</w:t>
      </w:r>
      <w:bookmarkEnd w:id="52"/>
      <w:r>
        <w:rPr>
          <w:rFonts w:hint="eastAsia" w:ascii="宋体" w:hAnsi="宋体" w:cs="宋体"/>
          <w:color w:val="auto"/>
          <w:sz w:val="24"/>
          <w:highlight w:val="none"/>
        </w:rPr>
        <w:t>未中标情况说明、中标公告期限以及评审专家名单、评分汇总及明细。</w:t>
      </w:r>
    </w:p>
    <w:p w14:paraId="58F24DC2">
      <w:pPr>
        <w:pageBreakBefore w:val="0"/>
        <w:widowControl/>
        <w:shd w:val="clear" w:color="auto" w:fill="FFFFFF"/>
        <w:kinsoku/>
        <w:wordWrap/>
        <w:overflowPunct/>
        <w:topLinePunct w:val="0"/>
        <w:bidi w:val="0"/>
        <w:spacing w:beforeAutospacing="0" w:line="360" w:lineRule="auto"/>
        <w:ind w:firstLine="48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4B640A6C">
      <w:pPr>
        <w:pStyle w:val="24"/>
        <w:pageBreakBefore w:val="0"/>
        <w:kinsoku/>
        <w:wordWrap/>
        <w:overflowPunct/>
        <w:topLinePunct w:val="0"/>
        <w:bidi w:val="0"/>
        <w:spacing w:beforeAutospacing="0" w:line="360" w:lineRule="auto"/>
        <w:textAlignment w:val="auto"/>
        <w:rPr>
          <w:color w:val="auto"/>
          <w:highlight w:val="none"/>
        </w:rPr>
      </w:pPr>
    </w:p>
    <w:p w14:paraId="07AC7568">
      <w:pPr>
        <w:pageBreakBefore w:val="0"/>
        <w:kinsoku/>
        <w:wordWrap/>
        <w:overflowPunct/>
        <w:topLinePunct w:val="0"/>
        <w:bidi w:val="0"/>
        <w:adjustRightInd/>
        <w:spacing w:beforeAutospacing="0" w:line="360" w:lineRule="auto"/>
        <w:jc w:val="center"/>
        <w:textAlignment w:val="auto"/>
        <w:outlineLvl w:val="2"/>
        <w:rPr>
          <w:rFonts w:hint="eastAsia" w:ascii="宋体" w:hAnsi="宋体" w:cs="宋体"/>
          <w:b/>
          <w:color w:val="auto"/>
          <w:sz w:val="32"/>
          <w:szCs w:val="20"/>
          <w:highlight w:val="none"/>
        </w:rPr>
      </w:pPr>
      <w:bookmarkStart w:id="53" w:name="_Toc4277"/>
      <w:r>
        <w:rPr>
          <w:rFonts w:hint="eastAsia" w:ascii="宋体" w:hAnsi="宋体" w:cs="宋体"/>
          <w:b/>
          <w:color w:val="auto"/>
          <w:sz w:val="32"/>
          <w:szCs w:val="20"/>
          <w:highlight w:val="none"/>
        </w:rPr>
        <w:t>七、合同授予</w:t>
      </w:r>
      <w:bookmarkEnd w:id="53"/>
    </w:p>
    <w:p w14:paraId="6E382619">
      <w:pPr>
        <w:pStyle w:val="24"/>
        <w:pageBreakBefore w:val="0"/>
        <w:kinsoku/>
        <w:wordWrap/>
        <w:overflowPunct/>
        <w:topLinePunct w:val="0"/>
        <w:bidi w:val="0"/>
        <w:spacing w:beforeAutospacing="0" w:line="360" w:lineRule="auto"/>
        <w:ind w:left="479" w:hanging="479" w:hangingChars="199"/>
        <w:textAlignment w:val="auto"/>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BDE147D">
      <w:pPr>
        <w:pStyle w:val="24"/>
        <w:pageBreakBefore w:val="0"/>
        <w:kinsoku/>
        <w:wordWrap/>
        <w:overflowPunct/>
        <w:topLinePunct w:val="0"/>
        <w:bidi w:val="0"/>
        <w:spacing w:beforeAutospacing="0" w:line="360" w:lineRule="auto"/>
        <w:ind w:left="479" w:hanging="479" w:hangingChars="199"/>
        <w:textAlignment w:val="auto"/>
        <w:rPr>
          <w:rFonts w:cs="宋体"/>
          <w:b/>
          <w:color w:val="auto"/>
          <w:highlight w:val="none"/>
        </w:rPr>
      </w:pPr>
      <w:r>
        <w:rPr>
          <w:rFonts w:hint="eastAsia" w:cs="宋体"/>
          <w:b/>
          <w:color w:val="auto"/>
          <w:highlight w:val="none"/>
        </w:rPr>
        <w:t>25. 合同的签订</w:t>
      </w:r>
    </w:p>
    <w:p w14:paraId="50A86BBC">
      <w:pPr>
        <w:pageBreakBefore w:val="0"/>
        <w:widowControl/>
        <w:shd w:val="clear" w:color="auto" w:fill="FFFFFF"/>
        <w:kinsoku/>
        <w:wordWrap/>
        <w:overflowPunct/>
        <w:topLinePunct w:val="0"/>
        <w:bidi w:val="0"/>
        <w:spacing w:beforeAutospacing="0" w:line="360" w:lineRule="auto"/>
        <w:ind w:firstLine="480"/>
        <w:jc w:val="left"/>
        <w:textAlignment w:val="auto"/>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0120704">
      <w:pPr>
        <w:pStyle w:val="129"/>
        <w:pageBreakBefore w:val="0"/>
        <w:kinsoku/>
        <w:wordWrap/>
        <w:overflowPunct/>
        <w:topLinePunct w:val="0"/>
        <w:bidi w:val="0"/>
        <w:snapToGrid w:val="0"/>
        <w:spacing w:before="0" w:beforeAutospacing="0" w:line="360" w:lineRule="auto"/>
        <w:ind w:firstLine="480"/>
        <w:textAlignment w:val="auto"/>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CF91778">
      <w:pPr>
        <w:pStyle w:val="129"/>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F0930B1">
      <w:pPr>
        <w:pStyle w:val="129"/>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6B5271A">
      <w:pPr>
        <w:pStyle w:val="129"/>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AAA634E">
      <w:pPr>
        <w:pStyle w:val="24"/>
        <w:pageBreakBefore w:val="0"/>
        <w:kinsoku/>
        <w:wordWrap/>
        <w:overflowPunct/>
        <w:topLinePunct w:val="0"/>
        <w:bidi w:val="0"/>
        <w:spacing w:beforeAutospacing="0" w:line="360" w:lineRule="auto"/>
        <w:ind w:left="479" w:hanging="479" w:hangingChars="199"/>
        <w:textAlignment w:val="auto"/>
        <w:rPr>
          <w:rFonts w:hint="eastAsia" w:cs="宋体"/>
          <w:b/>
          <w:color w:val="auto"/>
          <w:highlight w:val="none"/>
        </w:rPr>
      </w:pPr>
      <w:bookmarkStart w:id="54" w:name="_Toc18626"/>
      <w:r>
        <w:rPr>
          <w:rFonts w:hint="eastAsia" w:cs="宋体"/>
          <w:b/>
          <w:color w:val="auto"/>
          <w:highlight w:val="none"/>
        </w:rPr>
        <w:t>26. 履约保证金</w:t>
      </w:r>
      <w:bookmarkEnd w:id="54"/>
    </w:p>
    <w:p w14:paraId="574AB79C">
      <w:pPr>
        <w:pageBreakBefore w:val="0"/>
        <w:tabs>
          <w:tab w:val="left" w:pos="0"/>
        </w:tabs>
        <w:kinsoku/>
        <w:wordWrap/>
        <w:overflowPunct/>
        <w:topLinePunct w:val="0"/>
        <w:bidi w:val="0"/>
        <w:spacing w:beforeAutospacing="0" w:line="360" w:lineRule="auto"/>
        <w:ind w:firstLine="482"/>
        <w:textAlignment w:val="auto"/>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C67A654">
      <w:pPr>
        <w:pageBreakBefore w:val="0"/>
        <w:tabs>
          <w:tab w:val="left" w:pos="0"/>
        </w:tabs>
        <w:kinsoku/>
        <w:wordWrap/>
        <w:overflowPunct/>
        <w:topLinePunct w:val="0"/>
        <w:bidi w:val="0"/>
        <w:spacing w:beforeAutospacing="0" w:line="360" w:lineRule="auto"/>
        <w:ind w:firstLine="482"/>
        <w:textAlignment w:val="auto"/>
        <w:rPr>
          <w:rFonts w:hint="eastAsia" w:ascii="宋体" w:hAnsi="宋体" w:cs="宋体"/>
          <w:color w:val="auto"/>
          <w:kern w:val="0"/>
          <w:sz w:val="24"/>
          <w:highlight w:val="none"/>
        </w:rPr>
      </w:pPr>
      <w:bookmarkStart w:id="55" w:name="_Toc30144"/>
      <w:r>
        <w:rPr>
          <w:rFonts w:hint="eastAsia" w:ascii="宋体" w:hAnsi="宋体" w:cs="宋体"/>
          <w:color w:val="auto"/>
          <w:kern w:val="0"/>
          <w:sz w:val="24"/>
          <w:highlight w:val="none"/>
        </w:rPr>
        <w:t>供应商</w:t>
      </w:r>
      <w:r>
        <w:rPr>
          <w:rFonts w:hint="eastAsia" w:ascii="宋体" w:hAnsi="宋体" w:cs="宋体"/>
          <w:color w:val="auto"/>
          <w:kern w:val="0"/>
          <w:sz w:val="24"/>
          <w:highlight w:val="none"/>
          <w:lang w:val="en-US"/>
        </w:rPr>
        <w:t>可</w:t>
      </w:r>
      <w:r>
        <w:rPr>
          <w:rFonts w:hint="eastAsia" w:ascii="宋体" w:hAnsi="宋体" w:cs="宋体"/>
          <w:color w:val="auto"/>
          <w:kern w:val="0"/>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55"/>
    </w:p>
    <w:p w14:paraId="5277158C">
      <w:pPr>
        <w:pStyle w:val="24"/>
        <w:pageBreakBefore w:val="0"/>
        <w:kinsoku/>
        <w:wordWrap/>
        <w:overflowPunct/>
        <w:topLinePunct w:val="0"/>
        <w:bidi w:val="0"/>
        <w:spacing w:beforeAutospacing="0" w:line="360" w:lineRule="auto"/>
        <w:ind w:left="479" w:hanging="479" w:hangingChars="199"/>
        <w:textAlignment w:val="auto"/>
        <w:rPr>
          <w:rFonts w:hint="eastAsia" w:cs="宋体"/>
          <w:b/>
          <w:color w:val="auto"/>
          <w:highlight w:val="none"/>
        </w:rPr>
      </w:pPr>
      <w:bookmarkStart w:id="56" w:name="_Toc21253"/>
      <w:r>
        <w:rPr>
          <w:rFonts w:hint="eastAsia" w:cs="宋体"/>
          <w:b/>
          <w:color w:val="auto"/>
          <w:highlight w:val="none"/>
          <w:lang w:val="en-US"/>
        </w:rPr>
        <w:t>27.预付款</w:t>
      </w:r>
      <w:bookmarkEnd w:id="56"/>
    </w:p>
    <w:p w14:paraId="05DF1136">
      <w:pPr>
        <w:pageBreakBefore w:val="0"/>
        <w:kinsoku/>
        <w:wordWrap/>
        <w:overflowPunct/>
        <w:topLinePunct w:val="0"/>
        <w:bidi w:val="0"/>
        <w:adjustRightInd/>
        <w:spacing w:beforeAutospacing="0"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6717310A">
      <w:pPr>
        <w:pStyle w:val="24"/>
        <w:pageBreakBefore w:val="0"/>
        <w:kinsoku/>
        <w:wordWrap/>
        <w:overflowPunct/>
        <w:topLinePunct w:val="0"/>
        <w:bidi w:val="0"/>
        <w:spacing w:beforeAutospacing="0" w:line="360" w:lineRule="auto"/>
        <w:textAlignment w:val="auto"/>
        <w:rPr>
          <w:color w:val="auto"/>
          <w:highlight w:val="none"/>
        </w:rPr>
      </w:pPr>
    </w:p>
    <w:p w14:paraId="693D3E5D">
      <w:pPr>
        <w:pageBreakBefore w:val="0"/>
        <w:kinsoku/>
        <w:wordWrap/>
        <w:overflowPunct/>
        <w:topLinePunct w:val="0"/>
        <w:bidi w:val="0"/>
        <w:adjustRightInd/>
        <w:spacing w:beforeAutospacing="0" w:line="360" w:lineRule="auto"/>
        <w:jc w:val="center"/>
        <w:textAlignment w:val="auto"/>
        <w:outlineLvl w:val="2"/>
        <w:rPr>
          <w:rFonts w:hint="eastAsia" w:ascii="宋体" w:hAnsi="宋体" w:cs="宋体"/>
          <w:b/>
          <w:color w:val="auto"/>
          <w:sz w:val="32"/>
          <w:szCs w:val="20"/>
          <w:highlight w:val="none"/>
        </w:rPr>
      </w:pPr>
      <w:bookmarkStart w:id="57" w:name="_Toc9063"/>
      <w:r>
        <w:rPr>
          <w:rFonts w:hint="eastAsia" w:ascii="宋体" w:hAnsi="宋体" w:cs="宋体"/>
          <w:b/>
          <w:color w:val="auto"/>
          <w:sz w:val="32"/>
          <w:szCs w:val="20"/>
          <w:highlight w:val="none"/>
        </w:rPr>
        <w:t>八、电子交易活动的中止</w:t>
      </w:r>
      <w:bookmarkEnd w:id="57"/>
    </w:p>
    <w:p w14:paraId="30B8BD70">
      <w:pPr>
        <w:pStyle w:val="129"/>
        <w:pageBreakBefore w:val="0"/>
        <w:kinsoku/>
        <w:wordWrap/>
        <w:overflowPunct/>
        <w:topLinePunct w:val="0"/>
        <w:bidi w:val="0"/>
        <w:snapToGrid w:val="0"/>
        <w:spacing w:before="0" w:beforeAutospacing="0" w:line="360" w:lineRule="auto"/>
        <w:ind w:firstLine="0" w:firstLineChars="0"/>
        <w:textAlignment w:val="auto"/>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F11084F">
      <w:pPr>
        <w:pStyle w:val="129"/>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bookmarkStart w:id="58" w:name="_Toc31462"/>
      <w:r>
        <w:rPr>
          <w:rFonts w:hint="eastAsia" w:ascii="宋体" w:hAnsi="宋体" w:cs="宋体"/>
          <w:color w:val="auto"/>
          <w:highlight w:val="none"/>
        </w:rPr>
        <w:t>28.1电子交易平台发生故障而无法登录访问的；</w:t>
      </w:r>
      <w:bookmarkEnd w:id="58"/>
      <w:r>
        <w:rPr>
          <w:rFonts w:hint="eastAsia" w:ascii="宋体" w:hAnsi="宋体" w:cs="宋体"/>
          <w:color w:val="auto"/>
          <w:highlight w:val="none"/>
        </w:rPr>
        <w:t xml:space="preserve"> </w:t>
      </w:r>
    </w:p>
    <w:p w14:paraId="27D09128">
      <w:pPr>
        <w:pStyle w:val="129"/>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D85EA9D">
      <w:pPr>
        <w:pStyle w:val="129"/>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9BEAF6A">
      <w:pPr>
        <w:pStyle w:val="129"/>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B01C0C2">
      <w:pPr>
        <w:pStyle w:val="129"/>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AF8DA7E">
      <w:pPr>
        <w:pStyle w:val="129"/>
        <w:pageBreakBefore w:val="0"/>
        <w:kinsoku/>
        <w:wordWrap/>
        <w:overflowPunct/>
        <w:topLinePunct w:val="0"/>
        <w:bidi w:val="0"/>
        <w:snapToGrid w:val="0"/>
        <w:spacing w:before="0" w:beforeAutospacing="0" w:line="360" w:lineRule="auto"/>
        <w:ind w:firstLine="0" w:firstLineChars="0"/>
        <w:textAlignment w:val="auto"/>
        <w:rPr>
          <w:rFonts w:hint="eastAsia" w:ascii="宋体" w:hAnsi="宋体" w:cs="宋体"/>
          <w:color w:val="auto"/>
          <w:highlight w:val="none"/>
        </w:rPr>
      </w:pPr>
      <w:r>
        <w:rPr>
          <w:rFonts w:hint="eastAsia" w:ascii="宋体" w:hAnsi="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11DE6B87">
      <w:pPr>
        <w:pStyle w:val="129"/>
        <w:pageBreakBefore w:val="0"/>
        <w:kinsoku/>
        <w:wordWrap/>
        <w:overflowPunct/>
        <w:topLinePunct w:val="0"/>
        <w:bidi w:val="0"/>
        <w:snapToGrid w:val="0"/>
        <w:spacing w:before="0" w:beforeAutospacing="0" w:line="360" w:lineRule="auto"/>
        <w:ind w:firstLine="0" w:firstLineChars="0"/>
        <w:textAlignment w:val="auto"/>
        <w:rPr>
          <w:rFonts w:hint="eastAsia" w:ascii="宋体" w:hAnsi="宋体" w:cs="宋体"/>
          <w:color w:val="auto"/>
          <w:highlight w:val="none"/>
        </w:rPr>
      </w:pPr>
    </w:p>
    <w:p w14:paraId="192F189F">
      <w:pPr>
        <w:pageBreakBefore w:val="0"/>
        <w:kinsoku/>
        <w:wordWrap/>
        <w:overflowPunct/>
        <w:topLinePunct w:val="0"/>
        <w:bidi w:val="0"/>
        <w:adjustRightInd/>
        <w:spacing w:beforeAutospacing="0" w:line="360" w:lineRule="auto"/>
        <w:jc w:val="center"/>
        <w:textAlignment w:val="auto"/>
        <w:outlineLvl w:val="2"/>
        <w:rPr>
          <w:rFonts w:hint="eastAsia" w:ascii="宋体" w:hAnsi="宋体" w:cs="宋体"/>
          <w:b/>
          <w:color w:val="auto"/>
          <w:sz w:val="32"/>
          <w:szCs w:val="20"/>
          <w:highlight w:val="none"/>
        </w:rPr>
      </w:pPr>
      <w:bookmarkStart w:id="59" w:name="_Toc22251"/>
      <w:r>
        <w:rPr>
          <w:rFonts w:hint="eastAsia" w:ascii="宋体" w:hAnsi="宋体" w:cs="宋体"/>
          <w:b/>
          <w:color w:val="auto"/>
          <w:sz w:val="32"/>
          <w:szCs w:val="20"/>
          <w:highlight w:val="none"/>
        </w:rPr>
        <w:t>九、验收</w:t>
      </w:r>
      <w:bookmarkEnd w:id="59"/>
    </w:p>
    <w:p w14:paraId="33E02F7B">
      <w:pPr>
        <w:pStyle w:val="129"/>
        <w:pageBreakBefore w:val="0"/>
        <w:kinsoku/>
        <w:wordWrap/>
        <w:overflowPunct/>
        <w:topLinePunct w:val="0"/>
        <w:bidi w:val="0"/>
        <w:snapToGrid w:val="0"/>
        <w:spacing w:before="0" w:beforeAutospacing="0" w:line="360" w:lineRule="auto"/>
        <w:ind w:firstLine="0" w:firstLineChars="0"/>
        <w:textAlignment w:val="auto"/>
        <w:rPr>
          <w:rFonts w:ascii="宋体" w:hAnsi="宋体" w:eastAsia="宋体" w:cs="宋体"/>
          <w:b/>
          <w:bCs/>
          <w:color w:val="auto"/>
          <w:kern w:val="2"/>
          <w:sz w:val="24"/>
          <w:szCs w:val="20"/>
          <w:highlight w:val="none"/>
          <w:lang w:val="en-US" w:eastAsia="zh-CN" w:bidi="ar-SA"/>
        </w:rPr>
      </w:pPr>
      <w:bookmarkStart w:id="60" w:name="_Toc9729"/>
      <w:r>
        <w:rPr>
          <w:rFonts w:hint="eastAsia" w:ascii="宋体" w:hAnsi="宋体" w:eastAsia="宋体" w:cs="宋体"/>
          <w:b/>
          <w:bCs/>
          <w:color w:val="auto"/>
          <w:kern w:val="2"/>
          <w:sz w:val="24"/>
          <w:szCs w:val="20"/>
          <w:highlight w:val="none"/>
          <w:lang w:val="en-US" w:eastAsia="zh-CN" w:bidi="ar-SA"/>
        </w:rPr>
        <w:t>30.验收</w:t>
      </w:r>
      <w:bookmarkEnd w:id="60"/>
    </w:p>
    <w:p w14:paraId="3F8A2B3E">
      <w:pPr>
        <w:pageBreakBefore w:val="0"/>
        <w:tabs>
          <w:tab w:val="left" w:pos="0"/>
        </w:tabs>
        <w:kinsoku/>
        <w:wordWrap/>
        <w:overflowPunct/>
        <w:topLinePunct w:val="0"/>
        <w:bidi w:val="0"/>
        <w:spacing w:beforeAutospacing="0"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3B3AE7">
      <w:pPr>
        <w:pageBreakBefore w:val="0"/>
        <w:tabs>
          <w:tab w:val="left" w:pos="0"/>
        </w:tabs>
        <w:kinsoku/>
        <w:wordWrap/>
        <w:overflowPunct/>
        <w:topLinePunct w:val="0"/>
        <w:bidi w:val="0"/>
        <w:spacing w:beforeAutospacing="0"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A5C87EF">
      <w:pPr>
        <w:pageBreakBefore w:val="0"/>
        <w:tabs>
          <w:tab w:val="left" w:pos="0"/>
        </w:tabs>
        <w:kinsoku/>
        <w:wordWrap/>
        <w:overflowPunct/>
        <w:topLinePunct w:val="0"/>
        <w:bidi w:val="0"/>
        <w:spacing w:beforeAutospacing="0"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E2D6A5">
      <w:pPr>
        <w:pageBreakBefore w:val="0"/>
        <w:tabs>
          <w:tab w:val="left" w:pos="0"/>
        </w:tabs>
        <w:kinsoku/>
        <w:wordWrap/>
        <w:overflowPunct/>
        <w:topLinePunct w:val="0"/>
        <w:bidi w:val="0"/>
        <w:spacing w:beforeAutospacing="0" w:line="360" w:lineRule="auto"/>
        <w:ind w:firstLine="480"/>
        <w:textAlignment w:val="auto"/>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48"/>
    <w:p w14:paraId="33860BA6">
      <w:pPr>
        <w:pageBreakBefore w:val="0"/>
        <w:tabs>
          <w:tab w:val="left" w:pos="0"/>
        </w:tabs>
        <w:kinsoku/>
        <w:wordWrap/>
        <w:overflowPunct/>
        <w:topLinePunct w:val="0"/>
        <w:bidi w:val="0"/>
        <w:spacing w:beforeAutospacing="0" w:line="360" w:lineRule="auto"/>
        <w:ind w:firstLine="480"/>
        <w:textAlignment w:val="auto"/>
        <w:rPr>
          <w:rFonts w:ascii="宋体" w:hAnsi="宋体" w:cs="宋体"/>
          <w:color w:val="auto"/>
          <w:kern w:val="0"/>
          <w:sz w:val="24"/>
          <w:highlight w:val="none"/>
        </w:rPr>
        <w:sectPr>
          <w:pgSz w:w="11905" w:h="16838"/>
          <w:pgMar w:top="1417" w:right="1417" w:bottom="1417" w:left="1417" w:header="851" w:footer="850" w:gutter="0"/>
          <w:cols w:space="0" w:num="1"/>
          <w:rtlGutter w:val="0"/>
          <w:docGrid w:linePitch="312" w:charSpace="0"/>
        </w:sectPr>
      </w:pPr>
      <w:bookmarkStart w:id="61" w:name="_Hlt74729768"/>
      <w:bookmarkEnd w:id="61"/>
      <w:bookmarkStart w:id="62" w:name="_Hlt68072990"/>
      <w:bookmarkEnd w:id="62"/>
      <w:bookmarkStart w:id="63" w:name="_Hlt68072998"/>
      <w:bookmarkEnd w:id="63"/>
      <w:bookmarkStart w:id="64" w:name="_Hlt75236101"/>
      <w:bookmarkEnd w:id="64"/>
      <w:bookmarkStart w:id="65" w:name="_Hlt68073093"/>
      <w:bookmarkEnd w:id="65"/>
      <w:bookmarkStart w:id="66" w:name="_Hlt68057669"/>
      <w:bookmarkEnd w:id="66"/>
      <w:bookmarkStart w:id="67" w:name="_Hlt68403820"/>
      <w:bookmarkEnd w:id="67"/>
      <w:bookmarkStart w:id="68" w:name="_Hlt75236011"/>
      <w:bookmarkEnd w:id="68"/>
      <w:bookmarkStart w:id="69" w:name="_Hlt75236290"/>
      <w:bookmarkEnd w:id="69"/>
      <w:bookmarkStart w:id="70" w:name="_Hlt74707468"/>
      <w:bookmarkEnd w:id="70"/>
      <w:bookmarkStart w:id="71" w:name="_Hlt74730295"/>
      <w:bookmarkEnd w:id="71"/>
      <w:bookmarkStart w:id="72" w:name="_Hlt74714665"/>
      <w:bookmarkEnd w:id="72"/>
    </w:p>
    <w:bookmarkEnd w:id="24"/>
    <w:p w14:paraId="1D75F421">
      <w:pPr>
        <w:numPr>
          <w:ilvl w:val="0"/>
          <w:numId w:val="0"/>
        </w:numPr>
        <w:adjustRightInd/>
        <w:spacing w:line="360" w:lineRule="auto"/>
        <w:jc w:val="center"/>
        <w:outlineLvl w:val="0"/>
        <w:rPr>
          <w:rFonts w:hint="eastAsia" w:ascii="宋体" w:hAnsi="宋体" w:cs="宋体"/>
          <w:b/>
          <w:color w:val="auto"/>
          <w:sz w:val="32"/>
          <w:szCs w:val="18"/>
          <w:highlight w:val="none"/>
        </w:rPr>
      </w:pPr>
      <w:bookmarkStart w:id="73" w:name="_Toc12090"/>
      <w:r>
        <w:rPr>
          <w:rFonts w:hint="eastAsia" w:ascii="宋体" w:hAnsi="宋体" w:cs="宋体"/>
          <w:b/>
          <w:color w:val="auto"/>
          <w:sz w:val="32"/>
          <w:szCs w:val="18"/>
          <w:highlight w:val="none"/>
          <w:lang w:val="en-US" w:eastAsia="zh-CN"/>
        </w:rPr>
        <w:t xml:space="preserve">第三部分 </w:t>
      </w:r>
      <w:r>
        <w:rPr>
          <w:rFonts w:hint="eastAsia" w:ascii="宋体" w:hAnsi="宋体" w:cs="宋体"/>
          <w:b/>
          <w:color w:val="auto"/>
          <w:sz w:val="32"/>
          <w:szCs w:val="18"/>
          <w:highlight w:val="none"/>
        </w:rPr>
        <w:t>采购需求</w:t>
      </w:r>
      <w:bookmarkEnd w:id="73"/>
    </w:p>
    <w:p w14:paraId="192111C7">
      <w:pPr>
        <w:keepNext/>
        <w:keepLines/>
        <w:widowControl w:val="0"/>
        <w:tabs>
          <w:tab w:val="left" w:pos="432"/>
        </w:tabs>
        <w:kinsoku/>
        <w:wordWrap/>
        <w:overflowPunct/>
        <w:topLinePunct w:val="0"/>
        <w:autoSpaceDE/>
        <w:autoSpaceDN/>
        <w:bidi w:val="0"/>
        <w:spacing w:before="0" w:beforeAutospacing="0" w:after="0" w:line="360" w:lineRule="auto"/>
        <w:ind w:left="432" w:hanging="432"/>
        <w:jc w:val="both"/>
        <w:outlineLvl w:val="1"/>
        <w:rPr>
          <w:rFonts w:hint="eastAsia" w:ascii="宋体" w:hAnsi="宋体" w:eastAsia="宋体" w:cs="宋体"/>
          <w:b/>
          <w:bCs/>
          <w:color w:val="auto"/>
          <w:kern w:val="44"/>
          <w:sz w:val="24"/>
          <w:szCs w:val="24"/>
          <w:highlight w:val="none"/>
          <w:lang w:val="en-US" w:eastAsia="zh-CN" w:bidi="ar-SA"/>
        </w:rPr>
      </w:pPr>
      <w:bookmarkStart w:id="74" w:name="_Toc4177"/>
      <w:r>
        <w:rPr>
          <w:rFonts w:hint="eastAsia" w:ascii="宋体" w:hAnsi="宋体" w:eastAsia="宋体" w:cs="宋体"/>
          <w:b/>
          <w:bCs/>
          <w:color w:val="auto"/>
          <w:kern w:val="44"/>
          <w:sz w:val="24"/>
          <w:szCs w:val="24"/>
          <w:highlight w:val="none"/>
          <w:lang w:val="en-US" w:eastAsia="zh-CN" w:bidi="ar-SA"/>
        </w:rPr>
        <w:t>一、建设背景</w:t>
      </w:r>
    </w:p>
    <w:p w14:paraId="50E048F0">
      <w:pPr>
        <w:kinsoku/>
        <w:wordWrap/>
        <w:overflowPunct/>
        <w:topLinePunct w:val="0"/>
        <w:autoSpaceDE/>
        <w:autoSpaceDN/>
        <w:bidi w:val="0"/>
        <w:adjustRightInd w:val="0"/>
        <w:snapToGrid w:val="0"/>
        <w:spacing w:before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区县级融媒体中心是打通宣传思想工作中至关重要的“最后一公里”，建立以主流媒体自主可控的新型互联网传播平台为核心的现代传播体系，打造成为新时代治国理政新平台。2020年9月26日，中共中央办公厅、国务院办公厅印发《关于加快推进媒体深度融合发展的意见》。要求深刻认识全媒体时代推进这项工作的重要性紧迫性，坚持正能量是总要求、管得住是硬道理、用得好是真本事，坚持正确方向，坚持移动优先，坚持科学布局，坚持改革创新，尽快建成一批具有强大影响力和竞争力的新型主流媒体，逐步构建网上网下一体、内宣外宣联动的主流舆论格局，建立以内容建设为根本、先进技术为支撑、创新管理为保障的全媒体传播体系。</w:t>
      </w:r>
    </w:p>
    <w:p w14:paraId="34C5E615">
      <w:pPr>
        <w:keepNext/>
        <w:keepLines/>
        <w:widowControl w:val="0"/>
        <w:tabs>
          <w:tab w:val="left" w:pos="432"/>
        </w:tabs>
        <w:kinsoku/>
        <w:wordWrap/>
        <w:overflowPunct/>
        <w:topLinePunct w:val="0"/>
        <w:autoSpaceDE/>
        <w:autoSpaceDN/>
        <w:bidi w:val="0"/>
        <w:spacing w:before="0" w:beforeAutospacing="0" w:after="0" w:line="360" w:lineRule="auto"/>
        <w:ind w:left="432" w:hanging="432"/>
        <w:jc w:val="both"/>
        <w:outlineLvl w:val="1"/>
        <w:rPr>
          <w:rFonts w:hint="eastAsia" w:ascii="宋体" w:hAnsi="宋体" w:eastAsia="宋体" w:cs="宋体"/>
          <w:b/>
          <w:bCs/>
          <w:color w:val="auto"/>
          <w:kern w:val="44"/>
          <w:sz w:val="24"/>
          <w:szCs w:val="24"/>
          <w:highlight w:val="none"/>
          <w:lang w:val="en-US" w:eastAsia="zh-CN" w:bidi="ar-SA"/>
        </w:rPr>
      </w:pPr>
      <w:r>
        <w:rPr>
          <w:rFonts w:hint="eastAsia" w:ascii="宋体" w:hAnsi="宋体" w:eastAsia="宋体" w:cs="宋体"/>
          <w:b/>
          <w:bCs/>
          <w:color w:val="auto"/>
          <w:kern w:val="44"/>
          <w:sz w:val="24"/>
          <w:szCs w:val="24"/>
          <w:highlight w:val="none"/>
          <w:lang w:val="en-US" w:eastAsia="zh-CN" w:bidi="ar-SA"/>
        </w:rPr>
        <w:t>二、建设目标</w:t>
      </w:r>
    </w:p>
    <w:p w14:paraId="2E1B913E">
      <w:pPr>
        <w:kinsoku/>
        <w:wordWrap/>
        <w:overflowPunct/>
        <w:topLinePunct w:val="0"/>
        <w:autoSpaceDE/>
        <w:autoSpaceDN/>
        <w:bidi w:val="0"/>
        <w:adjustRightInd w:val="0"/>
        <w:snapToGrid w:val="0"/>
        <w:spacing w:beforeAutospacing="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eastAsia="zh-Hans"/>
        </w:rPr>
        <w:t>中央</w:t>
      </w:r>
      <w:r>
        <w:rPr>
          <w:rFonts w:hint="eastAsia" w:ascii="宋体" w:hAnsi="宋体" w:eastAsia="宋体" w:cs="宋体"/>
          <w:color w:val="auto"/>
          <w:sz w:val="24"/>
          <w:szCs w:val="24"/>
          <w:highlight w:val="none"/>
        </w:rPr>
        <w:t>发布的融媒体建设规范为指导，结合</w:t>
      </w:r>
      <w:r>
        <w:rPr>
          <w:rFonts w:hint="eastAsia" w:ascii="宋体" w:hAnsi="宋体" w:eastAsia="宋体" w:cs="宋体"/>
          <w:color w:val="auto"/>
          <w:sz w:val="24"/>
          <w:szCs w:val="24"/>
          <w:highlight w:val="none"/>
          <w:lang w:val="en-US" w:eastAsia="zh-CN"/>
        </w:rPr>
        <w:t>余杭</w:t>
      </w:r>
      <w:r>
        <w:rPr>
          <w:rFonts w:hint="eastAsia" w:ascii="宋体" w:hAnsi="宋体" w:eastAsia="宋体" w:cs="宋体"/>
          <w:color w:val="auto"/>
          <w:sz w:val="24"/>
          <w:szCs w:val="24"/>
          <w:highlight w:val="none"/>
        </w:rPr>
        <w:t>融媒体中心实际需求，建设满足“移动优先”的</w:t>
      </w:r>
      <w:r>
        <w:rPr>
          <w:rFonts w:hint="eastAsia" w:ascii="宋体" w:hAnsi="宋体" w:eastAsia="宋体" w:cs="宋体"/>
          <w:color w:val="auto"/>
          <w:sz w:val="24"/>
          <w:szCs w:val="24"/>
          <w:highlight w:val="none"/>
          <w:lang w:eastAsia="zh-Hans"/>
        </w:rPr>
        <w:t>区</w:t>
      </w:r>
      <w:r>
        <w:rPr>
          <w:rFonts w:hint="eastAsia" w:ascii="宋体" w:hAnsi="宋体" w:eastAsia="宋体" w:cs="宋体"/>
          <w:color w:val="auto"/>
          <w:sz w:val="24"/>
          <w:szCs w:val="24"/>
          <w:highlight w:val="none"/>
        </w:rPr>
        <w:t>县级</w:t>
      </w:r>
      <w:r>
        <w:rPr>
          <w:rFonts w:hint="eastAsia" w:ascii="宋体" w:hAnsi="宋体" w:eastAsia="宋体" w:cs="宋体"/>
          <w:color w:val="auto"/>
          <w:sz w:val="24"/>
          <w:szCs w:val="24"/>
          <w:highlight w:val="none"/>
          <w:lang w:eastAsia="zh-Hans"/>
        </w:rPr>
        <w:t>融</w:t>
      </w:r>
      <w:r>
        <w:rPr>
          <w:rFonts w:hint="eastAsia" w:ascii="宋体" w:hAnsi="宋体" w:eastAsia="宋体" w:cs="宋体"/>
          <w:color w:val="auto"/>
          <w:sz w:val="24"/>
          <w:szCs w:val="24"/>
          <w:highlight w:val="none"/>
        </w:rPr>
        <w:t>媒体中心</w:t>
      </w:r>
      <w:r>
        <w:rPr>
          <w:rFonts w:hint="eastAsia" w:ascii="宋体" w:hAnsi="宋体" w:eastAsia="宋体" w:cs="宋体"/>
          <w:color w:val="auto"/>
          <w:sz w:val="24"/>
          <w:szCs w:val="24"/>
          <w:highlight w:val="none"/>
          <w:lang w:eastAsia="zh-Hans"/>
        </w:rPr>
        <w:t>技术</w:t>
      </w:r>
      <w:r>
        <w:rPr>
          <w:rFonts w:hint="eastAsia" w:ascii="宋体" w:hAnsi="宋体" w:eastAsia="宋体" w:cs="宋体"/>
          <w:color w:val="auto"/>
          <w:sz w:val="24"/>
          <w:szCs w:val="24"/>
          <w:highlight w:val="none"/>
        </w:rPr>
        <w:t>平台，着力实现客户端、</w:t>
      </w:r>
      <w:r>
        <w:rPr>
          <w:rFonts w:hint="eastAsia" w:ascii="宋体" w:hAnsi="宋体" w:eastAsia="宋体" w:cs="宋体"/>
          <w:color w:val="auto"/>
          <w:sz w:val="24"/>
          <w:szCs w:val="24"/>
          <w:highlight w:val="none"/>
          <w:lang w:val="en-US" w:eastAsia="zh-CN"/>
        </w:rPr>
        <w:t>第三方</w:t>
      </w:r>
      <w:r>
        <w:rPr>
          <w:rFonts w:hint="eastAsia" w:ascii="宋体" w:hAnsi="宋体" w:eastAsia="宋体" w:cs="宋体"/>
          <w:color w:val="auto"/>
          <w:sz w:val="24"/>
          <w:szCs w:val="24"/>
          <w:highlight w:val="none"/>
        </w:rPr>
        <w:t>新媒体等媒体</w:t>
      </w:r>
      <w:r>
        <w:rPr>
          <w:rFonts w:hint="eastAsia" w:ascii="宋体" w:hAnsi="宋体" w:eastAsia="宋体" w:cs="宋体"/>
          <w:color w:val="auto"/>
          <w:sz w:val="24"/>
          <w:szCs w:val="24"/>
          <w:highlight w:val="none"/>
          <w:lang w:eastAsia="zh-Hans"/>
        </w:rPr>
        <w:t>渠道</w:t>
      </w:r>
      <w:r>
        <w:rPr>
          <w:rFonts w:hint="eastAsia" w:ascii="宋体" w:hAnsi="宋体" w:eastAsia="宋体" w:cs="宋体"/>
          <w:color w:val="auto"/>
          <w:sz w:val="24"/>
          <w:szCs w:val="24"/>
          <w:highlight w:val="none"/>
        </w:rPr>
        <w:t>采编发一体化，采用一次采集、多种生成、多</w:t>
      </w:r>
      <w:r>
        <w:rPr>
          <w:rFonts w:hint="eastAsia" w:ascii="宋体" w:hAnsi="宋体" w:eastAsia="宋体" w:cs="宋体"/>
          <w:color w:val="auto"/>
          <w:sz w:val="24"/>
          <w:szCs w:val="24"/>
          <w:highlight w:val="none"/>
          <w:lang w:eastAsia="zh-Hans"/>
        </w:rPr>
        <w:t>渠道</w:t>
      </w:r>
      <w:r>
        <w:rPr>
          <w:rFonts w:hint="eastAsia" w:ascii="宋体" w:hAnsi="宋体" w:eastAsia="宋体" w:cs="宋体"/>
          <w:color w:val="auto"/>
          <w:sz w:val="24"/>
          <w:szCs w:val="24"/>
          <w:highlight w:val="none"/>
        </w:rPr>
        <w:t>传播的整体运作模式，实现传统媒体以及新兴媒体的有机融合，提升新闻舆论传播力、公信力、影响力、</w:t>
      </w:r>
      <w:r>
        <w:rPr>
          <w:rFonts w:hint="eastAsia" w:ascii="宋体" w:hAnsi="宋体" w:eastAsia="宋体" w:cs="宋体"/>
          <w:color w:val="auto"/>
          <w:sz w:val="24"/>
          <w:szCs w:val="24"/>
          <w:highlight w:val="none"/>
          <w:lang w:eastAsia="zh-Hans"/>
        </w:rPr>
        <w:t>引导力</w:t>
      </w:r>
      <w:r>
        <w:rPr>
          <w:rFonts w:hint="eastAsia" w:ascii="宋体" w:hAnsi="宋体" w:eastAsia="宋体" w:cs="宋体"/>
          <w:color w:val="auto"/>
          <w:sz w:val="24"/>
          <w:szCs w:val="24"/>
          <w:highlight w:val="none"/>
        </w:rPr>
        <w:t>。力求通过项目建设，将其打造成为“全省领先、国内一流”的区县级新型主流媒体阵地。</w:t>
      </w:r>
    </w:p>
    <w:p w14:paraId="7B59FA69">
      <w:pPr>
        <w:keepNext/>
        <w:keepLines/>
        <w:widowControl w:val="0"/>
        <w:tabs>
          <w:tab w:val="left" w:pos="432"/>
        </w:tabs>
        <w:kinsoku/>
        <w:wordWrap/>
        <w:overflowPunct/>
        <w:topLinePunct w:val="0"/>
        <w:autoSpaceDE/>
        <w:autoSpaceDN/>
        <w:bidi w:val="0"/>
        <w:spacing w:before="0" w:beforeAutospacing="0" w:after="0" w:line="360" w:lineRule="auto"/>
        <w:ind w:left="432" w:hanging="432"/>
        <w:jc w:val="both"/>
        <w:outlineLvl w:val="1"/>
        <w:rPr>
          <w:rFonts w:hint="eastAsia" w:ascii="宋体" w:hAnsi="宋体" w:eastAsia="宋体" w:cs="宋体"/>
          <w:b/>
          <w:bCs/>
          <w:color w:val="auto"/>
          <w:kern w:val="44"/>
          <w:sz w:val="24"/>
          <w:szCs w:val="24"/>
          <w:highlight w:val="none"/>
          <w:lang w:val="en-US" w:eastAsia="zh-CN" w:bidi="ar-SA"/>
        </w:rPr>
      </w:pPr>
      <w:r>
        <w:rPr>
          <w:rFonts w:hint="eastAsia" w:ascii="宋体" w:hAnsi="宋体" w:eastAsia="宋体" w:cs="宋体"/>
          <w:b/>
          <w:bCs/>
          <w:color w:val="auto"/>
          <w:kern w:val="44"/>
          <w:sz w:val="24"/>
          <w:szCs w:val="24"/>
          <w:highlight w:val="none"/>
          <w:lang w:val="en-US" w:eastAsia="zh-CN" w:bidi="ar-SA"/>
        </w:rPr>
        <w:t>三、建设内容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90"/>
        <w:gridCol w:w="565"/>
        <w:gridCol w:w="1496"/>
        <w:gridCol w:w="5483"/>
        <w:gridCol w:w="558"/>
        <w:gridCol w:w="695"/>
      </w:tblGrid>
      <w:tr w14:paraId="2182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0" w:hRule="atLeast"/>
          <w:jc w:val="center"/>
        </w:trPr>
        <w:tc>
          <w:tcPr>
            <w:tcW w:w="0" w:type="auto"/>
            <w:shd w:val="clear" w:color="auto" w:fill="auto"/>
            <w:vAlign w:val="center"/>
          </w:tcPr>
          <w:p w14:paraId="2946BAE0">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序号</w:t>
            </w:r>
          </w:p>
        </w:tc>
        <w:tc>
          <w:tcPr>
            <w:tcW w:w="0" w:type="auto"/>
            <w:gridSpan w:val="2"/>
            <w:shd w:val="clear" w:color="auto" w:fill="auto"/>
            <w:vAlign w:val="center"/>
          </w:tcPr>
          <w:p w14:paraId="76AA8DE2">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服务项目</w:t>
            </w:r>
          </w:p>
        </w:tc>
        <w:tc>
          <w:tcPr>
            <w:tcW w:w="0" w:type="auto"/>
            <w:shd w:val="clear" w:color="auto" w:fill="auto"/>
            <w:vAlign w:val="center"/>
          </w:tcPr>
          <w:p w14:paraId="62556798">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规格说明</w:t>
            </w:r>
          </w:p>
        </w:tc>
        <w:tc>
          <w:tcPr>
            <w:tcW w:w="0" w:type="auto"/>
            <w:shd w:val="clear" w:color="auto" w:fill="auto"/>
            <w:vAlign w:val="center"/>
          </w:tcPr>
          <w:p w14:paraId="18F71734">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服务期限</w:t>
            </w:r>
          </w:p>
        </w:tc>
        <w:tc>
          <w:tcPr>
            <w:tcW w:w="0" w:type="auto"/>
            <w:shd w:val="clear" w:color="auto" w:fill="auto"/>
            <w:vAlign w:val="center"/>
          </w:tcPr>
          <w:p w14:paraId="119FD53B">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数量及单位</w:t>
            </w:r>
          </w:p>
        </w:tc>
      </w:tr>
      <w:tr w14:paraId="6080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0" w:type="auto"/>
            <w:gridSpan w:val="6"/>
            <w:shd w:val="clear" w:color="auto" w:fill="auto"/>
            <w:vAlign w:val="center"/>
          </w:tcPr>
          <w:p w14:paraId="15DF25AC">
            <w:pPr>
              <w:adjustRightInd/>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一、天目蓝云（公有云）</w:t>
            </w:r>
          </w:p>
        </w:tc>
      </w:tr>
      <w:tr w14:paraId="4393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7" w:hRule="atLeast"/>
          <w:jc w:val="center"/>
        </w:trPr>
        <w:tc>
          <w:tcPr>
            <w:tcW w:w="0" w:type="auto"/>
            <w:shd w:val="clear" w:color="auto" w:fill="auto"/>
            <w:vAlign w:val="center"/>
          </w:tcPr>
          <w:p w14:paraId="2F98D0E3">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0" w:type="auto"/>
            <w:gridSpan w:val="2"/>
            <w:shd w:val="clear" w:color="auto" w:fill="auto"/>
            <w:vAlign w:val="center"/>
          </w:tcPr>
          <w:p w14:paraId="42659EE6">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基础服务</w:t>
            </w:r>
          </w:p>
        </w:tc>
        <w:tc>
          <w:tcPr>
            <w:tcW w:w="0" w:type="auto"/>
            <w:shd w:val="clear" w:color="auto" w:fill="auto"/>
            <w:vAlign w:val="center"/>
          </w:tcPr>
          <w:p w14:paraId="2BA82744">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包括工作台、待办、工作通知、在线聊天、搜索、个人中心、通讯录、管理后台、智能检校、快编、office在线预览、云盘、订阅资源、收藏资源、一张网等基础服务。</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提供涵盖报台网端和新媒体的一站式融合智能采编工作台服务，以IM和消息来驱动工作场景，以流程引擎来适配工作流程，以数据能力和智能工具来提升工作效率，实现一次采集、多种生成、多元分发的融合采编模式。</w:t>
            </w:r>
          </w:p>
        </w:tc>
        <w:tc>
          <w:tcPr>
            <w:tcW w:w="0" w:type="auto"/>
            <w:shd w:val="clear" w:color="auto" w:fill="auto"/>
            <w:vAlign w:val="center"/>
          </w:tcPr>
          <w:p w14:paraId="55D5D426">
            <w:pPr>
              <w:adjustRightInd/>
              <w:spacing w:line="360" w:lineRule="auto"/>
              <w:jc w:val="center"/>
              <w:rPr>
                <w:rFonts w:hint="default" w:ascii="宋体" w:hAnsi="宋体" w:eastAsia="宋体" w:cs="宋体"/>
                <w:color w:val="auto"/>
                <w:sz w:val="24"/>
                <w:szCs w:val="24"/>
                <w:highlight w:val="none"/>
                <w:lang w:val="en-US"/>
              </w:rPr>
            </w:pPr>
            <w:r>
              <w:rPr>
                <w:rFonts w:hint="eastAsia" w:ascii="宋体" w:hAnsi="宋体" w:cs="宋体"/>
                <w:color w:val="auto"/>
                <w:kern w:val="0"/>
                <w:sz w:val="24"/>
                <w:szCs w:val="24"/>
                <w:highlight w:val="none"/>
                <w:lang w:val="en-US" w:eastAsia="zh-CN"/>
              </w:rPr>
              <w:t>一年</w:t>
            </w:r>
          </w:p>
        </w:tc>
        <w:tc>
          <w:tcPr>
            <w:tcW w:w="0" w:type="auto"/>
            <w:shd w:val="clear" w:color="auto" w:fill="auto"/>
            <w:vAlign w:val="center"/>
          </w:tcPr>
          <w:p w14:paraId="2E632CC5">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1套</w:t>
            </w:r>
          </w:p>
        </w:tc>
      </w:tr>
      <w:tr w14:paraId="13F2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0" w:type="auto"/>
            <w:vMerge w:val="restart"/>
            <w:shd w:val="clear" w:color="auto" w:fill="auto"/>
            <w:vAlign w:val="center"/>
          </w:tcPr>
          <w:p w14:paraId="47BF3D56">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0" w:type="auto"/>
            <w:vMerge w:val="restart"/>
            <w:shd w:val="clear" w:color="auto" w:fill="auto"/>
            <w:vAlign w:val="center"/>
          </w:tcPr>
          <w:p w14:paraId="786DAAE3">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融合采编</w:t>
            </w:r>
          </w:p>
        </w:tc>
        <w:tc>
          <w:tcPr>
            <w:tcW w:w="0" w:type="auto"/>
            <w:shd w:val="clear" w:color="auto" w:fill="auto"/>
            <w:noWrap/>
            <w:vAlign w:val="center"/>
          </w:tcPr>
          <w:p w14:paraId="01778BDC">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客户端采编</w:t>
            </w:r>
          </w:p>
        </w:tc>
        <w:tc>
          <w:tcPr>
            <w:tcW w:w="0" w:type="auto"/>
            <w:shd w:val="clear" w:color="auto" w:fill="auto"/>
            <w:vAlign w:val="center"/>
          </w:tcPr>
          <w:p w14:paraId="3A7DB81C">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作为客户端渠道的综合发布平台，结合OA流程引擎实现对稿件内容创作、审核、签发的全流程管理。支持文章、图集、专题、视频集、音频集、视频、链接、活动、直播九种稿件类型，同时与网络资源及一张网资源（政通稿、推荐稿）版块打通，通过一键快签的方式，快速精准地将优秀稿件签发至目标频道。通过用户体系打通，实现与客户端管理后台的连通，方便对发布在客户端展示的新闻稿进行运营管理。</w:t>
            </w:r>
          </w:p>
        </w:tc>
        <w:tc>
          <w:tcPr>
            <w:tcW w:w="0" w:type="auto"/>
            <w:vMerge w:val="restart"/>
            <w:shd w:val="clear" w:color="auto" w:fill="auto"/>
            <w:vAlign w:val="center"/>
          </w:tcPr>
          <w:p w14:paraId="7E1437D4">
            <w:pPr>
              <w:adjustRightInd/>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一年</w:t>
            </w:r>
          </w:p>
        </w:tc>
        <w:tc>
          <w:tcPr>
            <w:tcW w:w="0" w:type="auto"/>
            <w:vMerge w:val="restart"/>
            <w:shd w:val="clear" w:color="auto" w:fill="auto"/>
            <w:vAlign w:val="center"/>
          </w:tcPr>
          <w:p w14:paraId="785F57F5">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1套</w:t>
            </w:r>
          </w:p>
        </w:tc>
      </w:tr>
      <w:tr w14:paraId="0D1B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0" w:type="auto"/>
            <w:vMerge w:val="continue"/>
            <w:shd w:val="clear" w:color="auto" w:fill="auto"/>
            <w:vAlign w:val="center"/>
          </w:tcPr>
          <w:p w14:paraId="0ECB1370">
            <w:pPr>
              <w:adjustRightInd/>
              <w:spacing w:line="360" w:lineRule="auto"/>
              <w:jc w:val="center"/>
              <w:rPr>
                <w:rFonts w:hint="eastAsia" w:ascii="宋体" w:hAnsi="宋体" w:eastAsia="宋体" w:cs="宋体"/>
                <w:color w:val="auto"/>
                <w:sz w:val="24"/>
                <w:szCs w:val="24"/>
                <w:highlight w:val="none"/>
              </w:rPr>
            </w:pPr>
          </w:p>
        </w:tc>
        <w:tc>
          <w:tcPr>
            <w:tcW w:w="0" w:type="auto"/>
            <w:vMerge w:val="continue"/>
            <w:shd w:val="clear" w:color="auto" w:fill="auto"/>
            <w:vAlign w:val="center"/>
          </w:tcPr>
          <w:p w14:paraId="06BE1F8D">
            <w:pPr>
              <w:adjustRightInd/>
              <w:spacing w:line="360" w:lineRule="auto"/>
              <w:jc w:val="center"/>
              <w:rPr>
                <w:rFonts w:hint="eastAsia" w:ascii="宋体" w:hAnsi="宋体" w:eastAsia="宋体" w:cs="宋体"/>
                <w:color w:val="auto"/>
                <w:sz w:val="24"/>
                <w:szCs w:val="24"/>
                <w:highlight w:val="none"/>
              </w:rPr>
            </w:pPr>
          </w:p>
        </w:tc>
        <w:tc>
          <w:tcPr>
            <w:tcW w:w="0" w:type="auto"/>
            <w:shd w:val="clear" w:color="auto" w:fill="auto"/>
            <w:noWrap/>
            <w:vAlign w:val="center"/>
          </w:tcPr>
          <w:p w14:paraId="06341B50">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新媒体矩阵</w:t>
            </w:r>
          </w:p>
        </w:tc>
        <w:tc>
          <w:tcPr>
            <w:tcW w:w="0" w:type="auto"/>
            <w:shd w:val="clear" w:color="auto" w:fill="auto"/>
            <w:vAlign w:val="center"/>
          </w:tcPr>
          <w:p w14:paraId="139D9F5E">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提供新媒体渠道的统一采编创作以及发布管理。支持对多个第三方媒体账号进行授权管理，包括微信、微博、bilibili号、企鹅号等，覆盖文章、视频、公众号专辑、短内容等多种稿件类型，结合OA流程引擎实现对稿件的灵活审批处理。</w:t>
            </w:r>
          </w:p>
        </w:tc>
        <w:tc>
          <w:tcPr>
            <w:tcW w:w="0" w:type="auto"/>
            <w:vMerge w:val="continue"/>
            <w:shd w:val="clear" w:color="auto" w:fill="auto"/>
            <w:vAlign w:val="center"/>
          </w:tcPr>
          <w:p w14:paraId="76144B53">
            <w:pPr>
              <w:adjustRightInd/>
              <w:spacing w:line="360" w:lineRule="auto"/>
              <w:jc w:val="center"/>
              <w:rPr>
                <w:rFonts w:hint="eastAsia" w:ascii="宋体" w:hAnsi="宋体" w:eastAsia="宋体" w:cs="宋体"/>
                <w:color w:val="auto"/>
                <w:sz w:val="24"/>
                <w:szCs w:val="24"/>
                <w:highlight w:val="none"/>
              </w:rPr>
            </w:pPr>
          </w:p>
        </w:tc>
        <w:tc>
          <w:tcPr>
            <w:tcW w:w="0" w:type="auto"/>
            <w:vMerge w:val="continue"/>
            <w:shd w:val="clear" w:color="auto" w:fill="auto"/>
            <w:vAlign w:val="center"/>
          </w:tcPr>
          <w:p w14:paraId="4CC50210">
            <w:pPr>
              <w:adjustRightInd/>
              <w:spacing w:line="360" w:lineRule="auto"/>
              <w:jc w:val="center"/>
              <w:rPr>
                <w:rFonts w:hint="eastAsia" w:ascii="宋体" w:hAnsi="宋体" w:eastAsia="宋体" w:cs="宋体"/>
                <w:color w:val="auto"/>
                <w:sz w:val="24"/>
                <w:szCs w:val="24"/>
                <w:highlight w:val="none"/>
              </w:rPr>
            </w:pPr>
          </w:p>
        </w:tc>
      </w:tr>
      <w:tr w14:paraId="3766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40" w:hRule="atLeast"/>
          <w:jc w:val="center"/>
        </w:trPr>
        <w:tc>
          <w:tcPr>
            <w:tcW w:w="0" w:type="auto"/>
            <w:vMerge w:val="restart"/>
            <w:shd w:val="clear" w:color="auto" w:fill="auto"/>
            <w:vAlign w:val="center"/>
          </w:tcPr>
          <w:p w14:paraId="0C039AAC">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0" w:type="auto"/>
            <w:vMerge w:val="restart"/>
            <w:shd w:val="clear" w:color="auto" w:fill="auto"/>
            <w:vAlign w:val="center"/>
          </w:tcPr>
          <w:p w14:paraId="48C50629">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智慧资源</w:t>
            </w:r>
          </w:p>
        </w:tc>
        <w:tc>
          <w:tcPr>
            <w:tcW w:w="0" w:type="auto"/>
            <w:gridSpan w:val="2"/>
            <w:vMerge w:val="restart"/>
            <w:shd w:val="clear" w:color="auto" w:fill="auto"/>
            <w:vAlign w:val="center"/>
          </w:tcPr>
          <w:p w14:paraId="7DF84591">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共享稿库：支持用户将个人创作的全部渠道的稿件共享至共享稿库，有权限的采编用户可在共享稿库进行取稿、收藏、打印、导出等操作，实现融媒体平台一体化管理与优质内容多平台、跨渠道共享使用。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成品资源：对已发布的成品稿件、音频、图片及包括成片在内的视频素材进行汇总展示，按分类展示，支持对成品资源进行取稿、收藏、打印、导出等操作。</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互联网资源：网络资源提供基于互联网的数据采集、汇总与归类，按照多渠道（数字报刊、网站、客户端、微信、微博）接入互联网采集数据，并按照主题、地区、类型进行智能化打标展示。</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新华社稿库：支持接入客户已采购的新华社专线资源，按照文字线路、图文线路和多媒体线路专线进行分类展示及支持取用。</w:t>
            </w:r>
          </w:p>
        </w:tc>
        <w:tc>
          <w:tcPr>
            <w:tcW w:w="0" w:type="auto"/>
            <w:vMerge w:val="restart"/>
            <w:shd w:val="clear" w:color="auto" w:fill="auto"/>
            <w:vAlign w:val="center"/>
          </w:tcPr>
          <w:p w14:paraId="545C1E17">
            <w:pPr>
              <w:adjustRightInd/>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一年</w:t>
            </w:r>
          </w:p>
        </w:tc>
        <w:tc>
          <w:tcPr>
            <w:tcW w:w="0" w:type="auto"/>
            <w:vMerge w:val="restart"/>
            <w:shd w:val="clear" w:color="auto" w:fill="auto"/>
            <w:vAlign w:val="center"/>
          </w:tcPr>
          <w:p w14:paraId="74B33C66">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1套</w:t>
            </w:r>
          </w:p>
        </w:tc>
      </w:tr>
      <w:tr w14:paraId="4EF2D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7" w:hRule="atLeast"/>
          <w:jc w:val="center"/>
        </w:trPr>
        <w:tc>
          <w:tcPr>
            <w:tcW w:w="0" w:type="auto"/>
            <w:vMerge w:val="continue"/>
            <w:shd w:val="clear" w:color="auto" w:fill="auto"/>
            <w:vAlign w:val="center"/>
          </w:tcPr>
          <w:p w14:paraId="170B8D13">
            <w:pPr>
              <w:adjustRightInd/>
              <w:spacing w:line="360" w:lineRule="auto"/>
              <w:jc w:val="center"/>
              <w:rPr>
                <w:rFonts w:hint="eastAsia" w:ascii="宋体" w:hAnsi="宋体" w:eastAsia="宋体" w:cs="宋体"/>
                <w:color w:val="auto"/>
                <w:sz w:val="24"/>
                <w:szCs w:val="24"/>
                <w:highlight w:val="none"/>
              </w:rPr>
            </w:pPr>
          </w:p>
        </w:tc>
        <w:tc>
          <w:tcPr>
            <w:tcW w:w="0" w:type="auto"/>
            <w:vMerge w:val="continue"/>
            <w:shd w:val="clear" w:color="auto" w:fill="auto"/>
            <w:vAlign w:val="center"/>
          </w:tcPr>
          <w:p w14:paraId="2312AEFD">
            <w:pPr>
              <w:adjustRightInd/>
              <w:spacing w:line="360" w:lineRule="auto"/>
              <w:jc w:val="center"/>
              <w:rPr>
                <w:rFonts w:hint="eastAsia" w:ascii="宋体" w:hAnsi="宋体" w:eastAsia="宋体" w:cs="宋体"/>
                <w:color w:val="auto"/>
                <w:sz w:val="24"/>
                <w:szCs w:val="24"/>
                <w:highlight w:val="none"/>
              </w:rPr>
            </w:pPr>
          </w:p>
        </w:tc>
        <w:tc>
          <w:tcPr>
            <w:tcW w:w="0" w:type="auto"/>
            <w:gridSpan w:val="2"/>
            <w:vMerge w:val="continue"/>
            <w:shd w:val="clear" w:color="auto" w:fill="auto"/>
            <w:vAlign w:val="center"/>
          </w:tcPr>
          <w:p w14:paraId="3F78D6FF">
            <w:pPr>
              <w:adjustRightInd/>
              <w:spacing w:line="360" w:lineRule="auto"/>
              <w:jc w:val="center"/>
              <w:rPr>
                <w:rFonts w:hint="eastAsia" w:ascii="宋体" w:hAnsi="宋体" w:eastAsia="宋体" w:cs="宋体"/>
                <w:color w:val="auto"/>
                <w:sz w:val="24"/>
                <w:szCs w:val="24"/>
                <w:highlight w:val="none"/>
              </w:rPr>
            </w:pPr>
          </w:p>
        </w:tc>
        <w:tc>
          <w:tcPr>
            <w:tcW w:w="0" w:type="auto"/>
            <w:vMerge w:val="continue"/>
            <w:shd w:val="clear" w:color="auto" w:fill="auto"/>
            <w:vAlign w:val="center"/>
          </w:tcPr>
          <w:p w14:paraId="684CD3AF">
            <w:pPr>
              <w:adjustRightInd/>
              <w:spacing w:line="360" w:lineRule="auto"/>
              <w:jc w:val="center"/>
              <w:rPr>
                <w:rFonts w:hint="eastAsia" w:ascii="宋体" w:hAnsi="宋体" w:eastAsia="宋体" w:cs="宋体"/>
                <w:color w:val="auto"/>
                <w:sz w:val="24"/>
                <w:szCs w:val="24"/>
                <w:highlight w:val="none"/>
              </w:rPr>
            </w:pPr>
          </w:p>
        </w:tc>
        <w:tc>
          <w:tcPr>
            <w:tcW w:w="0" w:type="auto"/>
            <w:vMerge w:val="continue"/>
            <w:shd w:val="clear" w:color="auto" w:fill="auto"/>
            <w:vAlign w:val="center"/>
          </w:tcPr>
          <w:p w14:paraId="5345DF0B">
            <w:pPr>
              <w:adjustRightInd/>
              <w:spacing w:line="360" w:lineRule="auto"/>
              <w:jc w:val="center"/>
              <w:rPr>
                <w:rFonts w:hint="eastAsia" w:ascii="宋体" w:hAnsi="宋体" w:eastAsia="宋体" w:cs="宋体"/>
                <w:color w:val="auto"/>
                <w:sz w:val="24"/>
                <w:szCs w:val="24"/>
                <w:highlight w:val="none"/>
              </w:rPr>
            </w:pPr>
          </w:p>
        </w:tc>
      </w:tr>
      <w:tr w14:paraId="0A68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35" w:hRule="atLeast"/>
          <w:jc w:val="center"/>
        </w:trPr>
        <w:tc>
          <w:tcPr>
            <w:tcW w:w="0" w:type="auto"/>
            <w:vMerge w:val="continue"/>
            <w:shd w:val="clear" w:color="auto" w:fill="auto"/>
            <w:vAlign w:val="center"/>
          </w:tcPr>
          <w:p w14:paraId="39726D3B">
            <w:pPr>
              <w:adjustRightInd/>
              <w:spacing w:line="360" w:lineRule="auto"/>
              <w:jc w:val="center"/>
              <w:rPr>
                <w:rFonts w:hint="eastAsia" w:ascii="宋体" w:hAnsi="宋体" w:eastAsia="宋体" w:cs="宋体"/>
                <w:color w:val="auto"/>
                <w:sz w:val="24"/>
                <w:szCs w:val="24"/>
                <w:highlight w:val="none"/>
              </w:rPr>
            </w:pPr>
          </w:p>
        </w:tc>
        <w:tc>
          <w:tcPr>
            <w:tcW w:w="0" w:type="auto"/>
            <w:vMerge w:val="continue"/>
            <w:shd w:val="clear" w:color="auto" w:fill="auto"/>
            <w:vAlign w:val="center"/>
          </w:tcPr>
          <w:p w14:paraId="6879A358">
            <w:pPr>
              <w:adjustRightInd/>
              <w:spacing w:line="360" w:lineRule="auto"/>
              <w:jc w:val="center"/>
              <w:rPr>
                <w:rFonts w:hint="eastAsia" w:ascii="宋体" w:hAnsi="宋体" w:eastAsia="宋体" w:cs="宋体"/>
                <w:color w:val="auto"/>
                <w:sz w:val="24"/>
                <w:szCs w:val="24"/>
                <w:highlight w:val="none"/>
              </w:rPr>
            </w:pPr>
          </w:p>
        </w:tc>
        <w:tc>
          <w:tcPr>
            <w:tcW w:w="0" w:type="auto"/>
            <w:gridSpan w:val="2"/>
            <w:vMerge w:val="continue"/>
            <w:shd w:val="clear" w:color="auto" w:fill="auto"/>
            <w:vAlign w:val="center"/>
          </w:tcPr>
          <w:p w14:paraId="21604E6C">
            <w:pPr>
              <w:adjustRightInd/>
              <w:spacing w:line="360" w:lineRule="auto"/>
              <w:jc w:val="center"/>
              <w:rPr>
                <w:rFonts w:hint="eastAsia" w:ascii="宋体" w:hAnsi="宋体" w:eastAsia="宋体" w:cs="宋体"/>
                <w:color w:val="auto"/>
                <w:sz w:val="24"/>
                <w:szCs w:val="24"/>
                <w:highlight w:val="none"/>
              </w:rPr>
            </w:pPr>
          </w:p>
        </w:tc>
        <w:tc>
          <w:tcPr>
            <w:tcW w:w="0" w:type="auto"/>
            <w:vMerge w:val="continue"/>
            <w:shd w:val="clear" w:color="auto" w:fill="auto"/>
            <w:vAlign w:val="center"/>
          </w:tcPr>
          <w:p w14:paraId="34F2A998">
            <w:pPr>
              <w:adjustRightInd/>
              <w:spacing w:line="360" w:lineRule="auto"/>
              <w:jc w:val="center"/>
              <w:rPr>
                <w:rFonts w:hint="eastAsia" w:ascii="宋体" w:hAnsi="宋体" w:eastAsia="宋体" w:cs="宋体"/>
                <w:color w:val="auto"/>
                <w:sz w:val="24"/>
                <w:szCs w:val="24"/>
                <w:highlight w:val="none"/>
              </w:rPr>
            </w:pPr>
          </w:p>
        </w:tc>
        <w:tc>
          <w:tcPr>
            <w:tcW w:w="0" w:type="auto"/>
            <w:vMerge w:val="continue"/>
            <w:shd w:val="clear" w:color="auto" w:fill="auto"/>
            <w:vAlign w:val="center"/>
          </w:tcPr>
          <w:p w14:paraId="745B64A4">
            <w:pPr>
              <w:adjustRightInd/>
              <w:spacing w:line="360" w:lineRule="auto"/>
              <w:jc w:val="center"/>
              <w:rPr>
                <w:rFonts w:hint="eastAsia" w:ascii="宋体" w:hAnsi="宋体" w:eastAsia="宋体" w:cs="宋体"/>
                <w:color w:val="auto"/>
                <w:sz w:val="24"/>
                <w:szCs w:val="24"/>
                <w:highlight w:val="none"/>
              </w:rPr>
            </w:pPr>
          </w:p>
        </w:tc>
      </w:tr>
      <w:tr w14:paraId="189D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9" w:hRule="atLeast"/>
          <w:jc w:val="center"/>
        </w:trPr>
        <w:tc>
          <w:tcPr>
            <w:tcW w:w="0" w:type="auto"/>
            <w:vMerge w:val="continue"/>
            <w:shd w:val="clear" w:color="auto" w:fill="auto"/>
            <w:vAlign w:val="center"/>
          </w:tcPr>
          <w:p w14:paraId="0E9607BE">
            <w:pPr>
              <w:adjustRightInd/>
              <w:spacing w:line="360" w:lineRule="auto"/>
              <w:jc w:val="center"/>
              <w:rPr>
                <w:rFonts w:hint="eastAsia" w:ascii="宋体" w:hAnsi="宋体" w:eastAsia="宋体" w:cs="宋体"/>
                <w:color w:val="auto"/>
                <w:sz w:val="24"/>
                <w:szCs w:val="24"/>
                <w:highlight w:val="none"/>
              </w:rPr>
            </w:pPr>
          </w:p>
        </w:tc>
        <w:tc>
          <w:tcPr>
            <w:tcW w:w="0" w:type="auto"/>
            <w:vMerge w:val="continue"/>
            <w:shd w:val="clear" w:color="auto" w:fill="auto"/>
            <w:vAlign w:val="center"/>
          </w:tcPr>
          <w:p w14:paraId="765CB43C">
            <w:pPr>
              <w:adjustRightInd/>
              <w:spacing w:line="360" w:lineRule="auto"/>
              <w:jc w:val="center"/>
              <w:rPr>
                <w:rFonts w:hint="eastAsia" w:ascii="宋体" w:hAnsi="宋体" w:eastAsia="宋体" w:cs="宋体"/>
                <w:color w:val="auto"/>
                <w:sz w:val="24"/>
                <w:szCs w:val="24"/>
                <w:highlight w:val="none"/>
              </w:rPr>
            </w:pPr>
          </w:p>
        </w:tc>
        <w:tc>
          <w:tcPr>
            <w:tcW w:w="0" w:type="auto"/>
            <w:gridSpan w:val="2"/>
            <w:vMerge w:val="continue"/>
            <w:shd w:val="clear" w:color="auto" w:fill="auto"/>
            <w:vAlign w:val="center"/>
          </w:tcPr>
          <w:p w14:paraId="651F631D">
            <w:pPr>
              <w:adjustRightInd/>
              <w:spacing w:line="360" w:lineRule="auto"/>
              <w:jc w:val="center"/>
              <w:rPr>
                <w:rFonts w:hint="eastAsia" w:ascii="宋体" w:hAnsi="宋体" w:eastAsia="宋体" w:cs="宋体"/>
                <w:color w:val="auto"/>
                <w:sz w:val="24"/>
                <w:szCs w:val="24"/>
                <w:highlight w:val="none"/>
              </w:rPr>
            </w:pPr>
          </w:p>
        </w:tc>
        <w:tc>
          <w:tcPr>
            <w:tcW w:w="0" w:type="auto"/>
            <w:vMerge w:val="continue"/>
            <w:shd w:val="clear" w:color="auto" w:fill="auto"/>
            <w:vAlign w:val="center"/>
          </w:tcPr>
          <w:p w14:paraId="4D1D7FE9">
            <w:pPr>
              <w:adjustRightInd/>
              <w:spacing w:line="360" w:lineRule="auto"/>
              <w:jc w:val="center"/>
              <w:rPr>
                <w:rFonts w:hint="eastAsia" w:ascii="宋体" w:hAnsi="宋体" w:eastAsia="宋体" w:cs="宋体"/>
                <w:color w:val="auto"/>
                <w:sz w:val="24"/>
                <w:szCs w:val="24"/>
                <w:highlight w:val="none"/>
              </w:rPr>
            </w:pPr>
          </w:p>
        </w:tc>
        <w:tc>
          <w:tcPr>
            <w:tcW w:w="0" w:type="auto"/>
            <w:vMerge w:val="continue"/>
            <w:shd w:val="clear" w:color="auto" w:fill="auto"/>
            <w:vAlign w:val="center"/>
          </w:tcPr>
          <w:p w14:paraId="159171EC">
            <w:pPr>
              <w:adjustRightInd/>
              <w:spacing w:line="360" w:lineRule="auto"/>
              <w:jc w:val="center"/>
              <w:rPr>
                <w:rFonts w:hint="eastAsia" w:ascii="宋体" w:hAnsi="宋体" w:eastAsia="宋体" w:cs="宋体"/>
                <w:color w:val="auto"/>
                <w:sz w:val="24"/>
                <w:szCs w:val="24"/>
                <w:highlight w:val="none"/>
              </w:rPr>
            </w:pPr>
          </w:p>
        </w:tc>
      </w:tr>
      <w:tr w14:paraId="3F61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77" w:hRule="atLeast"/>
          <w:jc w:val="center"/>
        </w:trPr>
        <w:tc>
          <w:tcPr>
            <w:tcW w:w="0" w:type="auto"/>
            <w:shd w:val="clear" w:color="auto" w:fill="auto"/>
            <w:vAlign w:val="center"/>
          </w:tcPr>
          <w:p w14:paraId="4DBB45FC">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c>
          <w:tcPr>
            <w:tcW w:w="0" w:type="auto"/>
            <w:gridSpan w:val="2"/>
            <w:shd w:val="clear" w:color="auto" w:fill="auto"/>
            <w:vAlign w:val="center"/>
          </w:tcPr>
          <w:p w14:paraId="0C1372D9">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电视文稿</w:t>
            </w:r>
          </w:p>
        </w:tc>
        <w:tc>
          <w:tcPr>
            <w:tcW w:w="0" w:type="auto"/>
            <w:shd w:val="clear" w:color="auto" w:fill="auto"/>
            <w:vAlign w:val="center"/>
          </w:tcPr>
          <w:p w14:paraId="58E9AA4A">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为用户提供电视渠道的采编功能管理系统，支持文稿、串联单两种稿件类型的新建及维护管理，结合oa流程引擎实现对稿件从写稿到签发的全流程管理。</w:t>
            </w:r>
          </w:p>
        </w:tc>
        <w:tc>
          <w:tcPr>
            <w:tcW w:w="0" w:type="auto"/>
            <w:shd w:val="clear" w:color="auto" w:fill="auto"/>
            <w:vAlign w:val="center"/>
          </w:tcPr>
          <w:p w14:paraId="2299CA4D">
            <w:pPr>
              <w:adjustRightInd/>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一年</w:t>
            </w:r>
          </w:p>
        </w:tc>
        <w:tc>
          <w:tcPr>
            <w:tcW w:w="0" w:type="auto"/>
            <w:shd w:val="clear" w:color="auto" w:fill="auto"/>
            <w:vAlign w:val="center"/>
          </w:tcPr>
          <w:p w14:paraId="4675F0F9">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1套</w:t>
            </w:r>
          </w:p>
        </w:tc>
      </w:tr>
      <w:tr w14:paraId="16C5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0" w:hRule="atLeast"/>
          <w:jc w:val="center"/>
        </w:trPr>
        <w:tc>
          <w:tcPr>
            <w:tcW w:w="0" w:type="auto"/>
            <w:shd w:val="clear" w:color="auto" w:fill="auto"/>
            <w:vAlign w:val="center"/>
          </w:tcPr>
          <w:p w14:paraId="7C53E62B">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0" w:type="auto"/>
            <w:gridSpan w:val="2"/>
            <w:shd w:val="clear" w:color="auto" w:fill="auto"/>
            <w:vAlign w:val="center"/>
          </w:tcPr>
          <w:p w14:paraId="21F4F260">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指挥监测服务-驾驶舱大屏</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（次年技术服务）</w:t>
            </w:r>
          </w:p>
        </w:tc>
        <w:tc>
          <w:tcPr>
            <w:tcW w:w="0" w:type="auto"/>
            <w:shd w:val="clear" w:color="auto" w:fill="auto"/>
            <w:vAlign w:val="center"/>
          </w:tcPr>
          <w:p w14:paraId="21382518">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1.登录、首页：登录页及首页</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2.热点新闻：包括全国热点新闻、浙江热点新闻、杭州热点新闻的汇总展示</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3.余杭新闻：余杭宣传矩阵发布新闻的汇总展示</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4.新媒体矩阵发布统计：客户端、网站、微信、微博、抖音生产发布情况统计展示</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5.考核相关数据显示</w:t>
            </w:r>
          </w:p>
        </w:tc>
        <w:tc>
          <w:tcPr>
            <w:tcW w:w="0" w:type="auto"/>
            <w:shd w:val="clear" w:color="auto" w:fill="auto"/>
            <w:vAlign w:val="center"/>
          </w:tcPr>
          <w:p w14:paraId="4483D55A">
            <w:pPr>
              <w:adjustRightInd/>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一年</w:t>
            </w:r>
          </w:p>
        </w:tc>
        <w:tc>
          <w:tcPr>
            <w:tcW w:w="0" w:type="auto"/>
            <w:shd w:val="clear" w:color="auto" w:fill="auto"/>
            <w:vAlign w:val="center"/>
          </w:tcPr>
          <w:p w14:paraId="252A2D93">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1套</w:t>
            </w:r>
          </w:p>
        </w:tc>
      </w:tr>
      <w:tr w14:paraId="1A4A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0" w:type="auto"/>
            <w:shd w:val="clear" w:color="auto" w:fill="auto"/>
            <w:vAlign w:val="center"/>
          </w:tcPr>
          <w:p w14:paraId="7BAA0AFB">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p>
        </w:tc>
        <w:tc>
          <w:tcPr>
            <w:tcW w:w="0" w:type="auto"/>
            <w:gridSpan w:val="2"/>
            <w:shd w:val="clear" w:color="auto" w:fill="auto"/>
            <w:vAlign w:val="center"/>
          </w:tcPr>
          <w:p w14:paraId="4F191E28">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指挥监测服务-微融站定制屏</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（次年技术服务）</w:t>
            </w:r>
          </w:p>
        </w:tc>
        <w:tc>
          <w:tcPr>
            <w:tcW w:w="0" w:type="auto"/>
            <w:shd w:val="clear" w:color="auto" w:fill="auto"/>
            <w:vAlign w:val="center"/>
          </w:tcPr>
          <w:p w14:paraId="602073D6">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街道、镇（余杭街道、仓前街道、闲林街道、五常街道、中泰街道、仁和街道、良渚街道等）定制屏，共16块，每块大屏展示相应街道新闻资讯。</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1.街镇发布新闻：客户端上传内容、街镇公众号发布内容</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2.本地媒体涉街镇报道内容</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3.外地媒体涉街镇报道内容</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4.报选题汇总：展示街镇上送的报选题内容</w:t>
            </w:r>
          </w:p>
        </w:tc>
        <w:tc>
          <w:tcPr>
            <w:tcW w:w="0" w:type="auto"/>
            <w:shd w:val="clear" w:color="auto" w:fill="auto"/>
            <w:vAlign w:val="center"/>
          </w:tcPr>
          <w:p w14:paraId="7E4B4451">
            <w:pPr>
              <w:adjustRightInd/>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一年</w:t>
            </w:r>
          </w:p>
        </w:tc>
        <w:tc>
          <w:tcPr>
            <w:tcW w:w="0" w:type="auto"/>
            <w:shd w:val="clear" w:color="auto" w:fill="auto"/>
            <w:vAlign w:val="center"/>
          </w:tcPr>
          <w:p w14:paraId="469587A1">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1套</w:t>
            </w:r>
          </w:p>
        </w:tc>
      </w:tr>
      <w:tr w14:paraId="6AF8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0" w:type="auto"/>
            <w:shd w:val="clear" w:color="auto" w:fill="auto"/>
            <w:vAlign w:val="center"/>
          </w:tcPr>
          <w:p w14:paraId="08E1F798">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p>
        </w:tc>
        <w:tc>
          <w:tcPr>
            <w:tcW w:w="0" w:type="auto"/>
            <w:gridSpan w:val="2"/>
            <w:shd w:val="clear" w:color="auto" w:fill="auto"/>
            <w:vAlign w:val="center"/>
          </w:tcPr>
          <w:p w14:paraId="40987BE1">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传播引导工具</w:t>
            </w:r>
          </w:p>
        </w:tc>
        <w:tc>
          <w:tcPr>
            <w:tcW w:w="0" w:type="auto"/>
            <w:shd w:val="clear" w:color="auto" w:fill="auto"/>
            <w:vAlign w:val="center"/>
          </w:tcPr>
          <w:p w14:paraId="33672FD1">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次年技术服务：</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主线版本迭代的通用功能，支持免费升级使用。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运行的服务器及网络等资源，包括ecs、RDS、redis、slb、流量等生产环境费用；</w:t>
            </w:r>
          </w:p>
        </w:tc>
        <w:tc>
          <w:tcPr>
            <w:tcW w:w="0" w:type="auto"/>
            <w:shd w:val="clear" w:color="auto" w:fill="auto"/>
            <w:vAlign w:val="center"/>
          </w:tcPr>
          <w:p w14:paraId="7D2CFE49">
            <w:pPr>
              <w:adjustRightInd/>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一年</w:t>
            </w:r>
          </w:p>
        </w:tc>
        <w:tc>
          <w:tcPr>
            <w:tcW w:w="0" w:type="auto"/>
            <w:shd w:val="clear" w:color="auto" w:fill="auto"/>
            <w:vAlign w:val="center"/>
          </w:tcPr>
          <w:p w14:paraId="5CE6A4DF">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1套</w:t>
            </w:r>
          </w:p>
        </w:tc>
      </w:tr>
      <w:tr w14:paraId="042E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0" w:type="auto"/>
            <w:shd w:val="clear" w:color="auto" w:fill="auto"/>
            <w:vAlign w:val="center"/>
          </w:tcPr>
          <w:p w14:paraId="1A7C4FFF">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p>
        </w:tc>
        <w:tc>
          <w:tcPr>
            <w:tcW w:w="0" w:type="auto"/>
            <w:gridSpan w:val="2"/>
            <w:shd w:val="clear" w:color="auto" w:fill="auto"/>
            <w:vAlign w:val="center"/>
          </w:tcPr>
          <w:p w14:paraId="384CD40A">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纸媒采编</w:t>
            </w:r>
          </w:p>
        </w:tc>
        <w:tc>
          <w:tcPr>
            <w:tcW w:w="0" w:type="auto"/>
            <w:shd w:val="clear" w:color="auto" w:fill="auto"/>
            <w:vAlign w:val="center"/>
          </w:tcPr>
          <w:p w14:paraId="5F2E481F">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基于方正云雀全媒体新闻采编系统深度改造，为纸媒渠道提供采编功能，可以管理多份报纸的全部版面，支持新闻、图集稿件类型，以时间-版面维度对稿件进行展示，结合OA流程引擎实现对稿件从写稿到发布的全流程管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默认提供20 个用户账号授权数，含1报刊、20用户。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用户方正飞腾系统须升级到5.6版本。</w:t>
            </w:r>
          </w:p>
        </w:tc>
        <w:tc>
          <w:tcPr>
            <w:tcW w:w="0" w:type="auto"/>
            <w:shd w:val="clear" w:color="auto" w:fill="auto"/>
            <w:vAlign w:val="center"/>
          </w:tcPr>
          <w:p w14:paraId="7B7372FC">
            <w:pPr>
              <w:adjustRightInd/>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一年</w:t>
            </w:r>
          </w:p>
        </w:tc>
        <w:tc>
          <w:tcPr>
            <w:tcW w:w="0" w:type="auto"/>
            <w:shd w:val="clear" w:color="auto" w:fill="auto"/>
            <w:vAlign w:val="center"/>
          </w:tcPr>
          <w:p w14:paraId="475A364B">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1套</w:t>
            </w:r>
          </w:p>
        </w:tc>
      </w:tr>
      <w:tr w14:paraId="6103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0" w:hRule="atLeast"/>
          <w:jc w:val="center"/>
        </w:trPr>
        <w:tc>
          <w:tcPr>
            <w:tcW w:w="0" w:type="auto"/>
            <w:shd w:val="clear" w:color="auto" w:fill="auto"/>
            <w:vAlign w:val="center"/>
          </w:tcPr>
          <w:p w14:paraId="1AD542BB">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p>
        </w:tc>
        <w:tc>
          <w:tcPr>
            <w:tcW w:w="0" w:type="auto"/>
            <w:gridSpan w:val="2"/>
            <w:shd w:val="clear" w:color="auto" w:fill="auto"/>
            <w:vAlign w:val="center"/>
          </w:tcPr>
          <w:p w14:paraId="03C324F2">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新媒体字库</w:t>
            </w:r>
          </w:p>
        </w:tc>
        <w:tc>
          <w:tcPr>
            <w:tcW w:w="0" w:type="auto"/>
            <w:shd w:val="clear" w:color="auto" w:fill="auto"/>
            <w:vAlign w:val="center"/>
          </w:tcPr>
          <w:p w14:paraId="125D31EF">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5个以内的微信、微博、抖音、头条号以及网站图片用字（不包含第三方用户的商业广告发布）；1个App及网站内嵌用字</w:t>
            </w:r>
          </w:p>
        </w:tc>
        <w:tc>
          <w:tcPr>
            <w:tcW w:w="0" w:type="auto"/>
            <w:shd w:val="clear" w:color="auto" w:fill="auto"/>
            <w:vAlign w:val="center"/>
          </w:tcPr>
          <w:p w14:paraId="708DA429">
            <w:pPr>
              <w:adjustRightInd/>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一年</w:t>
            </w:r>
          </w:p>
        </w:tc>
        <w:tc>
          <w:tcPr>
            <w:tcW w:w="0" w:type="auto"/>
            <w:shd w:val="clear" w:color="auto" w:fill="auto"/>
            <w:vAlign w:val="center"/>
          </w:tcPr>
          <w:p w14:paraId="0A27C771">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1套</w:t>
            </w:r>
          </w:p>
        </w:tc>
      </w:tr>
      <w:tr w14:paraId="0EAA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0" w:type="auto"/>
            <w:vMerge w:val="restart"/>
            <w:shd w:val="clear" w:color="auto" w:fill="auto"/>
            <w:vAlign w:val="center"/>
          </w:tcPr>
          <w:p w14:paraId="6FFCD28D">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p>
        </w:tc>
        <w:tc>
          <w:tcPr>
            <w:tcW w:w="0" w:type="auto"/>
            <w:vMerge w:val="restart"/>
            <w:shd w:val="clear" w:color="auto" w:fill="auto"/>
            <w:vAlign w:val="center"/>
          </w:tcPr>
          <w:p w14:paraId="33A808D6">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流量存储</w:t>
            </w:r>
          </w:p>
        </w:tc>
        <w:tc>
          <w:tcPr>
            <w:tcW w:w="0" w:type="auto"/>
            <w:shd w:val="clear" w:color="auto" w:fill="auto"/>
            <w:vAlign w:val="center"/>
          </w:tcPr>
          <w:p w14:paraId="2FB8F93A">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云存储</w:t>
            </w:r>
          </w:p>
        </w:tc>
        <w:tc>
          <w:tcPr>
            <w:tcW w:w="0" w:type="auto"/>
            <w:shd w:val="clear" w:color="auto" w:fill="auto"/>
            <w:vAlign w:val="center"/>
          </w:tcPr>
          <w:p w14:paraId="5FC053E5">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云存储：每月提供账单。存储按1.9元/G/年计费，可扩容。</w:t>
            </w:r>
          </w:p>
        </w:tc>
        <w:tc>
          <w:tcPr>
            <w:tcW w:w="0" w:type="auto"/>
            <w:vMerge w:val="restart"/>
            <w:shd w:val="clear" w:color="auto" w:fill="auto"/>
            <w:vAlign w:val="center"/>
          </w:tcPr>
          <w:p w14:paraId="6E0D8966">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预充值</w:t>
            </w:r>
          </w:p>
        </w:tc>
        <w:tc>
          <w:tcPr>
            <w:tcW w:w="0" w:type="auto"/>
            <w:vMerge w:val="restart"/>
            <w:shd w:val="clear" w:color="auto" w:fill="auto"/>
            <w:vAlign w:val="center"/>
          </w:tcPr>
          <w:p w14:paraId="0D9B744D">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预充值</w:t>
            </w:r>
          </w:p>
        </w:tc>
      </w:tr>
      <w:tr w14:paraId="2CF0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80" w:hRule="atLeast"/>
          <w:jc w:val="center"/>
        </w:trPr>
        <w:tc>
          <w:tcPr>
            <w:tcW w:w="0" w:type="auto"/>
            <w:vMerge w:val="continue"/>
            <w:shd w:val="clear" w:color="auto" w:fill="auto"/>
            <w:vAlign w:val="center"/>
          </w:tcPr>
          <w:p w14:paraId="4ADEBA19">
            <w:pPr>
              <w:adjustRightInd/>
              <w:spacing w:line="360" w:lineRule="auto"/>
              <w:jc w:val="center"/>
              <w:rPr>
                <w:rFonts w:hint="eastAsia" w:ascii="宋体" w:hAnsi="宋体" w:eastAsia="宋体" w:cs="宋体"/>
                <w:color w:val="auto"/>
                <w:sz w:val="24"/>
                <w:szCs w:val="24"/>
                <w:highlight w:val="none"/>
              </w:rPr>
            </w:pPr>
          </w:p>
        </w:tc>
        <w:tc>
          <w:tcPr>
            <w:tcW w:w="0" w:type="auto"/>
            <w:vMerge w:val="continue"/>
            <w:shd w:val="clear" w:color="auto" w:fill="auto"/>
            <w:vAlign w:val="center"/>
          </w:tcPr>
          <w:p w14:paraId="03FB1072">
            <w:pPr>
              <w:adjustRightInd/>
              <w:spacing w:line="360" w:lineRule="auto"/>
              <w:jc w:val="center"/>
              <w:rPr>
                <w:rFonts w:hint="eastAsia" w:ascii="宋体" w:hAnsi="宋体" w:eastAsia="宋体" w:cs="宋体"/>
                <w:color w:val="auto"/>
                <w:sz w:val="24"/>
                <w:szCs w:val="24"/>
                <w:highlight w:val="none"/>
              </w:rPr>
            </w:pPr>
          </w:p>
        </w:tc>
        <w:tc>
          <w:tcPr>
            <w:tcW w:w="0" w:type="auto"/>
            <w:shd w:val="clear" w:color="auto" w:fill="auto"/>
            <w:vAlign w:val="center"/>
          </w:tcPr>
          <w:p w14:paraId="49F1FF09">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点播、直播流量</w:t>
            </w:r>
          </w:p>
        </w:tc>
        <w:tc>
          <w:tcPr>
            <w:tcW w:w="0" w:type="auto"/>
            <w:shd w:val="clear" w:color="auto" w:fill="auto"/>
            <w:vAlign w:val="center"/>
          </w:tcPr>
          <w:p w14:paraId="4C5F4318">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点播流量：每月提供账单，国内流量按0.28元/G计算，国外流量按0.6元/G计算。（含CDN加速）</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直播流量：每月提供账单。国内流量按0.28元/G计费，国外流量按0.58元/G计算。（含CDN加速）</w:t>
            </w:r>
          </w:p>
        </w:tc>
        <w:tc>
          <w:tcPr>
            <w:tcW w:w="0" w:type="auto"/>
            <w:vMerge w:val="continue"/>
            <w:shd w:val="clear" w:color="auto" w:fill="auto"/>
            <w:vAlign w:val="center"/>
          </w:tcPr>
          <w:p w14:paraId="1332BAD4">
            <w:pPr>
              <w:adjustRightInd/>
              <w:spacing w:line="360" w:lineRule="auto"/>
              <w:jc w:val="center"/>
              <w:rPr>
                <w:rFonts w:hint="eastAsia" w:ascii="宋体" w:hAnsi="宋体" w:eastAsia="宋体" w:cs="宋体"/>
                <w:color w:val="auto"/>
                <w:sz w:val="24"/>
                <w:szCs w:val="24"/>
                <w:highlight w:val="none"/>
              </w:rPr>
            </w:pPr>
          </w:p>
        </w:tc>
        <w:tc>
          <w:tcPr>
            <w:tcW w:w="0" w:type="auto"/>
            <w:vMerge w:val="continue"/>
            <w:shd w:val="clear" w:color="auto" w:fill="auto"/>
            <w:vAlign w:val="center"/>
          </w:tcPr>
          <w:p w14:paraId="05E1ACBF">
            <w:pPr>
              <w:adjustRightInd/>
              <w:spacing w:line="360" w:lineRule="auto"/>
              <w:jc w:val="center"/>
              <w:rPr>
                <w:rFonts w:hint="eastAsia" w:ascii="宋体" w:hAnsi="宋体" w:eastAsia="宋体" w:cs="宋体"/>
                <w:color w:val="auto"/>
                <w:sz w:val="24"/>
                <w:szCs w:val="24"/>
                <w:highlight w:val="none"/>
              </w:rPr>
            </w:pPr>
          </w:p>
        </w:tc>
      </w:tr>
      <w:tr w14:paraId="2778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8" w:hRule="atLeast"/>
          <w:jc w:val="center"/>
        </w:trPr>
        <w:tc>
          <w:tcPr>
            <w:tcW w:w="0" w:type="auto"/>
            <w:vMerge w:val="continue"/>
            <w:shd w:val="clear" w:color="auto" w:fill="auto"/>
            <w:vAlign w:val="center"/>
          </w:tcPr>
          <w:p w14:paraId="0D8E63D5">
            <w:pPr>
              <w:adjustRightInd/>
              <w:spacing w:line="360" w:lineRule="auto"/>
              <w:jc w:val="center"/>
              <w:rPr>
                <w:rFonts w:hint="eastAsia" w:ascii="宋体" w:hAnsi="宋体" w:eastAsia="宋体" w:cs="宋体"/>
                <w:color w:val="auto"/>
                <w:sz w:val="24"/>
                <w:szCs w:val="24"/>
                <w:highlight w:val="none"/>
              </w:rPr>
            </w:pPr>
          </w:p>
        </w:tc>
        <w:tc>
          <w:tcPr>
            <w:tcW w:w="0" w:type="auto"/>
            <w:vMerge w:val="continue"/>
            <w:shd w:val="clear" w:color="auto" w:fill="auto"/>
            <w:vAlign w:val="center"/>
          </w:tcPr>
          <w:p w14:paraId="4460E58D">
            <w:pPr>
              <w:adjustRightInd/>
              <w:spacing w:line="360" w:lineRule="auto"/>
              <w:jc w:val="center"/>
              <w:rPr>
                <w:rFonts w:hint="eastAsia" w:ascii="宋体" w:hAnsi="宋体" w:eastAsia="宋体" w:cs="宋体"/>
                <w:color w:val="auto"/>
                <w:sz w:val="24"/>
                <w:szCs w:val="24"/>
                <w:highlight w:val="none"/>
              </w:rPr>
            </w:pPr>
          </w:p>
        </w:tc>
        <w:tc>
          <w:tcPr>
            <w:tcW w:w="0" w:type="auto"/>
            <w:shd w:val="clear" w:color="auto" w:fill="auto"/>
            <w:vAlign w:val="center"/>
          </w:tcPr>
          <w:p w14:paraId="1C10B340">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云转码</w:t>
            </w:r>
          </w:p>
        </w:tc>
        <w:tc>
          <w:tcPr>
            <w:tcW w:w="0" w:type="auto"/>
            <w:shd w:val="clear" w:color="auto" w:fill="auto"/>
            <w:vAlign w:val="center"/>
          </w:tcPr>
          <w:p w14:paraId="4BC46A73">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云转码：按实际使用结算，0.13元/分钟，默认转码成1080p、720p、480p,3种分辨率。2k,4k视频另计。</w:t>
            </w:r>
          </w:p>
        </w:tc>
        <w:tc>
          <w:tcPr>
            <w:tcW w:w="0" w:type="auto"/>
            <w:vMerge w:val="continue"/>
            <w:shd w:val="clear" w:color="auto" w:fill="auto"/>
            <w:vAlign w:val="center"/>
          </w:tcPr>
          <w:p w14:paraId="0153F310">
            <w:pPr>
              <w:adjustRightInd/>
              <w:spacing w:line="360" w:lineRule="auto"/>
              <w:jc w:val="center"/>
              <w:rPr>
                <w:rFonts w:hint="eastAsia" w:ascii="宋体" w:hAnsi="宋体" w:eastAsia="宋体" w:cs="宋体"/>
                <w:color w:val="auto"/>
                <w:sz w:val="24"/>
                <w:szCs w:val="24"/>
                <w:highlight w:val="none"/>
              </w:rPr>
            </w:pPr>
          </w:p>
        </w:tc>
        <w:tc>
          <w:tcPr>
            <w:tcW w:w="0" w:type="auto"/>
            <w:vMerge w:val="continue"/>
            <w:shd w:val="clear" w:color="auto" w:fill="auto"/>
            <w:vAlign w:val="center"/>
          </w:tcPr>
          <w:p w14:paraId="3914D920">
            <w:pPr>
              <w:adjustRightInd/>
              <w:spacing w:line="360" w:lineRule="auto"/>
              <w:jc w:val="center"/>
              <w:rPr>
                <w:rFonts w:hint="eastAsia" w:ascii="宋体" w:hAnsi="宋体" w:eastAsia="宋体" w:cs="宋体"/>
                <w:color w:val="auto"/>
                <w:sz w:val="24"/>
                <w:szCs w:val="24"/>
                <w:highlight w:val="none"/>
              </w:rPr>
            </w:pPr>
          </w:p>
        </w:tc>
      </w:tr>
      <w:tr w14:paraId="73FA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0" w:type="auto"/>
            <w:vMerge w:val="restart"/>
            <w:shd w:val="clear" w:color="auto" w:fill="auto"/>
            <w:vAlign w:val="center"/>
          </w:tcPr>
          <w:p w14:paraId="6FF6F6A5">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0" w:type="auto"/>
            <w:gridSpan w:val="2"/>
            <w:vMerge w:val="restart"/>
            <w:shd w:val="clear" w:color="auto" w:fill="auto"/>
            <w:vAlign w:val="center"/>
          </w:tcPr>
          <w:p w14:paraId="77C1496E">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融媒体中心系统维护服务</w:t>
            </w:r>
          </w:p>
        </w:tc>
        <w:tc>
          <w:tcPr>
            <w:tcW w:w="0" w:type="auto"/>
            <w:vMerge w:val="restart"/>
            <w:shd w:val="clear" w:color="auto" w:fill="auto"/>
            <w:vAlign w:val="center"/>
          </w:tcPr>
          <w:p w14:paraId="018E8E84">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支持融媒体中心系统维护，提供非编网络、服务器硬件、客户端硬件等安装调试；支持网络硬件设备巡检；支持日常素材调用与资料管理；支持外来素材的管理以及网络安全设备管理与维护。</w:t>
            </w:r>
          </w:p>
        </w:tc>
        <w:tc>
          <w:tcPr>
            <w:tcW w:w="0" w:type="auto"/>
            <w:vMerge w:val="restart"/>
            <w:shd w:val="clear" w:color="auto" w:fill="auto"/>
            <w:vAlign w:val="center"/>
          </w:tcPr>
          <w:p w14:paraId="16D69A32">
            <w:pPr>
              <w:adjustRightInd/>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一年</w:t>
            </w:r>
          </w:p>
        </w:tc>
        <w:tc>
          <w:tcPr>
            <w:tcW w:w="0" w:type="auto"/>
            <w:vMerge w:val="restart"/>
            <w:shd w:val="clear" w:color="auto" w:fill="auto"/>
            <w:vAlign w:val="center"/>
          </w:tcPr>
          <w:p w14:paraId="7A0FB072">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1套</w:t>
            </w:r>
          </w:p>
        </w:tc>
      </w:tr>
      <w:tr w14:paraId="0A91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0" w:type="auto"/>
            <w:vMerge w:val="continue"/>
            <w:shd w:val="clear" w:color="auto" w:fill="auto"/>
            <w:vAlign w:val="center"/>
          </w:tcPr>
          <w:p w14:paraId="09FDA897">
            <w:pPr>
              <w:adjustRightInd/>
              <w:spacing w:line="360" w:lineRule="auto"/>
              <w:jc w:val="center"/>
              <w:rPr>
                <w:rFonts w:hint="eastAsia" w:ascii="宋体" w:hAnsi="宋体" w:eastAsia="宋体" w:cs="宋体"/>
                <w:color w:val="auto"/>
                <w:sz w:val="24"/>
                <w:szCs w:val="24"/>
                <w:highlight w:val="none"/>
              </w:rPr>
            </w:pPr>
          </w:p>
        </w:tc>
        <w:tc>
          <w:tcPr>
            <w:tcW w:w="0" w:type="auto"/>
            <w:gridSpan w:val="2"/>
            <w:vMerge w:val="continue"/>
            <w:shd w:val="clear" w:color="auto" w:fill="auto"/>
            <w:vAlign w:val="center"/>
          </w:tcPr>
          <w:p w14:paraId="458E0D08">
            <w:pPr>
              <w:adjustRightInd/>
              <w:spacing w:line="360" w:lineRule="auto"/>
              <w:jc w:val="center"/>
              <w:rPr>
                <w:rFonts w:hint="eastAsia" w:ascii="宋体" w:hAnsi="宋体" w:eastAsia="宋体" w:cs="宋体"/>
                <w:color w:val="auto"/>
                <w:sz w:val="24"/>
                <w:szCs w:val="24"/>
                <w:highlight w:val="none"/>
              </w:rPr>
            </w:pPr>
          </w:p>
        </w:tc>
        <w:tc>
          <w:tcPr>
            <w:tcW w:w="0" w:type="auto"/>
            <w:vMerge w:val="continue"/>
            <w:shd w:val="clear" w:color="auto" w:fill="auto"/>
            <w:vAlign w:val="center"/>
          </w:tcPr>
          <w:p w14:paraId="7F5716FB">
            <w:pPr>
              <w:adjustRightInd/>
              <w:spacing w:line="360" w:lineRule="auto"/>
              <w:jc w:val="left"/>
              <w:rPr>
                <w:rFonts w:hint="eastAsia" w:ascii="宋体" w:hAnsi="宋体" w:eastAsia="宋体" w:cs="宋体"/>
                <w:color w:val="auto"/>
                <w:sz w:val="24"/>
                <w:szCs w:val="24"/>
                <w:highlight w:val="none"/>
              </w:rPr>
            </w:pPr>
          </w:p>
        </w:tc>
        <w:tc>
          <w:tcPr>
            <w:tcW w:w="0" w:type="auto"/>
            <w:vMerge w:val="continue"/>
            <w:shd w:val="clear" w:color="auto" w:fill="auto"/>
            <w:vAlign w:val="center"/>
          </w:tcPr>
          <w:p w14:paraId="2E4D0480">
            <w:pPr>
              <w:adjustRightInd/>
              <w:spacing w:line="360" w:lineRule="auto"/>
              <w:jc w:val="center"/>
              <w:rPr>
                <w:rFonts w:hint="eastAsia" w:ascii="宋体" w:hAnsi="宋体" w:eastAsia="宋体" w:cs="宋体"/>
                <w:color w:val="auto"/>
                <w:sz w:val="24"/>
                <w:szCs w:val="24"/>
                <w:highlight w:val="none"/>
              </w:rPr>
            </w:pPr>
          </w:p>
        </w:tc>
        <w:tc>
          <w:tcPr>
            <w:tcW w:w="0" w:type="auto"/>
            <w:vMerge w:val="continue"/>
            <w:shd w:val="clear" w:color="auto" w:fill="auto"/>
            <w:vAlign w:val="center"/>
          </w:tcPr>
          <w:p w14:paraId="54ECC1CB">
            <w:pPr>
              <w:adjustRightInd/>
              <w:spacing w:line="360" w:lineRule="auto"/>
              <w:jc w:val="center"/>
              <w:rPr>
                <w:rFonts w:hint="eastAsia" w:ascii="宋体" w:hAnsi="宋体" w:eastAsia="宋体" w:cs="宋体"/>
                <w:color w:val="auto"/>
                <w:sz w:val="24"/>
                <w:szCs w:val="24"/>
                <w:highlight w:val="none"/>
              </w:rPr>
            </w:pPr>
          </w:p>
        </w:tc>
      </w:tr>
      <w:tr w14:paraId="22CC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52" w:hRule="atLeast"/>
          <w:jc w:val="center"/>
        </w:trPr>
        <w:tc>
          <w:tcPr>
            <w:tcW w:w="0" w:type="auto"/>
            <w:shd w:val="clear" w:color="auto" w:fill="auto"/>
            <w:vAlign w:val="center"/>
          </w:tcPr>
          <w:p w14:paraId="5B20AE9A">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0" w:type="auto"/>
            <w:gridSpan w:val="2"/>
            <w:shd w:val="clear" w:color="auto" w:fill="auto"/>
            <w:vAlign w:val="center"/>
          </w:tcPr>
          <w:p w14:paraId="7872FFED">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广电业务管理底座</w:t>
            </w:r>
          </w:p>
        </w:tc>
        <w:tc>
          <w:tcPr>
            <w:tcW w:w="0" w:type="auto"/>
            <w:shd w:val="clear" w:color="auto" w:fill="auto"/>
            <w:vAlign w:val="center"/>
          </w:tcPr>
          <w:p w14:paraId="7AF54EDB">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租户云存储、云安全、云主机、租户管理运维、租户基础云服务（含数据库、容器管理服务、分布式框架服务、支撑基础业务服务所需的基本存储 2TB容量；提供统一的用户认证，统一的终端接入软件，业务数据加密传输，租户化的安全隔离，业务数据冗余备份等）</w:t>
            </w:r>
          </w:p>
        </w:tc>
        <w:tc>
          <w:tcPr>
            <w:tcW w:w="0" w:type="auto"/>
            <w:shd w:val="clear" w:color="auto" w:fill="auto"/>
            <w:vAlign w:val="center"/>
          </w:tcPr>
          <w:p w14:paraId="4FD31E38">
            <w:pPr>
              <w:adjustRightInd/>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一年</w:t>
            </w:r>
          </w:p>
        </w:tc>
        <w:tc>
          <w:tcPr>
            <w:tcW w:w="0" w:type="auto"/>
            <w:shd w:val="clear" w:color="auto" w:fill="auto"/>
            <w:vAlign w:val="center"/>
          </w:tcPr>
          <w:p w14:paraId="25661289">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1套</w:t>
            </w:r>
          </w:p>
        </w:tc>
      </w:tr>
      <w:tr w14:paraId="7650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85" w:hRule="atLeast"/>
          <w:jc w:val="center"/>
        </w:trPr>
        <w:tc>
          <w:tcPr>
            <w:tcW w:w="0" w:type="auto"/>
            <w:shd w:val="clear" w:color="auto" w:fill="auto"/>
            <w:vAlign w:val="center"/>
          </w:tcPr>
          <w:p w14:paraId="35375B84">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0" w:type="auto"/>
            <w:gridSpan w:val="2"/>
            <w:shd w:val="clear" w:color="auto" w:fill="auto"/>
            <w:vAlign w:val="center"/>
          </w:tcPr>
          <w:p w14:paraId="365BD5BF">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广电业务生产底座</w:t>
            </w:r>
          </w:p>
        </w:tc>
        <w:tc>
          <w:tcPr>
            <w:tcW w:w="0" w:type="auto"/>
            <w:shd w:val="clear" w:color="auto" w:fill="auto"/>
            <w:vAlign w:val="center"/>
          </w:tcPr>
          <w:p w14:paraId="6604FEAC">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以租户模式实现生产数据管理，通过内容库外部系统配置实现生产媒资素材与其他应用交互，具备送播、基础编目等能力。支持高级筛选、支持根据用户权zhi限、根据目录密级进行素材管控。</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收录：支持视音频信号、互联网直播流等收录；配额3000小时。</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转码：支持MPEG-4、avi、mxf、mp3、ts等多种封装格式转码能力，具备高清转4K、2K转4K能力；配额3000小时。</w:t>
            </w:r>
          </w:p>
        </w:tc>
        <w:tc>
          <w:tcPr>
            <w:tcW w:w="0" w:type="auto"/>
            <w:shd w:val="clear" w:color="auto" w:fill="auto"/>
            <w:vAlign w:val="center"/>
          </w:tcPr>
          <w:p w14:paraId="3E2D8294">
            <w:pPr>
              <w:adjustRightInd/>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一年</w:t>
            </w:r>
          </w:p>
        </w:tc>
        <w:tc>
          <w:tcPr>
            <w:tcW w:w="0" w:type="auto"/>
            <w:shd w:val="clear" w:color="auto" w:fill="auto"/>
            <w:vAlign w:val="center"/>
          </w:tcPr>
          <w:p w14:paraId="5A99A9BA">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1套</w:t>
            </w:r>
          </w:p>
        </w:tc>
      </w:tr>
      <w:tr w14:paraId="2968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6" w:hRule="atLeast"/>
          <w:jc w:val="center"/>
        </w:trPr>
        <w:tc>
          <w:tcPr>
            <w:tcW w:w="0" w:type="auto"/>
            <w:shd w:val="clear" w:color="auto" w:fill="auto"/>
            <w:vAlign w:val="center"/>
          </w:tcPr>
          <w:p w14:paraId="0F5BDE80">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0" w:type="auto"/>
            <w:gridSpan w:val="2"/>
            <w:shd w:val="clear" w:color="auto" w:fill="auto"/>
            <w:vAlign w:val="center"/>
          </w:tcPr>
          <w:p w14:paraId="2B23EB40">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VPN账号</w:t>
            </w:r>
          </w:p>
        </w:tc>
        <w:tc>
          <w:tcPr>
            <w:tcW w:w="0" w:type="auto"/>
            <w:shd w:val="clear" w:color="auto" w:fill="auto"/>
            <w:vAlign w:val="center"/>
          </w:tcPr>
          <w:p w14:paraId="5E01492D">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服务费20个账号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包含VPN许可、INODE许可、360天擎、管理费用等</w:t>
            </w:r>
          </w:p>
        </w:tc>
        <w:tc>
          <w:tcPr>
            <w:tcW w:w="0" w:type="auto"/>
            <w:shd w:val="clear" w:color="auto" w:fill="auto"/>
            <w:vAlign w:val="center"/>
          </w:tcPr>
          <w:p w14:paraId="2A0D7F50">
            <w:pPr>
              <w:adjustRightInd/>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一年</w:t>
            </w:r>
          </w:p>
        </w:tc>
        <w:tc>
          <w:tcPr>
            <w:tcW w:w="0" w:type="auto"/>
            <w:shd w:val="clear" w:color="auto" w:fill="auto"/>
            <w:vAlign w:val="center"/>
          </w:tcPr>
          <w:p w14:paraId="433C3CBA">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1套</w:t>
            </w:r>
          </w:p>
        </w:tc>
      </w:tr>
      <w:tr w14:paraId="7144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0" w:hRule="atLeast"/>
          <w:jc w:val="center"/>
        </w:trPr>
        <w:tc>
          <w:tcPr>
            <w:tcW w:w="0" w:type="auto"/>
            <w:vMerge w:val="restart"/>
            <w:shd w:val="clear" w:color="auto" w:fill="auto"/>
            <w:vAlign w:val="center"/>
          </w:tcPr>
          <w:p w14:paraId="5FA2A689">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c>
          <w:tcPr>
            <w:tcW w:w="0" w:type="auto"/>
            <w:gridSpan w:val="2"/>
            <w:vMerge w:val="restart"/>
            <w:shd w:val="clear" w:color="auto" w:fill="auto"/>
            <w:vAlign w:val="center"/>
          </w:tcPr>
          <w:p w14:paraId="4AEFE1F9">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接入省广电主干网所需专线</w:t>
            </w:r>
          </w:p>
        </w:tc>
        <w:tc>
          <w:tcPr>
            <w:tcW w:w="0" w:type="auto"/>
            <w:shd w:val="clear" w:color="auto" w:fill="auto"/>
            <w:vAlign w:val="center"/>
          </w:tcPr>
          <w:p w14:paraId="4C5148FE">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3G带宽OTN双路由链路（余杭融媒体中心—临平融媒体中心）</w:t>
            </w:r>
          </w:p>
        </w:tc>
        <w:tc>
          <w:tcPr>
            <w:tcW w:w="0" w:type="auto"/>
            <w:shd w:val="clear" w:color="auto" w:fill="auto"/>
            <w:vAlign w:val="center"/>
          </w:tcPr>
          <w:p w14:paraId="2486F3EE">
            <w:pPr>
              <w:adjustRightInd/>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一年</w:t>
            </w:r>
          </w:p>
        </w:tc>
        <w:tc>
          <w:tcPr>
            <w:tcW w:w="0" w:type="auto"/>
            <w:shd w:val="clear" w:color="auto" w:fill="auto"/>
            <w:vAlign w:val="center"/>
          </w:tcPr>
          <w:p w14:paraId="785E04A3">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1套</w:t>
            </w:r>
          </w:p>
        </w:tc>
      </w:tr>
      <w:tr w14:paraId="4340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0" w:hRule="atLeast"/>
          <w:jc w:val="center"/>
        </w:trPr>
        <w:tc>
          <w:tcPr>
            <w:tcW w:w="0" w:type="auto"/>
            <w:vMerge w:val="continue"/>
            <w:shd w:val="clear" w:color="auto" w:fill="auto"/>
            <w:vAlign w:val="center"/>
          </w:tcPr>
          <w:p w14:paraId="723FBF5C">
            <w:pPr>
              <w:adjustRightInd/>
              <w:spacing w:line="360" w:lineRule="auto"/>
              <w:jc w:val="center"/>
              <w:rPr>
                <w:rFonts w:hint="eastAsia" w:ascii="宋体" w:hAnsi="宋体" w:eastAsia="宋体" w:cs="宋体"/>
                <w:color w:val="auto"/>
                <w:sz w:val="24"/>
                <w:szCs w:val="24"/>
                <w:highlight w:val="none"/>
              </w:rPr>
            </w:pPr>
          </w:p>
        </w:tc>
        <w:tc>
          <w:tcPr>
            <w:tcW w:w="0" w:type="auto"/>
            <w:gridSpan w:val="2"/>
            <w:vMerge w:val="continue"/>
            <w:shd w:val="clear" w:color="auto" w:fill="auto"/>
            <w:vAlign w:val="center"/>
          </w:tcPr>
          <w:p w14:paraId="3754FDCA">
            <w:pPr>
              <w:adjustRightInd/>
              <w:spacing w:line="360" w:lineRule="auto"/>
              <w:jc w:val="center"/>
              <w:rPr>
                <w:rFonts w:hint="eastAsia" w:ascii="宋体" w:hAnsi="宋体" w:eastAsia="宋体" w:cs="宋体"/>
                <w:color w:val="auto"/>
                <w:sz w:val="24"/>
                <w:szCs w:val="24"/>
                <w:highlight w:val="none"/>
              </w:rPr>
            </w:pPr>
          </w:p>
        </w:tc>
        <w:tc>
          <w:tcPr>
            <w:tcW w:w="0" w:type="auto"/>
            <w:shd w:val="clear" w:color="auto" w:fill="auto"/>
            <w:vAlign w:val="center"/>
          </w:tcPr>
          <w:p w14:paraId="11BFE381">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2G带宽OTN双路由链路（中国蓝云-余杭融媒体中心）</w:t>
            </w:r>
          </w:p>
        </w:tc>
        <w:tc>
          <w:tcPr>
            <w:tcW w:w="0" w:type="auto"/>
            <w:shd w:val="clear" w:color="auto" w:fill="auto"/>
            <w:vAlign w:val="center"/>
          </w:tcPr>
          <w:p w14:paraId="2CB773F0">
            <w:pPr>
              <w:adjustRightInd/>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一年</w:t>
            </w:r>
          </w:p>
        </w:tc>
        <w:tc>
          <w:tcPr>
            <w:tcW w:w="0" w:type="auto"/>
            <w:shd w:val="clear" w:color="auto" w:fill="auto"/>
            <w:vAlign w:val="center"/>
          </w:tcPr>
          <w:p w14:paraId="4525F9AA">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1套</w:t>
            </w:r>
          </w:p>
        </w:tc>
      </w:tr>
      <w:tr w14:paraId="7126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0" w:hRule="atLeast"/>
          <w:jc w:val="center"/>
        </w:trPr>
        <w:tc>
          <w:tcPr>
            <w:tcW w:w="0" w:type="auto"/>
            <w:vMerge w:val="restart"/>
            <w:shd w:val="clear" w:color="auto" w:fill="auto"/>
            <w:vAlign w:val="center"/>
          </w:tcPr>
          <w:p w14:paraId="041ED4B5">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0" w:type="auto"/>
            <w:gridSpan w:val="2"/>
            <w:vMerge w:val="restart"/>
            <w:shd w:val="clear" w:color="auto" w:fill="auto"/>
            <w:vAlign w:val="center"/>
          </w:tcPr>
          <w:p w14:paraId="37D5BF72">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广播电视节目通联</w:t>
            </w:r>
          </w:p>
        </w:tc>
        <w:tc>
          <w:tcPr>
            <w:tcW w:w="0" w:type="auto"/>
            <w:shd w:val="clear" w:color="auto" w:fill="auto"/>
            <w:vAlign w:val="center"/>
          </w:tcPr>
          <w:p w14:paraId="5AC37F4B">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全省通联：可支持不同层级单位上送稿件及视音频等内容，支持平级单位交换共享信息内容，支持向街道社区级单位延伸，主要用于县级融媒体中心区域内的新闻通联和各市县融媒体中心向省级媒体上送相关外宣内容。</w:t>
            </w:r>
          </w:p>
        </w:tc>
        <w:tc>
          <w:tcPr>
            <w:tcW w:w="0" w:type="auto"/>
            <w:shd w:val="clear" w:color="auto" w:fill="auto"/>
            <w:vAlign w:val="center"/>
          </w:tcPr>
          <w:p w14:paraId="61EA0DEE">
            <w:pPr>
              <w:adjustRightInd/>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一年</w:t>
            </w:r>
          </w:p>
        </w:tc>
        <w:tc>
          <w:tcPr>
            <w:tcW w:w="0" w:type="auto"/>
            <w:shd w:val="clear" w:color="auto" w:fill="auto"/>
            <w:vAlign w:val="center"/>
          </w:tcPr>
          <w:p w14:paraId="5B8F8524">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1套</w:t>
            </w:r>
          </w:p>
        </w:tc>
      </w:tr>
      <w:tr w14:paraId="1EF8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8" w:hRule="atLeast"/>
          <w:jc w:val="center"/>
        </w:trPr>
        <w:tc>
          <w:tcPr>
            <w:tcW w:w="0" w:type="auto"/>
            <w:vMerge w:val="continue"/>
            <w:shd w:val="clear" w:color="auto" w:fill="auto"/>
            <w:vAlign w:val="center"/>
          </w:tcPr>
          <w:p w14:paraId="2253FA2C">
            <w:pPr>
              <w:adjustRightInd/>
              <w:spacing w:line="360" w:lineRule="auto"/>
              <w:jc w:val="center"/>
              <w:rPr>
                <w:rFonts w:hint="eastAsia" w:ascii="宋体" w:hAnsi="宋体" w:eastAsia="宋体" w:cs="宋体"/>
                <w:color w:val="auto"/>
                <w:sz w:val="24"/>
                <w:szCs w:val="24"/>
                <w:highlight w:val="none"/>
              </w:rPr>
            </w:pPr>
          </w:p>
        </w:tc>
        <w:tc>
          <w:tcPr>
            <w:tcW w:w="0" w:type="auto"/>
            <w:gridSpan w:val="2"/>
            <w:vMerge w:val="continue"/>
            <w:shd w:val="clear" w:color="auto" w:fill="auto"/>
            <w:vAlign w:val="center"/>
          </w:tcPr>
          <w:p w14:paraId="79FF82D3">
            <w:pPr>
              <w:adjustRightInd/>
              <w:spacing w:line="360" w:lineRule="auto"/>
              <w:jc w:val="center"/>
              <w:rPr>
                <w:rFonts w:hint="eastAsia" w:ascii="宋体" w:hAnsi="宋体" w:eastAsia="宋体" w:cs="宋体"/>
                <w:color w:val="auto"/>
                <w:sz w:val="24"/>
                <w:szCs w:val="24"/>
                <w:highlight w:val="none"/>
              </w:rPr>
            </w:pPr>
          </w:p>
        </w:tc>
        <w:tc>
          <w:tcPr>
            <w:tcW w:w="0" w:type="auto"/>
            <w:shd w:val="clear" w:color="auto" w:fill="auto"/>
            <w:vAlign w:val="center"/>
          </w:tcPr>
          <w:p w14:paraId="2E3DD958">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卫视通联：为卫视单独设置，功能同全省通联</w:t>
            </w:r>
          </w:p>
        </w:tc>
        <w:tc>
          <w:tcPr>
            <w:tcW w:w="0" w:type="auto"/>
            <w:shd w:val="clear" w:color="auto" w:fill="auto"/>
            <w:vAlign w:val="center"/>
          </w:tcPr>
          <w:p w14:paraId="6A32BA71">
            <w:pPr>
              <w:adjustRightInd/>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一年</w:t>
            </w:r>
          </w:p>
        </w:tc>
        <w:tc>
          <w:tcPr>
            <w:tcW w:w="0" w:type="auto"/>
            <w:shd w:val="clear" w:color="auto" w:fill="auto"/>
            <w:vAlign w:val="center"/>
          </w:tcPr>
          <w:p w14:paraId="2BBBE997">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1套</w:t>
            </w:r>
          </w:p>
        </w:tc>
      </w:tr>
      <w:tr w14:paraId="1961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3" w:hRule="atLeast"/>
          <w:jc w:val="center"/>
        </w:trPr>
        <w:tc>
          <w:tcPr>
            <w:tcW w:w="0" w:type="auto"/>
            <w:shd w:val="clear" w:color="auto" w:fill="auto"/>
            <w:vAlign w:val="center"/>
          </w:tcPr>
          <w:p w14:paraId="6C77EC4F">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p>
        </w:tc>
        <w:tc>
          <w:tcPr>
            <w:tcW w:w="0" w:type="auto"/>
            <w:gridSpan w:val="2"/>
            <w:shd w:val="clear" w:color="auto" w:fill="auto"/>
            <w:vAlign w:val="center"/>
          </w:tcPr>
          <w:p w14:paraId="15B918D7">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节目交流系统技术资源服务</w:t>
            </w:r>
          </w:p>
        </w:tc>
        <w:tc>
          <w:tcPr>
            <w:tcW w:w="0" w:type="auto"/>
            <w:shd w:val="clear" w:color="auto" w:fill="auto"/>
            <w:vAlign w:val="center"/>
          </w:tcPr>
          <w:p w14:paraId="57D4E2A4">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支持全省电视剧节目资源共享，实现多格式下载和推送至生产媒资；本服务包含该系统涉及到的技术支持和相关资源占用等。</w:t>
            </w:r>
          </w:p>
        </w:tc>
        <w:tc>
          <w:tcPr>
            <w:tcW w:w="0" w:type="auto"/>
            <w:shd w:val="clear" w:color="auto" w:fill="auto"/>
            <w:vAlign w:val="center"/>
          </w:tcPr>
          <w:p w14:paraId="00F9E6F7">
            <w:pPr>
              <w:adjustRightInd/>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一年</w:t>
            </w:r>
          </w:p>
        </w:tc>
        <w:tc>
          <w:tcPr>
            <w:tcW w:w="0" w:type="auto"/>
            <w:shd w:val="clear" w:color="auto" w:fill="auto"/>
            <w:vAlign w:val="center"/>
          </w:tcPr>
          <w:p w14:paraId="752938C6">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1套</w:t>
            </w:r>
          </w:p>
        </w:tc>
      </w:tr>
      <w:tr w14:paraId="76DD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0" w:hRule="atLeast"/>
          <w:jc w:val="center"/>
        </w:trPr>
        <w:tc>
          <w:tcPr>
            <w:tcW w:w="0" w:type="auto"/>
            <w:shd w:val="clear" w:color="auto" w:fill="auto"/>
            <w:vAlign w:val="center"/>
          </w:tcPr>
          <w:p w14:paraId="0BA73E39">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p>
        </w:tc>
        <w:tc>
          <w:tcPr>
            <w:tcW w:w="0" w:type="auto"/>
            <w:gridSpan w:val="2"/>
            <w:shd w:val="clear" w:color="auto" w:fill="auto"/>
            <w:vAlign w:val="center"/>
          </w:tcPr>
          <w:p w14:paraId="5BBDC671">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存储扩展</w:t>
            </w:r>
          </w:p>
        </w:tc>
        <w:tc>
          <w:tcPr>
            <w:tcW w:w="0" w:type="auto"/>
            <w:shd w:val="clear" w:color="auto" w:fill="auto"/>
            <w:vAlign w:val="center"/>
          </w:tcPr>
          <w:p w14:paraId="31839DAC">
            <w:pPr>
              <w:adjustRightIn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提供大容量、低时延、高吞吐和高性能的云端NAS文件存储服务，支持存储配额弹性扩展，存储集群高可靠，安全稳定的CIFS和NFS协议存储，有效提升存储性能，降低数据存储成本。广泛应用于媒体节目生产、媒资存储、企业级应用数据共享、AI机器学习、媒体内容管理和应用程序开发和测试等场景。</w:t>
            </w:r>
          </w:p>
        </w:tc>
        <w:tc>
          <w:tcPr>
            <w:tcW w:w="0" w:type="auto"/>
            <w:shd w:val="clear" w:color="auto" w:fill="auto"/>
            <w:vAlign w:val="center"/>
          </w:tcPr>
          <w:p w14:paraId="6FEB7E2D">
            <w:pPr>
              <w:adjustRightInd/>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一年</w:t>
            </w:r>
          </w:p>
        </w:tc>
        <w:tc>
          <w:tcPr>
            <w:tcW w:w="0" w:type="auto"/>
            <w:shd w:val="clear" w:color="auto" w:fill="auto"/>
            <w:vAlign w:val="center"/>
          </w:tcPr>
          <w:p w14:paraId="0448EAC4">
            <w:pPr>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20t</w:t>
            </w:r>
          </w:p>
        </w:tc>
      </w:tr>
    </w:tbl>
    <w:p w14:paraId="1BD8F9A3">
      <w:pPr>
        <w:keepNext/>
        <w:keepLines/>
        <w:widowControl w:val="0"/>
        <w:numPr>
          <w:ilvl w:val="0"/>
          <w:numId w:val="1"/>
        </w:numPr>
        <w:tabs>
          <w:tab w:val="left" w:pos="432"/>
        </w:tabs>
        <w:kinsoku/>
        <w:wordWrap/>
        <w:overflowPunct/>
        <w:topLinePunct w:val="0"/>
        <w:autoSpaceDE/>
        <w:autoSpaceDN/>
        <w:bidi w:val="0"/>
        <w:spacing w:before="0" w:beforeAutospacing="0" w:after="0" w:line="360" w:lineRule="auto"/>
        <w:ind w:left="432" w:hanging="432"/>
        <w:jc w:val="both"/>
        <w:outlineLvl w:val="1"/>
        <w:rPr>
          <w:rFonts w:hint="eastAsia" w:ascii="宋体" w:hAnsi="宋体" w:eastAsia="宋体" w:cs="宋体"/>
          <w:b/>
          <w:bCs/>
          <w:color w:val="auto"/>
          <w:kern w:val="44"/>
          <w:sz w:val="24"/>
          <w:szCs w:val="24"/>
          <w:highlight w:val="none"/>
          <w:lang w:val="en-US" w:eastAsia="zh-CN" w:bidi="ar-SA"/>
        </w:rPr>
      </w:pPr>
      <w:r>
        <w:rPr>
          <w:rFonts w:hint="eastAsia" w:ascii="宋体" w:hAnsi="宋体" w:eastAsia="宋体" w:cs="宋体"/>
          <w:b/>
          <w:bCs/>
          <w:color w:val="auto"/>
          <w:kern w:val="44"/>
          <w:sz w:val="24"/>
          <w:szCs w:val="24"/>
          <w:highlight w:val="none"/>
          <w:lang w:val="en-US" w:eastAsia="zh-CN" w:bidi="ar-SA"/>
        </w:rPr>
        <w:t>总体技术要求</w:t>
      </w:r>
    </w:p>
    <w:p w14:paraId="67D906AE">
      <w:pPr>
        <w:kinsoku/>
        <w:wordWrap/>
        <w:overflowPunct/>
        <w:topLinePunct w:val="0"/>
        <w:autoSpaceDE/>
        <w:autoSpaceDN/>
        <w:bidi w:val="0"/>
        <w:adjustRightInd w:val="0"/>
        <w:snapToGrid w:val="0"/>
        <w:spacing w:beforeAutospacing="0"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▲要求实现与浙江省级融媒体技术平台实现系统联通对接，需实现与省内其他媒体单位的在线通信联动与选题策划联动。</w:t>
      </w:r>
    </w:p>
    <w:p w14:paraId="23DC72AD">
      <w:pPr>
        <w:kinsoku/>
        <w:wordWrap/>
        <w:overflowPunct/>
        <w:topLinePunct w:val="0"/>
        <w:autoSpaceDE/>
        <w:autoSpaceDN/>
        <w:bidi w:val="0"/>
        <w:adjustRightInd w:val="0"/>
        <w:snapToGrid w:val="0"/>
        <w:spacing w:beforeAutospacing="0"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▲要求实现与看余杭客户端后台实现联通对接，需实现跨系统用户体系及稿件数据打通。</w:t>
      </w:r>
    </w:p>
    <w:p w14:paraId="2816D133">
      <w:pPr>
        <w:kinsoku/>
        <w:wordWrap/>
        <w:overflowPunct/>
        <w:topLinePunct w:val="0"/>
        <w:autoSpaceDE/>
        <w:autoSpaceDN/>
        <w:bidi w:val="0"/>
        <w:adjustRightInd w:val="0"/>
        <w:snapToGrid w:val="0"/>
        <w:spacing w:beforeAutospacing="0"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▲要求构建“类OA”流程引擎，需实现稿件审批流转流程的自定义配置。</w:t>
      </w:r>
    </w:p>
    <w:p w14:paraId="22914CD5">
      <w:pPr>
        <w:kinsoku/>
        <w:wordWrap/>
        <w:overflowPunct/>
        <w:topLinePunct w:val="0"/>
        <w:autoSpaceDE/>
        <w:autoSpaceDN/>
        <w:bidi w:val="0"/>
        <w:adjustRightInd w:val="0"/>
        <w:snapToGrid w:val="0"/>
        <w:spacing w:beforeAutospacing="0"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▲要求构建IM消息体系，基于PC端和移动端均可实现发起用户间即时通信，需支持发送资源文件。</w:t>
      </w:r>
    </w:p>
    <w:p w14:paraId="437A5971">
      <w:pPr>
        <w:keepNext/>
        <w:keepLines/>
        <w:widowControl w:val="0"/>
        <w:numPr>
          <w:ilvl w:val="0"/>
          <w:numId w:val="1"/>
        </w:numPr>
        <w:tabs>
          <w:tab w:val="left" w:pos="432"/>
        </w:tabs>
        <w:kinsoku/>
        <w:wordWrap/>
        <w:overflowPunct/>
        <w:topLinePunct w:val="0"/>
        <w:autoSpaceDE/>
        <w:autoSpaceDN/>
        <w:bidi w:val="0"/>
        <w:spacing w:before="0" w:beforeAutospacing="0" w:after="0" w:line="360" w:lineRule="auto"/>
        <w:ind w:left="432" w:hanging="432"/>
        <w:jc w:val="both"/>
        <w:outlineLvl w:val="1"/>
        <w:rPr>
          <w:rFonts w:hint="eastAsia" w:ascii="宋体" w:hAnsi="宋体" w:eastAsia="宋体" w:cs="宋体"/>
          <w:b/>
          <w:bCs/>
          <w:color w:val="auto"/>
          <w:kern w:val="44"/>
          <w:sz w:val="24"/>
          <w:szCs w:val="24"/>
          <w:highlight w:val="none"/>
          <w:lang w:val="en-US" w:eastAsia="zh-CN" w:bidi="ar-SA"/>
        </w:rPr>
      </w:pPr>
      <w:r>
        <w:rPr>
          <w:rFonts w:hint="eastAsia" w:ascii="宋体" w:hAnsi="宋体" w:eastAsia="宋体" w:cs="宋体"/>
          <w:b/>
          <w:bCs/>
          <w:color w:val="auto"/>
          <w:kern w:val="44"/>
          <w:sz w:val="24"/>
          <w:szCs w:val="24"/>
          <w:highlight w:val="none"/>
          <w:lang w:val="en-US" w:eastAsia="zh-CN" w:bidi="ar-SA"/>
        </w:rPr>
        <w:t>功能参数要求</w:t>
      </w:r>
    </w:p>
    <w:p w14:paraId="61608409">
      <w:pPr>
        <w:keepNext/>
        <w:keepLines/>
        <w:widowControl w:val="0"/>
        <w:tabs>
          <w:tab w:val="left" w:pos="900"/>
        </w:tabs>
        <w:kinsoku/>
        <w:wordWrap/>
        <w:overflowPunct/>
        <w:topLinePunct w:val="0"/>
        <w:autoSpaceDE/>
        <w:autoSpaceDN/>
        <w:bidi w:val="0"/>
        <w:spacing w:before="0" w:beforeAutospacing="0" w:after="0" w:line="360" w:lineRule="auto"/>
        <w:ind w:left="900" w:hanging="720"/>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1.1基础服务</w:t>
      </w:r>
      <w:r>
        <w:rPr>
          <w:rFonts w:hint="eastAsia" w:ascii="宋体" w:hAnsi="宋体" w:eastAsia="宋体" w:cs="宋体"/>
          <w:b/>
          <w:bCs/>
          <w:color w:val="auto"/>
          <w:kern w:val="2"/>
          <w:sz w:val="24"/>
          <w:szCs w:val="24"/>
          <w:highlight w:val="none"/>
          <w:lang w:val="en-US" w:eastAsia="zh-CN" w:bidi="ar-SA"/>
        </w:rPr>
        <w:tab/>
      </w:r>
    </w:p>
    <w:p w14:paraId="70DC2E96">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基础服务</w:t>
      </w:r>
      <w:r>
        <w:rPr>
          <w:rFonts w:hint="eastAsia" w:ascii="宋体" w:hAnsi="宋体" w:eastAsia="宋体" w:cs="宋体"/>
          <w:color w:val="auto"/>
          <w:sz w:val="24"/>
          <w:szCs w:val="24"/>
          <w:highlight w:val="none"/>
        </w:rPr>
        <w:t>应包含</w:t>
      </w:r>
      <w:r>
        <w:rPr>
          <w:rFonts w:hint="eastAsia" w:ascii="宋体" w:hAnsi="宋体" w:eastAsia="宋体" w:cs="宋体"/>
          <w:color w:val="auto"/>
          <w:sz w:val="24"/>
          <w:szCs w:val="24"/>
          <w:highlight w:val="none"/>
          <w:lang w:val="en-US" w:eastAsia="zh-CN"/>
        </w:rPr>
        <w:t>工作台、消息、</w:t>
      </w:r>
      <w:r>
        <w:rPr>
          <w:rFonts w:hint="eastAsia" w:ascii="宋体" w:hAnsi="宋体" w:eastAsia="宋体" w:cs="宋体"/>
          <w:color w:val="auto"/>
          <w:sz w:val="24"/>
          <w:szCs w:val="24"/>
          <w:highlight w:val="none"/>
        </w:rPr>
        <w:t>通讯录、</w:t>
      </w:r>
      <w:r>
        <w:rPr>
          <w:rFonts w:hint="eastAsia" w:ascii="宋体" w:hAnsi="宋体" w:eastAsia="宋体" w:cs="宋体"/>
          <w:color w:val="auto"/>
          <w:sz w:val="24"/>
          <w:szCs w:val="24"/>
          <w:highlight w:val="none"/>
          <w:lang w:val="en-US" w:eastAsia="zh-CN"/>
        </w:rPr>
        <w:t>个人中心、管理后台、移动采编</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val="en-US" w:eastAsia="zh-CN"/>
        </w:rPr>
        <w:t>模块，需提供50个平台用户账号。</w:t>
      </w:r>
    </w:p>
    <w:p w14:paraId="7218211A">
      <w:pPr>
        <w:widowControl w:val="0"/>
        <w:kinsoku/>
        <w:wordWrap/>
        <w:overflowPunct/>
        <w:topLinePunct w:val="0"/>
        <w:autoSpaceDE/>
        <w:autoSpaceDN/>
        <w:bidi w:val="0"/>
        <w:adjustRightInd/>
        <w:spacing w:beforeAutospacing="0" w:after="0" w:line="36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（1）工作台</w:t>
      </w:r>
    </w:p>
    <w:p w14:paraId="62E12EA7">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简洁、易用</w:t>
      </w:r>
      <w:r>
        <w:rPr>
          <w:rFonts w:hint="eastAsia" w:ascii="宋体" w:hAnsi="宋体" w:eastAsia="宋体" w:cs="宋体"/>
          <w:color w:val="auto"/>
          <w:sz w:val="24"/>
          <w:szCs w:val="24"/>
          <w:highlight w:val="none"/>
        </w:rPr>
        <w:t>的工作台</w:t>
      </w:r>
      <w:r>
        <w:rPr>
          <w:rFonts w:hint="eastAsia" w:ascii="宋体" w:hAnsi="宋体" w:eastAsia="宋体" w:cs="宋体"/>
          <w:color w:val="auto"/>
          <w:sz w:val="24"/>
          <w:szCs w:val="24"/>
          <w:highlight w:val="none"/>
          <w:lang w:val="en-US" w:eastAsia="zh-CN"/>
        </w:rPr>
        <w:t>界面</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支持一键便捷进入各功能模块</w:t>
      </w:r>
      <w:r>
        <w:rPr>
          <w:rFonts w:hint="eastAsia" w:ascii="宋体" w:hAnsi="宋体" w:eastAsia="宋体" w:cs="宋体"/>
          <w:color w:val="auto"/>
          <w:sz w:val="24"/>
          <w:szCs w:val="24"/>
          <w:highlight w:val="none"/>
        </w:rPr>
        <w:t>；</w:t>
      </w:r>
    </w:p>
    <w:p w14:paraId="59AFFA99">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支持功能页面以多标签页形式呈现，便于快速切换至某已打开的功能页面；</w:t>
      </w:r>
    </w:p>
    <w:p w14:paraId="27E40E1E">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支持用户</w:t>
      </w:r>
      <w:r>
        <w:rPr>
          <w:rFonts w:hint="eastAsia" w:ascii="宋体" w:hAnsi="宋体" w:eastAsia="宋体" w:cs="宋体"/>
          <w:color w:val="auto"/>
          <w:sz w:val="24"/>
          <w:szCs w:val="24"/>
          <w:highlight w:val="none"/>
          <w:lang w:val="en-US" w:eastAsia="zh-CN"/>
        </w:rPr>
        <w:t>自定义选择功能模块至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我的应用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中汇总展示</w:t>
      </w:r>
      <w:r>
        <w:rPr>
          <w:rFonts w:hint="eastAsia" w:ascii="宋体" w:hAnsi="宋体" w:eastAsia="宋体" w:cs="宋体"/>
          <w:color w:val="auto"/>
          <w:sz w:val="24"/>
          <w:szCs w:val="24"/>
          <w:highlight w:val="none"/>
          <w:lang w:eastAsia="zh-CN"/>
        </w:rPr>
        <w:t>。</w:t>
      </w:r>
    </w:p>
    <w:p w14:paraId="0C6DEA4E">
      <w:pPr>
        <w:widowControl w:val="0"/>
        <w:kinsoku/>
        <w:wordWrap/>
        <w:overflowPunct/>
        <w:topLinePunct w:val="0"/>
        <w:autoSpaceDE/>
        <w:autoSpaceDN/>
        <w:bidi w:val="0"/>
        <w:adjustRightInd/>
        <w:spacing w:beforeAutospacing="0" w:after="0" w:line="36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（2）消息</w:t>
      </w:r>
    </w:p>
    <w:p w14:paraId="6EB193E2">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支持即时消息功能，支持通过</w:t>
      </w: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lang w:val="en-US" w:eastAsia="zh-CN"/>
        </w:rPr>
        <w:t>关键词快速检索联系人发起聊天，支持创建多人群聊，应支持发送表情、文字、本地文件、云盘文件；</w:t>
      </w:r>
    </w:p>
    <w:p w14:paraId="64B7E95D">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★聊天文件支持存入云盘，支持在聊天框对文档直接唤起在线预览、在线编辑功能；（需提供系统截图）</w:t>
      </w:r>
    </w:p>
    <w:p w14:paraId="09019362">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消息模块应该</w:t>
      </w:r>
      <w:r>
        <w:rPr>
          <w:rFonts w:hint="eastAsia" w:ascii="宋体" w:hAnsi="宋体" w:eastAsia="宋体" w:cs="宋体"/>
          <w:color w:val="auto"/>
          <w:sz w:val="24"/>
          <w:szCs w:val="24"/>
          <w:highlight w:val="none"/>
        </w:rPr>
        <w:t>支持</w:t>
      </w:r>
      <w:r>
        <w:rPr>
          <w:rFonts w:hint="eastAsia" w:ascii="宋体" w:hAnsi="宋体" w:eastAsia="宋体" w:cs="宋体"/>
          <w:color w:val="auto"/>
          <w:sz w:val="24"/>
          <w:szCs w:val="24"/>
          <w:highlight w:val="none"/>
          <w:lang w:val="en-US" w:eastAsia="zh-CN"/>
        </w:rPr>
        <w:t>显示系统</w:t>
      </w:r>
      <w:r>
        <w:rPr>
          <w:rFonts w:hint="eastAsia" w:ascii="宋体" w:hAnsi="宋体" w:eastAsia="宋体" w:cs="宋体"/>
          <w:color w:val="auto"/>
          <w:sz w:val="24"/>
          <w:szCs w:val="24"/>
          <w:highlight w:val="none"/>
        </w:rPr>
        <w:t>待办、</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通知等</w:t>
      </w:r>
      <w:r>
        <w:rPr>
          <w:rFonts w:hint="eastAsia" w:ascii="宋体" w:hAnsi="宋体" w:eastAsia="宋体" w:cs="宋体"/>
          <w:color w:val="auto"/>
          <w:sz w:val="24"/>
          <w:szCs w:val="24"/>
          <w:highlight w:val="none"/>
          <w:lang w:val="en-US" w:eastAsia="zh-CN"/>
        </w:rPr>
        <w:t>内容；</w:t>
      </w:r>
    </w:p>
    <w:p w14:paraId="0B8E54C1">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支持对已办和待办进行分类展示，待办支持查看详情，支持退回及通过操作，支持填写退回意见，支持通过后自动校验并提示校验失败原因；</w:t>
      </w:r>
    </w:p>
    <w:p w14:paraId="2F8B1995">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工作通知应包含</w:t>
      </w:r>
      <w:r>
        <w:rPr>
          <w:rFonts w:hint="eastAsia" w:ascii="宋体" w:hAnsi="宋体" w:eastAsia="宋体" w:cs="宋体"/>
          <w:color w:val="auto"/>
          <w:sz w:val="24"/>
          <w:szCs w:val="24"/>
          <w:highlight w:val="none"/>
          <w:lang w:eastAsia="zh-Hans"/>
        </w:rPr>
        <w:t>稿件</w:t>
      </w:r>
      <w:r>
        <w:rPr>
          <w:rFonts w:hint="eastAsia" w:ascii="宋体" w:hAnsi="宋体" w:eastAsia="宋体" w:cs="宋体"/>
          <w:color w:val="auto"/>
          <w:sz w:val="24"/>
          <w:szCs w:val="24"/>
          <w:highlight w:val="none"/>
        </w:rPr>
        <w:t>审批消息、稿件消息、</w:t>
      </w:r>
      <w:r>
        <w:rPr>
          <w:rFonts w:hint="eastAsia" w:ascii="宋体" w:hAnsi="宋体" w:eastAsia="宋体" w:cs="宋体"/>
          <w:color w:val="auto"/>
          <w:sz w:val="24"/>
          <w:szCs w:val="24"/>
          <w:highlight w:val="none"/>
          <w:lang w:val="en-US" w:eastAsia="zh-CN"/>
        </w:rPr>
        <w:t>任务消息、</w:t>
      </w:r>
      <w:r>
        <w:rPr>
          <w:rFonts w:hint="eastAsia" w:ascii="宋体" w:hAnsi="宋体" w:eastAsia="宋体" w:cs="宋体"/>
          <w:color w:val="auto"/>
          <w:sz w:val="24"/>
          <w:szCs w:val="24"/>
          <w:highlight w:val="none"/>
        </w:rPr>
        <w:t>通知预警及关注消息，审批和稿件待处理消息点击未处理的信息便可以直接跳转到处理环节进行实时处理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支持开启消息免打扰；</w:t>
      </w:r>
    </w:p>
    <w:p w14:paraId="1F30D0E5">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支持在工作台置顶显示催办消息，支持立即处理及已知晓操作。</w:t>
      </w:r>
    </w:p>
    <w:p w14:paraId="295C7251">
      <w:pPr>
        <w:widowControl w:val="0"/>
        <w:kinsoku/>
        <w:wordWrap/>
        <w:overflowPunct/>
        <w:topLinePunct w:val="0"/>
        <w:autoSpaceDE/>
        <w:autoSpaceDN/>
        <w:bidi w:val="0"/>
        <w:adjustRightInd/>
        <w:spacing w:beforeAutospacing="0" w:after="0" w:line="36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（3）通讯录</w:t>
      </w:r>
    </w:p>
    <w:p w14:paraId="012FE851">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w:t>
      </w:r>
      <w:r>
        <w:rPr>
          <w:rFonts w:hint="eastAsia" w:ascii="宋体" w:hAnsi="宋体" w:eastAsia="宋体" w:cs="宋体"/>
          <w:color w:val="auto"/>
          <w:sz w:val="24"/>
          <w:szCs w:val="24"/>
          <w:highlight w:val="none"/>
          <w:lang w:val="en-US" w:eastAsia="zh-CN"/>
        </w:rPr>
        <w:t>通过通讯录</w:t>
      </w:r>
      <w:r>
        <w:rPr>
          <w:rFonts w:hint="eastAsia" w:ascii="宋体" w:hAnsi="宋体" w:eastAsia="宋体" w:cs="宋体"/>
          <w:color w:val="auto"/>
          <w:sz w:val="24"/>
          <w:szCs w:val="24"/>
          <w:highlight w:val="none"/>
        </w:rPr>
        <w:t>查询内部组织架构及用户</w:t>
      </w:r>
      <w:r>
        <w:rPr>
          <w:rFonts w:hint="eastAsia" w:ascii="宋体" w:hAnsi="宋体" w:eastAsia="宋体" w:cs="宋体"/>
          <w:color w:val="auto"/>
          <w:sz w:val="24"/>
          <w:szCs w:val="24"/>
          <w:highlight w:val="none"/>
          <w:lang w:val="en-US" w:eastAsia="zh-CN"/>
        </w:rPr>
        <w:t>名片</w:t>
      </w:r>
      <w:r>
        <w:rPr>
          <w:rFonts w:hint="eastAsia" w:ascii="宋体" w:hAnsi="宋体" w:eastAsia="宋体" w:cs="宋体"/>
          <w:color w:val="auto"/>
          <w:sz w:val="24"/>
          <w:szCs w:val="24"/>
          <w:highlight w:val="none"/>
        </w:rPr>
        <w:t>信息，支持查看</w:t>
      </w:r>
      <w:r>
        <w:rPr>
          <w:rFonts w:hint="eastAsia" w:ascii="宋体" w:hAnsi="宋体" w:eastAsia="宋体" w:cs="宋体"/>
          <w:color w:val="auto"/>
          <w:sz w:val="24"/>
          <w:szCs w:val="24"/>
          <w:highlight w:val="none"/>
          <w:lang w:val="en-US" w:eastAsia="zh-CN"/>
        </w:rPr>
        <w:t>已创建的</w:t>
      </w:r>
      <w:r>
        <w:rPr>
          <w:rFonts w:hint="eastAsia" w:ascii="宋体" w:hAnsi="宋体" w:eastAsia="宋体" w:cs="宋体"/>
          <w:color w:val="auto"/>
          <w:sz w:val="24"/>
          <w:szCs w:val="24"/>
          <w:highlight w:val="none"/>
        </w:rPr>
        <w:t>群组</w:t>
      </w:r>
      <w:r>
        <w:rPr>
          <w:rFonts w:hint="eastAsia" w:ascii="宋体" w:hAnsi="宋体" w:eastAsia="宋体" w:cs="宋体"/>
          <w:color w:val="auto"/>
          <w:sz w:val="24"/>
          <w:szCs w:val="24"/>
          <w:highlight w:val="none"/>
          <w:lang w:eastAsia="zh-CN"/>
        </w:rPr>
        <w:t>。</w:t>
      </w:r>
    </w:p>
    <w:p w14:paraId="23BB1693">
      <w:pPr>
        <w:widowControl w:val="0"/>
        <w:kinsoku/>
        <w:wordWrap/>
        <w:overflowPunct/>
        <w:topLinePunct w:val="0"/>
        <w:autoSpaceDE/>
        <w:autoSpaceDN/>
        <w:bidi w:val="0"/>
        <w:adjustRightInd/>
        <w:spacing w:beforeAutospacing="0" w:after="0" w:line="36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（4）个人中心</w:t>
      </w:r>
    </w:p>
    <w:p w14:paraId="0272BFB0">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支持个人基本信息管理、密码管理、帮助中心、切换部门、退出登录等功能。</w:t>
      </w:r>
    </w:p>
    <w:p w14:paraId="02879EF2">
      <w:pPr>
        <w:widowControl w:val="0"/>
        <w:numPr>
          <w:ilvl w:val="0"/>
          <w:numId w:val="3"/>
        </w:numPr>
        <w:kinsoku/>
        <w:wordWrap/>
        <w:overflowPunct/>
        <w:topLinePunct w:val="0"/>
        <w:autoSpaceDE/>
        <w:autoSpaceDN/>
        <w:bidi w:val="0"/>
        <w:adjustRightInd/>
        <w:spacing w:beforeAutospacing="0" w:after="0" w:line="360" w:lineRule="auto"/>
        <w:ind w:left="0" w:leftChars="0" w:firstLine="0" w:firstLineChars="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管理后台</w:t>
      </w:r>
    </w:p>
    <w:p w14:paraId="0DB7495E">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支持组织管理，支持组织创建、编辑、更换、隐藏、删除等操作，支持基于已建组织创建用户邀请链接，支持检索组织信息；</w:t>
      </w:r>
    </w:p>
    <w:p w14:paraId="7A0AF3F8">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支持用户管理，支持添加、导入、停用、编辑、删除、重置密码等操作，支持条件检索用户信息，支持用户申请审批；</w:t>
      </w:r>
    </w:p>
    <w:p w14:paraId="6637EA4F">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支持角色权限管理，支持配置用户对于系统各模块的操作权限；</w:t>
      </w:r>
    </w:p>
    <w:p w14:paraId="02438913">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支持通讯录管理，支持新建、删除、配置、编辑等操作；</w:t>
      </w:r>
    </w:p>
    <w:p w14:paraId="13BDA9B0">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支持应用管理，支持修改应用名称及图标，支持拖拽修改应用排布，支持添加应用至左侧导航栏；</w:t>
      </w:r>
    </w:p>
    <w:p w14:paraId="2B22C2BB">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支持客户端采编应用后台管理，支持添加客户端站点，支持频道、栏目管理；</w:t>
      </w:r>
    </w:p>
    <w:p w14:paraId="5F9E744B">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★支持自定义管理客户端稿件的字段，支持修改字段名称，支持字段排序，支持隐藏非必选字段；（需提供系统截图）</w:t>
      </w:r>
    </w:p>
    <w:p w14:paraId="6C9B4D72">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★支持结合实际业务需求，通过流程引擎自定义配置审核流程。</w:t>
      </w:r>
      <w:r>
        <w:rPr>
          <w:rFonts w:hint="eastAsia" w:ascii="宋体" w:hAnsi="宋体" w:eastAsia="宋体" w:cs="宋体"/>
          <w:color w:val="auto"/>
          <w:sz w:val="24"/>
          <w:szCs w:val="24"/>
          <w:highlight w:val="none"/>
          <w:lang w:val="en-US" w:eastAsia="zh-Hans"/>
        </w:rPr>
        <w:t>支持配置发起人和审批人，发起人和审批人均支持添加一个或者多个人，也可以设置多道审批环节，支持配置流程基础信息，包含流程名称、流程标识、流程发起人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Hans"/>
        </w:rPr>
        <w:t>可将流程关联对应的具体用户、退回方式</w:t>
      </w:r>
      <w:r>
        <w:rPr>
          <w:rFonts w:hint="eastAsia" w:ascii="宋体" w:hAnsi="宋体" w:eastAsia="宋体" w:cs="宋体"/>
          <w:color w:val="auto"/>
          <w:sz w:val="24"/>
          <w:szCs w:val="24"/>
          <w:highlight w:val="none"/>
          <w:lang w:val="en-US" w:eastAsia="zh-CN"/>
        </w:rPr>
        <w:t>支持配置</w:t>
      </w:r>
      <w:r>
        <w:rPr>
          <w:rFonts w:hint="eastAsia" w:ascii="宋体" w:hAnsi="宋体" w:eastAsia="宋体" w:cs="宋体"/>
          <w:color w:val="auto"/>
          <w:sz w:val="24"/>
          <w:szCs w:val="24"/>
          <w:highlight w:val="none"/>
          <w:lang w:val="en-US" w:eastAsia="zh-Hans"/>
        </w:rPr>
        <w:t>具体节点或者上一级和流程说明等。</w:t>
      </w:r>
      <w:r>
        <w:rPr>
          <w:rFonts w:hint="eastAsia" w:ascii="宋体" w:hAnsi="宋体" w:eastAsia="宋体" w:cs="宋体"/>
          <w:color w:val="auto"/>
          <w:sz w:val="24"/>
          <w:szCs w:val="24"/>
          <w:highlight w:val="none"/>
          <w:lang w:val="en-US" w:eastAsia="zh-CN"/>
        </w:rPr>
        <w:t>（需提供系统截图）</w:t>
      </w:r>
    </w:p>
    <w:p w14:paraId="2961B957">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★支持推头条审批流程及二次审签的特殊流程配置，流程配置支持添加抄送人。（需提供系统截图）</w:t>
      </w:r>
    </w:p>
    <w:p w14:paraId="2E6A5D89">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支持敏感词配置管理，支持添加敏感词，支持批量导入；</w:t>
      </w:r>
    </w:p>
    <w:p w14:paraId="45B22D0B">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支持运维管理，支持操作日志功能，支持以时间及所属应用进行条件筛选响应操作，支持安全日志管理。</w:t>
      </w:r>
    </w:p>
    <w:p w14:paraId="7BEA26D9">
      <w:pPr>
        <w:widowControl w:val="0"/>
        <w:numPr>
          <w:ilvl w:val="0"/>
          <w:numId w:val="3"/>
        </w:numPr>
        <w:kinsoku/>
        <w:wordWrap/>
        <w:overflowPunct/>
        <w:topLinePunct w:val="0"/>
        <w:autoSpaceDE/>
        <w:autoSpaceDN/>
        <w:bidi w:val="0"/>
        <w:adjustRightInd/>
        <w:spacing w:beforeAutospacing="0" w:after="0" w:line="360" w:lineRule="auto"/>
        <w:ind w:left="0" w:leftChars="0" w:firstLine="0" w:firstLineChars="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移动采编</w:t>
      </w:r>
    </w:p>
    <w:p w14:paraId="4A2B4C3D">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平台需支持以客户端软件形式接入移动端，包括工作台、消息、云盘等功能模块。</w:t>
      </w:r>
    </w:p>
    <w:p w14:paraId="2DE0E3EF">
      <w:pPr>
        <w:keepNext/>
        <w:keepLines/>
        <w:widowControl w:val="0"/>
        <w:tabs>
          <w:tab w:val="left" w:pos="900"/>
        </w:tabs>
        <w:kinsoku/>
        <w:wordWrap/>
        <w:overflowPunct/>
        <w:topLinePunct w:val="0"/>
        <w:autoSpaceDE/>
        <w:autoSpaceDN/>
        <w:bidi w:val="0"/>
        <w:spacing w:before="0" w:beforeAutospacing="0" w:after="0" w:line="360" w:lineRule="auto"/>
        <w:ind w:left="900" w:hanging="720"/>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1.2融合生产</w:t>
      </w:r>
    </w:p>
    <w:p w14:paraId="0A261662">
      <w:pPr>
        <w:widowControl w:val="0"/>
        <w:kinsoku/>
        <w:wordWrap/>
        <w:overflowPunct/>
        <w:topLinePunct w:val="0"/>
        <w:autoSpaceDE/>
        <w:autoSpaceDN/>
        <w:bidi w:val="0"/>
        <w:adjustRightInd/>
        <w:spacing w:beforeAutospacing="0" w:after="0" w:line="360" w:lineRule="auto"/>
        <w:ind w:left="0" w:leftChars="0" w:firstLine="0" w:firstLineChars="0"/>
        <w:jc w:val="both"/>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（1）个人创作中心</w:t>
      </w:r>
    </w:p>
    <w:p w14:paraId="48DA1A47">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支持新闻通稿的创作提交管理，支持提交至新媒体矩阵、客户端采编模块草稿箱供后续取用编辑；</w:t>
      </w:r>
    </w:p>
    <w:p w14:paraId="16FFF9F9">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支持创建文章、图集、视频、链接稿的稿件类型；</w:t>
      </w:r>
    </w:p>
    <w:p w14:paraId="195021CF">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正文支持插入文字、图片、视频、语音、超链接、iframe链接、样式标签等；</w:t>
      </w:r>
    </w:p>
    <w:p w14:paraId="14602426">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支持稿件编辑页接入智能工具箱，包含图片编辑、视频剪辑、信息编辑视频拆条、智能校对、查看痕迹等工具；</w:t>
      </w:r>
    </w:p>
    <w:p w14:paraId="4157DD32">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支持草稿箱稿件管理，支持展示未发起流程的稿件，支持编辑，提交审批、废稿、共享；</w:t>
      </w:r>
    </w:p>
    <w:p w14:paraId="65E865BA">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★支持同时提交至多个已接入采编渠道模块进行后续编辑审批管理；（需提供系统截图）</w:t>
      </w:r>
    </w:p>
    <w:p w14:paraId="37B612A7">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支持验证稿件是否满足发起条件，若不符合条件，支持查看原因提示，稿件发起流程成功后，该稿件流转至对应采编渠道模块。</w:t>
      </w:r>
    </w:p>
    <w:p w14:paraId="61FADB8B">
      <w:pPr>
        <w:widowControl w:val="0"/>
        <w:kinsoku/>
        <w:wordWrap/>
        <w:overflowPunct/>
        <w:topLinePunct w:val="0"/>
        <w:autoSpaceDE/>
        <w:autoSpaceDN/>
        <w:bidi w:val="0"/>
        <w:adjustRightInd/>
        <w:spacing w:beforeAutospacing="0" w:after="0" w:line="36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（2）新媒体矩阵</w:t>
      </w:r>
    </w:p>
    <w:p w14:paraId="5E872374">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支持对多个第三方媒体账号进行授权采编及发布管理，包括微信、微博、抖音、bilibili号、企鹅号、潮鸣号、蓝媒号等；</w:t>
      </w:r>
    </w:p>
    <w:p w14:paraId="3BFB7C79">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支持添加第三方新媒体平台账号，支持对已添加账号进行管理；</w:t>
      </w:r>
    </w:p>
    <w:p w14:paraId="425A60E1">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文章、视频、公众号专辑、短内容稿件类型，文章稿件支持发布至企鹅号、微信公众号、蓝媒号，视频稿件支持抖音、bilibili号、企鹅号、潮鸣号、蓝媒号，公众号专辑支持发布至微信公众号，短内容支持发布至微博；</w:t>
      </w:r>
    </w:p>
    <w:p w14:paraId="10A8DE83">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支持不同稿件状态的流转管理，包括：草稿箱、流转中、待发布、已发布、废稿箱等；</w:t>
      </w:r>
    </w:p>
    <w:p w14:paraId="0F95463D">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支持草稿箱稿件管理，支持展示未发起流程的稿件，支持编辑，提交审批、废稿、共享和预览操作；</w:t>
      </w:r>
    </w:p>
    <w:p w14:paraId="396D6E9C">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支持验证稿件是否满足发起条件，若不符合条件，支持查看原因提示，稿件发起流程成功后，该稿件转至流转中；</w:t>
      </w:r>
    </w:p>
    <w:p w14:paraId="2922549A">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支持流转中稿件管理，支持展示已经发起流程并在审核流程流转中的稿件，分为待我处理、我发起的和我的已办；</w:t>
      </w:r>
    </w:p>
    <w:p w14:paraId="7282716B">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支持将我发起的稿件取消流程，稿件移至草稿箱；待我处理的稿件支持退回、通过、编辑、预览操作；</w:t>
      </w:r>
    </w:p>
    <w:p w14:paraId="3E74FF50">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支持审核中对文稿进行编辑操作，支持再次验证是否符合分发条件，支持填写审批意见，稿件进入下一级流程节点；</w:t>
      </w:r>
    </w:p>
    <w:p w14:paraId="59832AF3">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支持待发布稿件管理，支持展示已通过审核流程待发布的稿件，支持撤销、定时发布、立即发布和共享等操作；</w:t>
      </w:r>
    </w:p>
    <w:p w14:paraId="08CA9512">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支持已发布稿件管理，支持展示已经发布的稿件，支持共享和预览操作，对于部分发布失败的稿件，支持查看发布失败的原因、重写或者进行重新签发；</w:t>
      </w:r>
    </w:p>
    <w:p w14:paraId="600BCF4E">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支持废稿箱管理，支持展示已经被废稿的稿件，支持对废稿进行还原，支持对稿件移除废稿箱至草稿箱或者直接彻底删除；</w:t>
      </w:r>
    </w:p>
    <w:p w14:paraId="0F788339">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正文支持插入文字、图片、视频、语音、超链接、iframe链接、样式标签等；</w:t>
      </w:r>
    </w:p>
    <w:p w14:paraId="65BCA517">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支持稿件发布设置管理，支持客户端、频道、栏目、列表样式、焦点图、稿件类型、原创稿件类型、标签、新闻附件、备注、签发后隐藏、署名作者、责任编辑、相关新闻、相关专题、关键词、摘要等内容设置。</w:t>
      </w:r>
    </w:p>
    <w:p w14:paraId="54280731">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支持稿件内容自动化智能校验，支持对政要类错误、禁用词差错、敏感词发现、字词类差错、重点词差错等各种分类的智能校对，可进行高亮提醒，并给出替换建议；</w:t>
      </w:r>
    </w:p>
    <w:p w14:paraId="1FDE6D73">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支持图片编辑、视频剪辑、视频拆条、信息编辑、活动组件、查看痕迹、135编辑器、秀米编辑器、预览等编辑工具。</w:t>
      </w:r>
    </w:p>
    <w:p w14:paraId="34DD3BB6">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★支持同时选择多个第三方新媒体平台账号进行发布。（需提供系统截图）</w:t>
      </w:r>
    </w:p>
    <w:p w14:paraId="2D907D3A">
      <w:pPr>
        <w:widowControl w:val="0"/>
        <w:kinsoku/>
        <w:wordWrap/>
        <w:overflowPunct/>
        <w:topLinePunct w:val="0"/>
        <w:autoSpaceDE/>
        <w:autoSpaceDN/>
        <w:bidi w:val="0"/>
        <w:adjustRightInd/>
        <w:spacing w:beforeAutospacing="0" w:after="0" w:line="36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（3）客户端采编</w:t>
      </w:r>
    </w:p>
    <w:p w14:paraId="29311F62">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支持与客户端联通后台打通，支持新建、维护并发布日常在客户端展示的新闻稿件；</w:t>
      </w:r>
    </w:p>
    <w:p w14:paraId="5B0CAFFC">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支持与客户端的频道一一对应，可实现在客户端不同频道的稿件分发和管理；</w:t>
      </w:r>
    </w:p>
    <w:p w14:paraId="165E79AF">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支持不同稿件状态的流转管理，包括：草稿箱、流转中、待发布、已发布、废稿箱等；</w:t>
      </w:r>
    </w:p>
    <w:p w14:paraId="487393AF">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支持草稿箱稿件管理，支持展示未发起流程的稿件，支持编辑，提交审批、废稿、共享和预览操作，直播稿支持进行直播管理；</w:t>
      </w:r>
    </w:p>
    <w:p w14:paraId="5D928D42">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支持验证稿件是否满足发起条件，若不符合条件，支持查看原因提示，稿件发起流程成功后，该稿件转至流转中；</w:t>
      </w:r>
    </w:p>
    <w:p w14:paraId="2947887B">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支持流转中稿件管理，支持展示已经发起流程并在审核流程流转中的稿件，分为待我处理、我发起的和我的已办；</w:t>
      </w:r>
    </w:p>
    <w:p w14:paraId="03BE8702">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支持将我发起的稿件取消流程，稿件移至草稿箱；待我处理的稿件支持退回、通过、编辑、预览操作，直播稿支持直播管理；</w:t>
      </w:r>
    </w:p>
    <w:p w14:paraId="43A49242">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支持审核中对文稿进行编辑操作，支持再次验证是否符合分发条件，支持填写审批意见，稿件进入下一级流程节点；</w:t>
      </w:r>
    </w:p>
    <w:p w14:paraId="2D8A7B51">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支持待发布稿件管理，支持展示已通过审核流程待发布的稿件，</w:t>
      </w:r>
      <w:r>
        <w:rPr>
          <w:rFonts w:hint="eastAsia" w:ascii="宋体" w:hAnsi="宋体" w:eastAsia="宋体" w:cs="宋体"/>
          <w:color w:val="auto"/>
          <w:sz w:val="24"/>
          <w:szCs w:val="24"/>
          <w:highlight w:val="none"/>
          <w:lang w:val="en-US" w:eastAsia="zh-Hans"/>
        </w:rPr>
        <w:t>分普通稿件、快签类别，</w:t>
      </w:r>
      <w:r>
        <w:rPr>
          <w:rFonts w:hint="eastAsia" w:ascii="宋体" w:hAnsi="宋体" w:eastAsia="宋体" w:cs="宋体"/>
          <w:color w:val="auto"/>
          <w:sz w:val="24"/>
          <w:szCs w:val="24"/>
          <w:highlight w:val="none"/>
          <w:lang w:val="en-US" w:eastAsia="zh-CN"/>
        </w:rPr>
        <w:t>支持撤销、定时发布、立即发布和共享等操作；</w:t>
      </w:r>
    </w:p>
    <w:p w14:paraId="44FF439C">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支持已发布稿件管理，支持展示已经发布的稿件，支持共享和预览操作，对于部分发布失败的稿件，支持查看发布失败的原因、重写或者进行重新签发；</w:t>
      </w:r>
    </w:p>
    <w:p w14:paraId="42158423">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支持废稿箱管理，支持展示已经被废稿的稿件，支持对废稿进行还原，支持对稿件移除废稿箱至草稿箱或者直接彻底删除；</w:t>
      </w:r>
    </w:p>
    <w:p w14:paraId="582E3365">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支持快签管理，支持展示快签的稿件，支持编辑、删除操作；</w:t>
      </w:r>
    </w:p>
    <w:p w14:paraId="21D0B865">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★支持文章、图集、专题、视频集、音频集、视频、链接、活动、直播多种稿件类型的新建和编辑；（需提供系统截图）</w:t>
      </w:r>
    </w:p>
    <w:p w14:paraId="06F73650">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正文支持插入文字、图片、视频、语音、超链接、iframe链接、样式标签等。</w:t>
      </w:r>
    </w:p>
    <w:p w14:paraId="6233C175">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支持稿件发布设置管理，支持客户端、频道、栏目、列表样式、焦点图、稿件类型、原创稿件类型、标签、新闻附件、备注、签发后隐藏、署名作者、责任编辑、相关新闻、相关专题、关键词、摘要等内容设置；</w:t>
      </w:r>
    </w:p>
    <w:p w14:paraId="5BBFBA62">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★支持稿件内容自动化智能校验，支持对政要类错误、禁用词差错、敏感词发现、字词类差错、重点词差错等各种分类的智能校对，可进行高亮提醒，并给出替换建议；（需提供系统截图）</w:t>
      </w:r>
    </w:p>
    <w:p w14:paraId="7F94C772">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★支持图片编辑、视频剪辑、视频拆条、信息编辑、活动组件、查看痕迹、135编辑器、秀米编辑器、预览等编辑工具。（需提供系统截图）</w:t>
      </w:r>
    </w:p>
    <w:p w14:paraId="49B103F9">
      <w:pPr>
        <w:keepNext/>
        <w:keepLines/>
        <w:widowControl w:val="0"/>
        <w:tabs>
          <w:tab w:val="left" w:pos="900"/>
        </w:tabs>
        <w:kinsoku/>
        <w:wordWrap/>
        <w:overflowPunct/>
        <w:topLinePunct w:val="0"/>
        <w:autoSpaceDE/>
        <w:autoSpaceDN/>
        <w:bidi w:val="0"/>
        <w:spacing w:before="0" w:beforeAutospacing="0" w:after="0" w:line="360" w:lineRule="auto"/>
        <w:ind w:left="900" w:hanging="720"/>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1.3智慧资源</w:t>
      </w:r>
    </w:p>
    <w:p w14:paraId="3554820E">
      <w:pPr>
        <w:adjustRightIn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共享稿库：支持用户将个人创作的全部渠道的稿件共享至共享稿库，有权限的采编用户可在共享稿库进行取稿、收藏、打印、导出等操作，实现融媒体平台一体化管理与优质内容多平台、跨渠道共享使用。</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成品资源：对已发布的成品稿件、音频、图片及包括成片在内的视频素材进行汇总展示，按分类展示，支持对成品资源进行取稿、收藏、打印、导出等操作。</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互联网资源：网络资源提供基于互联网的数据采集、汇总与归类，按照多渠道（数字报刊、网站、客户端、微信、微博）接入互联网采集数据，并按照主题、地区、类型进行智能化打标展示。</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新华社稿库：支持接入客户已采购的新华社专线资源，按照文字线路、图文线路和多媒体线路专线进行分类展示及支持取用。</w:t>
      </w:r>
    </w:p>
    <w:p w14:paraId="42965841">
      <w:pPr>
        <w:keepNext/>
        <w:keepLines/>
        <w:widowControl w:val="0"/>
        <w:tabs>
          <w:tab w:val="left" w:pos="900"/>
        </w:tabs>
        <w:kinsoku/>
        <w:wordWrap/>
        <w:overflowPunct/>
        <w:topLinePunct w:val="0"/>
        <w:autoSpaceDE/>
        <w:autoSpaceDN/>
        <w:bidi w:val="0"/>
        <w:spacing w:before="0" w:beforeAutospacing="0" w:after="0" w:line="360" w:lineRule="auto"/>
        <w:ind w:left="900" w:hanging="720"/>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1.4电视文稿</w:t>
      </w:r>
    </w:p>
    <w:p w14:paraId="7B703DFF">
      <w:pPr>
        <w:adjustRightIn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提供电视渠道的采编功能管理系统，支持文稿、串联单两种稿件类型的新建及维护管理，结合oa流程引擎实现对稿件从写稿到签发的全流程管理。</w:t>
      </w:r>
    </w:p>
    <w:p w14:paraId="4C4AEDA2">
      <w:pPr>
        <w:keepNext/>
        <w:keepLines/>
        <w:widowControl w:val="0"/>
        <w:tabs>
          <w:tab w:val="left" w:pos="900"/>
        </w:tabs>
        <w:kinsoku/>
        <w:wordWrap/>
        <w:overflowPunct/>
        <w:topLinePunct w:val="0"/>
        <w:autoSpaceDE/>
        <w:autoSpaceDN/>
        <w:bidi w:val="0"/>
        <w:spacing w:before="0" w:beforeAutospacing="0" w:after="0" w:line="360" w:lineRule="auto"/>
        <w:ind w:left="900" w:hanging="720"/>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1.5指挥监测服务-驾驶舱大屏</w:t>
      </w:r>
    </w:p>
    <w:p w14:paraId="20A8C2E0">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支持展示某镇街自产内容稿件；</w:t>
      </w:r>
    </w:p>
    <w:p w14:paraId="30490DF4">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支持展示本地媒体报道该镇街的报道内容；</w:t>
      </w:r>
    </w:p>
    <w:p w14:paraId="2C07B6EA">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支持展示余杭区外媒体报道该镇街的报道内容；</w:t>
      </w:r>
    </w:p>
    <w:p w14:paraId="69265721">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支持用户查看己提交上报的或者被联合上报的报题内容；</w:t>
      </w:r>
    </w:p>
    <w:p w14:paraId="49348D01">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★支持展示报道该镇街的且阅读量达到“500+”和“1000+”稿件的数量；（需提供系统截图）</w:t>
      </w:r>
    </w:p>
    <w:p w14:paraId="41FA3401">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支持展示各镇街关注数月度统计数据情况；</w:t>
      </w:r>
    </w:p>
    <w:p w14:paraId="38DFBF5B">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支持展示上月镇街自采、余杭融媒、外媒报道该镇街的稿件数量以及三者的总报道量；</w:t>
      </w:r>
    </w:p>
    <w:p w14:paraId="34E1DD01">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支持展示本镇街稿件总数以及爆款数量。</w:t>
      </w:r>
    </w:p>
    <w:p w14:paraId="314B94CB">
      <w:pPr>
        <w:keepNext/>
        <w:keepLines/>
        <w:widowControl w:val="0"/>
        <w:tabs>
          <w:tab w:val="left" w:pos="900"/>
        </w:tabs>
        <w:kinsoku/>
        <w:wordWrap/>
        <w:overflowPunct/>
        <w:topLinePunct w:val="0"/>
        <w:autoSpaceDE/>
        <w:autoSpaceDN/>
        <w:bidi w:val="0"/>
        <w:spacing w:before="0" w:beforeAutospacing="0" w:after="0" w:line="360" w:lineRule="auto"/>
        <w:ind w:left="900" w:hanging="720"/>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1.6传播引导工具</w:t>
      </w:r>
    </w:p>
    <w:p w14:paraId="752F536E">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支持提供媒体贡献指数榜单、舆论引导在线余杭榜单的接入展示；</w:t>
      </w:r>
    </w:p>
    <w:p w14:paraId="1D5B29E4">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支持展示上月各镇街贡献指数榜单及细分指数情况；</w:t>
      </w:r>
    </w:p>
    <w:p w14:paraId="58DFAF25">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支持展示余杭各镇街贡献指数及排名；</w:t>
      </w:r>
    </w:p>
    <w:p w14:paraId="41E34F7D">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★支持展示余杭融媒体中心媒体指数及细分指数得分；（需提供系统截图）</w:t>
      </w:r>
    </w:p>
    <w:p w14:paraId="4152F85F">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支持列表展示余杭区融媒体中心记者上报的报题情况及报题详情，包含报题标题、报题人、上报时间等字段。</w:t>
      </w:r>
    </w:p>
    <w:p w14:paraId="184F7179">
      <w:pPr>
        <w:adjustRightInd/>
        <w:spacing w:line="360" w:lineRule="auto"/>
        <w:rPr>
          <w:rFonts w:hint="eastAsia" w:ascii="宋体" w:hAnsi="宋体" w:eastAsia="宋体" w:cs="宋体"/>
          <w:color w:val="auto"/>
          <w:sz w:val="24"/>
          <w:szCs w:val="24"/>
          <w:highlight w:val="none"/>
          <w:lang w:val="en-US" w:eastAsia="zh-CN"/>
        </w:rPr>
      </w:pPr>
    </w:p>
    <w:p w14:paraId="287E957B">
      <w:pPr>
        <w:keepNext/>
        <w:keepLines/>
        <w:widowControl w:val="0"/>
        <w:tabs>
          <w:tab w:val="left" w:pos="900"/>
        </w:tabs>
        <w:kinsoku/>
        <w:wordWrap/>
        <w:overflowPunct/>
        <w:topLinePunct w:val="0"/>
        <w:autoSpaceDE/>
        <w:autoSpaceDN/>
        <w:bidi w:val="0"/>
        <w:spacing w:before="0" w:beforeAutospacing="0" w:after="0" w:line="360" w:lineRule="auto"/>
        <w:ind w:left="900" w:hanging="720"/>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1.7纸媒采编</w:t>
      </w:r>
    </w:p>
    <w:p w14:paraId="4C944292">
      <w:pPr>
        <w:keepNext/>
        <w:keepLines/>
        <w:widowControl w:val="0"/>
        <w:tabs>
          <w:tab w:val="left" w:pos="900"/>
        </w:tabs>
        <w:kinsoku/>
        <w:wordWrap/>
        <w:overflowPunct/>
        <w:topLinePunct w:val="0"/>
        <w:autoSpaceDE/>
        <w:autoSpaceDN/>
        <w:bidi w:val="0"/>
        <w:spacing w:before="0" w:beforeAutospacing="0" w:after="0" w:line="360" w:lineRule="auto"/>
        <w:ind w:left="900" w:hanging="720"/>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1.8新媒体字库</w:t>
      </w:r>
    </w:p>
    <w:p w14:paraId="7AF1342F">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支持5个以内的微信、微博、抖音、头条号以及网站图片用字（不包含第三方用户的商业广告发布）；</w:t>
      </w:r>
    </w:p>
    <w:p w14:paraId="1ED0F19E">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支持1个App及网站内嵌用字。</w:t>
      </w:r>
    </w:p>
    <w:p w14:paraId="32ACD070">
      <w:pPr>
        <w:keepNext/>
        <w:keepLines/>
        <w:widowControl w:val="0"/>
        <w:tabs>
          <w:tab w:val="left" w:pos="900"/>
        </w:tabs>
        <w:kinsoku/>
        <w:wordWrap/>
        <w:overflowPunct/>
        <w:topLinePunct w:val="0"/>
        <w:autoSpaceDE/>
        <w:autoSpaceDN/>
        <w:bidi w:val="0"/>
        <w:spacing w:before="0" w:beforeAutospacing="0" w:after="0" w:line="360" w:lineRule="auto"/>
        <w:ind w:left="900" w:hanging="720"/>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1.9流量存储</w:t>
      </w:r>
    </w:p>
    <w:p w14:paraId="17F3DC85">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需提供阿里、腾讯等大型互联网公司优质CDN服务，提升用户访问体验。</w:t>
      </w:r>
    </w:p>
    <w:p w14:paraId="7AD3FE8E">
      <w:pPr>
        <w:keepNext/>
        <w:keepLines/>
        <w:widowControl w:val="0"/>
        <w:tabs>
          <w:tab w:val="left" w:pos="900"/>
        </w:tabs>
        <w:kinsoku/>
        <w:wordWrap/>
        <w:overflowPunct/>
        <w:topLinePunct w:val="0"/>
        <w:autoSpaceDE/>
        <w:autoSpaceDN/>
        <w:bidi w:val="0"/>
        <w:spacing w:before="0" w:beforeAutospacing="0" w:after="0" w:line="360" w:lineRule="auto"/>
        <w:ind w:left="900" w:hanging="720"/>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1.10融媒体中心系统维护服务</w:t>
      </w:r>
    </w:p>
    <w:p w14:paraId="25492ABE">
      <w:pPr>
        <w:widowControl w:val="0"/>
        <w:numPr>
          <w:ilvl w:val="0"/>
          <w:numId w:val="0"/>
        </w:numPr>
        <w:kinsoku/>
        <w:wordWrap/>
        <w:overflowPunct/>
        <w:topLinePunct w:val="0"/>
        <w:autoSpaceDE/>
        <w:autoSpaceDN/>
        <w:bidi w:val="0"/>
        <w:adjustRightInd/>
        <w:spacing w:beforeAutospacing="0" w:after="0" w:line="36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（1）非编系统维护</w:t>
      </w:r>
    </w:p>
    <w:p w14:paraId="6970A06A">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提供非编网络系统的整体管理及维护;</w:t>
      </w:r>
    </w:p>
    <w:p w14:paraId="37766915">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服务器硬件设备状态和后台服务日志巡检，排查故障</w:t>
      </w:r>
    </w:p>
    <w:p w14:paraId="7A246AC2">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客户端工作站硬件的维护，安装，调试</w:t>
      </w:r>
    </w:p>
    <w:p w14:paraId="01C17DF1">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非编操作的培训，操作演示；</w:t>
      </w:r>
    </w:p>
    <w:p w14:paraId="26048555">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日常编辑问题处理，人员管理，权限管理，部门管理。   </w:t>
      </w:r>
    </w:p>
    <w:p w14:paraId="63932C8B">
      <w:pPr>
        <w:widowControl w:val="0"/>
        <w:numPr>
          <w:ilvl w:val="0"/>
          <w:numId w:val="0"/>
        </w:numPr>
        <w:kinsoku/>
        <w:wordWrap/>
        <w:overflowPunct/>
        <w:topLinePunct w:val="0"/>
        <w:autoSpaceDE/>
        <w:autoSpaceDN/>
        <w:bidi w:val="0"/>
        <w:adjustRightInd/>
        <w:spacing w:beforeAutospacing="0" w:after="0" w:line="36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（2）网络设备维护</w:t>
      </w:r>
    </w:p>
    <w:p w14:paraId="54EC787E">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网络硬件设备的巡检，报警故障处理</w:t>
      </w:r>
    </w:p>
    <w:p w14:paraId="4263551F">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网络使用的配置，网络架构的调整</w:t>
      </w:r>
    </w:p>
    <w:p w14:paraId="5A501FD0">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整体使用网络的规划，网络状态检测。</w:t>
      </w:r>
    </w:p>
    <w:p w14:paraId="628637C4">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设备带宽的测试，日常故障处理</w:t>
      </w:r>
    </w:p>
    <w:p w14:paraId="2E0527A8">
      <w:pPr>
        <w:widowControl w:val="0"/>
        <w:numPr>
          <w:ilvl w:val="0"/>
          <w:numId w:val="0"/>
        </w:numPr>
        <w:kinsoku/>
        <w:wordWrap/>
        <w:overflowPunct/>
        <w:topLinePunct w:val="0"/>
        <w:autoSpaceDE/>
        <w:autoSpaceDN/>
        <w:bidi w:val="0"/>
        <w:adjustRightInd/>
        <w:spacing w:beforeAutospacing="0" w:after="0" w:line="36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（3）存储维护</w:t>
      </w:r>
    </w:p>
    <w:p w14:paraId="6F18B7FE">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负责分布式存储的硬件的日常巡检，包括硬盘，电源，控制器等。</w:t>
      </w:r>
    </w:p>
    <w:p w14:paraId="64E6CB91">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负责存储空间的管理和分配，包括配额的处理。</w:t>
      </w:r>
    </w:p>
    <w:p w14:paraId="7E00D3CE">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存储带宽的管理，及日常设备的开关机维护。</w:t>
      </w:r>
    </w:p>
    <w:p w14:paraId="06F55A8E">
      <w:pPr>
        <w:widowControl w:val="0"/>
        <w:numPr>
          <w:ilvl w:val="0"/>
          <w:numId w:val="0"/>
        </w:numPr>
        <w:kinsoku/>
        <w:wordWrap/>
        <w:overflowPunct/>
        <w:topLinePunct w:val="0"/>
        <w:autoSpaceDE/>
        <w:autoSpaceDN/>
        <w:bidi w:val="0"/>
        <w:adjustRightInd/>
        <w:spacing w:beforeAutospacing="0" w:after="0" w:line="36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（4）信息发布维护</w:t>
      </w:r>
    </w:p>
    <w:p w14:paraId="4453AC6A">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解决日常的操作问题。</w:t>
      </w:r>
    </w:p>
    <w:p w14:paraId="2EDCFE5B">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常规使用的培训。</w:t>
      </w:r>
    </w:p>
    <w:p w14:paraId="19EBFE43">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应急处理操作。</w:t>
      </w:r>
    </w:p>
    <w:p w14:paraId="601A166D">
      <w:pPr>
        <w:widowControl w:val="0"/>
        <w:numPr>
          <w:ilvl w:val="0"/>
          <w:numId w:val="0"/>
        </w:numPr>
        <w:kinsoku/>
        <w:wordWrap/>
        <w:overflowPunct/>
        <w:topLinePunct w:val="0"/>
        <w:autoSpaceDE/>
        <w:autoSpaceDN/>
        <w:bidi w:val="0"/>
        <w:adjustRightInd/>
        <w:spacing w:beforeAutospacing="0" w:after="0" w:line="36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（5）媒资维护</w:t>
      </w:r>
    </w:p>
    <w:p w14:paraId="2F2C4CB6">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负责ODA蓝光塔近线存储的管理，及硬件故障的处理。</w:t>
      </w:r>
    </w:p>
    <w:p w14:paraId="04CB2104">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负责媒资后台服务的管理，日常巡检。</w:t>
      </w:r>
    </w:p>
    <w:p w14:paraId="38507304">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编目数据的统计，使用的培训。</w:t>
      </w:r>
    </w:p>
    <w:p w14:paraId="2A8064B5">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日常素材的调用，资料的管理。</w:t>
      </w:r>
    </w:p>
    <w:p w14:paraId="24F99A89">
      <w:pPr>
        <w:widowControl w:val="0"/>
        <w:numPr>
          <w:ilvl w:val="0"/>
          <w:numId w:val="0"/>
        </w:numPr>
        <w:kinsoku/>
        <w:wordWrap/>
        <w:overflowPunct/>
        <w:topLinePunct w:val="0"/>
        <w:autoSpaceDE/>
        <w:autoSpaceDN/>
        <w:bidi w:val="0"/>
        <w:adjustRightInd/>
        <w:spacing w:beforeAutospacing="0" w:after="0" w:line="36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（6）可提供网安设备维护服务</w:t>
      </w:r>
    </w:p>
    <w:p w14:paraId="5A7AE388">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外来素材的管理。</w:t>
      </w:r>
    </w:p>
    <w:p w14:paraId="64148660">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网络安全设备的管理。</w:t>
      </w:r>
    </w:p>
    <w:p w14:paraId="779AA842">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网络安全策略的维护。</w:t>
      </w:r>
    </w:p>
    <w:p w14:paraId="17D8EE43">
      <w:pPr>
        <w:numPr>
          <w:ilvl w:val="0"/>
          <w:numId w:val="2"/>
        </w:numPr>
        <w:kinsoku/>
        <w:wordWrap/>
        <w:overflowPunct/>
        <w:topLinePunct w:val="0"/>
        <w:autoSpaceDE/>
        <w:autoSpaceDN/>
        <w:bidi w:val="0"/>
        <w:adjustRightInd w:val="0"/>
        <w:snapToGrid w:val="0"/>
        <w:spacing w:beforeAutospacing="0" w:line="360" w:lineRule="auto"/>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安全设备的维护，日常巡检。</w:t>
      </w:r>
    </w:p>
    <w:p w14:paraId="32C5E246">
      <w:pPr>
        <w:keepNext/>
        <w:keepLines/>
        <w:widowControl w:val="0"/>
        <w:tabs>
          <w:tab w:val="left" w:pos="900"/>
        </w:tabs>
        <w:kinsoku/>
        <w:wordWrap/>
        <w:overflowPunct/>
        <w:topLinePunct w:val="0"/>
        <w:autoSpaceDE/>
        <w:autoSpaceDN/>
        <w:bidi w:val="0"/>
        <w:spacing w:before="0" w:beforeAutospacing="0" w:after="0" w:line="360" w:lineRule="auto"/>
        <w:ind w:left="900" w:hanging="720"/>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1.11广电业务管理底座</w:t>
      </w:r>
    </w:p>
    <w:p w14:paraId="49D271D7">
      <w:pPr>
        <w:adjustRightInd/>
        <w:spacing w:line="360" w:lineRule="auto"/>
        <w:ind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租户云存储、云安全、云主机、租户管理运维、租户基础云服务（含数据库、容器管理服务、分布式框架服务、支撑基础业务服务所需的基本存储 2TB容量；提供统一的用户认证，统一的终端接入软件，业务数据加密传输，租户化的安全隔离，业务数据冗余备份等）</w:t>
      </w:r>
    </w:p>
    <w:p w14:paraId="171C6002">
      <w:pPr>
        <w:adjustRightIn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以租户模式实现生产数据管理，通过内容库外部系统配置实现生产媒资素材与其他应用交互，具备送播、基础编目等能力。支持高级筛选、支持根据用户权限、根据目录密级进行素材管控。</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收录：支持视音频信号、互联网直播流等收录；配额3000小时。</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转码：支持MPEG-4、avi、mxf、mp3、ts等多种封装格式转码能力，具备高清转4K、2K转4K能力；配额3000小时。</w:t>
      </w:r>
    </w:p>
    <w:p w14:paraId="3C169E4A">
      <w:pPr>
        <w:keepNext/>
        <w:keepLines/>
        <w:widowControl w:val="0"/>
        <w:tabs>
          <w:tab w:val="left" w:pos="900"/>
        </w:tabs>
        <w:kinsoku/>
        <w:wordWrap/>
        <w:overflowPunct/>
        <w:topLinePunct w:val="0"/>
        <w:autoSpaceDE/>
        <w:autoSpaceDN/>
        <w:bidi w:val="0"/>
        <w:spacing w:before="0" w:beforeAutospacing="0" w:after="0" w:line="360" w:lineRule="auto"/>
        <w:ind w:left="900" w:hanging="720"/>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1.12VPN账号</w:t>
      </w:r>
    </w:p>
    <w:p w14:paraId="7D769EE6">
      <w:pPr>
        <w:adjustRightIn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20个账号</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包含VPN许可、INODE许可、360天擎、管理费用等</w:t>
      </w:r>
    </w:p>
    <w:p w14:paraId="4ABF869C">
      <w:pPr>
        <w:keepNext/>
        <w:keepLines/>
        <w:widowControl w:val="0"/>
        <w:tabs>
          <w:tab w:val="left" w:pos="900"/>
        </w:tabs>
        <w:kinsoku/>
        <w:wordWrap/>
        <w:overflowPunct/>
        <w:topLinePunct w:val="0"/>
        <w:autoSpaceDE/>
        <w:autoSpaceDN/>
        <w:bidi w:val="0"/>
        <w:spacing w:before="0" w:beforeAutospacing="0" w:after="0" w:line="360" w:lineRule="auto"/>
        <w:ind w:left="900" w:hanging="720"/>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1.13接入省广电主干网所需专线</w:t>
      </w:r>
    </w:p>
    <w:p w14:paraId="0275D1C7">
      <w:pPr>
        <w:adjustRightInd/>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3G带宽OTN双路由链路（余杭融媒体中心—临平融媒体中心）一条</w:t>
      </w:r>
    </w:p>
    <w:p w14:paraId="50A833C5">
      <w:pPr>
        <w:widowControl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2G带宽OTN双路由链路（中国蓝云-余杭融媒体中心）一条</w:t>
      </w:r>
    </w:p>
    <w:p w14:paraId="69DC4D76">
      <w:pPr>
        <w:keepNext/>
        <w:keepLines/>
        <w:widowControl w:val="0"/>
        <w:tabs>
          <w:tab w:val="left" w:pos="900"/>
        </w:tabs>
        <w:kinsoku/>
        <w:wordWrap/>
        <w:overflowPunct/>
        <w:topLinePunct w:val="0"/>
        <w:autoSpaceDE/>
        <w:autoSpaceDN/>
        <w:bidi w:val="0"/>
        <w:spacing w:before="0" w:beforeAutospacing="0" w:after="0" w:line="360" w:lineRule="auto"/>
        <w:ind w:left="900" w:hanging="720"/>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1.14广播电视节目通联</w:t>
      </w:r>
    </w:p>
    <w:p w14:paraId="5890BF0C">
      <w:pPr>
        <w:adjustRightInd/>
        <w:spacing w:line="360" w:lineRule="auto"/>
        <w:ind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省通联：可支持不同层级单位上送稿件及视音频等内容，支持平级单位交换共享信息内容，支持向街道社区级单位延伸，主要用于县级融媒体中心区域内的新闻通联和各市县融媒体中心向省级媒体上送相关外宣内容。</w:t>
      </w:r>
    </w:p>
    <w:p w14:paraId="2866E158">
      <w:pPr>
        <w:widowControl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卫视通联：为卫视单独设置，功能同全省通联</w:t>
      </w:r>
    </w:p>
    <w:p w14:paraId="448752AF">
      <w:pPr>
        <w:keepNext/>
        <w:keepLines/>
        <w:widowControl w:val="0"/>
        <w:tabs>
          <w:tab w:val="left" w:pos="900"/>
        </w:tabs>
        <w:kinsoku/>
        <w:wordWrap/>
        <w:overflowPunct/>
        <w:topLinePunct w:val="0"/>
        <w:autoSpaceDE/>
        <w:autoSpaceDN/>
        <w:bidi w:val="0"/>
        <w:spacing w:before="0" w:beforeAutospacing="0" w:after="0" w:line="360" w:lineRule="auto"/>
        <w:ind w:left="900" w:hanging="720"/>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1.15节目交流系统技术资源服务</w:t>
      </w:r>
    </w:p>
    <w:p w14:paraId="04449B05">
      <w:pPr>
        <w:adjustRightInd/>
        <w:spacing w:line="360" w:lineRule="auto"/>
        <w:ind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支持全省电视剧节目资源共享，实现多格式下载和推送至生产媒资；本服务包含该系统涉及到的技术支持和相关资源占用等。</w:t>
      </w:r>
    </w:p>
    <w:p w14:paraId="7FF608E9">
      <w:pPr>
        <w:keepNext/>
        <w:keepLines/>
        <w:widowControl w:val="0"/>
        <w:tabs>
          <w:tab w:val="left" w:pos="900"/>
        </w:tabs>
        <w:kinsoku/>
        <w:wordWrap/>
        <w:overflowPunct/>
        <w:topLinePunct w:val="0"/>
        <w:autoSpaceDE/>
        <w:autoSpaceDN/>
        <w:bidi w:val="0"/>
        <w:spacing w:before="0" w:beforeAutospacing="0" w:after="0" w:line="360" w:lineRule="auto"/>
        <w:ind w:left="900" w:hanging="720"/>
        <w:jc w:val="both"/>
        <w:outlineLvl w:val="3"/>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1.16存储扩展</w:t>
      </w:r>
    </w:p>
    <w:p w14:paraId="6C1B58EF">
      <w:pPr>
        <w:adjustRightInd/>
        <w:spacing w:line="360" w:lineRule="auto"/>
        <w:ind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大容量、低时延、高吞吐和高性能的云端NAS文件存储服务，支持存储配额弹性扩展，存储集群高可靠，安全稳定的CIFS和NFS协议存储，有效提升存储性能，降低数据存储成本。广泛应用于媒体节目生产、媒资存储、企业级应用数据共享、AI机器学习、媒体内容管理和应用程序开发和测试等场景。</w:t>
      </w:r>
    </w:p>
    <w:p w14:paraId="4D9454AE">
      <w:pPr>
        <w:pStyle w:val="2"/>
        <w:kinsoku/>
        <w:wordWrap/>
        <w:overflowPunct/>
        <w:topLinePunct w:val="0"/>
        <w:autoSpaceDE/>
        <w:autoSpaceDN/>
        <w:bidi w:val="0"/>
        <w:spacing w:before="0" w:beforeAutospacing="0" w:after="0"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六、服务要求</w:t>
      </w:r>
    </w:p>
    <w:p w14:paraId="2D7F70FE">
      <w:pPr>
        <w:numPr>
          <w:ilvl w:val="0"/>
          <w:numId w:val="0"/>
        </w:numPr>
        <w:kinsoku/>
        <w:wordWrap/>
        <w:overflowPunct/>
        <w:topLinePunct w:val="0"/>
        <w:autoSpaceDE/>
        <w:autoSpaceDN/>
        <w:bidi w:val="0"/>
        <w:adjustRightInd w:val="0"/>
        <w:snapToGrid w:val="0"/>
        <w:spacing w:beforeAutospacing="0" w:line="440" w:lineRule="exact"/>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1.1人员要求</w:t>
      </w:r>
    </w:p>
    <w:p w14:paraId="191AB8A2">
      <w:pPr>
        <w:numPr>
          <w:ilvl w:val="0"/>
          <w:numId w:val="2"/>
        </w:numPr>
        <w:kinsoku/>
        <w:wordWrap/>
        <w:overflowPunct/>
        <w:topLinePunct w:val="0"/>
        <w:autoSpaceDE/>
        <w:autoSpaceDN/>
        <w:bidi w:val="0"/>
        <w:adjustRightInd w:val="0"/>
        <w:snapToGrid w:val="0"/>
        <w:spacing w:beforeAutospacing="0" w:line="440" w:lineRule="exact"/>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项目组人员：为保障本项目顺利实施，需提供不少于20人的项目团队，人员职责分工需合理配备。</w:t>
      </w:r>
    </w:p>
    <w:p w14:paraId="5C3B8890">
      <w:pPr>
        <w:numPr>
          <w:ilvl w:val="0"/>
          <w:numId w:val="2"/>
        </w:numPr>
        <w:kinsoku/>
        <w:wordWrap/>
        <w:overflowPunct/>
        <w:topLinePunct w:val="0"/>
        <w:autoSpaceDE/>
        <w:autoSpaceDN/>
        <w:bidi w:val="0"/>
        <w:adjustRightInd w:val="0"/>
        <w:snapToGrid w:val="0"/>
        <w:spacing w:beforeAutospacing="0" w:line="440" w:lineRule="exact"/>
        <w:ind w:left="420" w:leftChars="0" w:hanging="420" w:firstLineChars="0"/>
        <w:jc w:val="left"/>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驻场服务人员：需提供不少于2人的驻场服务人员。</w:t>
      </w:r>
    </w:p>
    <w:p w14:paraId="3E16B7C8">
      <w:pPr>
        <w:numPr>
          <w:ilvl w:val="0"/>
          <w:numId w:val="0"/>
        </w:numPr>
        <w:kinsoku/>
        <w:wordWrap/>
        <w:overflowPunct/>
        <w:topLinePunct w:val="0"/>
        <w:autoSpaceDE/>
        <w:autoSpaceDN/>
        <w:bidi w:val="0"/>
        <w:adjustRightInd w:val="0"/>
        <w:snapToGrid w:val="0"/>
        <w:spacing w:beforeAutospacing="0" w:line="440" w:lineRule="exact"/>
        <w:ind w:leftChars="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1.2应急响应及售后服务</w:t>
      </w:r>
    </w:p>
    <w:p w14:paraId="4B80DB85">
      <w:pPr>
        <w:numPr>
          <w:ilvl w:val="0"/>
          <w:numId w:val="2"/>
        </w:numPr>
        <w:kinsoku/>
        <w:wordWrap/>
        <w:overflowPunct/>
        <w:topLinePunct w:val="0"/>
        <w:autoSpaceDE/>
        <w:autoSpaceDN/>
        <w:bidi w:val="0"/>
        <w:adjustRightInd w:val="0"/>
        <w:snapToGrid w:val="0"/>
        <w:spacing w:beforeAutospacing="0" w:line="440" w:lineRule="exact"/>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需提供7*24小时的电话咨询、远程连接支持等各类技术支持服务，当系统发生故障并影响业务系统正常运作时，即时响应以确保</w:t>
      </w:r>
      <w:r>
        <w:rPr>
          <w:rFonts w:hint="eastAsia" w:ascii="宋体" w:hAnsi="宋体" w:cs="宋体"/>
          <w:color w:val="auto"/>
          <w:sz w:val="24"/>
          <w:szCs w:val="24"/>
          <w:highlight w:val="none"/>
          <w:lang w:val="en-US" w:eastAsia="zh-CN"/>
        </w:rPr>
        <w:t>招标人</w:t>
      </w:r>
      <w:r>
        <w:rPr>
          <w:rFonts w:hint="eastAsia" w:ascii="宋体" w:hAnsi="宋体" w:eastAsia="宋体" w:cs="宋体"/>
          <w:color w:val="auto"/>
          <w:sz w:val="24"/>
          <w:szCs w:val="24"/>
          <w:highlight w:val="none"/>
          <w:lang w:val="en-US" w:eastAsia="zh-CN"/>
        </w:rPr>
        <w:t>的正常使用。</w:t>
      </w:r>
    </w:p>
    <w:p w14:paraId="729F368A">
      <w:pPr>
        <w:numPr>
          <w:ilvl w:val="0"/>
          <w:numId w:val="2"/>
        </w:numPr>
        <w:kinsoku/>
        <w:wordWrap/>
        <w:overflowPunct/>
        <w:topLinePunct w:val="0"/>
        <w:autoSpaceDE/>
        <w:autoSpaceDN/>
        <w:bidi w:val="0"/>
        <w:adjustRightInd w:val="0"/>
        <w:snapToGrid w:val="0"/>
        <w:spacing w:beforeAutospacing="0" w:line="440" w:lineRule="exact"/>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定期巡检与健康检查服务：需提供定期系统巡检服务，对故障的前瞻性判断并及时采取应对措施。主要针对本项目涉及到的各个系统进行网络运行情况及系统功能运行情况的预防性检查，以保证业务应用系统的正常运转。</w:t>
      </w:r>
    </w:p>
    <w:p w14:paraId="4DC2B9CA">
      <w:pPr>
        <w:numPr>
          <w:ilvl w:val="0"/>
          <w:numId w:val="2"/>
        </w:numPr>
        <w:kinsoku/>
        <w:wordWrap/>
        <w:overflowPunct/>
        <w:topLinePunct w:val="0"/>
        <w:autoSpaceDE/>
        <w:autoSpaceDN/>
        <w:bidi w:val="0"/>
        <w:adjustRightInd w:val="0"/>
        <w:snapToGrid w:val="0"/>
        <w:spacing w:beforeAutospacing="0" w:line="440" w:lineRule="exact"/>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定期回访服务：需提供定期回访服务，对系统使用情况和需求进行确认，对于系统使用问题在回访时及时给予解决。</w:t>
      </w:r>
    </w:p>
    <w:p w14:paraId="4E62888B">
      <w:pPr>
        <w:numPr>
          <w:ilvl w:val="0"/>
          <w:numId w:val="2"/>
        </w:numPr>
        <w:kinsoku/>
        <w:wordWrap/>
        <w:overflowPunct/>
        <w:topLinePunct w:val="0"/>
        <w:autoSpaceDE/>
        <w:autoSpaceDN/>
        <w:bidi w:val="0"/>
        <w:adjustRightInd w:val="0"/>
        <w:snapToGrid w:val="0"/>
        <w:spacing w:beforeAutospacing="0" w:line="440" w:lineRule="exact"/>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故障响应：本项目系统故障的响应时间不得超过 2 小时（常规故障可先采用电话提供解决方案并解决或利用远程方式解决）。需要现场服务的，投标人的维修工程师应当在8小时内到达现场解决。</w:t>
      </w:r>
    </w:p>
    <w:p w14:paraId="16D87632">
      <w:pPr>
        <w:numPr>
          <w:ilvl w:val="0"/>
          <w:numId w:val="2"/>
        </w:numPr>
        <w:kinsoku/>
        <w:wordWrap/>
        <w:overflowPunct/>
        <w:topLinePunct w:val="0"/>
        <w:autoSpaceDE/>
        <w:autoSpaceDN/>
        <w:bidi w:val="0"/>
        <w:adjustRightInd w:val="0"/>
        <w:snapToGrid w:val="0"/>
        <w:spacing w:beforeAutospacing="0" w:line="440" w:lineRule="exact"/>
        <w:ind w:left="420" w:leftChars="0" w:hanging="42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处理：对中断或严重影响业务的故障，如宕机、数据丢失、业务中断等，需进行快速响应和处理，在最短时间内恢复业务系统，将损失降到最低。针对不同级别的故障，提供完整、明确的应急响应流程和方案，保证相应的响应时间。</w:t>
      </w:r>
    </w:p>
    <w:p w14:paraId="749F7E66">
      <w:pPr>
        <w:numPr>
          <w:ilvl w:val="0"/>
          <w:numId w:val="2"/>
        </w:numPr>
        <w:kinsoku/>
        <w:wordWrap/>
        <w:overflowPunct/>
        <w:topLinePunct w:val="0"/>
        <w:autoSpaceDE/>
        <w:autoSpaceDN/>
        <w:bidi w:val="0"/>
        <w:adjustRightInd w:val="0"/>
        <w:snapToGrid w:val="0"/>
        <w:spacing w:beforeAutospacing="0" w:line="440" w:lineRule="exact"/>
        <w:ind w:left="420" w:leftChars="0" w:hanging="420" w:firstLine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服务方式包括现场技术服务方式及远程维护方式，现场技术服务方式指因应用软件系统出现重大故障导致业务中止时，需指派技术人员协助招标人的技术、业务人员一起对故障进行分析，提出解决方案，在征得招标人同意后对故障进行处理和排除；远程维护方式通过电话、电子邮件、传真或远程访问等方式进行系统故障的处理、技术支持、咨询服务等工作。</w:t>
      </w:r>
    </w:p>
    <w:p w14:paraId="508A53C2">
      <w:pPr>
        <w:numPr>
          <w:ilvl w:val="0"/>
          <w:numId w:val="2"/>
        </w:numPr>
        <w:kinsoku/>
        <w:wordWrap/>
        <w:overflowPunct/>
        <w:topLinePunct w:val="0"/>
        <w:autoSpaceDE/>
        <w:autoSpaceDN/>
        <w:bidi w:val="0"/>
        <w:adjustRightInd w:val="0"/>
        <w:snapToGrid w:val="0"/>
        <w:spacing w:beforeAutospacing="0" w:line="440" w:lineRule="exact"/>
        <w:ind w:left="420" w:leftChars="0" w:hanging="420" w:firstLineChars="0"/>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1.3 采购人有权授权下属微融媒体中心使用浙江省级融媒体技术平台的服务，系统提供方可根据采购方需求提供授权证明。</w:t>
      </w:r>
    </w:p>
    <w:p w14:paraId="3804BD24">
      <w:pPr>
        <w:pStyle w:val="2"/>
        <w:kinsoku/>
        <w:wordWrap/>
        <w:overflowPunct/>
        <w:topLinePunct w:val="0"/>
        <w:autoSpaceDE/>
        <w:autoSpaceDN/>
        <w:bidi w:val="0"/>
        <w:spacing w:before="0" w:beforeAutospacing="0" w:after="0" w:line="440" w:lineRule="exact"/>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en-US" w:eastAsia="zh-CN"/>
        </w:rPr>
        <w:t>商务需求</w:t>
      </w:r>
    </w:p>
    <w:tbl>
      <w:tblPr>
        <w:tblStyle w:val="6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1666"/>
        <w:gridCol w:w="6707"/>
      </w:tblGrid>
      <w:tr w14:paraId="5BCBA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blHead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2D700E70">
            <w:pPr>
              <w:widowControl/>
              <w:kinsoku/>
              <w:wordWrap/>
              <w:overflowPunct/>
              <w:topLinePunct w:val="0"/>
              <w:autoSpaceDE/>
              <w:autoSpaceDN/>
              <w:bidi w:val="0"/>
              <w:spacing w:beforeAutospacing="0"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3EBF6F37">
            <w:pPr>
              <w:widowControl/>
              <w:kinsoku/>
              <w:wordWrap/>
              <w:overflowPunct/>
              <w:topLinePunct w:val="0"/>
              <w:autoSpaceDE/>
              <w:autoSpaceDN/>
              <w:bidi w:val="0"/>
              <w:spacing w:beforeAutospacing="0"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w:t>
            </w:r>
          </w:p>
        </w:tc>
        <w:tc>
          <w:tcPr>
            <w:tcW w:w="6707" w:type="dxa"/>
            <w:tcBorders>
              <w:top w:val="single" w:color="000000" w:sz="4" w:space="0"/>
              <w:left w:val="single" w:color="000000" w:sz="4" w:space="0"/>
              <w:bottom w:val="single" w:color="000000" w:sz="4" w:space="0"/>
              <w:right w:val="single" w:color="000000" w:sz="4" w:space="0"/>
            </w:tcBorders>
            <w:noWrap w:val="0"/>
            <w:vAlign w:val="center"/>
          </w:tcPr>
          <w:p w14:paraId="5F9FAB79">
            <w:pPr>
              <w:widowControl/>
              <w:kinsoku/>
              <w:wordWrap/>
              <w:overflowPunct/>
              <w:topLinePunct w:val="0"/>
              <w:autoSpaceDE/>
              <w:autoSpaceDN/>
              <w:bidi w:val="0"/>
              <w:spacing w:beforeAutospacing="0"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要求</w:t>
            </w:r>
          </w:p>
        </w:tc>
      </w:tr>
      <w:tr w14:paraId="49F8B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617CE862">
            <w:pPr>
              <w:widowControl/>
              <w:kinsoku/>
              <w:wordWrap/>
              <w:overflowPunct/>
              <w:topLinePunct w:val="0"/>
              <w:autoSpaceDE/>
              <w:autoSpaceDN/>
              <w:bidi w:val="0"/>
              <w:spacing w:beforeAutospacing="0"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00ECD08F">
            <w:pPr>
              <w:widowControl/>
              <w:kinsoku/>
              <w:wordWrap/>
              <w:overflowPunct/>
              <w:topLinePunct w:val="0"/>
              <w:autoSpaceDE/>
              <w:autoSpaceDN/>
              <w:bidi w:val="0"/>
              <w:spacing w:beforeAutospacing="0"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建设工期要求</w:t>
            </w:r>
          </w:p>
        </w:tc>
        <w:tc>
          <w:tcPr>
            <w:tcW w:w="6707" w:type="dxa"/>
            <w:tcBorders>
              <w:top w:val="single" w:color="000000" w:sz="4" w:space="0"/>
              <w:left w:val="single" w:color="000000" w:sz="4" w:space="0"/>
              <w:bottom w:val="single" w:color="000000" w:sz="4" w:space="0"/>
              <w:right w:val="single" w:color="000000" w:sz="4" w:space="0"/>
            </w:tcBorders>
            <w:noWrap w:val="0"/>
            <w:vAlign w:val="center"/>
          </w:tcPr>
          <w:p w14:paraId="7E60558F">
            <w:pPr>
              <w:widowControl/>
              <w:kinsoku/>
              <w:wordWrap/>
              <w:overflowPunct/>
              <w:topLinePunct w:val="0"/>
              <w:autoSpaceDE/>
              <w:autoSpaceDN/>
              <w:bidi w:val="0"/>
              <w:spacing w:beforeAutospacing="0" w:line="440" w:lineRule="exact"/>
              <w:jc w:val="left"/>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合同签订后 30 日内完成本项目建设工作。</w:t>
            </w:r>
          </w:p>
        </w:tc>
      </w:tr>
      <w:tr w14:paraId="0DACE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1471E534">
            <w:pPr>
              <w:widowControl/>
              <w:kinsoku/>
              <w:wordWrap/>
              <w:overflowPunct/>
              <w:topLinePunct w:val="0"/>
              <w:autoSpaceDE/>
              <w:autoSpaceDN/>
              <w:bidi w:val="0"/>
              <w:spacing w:beforeAutospacing="0"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1EAB5B1D">
            <w:pPr>
              <w:widowControl/>
              <w:kinsoku/>
              <w:wordWrap/>
              <w:overflowPunct/>
              <w:topLinePunct w:val="0"/>
              <w:autoSpaceDE/>
              <w:autoSpaceDN/>
              <w:bidi w:val="0"/>
              <w:spacing w:beforeAutospacing="0"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服务期</w:t>
            </w:r>
          </w:p>
        </w:tc>
        <w:tc>
          <w:tcPr>
            <w:tcW w:w="6707" w:type="dxa"/>
            <w:tcBorders>
              <w:top w:val="single" w:color="000000" w:sz="4" w:space="0"/>
              <w:left w:val="single" w:color="000000" w:sz="4" w:space="0"/>
              <w:bottom w:val="single" w:color="000000" w:sz="4" w:space="0"/>
              <w:right w:val="single" w:color="000000" w:sz="4" w:space="0"/>
            </w:tcBorders>
            <w:noWrap w:val="0"/>
            <w:vAlign w:val="center"/>
          </w:tcPr>
          <w:p w14:paraId="188DD48C">
            <w:pPr>
              <w:widowControl/>
              <w:kinsoku/>
              <w:wordWrap/>
              <w:overflowPunct/>
              <w:topLinePunct w:val="0"/>
              <w:autoSpaceDE/>
              <w:autoSpaceDN/>
              <w:bidi w:val="0"/>
              <w:spacing w:beforeAutospacing="0" w:line="440" w:lineRule="exact"/>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一年。</w:t>
            </w:r>
          </w:p>
        </w:tc>
      </w:tr>
      <w:tr w14:paraId="02CC7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05F969DC">
            <w:pPr>
              <w:widowControl/>
              <w:kinsoku/>
              <w:wordWrap/>
              <w:overflowPunct/>
              <w:topLinePunct w:val="0"/>
              <w:autoSpaceDE/>
              <w:autoSpaceDN/>
              <w:bidi w:val="0"/>
              <w:spacing w:beforeAutospacing="0"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E1AF0DD">
            <w:pPr>
              <w:widowControl/>
              <w:kinsoku/>
              <w:wordWrap/>
              <w:overflowPunct/>
              <w:topLinePunct w:val="0"/>
              <w:autoSpaceDE/>
              <w:autoSpaceDN/>
              <w:bidi w:val="0"/>
              <w:spacing w:beforeAutospacing="0"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服务地点</w:t>
            </w:r>
          </w:p>
        </w:tc>
        <w:tc>
          <w:tcPr>
            <w:tcW w:w="6707" w:type="dxa"/>
            <w:tcBorders>
              <w:top w:val="single" w:color="000000" w:sz="4" w:space="0"/>
              <w:left w:val="single" w:color="000000" w:sz="4" w:space="0"/>
              <w:bottom w:val="single" w:color="000000" w:sz="4" w:space="0"/>
              <w:right w:val="single" w:color="000000" w:sz="4" w:space="0"/>
            </w:tcBorders>
            <w:noWrap w:val="0"/>
            <w:vAlign w:val="center"/>
          </w:tcPr>
          <w:p w14:paraId="17251A32">
            <w:pPr>
              <w:widowControl/>
              <w:kinsoku/>
              <w:wordWrap/>
              <w:overflowPunct/>
              <w:topLinePunct w:val="0"/>
              <w:autoSpaceDE/>
              <w:autoSpaceDN/>
              <w:bidi w:val="0"/>
              <w:spacing w:beforeAutospacing="0"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杭州市余杭区</w:t>
            </w:r>
          </w:p>
        </w:tc>
      </w:tr>
      <w:tr w14:paraId="4B07B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429BE61B">
            <w:pPr>
              <w:widowControl/>
              <w:kinsoku/>
              <w:wordWrap/>
              <w:overflowPunct/>
              <w:topLinePunct w:val="0"/>
              <w:autoSpaceDE/>
              <w:autoSpaceDN/>
              <w:bidi w:val="0"/>
              <w:spacing w:beforeAutospacing="0"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66EC8239">
            <w:pPr>
              <w:widowControl/>
              <w:kinsoku/>
              <w:wordWrap/>
              <w:overflowPunct/>
              <w:topLinePunct w:val="0"/>
              <w:autoSpaceDE/>
              <w:autoSpaceDN/>
              <w:bidi w:val="0"/>
              <w:spacing w:beforeAutospacing="0"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质量标准</w:t>
            </w:r>
          </w:p>
        </w:tc>
        <w:tc>
          <w:tcPr>
            <w:tcW w:w="6707" w:type="dxa"/>
            <w:tcBorders>
              <w:top w:val="single" w:color="000000" w:sz="4" w:space="0"/>
              <w:left w:val="single" w:color="000000" w:sz="4" w:space="0"/>
              <w:bottom w:val="single" w:color="000000" w:sz="4" w:space="0"/>
              <w:right w:val="single" w:color="000000" w:sz="4" w:space="0"/>
            </w:tcBorders>
            <w:noWrap w:val="0"/>
            <w:vAlign w:val="center"/>
          </w:tcPr>
          <w:p w14:paraId="6EB5ABBB">
            <w:pPr>
              <w:widowControl/>
              <w:kinsoku/>
              <w:wordWrap/>
              <w:overflowPunct/>
              <w:topLinePunct w:val="0"/>
              <w:autoSpaceDE/>
              <w:autoSpaceDN/>
              <w:bidi w:val="0"/>
              <w:spacing w:beforeAutospacing="0"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满足招标需求的规定。</w:t>
            </w:r>
          </w:p>
        </w:tc>
      </w:tr>
      <w:tr w14:paraId="7E8A7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15A5EB19">
            <w:pPr>
              <w:widowControl/>
              <w:kinsoku/>
              <w:wordWrap/>
              <w:overflowPunct/>
              <w:topLinePunct w:val="0"/>
              <w:autoSpaceDE/>
              <w:autoSpaceDN/>
              <w:bidi w:val="0"/>
              <w:spacing w:beforeAutospacing="0"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14:paraId="4243DF64">
            <w:pPr>
              <w:widowControl/>
              <w:kinsoku/>
              <w:wordWrap/>
              <w:overflowPunct/>
              <w:topLinePunct w:val="0"/>
              <w:autoSpaceDE/>
              <w:autoSpaceDN/>
              <w:bidi w:val="0"/>
              <w:spacing w:beforeAutospacing="0"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w:t>
            </w:r>
          </w:p>
        </w:tc>
        <w:tc>
          <w:tcPr>
            <w:tcW w:w="6707" w:type="dxa"/>
            <w:tcBorders>
              <w:top w:val="single" w:color="000000" w:sz="4" w:space="0"/>
              <w:left w:val="single" w:color="000000" w:sz="4" w:space="0"/>
              <w:bottom w:val="single" w:color="000000" w:sz="4" w:space="0"/>
              <w:right w:val="single" w:color="000000" w:sz="4" w:space="0"/>
            </w:tcBorders>
            <w:noWrap w:val="0"/>
            <w:vAlign w:val="center"/>
          </w:tcPr>
          <w:p w14:paraId="5E5AF575">
            <w:pPr>
              <w:widowControl/>
              <w:kinsoku/>
              <w:wordWrap/>
              <w:overflowPunct/>
              <w:topLinePunct w:val="0"/>
              <w:autoSpaceDE/>
              <w:autoSpaceDN/>
              <w:bidi w:val="0"/>
              <w:spacing w:beforeAutospacing="0"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验收依据：</w:t>
            </w:r>
          </w:p>
          <w:p w14:paraId="3255C521">
            <w:pPr>
              <w:widowControl/>
              <w:kinsoku/>
              <w:wordWrap/>
              <w:overflowPunct/>
              <w:topLinePunct w:val="0"/>
              <w:autoSpaceDE/>
              <w:autoSpaceDN/>
              <w:bidi w:val="0"/>
              <w:spacing w:beforeAutospacing="0"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（1）采购文件确定的技术服务要求；</w:t>
            </w:r>
          </w:p>
          <w:p w14:paraId="11F5E6F7">
            <w:pPr>
              <w:widowControl/>
              <w:kinsoku/>
              <w:wordWrap/>
              <w:overflowPunct/>
              <w:topLinePunct w:val="0"/>
              <w:autoSpaceDE/>
              <w:autoSpaceDN/>
              <w:bidi w:val="0"/>
              <w:spacing w:beforeAutospacing="0"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（2）投标文件承诺、澄清回复；</w:t>
            </w:r>
          </w:p>
          <w:p w14:paraId="790034E4">
            <w:pPr>
              <w:widowControl/>
              <w:kinsoku/>
              <w:wordWrap/>
              <w:overflowPunct/>
              <w:topLinePunct w:val="0"/>
              <w:autoSpaceDE/>
              <w:autoSpaceDN/>
              <w:bidi w:val="0"/>
              <w:spacing w:beforeAutospacing="0"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（3）服务合同。未进行相应约定的，应当符合国家强制性规定、政策要求、安全标准、行业或企业有关标准等。</w:t>
            </w:r>
          </w:p>
          <w:p w14:paraId="49410659">
            <w:pPr>
              <w:widowControl/>
              <w:kinsoku/>
              <w:wordWrap/>
              <w:overflowPunct/>
              <w:topLinePunct w:val="0"/>
              <w:autoSpaceDE/>
              <w:autoSpaceDN/>
              <w:bidi w:val="0"/>
              <w:spacing w:beforeAutospacing="0"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验收标准：</w:t>
            </w:r>
            <w:r>
              <w:rPr>
                <w:rFonts w:hint="eastAsia" w:ascii="宋体" w:hAnsi="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lang w:val="en-US" w:eastAsia="zh-CN"/>
              </w:rPr>
              <w:t>采用国家标准和行业验收规范；②满足所有采购需求、供应商投标文件及其他记录承诺；③完成融媒体平台建设及运行服务，且获得采购人组织的验收通过。</w:t>
            </w:r>
          </w:p>
          <w:p w14:paraId="174DA9BB">
            <w:pPr>
              <w:widowControl/>
              <w:kinsoku/>
              <w:wordWrap/>
              <w:overflowPunct/>
              <w:topLinePunct w:val="0"/>
              <w:autoSpaceDE/>
              <w:autoSpaceDN/>
              <w:bidi w:val="0"/>
              <w:spacing w:beforeAutospacing="0"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验收流程：</w:t>
            </w:r>
          </w:p>
          <w:p w14:paraId="53A6C73D">
            <w:pPr>
              <w:widowControl/>
              <w:kinsoku/>
              <w:wordWrap/>
              <w:overflowPunct/>
              <w:topLinePunct w:val="0"/>
              <w:autoSpaceDE/>
              <w:autoSpaceDN/>
              <w:bidi w:val="0"/>
              <w:spacing w:beforeAutospacing="0"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（1）项目执行完成后，供应商须向采购人发出验收申请，申请包括书面验收申请、相关说明等。</w:t>
            </w:r>
          </w:p>
          <w:p w14:paraId="4EAAC219">
            <w:pPr>
              <w:widowControl/>
              <w:kinsoku/>
              <w:wordWrap/>
              <w:overflowPunct/>
              <w:topLinePunct w:val="0"/>
              <w:autoSpaceDE/>
              <w:autoSpaceDN/>
              <w:bidi w:val="0"/>
              <w:spacing w:beforeAutospacing="0"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（2）采购人收到验收申请后，按照采购合同规定的技术、服务、标准以及投标文件、项目采购文件等要求进行验收。</w:t>
            </w:r>
          </w:p>
        </w:tc>
      </w:tr>
      <w:tr w14:paraId="5EF45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auto" w:sz="4" w:space="0"/>
              <w:right w:val="single" w:color="000000" w:sz="4" w:space="0"/>
            </w:tcBorders>
            <w:noWrap w:val="0"/>
            <w:vAlign w:val="center"/>
          </w:tcPr>
          <w:p w14:paraId="7E35C7C0">
            <w:pPr>
              <w:widowControl/>
              <w:kinsoku/>
              <w:wordWrap/>
              <w:overflowPunct/>
              <w:topLinePunct w:val="0"/>
              <w:autoSpaceDE/>
              <w:autoSpaceDN/>
              <w:bidi w:val="0"/>
              <w:spacing w:beforeAutospacing="0" w:line="44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6</w:t>
            </w:r>
          </w:p>
        </w:tc>
        <w:tc>
          <w:tcPr>
            <w:tcW w:w="1666" w:type="dxa"/>
            <w:tcBorders>
              <w:top w:val="single" w:color="000000" w:sz="4" w:space="0"/>
              <w:left w:val="single" w:color="000000" w:sz="4" w:space="0"/>
              <w:bottom w:val="single" w:color="auto" w:sz="4" w:space="0"/>
              <w:right w:val="single" w:color="000000" w:sz="4" w:space="0"/>
            </w:tcBorders>
            <w:noWrap w:val="0"/>
            <w:vAlign w:val="center"/>
          </w:tcPr>
          <w:p w14:paraId="21CD9236">
            <w:pPr>
              <w:widowControl/>
              <w:kinsoku/>
              <w:wordWrap/>
              <w:overflowPunct/>
              <w:topLinePunct w:val="0"/>
              <w:autoSpaceDE/>
              <w:autoSpaceDN/>
              <w:bidi w:val="0"/>
              <w:spacing w:beforeAutospacing="0" w:line="440" w:lineRule="exact"/>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支付方式</w:t>
            </w:r>
          </w:p>
        </w:tc>
        <w:tc>
          <w:tcPr>
            <w:tcW w:w="6707" w:type="dxa"/>
            <w:tcBorders>
              <w:top w:val="single" w:color="000000" w:sz="4" w:space="0"/>
              <w:left w:val="single" w:color="000000" w:sz="4" w:space="0"/>
              <w:bottom w:val="single" w:color="auto" w:sz="4" w:space="0"/>
              <w:right w:val="single" w:color="000000" w:sz="4" w:space="0"/>
            </w:tcBorders>
            <w:noWrap w:val="0"/>
            <w:vAlign w:val="center"/>
          </w:tcPr>
          <w:p w14:paraId="2E0023D4">
            <w:pPr>
              <w:widowControl/>
              <w:kinsoku/>
              <w:wordWrap/>
              <w:overflowPunct/>
              <w:topLinePunct w:val="0"/>
              <w:autoSpaceDE/>
              <w:autoSpaceDN/>
              <w:bidi w:val="0"/>
              <w:spacing w:beforeAutospacing="0"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（1）合同签订并生效之日起5个工作日内支付合同总金额的60%；</w:t>
            </w:r>
          </w:p>
          <w:p w14:paraId="3D8D8A30">
            <w:pPr>
              <w:widowControl/>
              <w:kinsoku/>
              <w:wordWrap/>
              <w:overflowPunct/>
              <w:topLinePunct w:val="0"/>
              <w:autoSpaceDE/>
              <w:autoSpaceDN/>
              <w:bidi w:val="0"/>
              <w:spacing w:beforeAutospacing="0"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（2）项目验收合格之日起5个工作日内支付合同总金额的40%。</w:t>
            </w:r>
          </w:p>
        </w:tc>
      </w:tr>
      <w:tr w14:paraId="2BAA4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709" w:type="dxa"/>
            <w:tcBorders>
              <w:top w:val="single" w:color="000000" w:sz="4" w:space="0"/>
              <w:left w:val="single" w:color="auto" w:sz="4" w:space="0"/>
              <w:bottom w:val="single" w:color="auto" w:sz="4" w:space="0"/>
              <w:right w:val="single" w:color="000000" w:sz="4" w:space="0"/>
            </w:tcBorders>
            <w:noWrap w:val="0"/>
            <w:vAlign w:val="center"/>
          </w:tcPr>
          <w:p w14:paraId="3A54CF7C">
            <w:pPr>
              <w:widowControl/>
              <w:kinsoku/>
              <w:wordWrap/>
              <w:overflowPunct/>
              <w:topLinePunct w:val="0"/>
              <w:autoSpaceDE/>
              <w:autoSpaceDN/>
              <w:bidi w:val="0"/>
              <w:spacing w:beforeAutospacing="0" w:line="44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7</w:t>
            </w:r>
          </w:p>
        </w:tc>
        <w:tc>
          <w:tcPr>
            <w:tcW w:w="1666" w:type="dxa"/>
            <w:tcBorders>
              <w:top w:val="single" w:color="000000" w:sz="4" w:space="0"/>
              <w:left w:val="single" w:color="000000" w:sz="4" w:space="0"/>
              <w:bottom w:val="single" w:color="auto" w:sz="4" w:space="0"/>
              <w:right w:val="single" w:color="000000" w:sz="4" w:space="0"/>
            </w:tcBorders>
            <w:noWrap w:val="0"/>
            <w:vAlign w:val="center"/>
          </w:tcPr>
          <w:p w14:paraId="130D0D3C">
            <w:pPr>
              <w:widowControl/>
              <w:kinsoku/>
              <w:wordWrap/>
              <w:overflowPunct/>
              <w:topLinePunct w:val="0"/>
              <w:autoSpaceDE/>
              <w:autoSpaceDN/>
              <w:bidi w:val="0"/>
              <w:spacing w:beforeAutospacing="0"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w:t>
            </w:r>
          </w:p>
        </w:tc>
        <w:tc>
          <w:tcPr>
            <w:tcW w:w="6707" w:type="dxa"/>
            <w:tcBorders>
              <w:top w:val="single" w:color="000000" w:sz="4" w:space="0"/>
              <w:left w:val="single" w:color="000000" w:sz="4" w:space="0"/>
              <w:bottom w:val="single" w:color="auto" w:sz="4" w:space="0"/>
              <w:right w:val="single" w:color="auto" w:sz="4" w:space="0"/>
            </w:tcBorders>
            <w:noWrap w:val="0"/>
            <w:vAlign w:val="center"/>
          </w:tcPr>
          <w:p w14:paraId="68BC6A89">
            <w:pPr>
              <w:widowControl/>
              <w:kinsoku/>
              <w:wordWrap/>
              <w:overflowPunct/>
              <w:topLinePunct w:val="0"/>
              <w:autoSpaceDE/>
              <w:autoSpaceDN/>
              <w:bidi w:val="0"/>
              <w:spacing w:beforeAutospacing="0" w:line="44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在合同执行过程中，中标供应商应承担由于其行为所造成的招标人或第三人的人身伤害、财产损失或损坏的责任，无论何种原因所造成，与招标人无涉，由此导致的损失由中标供应商承担，无论何种原因招标人先行支付的，招标人有权向中标供应商进行追偿。</w:t>
            </w:r>
          </w:p>
        </w:tc>
      </w:tr>
    </w:tbl>
    <w:p w14:paraId="19335EE7">
      <w:pPr>
        <w:numPr>
          <w:ilvl w:val="-1"/>
          <w:numId w:val="0"/>
        </w:numPr>
        <w:tabs>
          <w:tab w:val="left" w:pos="0"/>
        </w:tabs>
        <w:adjustRightInd/>
        <w:spacing w:line="360" w:lineRule="auto"/>
        <w:ind w:firstLine="480" w:firstLineChars="200"/>
        <w:jc w:val="left"/>
        <w:outlineLvl w:val="9"/>
        <w:rPr>
          <w:ins w:id="0" w:author="NTKO" w:date="2024-04-08T15:37:22Z"/>
          <w:rFonts w:hint="eastAsia" w:ascii="宋体" w:hAnsi="宋体" w:cs="宋体"/>
          <w:b w:val="0"/>
          <w:bCs/>
          <w:color w:val="auto"/>
          <w:sz w:val="24"/>
          <w:highlight w:val="none"/>
        </w:rPr>
      </w:pPr>
      <w:ins w:id="1" w:author="NTKO" w:date="2024-04-08T15:37:22Z">
        <w:r>
          <w:rPr>
            <w:rFonts w:hint="eastAsia" w:ascii="宋体" w:hAnsi="宋体" w:cs="宋体"/>
            <w:b w:val="0"/>
            <w:bCs/>
            <w:color w:val="auto"/>
            <w:sz w:val="24"/>
            <w:highlight w:val="none"/>
          </w:rPr>
          <w:br w:type="page"/>
        </w:r>
      </w:ins>
    </w:p>
    <w:p w14:paraId="3F5529E0">
      <w:pPr>
        <w:numPr>
          <w:ilvl w:val="0"/>
          <w:numId w:val="0"/>
        </w:numPr>
        <w:adjustRightInd/>
        <w:spacing w:line="360" w:lineRule="auto"/>
        <w:ind w:firstLine="0" w:firstLineChars="0"/>
        <w:jc w:val="center"/>
        <w:outlineLvl w:val="0"/>
        <w:rPr>
          <w:rFonts w:ascii="宋体" w:hAnsi="宋体" w:cs="宋体"/>
          <w:b/>
          <w:color w:val="auto"/>
          <w:sz w:val="36"/>
          <w:szCs w:val="36"/>
          <w:highlight w:val="none"/>
        </w:rPr>
      </w:pPr>
      <w:r>
        <w:rPr>
          <w:rFonts w:hint="eastAsia" w:ascii="宋体" w:hAnsi="宋体" w:cs="宋体"/>
          <w:b/>
          <w:color w:val="auto"/>
          <w:sz w:val="32"/>
          <w:szCs w:val="32"/>
          <w:highlight w:val="none"/>
        </w:rPr>
        <w:t xml:space="preserve">第四部分 </w:t>
      </w:r>
      <w:bookmarkStart w:id="75" w:name="_Toc184310288"/>
      <w:bookmarkEnd w:id="75"/>
      <w:bookmarkStart w:id="76" w:name="_Toc184313246"/>
      <w:bookmarkEnd w:id="76"/>
      <w:bookmarkStart w:id="77" w:name="_Toc184312076"/>
      <w:bookmarkEnd w:id="77"/>
      <w:bookmarkStart w:id="78" w:name="_Toc184314427"/>
      <w:bookmarkEnd w:id="78"/>
      <w:bookmarkStart w:id="79" w:name="_Toc184313309"/>
      <w:bookmarkEnd w:id="79"/>
      <w:bookmarkStart w:id="80" w:name="_Toc184308052"/>
      <w:bookmarkEnd w:id="80"/>
      <w:bookmarkStart w:id="81" w:name="_Toc184308044"/>
      <w:bookmarkEnd w:id="81"/>
      <w:bookmarkStart w:id="82" w:name="_Toc184308070"/>
      <w:bookmarkEnd w:id="82"/>
      <w:bookmarkStart w:id="83" w:name="_Toc184308036"/>
      <w:bookmarkEnd w:id="83"/>
      <w:bookmarkStart w:id="84" w:name="_Toc184312092"/>
      <w:bookmarkEnd w:id="84"/>
      <w:bookmarkStart w:id="85" w:name="_Toc184310277"/>
      <w:bookmarkEnd w:id="85"/>
      <w:bookmarkStart w:id="86" w:name="_Toc184308095"/>
      <w:bookmarkEnd w:id="86"/>
      <w:bookmarkStart w:id="87" w:name="_Toc184314443"/>
      <w:bookmarkEnd w:id="87"/>
      <w:bookmarkStart w:id="88" w:name="_Toc184313293"/>
      <w:bookmarkEnd w:id="88"/>
      <w:bookmarkStart w:id="89" w:name="_Toc184314426"/>
      <w:bookmarkEnd w:id="89"/>
      <w:bookmarkStart w:id="90" w:name="_Toc184314477"/>
      <w:bookmarkEnd w:id="90"/>
      <w:bookmarkStart w:id="91" w:name="_Toc184308063"/>
      <w:bookmarkEnd w:id="91"/>
      <w:bookmarkStart w:id="92" w:name="_Toc184308100"/>
      <w:bookmarkEnd w:id="92"/>
      <w:bookmarkStart w:id="93" w:name="_Toc184312071"/>
      <w:bookmarkEnd w:id="93"/>
      <w:bookmarkStart w:id="94" w:name="_Toc184312136"/>
      <w:bookmarkEnd w:id="94"/>
      <w:bookmarkStart w:id="95" w:name="_Toc184308094"/>
      <w:bookmarkEnd w:id="95"/>
      <w:bookmarkStart w:id="96" w:name="_Toc184314414"/>
      <w:bookmarkEnd w:id="96"/>
      <w:bookmarkStart w:id="97" w:name="_Toc184314438"/>
      <w:bookmarkEnd w:id="97"/>
      <w:bookmarkStart w:id="98" w:name="_Toc184314469"/>
      <w:bookmarkEnd w:id="98"/>
      <w:bookmarkStart w:id="99" w:name="_Toc184313268"/>
      <w:bookmarkEnd w:id="99"/>
      <w:bookmarkStart w:id="100" w:name="_Toc184314435"/>
      <w:bookmarkEnd w:id="100"/>
      <w:bookmarkStart w:id="101" w:name="_Toc184312077"/>
      <w:bookmarkEnd w:id="101"/>
      <w:bookmarkStart w:id="102" w:name="_Toc184314470"/>
      <w:bookmarkEnd w:id="102"/>
      <w:bookmarkStart w:id="103" w:name="_Toc184313257"/>
      <w:bookmarkEnd w:id="103"/>
      <w:bookmarkStart w:id="104" w:name="_Toc184312111"/>
      <w:bookmarkEnd w:id="104"/>
      <w:bookmarkStart w:id="105" w:name="_Toc184312134"/>
      <w:bookmarkEnd w:id="105"/>
      <w:bookmarkStart w:id="106" w:name="_Toc184312079"/>
      <w:bookmarkEnd w:id="106"/>
      <w:bookmarkStart w:id="107" w:name="_Toc184312137"/>
      <w:bookmarkEnd w:id="107"/>
      <w:bookmarkStart w:id="108" w:name="_Toc184308055"/>
      <w:bookmarkEnd w:id="108"/>
      <w:bookmarkStart w:id="109" w:name="_Toc184313250"/>
      <w:bookmarkEnd w:id="109"/>
      <w:bookmarkStart w:id="110" w:name="_Toc184314445"/>
      <w:bookmarkEnd w:id="110"/>
      <w:bookmarkStart w:id="111" w:name="_Toc184312109"/>
      <w:bookmarkEnd w:id="111"/>
      <w:bookmarkStart w:id="112" w:name="_Toc184308072"/>
      <w:bookmarkEnd w:id="112"/>
      <w:bookmarkStart w:id="113" w:name="_Toc184313301"/>
      <w:bookmarkEnd w:id="113"/>
      <w:bookmarkStart w:id="114" w:name="_Toc184313282"/>
      <w:bookmarkEnd w:id="114"/>
      <w:bookmarkStart w:id="115" w:name="_Toc184313267"/>
      <w:bookmarkEnd w:id="115"/>
      <w:bookmarkStart w:id="116" w:name="_Toc184314454"/>
      <w:bookmarkEnd w:id="116"/>
      <w:bookmarkStart w:id="117" w:name="_Toc184312118"/>
      <w:bookmarkEnd w:id="117"/>
      <w:bookmarkStart w:id="118" w:name="_Toc184310279"/>
      <w:bookmarkEnd w:id="118"/>
      <w:bookmarkStart w:id="119" w:name="_Toc184308096"/>
      <w:bookmarkEnd w:id="119"/>
      <w:bookmarkStart w:id="120" w:name="_Toc184312083"/>
      <w:bookmarkEnd w:id="120"/>
      <w:bookmarkStart w:id="121" w:name="_Toc184310343"/>
      <w:bookmarkEnd w:id="121"/>
      <w:bookmarkStart w:id="122" w:name="_Toc184313256"/>
      <w:bookmarkEnd w:id="122"/>
      <w:bookmarkStart w:id="123" w:name="_Toc184312121"/>
      <w:bookmarkEnd w:id="123"/>
      <w:bookmarkStart w:id="124" w:name="_Toc184310341"/>
      <w:bookmarkEnd w:id="124"/>
      <w:bookmarkStart w:id="125" w:name="_Toc184313302"/>
      <w:bookmarkEnd w:id="125"/>
      <w:bookmarkStart w:id="126" w:name="_Toc184310316"/>
      <w:bookmarkEnd w:id="126"/>
      <w:bookmarkStart w:id="127" w:name="_Toc184308058"/>
      <w:bookmarkEnd w:id="127"/>
      <w:bookmarkStart w:id="128" w:name="_Toc184312123"/>
      <w:bookmarkEnd w:id="128"/>
      <w:bookmarkStart w:id="129" w:name="_Toc184314461"/>
      <w:bookmarkEnd w:id="129"/>
      <w:bookmarkStart w:id="130" w:name="_Toc184310283"/>
      <w:bookmarkEnd w:id="130"/>
      <w:bookmarkStart w:id="131" w:name="_Toc184308084"/>
      <w:bookmarkEnd w:id="131"/>
      <w:bookmarkStart w:id="132" w:name="_Toc184312094"/>
      <w:bookmarkEnd w:id="132"/>
      <w:bookmarkStart w:id="133" w:name="_Toc184310323"/>
      <w:bookmarkEnd w:id="133"/>
      <w:bookmarkStart w:id="134" w:name="_Toc184312070"/>
      <w:bookmarkEnd w:id="134"/>
      <w:bookmarkStart w:id="135" w:name="_Toc184313286"/>
      <w:bookmarkEnd w:id="135"/>
      <w:bookmarkStart w:id="136" w:name="_Toc184312080"/>
      <w:bookmarkEnd w:id="136"/>
      <w:bookmarkStart w:id="137" w:name="_Toc184308064"/>
      <w:bookmarkEnd w:id="137"/>
      <w:bookmarkStart w:id="138" w:name="_Toc184312106"/>
      <w:bookmarkEnd w:id="138"/>
      <w:bookmarkStart w:id="139" w:name="_Toc184310313"/>
      <w:bookmarkEnd w:id="139"/>
      <w:bookmarkStart w:id="140" w:name="_Toc184308088"/>
      <w:bookmarkEnd w:id="140"/>
      <w:bookmarkStart w:id="141" w:name="_Toc184310310"/>
      <w:bookmarkEnd w:id="141"/>
      <w:bookmarkStart w:id="142" w:name="_Toc184310338"/>
      <w:bookmarkEnd w:id="142"/>
      <w:bookmarkStart w:id="143" w:name="_Toc184312117"/>
      <w:bookmarkEnd w:id="143"/>
      <w:bookmarkStart w:id="144" w:name="_Toc184313239"/>
      <w:bookmarkEnd w:id="144"/>
      <w:bookmarkStart w:id="145" w:name="_Toc184308104"/>
      <w:bookmarkEnd w:id="145"/>
      <w:bookmarkStart w:id="146" w:name="_Toc184312119"/>
      <w:bookmarkEnd w:id="146"/>
      <w:bookmarkStart w:id="147" w:name="_Toc184310318"/>
      <w:bookmarkEnd w:id="147"/>
      <w:bookmarkStart w:id="148" w:name="_Toc184312122"/>
      <w:bookmarkEnd w:id="148"/>
      <w:bookmarkStart w:id="149" w:name="_Toc184312074"/>
      <w:bookmarkEnd w:id="149"/>
      <w:bookmarkStart w:id="150" w:name="_Toc184312088"/>
      <w:bookmarkEnd w:id="150"/>
      <w:bookmarkStart w:id="151" w:name="_Toc184312125"/>
      <w:bookmarkEnd w:id="151"/>
      <w:bookmarkStart w:id="152" w:name="_Toc184312114"/>
      <w:bookmarkEnd w:id="152"/>
      <w:bookmarkStart w:id="153" w:name="_Toc184312103"/>
      <w:bookmarkEnd w:id="153"/>
      <w:bookmarkStart w:id="154" w:name="_Toc184314430"/>
      <w:bookmarkEnd w:id="154"/>
      <w:bookmarkStart w:id="155" w:name="_Toc184313274"/>
      <w:bookmarkEnd w:id="155"/>
      <w:bookmarkStart w:id="156" w:name="_Toc184314459"/>
      <w:bookmarkEnd w:id="156"/>
      <w:bookmarkStart w:id="157" w:name="_Toc184313304"/>
      <w:bookmarkEnd w:id="157"/>
      <w:bookmarkStart w:id="158" w:name="_Toc184308098"/>
      <w:bookmarkEnd w:id="158"/>
      <w:bookmarkStart w:id="159" w:name="_Toc184312126"/>
      <w:bookmarkEnd w:id="159"/>
      <w:bookmarkStart w:id="160" w:name="_Toc184308042"/>
      <w:bookmarkEnd w:id="160"/>
      <w:bookmarkStart w:id="161" w:name="_Toc184314452"/>
      <w:bookmarkEnd w:id="161"/>
      <w:bookmarkStart w:id="162" w:name="_Toc184314451"/>
      <w:bookmarkEnd w:id="162"/>
      <w:bookmarkStart w:id="163" w:name="_Toc184314476"/>
      <w:bookmarkEnd w:id="163"/>
      <w:bookmarkStart w:id="164" w:name="_Toc184308050"/>
      <w:bookmarkEnd w:id="164"/>
      <w:bookmarkStart w:id="165" w:name="_Toc184313275"/>
      <w:bookmarkEnd w:id="165"/>
      <w:bookmarkStart w:id="166" w:name="_Toc184310324"/>
      <w:bookmarkEnd w:id="166"/>
      <w:bookmarkStart w:id="167" w:name="_Toc184313276"/>
      <w:bookmarkEnd w:id="167"/>
      <w:bookmarkStart w:id="168" w:name="_Toc184310340"/>
      <w:bookmarkEnd w:id="168"/>
      <w:bookmarkStart w:id="169" w:name="_Toc184310273"/>
      <w:bookmarkEnd w:id="169"/>
      <w:bookmarkStart w:id="170" w:name="_Toc184308075"/>
      <w:bookmarkEnd w:id="170"/>
      <w:bookmarkStart w:id="171" w:name="_Toc184313290"/>
      <w:bookmarkEnd w:id="171"/>
      <w:bookmarkStart w:id="172" w:name="_Toc184313278"/>
      <w:bookmarkEnd w:id="172"/>
      <w:bookmarkStart w:id="173" w:name="_Toc184310342"/>
      <w:bookmarkEnd w:id="173"/>
      <w:bookmarkStart w:id="174" w:name="_Toc184310305"/>
      <w:bookmarkEnd w:id="174"/>
      <w:bookmarkStart w:id="175" w:name="_Toc184314474"/>
      <w:bookmarkEnd w:id="175"/>
      <w:bookmarkStart w:id="176" w:name="_Toc184312101"/>
      <w:bookmarkEnd w:id="176"/>
      <w:bookmarkStart w:id="177" w:name="_Toc184308068"/>
      <w:bookmarkEnd w:id="177"/>
      <w:bookmarkStart w:id="178" w:name="_Toc184312115"/>
      <w:bookmarkEnd w:id="178"/>
      <w:bookmarkStart w:id="179" w:name="_Toc184314417"/>
      <w:bookmarkEnd w:id="179"/>
      <w:bookmarkStart w:id="180" w:name="_Toc184308081"/>
      <w:bookmarkEnd w:id="180"/>
      <w:bookmarkStart w:id="181" w:name="_Toc184308105"/>
      <w:bookmarkEnd w:id="181"/>
      <w:bookmarkStart w:id="182" w:name="_Toc184313306"/>
      <w:bookmarkEnd w:id="182"/>
      <w:bookmarkStart w:id="183" w:name="_Toc184308062"/>
      <w:bookmarkEnd w:id="183"/>
      <w:bookmarkStart w:id="184" w:name="_Toc184308041"/>
      <w:bookmarkEnd w:id="184"/>
      <w:bookmarkStart w:id="185" w:name="_Toc184313273"/>
      <w:bookmarkEnd w:id="185"/>
      <w:bookmarkStart w:id="186" w:name="_Toc184313288"/>
      <w:bookmarkEnd w:id="186"/>
      <w:bookmarkStart w:id="187" w:name="_Toc184310292"/>
      <w:bookmarkEnd w:id="187"/>
      <w:bookmarkStart w:id="188" w:name="_Toc184314444"/>
      <w:bookmarkEnd w:id="188"/>
      <w:bookmarkStart w:id="189" w:name="_Toc184308066"/>
      <w:bookmarkEnd w:id="189"/>
      <w:bookmarkStart w:id="190" w:name="_Toc184314479"/>
      <w:bookmarkEnd w:id="190"/>
      <w:bookmarkStart w:id="191" w:name="_Toc184310278"/>
      <w:bookmarkEnd w:id="191"/>
      <w:bookmarkStart w:id="192" w:name="_Toc184310319"/>
      <w:bookmarkEnd w:id="192"/>
      <w:bookmarkStart w:id="193" w:name="_Toc184314472"/>
      <w:bookmarkEnd w:id="193"/>
      <w:bookmarkStart w:id="194" w:name="_Toc184313244"/>
      <w:bookmarkEnd w:id="194"/>
      <w:bookmarkStart w:id="195" w:name="_Toc184310298"/>
      <w:bookmarkEnd w:id="195"/>
      <w:bookmarkStart w:id="196" w:name="_Toc184314449"/>
      <w:bookmarkEnd w:id="196"/>
      <w:bookmarkStart w:id="197" w:name="_Toc184314429"/>
      <w:bookmarkEnd w:id="197"/>
      <w:bookmarkStart w:id="198" w:name="_Toc184308038"/>
      <w:bookmarkEnd w:id="198"/>
      <w:bookmarkStart w:id="199" w:name="_Toc184312095"/>
      <w:bookmarkEnd w:id="199"/>
      <w:bookmarkStart w:id="200" w:name="_Toc184314462"/>
      <w:bookmarkEnd w:id="200"/>
      <w:bookmarkStart w:id="201" w:name="_Toc184310311"/>
      <w:bookmarkEnd w:id="201"/>
      <w:bookmarkStart w:id="202" w:name="_Toc184314450"/>
      <w:bookmarkEnd w:id="202"/>
      <w:bookmarkStart w:id="203" w:name="_Toc184310307"/>
      <w:bookmarkEnd w:id="203"/>
      <w:bookmarkStart w:id="204" w:name="_Toc184314428"/>
      <w:bookmarkEnd w:id="204"/>
      <w:bookmarkStart w:id="205" w:name="_Toc184308102"/>
      <w:bookmarkEnd w:id="205"/>
      <w:bookmarkStart w:id="206" w:name="_Toc184310332"/>
      <w:bookmarkEnd w:id="206"/>
      <w:bookmarkStart w:id="207" w:name="_Toc184313255"/>
      <w:bookmarkEnd w:id="207"/>
      <w:bookmarkStart w:id="208" w:name="_Toc184313240"/>
      <w:bookmarkEnd w:id="208"/>
      <w:bookmarkStart w:id="209" w:name="_Toc184314421"/>
      <w:bookmarkEnd w:id="209"/>
      <w:bookmarkStart w:id="210" w:name="_Toc184314453"/>
      <w:bookmarkEnd w:id="210"/>
      <w:bookmarkStart w:id="211" w:name="_Toc184310286"/>
      <w:bookmarkEnd w:id="211"/>
      <w:bookmarkStart w:id="212" w:name="_Toc184312130"/>
      <w:bookmarkEnd w:id="212"/>
      <w:bookmarkStart w:id="213" w:name="_Toc184308077"/>
      <w:bookmarkEnd w:id="213"/>
      <w:bookmarkStart w:id="214" w:name="_Toc184310276"/>
      <w:bookmarkEnd w:id="214"/>
      <w:bookmarkStart w:id="215" w:name="_Toc184310291"/>
      <w:bookmarkEnd w:id="215"/>
      <w:bookmarkStart w:id="216" w:name="_Toc184313248"/>
      <w:bookmarkEnd w:id="216"/>
      <w:bookmarkStart w:id="217" w:name="_Toc184314412"/>
      <w:bookmarkEnd w:id="217"/>
      <w:bookmarkStart w:id="218" w:name="_Toc184314482"/>
      <w:bookmarkEnd w:id="218"/>
      <w:bookmarkStart w:id="219" w:name="_Toc184314415"/>
      <w:bookmarkEnd w:id="219"/>
      <w:bookmarkStart w:id="220" w:name="_Toc184310297"/>
      <w:bookmarkEnd w:id="220"/>
      <w:bookmarkStart w:id="221" w:name="_Toc184310299"/>
      <w:bookmarkEnd w:id="221"/>
      <w:bookmarkStart w:id="222" w:name="_Toc184313303"/>
      <w:bookmarkEnd w:id="222"/>
      <w:bookmarkStart w:id="223" w:name="_Toc184310327"/>
      <w:bookmarkEnd w:id="223"/>
      <w:bookmarkStart w:id="224" w:name="_Toc184313259"/>
      <w:bookmarkEnd w:id="224"/>
      <w:bookmarkStart w:id="225" w:name="_Toc184310328"/>
      <w:bookmarkEnd w:id="225"/>
      <w:bookmarkStart w:id="226" w:name="_Toc184312073"/>
      <w:bookmarkEnd w:id="226"/>
      <w:bookmarkStart w:id="227" w:name="_Toc184308089"/>
      <w:bookmarkEnd w:id="227"/>
      <w:bookmarkStart w:id="228" w:name="_Toc184310331"/>
      <w:bookmarkEnd w:id="228"/>
      <w:bookmarkStart w:id="229" w:name="_Toc184312098"/>
      <w:bookmarkEnd w:id="229"/>
      <w:bookmarkStart w:id="230" w:name="_Toc184310309"/>
      <w:bookmarkEnd w:id="230"/>
      <w:bookmarkStart w:id="231" w:name="_Toc184313271"/>
      <w:bookmarkEnd w:id="231"/>
      <w:bookmarkStart w:id="232" w:name="_Toc184314425"/>
      <w:bookmarkEnd w:id="232"/>
      <w:bookmarkStart w:id="233" w:name="_Toc184313294"/>
      <w:bookmarkEnd w:id="233"/>
      <w:bookmarkStart w:id="234" w:name="_Toc184313264"/>
      <w:bookmarkEnd w:id="234"/>
      <w:bookmarkStart w:id="235" w:name="_Toc184308106"/>
      <w:bookmarkEnd w:id="235"/>
      <w:bookmarkStart w:id="236" w:name="_Toc184310284"/>
      <w:bookmarkEnd w:id="236"/>
      <w:bookmarkStart w:id="237" w:name="_Toc184312138"/>
      <w:bookmarkEnd w:id="237"/>
      <w:bookmarkStart w:id="238" w:name="_Toc184313298"/>
      <w:bookmarkEnd w:id="238"/>
      <w:bookmarkStart w:id="239" w:name="_Toc184310344"/>
      <w:bookmarkEnd w:id="239"/>
      <w:bookmarkStart w:id="240" w:name="_Toc184308060"/>
      <w:bookmarkEnd w:id="240"/>
      <w:bookmarkStart w:id="241" w:name="_Toc184310275"/>
      <w:bookmarkEnd w:id="241"/>
      <w:bookmarkStart w:id="242" w:name="_Toc184314442"/>
      <w:bookmarkEnd w:id="242"/>
      <w:bookmarkStart w:id="243" w:name="_Toc184312090"/>
      <w:bookmarkEnd w:id="243"/>
      <w:bookmarkStart w:id="244" w:name="_Toc184313270"/>
      <w:bookmarkEnd w:id="244"/>
      <w:bookmarkStart w:id="245" w:name="_Toc184312133"/>
      <w:bookmarkEnd w:id="245"/>
      <w:bookmarkStart w:id="246" w:name="_Toc184310300"/>
      <w:bookmarkEnd w:id="246"/>
      <w:bookmarkStart w:id="247" w:name="_Toc184314432"/>
      <w:bookmarkEnd w:id="247"/>
      <w:bookmarkStart w:id="248" w:name="_Toc184313305"/>
      <w:bookmarkEnd w:id="248"/>
      <w:bookmarkStart w:id="249" w:name="_Toc184314465"/>
      <w:bookmarkEnd w:id="249"/>
      <w:bookmarkStart w:id="250" w:name="_Toc184313281"/>
      <w:bookmarkEnd w:id="250"/>
      <w:bookmarkStart w:id="251" w:name="_Toc184314419"/>
      <w:bookmarkEnd w:id="251"/>
      <w:bookmarkStart w:id="252" w:name="_Toc184308054"/>
      <w:bookmarkEnd w:id="252"/>
      <w:bookmarkStart w:id="253" w:name="_Toc184312067"/>
      <w:bookmarkEnd w:id="253"/>
      <w:bookmarkStart w:id="254" w:name="_Toc184308092"/>
      <w:bookmarkEnd w:id="254"/>
      <w:bookmarkStart w:id="255" w:name="_Toc184308057"/>
      <w:bookmarkEnd w:id="255"/>
      <w:bookmarkStart w:id="256" w:name="_Toc184314441"/>
      <w:bookmarkEnd w:id="256"/>
      <w:bookmarkStart w:id="257" w:name="_Toc184313280"/>
      <w:bookmarkEnd w:id="257"/>
      <w:bookmarkStart w:id="258" w:name="_Toc184313297"/>
      <w:bookmarkEnd w:id="258"/>
      <w:bookmarkStart w:id="259" w:name="_Toc184312069"/>
      <w:bookmarkEnd w:id="259"/>
      <w:bookmarkStart w:id="260" w:name="_Toc184312089"/>
      <w:bookmarkEnd w:id="260"/>
      <w:bookmarkStart w:id="261" w:name="_Toc184312110"/>
      <w:bookmarkEnd w:id="261"/>
      <w:bookmarkStart w:id="262" w:name="_Toc184313307"/>
      <w:bookmarkEnd w:id="262"/>
      <w:bookmarkStart w:id="263" w:name="_Toc184314420"/>
      <w:bookmarkEnd w:id="263"/>
      <w:bookmarkStart w:id="264" w:name="_Toc184308037"/>
      <w:bookmarkEnd w:id="264"/>
      <w:bookmarkStart w:id="265" w:name="_Toc184308083"/>
      <w:bookmarkEnd w:id="265"/>
      <w:bookmarkStart w:id="266" w:name="_Toc184310285"/>
      <w:bookmarkEnd w:id="266"/>
      <w:bookmarkStart w:id="267" w:name="_Toc184308039"/>
      <w:bookmarkEnd w:id="267"/>
      <w:bookmarkStart w:id="268" w:name="_Toc184310330"/>
      <w:bookmarkEnd w:id="268"/>
      <w:bookmarkStart w:id="269" w:name="_Toc184314473"/>
      <w:bookmarkEnd w:id="269"/>
      <w:bookmarkStart w:id="270" w:name="_Toc184308045"/>
      <w:bookmarkEnd w:id="270"/>
      <w:bookmarkStart w:id="271" w:name="_Toc184313289"/>
      <w:bookmarkEnd w:id="271"/>
      <w:bookmarkStart w:id="272" w:name="_Toc184313263"/>
      <w:bookmarkEnd w:id="272"/>
      <w:bookmarkStart w:id="273" w:name="_Toc184313243"/>
      <w:bookmarkEnd w:id="273"/>
      <w:bookmarkStart w:id="274" w:name="_Toc184313261"/>
      <w:bookmarkEnd w:id="274"/>
      <w:bookmarkStart w:id="275" w:name="_Toc184308101"/>
      <w:bookmarkEnd w:id="275"/>
      <w:bookmarkStart w:id="276" w:name="_Toc184310306"/>
      <w:bookmarkEnd w:id="276"/>
      <w:bookmarkStart w:id="277" w:name="_Toc184308061"/>
      <w:bookmarkEnd w:id="277"/>
      <w:bookmarkStart w:id="278" w:name="_Toc184314410"/>
      <w:bookmarkEnd w:id="278"/>
      <w:bookmarkStart w:id="279" w:name="_Toc184314457"/>
      <w:bookmarkEnd w:id="279"/>
      <w:bookmarkStart w:id="280" w:name="_Toc184310282"/>
      <w:bookmarkEnd w:id="280"/>
      <w:bookmarkStart w:id="281" w:name="_Toc184310302"/>
      <w:bookmarkEnd w:id="281"/>
      <w:bookmarkStart w:id="282" w:name="_Toc184313266"/>
      <w:bookmarkEnd w:id="282"/>
      <w:bookmarkStart w:id="283" w:name="_Toc184312091"/>
      <w:bookmarkEnd w:id="283"/>
      <w:bookmarkStart w:id="284" w:name="_Toc184313292"/>
      <w:bookmarkEnd w:id="284"/>
      <w:bookmarkStart w:id="285" w:name="_Toc184310280"/>
      <w:bookmarkEnd w:id="285"/>
      <w:bookmarkStart w:id="286" w:name="_Toc184314468"/>
      <w:bookmarkEnd w:id="286"/>
      <w:bookmarkStart w:id="287" w:name="_Toc184308040"/>
      <w:bookmarkEnd w:id="287"/>
      <w:bookmarkStart w:id="288" w:name="_Toc184314446"/>
      <w:bookmarkEnd w:id="288"/>
      <w:bookmarkStart w:id="289" w:name="_Toc184308053"/>
      <w:bookmarkEnd w:id="289"/>
      <w:bookmarkStart w:id="290" w:name="_Toc184314471"/>
      <w:bookmarkEnd w:id="290"/>
      <w:bookmarkStart w:id="291" w:name="_Toc184310333"/>
      <w:bookmarkEnd w:id="291"/>
      <w:bookmarkStart w:id="292" w:name="_Toc184312086"/>
      <w:bookmarkEnd w:id="292"/>
      <w:bookmarkStart w:id="293" w:name="_Toc184310326"/>
      <w:bookmarkEnd w:id="293"/>
      <w:bookmarkStart w:id="294" w:name="_Toc184308065"/>
      <w:bookmarkEnd w:id="294"/>
      <w:bookmarkStart w:id="295" w:name="_Toc184314423"/>
      <w:bookmarkEnd w:id="295"/>
      <w:bookmarkStart w:id="296" w:name="_Toc184312068"/>
      <w:bookmarkEnd w:id="296"/>
      <w:bookmarkStart w:id="297" w:name="_Toc184310294"/>
      <w:bookmarkEnd w:id="297"/>
      <w:bookmarkStart w:id="298" w:name="_Toc184308108"/>
      <w:bookmarkEnd w:id="298"/>
      <w:bookmarkStart w:id="299" w:name="_Toc184308091"/>
      <w:bookmarkEnd w:id="299"/>
      <w:bookmarkStart w:id="300" w:name="_Toc184313253"/>
      <w:bookmarkEnd w:id="300"/>
      <w:bookmarkStart w:id="301" w:name="_Toc184310339"/>
      <w:bookmarkEnd w:id="301"/>
      <w:bookmarkStart w:id="302" w:name="_Toc184314447"/>
      <w:bookmarkEnd w:id="302"/>
      <w:bookmarkStart w:id="303" w:name="_Toc184312139"/>
      <w:bookmarkEnd w:id="303"/>
      <w:bookmarkStart w:id="304" w:name="_Toc184310334"/>
      <w:bookmarkEnd w:id="304"/>
      <w:bookmarkStart w:id="305" w:name="_Toc184313310"/>
      <w:bookmarkEnd w:id="305"/>
      <w:bookmarkStart w:id="306" w:name="_Toc184308059"/>
      <w:bookmarkEnd w:id="306"/>
      <w:bookmarkStart w:id="307" w:name="_Toc184313245"/>
      <w:bookmarkEnd w:id="307"/>
      <w:bookmarkStart w:id="308" w:name="_Toc184314460"/>
      <w:bookmarkEnd w:id="308"/>
      <w:bookmarkStart w:id="309" w:name="_Toc184313296"/>
      <w:bookmarkEnd w:id="309"/>
      <w:bookmarkStart w:id="310" w:name="_Toc184312102"/>
      <w:bookmarkEnd w:id="310"/>
      <w:bookmarkStart w:id="311" w:name="_Toc184314440"/>
      <w:bookmarkEnd w:id="311"/>
      <w:bookmarkStart w:id="312" w:name="_Toc184313272"/>
      <w:bookmarkEnd w:id="312"/>
      <w:bookmarkStart w:id="313" w:name="_Toc184312096"/>
      <w:bookmarkEnd w:id="313"/>
      <w:bookmarkStart w:id="314" w:name="_Toc184308067"/>
      <w:bookmarkEnd w:id="314"/>
      <w:bookmarkStart w:id="315" w:name="_Toc184310287"/>
      <w:bookmarkEnd w:id="315"/>
      <w:bookmarkStart w:id="316" w:name="_Toc184310336"/>
      <w:bookmarkEnd w:id="316"/>
      <w:bookmarkStart w:id="317" w:name="_Toc184312124"/>
      <w:bookmarkEnd w:id="317"/>
      <w:bookmarkStart w:id="318" w:name="_Toc184308071"/>
      <w:bookmarkEnd w:id="318"/>
      <w:bookmarkStart w:id="319" w:name="_Toc184312075"/>
      <w:bookmarkEnd w:id="319"/>
      <w:bookmarkStart w:id="320" w:name="_Toc184313258"/>
      <w:bookmarkEnd w:id="320"/>
      <w:bookmarkStart w:id="321" w:name="_Toc184308049"/>
      <w:bookmarkEnd w:id="321"/>
      <w:bookmarkStart w:id="322" w:name="_Toc184312097"/>
      <w:bookmarkEnd w:id="322"/>
      <w:bookmarkStart w:id="323" w:name="_Toc184310325"/>
      <w:bookmarkEnd w:id="323"/>
      <w:bookmarkStart w:id="324" w:name="_Toc184314466"/>
      <w:bookmarkEnd w:id="324"/>
      <w:bookmarkStart w:id="325" w:name="_Toc184313242"/>
      <w:bookmarkEnd w:id="325"/>
      <w:bookmarkStart w:id="326" w:name="_Toc184314467"/>
      <w:bookmarkEnd w:id="326"/>
      <w:bookmarkStart w:id="327" w:name="_Toc184313249"/>
      <w:bookmarkEnd w:id="327"/>
      <w:bookmarkStart w:id="328" w:name="_Toc184312135"/>
      <w:bookmarkEnd w:id="328"/>
      <w:bookmarkStart w:id="329" w:name="_Toc184310289"/>
      <w:bookmarkEnd w:id="329"/>
      <w:bookmarkStart w:id="330" w:name="_Toc184308046"/>
      <w:bookmarkEnd w:id="330"/>
      <w:bookmarkStart w:id="331" w:name="_Toc184312072"/>
      <w:bookmarkEnd w:id="331"/>
      <w:bookmarkStart w:id="332" w:name="_Toc184310274"/>
      <w:bookmarkEnd w:id="332"/>
      <w:bookmarkStart w:id="333" w:name="_Toc184312132"/>
      <w:bookmarkEnd w:id="333"/>
      <w:bookmarkStart w:id="334" w:name="_Toc184310315"/>
      <w:bookmarkEnd w:id="334"/>
      <w:bookmarkStart w:id="335" w:name="_Toc184313269"/>
      <w:bookmarkEnd w:id="335"/>
      <w:bookmarkStart w:id="336" w:name="_Toc184308103"/>
      <w:bookmarkEnd w:id="336"/>
      <w:bookmarkStart w:id="337" w:name="_Toc184310303"/>
      <w:bookmarkEnd w:id="337"/>
      <w:bookmarkStart w:id="338" w:name="_Toc184310308"/>
      <w:bookmarkEnd w:id="338"/>
      <w:bookmarkStart w:id="339" w:name="_Toc184308082"/>
      <w:bookmarkEnd w:id="339"/>
      <w:bookmarkStart w:id="340" w:name="_Toc184310312"/>
      <w:bookmarkEnd w:id="340"/>
      <w:bookmarkStart w:id="341" w:name="_Toc184312113"/>
      <w:bookmarkEnd w:id="341"/>
      <w:bookmarkStart w:id="342" w:name="_Toc184314436"/>
      <w:bookmarkEnd w:id="342"/>
      <w:bookmarkStart w:id="343" w:name="_Toc184310272"/>
      <w:bookmarkEnd w:id="343"/>
      <w:bookmarkStart w:id="344" w:name="_Toc184312099"/>
      <w:bookmarkEnd w:id="344"/>
      <w:bookmarkStart w:id="345" w:name="_Toc184313238"/>
      <w:bookmarkEnd w:id="345"/>
      <w:bookmarkStart w:id="346" w:name="_Toc184314418"/>
      <w:bookmarkEnd w:id="346"/>
      <w:bookmarkStart w:id="347" w:name="_Toc184308099"/>
      <w:bookmarkEnd w:id="347"/>
      <w:bookmarkStart w:id="348" w:name="_Toc184314480"/>
      <w:bookmarkEnd w:id="348"/>
      <w:bookmarkStart w:id="349" w:name="_Toc184308076"/>
      <w:bookmarkEnd w:id="349"/>
      <w:bookmarkStart w:id="350" w:name="_Toc184313247"/>
      <w:bookmarkEnd w:id="350"/>
      <w:bookmarkStart w:id="351" w:name="_Toc184314455"/>
      <w:bookmarkEnd w:id="351"/>
      <w:bookmarkStart w:id="352" w:name="_Toc184313277"/>
      <w:bookmarkEnd w:id="352"/>
      <w:bookmarkStart w:id="353" w:name="_Toc184313300"/>
      <w:bookmarkEnd w:id="353"/>
      <w:bookmarkStart w:id="354" w:name="_Toc184308087"/>
      <w:bookmarkEnd w:id="354"/>
      <w:bookmarkStart w:id="355" w:name="_Toc184308043"/>
      <w:bookmarkEnd w:id="355"/>
      <w:bookmarkStart w:id="356" w:name="_Toc184314422"/>
      <w:bookmarkEnd w:id="356"/>
      <w:bookmarkStart w:id="357" w:name="_Toc184312105"/>
      <w:bookmarkEnd w:id="357"/>
      <w:bookmarkStart w:id="358" w:name="_Toc184308078"/>
      <w:bookmarkEnd w:id="358"/>
      <w:bookmarkStart w:id="359" w:name="_Toc184310281"/>
      <w:bookmarkEnd w:id="359"/>
      <w:bookmarkStart w:id="360" w:name="_Toc184310296"/>
      <w:bookmarkEnd w:id="360"/>
      <w:bookmarkStart w:id="361" w:name="_Toc184312112"/>
      <w:bookmarkEnd w:id="361"/>
      <w:bookmarkStart w:id="362" w:name="_Toc184314416"/>
      <w:bookmarkEnd w:id="362"/>
      <w:bookmarkStart w:id="363" w:name="_Toc184308047"/>
      <w:bookmarkEnd w:id="363"/>
      <w:bookmarkStart w:id="364" w:name="_Toc184313254"/>
      <w:bookmarkEnd w:id="364"/>
      <w:bookmarkStart w:id="365" w:name="_Toc184308090"/>
      <w:bookmarkEnd w:id="365"/>
      <w:bookmarkStart w:id="366" w:name="_Toc184308073"/>
      <w:bookmarkEnd w:id="366"/>
      <w:bookmarkStart w:id="367" w:name="_Toc184310290"/>
      <w:bookmarkEnd w:id="367"/>
      <w:bookmarkStart w:id="368" w:name="_Toc184308107"/>
      <w:bookmarkEnd w:id="368"/>
      <w:bookmarkStart w:id="369" w:name="_Toc184312085"/>
      <w:bookmarkEnd w:id="369"/>
      <w:bookmarkStart w:id="370" w:name="_Toc184313251"/>
      <w:bookmarkEnd w:id="370"/>
      <w:bookmarkStart w:id="371" w:name="_Toc184313299"/>
      <w:bookmarkEnd w:id="371"/>
      <w:bookmarkStart w:id="372" w:name="_Toc184314463"/>
      <w:bookmarkEnd w:id="372"/>
      <w:bookmarkStart w:id="373" w:name="_Toc184314434"/>
      <w:bookmarkEnd w:id="373"/>
      <w:bookmarkStart w:id="374" w:name="_Toc184310314"/>
      <w:bookmarkEnd w:id="374"/>
      <w:bookmarkStart w:id="375" w:name="_Toc184313260"/>
      <w:bookmarkEnd w:id="375"/>
      <w:bookmarkStart w:id="376" w:name="_Toc184308086"/>
      <w:bookmarkEnd w:id="376"/>
      <w:bookmarkStart w:id="377" w:name="_Toc184314458"/>
      <w:bookmarkEnd w:id="377"/>
      <w:bookmarkStart w:id="378" w:name="_Toc184314481"/>
      <w:bookmarkEnd w:id="378"/>
      <w:bookmarkStart w:id="379" w:name="_Toc184312104"/>
      <w:bookmarkEnd w:id="379"/>
      <w:bookmarkStart w:id="380" w:name="_Toc184314413"/>
      <w:bookmarkEnd w:id="380"/>
      <w:bookmarkStart w:id="381" w:name="_Toc184312087"/>
      <w:bookmarkEnd w:id="381"/>
      <w:bookmarkStart w:id="382" w:name="_Toc184308079"/>
      <w:bookmarkEnd w:id="382"/>
      <w:bookmarkStart w:id="383" w:name="_Toc184314437"/>
      <w:bookmarkEnd w:id="383"/>
      <w:bookmarkStart w:id="384" w:name="_Toc184310304"/>
      <w:bookmarkEnd w:id="384"/>
      <w:bookmarkStart w:id="385" w:name="_Toc184310321"/>
      <w:bookmarkEnd w:id="385"/>
      <w:bookmarkStart w:id="386" w:name="_Toc184310337"/>
      <w:bookmarkEnd w:id="386"/>
      <w:bookmarkStart w:id="387" w:name="_Toc184312120"/>
      <w:bookmarkEnd w:id="387"/>
      <w:bookmarkStart w:id="388" w:name="_Toc184314475"/>
      <w:bookmarkEnd w:id="388"/>
      <w:bookmarkStart w:id="389" w:name="_Toc184308069"/>
      <w:bookmarkEnd w:id="389"/>
      <w:bookmarkStart w:id="390" w:name="_Toc184313285"/>
      <w:bookmarkEnd w:id="390"/>
      <w:bookmarkStart w:id="391" w:name="_Toc184310293"/>
      <w:bookmarkEnd w:id="391"/>
      <w:bookmarkStart w:id="392" w:name="_Toc184312116"/>
      <w:bookmarkEnd w:id="392"/>
      <w:bookmarkStart w:id="393" w:name="_Toc184310320"/>
      <w:bookmarkEnd w:id="393"/>
      <w:bookmarkStart w:id="394" w:name="_Toc184308097"/>
      <w:bookmarkEnd w:id="394"/>
      <w:bookmarkStart w:id="395" w:name="_Toc184308048"/>
      <w:bookmarkEnd w:id="395"/>
      <w:bookmarkStart w:id="396" w:name="_Toc184308074"/>
      <w:bookmarkEnd w:id="396"/>
      <w:bookmarkStart w:id="397" w:name="_Toc184313262"/>
      <w:bookmarkEnd w:id="397"/>
      <w:bookmarkStart w:id="398" w:name="_Toc184313287"/>
      <w:bookmarkEnd w:id="398"/>
      <w:bookmarkStart w:id="399" w:name="_Toc184313308"/>
      <w:bookmarkEnd w:id="399"/>
      <w:bookmarkStart w:id="400" w:name="_Toc184314431"/>
      <w:bookmarkEnd w:id="400"/>
      <w:bookmarkStart w:id="401" w:name="_Toc184308080"/>
      <w:bookmarkEnd w:id="401"/>
      <w:bookmarkStart w:id="402" w:name="_Toc184312107"/>
      <w:bookmarkEnd w:id="402"/>
      <w:bookmarkStart w:id="403" w:name="_Toc184310301"/>
      <w:bookmarkEnd w:id="403"/>
      <w:bookmarkStart w:id="404" w:name="_Toc184308056"/>
      <w:bookmarkEnd w:id="404"/>
      <w:bookmarkStart w:id="405" w:name="_Toc184312084"/>
      <w:bookmarkEnd w:id="405"/>
      <w:bookmarkStart w:id="406" w:name="_Toc184308051"/>
      <w:bookmarkEnd w:id="406"/>
      <w:bookmarkStart w:id="407" w:name="_Toc184312093"/>
      <w:bookmarkEnd w:id="407"/>
      <w:bookmarkStart w:id="408" w:name="_Toc184310317"/>
      <w:bookmarkEnd w:id="408"/>
      <w:bookmarkStart w:id="409" w:name="_Toc184313265"/>
      <w:bookmarkEnd w:id="409"/>
      <w:bookmarkStart w:id="410" w:name="_Toc184313283"/>
      <w:bookmarkEnd w:id="410"/>
      <w:bookmarkStart w:id="411" w:name="_Toc184313291"/>
      <w:bookmarkEnd w:id="411"/>
      <w:bookmarkStart w:id="412" w:name="_Toc184312131"/>
      <w:bookmarkEnd w:id="412"/>
      <w:bookmarkStart w:id="413" w:name="_Toc184312082"/>
      <w:bookmarkEnd w:id="413"/>
      <w:bookmarkStart w:id="414" w:name="_Toc184314478"/>
      <w:bookmarkEnd w:id="414"/>
      <w:bookmarkStart w:id="415" w:name="_Toc184310295"/>
      <w:bookmarkEnd w:id="415"/>
      <w:bookmarkStart w:id="416" w:name="_Toc184313241"/>
      <w:bookmarkEnd w:id="416"/>
      <w:bookmarkStart w:id="417" w:name="_Toc184314424"/>
      <w:bookmarkEnd w:id="417"/>
      <w:bookmarkStart w:id="418" w:name="_Toc184312128"/>
      <w:bookmarkEnd w:id="418"/>
      <w:bookmarkStart w:id="419" w:name="_Toc184310322"/>
      <w:bookmarkEnd w:id="419"/>
      <w:bookmarkStart w:id="420" w:name="_Toc184314439"/>
      <w:bookmarkEnd w:id="420"/>
      <w:bookmarkStart w:id="421" w:name="_Toc184308085"/>
      <w:bookmarkEnd w:id="421"/>
      <w:bookmarkStart w:id="422" w:name="_Toc184314433"/>
      <w:bookmarkEnd w:id="422"/>
      <w:bookmarkStart w:id="423" w:name="_Toc184313284"/>
      <w:bookmarkEnd w:id="423"/>
      <w:bookmarkStart w:id="424" w:name="_Toc184312078"/>
      <w:bookmarkEnd w:id="424"/>
      <w:bookmarkStart w:id="425" w:name="_Toc184313279"/>
      <w:bookmarkEnd w:id="425"/>
      <w:bookmarkStart w:id="426" w:name="_Toc184312108"/>
      <w:bookmarkEnd w:id="426"/>
      <w:bookmarkStart w:id="427" w:name="_Toc184314411"/>
      <w:bookmarkEnd w:id="427"/>
      <w:bookmarkStart w:id="428" w:name="_Toc184314456"/>
      <w:bookmarkEnd w:id="428"/>
      <w:bookmarkStart w:id="429" w:name="_Toc184312081"/>
      <w:bookmarkEnd w:id="429"/>
      <w:bookmarkStart w:id="430" w:name="_Toc184312129"/>
      <w:bookmarkEnd w:id="430"/>
      <w:bookmarkStart w:id="431" w:name="_Toc184313295"/>
      <w:bookmarkEnd w:id="431"/>
      <w:bookmarkStart w:id="432" w:name="_Toc184308093"/>
      <w:bookmarkEnd w:id="432"/>
      <w:bookmarkStart w:id="433" w:name="_Toc184310335"/>
      <w:bookmarkEnd w:id="433"/>
      <w:bookmarkStart w:id="434" w:name="_Toc184312127"/>
      <w:bookmarkEnd w:id="434"/>
      <w:bookmarkStart w:id="435" w:name="_Toc184312100"/>
      <w:bookmarkEnd w:id="435"/>
      <w:bookmarkStart w:id="436" w:name="_Toc184314448"/>
      <w:bookmarkEnd w:id="436"/>
      <w:bookmarkStart w:id="437" w:name="_Toc184314464"/>
      <w:bookmarkEnd w:id="437"/>
      <w:bookmarkStart w:id="438" w:name="_Toc184310329"/>
      <w:bookmarkEnd w:id="438"/>
      <w:bookmarkStart w:id="439" w:name="_Toc184313252"/>
      <w:bookmarkEnd w:id="439"/>
      <w:r>
        <w:rPr>
          <w:rFonts w:hint="eastAsia" w:ascii="宋体" w:hAnsi="宋体" w:cs="宋体"/>
          <w:b/>
          <w:color w:val="auto"/>
          <w:sz w:val="32"/>
          <w:szCs w:val="32"/>
          <w:highlight w:val="none"/>
        </w:rPr>
        <w:t>评标办法</w:t>
      </w:r>
      <w:bookmarkEnd w:id="74"/>
    </w:p>
    <w:p w14:paraId="465A1248">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4754"/>
        <w:gridCol w:w="720"/>
        <w:gridCol w:w="1003"/>
        <w:gridCol w:w="1933"/>
      </w:tblGrid>
      <w:tr w14:paraId="0433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blHeader/>
          <w:jc w:val="center"/>
        </w:trPr>
        <w:tc>
          <w:tcPr>
            <w:tcW w:w="748" w:type="dxa"/>
            <w:vAlign w:val="center"/>
          </w:tcPr>
          <w:p w14:paraId="56E7F8B6">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4754" w:type="dxa"/>
            <w:vAlign w:val="center"/>
          </w:tcPr>
          <w:p w14:paraId="68440033">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评标标准</w:t>
            </w:r>
          </w:p>
        </w:tc>
        <w:tc>
          <w:tcPr>
            <w:tcW w:w="720" w:type="dxa"/>
            <w:vAlign w:val="center"/>
          </w:tcPr>
          <w:p w14:paraId="1A18C2D8">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权重</w:t>
            </w:r>
          </w:p>
        </w:tc>
        <w:tc>
          <w:tcPr>
            <w:tcW w:w="1003" w:type="dxa"/>
            <w:vAlign w:val="center"/>
          </w:tcPr>
          <w:p w14:paraId="3E47048A">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主观分/客观分属性</w:t>
            </w:r>
          </w:p>
        </w:tc>
        <w:tc>
          <w:tcPr>
            <w:tcW w:w="1933" w:type="dxa"/>
            <w:vAlign w:val="center"/>
          </w:tcPr>
          <w:p w14:paraId="46FB1875">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投标文件中评标标准相应的商务技术资料目录*</w:t>
            </w:r>
          </w:p>
        </w:tc>
      </w:tr>
      <w:tr w14:paraId="7FCF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0EBBD581">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4754" w:type="dxa"/>
          </w:tcPr>
          <w:p w14:paraId="4212A091">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投标文件针对“第三部分 采购需求”中“五、功能参数要求”除功能演示外的技术要求的响应程度, 对非关键的功能要求负偏离或缺漏项的每项扣0.5分，对带★标记的关键性功能要求负偏离或缺漏项的，每项扣1分，扣完为止。</w:t>
            </w:r>
          </w:p>
          <w:p w14:paraId="6A55F419">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注：未提供功能参数要求中明确要求的证明材料，视为负偏离。</w:t>
            </w:r>
          </w:p>
        </w:tc>
        <w:tc>
          <w:tcPr>
            <w:tcW w:w="720" w:type="dxa"/>
            <w:vAlign w:val="center"/>
          </w:tcPr>
          <w:p w14:paraId="69D4B344">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16</w:t>
            </w:r>
          </w:p>
        </w:tc>
        <w:tc>
          <w:tcPr>
            <w:tcW w:w="1003" w:type="dxa"/>
            <w:vAlign w:val="center"/>
          </w:tcPr>
          <w:p w14:paraId="1F382F2C">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c>
          <w:tcPr>
            <w:tcW w:w="1933" w:type="dxa"/>
            <w:vAlign w:val="center"/>
          </w:tcPr>
          <w:p w14:paraId="38D67E30">
            <w:pPr>
              <w:pageBreakBefore w:val="0"/>
              <w:kinsoku/>
              <w:wordWrap/>
              <w:overflowPunct/>
              <w:topLinePunct w:val="0"/>
              <w:autoSpaceDE/>
              <w:autoSpaceDN/>
              <w:bidi w:val="0"/>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技术分</w:t>
            </w:r>
          </w:p>
        </w:tc>
      </w:tr>
      <w:tr w14:paraId="3AE3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0C238A44">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4754" w:type="dxa"/>
          </w:tcPr>
          <w:p w14:paraId="7B543E65">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2022年1月1日以来（合同签订时间为准），投标人具有类似服务业绩的，每个业绩得1分，最高得1分。</w:t>
            </w:r>
          </w:p>
          <w:p w14:paraId="4BA12833">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注：提供合同复印件并加盖公章，未提供或提供的材料不符合要求的不予认定和计分。</w:t>
            </w:r>
          </w:p>
        </w:tc>
        <w:tc>
          <w:tcPr>
            <w:tcW w:w="720" w:type="dxa"/>
            <w:vAlign w:val="center"/>
          </w:tcPr>
          <w:p w14:paraId="0F508D5D">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1003" w:type="dxa"/>
            <w:vAlign w:val="center"/>
          </w:tcPr>
          <w:p w14:paraId="6A015FE0">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客观分</w:t>
            </w:r>
          </w:p>
        </w:tc>
        <w:tc>
          <w:tcPr>
            <w:tcW w:w="1933" w:type="dxa"/>
            <w:vAlign w:val="center"/>
          </w:tcPr>
          <w:p w14:paraId="3E2F67DE">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商务分</w:t>
            </w:r>
          </w:p>
        </w:tc>
      </w:tr>
      <w:tr w14:paraId="6031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577ED5B1">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4754" w:type="dxa"/>
          </w:tcPr>
          <w:p w14:paraId="7F388421">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根据投标人提供的针对本项目与浙江省级融媒体技术平台对接的技术方案进行判定评分：</w:t>
            </w:r>
          </w:p>
          <w:p w14:paraId="497BFB07">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①技术方案完全符合招标需求，具备先进性、实用性、合理性、高可行性的得3分；</w:t>
            </w:r>
          </w:p>
          <w:p w14:paraId="45E772B2">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②技术方案比较符合招标需求，能够满足项目实施需要，无明显的缺陷的得2分；</w:t>
            </w:r>
          </w:p>
          <w:p w14:paraId="134EFA47">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③技术方案简单，不能良好满足项目需求的得1分。</w:t>
            </w:r>
          </w:p>
          <w:p w14:paraId="51C18FBB">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④未提供的不得分。</w:t>
            </w:r>
          </w:p>
          <w:p w14:paraId="6AC61F89">
            <w:pPr>
              <w:pStyle w:val="61"/>
              <w:pageBreakBefore w:val="0"/>
              <w:kinsoku/>
              <w:wordWrap/>
              <w:overflowPunct/>
              <w:topLinePunct w:val="0"/>
              <w:autoSpaceDE/>
              <w:autoSpaceDN/>
              <w:bidi w:val="0"/>
              <w:snapToGrid/>
              <w:spacing w:after="0"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注：提供与浙江省级融媒体技术平台对接的技术方案。</w:t>
            </w:r>
          </w:p>
        </w:tc>
        <w:tc>
          <w:tcPr>
            <w:tcW w:w="720" w:type="dxa"/>
            <w:vAlign w:val="center"/>
          </w:tcPr>
          <w:p w14:paraId="1F70A44B">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003" w:type="dxa"/>
            <w:vAlign w:val="center"/>
          </w:tcPr>
          <w:p w14:paraId="2433C229">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c>
          <w:tcPr>
            <w:tcW w:w="1933" w:type="dxa"/>
            <w:vAlign w:val="center"/>
          </w:tcPr>
          <w:p w14:paraId="7D89482E">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技术分</w:t>
            </w:r>
          </w:p>
        </w:tc>
      </w:tr>
      <w:tr w14:paraId="5551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3A6FA77C">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p>
        </w:tc>
        <w:tc>
          <w:tcPr>
            <w:tcW w:w="4754" w:type="dxa"/>
          </w:tcPr>
          <w:p w14:paraId="70BA5253">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根据投标人提供的针对本项目与看余杭客户端后台对接的技术方案进行判定评分：</w:t>
            </w:r>
          </w:p>
          <w:p w14:paraId="13917F5C">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①技术方案完全符合招标需求，具备先进性、实用性、合理性、高可行性的得3分；</w:t>
            </w:r>
          </w:p>
          <w:p w14:paraId="3BDB448D">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②技术方案比较符合招标需求，能够满足项目实施需要，无明显的缺陷的得2分；</w:t>
            </w:r>
          </w:p>
          <w:p w14:paraId="0A0ECF09">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③技术方案简单，不能良好满足项目需求的得1分。</w:t>
            </w:r>
          </w:p>
          <w:p w14:paraId="5AE2479A">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④未提供的不得分。</w:t>
            </w:r>
          </w:p>
          <w:p w14:paraId="7E97B0F5">
            <w:pPr>
              <w:pStyle w:val="61"/>
              <w:pageBreakBefore w:val="0"/>
              <w:kinsoku/>
              <w:wordWrap/>
              <w:overflowPunct/>
              <w:topLinePunct w:val="0"/>
              <w:autoSpaceDE/>
              <w:autoSpaceDN/>
              <w:bidi w:val="0"/>
              <w:snapToGrid/>
              <w:spacing w:after="0"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注：提供与看余杭客户端后台对接的技术方案。</w:t>
            </w:r>
          </w:p>
        </w:tc>
        <w:tc>
          <w:tcPr>
            <w:tcW w:w="720" w:type="dxa"/>
            <w:vAlign w:val="center"/>
          </w:tcPr>
          <w:p w14:paraId="23142EDE">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003" w:type="dxa"/>
            <w:vAlign w:val="center"/>
          </w:tcPr>
          <w:p w14:paraId="41FFF8A0">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933" w:type="dxa"/>
            <w:vAlign w:val="center"/>
          </w:tcPr>
          <w:p w14:paraId="5CE8FA5B">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技术分</w:t>
            </w:r>
          </w:p>
        </w:tc>
      </w:tr>
      <w:tr w14:paraId="5107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2909DE1F">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4754" w:type="dxa"/>
          </w:tcPr>
          <w:p w14:paraId="416ADB32">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根据投标人提供的基础服务的技术方案进行判定评分：</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①技术方案完全符合招标需求，具备先进性、实用性、合理性、高可行性的得3分；</w:t>
            </w:r>
          </w:p>
          <w:p w14:paraId="64808B8B">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②技术方案比较符合招标需求，能够满足项目实施需要，无明显的缺陷的得2分；</w:t>
            </w:r>
          </w:p>
          <w:p w14:paraId="1AFEA1A7">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③技术方案简单，不能良好满足项目需求的得1分；</w:t>
            </w:r>
          </w:p>
          <w:p w14:paraId="47D4259C">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④未提供的不得分。</w:t>
            </w:r>
          </w:p>
          <w:p w14:paraId="183E0421">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注：提供基础服务的技术方案。</w:t>
            </w:r>
          </w:p>
        </w:tc>
        <w:tc>
          <w:tcPr>
            <w:tcW w:w="720" w:type="dxa"/>
            <w:vAlign w:val="center"/>
          </w:tcPr>
          <w:p w14:paraId="7B0FE821">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003" w:type="dxa"/>
            <w:vAlign w:val="center"/>
          </w:tcPr>
          <w:p w14:paraId="1BC1EE40">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933" w:type="dxa"/>
            <w:vAlign w:val="center"/>
          </w:tcPr>
          <w:p w14:paraId="1BF3A2BA">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技术分</w:t>
            </w:r>
          </w:p>
        </w:tc>
      </w:tr>
      <w:tr w14:paraId="5152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3A9AF515">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4754" w:type="dxa"/>
          </w:tcPr>
          <w:p w14:paraId="1978F6B0">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根据投标人提供的融合生产的技术方案进行判定评分：</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ascii="宋体" w:hAnsi="宋体" w:eastAsia="宋体" w:cs="宋体"/>
                <w:b w:val="0"/>
                <w:bCs w:val="0"/>
                <w:color w:val="auto"/>
                <w:kern w:val="2"/>
                <w:sz w:val="24"/>
                <w:szCs w:val="24"/>
                <w:highlight w:val="none"/>
                <w:lang w:val="en-US" w:eastAsia="zh-CN" w:bidi="ar-SA"/>
              </w:rPr>
              <w:t>①技术方案完全符合招标需求，具备先进性、实用性、合理性、高可行性的得3分；</w:t>
            </w:r>
          </w:p>
          <w:p w14:paraId="2C80112C">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②技术方案比较符合招标需求，能够满足项目实施需要，无明显的缺陷的得2分；</w:t>
            </w:r>
          </w:p>
          <w:p w14:paraId="60A1CE98">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③技术方案简单，不能良好满足项目需求的得1分；</w:t>
            </w:r>
          </w:p>
          <w:p w14:paraId="1112451F">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④未提供的不得分。</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ascii="宋体" w:hAnsi="宋体" w:eastAsia="宋体" w:cs="宋体"/>
                <w:b w:val="0"/>
                <w:bCs w:val="0"/>
                <w:color w:val="auto"/>
                <w:sz w:val="24"/>
                <w:szCs w:val="24"/>
                <w:highlight w:val="none"/>
                <w:lang w:val="en-US" w:eastAsia="zh-CN"/>
              </w:rPr>
              <w:t>注：提供融合生产的技术方案。</w:t>
            </w:r>
          </w:p>
        </w:tc>
        <w:tc>
          <w:tcPr>
            <w:tcW w:w="720" w:type="dxa"/>
            <w:vAlign w:val="center"/>
          </w:tcPr>
          <w:p w14:paraId="7271D117">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003" w:type="dxa"/>
            <w:vAlign w:val="center"/>
          </w:tcPr>
          <w:p w14:paraId="37EE2BF5">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933" w:type="dxa"/>
            <w:vAlign w:val="center"/>
          </w:tcPr>
          <w:p w14:paraId="65331BD3">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技术分</w:t>
            </w:r>
          </w:p>
        </w:tc>
      </w:tr>
      <w:tr w14:paraId="18B0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52B5D44B">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p>
        </w:tc>
        <w:tc>
          <w:tcPr>
            <w:tcW w:w="4754" w:type="dxa"/>
          </w:tcPr>
          <w:p w14:paraId="68F74F2D">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根据投标人提供的智慧资源的技术方案进行判定评分：</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①技术方案完全符合招标需求，具备先进性、实用性、合理性、高可行性的得3分；</w:t>
            </w:r>
          </w:p>
          <w:p w14:paraId="47017530">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②技术方案比较符合招标需求，能够满足项目实施需要，无明显的缺陷的得2分；</w:t>
            </w:r>
          </w:p>
          <w:p w14:paraId="02588D5E">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③技术方案简单，不能良好满足项目需求的得1分；</w:t>
            </w:r>
          </w:p>
          <w:p w14:paraId="14CC5BAF">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④未提供的不得分。</w:t>
            </w:r>
          </w:p>
          <w:p w14:paraId="39E095E8">
            <w:pPr>
              <w:pStyle w:val="61"/>
              <w:pageBreakBefore w:val="0"/>
              <w:kinsoku/>
              <w:wordWrap/>
              <w:overflowPunct/>
              <w:topLinePunct w:val="0"/>
              <w:autoSpaceDE/>
              <w:autoSpaceDN/>
              <w:bidi w:val="0"/>
              <w:snapToGrid/>
              <w:spacing w:after="0" w:line="400" w:lineRule="exact"/>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注：提供</w:t>
            </w:r>
            <w:r>
              <w:rPr>
                <w:rFonts w:hint="eastAsia" w:ascii="宋体" w:hAnsi="宋体" w:eastAsia="宋体" w:cs="宋体"/>
                <w:b w:val="0"/>
                <w:bCs w:val="0"/>
                <w:color w:val="auto"/>
                <w:sz w:val="24"/>
                <w:szCs w:val="24"/>
                <w:highlight w:val="none"/>
              </w:rPr>
              <w:t>智慧资源</w:t>
            </w:r>
            <w:r>
              <w:rPr>
                <w:rFonts w:hint="eastAsia" w:ascii="宋体" w:hAnsi="宋体" w:eastAsia="宋体" w:cs="宋体"/>
                <w:b w:val="0"/>
                <w:bCs w:val="0"/>
                <w:color w:val="auto"/>
                <w:sz w:val="24"/>
                <w:szCs w:val="24"/>
                <w:highlight w:val="none"/>
                <w:lang w:val="en-US" w:eastAsia="zh-CN"/>
              </w:rPr>
              <w:t>的技术方案。</w:t>
            </w:r>
          </w:p>
        </w:tc>
        <w:tc>
          <w:tcPr>
            <w:tcW w:w="720" w:type="dxa"/>
            <w:vAlign w:val="center"/>
          </w:tcPr>
          <w:p w14:paraId="320EBDBE">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003" w:type="dxa"/>
            <w:vAlign w:val="center"/>
          </w:tcPr>
          <w:p w14:paraId="1D1AC9ED">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933" w:type="dxa"/>
            <w:vAlign w:val="center"/>
          </w:tcPr>
          <w:p w14:paraId="4ADCA598">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技术分</w:t>
            </w:r>
          </w:p>
        </w:tc>
      </w:tr>
      <w:tr w14:paraId="3246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21771DF8">
            <w:pPr>
              <w:pageBreakBefore w:val="0"/>
              <w:kinsoku/>
              <w:wordWrap/>
              <w:overflowPunct/>
              <w:topLinePunct w:val="0"/>
              <w:autoSpaceDE/>
              <w:autoSpaceDN/>
              <w:bidi w:val="0"/>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p>
        </w:tc>
        <w:tc>
          <w:tcPr>
            <w:tcW w:w="4754" w:type="dxa"/>
          </w:tcPr>
          <w:p w14:paraId="024BB40A">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根据投标人提供的电视文稿的技术方案进行判定评分：</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①技术方案完全符合招标需求，具备先进性、实用性、合理性、高可行性的得3分；</w:t>
            </w:r>
          </w:p>
          <w:p w14:paraId="40514003">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②技术方案比较符合招标需求，能够满足项目实施需要，无明显的缺陷的得2分；</w:t>
            </w:r>
          </w:p>
          <w:p w14:paraId="367DD050">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③技术方案简单，不能良好满足项目需求的得1分；</w:t>
            </w:r>
          </w:p>
          <w:p w14:paraId="36089063">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④未提供的不得分。</w:t>
            </w:r>
          </w:p>
          <w:p w14:paraId="690B7C68">
            <w:pPr>
              <w:pStyle w:val="61"/>
              <w:pageBreakBefore w:val="0"/>
              <w:kinsoku/>
              <w:wordWrap/>
              <w:overflowPunct/>
              <w:topLinePunct w:val="0"/>
              <w:autoSpaceDE/>
              <w:autoSpaceDN/>
              <w:bidi w:val="0"/>
              <w:snapToGrid/>
              <w:spacing w:after="0"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注：提供</w:t>
            </w:r>
            <w:r>
              <w:rPr>
                <w:rFonts w:hint="eastAsia" w:ascii="宋体" w:hAnsi="宋体" w:eastAsia="宋体" w:cs="宋体"/>
                <w:b w:val="0"/>
                <w:bCs w:val="0"/>
                <w:color w:val="auto"/>
                <w:sz w:val="24"/>
                <w:szCs w:val="24"/>
                <w:highlight w:val="none"/>
              </w:rPr>
              <w:t>电视文稿</w:t>
            </w:r>
            <w:r>
              <w:rPr>
                <w:rFonts w:hint="eastAsia" w:ascii="宋体" w:hAnsi="宋体" w:eastAsia="宋体" w:cs="宋体"/>
                <w:b w:val="0"/>
                <w:bCs w:val="0"/>
                <w:color w:val="auto"/>
                <w:sz w:val="24"/>
                <w:szCs w:val="24"/>
                <w:highlight w:val="none"/>
                <w:lang w:val="en-US" w:eastAsia="zh-CN"/>
              </w:rPr>
              <w:t>的技术方案。</w:t>
            </w:r>
          </w:p>
        </w:tc>
        <w:tc>
          <w:tcPr>
            <w:tcW w:w="720" w:type="dxa"/>
            <w:vAlign w:val="center"/>
          </w:tcPr>
          <w:p w14:paraId="6A3D57B9">
            <w:pPr>
              <w:pageBreakBefore w:val="0"/>
              <w:kinsoku/>
              <w:wordWrap/>
              <w:overflowPunct/>
              <w:topLinePunct w:val="0"/>
              <w:autoSpaceDE/>
              <w:autoSpaceDN/>
              <w:bidi w:val="0"/>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1003" w:type="dxa"/>
            <w:vAlign w:val="center"/>
          </w:tcPr>
          <w:p w14:paraId="7934AA68">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c>
          <w:tcPr>
            <w:tcW w:w="1933" w:type="dxa"/>
            <w:vAlign w:val="center"/>
          </w:tcPr>
          <w:p w14:paraId="15BD714C">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技术分</w:t>
            </w:r>
          </w:p>
        </w:tc>
      </w:tr>
      <w:tr w14:paraId="73EF0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0E5C789E">
            <w:pPr>
              <w:pageBreakBefore w:val="0"/>
              <w:kinsoku/>
              <w:wordWrap/>
              <w:overflowPunct/>
              <w:topLinePunct w:val="0"/>
              <w:autoSpaceDE/>
              <w:autoSpaceDN/>
              <w:bidi w:val="0"/>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w:t>
            </w:r>
          </w:p>
        </w:tc>
        <w:tc>
          <w:tcPr>
            <w:tcW w:w="4754" w:type="dxa"/>
          </w:tcPr>
          <w:p w14:paraId="6B241E83">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根据投标人提供的指挥监测服务-驾驶舱大屏的技术方案进行判定评分：</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①技术方案完全符合招标需求，具备先进性、实用性、合理性、高可行性的得3分；</w:t>
            </w:r>
          </w:p>
          <w:p w14:paraId="3CA81279">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②技术方案比较符合招标需求，能够满足项目实施需要，无明显的缺陷的得2分；</w:t>
            </w:r>
          </w:p>
          <w:p w14:paraId="49705737">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③技术方案简单，不能良好满足项目需求的得1分；</w:t>
            </w:r>
          </w:p>
          <w:p w14:paraId="26C18C3C">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④未提供的不得分。</w:t>
            </w:r>
          </w:p>
          <w:p w14:paraId="219CA158">
            <w:pPr>
              <w:pStyle w:val="61"/>
              <w:pageBreakBefore w:val="0"/>
              <w:kinsoku/>
              <w:wordWrap/>
              <w:overflowPunct/>
              <w:topLinePunct w:val="0"/>
              <w:autoSpaceDE/>
              <w:autoSpaceDN/>
              <w:bidi w:val="0"/>
              <w:snapToGrid/>
              <w:spacing w:after="0"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注：提供</w:t>
            </w:r>
            <w:r>
              <w:rPr>
                <w:rFonts w:hint="eastAsia" w:ascii="宋体" w:hAnsi="宋体" w:eastAsia="宋体" w:cs="宋体"/>
                <w:b w:val="0"/>
                <w:bCs w:val="0"/>
                <w:color w:val="auto"/>
                <w:sz w:val="24"/>
                <w:szCs w:val="24"/>
                <w:highlight w:val="none"/>
              </w:rPr>
              <w:t>指挥监测服务-驾驶舱大屏</w:t>
            </w:r>
            <w:r>
              <w:rPr>
                <w:rFonts w:hint="eastAsia" w:ascii="宋体" w:hAnsi="宋体" w:eastAsia="宋体" w:cs="宋体"/>
                <w:b w:val="0"/>
                <w:bCs w:val="0"/>
                <w:color w:val="auto"/>
                <w:sz w:val="24"/>
                <w:szCs w:val="24"/>
                <w:highlight w:val="none"/>
                <w:lang w:val="en-US" w:eastAsia="zh-CN"/>
              </w:rPr>
              <w:t>的技术方案。</w:t>
            </w:r>
          </w:p>
        </w:tc>
        <w:tc>
          <w:tcPr>
            <w:tcW w:w="720" w:type="dxa"/>
            <w:vAlign w:val="center"/>
          </w:tcPr>
          <w:p w14:paraId="519D6FB9">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1003" w:type="dxa"/>
            <w:vAlign w:val="center"/>
          </w:tcPr>
          <w:p w14:paraId="36FABAA5">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c>
          <w:tcPr>
            <w:tcW w:w="1933" w:type="dxa"/>
            <w:vAlign w:val="center"/>
          </w:tcPr>
          <w:p w14:paraId="2D131562">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技术分</w:t>
            </w:r>
          </w:p>
        </w:tc>
      </w:tr>
      <w:tr w14:paraId="521C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7112B80E">
            <w:pPr>
              <w:pageBreakBefore w:val="0"/>
              <w:kinsoku/>
              <w:wordWrap/>
              <w:overflowPunct/>
              <w:topLinePunct w:val="0"/>
              <w:autoSpaceDE/>
              <w:autoSpaceDN/>
              <w:bidi w:val="0"/>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w:t>
            </w:r>
          </w:p>
        </w:tc>
        <w:tc>
          <w:tcPr>
            <w:tcW w:w="4754" w:type="dxa"/>
          </w:tcPr>
          <w:p w14:paraId="1F3AFBB7">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根据投标人提供的指挥监测服务-微融站定制屏的技术方案进行判定评分：</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①技术方案完全符合招标需求，具备先进性、实用性、合理性、高可行性的得3分；</w:t>
            </w:r>
          </w:p>
          <w:p w14:paraId="355F0039">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②技术方案比较符合招标需求，能够满足项目实施需要，无明显的缺陷的得2分；</w:t>
            </w:r>
          </w:p>
          <w:p w14:paraId="29E800F8">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③技术方案简单，不能良好满足项目需求的得1分；</w:t>
            </w:r>
          </w:p>
          <w:p w14:paraId="6B4F928E">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④未提供的不得分。</w:t>
            </w:r>
          </w:p>
          <w:p w14:paraId="5EC25FDE">
            <w:pPr>
              <w:pStyle w:val="61"/>
              <w:pageBreakBefore w:val="0"/>
              <w:kinsoku/>
              <w:wordWrap/>
              <w:overflowPunct/>
              <w:topLinePunct w:val="0"/>
              <w:autoSpaceDE/>
              <w:autoSpaceDN/>
              <w:bidi w:val="0"/>
              <w:snapToGrid/>
              <w:spacing w:after="0"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注：提供</w:t>
            </w:r>
            <w:r>
              <w:rPr>
                <w:rFonts w:hint="eastAsia" w:ascii="宋体" w:hAnsi="宋体" w:eastAsia="宋体" w:cs="宋体"/>
                <w:b w:val="0"/>
                <w:bCs w:val="0"/>
                <w:color w:val="auto"/>
                <w:sz w:val="24"/>
                <w:szCs w:val="24"/>
                <w:highlight w:val="none"/>
              </w:rPr>
              <w:t>指挥监测服务-微融站定制屏</w:t>
            </w:r>
            <w:r>
              <w:rPr>
                <w:rFonts w:hint="eastAsia" w:ascii="宋体" w:hAnsi="宋体" w:eastAsia="宋体" w:cs="宋体"/>
                <w:b w:val="0"/>
                <w:bCs w:val="0"/>
                <w:color w:val="auto"/>
                <w:sz w:val="24"/>
                <w:szCs w:val="24"/>
                <w:highlight w:val="none"/>
                <w:lang w:val="en-US" w:eastAsia="zh-CN"/>
              </w:rPr>
              <w:t>的技术方案。</w:t>
            </w:r>
          </w:p>
        </w:tc>
        <w:tc>
          <w:tcPr>
            <w:tcW w:w="720" w:type="dxa"/>
            <w:vAlign w:val="center"/>
          </w:tcPr>
          <w:p w14:paraId="64E1E734">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1003" w:type="dxa"/>
            <w:vAlign w:val="center"/>
          </w:tcPr>
          <w:p w14:paraId="7B2FE14A">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c>
          <w:tcPr>
            <w:tcW w:w="1933" w:type="dxa"/>
            <w:vAlign w:val="center"/>
          </w:tcPr>
          <w:p w14:paraId="0788486A">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技术分</w:t>
            </w:r>
          </w:p>
        </w:tc>
      </w:tr>
      <w:tr w14:paraId="327F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203398BC">
            <w:pPr>
              <w:pageBreakBefore w:val="0"/>
              <w:kinsoku/>
              <w:wordWrap/>
              <w:overflowPunct/>
              <w:topLinePunct w:val="0"/>
              <w:autoSpaceDE/>
              <w:autoSpaceDN/>
              <w:bidi w:val="0"/>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11</w:t>
            </w:r>
          </w:p>
        </w:tc>
        <w:tc>
          <w:tcPr>
            <w:tcW w:w="4754" w:type="dxa"/>
          </w:tcPr>
          <w:p w14:paraId="5817020D">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根据投标人提供的传播引导工具的技术方案进行判定评分：</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①技术方案完全符合招标需求，具备先进性、实用性、合理性、高可行性的得3分；</w:t>
            </w:r>
          </w:p>
          <w:p w14:paraId="7B25B014">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②技术方案比较符合招标需求，能够满足项目实施需要，无明显的缺陷的得2分；</w:t>
            </w:r>
          </w:p>
          <w:p w14:paraId="28629EC4">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③技术方案简单，不能良好满足项目需求的得1分；</w:t>
            </w:r>
          </w:p>
          <w:p w14:paraId="1AC5DD53">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④未提供的不得分。</w:t>
            </w:r>
          </w:p>
          <w:p w14:paraId="77DCDC73">
            <w:pPr>
              <w:pStyle w:val="61"/>
              <w:pageBreakBefore w:val="0"/>
              <w:kinsoku/>
              <w:wordWrap/>
              <w:overflowPunct/>
              <w:topLinePunct w:val="0"/>
              <w:autoSpaceDE/>
              <w:autoSpaceDN/>
              <w:bidi w:val="0"/>
              <w:snapToGrid/>
              <w:spacing w:after="0" w:line="400" w:lineRule="exact"/>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注：提供</w:t>
            </w:r>
            <w:r>
              <w:rPr>
                <w:rFonts w:hint="eastAsia" w:ascii="宋体" w:hAnsi="宋体" w:eastAsia="宋体" w:cs="宋体"/>
                <w:b w:val="0"/>
                <w:bCs w:val="0"/>
                <w:color w:val="auto"/>
                <w:sz w:val="24"/>
                <w:szCs w:val="24"/>
                <w:highlight w:val="none"/>
              </w:rPr>
              <w:t>传播引导工具</w:t>
            </w:r>
            <w:r>
              <w:rPr>
                <w:rFonts w:hint="eastAsia" w:ascii="宋体" w:hAnsi="宋体" w:eastAsia="宋体" w:cs="宋体"/>
                <w:b w:val="0"/>
                <w:bCs w:val="0"/>
                <w:color w:val="auto"/>
                <w:sz w:val="24"/>
                <w:szCs w:val="24"/>
                <w:highlight w:val="none"/>
                <w:lang w:val="en-US" w:eastAsia="zh-CN"/>
              </w:rPr>
              <w:t>的技术方案。</w:t>
            </w:r>
          </w:p>
        </w:tc>
        <w:tc>
          <w:tcPr>
            <w:tcW w:w="720" w:type="dxa"/>
            <w:vAlign w:val="center"/>
          </w:tcPr>
          <w:p w14:paraId="74052D18">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003" w:type="dxa"/>
            <w:vAlign w:val="center"/>
          </w:tcPr>
          <w:p w14:paraId="76F2A2F6">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933" w:type="dxa"/>
            <w:vAlign w:val="center"/>
          </w:tcPr>
          <w:p w14:paraId="34544625">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技术分</w:t>
            </w:r>
          </w:p>
        </w:tc>
      </w:tr>
      <w:tr w14:paraId="05A3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65CDFFC4">
            <w:pPr>
              <w:pageBreakBefore w:val="0"/>
              <w:kinsoku/>
              <w:wordWrap/>
              <w:overflowPunct/>
              <w:topLinePunct w:val="0"/>
              <w:autoSpaceDE/>
              <w:autoSpaceDN/>
              <w:bidi w:val="0"/>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12</w:t>
            </w:r>
          </w:p>
        </w:tc>
        <w:tc>
          <w:tcPr>
            <w:tcW w:w="4754" w:type="dxa"/>
          </w:tcPr>
          <w:p w14:paraId="319A99AF">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根据投标人提供的纸媒采编的技术方案进行判定评分：</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①技术方案完全符合招标需求，具备先进性、实用性、合理性、高可行性的得3分；</w:t>
            </w:r>
          </w:p>
          <w:p w14:paraId="7A14EB8C">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②技术方案比较符合招标需求，能够满足项目实施需要，无明显的缺陷的得2分；</w:t>
            </w:r>
          </w:p>
          <w:p w14:paraId="1C9F2392">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③技术方案简单，不能良好满足项目需求的得1分；</w:t>
            </w:r>
          </w:p>
          <w:p w14:paraId="532BD675">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④未提供的不得分。</w:t>
            </w:r>
          </w:p>
          <w:p w14:paraId="61C27E74">
            <w:pPr>
              <w:pStyle w:val="61"/>
              <w:pageBreakBefore w:val="0"/>
              <w:kinsoku/>
              <w:wordWrap/>
              <w:overflowPunct/>
              <w:topLinePunct w:val="0"/>
              <w:autoSpaceDE/>
              <w:autoSpaceDN/>
              <w:bidi w:val="0"/>
              <w:snapToGrid/>
              <w:spacing w:after="0"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注：提供</w:t>
            </w:r>
            <w:r>
              <w:rPr>
                <w:rFonts w:hint="eastAsia" w:ascii="宋体" w:hAnsi="宋体" w:eastAsia="宋体" w:cs="宋体"/>
                <w:b w:val="0"/>
                <w:bCs w:val="0"/>
                <w:color w:val="auto"/>
                <w:sz w:val="24"/>
                <w:szCs w:val="24"/>
                <w:highlight w:val="none"/>
              </w:rPr>
              <w:t>纸媒采编</w:t>
            </w:r>
            <w:r>
              <w:rPr>
                <w:rFonts w:hint="eastAsia" w:ascii="宋体" w:hAnsi="宋体" w:eastAsia="宋体" w:cs="宋体"/>
                <w:b w:val="0"/>
                <w:bCs w:val="0"/>
                <w:color w:val="auto"/>
                <w:sz w:val="24"/>
                <w:szCs w:val="24"/>
                <w:highlight w:val="none"/>
                <w:lang w:val="en-US" w:eastAsia="zh-CN"/>
              </w:rPr>
              <w:t>的技术方案。</w:t>
            </w:r>
          </w:p>
        </w:tc>
        <w:tc>
          <w:tcPr>
            <w:tcW w:w="720" w:type="dxa"/>
            <w:vAlign w:val="center"/>
          </w:tcPr>
          <w:p w14:paraId="3124FF65">
            <w:pPr>
              <w:pageBreakBefore w:val="0"/>
              <w:kinsoku/>
              <w:wordWrap/>
              <w:overflowPunct/>
              <w:topLinePunct w:val="0"/>
              <w:autoSpaceDE/>
              <w:autoSpaceDN/>
              <w:bidi w:val="0"/>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003" w:type="dxa"/>
            <w:vAlign w:val="center"/>
          </w:tcPr>
          <w:p w14:paraId="065D9F94">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c>
          <w:tcPr>
            <w:tcW w:w="1933" w:type="dxa"/>
            <w:vAlign w:val="center"/>
          </w:tcPr>
          <w:p w14:paraId="1248018D">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技术分</w:t>
            </w:r>
          </w:p>
        </w:tc>
      </w:tr>
      <w:tr w14:paraId="5224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1A7863FA">
            <w:pPr>
              <w:pageBreakBefore w:val="0"/>
              <w:kinsoku/>
              <w:wordWrap/>
              <w:overflowPunct/>
              <w:topLinePunct w:val="0"/>
              <w:autoSpaceDE/>
              <w:autoSpaceDN/>
              <w:bidi w:val="0"/>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13</w:t>
            </w:r>
          </w:p>
        </w:tc>
        <w:tc>
          <w:tcPr>
            <w:tcW w:w="4754" w:type="dxa"/>
          </w:tcPr>
          <w:p w14:paraId="0E783158">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根据投标人提供的新媒体字库的技术方案进行判定评分：</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①技术方案完全符合招标需求，具备先进性、实用性、合理性、高可行性的得3分；</w:t>
            </w:r>
          </w:p>
          <w:p w14:paraId="08AD326F">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②技术方案比较符合招标需求，能够满足项目实施需要，无明显的缺陷的得2分；</w:t>
            </w:r>
          </w:p>
          <w:p w14:paraId="56E3F9F2">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③技术方案简单，不能良好满足项目需求的得1分；</w:t>
            </w:r>
          </w:p>
          <w:p w14:paraId="38534517">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④未提供的不得分。</w:t>
            </w:r>
          </w:p>
          <w:p w14:paraId="39A8B487">
            <w:pPr>
              <w:pStyle w:val="61"/>
              <w:pageBreakBefore w:val="0"/>
              <w:kinsoku/>
              <w:wordWrap/>
              <w:overflowPunct/>
              <w:topLinePunct w:val="0"/>
              <w:autoSpaceDE/>
              <w:autoSpaceDN/>
              <w:bidi w:val="0"/>
              <w:snapToGrid/>
              <w:spacing w:after="0"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注：提供</w:t>
            </w:r>
            <w:r>
              <w:rPr>
                <w:rFonts w:hint="eastAsia" w:ascii="宋体" w:hAnsi="宋体" w:eastAsia="宋体" w:cs="宋体"/>
                <w:b w:val="0"/>
                <w:bCs w:val="0"/>
                <w:color w:val="auto"/>
                <w:sz w:val="24"/>
                <w:szCs w:val="24"/>
                <w:highlight w:val="none"/>
              </w:rPr>
              <w:t>新媒体字库</w:t>
            </w:r>
            <w:r>
              <w:rPr>
                <w:rFonts w:hint="eastAsia" w:ascii="宋体" w:hAnsi="宋体" w:eastAsia="宋体" w:cs="宋体"/>
                <w:b w:val="0"/>
                <w:bCs w:val="0"/>
                <w:color w:val="auto"/>
                <w:sz w:val="24"/>
                <w:szCs w:val="24"/>
                <w:highlight w:val="none"/>
                <w:lang w:val="en-US" w:eastAsia="zh-CN"/>
              </w:rPr>
              <w:t>的技术方案。</w:t>
            </w:r>
          </w:p>
        </w:tc>
        <w:tc>
          <w:tcPr>
            <w:tcW w:w="720" w:type="dxa"/>
            <w:vAlign w:val="center"/>
          </w:tcPr>
          <w:p w14:paraId="3327A041">
            <w:pPr>
              <w:pageBreakBefore w:val="0"/>
              <w:kinsoku/>
              <w:wordWrap/>
              <w:overflowPunct/>
              <w:topLinePunct w:val="0"/>
              <w:autoSpaceDE/>
              <w:autoSpaceDN/>
              <w:bidi w:val="0"/>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003" w:type="dxa"/>
            <w:vAlign w:val="center"/>
          </w:tcPr>
          <w:p w14:paraId="575BFC7A">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c>
          <w:tcPr>
            <w:tcW w:w="1933" w:type="dxa"/>
            <w:vAlign w:val="center"/>
          </w:tcPr>
          <w:p w14:paraId="052FD64B">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技术分</w:t>
            </w:r>
          </w:p>
        </w:tc>
      </w:tr>
      <w:tr w14:paraId="511E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765D8311">
            <w:pPr>
              <w:pageBreakBefore w:val="0"/>
              <w:kinsoku/>
              <w:wordWrap/>
              <w:overflowPunct/>
              <w:topLinePunct w:val="0"/>
              <w:autoSpaceDE/>
              <w:autoSpaceDN/>
              <w:bidi w:val="0"/>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14</w:t>
            </w:r>
          </w:p>
        </w:tc>
        <w:tc>
          <w:tcPr>
            <w:tcW w:w="4754" w:type="dxa"/>
          </w:tcPr>
          <w:p w14:paraId="38E9508F">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根据投标人提供的流量存储（含云存储；点播、直播流量；云转码）的技术方案进行判定评分：</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①技术方案完全符合招标需求，具备先进性、实用性、合理性、高可行性的得3分；</w:t>
            </w:r>
          </w:p>
          <w:p w14:paraId="59CAD931">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②技术方案比较符合招标需求，能够满足项目实施需要，无明显的缺陷的得2分；</w:t>
            </w:r>
          </w:p>
          <w:p w14:paraId="43967EE3">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③技术方案简单，不能良好满足项目需求的得1分；</w:t>
            </w:r>
          </w:p>
          <w:p w14:paraId="081CF08F">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④未提供的不得分。</w:t>
            </w:r>
          </w:p>
          <w:p w14:paraId="0103C7F5">
            <w:pPr>
              <w:pStyle w:val="61"/>
              <w:pageBreakBefore w:val="0"/>
              <w:kinsoku/>
              <w:wordWrap/>
              <w:overflowPunct/>
              <w:topLinePunct w:val="0"/>
              <w:autoSpaceDE/>
              <w:autoSpaceDN/>
              <w:bidi w:val="0"/>
              <w:snapToGrid/>
              <w:spacing w:after="0" w:line="400" w:lineRule="exact"/>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注：提供流量存储的技术方案。</w:t>
            </w:r>
          </w:p>
        </w:tc>
        <w:tc>
          <w:tcPr>
            <w:tcW w:w="720" w:type="dxa"/>
            <w:vAlign w:val="center"/>
          </w:tcPr>
          <w:p w14:paraId="34686090">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003" w:type="dxa"/>
            <w:vAlign w:val="center"/>
          </w:tcPr>
          <w:p w14:paraId="6F3C66B7">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933" w:type="dxa"/>
            <w:vAlign w:val="center"/>
          </w:tcPr>
          <w:p w14:paraId="54210EEC">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技术分</w:t>
            </w:r>
          </w:p>
        </w:tc>
      </w:tr>
      <w:tr w14:paraId="36F8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695BA504">
            <w:pPr>
              <w:pageBreakBefore w:val="0"/>
              <w:kinsoku/>
              <w:wordWrap/>
              <w:overflowPunct/>
              <w:topLinePunct w:val="0"/>
              <w:autoSpaceDE/>
              <w:autoSpaceDN/>
              <w:bidi w:val="0"/>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15</w:t>
            </w:r>
          </w:p>
        </w:tc>
        <w:tc>
          <w:tcPr>
            <w:tcW w:w="4754" w:type="dxa"/>
            <w:vAlign w:val="top"/>
          </w:tcPr>
          <w:p w14:paraId="7F4EBD4A">
            <w:pPr>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根据投标人提供的融媒体中心系统维护服务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非编系统维护</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网络设备维护</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存储维护</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信息发布维护</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媒资维护</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网安设备维护服务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与采购需求的符合程度</w:t>
            </w:r>
            <w:r>
              <w:rPr>
                <w:rFonts w:hint="eastAsia" w:ascii="宋体" w:hAnsi="宋体" w:eastAsia="宋体" w:cs="宋体"/>
                <w:color w:val="auto"/>
                <w:sz w:val="24"/>
                <w:szCs w:val="24"/>
                <w:highlight w:val="none"/>
                <w:lang w:val="en-US" w:eastAsia="zh-CN"/>
              </w:rPr>
              <w:t>进行判定评分：</w:t>
            </w:r>
          </w:p>
          <w:p w14:paraId="0313519D">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①内容完全满足采购需求且合理可行的，得3分；</w:t>
            </w:r>
          </w:p>
          <w:p w14:paraId="61DD7603">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②部分内容及措施有欠缺但基本合理可行的，得2分；</w:t>
            </w:r>
          </w:p>
          <w:p w14:paraId="48392657">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③内容及措施不全面或合理可行性有欠缺的，得1分；</w:t>
            </w:r>
          </w:p>
          <w:p w14:paraId="01682832">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④未提供的不得分。</w:t>
            </w:r>
          </w:p>
          <w:p w14:paraId="693E3926">
            <w:pPr>
              <w:pStyle w:val="61"/>
              <w:pageBreakBefore w:val="0"/>
              <w:kinsoku/>
              <w:wordWrap/>
              <w:overflowPunct/>
              <w:topLinePunct w:val="0"/>
              <w:autoSpaceDE/>
              <w:autoSpaceDN/>
              <w:bidi w:val="0"/>
              <w:snapToGrid/>
              <w:spacing w:after="0" w:line="400" w:lineRule="exact"/>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注：提供</w:t>
            </w:r>
            <w:r>
              <w:rPr>
                <w:rFonts w:hint="eastAsia" w:ascii="宋体" w:hAnsi="宋体" w:eastAsia="宋体" w:cs="宋体"/>
                <w:color w:val="auto"/>
                <w:sz w:val="24"/>
                <w:szCs w:val="24"/>
                <w:highlight w:val="none"/>
              </w:rPr>
              <w:t>融媒体中心系统维护服务</w:t>
            </w:r>
            <w:r>
              <w:rPr>
                <w:rFonts w:hint="eastAsia" w:ascii="宋体" w:hAnsi="宋体" w:eastAsia="宋体" w:cs="宋体"/>
                <w:color w:val="auto"/>
                <w:sz w:val="24"/>
                <w:szCs w:val="24"/>
                <w:highlight w:val="none"/>
                <w:lang w:val="en-US" w:eastAsia="zh-CN"/>
              </w:rPr>
              <w:t>方案。</w:t>
            </w:r>
          </w:p>
        </w:tc>
        <w:tc>
          <w:tcPr>
            <w:tcW w:w="720" w:type="dxa"/>
            <w:vAlign w:val="center"/>
          </w:tcPr>
          <w:p w14:paraId="1C869B9B">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003" w:type="dxa"/>
            <w:vAlign w:val="center"/>
          </w:tcPr>
          <w:p w14:paraId="171D5C14">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933" w:type="dxa"/>
            <w:vAlign w:val="center"/>
          </w:tcPr>
          <w:p w14:paraId="6D753C16">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技术分</w:t>
            </w:r>
          </w:p>
        </w:tc>
      </w:tr>
      <w:tr w14:paraId="6125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jc w:val="center"/>
        </w:trPr>
        <w:tc>
          <w:tcPr>
            <w:tcW w:w="748" w:type="dxa"/>
            <w:vAlign w:val="center"/>
          </w:tcPr>
          <w:p w14:paraId="329213B5">
            <w:pPr>
              <w:pageBreakBefore w:val="0"/>
              <w:kinsoku/>
              <w:wordWrap/>
              <w:overflowPunct/>
              <w:topLinePunct w:val="0"/>
              <w:autoSpaceDE/>
              <w:autoSpaceDN/>
              <w:bidi w:val="0"/>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16</w:t>
            </w:r>
          </w:p>
        </w:tc>
        <w:tc>
          <w:tcPr>
            <w:tcW w:w="4754" w:type="dxa"/>
            <w:vAlign w:val="top"/>
          </w:tcPr>
          <w:p w14:paraId="23A334A1">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根据投标人提供的广电业务管理底座的技术方案进行判定评分：</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①技术方案完全符合招标需求，具备先进性、实用性、合理性、高可行性的得3分；</w:t>
            </w:r>
          </w:p>
          <w:p w14:paraId="277A2196">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②技术方案比较符合招标需求，能够满足项目实施需要，无明显的缺陷的得2分；</w:t>
            </w:r>
          </w:p>
          <w:p w14:paraId="73DF63B8">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③技术方案简单，不能良好满足项目需求的得1分；</w:t>
            </w:r>
          </w:p>
          <w:p w14:paraId="0FCF03A4">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④未提供的不得分。</w:t>
            </w:r>
          </w:p>
          <w:p w14:paraId="2C59057C">
            <w:pPr>
              <w:pStyle w:val="61"/>
              <w:pageBreakBefore w:val="0"/>
              <w:kinsoku/>
              <w:wordWrap/>
              <w:overflowPunct/>
              <w:topLinePunct w:val="0"/>
              <w:autoSpaceDE/>
              <w:autoSpaceDN/>
              <w:bidi w:val="0"/>
              <w:snapToGrid/>
              <w:spacing w:after="0" w:line="400" w:lineRule="exact"/>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注：提供广电业务管理底座的技术方案。</w:t>
            </w:r>
          </w:p>
        </w:tc>
        <w:tc>
          <w:tcPr>
            <w:tcW w:w="720" w:type="dxa"/>
            <w:vAlign w:val="center"/>
          </w:tcPr>
          <w:p w14:paraId="09CEC72B">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003" w:type="dxa"/>
            <w:vAlign w:val="center"/>
          </w:tcPr>
          <w:p w14:paraId="450C4CFA">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933" w:type="dxa"/>
            <w:vAlign w:val="center"/>
          </w:tcPr>
          <w:p w14:paraId="6004C5B5">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技术分</w:t>
            </w:r>
          </w:p>
        </w:tc>
      </w:tr>
      <w:tr w14:paraId="437C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jc w:val="center"/>
        </w:trPr>
        <w:tc>
          <w:tcPr>
            <w:tcW w:w="748" w:type="dxa"/>
            <w:vAlign w:val="center"/>
          </w:tcPr>
          <w:p w14:paraId="5222ED4E">
            <w:pPr>
              <w:pageBreakBefore w:val="0"/>
              <w:kinsoku/>
              <w:wordWrap/>
              <w:overflowPunct/>
              <w:topLinePunct w:val="0"/>
              <w:autoSpaceDE/>
              <w:autoSpaceDN/>
              <w:bidi w:val="0"/>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17</w:t>
            </w:r>
          </w:p>
        </w:tc>
        <w:tc>
          <w:tcPr>
            <w:tcW w:w="4754" w:type="dxa"/>
            <w:shd w:val="clear" w:color="auto" w:fill="auto"/>
            <w:vAlign w:val="top"/>
          </w:tcPr>
          <w:p w14:paraId="5E5E99F8">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根据投标人提供的广电业务生产底座的技术方案进行判定评分：</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①技术方案完全符合招标需求，具备先进性、实用性、合理性、高可行性的得3分；</w:t>
            </w:r>
          </w:p>
          <w:p w14:paraId="72D08A84">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②技术方案比较符合招标需求，能够满足项目实施需要，无明显的缺陷的得2分；</w:t>
            </w:r>
          </w:p>
          <w:p w14:paraId="518816FF">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③技术方案简单，不能良好满足项目需求的得1分；</w:t>
            </w:r>
          </w:p>
          <w:p w14:paraId="0391FAC9">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④未提供的不得分。</w:t>
            </w:r>
          </w:p>
          <w:p w14:paraId="1597F820">
            <w:pPr>
              <w:pStyle w:val="61"/>
              <w:pageBreakBefore w:val="0"/>
              <w:kinsoku/>
              <w:wordWrap/>
              <w:overflowPunct/>
              <w:topLinePunct w:val="0"/>
              <w:autoSpaceDE/>
              <w:autoSpaceDN/>
              <w:bidi w:val="0"/>
              <w:snapToGrid/>
              <w:spacing w:after="0" w:line="400" w:lineRule="exact"/>
              <w:ind w:left="0" w:leftChars="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注：提供广电业务生产底座的技术方案。</w:t>
            </w:r>
          </w:p>
        </w:tc>
        <w:tc>
          <w:tcPr>
            <w:tcW w:w="720" w:type="dxa"/>
            <w:vAlign w:val="center"/>
          </w:tcPr>
          <w:p w14:paraId="45C45246">
            <w:pPr>
              <w:pageBreakBefore w:val="0"/>
              <w:kinsoku/>
              <w:wordWrap/>
              <w:overflowPunct/>
              <w:topLinePunct w:val="0"/>
              <w:autoSpaceDE/>
              <w:autoSpaceDN/>
              <w:bidi w:val="0"/>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003" w:type="dxa"/>
            <w:vAlign w:val="center"/>
          </w:tcPr>
          <w:p w14:paraId="7093D0F1">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c>
          <w:tcPr>
            <w:tcW w:w="1933" w:type="dxa"/>
            <w:vAlign w:val="center"/>
          </w:tcPr>
          <w:p w14:paraId="1C8A3295">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技术分</w:t>
            </w:r>
          </w:p>
        </w:tc>
      </w:tr>
      <w:tr w14:paraId="4FE9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6" w:hRule="atLeast"/>
          <w:jc w:val="center"/>
        </w:trPr>
        <w:tc>
          <w:tcPr>
            <w:tcW w:w="748" w:type="dxa"/>
            <w:vAlign w:val="center"/>
          </w:tcPr>
          <w:p w14:paraId="6FF33406">
            <w:pPr>
              <w:pageBreakBefore w:val="0"/>
              <w:kinsoku/>
              <w:wordWrap/>
              <w:overflowPunct/>
              <w:topLinePunct w:val="0"/>
              <w:autoSpaceDE/>
              <w:autoSpaceDN/>
              <w:bidi w:val="0"/>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18</w:t>
            </w:r>
          </w:p>
        </w:tc>
        <w:tc>
          <w:tcPr>
            <w:tcW w:w="4754" w:type="dxa"/>
            <w:vAlign w:val="top"/>
          </w:tcPr>
          <w:p w14:paraId="43D4EBEF">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根据投标人提供的广播电视节目通联的技术方案进行判定评分：</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①技术方案完全符合招标需求，具备先进性、实用性、合理性、高可行性的得3分；</w:t>
            </w:r>
          </w:p>
          <w:p w14:paraId="6DFC32FA">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②技术方案比较符合招标需求，能够满足项目实施需要，无明显的缺陷的得2分；</w:t>
            </w:r>
          </w:p>
          <w:p w14:paraId="47F88305">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③技术方案简单，不能良好满足项目需求的得1分；</w:t>
            </w:r>
          </w:p>
          <w:p w14:paraId="643DEBC8">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④未提供的不得分。</w:t>
            </w:r>
          </w:p>
          <w:p w14:paraId="295EFDFD">
            <w:pPr>
              <w:pStyle w:val="61"/>
              <w:pageBreakBefore w:val="0"/>
              <w:kinsoku/>
              <w:wordWrap/>
              <w:overflowPunct/>
              <w:topLinePunct w:val="0"/>
              <w:autoSpaceDE/>
              <w:autoSpaceDN/>
              <w:bidi w:val="0"/>
              <w:snapToGrid/>
              <w:spacing w:after="0" w:line="400" w:lineRule="exact"/>
              <w:ind w:left="0" w:leftChars="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注：提供广播电视节目通联的技术方案。</w:t>
            </w:r>
          </w:p>
        </w:tc>
        <w:tc>
          <w:tcPr>
            <w:tcW w:w="720" w:type="dxa"/>
            <w:vAlign w:val="center"/>
          </w:tcPr>
          <w:p w14:paraId="5D291119">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003" w:type="dxa"/>
            <w:vAlign w:val="center"/>
          </w:tcPr>
          <w:p w14:paraId="4DF83B67">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933" w:type="dxa"/>
            <w:vAlign w:val="center"/>
          </w:tcPr>
          <w:p w14:paraId="71F025FD">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技术分</w:t>
            </w:r>
          </w:p>
        </w:tc>
      </w:tr>
      <w:tr w14:paraId="1EB3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2BCFF065">
            <w:pPr>
              <w:pageBreakBefore w:val="0"/>
              <w:kinsoku/>
              <w:wordWrap/>
              <w:overflowPunct/>
              <w:topLinePunct w:val="0"/>
              <w:autoSpaceDE/>
              <w:autoSpaceDN/>
              <w:bidi w:val="0"/>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19</w:t>
            </w:r>
          </w:p>
        </w:tc>
        <w:tc>
          <w:tcPr>
            <w:tcW w:w="4754" w:type="dxa"/>
            <w:vAlign w:val="top"/>
          </w:tcPr>
          <w:p w14:paraId="7FB1551E">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根据投标人提供的节目交流系统技术资源服务的技术方案进行判定评分：</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①技术方案完全符合招标需求，具备先进性、实用性、合理性、高可行性的得3分；</w:t>
            </w:r>
          </w:p>
          <w:p w14:paraId="239CDD9F">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②技术方案比较符合招标需求，能够满足项目实施需要，无明显的缺陷的得2分；</w:t>
            </w:r>
          </w:p>
          <w:p w14:paraId="275838E9">
            <w:pPr>
              <w:pStyle w:val="2"/>
              <w:pageBreakBefore w:val="0"/>
              <w:kinsoku/>
              <w:wordWrap/>
              <w:overflowPunct/>
              <w:topLinePunct w:val="0"/>
              <w:autoSpaceDE/>
              <w:autoSpaceDN/>
              <w:bidi w:val="0"/>
              <w:snapToGrid/>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③技术方案简单，不能良好满足项目需求的得1分；</w:t>
            </w:r>
          </w:p>
          <w:p w14:paraId="4C9584DB">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④未提供的不得分。</w:t>
            </w:r>
          </w:p>
          <w:p w14:paraId="7029B311">
            <w:pPr>
              <w:pStyle w:val="61"/>
              <w:pageBreakBefore w:val="0"/>
              <w:kinsoku/>
              <w:wordWrap/>
              <w:overflowPunct/>
              <w:topLinePunct w:val="0"/>
              <w:autoSpaceDE/>
              <w:autoSpaceDN/>
              <w:bidi w:val="0"/>
              <w:snapToGrid/>
              <w:spacing w:after="0" w:line="40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注：提供节目交流系统技术资源服务的技术方案。</w:t>
            </w:r>
          </w:p>
        </w:tc>
        <w:tc>
          <w:tcPr>
            <w:tcW w:w="720" w:type="dxa"/>
            <w:vAlign w:val="center"/>
          </w:tcPr>
          <w:p w14:paraId="006922AB">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003" w:type="dxa"/>
            <w:vAlign w:val="center"/>
          </w:tcPr>
          <w:p w14:paraId="048A2C39">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933" w:type="dxa"/>
            <w:vAlign w:val="center"/>
          </w:tcPr>
          <w:p w14:paraId="3B49E5B3">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技术分</w:t>
            </w:r>
          </w:p>
        </w:tc>
      </w:tr>
      <w:tr w14:paraId="4AB4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755D53A1">
            <w:pPr>
              <w:pageBreakBefore w:val="0"/>
              <w:kinsoku/>
              <w:wordWrap/>
              <w:overflowPunct/>
              <w:topLinePunct w:val="0"/>
              <w:autoSpaceDE/>
              <w:autoSpaceDN/>
              <w:bidi w:val="0"/>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20</w:t>
            </w:r>
          </w:p>
        </w:tc>
        <w:tc>
          <w:tcPr>
            <w:tcW w:w="4754" w:type="dxa"/>
          </w:tcPr>
          <w:p w14:paraId="10A584B2">
            <w:pPr>
              <w:keepNext w:val="0"/>
              <w:keepLines w:val="0"/>
              <w:pageBreakBefore w:val="0"/>
              <w:widowControl/>
              <w:kinsoku/>
              <w:wordWrap/>
              <w:overflowPunct/>
              <w:topLinePunct w:val="0"/>
              <w:autoSpaceDE/>
              <w:autoSpaceDN/>
              <w:bidi w:val="0"/>
              <w:adjustRightInd/>
              <w:snapToGrid/>
              <w:spacing w:beforeAutospacing="0"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根</w:t>
            </w:r>
            <w:r>
              <w:rPr>
                <w:rFonts w:hint="eastAsia" w:ascii="宋体" w:hAnsi="宋体" w:eastAsia="宋体" w:cs="宋体"/>
                <w:color w:val="auto"/>
                <w:sz w:val="24"/>
                <w:szCs w:val="24"/>
                <w:highlight w:val="none"/>
              </w:rPr>
              <w:t>据投标人针对本项目</w:t>
            </w:r>
            <w:r>
              <w:rPr>
                <w:rFonts w:hint="eastAsia" w:ascii="宋体" w:hAnsi="宋体" w:eastAsia="宋体" w:cs="宋体"/>
                <w:color w:val="auto"/>
                <w:sz w:val="24"/>
                <w:szCs w:val="24"/>
                <w:highlight w:val="none"/>
                <w:lang w:val="en-US" w:eastAsia="zh-CN"/>
              </w:rPr>
              <w:t>采购需求</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组织实施方案进行判定评分</w:t>
            </w:r>
            <w:r>
              <w:rPr>
                <w:rFonts w:hint="eastAsia" w:ascii="宋体" w:hAnsi="宋体" w:eastAsia="宋体" w:cs="宋体"/>
                <w:color w:val="auto"/>
                <w:sz w:val="24"/>
                <w:szCs w:val="24"/>
                <w:highlight w:val="none"/>
                <w:lang w:eastAsia="zh-CN"/>
              </w:rPr>
              <w:t>：</w:t>
            </w:r>
          </w:p>
          <w:p w14:paraId="493F50F4">
            <w:pPr>
              <w:keepNext w:val="0"/>
              <w:keepLines w:val="0"/>
              <w:pageBreakBefore w:val="0"/>
              <w:widowControl/>
              <w:kinsoku/>
              <w:wordWrap/>
              <w:overflowPunct/>
              <w:topLinePunct w:val="0"/>
              <w:autoSpaceDE/>
              <w:autoSpaceDN/>
              <w:bidi w:val="0"/>
              <w:adjustRightInd/>
              <w:snapToGrid/>
              <w:spacing w:before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①内容详实，措施得当，能够可靠保障项目实施的得3分；</w:t>
            </w:r>
          </w:p>
          <w:p w14:paraId="1C4D7242">
            <w:pPr>
              <w:keepNext w:val="0"/>
              <w:keepLines w:val="0"/>
              <w:pageBreakBefore w:val="0"/>
              <w:widowControl/>
              <w:kinsoku/>
              <w:wordWrap/>
              <w:overflowPunct/>
              <w:topLinePunct w:val="0"/>
              <w:autoSpaceDE/>
              <w:autoSpaceDN/>
              <w:bidi w:val="0"/>
              <w:adjustRightInd/>
              <w:snapToGrid/>
              <w:spacing w:beforeAutospacing="0"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②内容比较详细，措施适当，能良好保障项目实施的得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2766C41D">
            <w:pPr>
              <w:keepNext w:val="0"/>
              <w:keepLines w:val="0"/>
              <w:pageBreakBefore w:val="0"/>
              <w:widowControl/>
              <w:kinsoku/>
              <w:wordWrap/>
              <w:overflowPunct/>
              <w:topLinePunct w:val="0"/>
              <w:autoSpaceDE/>
              <w:autoSpaceDN/>
              <w:bidi w:val="0"/>
              <w:adjustRightInd/>
              <w:snapToGrid/>
              <w:spacing w:beforeAutospacing="0"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③内容简略，明显缺乏相关管理措施的得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4B2E84C0">
            <w:pPr>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④存在严重影响项目实施或未提供的不得分。</w:t>
            </w:r>
          </w:p>
          <w:p w14:paraId="04704235">
            <w:pPr>
              <w:pStyle w:val="61"/>
              <w:pageBreakBefore w:val="0"/>
              <w:kinsoku/>
              <w:wordWrap/>
              <w:overflowPunct/>
              <w:topLinePunct w:val="0"/>
              <w:autoSpaceDE/>
              <w:autoSpaceDN/>
              <w:bidi w:val="0"/>
              <w:snapToGrid/>
              <w:spacing w:after="0" w:line="400" w:lineRule="exact"/>
              <w:ind w:left="0" w:leftChars="0" w:firstLine="0" w:firstLineChars="0"/>
              <w:textAlignment w:val="auto"/>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注：提供项目</w:t>
            </w:r>
            <w:r>
              <w:rPr>
                <w:rFonts w:hint="eastAsia" w:ascii="宋体" w:hAnsi="宋体" w:eastAsia="宋体" w:cs="宋体"/>
                <w:color w:val="auto"/>
                <w:sz w:val="24"/>
                <w:szCs w:val="24"/>
                <w:highlight w:val="none"/>
                <w:lang w:val="en-US" w:eastAsia="zh-CN"/>
              </w:rPr>
              <w:t>组织实施方案。</w:t>
            </w:r>
          </w:p>
        </w:tc>
        <w:tc>
          <w:tcPr>
            <w:tcW w:w="720" w:type="dxa"/>
            <w:vAlign w:val="center"/>
          </w:tcPr>
          <w:p w14:paraId="52CD8BA1">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003" w:type="dxa"/>
            <w:vAlign w:val="center"/>
          </w:tcPr>
          <w:p w14:paraId="35CEDAAD">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933" w:type="dxa"/>
            <w:vAlign w:val="center"/>
          </w:tcPr>
          <w:p w14:paraId="1A10D845">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技术分</w:t>
            </w:r>
          </w:p>
        </w:tc>
      </w:tr>
      <w:tr w14:paraId="6D24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187B572C">
            <w:pPr>
              <w:pageBreakBefore w:val="0"/>
              <w:kinsoku/>
              <w:wordWrap/>
              <w:overflowPunct/>
              <w:topLinePunct w:val="0"/>
              <w:autoSpaceDE/>
              <w:autoSpaceDN/>
              <w:bidi w:val="0"/>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21</w:t>
            </w:r>
          </w:p>
        </w:tc>
        <w:tc>
          <w:tcPr>
            <w:tcW w:w="4754" w:type="dxa"/>
          </w:tcPr>
          <w:p w14:paraId="0F262F94">
            <w:pPr>
              <w:keepNext w:val="0"/>
              <w:keepLines w:val="0"/>
              <w:pageBreakBefore w:val="0"/>
              <w:widowControl w:val="0"/>
              <w:kinsoku/>
              <w:wordWrap/>
              <w:overflowPunct/>
              <w:topLinePunct w:val="0"/>
              <w:autoSpaceDE/>
              <w:autoSpaceDN/>
              <w:bidi w:val="0"/>
              <w:adjustRightInd/>
              <w:snapToGrid/>
              <w:spacing w:beforeAutospacing="0"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根据投标人</w:t>
            </w:r>
            <w:r>
              <w:rPr>
                <w:rFonts w:hint="eastAsia" w:ascii="宋体" w:hAnsi="宋体" w:eastAsia="宋体" w:cs="宋体"/>
                <w:color w:val="auto"/>
                <w:sz w:val="24"/>
                <w:szCs w:val="24"/>
                <w:highlight w:val="none"/>
                <w:lang w:val="en-US" w:eastAsia="zh-CN"/>
              </w:rPr>
              <w:t>针对本项目采购需求</w:t>
            </w:r>
            <w:r>
              <w:rPr>
                <w:rFonts w:hint="eastAsia" w:ascii="宋体" w:hAnsi="宋体" w:eastAsia="宋体" w:cs="宋体"/>
                <w:color w:val="auto"/>
                <w:sz w:val="24"/>
                <w:szCs w:val="24"/>
                <w:highlight w:val="none"/>
              </w:rPr>
              <w:t>提供的</w:t>
            </w:r>
            <w:r>
              <w:rPr>
                <w:rFonts w:hint="eastAsia" w:ascii="宋体" w:hAnsi="宋体" w:eastAsia="宋体" w:cs="宋体"/>
                <w:color w:val="auto"/>
                <w:sz w:val="24"/>
                <w:szCs w:val="24"/>
                <w:highlight w:val="none"/>
                <w:lang w:val="en-US" w:eastAsia="zh-CN"/>
              </w:rPr>
              <w:t>项目培训方案进行</w:t>
            </w:r>
            <w:r>
              <w:rPr>
                <w:rFonts w:hint="eastAsia" w:ascii="宋体" w:hAnsi="宋体" w:eastAsia="宋体" w:cs="宋体"/>
                <w:b w:val="0"/>
                <w:bCs w:val="0"/>
                <w:color w:val="auto"/>
                <w:kern w:val="2"/>
                <w:sz w:val="24"/>
                <w:szCs w:val="24"/>
                <w:highlight w:val="none"/>
                <w:lang w:val="en-US" w:eastAsia="zh-CN"/>
              </w:rPr>
              <w:t>判定评分</w:t>
            </w:r>
            <w:r>
              <w:rPr>
                <w:rFonts w:hint="eastAsia" w:ascii="宋体" w:hAnsi="宋体" w:eastAsia="宋体" w:cs="宋体"/>
                <w:color w:val="auto"/>
                <w:sz w:val="24"/>
                <w:szCs w:val="24"/>
                <w:highlight w:val="none"/>
                <w:lang w:val="en-US" w:eastAsia="zh-CN"/>
              </w:rPr>
              <w:t>：</w:t>
            </w:r>
          </w:p>
          <w:p w14:paraId="62BBC1DA">
            <w:pPr>
              <w:keepNext w:val="0"/>
              <w:keepLines w:val="0"/>
              <w:pageBreakBefore w:val="0"/>
              <w:widowControl w:val="0"/>
              <w:kinsoku/>
              <w:wordWrap/>
              <w:overflowPunct/>
              <w:topLinePunct w:val="0"/>
              <w:autoSpaceDE/>
              <w:autoSpaceDN/>
              <w:bidi w:val="0"/>
              <w:adjustRightInd/>
              <w:snapToGrid/>
              <w:spacing w:before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1 \* GB3</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培训方案内容全面，安排及保证措施切实可行的得3分；</w:t>
            </w:r>
          </w:p>
          <w:p w14:paraId="082278FB">
            <w:pPr>
              <w:keepNext w:val="0"/>
              <w:keepLines w:val="0"/>
              <w:pageBreakBefore w:val="0"/>
              <w:widowControl w:val="0"/>
              <w:kinsoku/>
              <w:wordWrap/>
              <w:overflowPunct/>
              <w:topLinePunct w:val="0"/>
              <w:autoSpaceDE/>
              <w:autoSpaceDN/>
              <w:bidi w:val="0"/>
              <w:adjustRightInd/>
              <w:snapToGrid/>
              <w:spacing w:before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2 \* GB3</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培训方案内容比较详细，安排及保证措施合理可行的得2分；</w:t>
            </w:r>
          </w:p>
          <w:p w14:paraId="52FE4388">
            <w:pPr>
              <w:keepNext w:val="0"/>
              <w:keepLines w:val="0"/>
              <w:pageBreakBefore w:val="0"/>
              <w:widowControl w:val="0"/>
              <w:kinsoku/>
              <w:wordWrap/>
              <w:overflowPunct/>
              <w:topLinePunct w:val="0"/>
              <w:autoSpaceDE/>
              <w:autoSpaceDN/>
              <w:bidi w:val="0"/>
              <w:adjustRightInd/>
              <w:snapToGrid/>
              <w:spacing w:before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3 \* GB3</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培训方案内容简略，安排及保证措施的合理性和可行性一般，得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4B9C20CC">
            <w:pPr>
              <w:pageBreakBefore w:val="0"/>
              <w:kinsoku/>
              <w:wordWrap/>
              <w:overflowPunct/>
              <w:topLinePunct w:val="0"/>
              <w:autoSpaceDE/>
              <w:autoSpaceDN/>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④存在严重影响项目实施或未提供的不得分。</w:t>
            </w:r>
          </w:p>
          <w:p w14:paraId="0D768B3F">
            <w:pPr>
              <w:pStyle w:val="61"/>
              <w:pageBreakBefore w:val="0"/>
              <w:kinsoku/>
              <w:wordWrap/>
              <w:overflowPunct/>
              <w:topLinePunct w:val="0"/>
              <w:autoSpaceDE/>
              <w:autoSpaceDN/>
              <w:bidi w:val="0"/>
              <w:snapToGrid/>
              <w:spacing w:after="0" w:line="4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注：提供培训方案</w:t>
            </w:r>
            <w:r>
              <w:rPr>
                <w:rFonts w:hint="eastAsia" w:ascii="宋体" w:hAnsi="宋体" w:eastAsia="宋体" w:cs="宋体"/>
                <w:color w:val="auto"/>
                <w:sz w:val="24"/>
                <w:szCs w:val="24"/>
                <w:highlight w:val="none"/>
                <w:lang w:val="en-US" w:eastAsia="zh-CN"/>
              </w:rPr>
              <w:t>。</w:t>
            </w:r>
          </w:p>
        </w:tc>
        <w:tc>
          <w:tcPr>
            <w:tcW w:w="720" w:type="dxa"/>
            <w:vAlign w:val="center"/>
          </w:tcPr>
          <w:p w14:paraId="66EE8DA7">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003" w:type="dxa"/>
            <w:vAlign w:val="center"/>
          </w:tcPr>
          <w:p w14:paraId="1A18B08C">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933" w:type="dxa"/>
            <w:vAlign w:val="center"/>
          </w:tcPr>
          <w:p w14:paraId="58141B3F">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技术分</w:t>
            </w:r>
          </w:p>
        </w:tc>
      </w:tr>
      <w:tr w14:paraId="1264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5C8C2517">
            <w:pPr>
              <w:pageBreakBefore w:val="0"/>
              <w:kinsoku/>
              <w:wordWrap/>
              <w:overflowPunct/>
              <w:topLinePunct w:val="0"/>
              <w:autoSpaceDE/>
              <w:autoSpaceDN/>
              <w:bidi w:val="0"/>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22</w:t>
            </w:r>
          </w:p>
        </w:tc>
        <w:tc>
          <w:tcPr>
            <w:tcW w:w="4754" w:type="dxa"/>
          </w:tcPr>
          <w:p w14:paraId="49F89EC5">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根据投标人针对本项目采购需求提供的项目售后服务方案进行判定评分：</w:t>
            </w:r>
          </w:p>
          <w:p w14:paraId="01B4D956">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①服务响应迅速，能为招标人提供高效便捷且高标准的售后服务保障的得3分；</w:t>
            </w:r>
          </w:p>
          <w:p w14:paraId="0A440D81">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②服务响应及时，能为招标人提供较完善及良好的售后服务保障的得2分；</w:t>
            </w:r>
          </w:p>
          <w:p w14:paraId="36C79C91">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③服务响应较慢或不便，不能提供良好的售后服务保障的得1分；</w:t>
            </w:r>
          </w:p>
          <w:p w14:paraId="78C50646">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④存在严重影响项目实施或未提供的不得分。</w:t>
            </w:r>
          </w:p>
          <w:p w14:paraId="5395FB77">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注：提供售后服务方案。</w:t>
            </w:r>
          </w:p>
        </w:tc>
        <w:tc>
          <w:tcPr>
            <w:tcW w:w="720" w:type="dxa"/>
            <w:vAlign w:val="center"/>
          </w:tcPr>
          <w:p w14:paraId="4C969E9A">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003" w:type="dxa"/>
            <w:vAlign w:val="center"/>
          </w:tcPr>
          <w:p w14:paraId="35431555">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933" w:type="dxa"/>
            <w:vAlign w:val="center"/>
          </w:tcPr>
          <w:p w14:paraId="2BF0ED7A">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技术分</w:t>
            </w:r>
          </w:p>
        </w:tc>
      </w:tr>
      <w:tr w14:paraId="4352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748" w:type="dxa"/>
            <w:vAlign w:val="center"/>
          </w:tcPr>
          <w:p w14:paraId="1A60FD85">
            <w:pPr>
              <w:pageBreakBefore w:val="0"/>
              <w:kinsoku/>
              <w:wordWrap/>
              <w:overflowPunct/>
              <w:topLinePunct w:val="0"/>
              <w:autoSpaceDE/>
              <w:autoSpaceDN/>
              <w:bidi w:val="0"/>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w:t>
            </w:r>
          </w:p>
        </w:tc>
        <w:tc>
          <w:tcPr>
            <w:tcW w:w="4754" w:type="dxa"/>
          </w:tcPr>
          <w:p w14:paraId="4747E752">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根据投标人针对本项目采购需求提供的项目应急保障方案进行判定评分：</w:t>
            </w:r>
          </w:p>
          <w:p w14:paraId="30A38B94">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fldChar w:fldCharType="begin"/>
            </w:r>
            <w:r>
              <w:rPr>
                <w:rFonts w:hint="eastAsia" w:ascii="宋体" w:hAnsi="宋体" w:eastAsia="宋体" w:cs="宋体"/>
                <w:b w:val="0"/>
                <w:bCs w:val="0"/>
                <w:color w:val="auto"/>
                <w:sz w:val="24"/>
                <w:szCs w:val="24"/>
                <w:highlight w:val="none"/>
                <w:lang w:val="en-US" w:eastAsia="zh-CN"/>
              </w:rPr>
              <w:instrText xml:space="preserve">= 1 \* GB3</w:instrText>
            </w:r>
            <w:r>
              <w:rPr>
                <w:rFonts w:hint="eastAsia" w:ascii="宋体" w:hAnsi="宋体" w:eastAsia="宋体" w:cs="宋体"/>
                <w:b w:val="0"/>
                <w:bCs w:val="0"/>
                <w:color w:val="auto"/>
                <w:sz w:val="24"/>
                <w:szCs w:val="24"/>
                <w:highlight w:val="none"/>
                <w:lang w:val="en-US" w:eastAsia="zh-CN"/>
              </w:rPr>
              <w:fldChar w:fldCharType="separate"/>
            </w:r>
            <w:r>
              <w:rPr>
                <w:rFonts w:hint="eastAsia" w:ascii="宋体" w:hAnsi="宋体" w:eastAsia="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lang w:val="en-US" w:eastAsia="zh-CN"/>
              </w:rPr>
              <w:fldChar w:fldCharType="end"/>
            </w:r>
            <w:r>
              <w:rPr>
                <w:rFonts w:hint="eastAsia" w:ascii="宋体" w:hAnsi="宋体" w:eastAsia="宋体" w:cs="宋体"/>
                <w:b w:val="0"/>
                <w:bCs w:val="0"/>
                <w:color w:val="auto"/>
                <w:sz w:val="24"/>
                <w:szCs w:val="24"/>
                <w:highlight w:val="none"/>
                <w:lang w:val="en-US" w:eastAsia="zh-CN"/>
              </w:rPr>
              <w:t>方案内容全面，安排及保证措施切实可行的得3分；</w:t>
            </w:r>
          </w:p>
          <w:p w14:paraId="02744E2D">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fldChar w:fldCharType="begin"/>
            </w:r>
            <w:r>
              <w:rPr>
                <w:rFonts w:hint="eastAsia" w:ascii="宋体" w:hAnsi="宋体" w:eastAsia="宋体" w:cs="宋体"/>
                <w:b w:val="0"/>
                <w:bCs w:val="0"/>
                <w:color w:val="auto"/>
                <w:sz w:val="24"/>
                <w:szCs w:val="24"/>
                <w:highlight w:val="none"/>
                <w:lang w:val="en-US" w:eastAsia="zh-CN"/>
              </w:rPr>
              <w:instrText xml:space="preserve">= 2 \* GB3</w:instrText>
            </w:r>
            <w:r>
              <w:rPr>
                <w:rFonts w:hint="eastAsia" w:ascii="宋体" w:hAnsi="宋体" w:eastAsia="宋体" w:cs="宋体"/>
                <w:b w:val="0"/>
                <w:bCs w:val="0"/>
                <w:color w:val="auto"/>
                <w:sz w:val="24"/>
                <w:szCs w:val="24"/>
                <w:highlight w:val="none"/>
                <w:lang w:val="en-US" w:eastAsia="zh-CN"/>
              </w:rPr>
              <w:fldChar w:fldCharType="separate"/>
            </w: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lang w:val="en-US" w:eastAsia="zh-CN"/>
              </w:rPr>
              <w:fldChar w:fldCharType="end"/>
            </w:r>
            <w:r>
              <w:rPr>
                <w:rFonts w:hint="eastAsia" w:ascii="宋体" w:hAnsi="宋体" w:eastAsia="宋体" w:cs="宋体"/>
                <w:b w:val="0"/>
                <w:bCs w:val="0"/>
                <w:color w:val="auto"/>
                <w:sz w:val="24"/>
                <w:szCs w:val="24"/>
                <w:highlight w:val="none"/>
                <w:lang w:val="en-US" w:eastAsia="zh-CN"/>
              </w:rPr>
              <w:t>方案内容比较详细，安排及保证措施的合理可行的得2分；</w:t>
            </w:r>
          </w:p>
          <w:p w14:paraId="3DEA2F6F">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fldChar w:fldCharType="begin"/>
            </w:r>
            <w:r>
              <w:rPr>
                <w:rFonts w:hint="eastAsia" w:ascii="宋体" w:hAnsi="宋体" w:eastAsia="宋体" w:cs="宋体"/>
                <w:b w:val="0"/>
                <w:bCs w:val="0"/>
                <w:color w:val="auto"/>
                <w:sz w:val="24"/>
                <w:szCs w:val="24"/>
                <w:highlight w:val="none"/>
                <w:lang w:val="en-US" w:eastAsia="zh-CN"/>
              </w:rPr>
              <w:instrText xml:space="preserve">= 3 \* GB3</w:instrText>
            </w:r>
            <w:r>
              <w:rPr>
                <w:rFonts w:hint="eastAsia" w:ascii="宋体" w:hAnsi="宋体" w:eastAsia="宋体" w:cs="宋体"/>
                <w:b w:val="0"/>
                <w:bCs w:val="0"/>
                <w:color w:val="auto"/>
                <w:sz w:val="24"/>
                <w:szCs w:val="24"/>
                <w:highlight w:val="none"/>
                <w:lang w:val="en-US" w:eastAsia="zh-CN"/>
              </w:rPr>
              <w:fldChar w:fldCharType="separate"/>
            </w:r>
            <w:r>
              <w:rPr>
                <w:rFonts w:hint="eastAsia" w:ascii="宋体" w:hAnsi="宋体" w:eastAsia="宋体" w:cs="宋体"/>
                <w:b w:val="0"/>
                <w:bCs w:val="0"/>
                <w:color w:val="auto"/>
                <w:sz w:val="24"/>
                <w:szCs w:val="24"/>
                <w:highlight w:val="none"/>
                <w:lang w:val="en-US" w:eastAsia="zh-CN"/>
              </w:rPr>
              <w:t>③</w:t>
            </w:r>
            <w:r>
              <w:rPr>
                <w:rFonts w:hint="eastAsia" w:ascii="宋体" w:hAnsi="宋体" w:eastAsia="宋体" w:cs="宋体"/>
                <w:b w:val="0"/>
                <w:bCs w:val="0"/>
                <w:color w:val="auto"/>
                <w:sz w:val="24"/>
                <w:szCs w:val="24"/>
                <w:highlight w:val="none"/>
                <w:lang w:val="en-US" w:eastAsia="zh-CN"/>
              </w:rPr>
              <w:fldChar w:fldCharType="end"/>
            </w:r>
            <w:r>
              <w:rPr>
                <w:rFonts w:hint="eastAsia" w:ascii="宋体" w:hAnsi="宋体" w:eastAsia="宋体" w:cs="宋体"/>
                <w:b w:val="0"/>
                <w:bCs w:val="0"/>
                <w:color w:val="auto"/>
                <w:sz w:val="24"/>
                <w:szCs w:val="24"/>
                <w:highlight w:val="none"/>
                <w:lang w:val="en-US" w:eastAsia="zh-CN"/>
              </w:rPr>
              <w:t>方案内容简略，安排及保证措施的合理性和可行性一般，得1分；</w:t>
            </w:r>
          </w:p>
          <w:p w14:paraId="08070841">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④存在严重影响项目实施或未提供的不得分。</w:t>
            </w:r>
          </w:p>
          <w:p w14:paraId="36C5214C">
            <w:pPr>
              <w:pStyle w:val="2"/>
              <w:rPr>
                <w:rFonts w:hint="eastAsia"/>
                <w:color w:val="auto"/>
                <w:highlight w:val="none"/>
                <w:lang w:val="en-US" w:eastAsia="zh-CN"/>
              </w:rPr>
            </w:pPr>
            <w:r>
              <w:rPr>
                <w:rFonts w:hint="eastAsia" w:ascii="宋体" w:hAnsi="宋体" w:eastAsia="宋体" w:cs="宋体"/>
                <w:b w:val="0"/>
                <w:bCs w:val="0"/>
                <w:color w:val="auto"/>
                <w:sz w:val="24"/>
                <w:szCs w:val="24"/>
                <w:highlight w:val="none"/>
                <w:lang w:val="en-US" w:eastAsia="zh-CN"/>
              </w:rPr>
              <w:t>注：提供应急保障方案。</w:t>
            </w:r>
          </w:p>
        </w:tc>
        <w:tc>
          <w:tcPr>
            <w:tcW w:w="720" w:type="dxa"/>
            <w:vAlign w:val="center"/>
          </w:tcPr>
          <w:p w14:paraId="20185A6F">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003" w:type="dxa"/>
            <w:vAlign w:val="center"/>
          </w:tcPr>
          <w:p w14:paraId="2792BDB0">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933" w:type="dxa"/>
            <w:vAlign w:val="center"/>
          </w:tcPr>
          <w:p w14:paraId="551B909A">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技术分</w:t>
            </w:r>
          </w:p>
        </w:tc>
      </w:tr>
      <w:tr w14:paraId="49F8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42F0B40C">
            <w:pPr>
              <w:pageBreakBefore w:val="0"/>
              <w:kinsoku/>
              <w:wordWrap/>
              <w:overflowPunct/>
              <w:topLinePunct w:val="0"/>
              <w:autoSpaceDE/>
              <w:autoSpaceDN/>
              <w:bidi w:val="0"/>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24</w:t>
            </w:r>
          </w:p>
        </w:tc>
        <w:tc>
          <w:tcPr>
            <w:tcW w:w="4754" w:type="dxa"/>
          </w:tcPr>
          <w:p w14:paraId="4F074873">
            <w:pPr>
              <w:pageBreakBefore w:val="0"/>
              <w:kinsoku/>
              <w:wordWrap/>
              <w:overflowPunct/>
              <w:topLinePunct w:val="0"/>
              <w:autoSpaceDE/>
              <w:autoSpaceDN/>
              <w:bidi w:val="0"/>
              <w:snapToGrid/>
              <w:spacing w:line="400" w:lineRule="exact"/>
              <w:textAlignment w:val="auto"/>
              <w:rPr>
                <w:rFonts w:hint="eastAsia" w:ascii="宋体" w:hAnsi="宋体" w:cs="宋体"/>
                <w:b w:val="0"/>
                <w:bCs w:val="0"/>
                <w:color w:val="auto"/>
                <w:sz w:val="24"/>
                <w:szCs w:val="24"/>
                <w:highlight w:val="none"/>
                <w:lang w:val="en-US" w:eastAsia="zh-CN"/>
              </w:rPr>
            </w:pPr>
            <w:r>
              <w:rPr>
                <w:rFonts w:hint="eastAsia" w:ascii="宋体" w:hAnsi="宋体"/>
                <w:color w:val="auto"/>
                <w:sz w:val="24"/>
                <w:szCs w:val="24"/>
                <w:highlight w:val="none"/>
              </w:rPr>
              <w:t>根据项目实施和售后服务拟投入人员</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技术人员及驻场人员</w:t>
            </w:r>
            <w:r>
              <w:rPr>
                <w:rFonts w:hint="eastAsia" w:ascii="宋体" w:hAnsi="宋体"/>
                <w:color w:val="auto"/>
                <w:sz w:val="24"/>
                <w:szCs w:val="24"/>
                <w:highlight w:val="none"/>
                <w:lang w:eastAsia="zh-CN"/>
              </w:rPr>
              <w:t>）</w:t>
            </w:r>
            <w:r>
              <w:rPr>
                <w:rFonts w:hint="eastAsia" w:ascii="宋体" w:hAnsi="宋体"/>
                <w:color w:val="auto"/>
                <w:sz w:val="24"/>
                <w:szCs w:val="24"/>
                <w:highlight w:val="none"/>
              </w:rPr>
              <w:t>数量是否充足，配置是否合理；参与人员素质（包括职称、相关资质、工作经验、业绩）等情况进行</w:t>
            </w:r>
            <w:r>
              <w:rPr>
                <w:rFonts w:hint="eastAsia" w:ascii="宋体" w:hAnsi="宋体"/>
                <w:color w:val="auto"/>
                <w:sz w:val="24"/>
                <w:szCs w:val="24"/>
                <w:highlight w:val="none"/>
                <w:lang w:val="en-US" w:eastAsia="zh-CN"/>
              </w:rPr>
              <w:t>判定评分</w:t>
            </w:r>
            <w:r>
              <w:rPr>
                <w:rFonts w:hint="eastAsia" w:ascii="宋体" w:hAnsi="宋体"/>
                <w:color w:val="auto"/>
                <w:sz w:val="24"/>
                <w:szCs w:val="24"/>
                <w:highlight w:val="none"/>
              </w:rPr>
              <w:t>。</w:t>
            </w:r>
            <w:r>
              <w:rPr>
                <w:rFonts w:hint="eastAsia" w:ascii="宋体" w:hAnsi="宋体"/>
                <w:color w:val="auto"/>
                <w:sz w:val="24"/>
                <w:szCs w:val="24"/>
                <w:highlight w:val="none"/>
              </w:rPr>
              <w:br w:type="textWrapping"/>
            </w:r>
            <w:r>
              <w:rPr>
                <w:rFonts w:hint="eastAsia" w:ascii="宋体" w:hAnsi="宋体" w:eastAsia="宋体" w:cs="宋体"/>
                <w:b w:val="0"/>
                <w:bCs w:val="0"/>
                <w:color w:val="auto"/>
                <w:sz w:val="24"/>
                <w:szCs w:val="24"/>
                <w:highlight w:val="none"/>
                <w:lang w:val="en-US" w:eastAsia="zh-CN"/>
              </w:rPr>
              <w:t>①</w:t>
            </w:r>
            <w:r>
              <w:rPr>
                <w:rFonts w:hint="eastAsia" w:ascii="宋体" w:hAnsi="宋体" w:cs="宋体"/>
                <w:b w:val="0"/>
                <w:bCs w:val="0"/>
                <w:color w:val="auto"/>
                <w:sz w:val="24"/>
                <w:szCs w:val="24"/>
                <w:highlight w:val="none"/>
                <w:lang w:val="en-US" w:eastAsia="zh-CN"/>
              </w:rPr>
              <w:t>内容完全满足采购需求且合理可行的，得3分；</w:t>
            </w:r>
          </w:p>
          <w:p w14:paraId="3DB24036">
            <w:pPr>
              <w:pageBreakBefore w:val="0"/>
              <w:kinsoku/>
              <w:wordWrap/>
              <w:overflowPunct/>
              <w:topLinePunct w:val="0"/>
              <w:autoSpaceDE/>
              <w:autoSpaceDN/>
              <w:bidi w:val="0"/>
              <w:snapToGrid/>
              <w:spacing w:line="400" w:lineRule="exac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②部分内容及配置有欠缺但基本合理可行的，得2分；</w:t>
            </w:r>
          </w:p>
          <w:p w14:paraId="268F3151">
            <w:pPr>
              <w:pageBreakBefore w:val="0"/>
              <w:kinsoku/>
              <w:wordWrap/>
              <w:overflowPunct/>
              <w:topLinePunct w:val="0"/>
              <w:autoSpaceDE/>
              <w:autoSpaceDN/>
              <w:bidi w:val="0"/>
              <w:snapToGrid/>
              <w:spacing w:line="400" w:lineRule="exac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③内容及配置不全面或合理可行性有欠缺的，得1分；</w:t>
            </w:r>
          </w:p>
          <w:p w14:paraId="068945EE">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④不满足采购需求或未提供的，得0分。</w:t>
            </w:r>
          </w:p>
          <w:p w14:paraId="6B27BE49">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注：提供</w:t>
            </w:r>
            <w:r>
              <w:rPr>
                <w:rFonts w:hint="eastAsia" w:ascii="宋体" w:hAnsi="宋体" w:cs="宋体"/>
                <w:b w:val="0"/>
                <w:bCs w:val="0"/>
                <w:color w:val="auto"/>
                <w:sz w:val="24"/>
                <w:szCs w:val="24"/>
                <w:highlight w:val="none"/>
                <w:lang w:val="en-US" w:eastAsia="zh-CN"/>
              </w:rPr>
              <w:t>拟派团队成员名单、职称及资质证书（如有）、经验及业绩证明材料（如有）</w:t>
            </w:r>
            <w:r>
              <w:rPr>
                <w:rFonts w:hint="eastAsia" w:ascii="宋体" w:hAnsi="宋体" w:eastAsia="宋体" w:cs="宋体"/>
                <w:b w:val="0"/>
                <w:bCs w:val="0"/>
                <w:color w:val="auto"/>
                <w:sz w:val="24"/>
                <w:szCs w:val="24"/>
                <w:highlight w:val="none"/>
                <w:lang w:val="en-US" w:eastAsia="zh-CN"/>
              </w:rPr>
              <w:t>。</w:t>
            </w:r>
          </w:p>
        </w:tc>
        <w:tc>
          <w:tcPr>
            <w:tcW w:w="720" w:type="dxa"/>
            <w:vAlign w:val="center"/>
          </w:tcPr>
          <w:p w14:paraId="4629BF39">
            <w:pPr>
              <w:pageBreakBefore w:val="0"/>
              <w:kinsoku/>
              <w:wordWrap/>
              <w:overflowPunct/>
              <w:topLinePunct w:val="0"/>
              <w:autoSpaceDE/>
              <w:autoSpaceDN/>
              <w:bidi w:val="0"/>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003" w:type="dxa"/>
            <w:vAlign w:val="center"/>
          </w:tcPr>
          <w:p w14:paraId="06822481">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c>
          <w:tcPr>
            <w:tcW w:w="1933" w:type="dxa"/>
            <w:vAlign w:val="center"/>
          </w:tcPr>
          <w:p w14:paraId="620B8A5A">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技术分</w:t>
            </w:r>
          </w:p>
        </w:tc>
      </w:tr>
      <w:tr w14:paraId="0F98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45D0DC68">
            <w:pPr>
              <w:pageBreakBefore w:val="0"/>
              <w:kinsoku/>
              <w:wordWrap/>
              <w:overflowPunct/>
              <w:topLinePunct w:val="0"/>
              <w:autoSpaceDE/>
              <w:autoSpaceDN/>
              <w:bidi w:val="0"/>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25</w:t>
            </w:r>
          </w:p>
        </w:tc>
        <w:tc>
          <w:tcPr>
            <w:tcW w:w="4754" w:type="dxa"/>
          </w:tcPr>
          <w:p w14:paraId="6476B46C">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招标人的平台的功能要求，投标人提供功能演示，评标委员会根据投标人演示情况（包含但不限于系统界面友好性、操作易用性、可实现性、逻辑合理性等）进行评议，每小项演示点最高得1分，本项最高得7分。</w:t>
            </w:r>
          </w:p>
          <w:p w14:paraId="52D70852">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1）基础服务功能演示：</w:t>
            </w:r>
          </w:p>
          <w:p w14:paraId="05406001">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fldChar w:fldCharType="begin"/>
            </w:r>
            <w:r>
              <w:rPr>
                <w:rFonts w:hint="eastAsia" w:ascii="宋体" w:hAnsi="宋体" w:eastAsia="宋体" w:cs="宋体"/>
                <w:b w:val="0"/>
                <w:bCs w:val="0"/>
                <w:color w:val="auto"/>
                <w:sz w:val="24"/>
                <w:szCs w:val="24"/>
                <w:highlight w:val="none"/>
                <w:lang w:val="en-US" w:eastAsia="zh-CN"/>
              </w:rPr>
              <w:instrText xml:space="preserve">= 1 \* GB3</w:instrText>
            </w:r>
            <w:r>
              <w:rPr>
                <w:rFonts w:hint="eastAsia" w:ascii="宋体" w:hAnsi="宋体" w:eastAsia="宋体" w:cs="宋体"/>
                <w:b w:val="0"/>
                <w:bCs w:val="0"/>
                <w:color w:val="auto"/>
                <w:sz w:val="24"/>
                <w:szCs w:val="24"/>
                <w:highlight w:val="none"/>
                <w:lang w:val="en-US" w:eastAsia="zh-CN"/>
              </w:rPr>
              <w:fldChar w:fldCharType="separate"/>
            </w:r>
            <w:r>
              <w:rPr>
                <w:rFonts w:hint="eastAsia" w:ascii="宋体" w:hAnsi="宋体" w:eastAsia="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lang w:val="en-US" w:eastAsia="zh-CN"/>
              </w:rPr>
              <w:fldChar w:fldCharType="end"/>
            </w:r>
            <w:r>
              <w:rPr>
                <w:rFonts w:hint="eastAsia" w:ascii="宋体" w:hAnsi="宋体" w:eastAsia="宋体" w:cs="宋体"/>
                <w:b w:val="0"/>
                <w:bCs w:val="0"/>
                <w:color w:val="auto"/>
                <w:sz w:val="24"/>
                <w:szCs w:val="24"/>
                <w:highlight w:val="none"/>
                <w:lang w:val="en-US" w:eastAsia="zh-CN"/>
              </w:rPr>
              <w:t>可创建多人群聊，应支持发送表情、文字、本地文件、云盘文件，支持在聊天框对文档直接唤起在线预览、在线编辑功能</w:t>
            </w:r>
            <w:r>
              <w:rPr>
                <w:rFonts w:hint="eastAsia" w:ascii="宋体" w:hAnsi="宋体" w:cs="宋体"/>
                <w:b w:val="0"/>
                <w:bCs w:val="0"/>
                <w:color w:val="auto"/>
                <w:sz w:val="24"/>
                <w:szCs w:val="24"/>
                <w:highlight w:val="none"/>
                <w:lang w:val="en-US" w:eastAsia="zh-CN"/>
              </w:rPr>
              <w:t>。内容完全满足采购需求且合理可行的，</w:t>
            </w:r>
            <w:r>
              <w:rPr>
                <w:rFonts w:hint="eastAsia" w:ascii="宋体" w:hAnsi="宋体" w:eastAsia="宋体" w:cs="宋体"/>
                <w:b w:val="0"/>
                <w:bCs w:val="0"/>
                <w:color w:val="auto"/>
                <w:sz w:val="24"/>
                <w:szCs w:val="24"/>
                <w:highlight w:val="none"/>
                <w:lang w:val="en-US" w:eastAsia="zh-CN"/>
              </w:rPr>
              <w:t>得1分；部分内容及措施有欠缺但基本合理可行的，得0.5分；不满足采购需求或未提供的，得0分。</w:t>
            </w:r>
          </w:p>
          <w:p w14:paraId="71D2B214">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②工作通知应包含稿件审批消息、稿件消息、任务消息、通知预警及关注消息，审批和稿件待处理消息点击未处理的信息便可以直接跳转到处理环节进行实时处理，支持开启消息免打扰。</w:t>
            </w:r>
            <w:r>
              <w:rPr>
                <w:rFonts w:hint="eastAsia" w:ascii="宋体" w:hAnsi="宋体" w:cs="宋体"/>
                <w:b w:val="0"/>
                <w:bCs w:val="0"/>
                <w:color w:val="auto"/>
                <w:sz w:val="24"/>
                <w:szCs w:val="24"/>
                <w:highlight w:val="none"/>
                <w:lang w:val="en-US" w:eastAsia="zh-CN"/>
              </w:rPr>
              <w:t>内容完全满足采购需求且合理可行的，</w:t>
            </w:r>
            <w:r>
              <w:rPr>
                <w:rFonts w:hint="eastAsia" w:ascii="宋体" w:hAnsi="宋体" w:eastAsia="宋体" w:cs="宋体"/>
                <w:b w:val="0"/>
                <w:bCs w:val="0"/>
                <w:color w:val="auto"/>
                <w:sz w:val="24"/>
                <w:szCs w:val="24"/>
                <w:highlight w:val="none"/>
                <w:lang w:val="en-US" w:eastAsia="zh-CN"/>
              </w:rPr>
              <w:t>得1分；部分内容及措施有欠缺但基本合理可行的，得0.5分；不满足采购需求或未提供的，得0分。</w:t>
            </w:r>
          </w:p>
          <w:p w14:paraId="650C844D">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fldChar w:fldCharType="begin"/>
            </w:r>
            <w:r>
              <w:rPr>
                <w:rFonts w:hint="eastAsia" w:ascii="宋体" w:hAnsi="宋体" w:eastAsia="宋体" w:cs="宋体"/>
                <w:b w:val="0"/>
                <w:bCs w:val="0"/>
                <w:color w:val="auto"/>
                <w:sz w:val="24"/>
                <w:szCs w:val="24"/>
                <w:highlight w:val="none"/>
                <w:lang w:val="en-US" w:eastAsia="zh-CN"/>
              </w:rPr>
              <w:instrText xml:space="preserve">= 3 \* GB3</w:instrText>
            </w:r>
            <w:r>
              <w:rPr>
                <w:rFonts w:hint="eastAsia" w:ascii="宋体" w:hAnsi="宋体" w:eastAsia="宋体" w:cs="宋体"/>
                <w:b w:val="0"/>
                <w:bCs w:val="0"/>
                <w:color w:val="auto"/>
                <w:sz w:val="24"/>
                <w:szCs w:val="24"/>
                <w:highlight w:val="none"/>
                <w:lang w:val="en-US" w:eastAsia="zh-CN"/>
              </w:rPr>
              <w:fldChar w:fldCharType="separate"/>
            </w:r>
            <w:r>
              <w:rPr>
                <w:rFonts w:hint="eastAsia" w:ascii="宋体" w:hAnsi="宋体" w:eastAsia="宋体" w:cs="宋体"/>
                <w:b w:val="0"/>
                <w:bCs w:val="0"/>
                <w:color w:val="auto"/>
                <w:sz w:val="24"/>
                <w:szCs w:val="24"/>
                <w:highlight w:val="none"/>
                <w:lang w:val="en-US" w:eastAsia="zh-CN"/>
              </w:rPr>
              <w:t>③</w:t>
            </w:r>
            <w:r>
              <w:rPr>
                <w:rFonts w:hint="eastAsia" w:ascii="宋体" w:hAnsi="宋体" w:eastAsia="宋体" w:cs="宋体"/>
                <w:b w:val="0"/>
                <w:bCs w:val="0"/>
                <w:color w:val="auto"/>
                <w:sz w:val="24"/>
                <w:szCs w:val="24"/>
                <w:highlight w:val="none"/>
                <w:lang w:val="en-US" w:eastAsia="zh-CN"/>
              </w:rPr>
              <w:fldChar w:fldCharType="end"/>
            </w:r>
            <w:r>
              <w:rPr>
                <w:rFonts w:hint="eastAsia" w:ascii="宋体" w:hAnsi="宋体" w:eastAsia="宋体" w:cs="宋体"/>
                <w:b w:val="0"/>
                <w:bCs w:val="0"/>
                <w:color w:val="auto"/>
                <w:sz w:val="24"/>
                <w:szCs w:val="24"/>
                <w:highlight w:val="none"/>
                <w:lang w:val="en-US" w:eastAsia="zh-CN"/>
              </w:rPr>
              <w:t>管理后台可支持自定义管理客户端稿件的字段，支持修改字段名称，支持字段排序，支持隐藏非必选字段。</w:t>
            </w:r>
            <w:r>
              <w:rPr>
                <w:rFonts w:hint="eastAsia" w:ascii="宋体" w:hAnsi="宋体" w:cs="宋体"/>
                <w:b w:val="0"/>
                <w:bCs w:val="0"/>
                <w:color w:val="auto"/>
                <w:sz w:val="24"/>
                <w:szCs w:val="24"/>
                <w:highlight w:val="none"/>
                <w:lang w:val="en-US" w:eastAsia="zh-CN"/>
              </w:rPr>
              <w:t>内容完全满足采购需求且合理可行的，</w:t>
            </w:r>
            <w:r>
              <w:rPr>
                <w:rFonts w:hint="eastAsia" w:ascii="宋体" w:hAnsi="宋体" w:eastAsia="宋体" w:cs="宋体"/>
                <w:b w:val="0"/>
                <w:bCs w:val="0"/>
                <w:color w:val="auto"/>
                <w:sz w:val="24"/>
                <w:szCs w:val="24"/>
                <w:highlight w:val="none"/>
                <w:lang w:val="en-US" w:eastAsia="zh-CN"/>
              </w:rPr>
              <w:t>得1分；部分内容及措施有欠缺但基本合理可行的，得0.5分；不满足采购需求或未提供的，得0分。</w:t>
            </w:r>
          </w:p>
          <w:p w14:paraId="5DA1600B">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管理后台可支持配置发起人和审批人，发起人和审批人均支持添加一个或者多个人，也可以设置多道审批环节，支持配置流程基础信息，包含流程名称、流程标识、流程发起人，可将流程关联对应的具体用户、退回方式支持配置具体节点或者上一级和流程说明等。</w:t>
            </w:r>
            <w:r>
              <w:rPr>
                <w:rFonts w:hint="eastAsia" w:ascii="宋体" w:hAnsi="宋体" w:cs="宋体"/>
                <w:b w:val="0"/>
                <w:bCs w:val="0"/>
                <w:color w:val="auto"/>
                <w:sz w:val="24"/>
                <w:szCs w:val="24"/>
                <w:highlight w:val="none"/>
                <w:lang w:val="en-US" w:eastAsia="zh-CN"/>
              </w:rPr>
              <w:t>内容完全满足采购需求且合理可行的，</w:t>
            </w:r>
            <w:r>
              <w:rPr>
                <w:rFonts w:hint="eastAsia" w:ascii="宋体" w:hAnsi="宋体" w:eastAsia="宋体" w:cs="宋体"/>
                <w:b w:val="0"/>
                <w:bCs w:val="0"/>
                <w:color w:val="auto"/>
                <w:sz w:val="24"/>
                <w:szCs w:val="24"/>
                <w:highlight w:val="none"/>
                <w:lang w:val="en-US" w:eastAsia="zh-CN"/>
              </w:rPr>
              <w:t>得1分；部分内容及措施有欠缺但基本合理可行的，得0.5分；不满足采购需求或未提供的，得0分。</w:t>
            </w:r>
          </w:p>
          <w:p w14:paraId="56DA43A1">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2）融合生产功能演示：</w:t>
            </w:r>
          </w:p>
          <w:p w14:paraId="43FFF6E8">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fldChar w:fldCharType="begin"/>
            </w:r>
            <w:r>
              <w:rPr>
                <w:rFonts w:hint="eastAsia" w:ascii="宋体" w:hAnsi="宋体" w:eastAsia="宋体" w:cs="宋体"/>
                <w:b w:val="0"/>
                <w:bCs w:val="0"/>
                <w:color w:val="auto"/>
                <w:sz w:val="24"/>
                <w:szCs w:val="24"/>
                <w:highlight w:val="none"/>
                <w:lang w:val="en-US" w:eastAsia="zh-CN"/>
              </w:rPr>
              <w:instrText xml:space="preserve">= 1 \* GB3</w:instrText>
            </w:r>
            <w:r>
              <w:rPr>
                <w:rFonts w:hint="eastAsia" w:ascii="宋体" w:hAnsi="宋体" w:eastAsia="宋体" w:cs="宋体"/>
                <w:b w:val="0"/>
                <w:bCs w:val="0"/>
                <w:color w:val="auto"/>
                <w:sz w:val="24"/>
                <w:szCs w:val="24"/>
                <w:highlight w:val="none"/>
                <w:lang w:val="en-US" w:eastAsia="zh-CN"/>
              </w:rPr>
              <w:fldChar w:fldCharType="separate"/>
            </w:r>
            <w:r>
              <w:rPr>
                <w:rFonts w:hint="eastAsia" w:ascii="宋体" w:hAnsi="宋体" w:eastAsia="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lang w:val="en-US" w:eastAsia="zh-CN"/>
              </w:rPr>
              <w:fldChar w:fldCharType="end"/>
            </w:r>
            <w:r>
              <w:rPr>
                <w:rFonts w:hint="eastAsia" w:ascii="宋体" w:hAnsi="宋体" w:eastAsia="宋体" w:cs="宋体"/>
                <w:b w:val="0"/>
                <w:bCs w:val="0"/>
                <w:color w:val="auto"/>
                <w:sz w:val="24"/>
                <w:szCs w:val="24"/>
                <w:highlight w:val="none"/>
                <w:lang w:val="en-US" w:eastAsia="zh-CN"/>
              </w:rPr>
              <w:t>可支持新闻通稿的创作提交管理，支持提交至新媒体矩阵、客户端采编模块草稿箱供后续取用编辑；可同时提交至多个已接入采编渠道模块进行后续编辑审批管理</w:t>
            </w:r>
            <w:r>
              <w:rPr>
                <w:rFonts w:hint="eastAsia" w:ascii="宋体" w:hAnsi="宋体" w:cs="宋体"/>
                <w:b w:val="0"/>
                <w:bCs w:val="0"/>
                <w:color w:val="auto"/>
                <w:sz w:val="24"/>
                <w:szCs w:val="24"/>
                <w:highlight w:val="none"/>
                <w:lang w:val="en-US" w:eastAsia="zh-CN"/>
              </w:rPr>
              <w:t>。内容完全满足采购需求且合理可行的，</w:t>
            </w:r>
            <w:r>
              <w:rPr>
                <w:rFonts w:hint="eastAsia" w:ascii="宋体" w:hAnsi="宋体" w:eastAsia="宋体" w:cs="宋体"/>
                <w:b w:val="0"/>
                <w:bCs w:val="0"/>
                <w:color w:val="auto"/>
                <w:sz w:val="24"/>
                <w:szCs w:val="24"/>
                <w:highlight w:val="none"/>
                <w:lang w:val="en-US" w:eastAsia="zh-CN"/>
              </w:rPr>
              <w:t>得1分；部分内容及措施有欠缺但基本合理可行的，得0.5分；不满足采购需求或未提供的，得0分。</w:t>
            </w:r>
          </w:p>
          <w:p w14:paraId="58A95E70">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②可对多个第三方媒体账号进行授权采编及发布管理，包括微信、微博、抖音、bilibili号、企鹅号、潮鸣号、蓝媒号等；稿件可同时选择多个第三方新媒体平台账号进行发布。</w:t>
            </w:r>
            <w:r>
              <w:rPr>
                <w:rFonts w:hint="eastAsia" w:ascii="宋体" w:hAnsi="宋体" w:cs="宋体"/>
                <w:b w:val="0"/>
                <w:bCs w:val="0"/>
                <w:color w:val="auto"/>
                <w:sz w:val="24"/>
                <w:szCs w:val="24"/>
                <w:highlight w:val="none"/>
                <w:lang w:val="en-US" w:eastAsia="zh-CN"/>
              </w:rPr>
              <w:t>内容完全满足采购需求且合理可行的，</w:t>
            </w:r>
            <w:r>
              <w:rPr>
                <w:rFonts w:hint="eastAsia" w:ascii="宋体" w:hAnsi="宋体" w:eastAsia="宋体" w:cs="宋体"/>
                <w:b w:val="0"/>
                <w:bCs w:val="0"/>
                <w:color w:val="auto"/>
                <w:sz w:val="24"/>
                <w:szCs w:val="24"/>
                <w:highlight w:val="none"/>
                <w:lang w:val="en-US" w:eastAsia="zh-CN"/>
              </w:rPr>
              <w:t>得1分；部分内容及措施有欠缺但基本合理可行的，得0.5分；不满足采购需求或未提供的，得0分。</w:t>
            </w:r>
          </w:p>
          <w:p w14:paraId="745AED7F">
            <w:pPr>
              <w:pageBreakBefore w:val="0"/>
              <w:kinsoku/>
              <w:wordWrap/>
              <w:overflowPunct/>
              <w:topLinePunct w:val="0"/>
              <w:autoSpaceDE/>
              <w:autoSpaceDN/>
              <w:bidi w:val="0"/>
              <w:snapToGrid/>
              <w:spacing w:line="400" w:lineRule="exact"/>
              <w:textAlignment w:val="auto"/>
              <w:rPr>
                <w:rFonts w:hint="default"/>
                <w:color w:val="auto"/>
                <w:highlight w:val="none"/>
                <w:lang w:val="en-US" w:eastAsia="zh-CN"/>
              </w:rPr>
            </w:pPr>
            <w:r>
              <w:rPr>
                <w:rFonts w:hint="eastAsia" w:ascii="宋体" w:hAnsi="宋体" w:eastAsia="宋体" w:cs="宋体"/>
                <w:b w:val="0"/>
                <w:bCs w:val="0"/>
                <w:color w:val="auto"/>
                <w:sz w:val="24"/>
                <w:szCs w:val="24"/>
                <w:highlight w:val="none"/>
                <w:lang w:val="en-US" w:eastAsia="zh-CN"/>
              </w:rPr>
              <w:fldChar w:fldCharType="begin"/>
            </w:r>
            <w:r>
              <w:rPr>
                <w:rFonts w:hint="eastAsia" w:ascii="宋体" w:hAnsi="宋体" w:eastAsia="宋体" w:cs="宋体"/>
                <w:b w:val="0"/>
                <w:bCs w:val="0"/>
                <w:color w:val="auto"/>
                <w:sz w:val="24"/>
                <w:szCs w:val="24"/>
                <w:highlight w:val="none"/>
                <w:lang w:val="en-US" w:eastAsia="zh-CN"/>
              </w:rPr>
              <w:instrText xml:space="preserve">= 3 \* GB3</w:instrText>
            </w:r>
            <w:r>
              <w:rPr>
                <w:rFonts w:hint="eastAsia" w:ascii="宋体" w:hAnsi="宋体" w:eastAsia="宋体" w:cs="宋体"/>
                <w:b w:val="0"/>
                <w:bCs w:val="0"/>
                <w:color w:val="auto"/>
                <w:sz w:val="24"/>
                <w:szCs w:val="24"/>
                <w:highlight w:val="none"/>
                <w:lang w:val="en-US" w:eastAsia="zh-CN"/>
              </w:rPr>
              <w:fldChar w:fldCharType="separate"/>
            </w:r>
            <w:r>
              <w:rPr>
                <w:rFonts w:hint="eastAsia" w:ascii="宋体" w:hAnsi="宋体" w:eastAsia="宋体" w:cs="宋体"/>
                <w:b w:val="0"/>
                <w:bCs w:val="0"/>
                <w:color w:val="auto"/>
                <w:sz w:val="24"/>
                <w:szCs w:val="24"/>
                <w:highlight w:val="none"/>
                <w:lang w:val="en-US" w:eastAsia="zh-CN"/>
              </w:rPr>
              <w:t>③</w:t>
            </w:r>
            <w:r>
              <w:rPr>
                <w:rFonts w:hint="eastAsia" w:ascii="宋体" w:hAnsi="宋体" w:eastAsia="宋体" w:cs="宋体"/>
                <w:b w:val="0"/>
                <w:bCs w:val="0"/>
                <w:color w:val="auto"/>
                <w:sz w:val="24"/>
                <w:szCs w:val="24"/>
                <w:highlight w:val="none"/>
                <w:lang w:val="en-US" w:eastAsia="zh-CN"/>
              </w:rPr>
              <w:fldChar w:fldCharType="end"/>
            </w:r>
            <w:r>
              <w:rPr>
                <w:rFonts w:hint="eastAsia" w:ascii="宋体" w:hAnsi="宋体" w:eastAsia="宋体" w:cs="宋体"/>
                <w:b w:val="0"/>
                <w:bCs w:val="0"/>
                <w:color w:val="auto"/>
                <w:sz w:val="24"/>
                <w:szCs w:val="24"/>
                <w:highlight w:val="none"/>
                <w:lang w:val="en-US" w:eastAsia="zh-CN"/>
              </w:rPr>
              <w:t>支持稿件内容自动化智能校验，支持对政要类错误、禁用词差错、敏感词发现、字词类差错、重点词差错等各种分类的智能校对，可进行高亮提醒，并给出替换建议。</w:t>
            </w:r>
            <w:r>
              <w:rPr>
                <w:rFonts w:hint="eastAsia" w:ascii="宋体" w:hAnsi="宋体" w:cs="宋体"/>
                <w:b w:val="0"/>
                <w:bCs w:val="0"/>
                <w:color w:val="auto"/>
                <w:sz w:val="24"/>
                <w:szCs w:val="24"/>
                <w:highlight w:val="none"/>
                <w:lang w:val="en-US" w:eastAsia="zh-CN"/>
              </w:rPr>
              <w:t>内容完全满足采购需求且合理可行的，</w:t>
            </w:r>
            <w:r>
              <w:rPr>
                <w:rFonts w:hint="eastAsia" w:ascii="宋体" w:hAnsi="宋体" w:eastAsia="宋体" w:cs="宋体"/>
                <w:b w:val="0"/>
                <w:bCs w:val="0"/>
                <w:color w:val="auto"/>
                <w:sz w:val="24"/>
                <w:szCs w:val="24"/>
                <w:highlight w:val="none"/>
                <w:lang w:val="en-US" w:eastAsia="zh-CN"/>
              </w:rPr>
              <w:t>得1分；部分内容及措施有欠缺但基本合理可行的，得0.5分；不满足采购需求或未提供的，得0分。</w:t>
            </w:r>
          </w:p>
        </w:tc>
        <w:tc>
          <w:tcPr>
            <w:tcW w:w="720" w:type="dxa"/>
            <w:vAlign w:val="center"/>
          </w:tcPr>
          <w:p w14:paraId="1903372B">
            <w:pPr>
              <w:pageBreakBefore w:val="0"/>
              <w:kinsoku/>
              <w:wordWrap/>
              <w:overflowPunct/>
              <w:topLinePunct w:val="0"/>
              <w:autoSpaceDE/>
              <w:autoSpaceDN/>
              <w:bidi w:val="0"/>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p>
        </w:tc>
        <w:tc>
          <w:tcPr>
            <w:tcW w:w="1003" w:type="dxa"/>
            <w:vAlign w:val="center"/>
          </w:tcPr>
          <w:p w14:paraId="254932E9">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933" w:type="dxa"/>
            <w:vAlign w:val="center"/>
          </w:tcPr>
          <w:p w14:paraId="68D900CD">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技术分</w:t>
            </w:r>
          </w:p>
        </w:tc>
      </w:tr>
      <w:tr w14:paraId="7422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4098DEA0">
            <w:pPr>
              <w:pageBreakBefore w:val="0"/>
              <w:kinsoku/>
              <w:wordWrap/>
              <w:overflowPunct/>
              <w:topLinePunct w:val="0"/>
              <w:autoSpaceDE/>
              <w:autoSpaceDN/>
              <w:bidi w:val="0"/>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26</w:t>
            </w:r>
          </w:p>
        </w:tc>
        <w:tc>
          <w:tcPr>
            <w:tcW w:w="4754" w:type="dxa"/>
          </w:tcPr>
          <w:p w14:paraId="2D488D36">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rPr>
            </w:pPr>
            <w:bookmarkStart w:id="440" w:name="_Toc5688"/>
            <w:r>
              <w:rPr>
                <w:rFonts w:hint="eastAsia" w:ascii="宋体" w:hAnsi="宋体" w:eastAsia="宋体" w:cs="宋体"/>
                <w:b w:val="0"/>
                <w:bCs w:val="0"/>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］的计算公式计算。</w:t>
            </w:r>
            <w:bookmarkEnd w:id="440"/>
          </w:p>
          <w:p w14:paraId="5D85B637">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评标过程中，不得去掉报价中的最高报价和最低报价。</w:t>
            </w:r>
          </w:p>
          <w:p w14:paraId="0E81FF66">
            <w:pPr>
              <w:pageBreakBefore w:val="0"/>
              <w:kinsoku/>
              <w:wordWrap/>
              <w:overflowPunct/>
              <w:topLinePunct w:val="0"/>
              <w:autoSpaceDE/>
              <w:autoSpaceDN/>
              <w:bidi w:val="0"/>
              <w:snapToGrid/>
              <w:spacing w:line="40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%的扣除，用扣除后的价格参加评审。</w:t>
            </w:r>
          </w:p>
        </w:tc>
        <w:tc>
          <w:tcPr>
            <w:tcW w:w="720" w:type="dxa"/>
            <w:vAlign w:val="center"/>
          </w:tcPr>
          <w:p w14:paraId="626E6984">
            <w:pPr>
              <w:pageBreakBefore w:val="0"/>
              <w:kinsoku/>
              <w:wordWrap/>
              <w:overflowPunct/>
              <w:topLinePunct w:val="0"/>
              <w:autoSpaceDE/>
              <w:autoSpaceDN/>
              <w:bidi w:val="0"/>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p>
        </w:tc>
        <w:tc>
          <w:tcPr>
            <w:tcW w:w="1003" w:type="dxa"/>
            <w:vAlign w:val="center"/>
          </w:tcPr>
          <w:p w14:paraId="7C113609">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客观分</w:t>
            </w:r>
          </w:p>
        </w:tc>
        <w:tc>
          <w:tcPr>
            <w:tcW w:w="1933" w:type="dxa"/>
            <w:vAlign w:val="center"/>
          </w:tcPr>
          <w:p w14:paraId="0FFB128C">
            <w:pPr>
              <w:pageBreakBefore w:val="0"/>
              <w:kinsoku/>
              <w:wordWrap/>
              <w:overflowPunct/>
              <w:topLinePunct w:val="0"/>
              <w:autoSpaceDE/>
              <w:autoSpaceDN/>
              <w:bidi w:val="0"/>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报价分</w:t>
            </w:r>
          </w:p>
        </w:tc>
      </w:tr>
    </w:tbl>
    <w:p w14:paraId="21D7B234">
      <w:pPr>
        <w:rPr>
          <w:color w:val="auto"/>
          <w:highlight w:val="none"/>
        </w:rPr>
      </w:pPr>
    </w:p>
    <w:p w14:paraId="60796A10">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7C78926F">
      <w:pPr>
        <w:snapToGrid w:val="0"/>
        <w:spacing w:line="360" w:lineRule="auto"/>
        <w:outlineLvl w:val="1"/>
        <w:rPr>
          <w:rFonts w:ascii="宋体" w:hAnsi="宋体" w:cs="宋体"/>
          <w:b/>
          <w:color w:val="auto"/>
          <w:sz w:val="28"/>
          <w:szCs w:val="28"/>
          <w:highlight w:val="none"/>
        </w:rPr>
      </w:pPr>
      <w:bookmarkStart w:id="441" w:name="_Toc21953"/>
      <w:r>
        <w:rPr>
          <w:rFonts w:hint="eastAsia" w:ascii="宋体" w:hAnsi="宋体" w:cs="宋体"/>
          <w:b/>
          <w:color w:val="auto"/>
          <w:sz w:val="32"/>
          <w:highlight w:val="none"/>
        </w:rPr>
        <w:t>一、评标方法</w:t>
      </w:r>
      <w:bookmarkEnd w:id="441"/>
    </w:p>
    <w:p w14:paraId="2FC35E5A">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D1CC5AD">
      <w:pPr>
        <w:adjustRightInd/>
        <w:spacing w:line="360" w:lineRule="auto"/>
        <w:outlineLvl w:val="1"/>
        <w:rPr>
          <w:rFonts w:ascii="宋体" w:hAnsi="宋体" w:cs="宋体"/>
          <w:color w:val="auto"/>
          <w:kern w:val="0"/>
          <w:sz w:val="24"/>
          <w:highlight w:val="none"/>
        </w:rPr>
      </w:pPr>
      <w:bookmarkStart w:id="442" w:name="_Toc19037"/>
      <w:r>
        <w:rPr>
          <w:rFonts w:hint="eastAsia" w:ascii="宋体" w:hAnsi="宋体" w:cs="宋体"/>
          <w:b/>
          <w:color w:val="auto"/>
          <w:sz w:val="32"/>
          <w:highlight w:val="none"/>
        </w:rPr>
        <w:t>二、评标标准</w:t>
      </w:r>
      <w:bookmarkEnd w:id="442"/>
    </w:p>
    <w:p w14:paraId="786A315C">
      <w:pPr>
        <w:adjustRightInd/>
        <w:spacing w:line="360" w:lineRule="auto"/>
        <w:ind w:firstLine="472" w:firstLineChars="196"/>
        <w:rPr>
          <w:rFonts w:ascii="宋体" w:hAnsi="宋体" w:cs="宋体"/>
          <w:b/>
          <w:color w:val="auto"/>
          <w:sz w:val="24"/>
          <w:highlight w:val="none"/>
        </w:rPr>
      </w:pPr>
      <w:bookmarkStart w:id="443" w:name="_Toc15723"/>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bookmarkEnd w:id="443"/>
    </w:p>
    <w:p w14:paraId="08AAE3B9">
      <w:pPr>
        <w:spacing w:line="360" w:lineRule="auto"/>
        <w:outlineLvl w:val="1"/>
        <w:rPr>
          <w:rFonts w:ascii="宋体" w:hAnsi="宋体" w:cs="宋体"/>
          <w:b/>
          <w:color w:val="auto"/>
          <w:sz w:val="36"/>
          <w:szCs w:val="36"/>
          <w:highlight w:val="none"/>
        </w:rPr>
      </w:pPr>
      <w:bookmarkStart w:id="444" w:name="_Toc23114"/>
      <w:r>
        <w:rPr>
          <w:rFonts w:hint="eastAsia" w:ascii="宋体" w:hAnsi="宋体" w:cs="宋体"/>
          <w:b/>
          <w:color w:val="auto"/>
          <w:sz w:val="36"/>
          <w:szCs w:val="36"/>
          <w:highlight w:val="none"/>
        </w:rPr>
        <w:t>三、评标程序</w:t>
      </w:r>
      <w:bookmarkEnd w:id="444"/>
    </w:p>
    <w:p w14:paraId="4C17243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3776E6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43D6F8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5B78649">
      <w:pPr>
        <w:spacing w:line="360" w:lineRule="auto"/>
        <w:ind w:firstLine="472" w:firstLineChars="196"/>
        <w:rPr>
          <w:rFonts w:ascii="宋体" w:hAnsi="宋体" w:cs="宋体"/>
          <w:b/>
          <w:color w:val="auto"/>
          <w:kern w:val="0"/>
          <w:sz w:val="24"/>
          <w:highlight w:val="none"/>
        </w:rPr>
      </w:pPr>
      <w:bookmarkStart w:id="445" w:name="_Toc10116"/>
      <w:r>
        <w:rPr>
          <w:rFonts w:hint="eastAsia" w:ascii="宋体" w:hAnsi="宋体" w:cs="宋体"/>
          <w:b/>
          <w:color w:val="auto"/>
          <w:kern w:val="0"/>
          <w:sz w:val="24"/>
          <w:highlight w:val="none"/>
        </w:rPr>
        <w:t>3.4报价评审。</w:t>
      </w:r>
      <w:bookmarkEnd w:id="445"/>
    </w:p>
    <w:p w14:paraId="61C8E3B2">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8062876">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C37A97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BD5CBD2">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47340FA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9F41E67">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2C9215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44A360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3B3EC02">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08872A5">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2BD22B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中标候选人数量为1人。</w:t>
      </w:r>
    </w:p>
    <w:p w14:paraId="39ECE50B">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D1B3BB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7A9A88A">
      <w:pPr>
        <w:widowControl/>
        <w:shd w:val="clear" w:color="auto" w:fill="FFFFFF"/>
        <w:adjustRightInd/>
        <w:spacing w:after="225" w:line="315" w:lineRule="atLeast"/>
        <w:jc w:val="left"/>
        <w:outlineLvl w:val="1"/>
        <w:rPr>
          <w:rFonts w:ascii="宋体" w:hAnsi="宋体" w:cs="宋体"/>
          <w:b/>
          <w:color w:val="auto"/>
          <w:sz w:val="32"/>
          <w:highlight w:val="none"/>
        </w:rPr>
      </w:pPr>
      <w:bookmarkStart w:id="446" w:name="_Toc644"/>
      <w:r>
        <w:rPr>
          <w:rFonts w:hint="eastAsia" w:ascii="宋体" w:hAnsi="宋体" w:cs="宋体"/>
          <w:b/>
          <w:color w:val="auto"/>
          <w:sz w:val="32"/>
          <w:highlight w:val="none"/>
        </w:rPr>
        <w:t>四、评标中的其他事项</w:t>
      </w:r>
      <w:bookmarkEnd w:id="446"/>
    </w:p>
    <w:p w14:paraId="42070F88">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07F5C58">
      <w:pPr>
        <w:pStyle w:val="129"/>
        <w:spacing w:before="0"/>
        <w:ind w:firstLine="472" w:firstLineChars="196"/>
        <w:rPr>
          <w:rFonts w:hint="eastAsia" w:ascii="宋体" w:hAnsi="宋体" w:eastAsia="宋体" w:cs="宋体"/>
          <w:color w:val="auto"/>
          <w:szCs w:val="21"/>
          <w:highlight w:val="none"/>
        </w:rPr>
      </w:pPr>
      <w:bookmarkStart w:id="447" w:name="_Toc24297"/>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bookmarkEnd w:id="447"/>
    </w:p>
    <w:p w14:paraId="4A53159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2E9A6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1D6CB4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C1D162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60A022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B7373A1">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365E0F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DC4C1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14F95B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29DF68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70776E7">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2252A99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4101A946">
      <w:pPr>
        <w:spacing w:line="360" w:lineRule="auto"/>
        <w:ind w:firstLine="480" w:firstLineChars="200"/>
        <w:rPr>
          <w:rFonts w:ascii="宋体" w:hAnsi="宋体" w:eastAsia="宋体" w:cs="宋体"/>
          <w:b w:val="0"/>
          <w:bCs w:val="0"/>
          <w:color w:val="auto"/>
          <w:kern w:val="0"/>
          <w:sz w:val="24"/>
          <w:szCs w:val="24"/>
          <w:highlight w:val="none"/>
          <w:lang w:val="en-US"/>
        </w:rPr>
      </w:pPr>
      <w:bookmarkStart w:id="448" w:name="_Toc8510"/>
      <w:r>
        <w:rPr>
          <w:rFonts w:hint="eastAsia" w:ascii="宋体" w:hAnsi="宋体" w:eastAsia="宋体" w:cs="宋体"/>
          <w:b w:val="0"/>
          <w:bCs w:val="0"/>
          <w:color w:val="auto"/>
          <w:kern w:val="0"/>
          <w:sz w:val="24"/>
          <w:szCs w:val="24"/>
          <w:highlight w:val="none"/>
          <w:lang w:val="en-US"/>
        </w:rPr>
        <w:t>4.2.13 投标文件不满足招标文件的其它实质性要求的；</w:t>
      </w:r>
      <w:bookmarkEnd w:id="448"/>
    </w:p>
    <w:p w14:paraId="3CA0162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28F126CD">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E8D5300">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551023E">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69009380">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45B10D8">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6F7B70EC">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4D979BB">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C54FB60">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2A618ECE">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41C72A9">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8CEE0E1">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A9BCAAC">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607F524">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7B24E7D">
      <w:pPr>
        <w:pStyle w:val="24"/>
        <w:snapToGrid w:val="0"/>
        <w:spacing w:line="360" w:lineRule="auto"/>
        <w:ind w:firstLine="0" w:firstLineChars="0"/>
        <w:rPr>
          <w:rFonts w:cs="宋体"/>
          <w:color w:val="auto"/>
          <w:highlight w:val="none"/>
        </w:rPr>
      </w:pPr>
    </w:p>
    <w:p w14:paraId="46B22F4B">
      <w:pPr>
        <w:spacing w:line="360" w:lineRule="auto"/>
        <w:ind w:left="720" w:leftChars="343" w:firstLine="1084" w:firstLineChars="300"/>
        <w:outlineLvl w:val="0"/>
        <w:rPr>
          <w:rFonts w:hint="eastAsia" w:ascii="宋体" w:hAnsi="宋体" w:cs="宋体"/>
          <w:b/>
          <w:color w:val="auto"/>
          <w:sz w:val="36"/>
          <w:szCs w:val="36"/>
          <w:highlight w:val="none"/>
        </w:rPr>
        <w:sectPr>
          <w:pgSz w:w="11905" w:h="16838"/>
          <w:pgMar w:top="1417" w:right="1417" w:bottom="1417" w:left="1417" w:header="851" w:footer="850" w:gutter="0"/>
          <w:cols w:space="0" w:num="1"/>
          <w:rtlGutter w:val="0"/>
          <w:docGrid w:linePitch="0" w:charSpace="0"/>
        </w:sectPr>
      </w:pPr>
      <w:bookmarkStart w:id="449" w:name="_Toc13476"/>
      <w:bookmarkStart w:id="450" w:name="_Toc86217003"/>
    </w:p>
    <w:p w14:paraId="15971B08">
      <w:pPr>
        <w:numPr>
          <w:ilvl w:val="0"/>
          <w:numId w:val="0"/>
        </w:numPr>
        <w:adjustRightInd/>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bookmarkEnd w:id="449"/>
    </w:p>
    <w:p w14:paraId="75FFBB62">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653FB28">
      <w:pPr>
        <w:spacing w:line="480" w:lineRule="auto"/>
        <w:jc w:val="center"/>
        <w:rPr>
          <w:rFonts w:ascii="宋体" w:hAnsi="宋体" w:cs="宋体"/>
          <w:b/>
          <w:color w:val="auto"/>
          <w:sz w:val="28"/>
          <w:szCs w:val="28"/>
          <w:highlight w:val="none"/>
        </w:rPr>
      </w:pPr>
    </w:p>
    <w:p w14:paraId="1ECFA766">
      <w:pPr>
        <w:spacing w:line="480" w:lineRule="auto"/>
        <w:jc w:val="center"/>
        <w:rPr>
          <w:rFonts w:ascii="宋体" w:hAnsi="宋体" w:cs="宋体"/>
          <w:b/>
          <w:color w:val="auto"/>
          <w:sz w:val="24"/>
          <w:highlight w:val="none"/>
        </w:rPr>
      </w:pPr>
    </w:p>
    <w:p w14:paraId="3394BB6D">
      <w:pPr>
        <w:spacing w:line="480" w:lineRule="auto"/>
        <w:jc w:val="center"/>
        <w:rPr>
          <w:rFonts w:ascii="宋体" w:hAnsi="宋体" w:cs="宋体"/>
          <w:b/>
          <w:color w:val="auto"/>
          <w:sz w:val="24"/>
          <w:highlight w:val="none"/>
        </w:rPr>
      </w:pPr>
    </w:p>
    <w:p w14:paraId="55BC3E46">
      <w:pPr>
        <w:spacing w:line="480" w:lineRule="auto"/>
        <w:jc w:val="center"/>
        <w:outlineLvl w:val="1"/>
        <w:rPr>
          <w:rFonts w:ascii="宋体" w:hAnsi="宋体" w:cs="宋体"/>
          <w:b/>
          <w:color w:val="auto"/>
          <w:sz w:val="36"/>
          <w:szCs w:val="36"/>
          <w:highlight w:val="none"/>
        </w:rPr>
      </w:pPr>
      <w:bookmarkStart w:id="451" w:name="_Toc2163"/>
      <w:r>
        <w:rPr>
          <w:rFonts w:hint="eastAsia" w:ascii="宋体" w:hAnsi="宋体" w:cs="宋体"/>
          <w:b/>
          <w:color w:val="auto"/>
          <w:sz w:val="36"/>
          <w:szCs w:val="36"/>
          <w:highlight w:val="none"/>
        </w:rPr>
        <w:t>政府采购合同</w:t>
      </w:r>
      <w:bookmarkEnd w:id="451"/>
    </w:p>
    <w:p w14:paraId="3AA5C301">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1C3F26BF">
      <w:pPr>
        <w:pStyle w:val="699"/>
        <w:ind w:left="0" w:leftChars="0" w:firstLine="0" w:firstLineChars="0"/>
        <w:jc w:val="center"/>
        <w:outlineLvl w:val="1"/>
        <w:rPr>
          <w:rFonts w:ascii="宋体" w:hAnsi="宋体" w:cs="宋体"/>
          <w:b/>
          <w:color w:val="auto"/>
          <w:szCs w:val="24"/>
          <w:highlight w:val="none"/>
        </w:rPr>
      </w:pPr>
      <w:bookmarkStart w:id="452" w:name="_Toc19319"/>
      <w:r>
        <w:rPr>
          <w:rFonts w:hint="eastAsia" w:ascii="宋体" w:hAnsi="宋体" w:cs="宋体"/>
          <w:b/>
          <w:color w:val="auto"/>
          <w:szCs w:val="24"/>
          <w:highlight w:val="none"/>
        </w:rPr>
        <w:t>第一部分 合同书</w:t>
      </w:r>
      <w:bookmarkEnd w:id="452"/>
    </w:p>
    <w:p w14:paraId="0CE536E4">
      <w:pPr>
        <w:spacing w:before="120" w:line="22" w:lineRule="atLeast"/>
        <w:rPr>
          <w:rFonts w:ascii="宋体" w:hAnsi="宋体" w:cs="宋体"/>
          <w:color w:val="auto"/>
          <w:sz w:val="24"/>
          <w:highlight w:val="none"/>
        </w:rPr>
      </w:pPr>
    </w:p>
    <w:p w14:paraId="757411D2">
      <w:pPr>
        <w:pStyle w:val="2"/>
        <w:outlineLvl w:val="9"/>
        <w:rPr>
          <w:color w:val="auto"/>
          <w:highlight w:val="none"/>
        </w:rPr>
      </w:pPr>
    </w:p>
    <w:p w14:paraId="743C742D">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6D5CCEB">
      <w:pPr>
        <w:pStyle w:val="596"/>
        <w:spacing w:before="120" w:line="22" w:lineRule="atLeast"/>
        <w:rPr>
          <w:rFonts w:ascii="宋体" w:hAnsi="宋体" w:eastAsia="宋体" w:cs="宋体"/>
          <w:color w:val="auto"/>
          <w:szCs w:val="24"/>
          <w:highlight w:val="none"/>
        </w:rPr>
      </w:pPr>
    </w:p>
    <w:p w14:paraId="764C0BDE">
      <w:pPr>
        <w:pStyle w:val="596"/>
        <w:spacing w:before="120" w:line="22" w:lineRule="atLeast"/>
        <w:rPr>
          <w:rFonts w:ascii="宋体" w:hAnsi="宋体" w:eastAsia="宋体" w:cs="宋体"/>
          <w:color w:val="auto"/>
          <w:szCs w:val="24"/>
          <w:highlight w:val="none"/>
        </w:rPr>
      </w:pPr>
    </w:p>
    <w:p w14:paraId="64E8A286">
      <w:pPr>
        <w:rPr>
          <w:rFonts w:ascii="宋体" w:hAnsi="宋体" w:cs="宋体"/>
          <w:color w:val="auto"/>
          <w:sz w:val="24"/>
          <w:highlight w:val="none"/>
        </w:rPr>
      </w:pPr>
    </w:p>
    <w:p w14:paraId="016E6E07">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624C13BA">
      <w:pPr>
        <w:spacing w:before="120" w:line="22" w:lineRule="atLeast"/>
        <w:rPr>
          <w:rFonts w:ascii="宋体" w:hAnsi="宋体" w:cs="宋体"/>
          <w:color w:val="auto"/>
          <w:sz w:val="24"/>
          <w:highlight w:val="none"/>
        </w:rPr>
      </w:pPr>
    </w:p>
    <w:p w14:paraId="3DCD040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42ECC69">
      <w:pPr>
        <w:spacing w:before="120" w:line="22" w:lineRule="atLeast"/>
        <w:rPr>
          <w:rFonts w:ascii="宋体" w:hAnsi="宋体" w:cs="宋体"/>
          <w:color w:val="auto"/>
          <w:sz w:val="24"/>
          <w:highlight w:val="none"/>
        </w:rPr>
      </w:pPr>
    </w:p>
    <w:p w14:paraId="28FE608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88B56D9">
      <w:pPr>
        <w:spacing w:before="120" w:line="22" w:lineRule="atLeast"/>
        <w:rPr>
          <w:rFonts w:ascii="宋体" w:hAnsi="宋体" w:cs="宋体"/>
          <w:color w:val="auto"/>
          <w:sz w:val="24"/>
          <w:highlight w:val="none"/>
        </w:rPr>
      </w:pPr>
    </w:p>
    <w:p w14:paraId="73660B46">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903B0BD">
      <w:pPr>
        <w:widowControl/>
        <w:jc w:val="left"/>
        <w:rPr>
          <w:rFonts w:ascii="宋体" w:hAnsi="宋体" w:cs="宋体"/>
          <w:color w:val="auto"/>
          <w:kern w:val="0"/>
          <w:sz w:val="24"/>
          <w:highlight w:val="none"/>
        </w:rPr>
        <w:sectPr>
          <w:pgSz w:w="11905" w:h="16838"/>
          <w:pgMar w:top="1417" w:right="1417" w:bottom="1417" w:left="1417" w:header="851" w:footer="850" w:gutter="0"/>
          <w:cols w:space="0" w:num="1"/>
          <w:rtlGutter w:val="0"/>
          <w:docGrid w:linePitch="0" w:charSpace="0"/>
        </w:sectPr>
      </w:pPr>
    </w:p>
    <w:p w14:paraId="2DBA18C0">
      <w:pPr>
        <w:rPr>
          <w:rFonts w:ascii="宋体" w:hAnsi="宋体" w:cs="宋体"/>
          <w:b/>
          <w:color w:val="auto"/>
          <w:sz w:val="24"/>
          <w:highlight w:val="none"/>
        </w:rPr>
      </w:pPr>
    </w:p>
    <w:p w14:paraId="7BD9BAAA">
      <w:pPr>
        <w:pageBreakBefore w:val="0"/>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hint="eastAsia" w:ascii="宋体" w:hAnsi="宋体"/>
          <w:color w:val="auto"/>
          <w:sz w:val="24"/>
          <w:highlight w:val="none"/>
          <w:u w:val="single"/>
        </w:rPr>
        <w:t>杭州市余杭区融媒体中心（杭州市余杭区广播电视台）</w:t>
      </w:r>
      <w:r>
        <w:rPr>
          <w:rFonts w:hint="eastAsia" w:ascii="宋体" w:hAnsi="宋体"/>
          <w:color w:val="auto"/>
          <w:sz w:val="24"/>
          <w:highlight w:val="none"/>
        </w:rPr>
        <w:t>以</w:t>
      </w:r>
      <w:r>
        <w:rPr>
          <w:rFonts w:hint="eastAsia" w:ascii="宋体" w:hAnsi="宋体"/>
          <w:color w:val="auto"/>
          <w:sz w:val="24"/>
          <w:highlight w:val="none"/>
          <w:u w:val="single"/>
        </w:rPr>
        <w:t>公开招标</w:t>
      </w:r>
      <w:r>
        <w:rPr>
          <w:rFonts w:hint="eastAsia" w:ascii="宋体" w:hAnsi="宋体"/>
          <w:color w:val="auto"/>
          <w:sz w:val="24"/>
          <w:highlight w:val="none"/>
        </w:rPr>
        <w:t>对</w:t>
      </w:r>
      <w:r>
        <w:rPr>
          <w:rFonts w:hint="eastAsia" w:ascii="宋体" w:hAnsi="宋体" w:cs="宋体"/>
          <w:color w:val="auto"/>
          <w:sz w:val="24"/>
          <w:highlight w:val="none"/>
          <w:u w:val="single"/>
          <w:lang w:eastAsia="zh-CN"/>
        </w:rPr>
        <w:t>融媒体平台运行服务采购项目</w:t>
      </w:r>
      <w:r>
        <w:rPr>
          <w:rFonts w:hint="eastAsia" w:ascii="宋体" w:hAnsi="宋体"/>
          <w:color w:val="auto"/>
          <w:sz w:val="24"/>
          <w:highlight w:val="none"/>
        </w:rPr>
        <w:t>进行了采购。经</w:t>
      </w:r>
      <w:r>
        <w:rPr>
          <w:rFonts w:hint="eastAsia" w:ascii="宋体" w:hAnsi="宋体"/>
          <w:color w:val="auto"/>
          <w:sz w:val="24"/>
          <w:highlight w:val="none"/>
          <w:u w:val="single"/>
          <w:lang w:val="en-US" w:eastAsia="zh-CN"/>
        </w:rPr>
        <w:t>评标委员会</w:t>
      </w:r>
      <w:r>
        <w:rPr>
          <w:rFonts w:hint="eastAsia" w:ascii="宋体" w:hAnsi="宋体"/>
          <w:color w:val="auto"/>
          <w:sz w:val="24"/>
          <w:highlight w:val="none"/>
        </w:rPr>
        <w:t>评定，</w:t>
      </w:r>
      <w:r>
        <w:rPr>
          <w:rFonts w:ascii="宋体" w:hAnsi="宋体"/>
          <w:color w:val="auto"/>
          <w:sz w:val="24"/>
          <w:highlight w:val="none"/>
          <w:u w:val="single"/>
        </w:rPr>
        <w:t>（中标供应商名称）</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49A1AE13">
      <w:pPr>
        <w:pageBreakBefore w:val="0"/>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olor w:val="auto"/>
          <w:sz w:val="24"/>
          <w:highlight w:val="none"/>
          <w:u w:val="single"/>
        </w:rPr>
        <w:t>杭州市余杭区融媒体中心（杭州市余杭区广播电视台）</w:t>
      </w:r>
      <w:r>
        <w:rPr>
          <w:rFonts w:ascii="宋体" w:hAnsi="宋体"/>
          <w:color w:val="auto"/>
          <w:sz w:val="24"/>
          <w:highlight w:val="none"/>
          <w:lang w:val="zh-CN"/>
        </w:rPr>
        <w:t>(以下简称：甲方)和</w:t>
      </w:r>
      <w:r>
        <w:rPr>
          <w:rFonts w:ascii="宋体" w:hAnsi="宋体"/>
          <w:color w:val="auto"/>
          <w:sz w:val="24"/>
          <w:highlight w:val="none"/>
          <w:u w:val="single"/>
        </w:rPr>
        <w:t>（中</w:t>
      </w:r>
      <w:r>
        <w:rPr>
          <w:rFonts w:hint="eastAsia" w:ascii="宋体" w:hAnsi="宋体"/>
          <w:color w:val="auto"/>
          <w:sz w:val="24"/>
          <w:highlight w:val="none"/>
          <w:u w:val="single"/>
          <w:lang w:val="en-US" w:eastAsia="zh-CN"/>
        </w:rPr>
        <w:t>标</w:t>
      </w:r>
      <w:r>
        <w:rPr>
          <w:rFonts w:ascii="宋体" w:hAnsi="宋体"/>
          <w:color w:val="auto"/>
          <w:sz w:val="24"/>
          <w:highlight w:val="none"/>
          <w:u w:val="single"/>
        </w:rPr>
        <w:t>供应商名称）</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6E281551">
      <w:pPr>
        <w:pageBreakBefore w:val="0"/>
        <w:kinsoku/>
        <w:wordWrap/>
        <w:overflowPunct/>
        <w:topLinePunct w:val="0"/>
        <w:bidi w:val="0"/>
        <w:snapToGrid/>
        <w:spacing w:line="360" w:lineRule="auto"/>
        <w:ind w:firstLine="482" w:firstLineChars="200"/>
        <w:textAlignment w:val="auto"/>
        <w:outlineLvl w:val="9"/>
        <w:rPr>
          <w:rFonts w:ascii="宋体" w:hAnsi="宋体"/>
          <w:color w:val="auto"/>
          <w:sz w:val="24"/>
          <w:highlight w:val="none"/>
        </w:rPr>
      </w:pPr>
      <w:bookmarkStart w:id="453" w:name="_Toc19273"/>
      <w:bookmarkStart w:id="454" w:name="_Toc20421"/>
      <w:bookmarkStart w:id="455" w:name="_Toc15367"/>
      <w:bookmarkStart w:id="456" w:name="_Toc22967"/>
      <w:bookmarkStart w:id="457" w:name="_Toc28855"/>
      <w:bookmarkStart w:id="458" w:name="_Toc19909"/>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53"/>
      <w:bookmarkEnd w:id="454"/>
      <w:bookmarkEnd w:id="455"/>
      <w:bookmarkEnd w:id="456"/>
      <w:bookmarkEnd w:id="457"/>
      <w:bookmarkEnd w:id="458"/>
    </w:p>
    <w:p w14:paraId="1D0FDD9A">
      <w:pPr>
        <w:pageBreakBefore w:val="0"/>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ED7A13F">
      <w:pPr>
        <w:pageBreakBefore w:val="0"/>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61673B22">
      <w:pPr>
        <w:pageBreakBefore w:val="0"/>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4E7D67D1">
      <w:pPr>
        <w:pageBreakBefore w:val="0"/>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709BF433">
      <w:pPr>
        <w:pageBreakBefore w:val="0"/>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6B829279">
      <w:pPr>
        <w:pageBreakBefore w:val="0"/>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1819A064">
      <w:pPr>
        <w:pageBreakBefore w:val="0"/>
        <w:kinsoku/>
        <w:wordWrap/>
        <w:overflowPunct/>
        <w:topLinePunct w:val="0"/>
        <w:bidi w:val="0"/>
        <w:snapToGrid/>
        <w:spacing w:line="360" w:lineRule="auto"/>
        <w:ind w:firstLine="482" w:firstLineChars="200"/>
        <w:textAlignment w:val="auto"/>
        <w:outlineLvl w:val="9"/>
        <w:rPr>
          <w:rFonts w:ascii="宋体" w:hAnsi="宋体"/>
          <w:b/>
          <w:color w:val="auto"/>
          <w:sz w:val="24"/>
          <w:highlight w:val="none"/>
        </w:rPr>
      </w:pPr>
      <w:bookmarkStart w:id="459" w:name="_Toc6311"/>
      <w:bookmarkStart w:id="460" w:name="_Toc18585"/>
      <w:bookmarkStart w:id="461" w:name="_Toc2918"/>
      <w:bookmarkStart w:id="462" w:name="_Toc4285"/>
      <w:bookmarkStart w:id="463" w:name="_Toc22185"/>
      <w:bookmarkStart w:id="464"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59"/>
      <w:bookmarkEnd w:id="460"/>
      <w:bookmarkEnd w:id="461"/>
      <w:bookmarkEnd w:id="462"/>
      <w:bookmarkEnd w:id="463"/>
      <w:bookmarkEnd w:id="464"/>
    </w:p>
    <w:p w14:paraId="488AE2B3">
      <w:pPr>
        <w:pageBreakBefore w:val="0"/>
        <w:kinsoku/>
        <w:wordWrap/>
        <w:overflowPunct/>
        <w:topLinePunct w:val="0"/>
        <w:bidi w:val="0"/>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6172AA23">
      <w:pPr>
        <w:pageBreakBefore w:val="0"/>
        <w:kinsoku/>
        <w:wordWrap/>
        <w:overflowPunct/>
        <w:topLinePunct w:val="0"/>
        <w:bidi w:val="0"/>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2FEE5C2">
      <w:pPr>
        <w:pageBreakBefore w:val="0"/>
        <w:kinsoku/>
        <w:wordWrap/>
        <w:overflowPunct/>
        <w:topLinePunct w:val="0"/>
        <w:bidi w:val="0"/>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none"/>
        </w:rPr>
        <w:t>；</w:t>
      </w:r>
    </w:p>
    <w:p w14:paraId="5F6681E3">
      <w:pPr>
        <w:pageBreakBefore w:val="0"/>
        <w:kinsoku/>
        <w:wordWrap/>
        <w:overflowPunct/>
        <w:topLinePunct w:val="0"/>
        <w:bidi w:val="0"/>
        <w:snapToGrid/>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14:paraId="2D9A5C9E">
      <w:pPr>
        <w:pStyle w:val="957"/>
        <w:pageBreakBefore w:val="0"/>
        <w:kinsoku/>
        <w:wordWrap/>
        <w:overflowPunct/>
        <w:topLinePunct w:val="0"/>
        <w:bidi w:val="0"/>
        <w:snapToGrid/>
        <w:spacing w:before="0" w:beforeAutospacing="0" w:after="0" w:afterAutospacing="0" w:line="360" w:lineRule="auto"/>
        <w:ind w:firstLine="480"/>
        <w:textAlignment w:val="auto"/>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7062D15F">
      <w:pPr>
        <w:pageBreakBefore w:val="0"/>
        <w:kinsoku/>
        <w:wordWrap/>
        <w:overflowPunct/>
        <w:topLinePunct w:val="0"/>
        <w:bidi w:val="0"/>
        <w:snapToGrid/>
        <w:spacing w:line="360" w:lineRule="auto"/>
        <w:ind w:firstLine="480" w:firstLineChars="200"/>
        <w:textAlignment w:val="auto"/>
        <w:rPr>
          <w:rFonts w:ascii="宋体" w:hAnsi="宋体" w:cs="宋体"/>
          <w:color w:val="auto"/>
          <w:sz w:val="24"/>
          <w:highlight w:val="none"/>
          <w:u w:val="single"/>
        </w:rPr>
      </w:pPr>
      <w:bookmarkStart w:id="465" w:name="_Toc13918"/>
      <w:bookmarkStart w:id="466" w:name="_Toc5635"/>
      <w:bookmarkStart w:id="467" w:name="_Toc1386"/>
      <w:bookmarkStart w:id="468" w:name="_Toc21124"/>
      <w:bookmarkStart w:id="469"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FE1E611">
      <w:pPr>
        <w:pageBreakBefore w:val="0"/>
        <w:kinsoku/>
        <w:wordWrap/>
        <w:overflowPunct/>
        <w:topLinePunct w:val="0"/>
        <w:bidi w:val="0"/>
        <w:snapToGrid/>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7C67290">
      <w:pPr>
        <w:pageBreakBefore w:val="0"/>
        <w:kinsoku/>
        <w:wordWrap/>
        <w:overflowPunct/>
        <w:topLinePunct w:val="0"/>
        <w:bidi w:val="0"/>
        <w:snapToGrid/>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F7958C0">
      <w:pPr>
        <w:pageBreakBefore w:val="0"/>
        <w:kinsoku/>
        <w:wordWrap/>
        <w:overflowPunct/>
        <w:topLinePunct w:val="0"/>
        <w:bidi w:val="0"/>
        <w:snapToGrid/>
        <w:spacing w:line="360" w:lineRule="auto"/>
        <w:ind w:firstLine="482" w:firstLineChars="200"/>
        <w:textAlignment w:val="auto"/>
        <w:outlineLvl w:val="9"/>
        <w:rPr>
          <w:rFonts w:ascii="宋体" w:hAnsi="宋体"/>
          <w:b/>
          <w:color w:val="auto"/>
          <w:sz w:val="24"/>
          <w:highlight w:val="none"/>
        </w:rPr>
      </w:pPr>
      <w:bookmarkStart w:id="470" w:name="_Toc9823"/>
      <w:r>
        <w:rPr>
          <w:rFonts w:ascii="宋体" w:hAnsi="宋体"/>
          <w:b/>
          <w:color w:val="auto"/>
          <w:sz w:val="24"/>
          <w:highlight w:val="none"/>
        </w:rPr>
        <w:t>1.3 价款</w:t>
      </w:r>
      <w:bookmarkEnd w:id="465"/>
      <w:bookmarkEnd w:id="466"/>
      <w:bookmarkEnd w:id="467"/>
      <w:bookmarkEnd w:id="468"/>
      <w:bookmarkEnd w:id="469"/>
      <w:bookmarkEnd w:id="470"/>
    </w:p>
    <w:p w14:paraId="64FC04FA">
      <w:pPr>
        <w:pageBreakBefore w:val="0"/>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条款规定的计价方式计价。</w:t>
      </w:r>
    </w:p>
    <w:p w14:paraId="4B6828A7">
      <w:pPr>
        <w:pageBreakBefore w:val="0"/>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5F097D81">
      <w:pPr>
        <w:pageBreakBefore w:val="0"/>
        <w:kinsoku/>
        <w:wordWrap/>
        <w:overflowPunct/>
        <w:topLinePunct w:val="0"/>
        <w:bidi w:val="0"/>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4309"/>
        <w:gridCol w:w="3264"/>
      </w:tblGrid>
      <w:tr w14:paraId="6A57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2" w:type="dxa"/>
            <w:vAlign w:val="center"/>
          </w:tcPr>
          <w:p w14:paraId="78C8A6E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309" w:type="dxa"/>
            <w:vAlign w:val="center"/>
          </w:tcPr>
          <w:p w14:paraId="5669F23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3264" w:type="dxa"/>
            <w:vAlign w:val="center"/>
          </w:tcPr>
          <w:p w14:paraId="422B081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0D65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2" w:type="dxa"/>
            <w:vAlign w:val="center"/>
          </w:tcPr>
          <w:p w14:paraId="7A1FCB16">
            <w:pPr>
              <w:jc w:val="center"/>
              <w:rPr>
                <w:rFonts w:hint="eastAsia" w:ascii="宋体" w:hAnsi="宋体" w:eastAsia="宋体" w:cs="宋体"/>
                <w:color w:val="auto"/>
                <w:sz w:val="24"/>
                <w:szCs w:val="24"/>
                <w:highlight w:val="none"/>
              </w:rPr>
            </w:pPr>
          </w:p>
        </w:tc>
        <w:tc>
          <w:tcPr>
            <w:tcW w:w="4309" w:type="dxa"/>
            <w:vAlign w:val="center"/>
          </w:tcPr>
          <w:p w14:paraId="4A28B649">
            <w:pPr>
              <w:jc w:val="center"/>
              <w:rPr>
                <w:rFonts w:hint="eastAsia" w:ascii="宋体" w:hAnsi="宋体" w:eastAsia="宋体" w:cs="宋体"/>
                <w:color w:val="auto"/>
                <w:sz w:val="24"/>
                <w:szCs w:val="24"/>
                <w:highlight w:val="none"/>
              </w:rPr>
            </w:pPr>
          </w:p>
        </w:tc>
        <w:tc>
          <w:tcPr>
            <w:tcW w:w="3264" w:type="dxa"/>
            <w:vAlign w:val="center"/>
          </w:tcPr>
          <w:p w14:paraId="3126B989">
            <w:pPr>
              <w:jc w:val="center"/>
              <w:rPr>
                <w:rFonts w:hint="eastAsia" w:ascii="宋体" w:hAnsi="宋体" w:eastAsia="宋体" w:cs="宋体"/>
                <w:color w:val="auto"/>
                <w:sz w:val="24"/>
                <w:szCs w:val="24"/>
                <w:highlight w:val="none"/>
              </w:rPr>
            </w:pPr>
          </w:p>
        </w:tc>
      </w:tr>
      <w:tr w14:paraId="4143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2" w:type="dxa"/>
            <w:vAlign w:val="center"/>
          </w:tcPr>
          <w:p w14:paraId="1583B464">
            <w:pPr>
              <w:jc w:val="center"/>
              <w:rPr>
                <w:rFonts w:hint="eastAsia" w:ascii="宋体" w:hAnsi="宋体" w:eastAsia="宋体" w:cs="宋体"/>
                <w:color w:val="auto"/>
                <w:sz w:val="24"/>
                <w:szCs w:val="24"/>
                <w:highlight w:val="none"/>
              </w:rPr>
            </w:pPr>
          </w:p>
        </w:tc>
        <w:tc>
          <w:tcPr>
            <w:tcW w:w="4309" w:type="dxa"/>
            <w:vAlign w:val="center"/>
          </w:tcPr>
          <w:p w14:paraId="504E5705">
            <w:pPr>
              <w:jc w:val="center"/>
              <w:rPr>
                <w:rFonts w:hint="eastAsia" w:ascii="宋体" w:hAnsi="宋体" w:eastAsia="宋体" w:cs="宋体"/>
                <w:color w:val="auto"/>
                <w:sz w:val="24"/>
                <w:szCs w:val="24"/>
                <w:highlight w:val="none"/>
              </w:rPr>
            </w:pPr>
          </w:p>
        </w:tc>
        <w:tc>
          <w:tcPr>
            <w:tcW w:w="3264" w:type="dxa"/>
            <w:vAlign w:val="center"/>
          </w:tcPr>
          <w:p w14:paraId="2CB07F74">
            <w:pPr>
              <w:jc w:val="center"/>
              <w:rPr>
                <w:rFonts w:hint="eastAsia" w:ascii="宋体" w:hAnsi="宋体" w:eastAsia="宋体" w:cs="宋体"/>
                <w:color w:val="auto"/>
                <w:sz w:val="24"/>
                <w:szCs w:val="24"/>
                <w:highlight w:val="none"/>
              </w:rPr>
            </w:pPr>
          </w:p>
        </w:tc>
      </w:tr>
      <w:tr w14:paraId="5008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2" w:type="dxa"/>
            <w:vAlign w:val="center"/>
          </w:tcPr>
          <w:p w14:paraId="66F48841">
            <w:pPr>
              <w:jc w:val="center"/>
              <w:rPr>
                <w:rFonts w:hint="eastAsia" w:ascii="宋体" w:hAnsi="宋体" w:eastAsia="宋体" w:cs="宋体"/>
                <w:color w:val="auto"/>
                <w:sz w:val="24"/>
                <w:szCs w:val="24"/>
                <w:highlight w:val="none"/>
              </w:rPr>
            </w:pPr>
          </w:p>
        </w:tc>
        <w:tc>
          <w:tcPr>
            <w:tcW w:w="4309" w:type="dxa"/>
            <w:vAlign w:val="center"/>
          </w:tcPr>
          <w:p w14:paraId="5ED7F37F">
            <w:pPr>
              <w:jc w:val="center"/>
              <w:rPr>
                <w:rFonts w:hint="eastAsia" w:ascii="宋体" w:hAnsi="宋体" w:eastAsia="宋体" w:cs="宋体"/>
                <w:color w:val="auto"/>
                <w:sz w:val="24"/>
                <w:szCs w:val="24"/>
                <w:highlight w:val="none"/>
              </w:rPr>
            </w:pPr>
          </w:p>
        </w:tc>
        <w:tc>
          <w:tcPr>
            <w:tcW w:w="3264" w:type="dxa"/>
            <w:vAlign w:val="center"/>
          </w:tcPr>
          <w:p w14:paraId="0A368A84">
            <w:pPr>
              <w:jc w:val="center"/>
              <w:rPr>
                <w:rFonts w:hint="eastAsia" w:ascii="宋体" w:hAnsi="宋体" w:eastAsia="宋体" w:cs="宋体"/>
                <w:color w:val="auto"/>
                <w:sz w:val="24"/>
                <w:szCs w:val="24"/>
                <w:highlight w:val="none"/>
              </w:rPr>
            </w:pPr>
          </w:p>
        </w:tc>
      </w:tr>
      <w:tr w14:paraId="6EE8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2" w:type="dxa"/>
            <w:vAlign w:val="center"/>
          </w:tcPr>
          <w:p w14:paraId="0DE1359C">
            <w:pPr>
              <w:jc w:val="center"/>
              <w:rPr>
                <w:rFonts w:hint="eastAsia" w:ascii="宋体" w:hAnsi="宋体" w:eastAsia="宋体" w:cs="宋体"/>
                <w:color w:val="auto"/>
                <w:sz w:val="24"/>
                <w:szCs w:val="24"/>
                <w:highlight w:val="none"/>
              </w:rPr>
            </w:pPr>
          </w:p>
        </w:tc>
        <w:tc>
          <w:tcPr>
            <w:tcW w:w="4309" w:type="dxa"/>
            <w:vAlign w:val="center"/>
          </w:tcPr>
          <w:p w14:paraId="32EDF149">
            <w:pPr>
              <w:jc w:val="center"/>
              <w:rPr>
                <w:rFonts w:hint="eastAsia" w:ascii="宋体" w:hAnsi="宋体" w:eastAsia="宋体" w:cs="宋体"/>
                <w:color w:val="auto"/>
                <w:sz w:val="24"/>
                <w:szCs w:val="24"/>
                <w:highlight w:val="none"/>
              </w:rPr>
            </w:pPr>
          </w:p>
        </w:tc>
        <w:tc>
          <w:tcPr>
            <w:tcW w:w="3264" w:type="dxa"/>
            <w:vAlign w:val="center"/>
          </w:tcPr>
          <w:p w14:paraId="12720B62">
            <w:pPr>
              <w:jc w:val="center"/>
              <w:rPr>
                <w:rFonts w:hint="eastAsia" w:ascii="宋体" w:hAnsi="宋体" w:eastAsia="宋体" w:cs="宋体"/>
                <w:color w:val="auto"/>
                <w:sz w:val="24"/>
                <w:szCs w:val="24"/>
                <w:highlight w:val="none"/>
              </w:rPr>
            </w:pPr>
          </w:p>
        </w:tc>
      </w:tr>
      <w:tr w14:paraId="29DE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41" w:type="dxa"/>
            <w:gridSpan w:val="2"/>
            <w:vAlign w:val="center"/>
          </w:tcPr>
          <w:p w14:paraId="0CB9F52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3264" w:type="dxa"/>
            <w:vAlign w:val="center"/>
          </w:tcPr>
          <w:p w14:paraId="17CCB574">
            <w:pPr>
              <w:jc w:val="center"/>
              <w:rPr>
                <w:rFonts w:hint="eastAsia" w:ascii="宋体" w:hAnsi="宋体" w:eastAsia="宋体" w:cs="宋体"/>
                <w:color w:val="auto"/>
                <w:sz w:val="24"/>
                <w:szCs w:val="24"/>
                <w:highlight w:val="none"/>
              </w:rPr>
            </w:pPr>
          </w:p>
        </w:tc>
      </w:tr>
    </w:tbl>
    <w:p w14:paraId="4F7AAACE">
      <w:pPr>
        <w:pageBreakBefore w:val="0"/>
        <w:kinsoku/>
        <w:wordWrap/>
        <w:overflowPunct/>
        <w:topLinePunct w:val="0"/>
        <w:bidi w:val="0"/>
        <w:snapToGrid/>
        <w:spacing w:line="360" w:lineRule="auto"/>
        <w:ind w:firstLine="480" w:firstLineChars="200"/>
        <w:textAlignment w:val="auto"/>
        <w:rPr>
          <w:rFonts w:hint="eastAsia" w:ascii="宋体" w:hAnsi="宋体"/>
          <w:bCs/>
          <w:color w:val="auto"/>
          <w:sz w:val="24"/>
          <w:highlight w:val="none"/>
        </w:rPr>
      </w:pPr>
      <w:bookmarkStart w:id="471" w:name="_Toc14993"/>
      <w:bookmarkStart w:id="472" w:name="_Toc30506"/>
      <w:bookmarkStart w:id="473" w:name="_Toc3654"/>
      <w:bookmarkStart w:id="474" w:name="_Toc26916"/>
      <w:bookmarkStart w:id="475"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505D6BBE">
      <w:pPr>
        <w:pageBreakBefore w:val="0"/>
        <w:kinsoku/>
        <w:wordWrap/>
        <w:overflowPunct/>
        <w:topLinePunct w:val="0"/>
        <w:bidi w:val="0"/>
        <w:snapToGrid/>
        <w:spacing w:line="360" w:lineRule="auto"/>
        <w:ind w:firstLine="480" w:firstLineChars="200"/>
        <w:textAlignment w:val="auto"/>
        <w:rPr>
          <w:color w:val="auto"/>
          <w:highlight w:val="none"/>
          <w:lang w:val="en-US"/>
        </w:rPr>
      </w:pPr>
      <w:bookmarkStart w:id="476" w:name="_Toc21828"/>
      <w:r>
        <w:rPr>
          <w:rFonts w:hint="eastAsia" w:ascii="宋体" w:hAnsi="宋体"/>
          <w:bCs/>
          <w:color w:val="auto"/>
          <w:sz w:val="24"/>
          <w:highlight w:val="none"/>
          <w:lang w:val="en-US"/>
        </w:rPr>
        <w:t>1</w:t>
      </w:r>
      <w:r>
        <w:rPr>
          <w:rFonts w:hint="eastAsia" w:ascii="宋体" w:hAnsi="宋体" w:eastAsia="宋体" w:cs="宋体"/>
          <w:b w:val="0"/>
          <w:bCs w:val="0"/>
          <w:color w:val="auto"/>
          <w:sz w:val="24"/>
          <w:highlight w:val="none"/>
          <w:lang w:val="en-US"/>
        </w:rPr>
        <w:t>.3.3其他计价方式：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bookmarkEnd w:id="476"/>
    </w:p>
    <w:bookmarkEnd w:id="471"/>
    <w:bookmarkEnd w:id="472"/>
    <w:bookmarkEnd w:id="473"/>
    <w:bookmarkEnd w:id="474"/>
    <w:bookmarkEnd w:id="475"/>
    <w:p w14:paraId="3CEBBE03">
      <w:pPr>
        <w:pageBreakBefore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color w:val="auto"/>
          <w:sz w:val="24"/>
          <w:szCs w:val="32"/>
          <w:highlight w:val="none"/>
        </w:rPr>
      </w:pPr>
      <w:bookmarkStart w:id="477" w:name="_Toc5859"/>
      <w:bookmarkStart w:id="478" w:name="_Toc22618"/>
      <w:bookmarkStart w:id="479" w:name="_Toc1814"/>
      <w:bookmarkStart w:id="480" w:name="_Toc10340"/>
      <w:bookmarkStart w:id="481" w:name="_Toc4760"/>
      <w:bookmarkStart w:id="482" w:name="_Toc8772"/>
      <w:bookmarkStart w:id="483" w:name="_Toc3625"/>
      <w:bookmarkStart w:id="484" w:name="_Toc31421"/>
      <w:bookmarkStart w:id="485" w:name="_Toc11108"/>
      <w:r>
        <w:rPr>
          <w:rFonts w:hint="eastAsia" w:ascii="宋体" w:hAnsi="宋体" w:eastAsia="宋体" w:cs="宋体"/>
          <w:b/>
          <w:color w:val="auto"/>
          <w:sz w:val="24"/>
          <w:szCs w:val="32"/>
          <w:highlight w:val="none"/>
        </w:rPr>
        <w:t>1.4履约保证金</w:t>
      </w:r>
      <w:bookmarkEnd w:id="477"/>
    </w:p>
    <w:p w14:paraId="54DE97B9">
      <w:pPr>
        <w:pStyle w:val="957"/>
        <w:pageBreakBefore w:val="0"/>
        <w:kinsoku/>
        <w:wordWrap/>
        <w:overflowPunct/>
        <w:topLinePunct w:val="0"/>
        <w:bidi w:val="0"/>
        <w:snapToGrid/>
        <w:spacing w:before="0" w:beforeAutospacing="0" w:after="0" w:afterAutospacing="0" w:line="360" w:lineRule="auto"/>
        <w:ind w:firstLine="480"/>
        <w:textAlignment w:val="auto"/>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4A6D2266">
      <w:pPr>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kern w:val="0"/>
          <w:sz w:val="24"/>
          <w:highlight w:val="none"/>
        </w:rPr>
      </w:pPr>
      <w:bookmarkStart w:id="486" w:name="_Toc19984"/>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bookmarkEnd w:id="486"/>
    </w:p>
    <w:p w14:paraId="7235CE1C">
      <w:pPr>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kern w:val="0"/>
          <w:sz w:val="24"/>
          <w:highlight w:val="none"/>
        </w:rPr>
      </w:pPr>
      <w:bookmarkStart w:id="487" w:name="_Toc16284"/>
      <w:r>
        <w:rPr>
          <w:rFonts w:hint="eastAsia" w:ascii="宋体" w:hAnsi="宋体" w:cs="宋体"/>
          <w:color w:val="auto"/>
          <w:kern w:val="0"/>
          <w:sz w:val="24"/>
          <w:highlight w:val="none"/>
        </w:rPr>
        <w:t>1.4.2履约保证金支付方式详见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bookmarkEnd w:id="487"/>
    </w:p>
    <w:p w14:paraId="5639F4FA">
      <w:pPr>
        <w:pageBreakBefore w:val="0"/>
        <w:kinsoku/>
        <w:wordWrap/>
        <w:overflowPunct/>
        <w:topLinePunct w:val="0"/>
        <w:bidi w:val="0"/>
        <w:snapToGrid/>
        <w:spacing w:line="360" w:lineRule="auto"/>
        <w:ind w:firstLine="480" w:firstLineChars="200"/>
        <w:textAlignment w:val="auto"/>
        <w:outlineLvl w:val="9"/>
        <w:rPr>
          <w:color w:val="auto"/>
          <w:highlight w:val="none"/>
          <w:lang w:val="en-US"/>
        </w:rPr>
      </w:pPr>
      <w:bookmarkStart w:id="488" w:name="_Toc17450"/>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bookmarkEnd w:id="488"/>
    </w:p>
    <w:p w14:paraId="1479FEF8">
      <w:pPr>
        <w:pageBreakBefore w:val="0"/>
        <w:kinsoku/>
        <w:wordWrap/>
        <w:overflowPunct/>
        <w:topLinePunct w:val="0"/>
        <w:bidi w:val="0"/>
        <w:snapToGrid/>
        <w:spacing w:line="360" w:lineRule="auto"/>
        <w:ind w:firstLine="480" w:firstLineChars="200"/>
        <w:textAlignment w:val="auto"/>
        <w:outlineLvl w:val="9"/>
        <w:rPr>
          <w:rFonts w:ascii="宋体" w:hAnsi="宋体" w:cs="宋体"/>
          <w:color w:val="auto"/>
          <w:kern w:val="0"/>
          <w:sz w:val="24"/>
          <w:highlight w:val="none"/>
        </w:rPr>
      </w:pPr>
      <w:bookmarkStart w:id="489" w:name="_Toc3997"/>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rPr>
        <w:t>%。</w:t>
      </w:r>
      <w:bookmarkEnd w:id="489"/>
    </w:p>
    <w:p w14:paraId="68496D25">
      <w:pPr>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490" w:name="_Toc13282"/>
      <w:r>
        <w:rPr>
          <w:rFonts w:hint="eastAsia" w:ascii="宋体" w:hAnsi="宋体" w:cs="宋体"/>
          <w:b/>
          <w:color w:val="auto"/>
          <w:sz w:val="24"/>
          <w:highlight w:val="none"/>
        </w:rPr>
        <w:t>1.5</w:t>
      </w:r>
      <w:bookmarkEnd w:id="478"/>
      <w:bookmarkEnd w:id="479"/>
      <w:bookmarkEnd w:id="480"/>
      <w:r>
        <w:rPr>
          <w:rFonts w:hint="eastAsia" w:ascii="宋体" w:hAnsi="宋体" w:cs="宋体"/>
          <w:b/>
          <w:color w:val="auto"/>
          <w:sz w:val="24"/>
          <w:highlight w:val="none"/>
        </w:rPr>
        <w:t>预付款</w:t>
      </w:r>
      <w:bookmarkEnd w:id="490"/>
    </w:p>
    <w:p w14:paraId="142EDAB1">
      <w:pPr>
        <w:pStyle w:val="957"/>
        <w:pageBreakBefore w:val="0"/>
        <w:kinsoku/>
        <w:wordWrap/>
        <w:overflowPunct/>
        <w:topLinePunct w:val="0"/>
        <w:bidi w:val="0"/>
        <w:snapToGrid/>
        <w:spacing w:before="0" w:beforeAutospacing="0" w:after="0" w:afterAutospacing="0" w:line="360" w:lineRule="auto"/>
        <w:ind w:firstLine="480"/>
        <w:textAlignment w:val="auto"/>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66EFA8EA">
      <w:pPr>
        <w:pageBreakBefore w:val="0"/>
        <w:kinsoku/>
        <w:wordWrap/>
        <w:overflowPunct/>
        <w:topLinePunct w:val="0"/>
        <w:bidi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14:paraId="445CFC27">
      <w:pPr>
        <w:pStyle w:val="957"/>
        <w:pageBreakBefore w:val="0"/>
        <w:kinsoku/>
        <w:wordWrap/>
        <w:overflowPunct/>
        <w:topLinePunct w:val="0"/>
        <w:bidi w:val="0"/>
        <w:snapToGrid/>
        <w:spacing w:before="0" w:beforeAutospacing="0" w:after="0" w:afterAutospacing="0" w:line="360" w:lineRule="auto"/>
        <w:ind w:firstLine="480"/>
        <w:textAlignment w:val="auto"/>
        <w:rPr>
          <w:color w:val="auto"/>
          <w:highlight w:val="none"/>
        </w:rPr>
      </w:pPr>
      <w:r>
        <w:rPr>
          <w:rFonts w:hint="eastAsia"/>
          <w:color w:val="auto"/>
          <w:highlight w:val="none"/>
        </w:rPr>
        <w:t>1.5.2预付款的扣回方式详见</w:t>
      </w:r>
      <w:r>
        <w:rPr>
          <w:rFonts w:hint="eastAsia"/>
          <w:b/>
          <w:i/>
          <w:color w:val="auto"/>
          <w:highlight w:val="none"/>
          <w:u w:val="single"/>
        </w:rPr>
        <w:t>合同专用条款</w:t>
      </w:r>
      <w:r>
        <w:rPr>
          <w:rFonts w:hint="eastAsia"/>
          <w:color w:val="auto"/>
          <w:highlight w:val="none"/>
        </w:rPr>
        <w:t>；</w:t>
      </w:r>
    </w:p>
    <w:p w14:paraId="60C7133D">
      <w:pPr>
        <w:pStyle w:val="957"/>
        <w:pageBreakBefore w:val="0"/>
        <w:kinsoku/>
        <w:wordWrap/>
        <w:overflowPunct/>
        <w:topLinePunct w:val="0"/>
        <w:bidi w:val="0"/>
        <w:snapToGrid/>
        <w:spacing w:before="0" w:beforeAutospacing="0" w:after="0" w:afterAutospacing="0" w:line="360" w:lineRule="auto"/>
        <w:ind w:firstLine="480"/>
        <w:textAlignment w:val="auto"/>
        <w:rPr>
          <w:color w:val="auto"/>
          <w:highlight w:val="none"/>
          <w:u w:val="single"/>
        </w:rPr>
      </w:pPr>
      <w:r>
        <w:rPr>
          <w:rFonts w:hint="eastAsia"/>
          <w:color w:val="auto"/>
          <w:highlight w:val="none"/>
        </w:rPr>
        <w:t>1.5.3预付款的担保措施详见</w:t>
      </w:r>
      <w:r>
        <w:rPr>
          <w:rFonts w:hint="eastAsia"/>
          <w:b/>
          <w:i/>
          <w:color w:val="auto"/>
          <w:highlight w:val="none"/>
          <w:u w:val="single"/>
        </w:rPr>
        <w:t>合同专用条款</w:t>
      </w:r>
      <w:r>
        <w:rPr>
          <w:rFonts w:hint="eastAsia"/>
          <w:color w:val="auto"/>
          <w:highlight w:val="none"/>
        </w:rPr>
        <w:t>。</w:t>
      </w:r>
    </w:p>
    <w:p w14:paraId="669A9BB8">
      <w:pPr>
        <w:pageBreakBefore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32"/>
          <w:highlight w:val="none"/>
        </w:rPr>
      </w:pPr>
      <w:bookmarkStart w:id="491" w:name="_Toc15724"/>
      <w:r>
        <w:rPr>
          <w:rFonts w:hint="eastAsia" w:ascii="宋体" w:hAnsi="宋体" w:eastAsia="宋体" w:cs="宋体"/>
          <w:b/>
          <w:bCs/>
          <w:color w:val="auto"/>
          <w:sz w:val="24"/>
          <w:szCs w:val="32"/>
          <w:highlight w:val="none"/>
        </w:rPr>
        <w:t>1.6资金支付</w:t>
      </w:r>
      <w:bookmarkEnd w:id="491"/>
    </w:p>
    <w:p w14:paraId="1EB2A73F">
      <w:pPr>
        <w:pageBreakBefore w:val="0"/>
        <w:kinsoku/>
        <w:wordWrap/>
        <w:overflowPunct/>
        <w:topLinePunct w:val="0"/>
        <w:bidi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2835251">
      <w:pPr>
        <w:pageBreakBefore w:val="0"/>
        <w:kinsoku/>
        <w:wordWrap/>
        <w:overflowPunct/>
        <w:topLinePunct w:val="0"/>
        <w:bidi w:val="0"/>
        <w:snapToGrid/>
        <w:spacing w:line="360" w:lineRule="auto"/>
        <w:ind w:firstLine="480" w:firstLineChars="200"/>
        <w:textAlignment w:val="auto"/>
        <w:rPr>
          <w:rFonts w:ascii="宋体" w:hAnsi="宋体" w:cs="宋体"/>
          <w:color w:val="auto"/>
          <w:sz w:val="24"/>
          <w:highlight w:val="none"/>
        </w:rPr>
      </w:pPr>
      <w:bookmarkStart w:id="492" w:name="_Toc24369"/>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bookmarkEnd w:id="492"/>
    </w:p>
    <w:p w14:paraId="512F546B">
      <w:pPr>
        <w:pageBreakBefore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color w:val="auto"/>
          <w:sz w:val="24"/>
          <w:szCs w:val="32"/>
          <w:highlight w:val="none"/>
        </w:rPr>
      </w:pPr>
      <w:bookmarkStart w:id="493" w:name="_Toc6760"/>
      <w:r>
        <w:rPr>
          <w:rFonts w:hint="eastAsia" w:ascii="宋体" w:hAnsi="宋体" w:eastAsia="宋体" w:cs="宋体"/>
          <w:b/>
          <w:bCs/>
          <w:color w:val="auto"/>
          <w:sz w:val="24"/>
          <w:szCs w:val="32"/>
          <w:highlight w:val="none"/>
        </w:rPr>
        <w:t>1.7 履行期限、地点和方式</w:t>
      </w:r>
      <w:bookmarkEnd w:id="481"/>
      <w:bookmarkEnd w:id="482"/>
      <w:bookmarkEnd w:id="483"/>
      <w:bookmarkEnd w:id="484"/>
      <w:bookmarkEnd w:id="485"/>
      <w:bookmarkEnd w:id="493"/>
    </w:p>
    <w:p w14:paraId="3E2AA18F">
      <w:pPr>
        <w:pageBreakBefore w:val="0"/>
        <w:kinsoku/>
        <w:wordWrap/>
        <w:overflowPunct/>
        <w:topLinePunct w:val="0"/>
        <w:bidi w:val="0"/>
        <w:snapToGrid/>
        <w:spacing w:line="360" w:lineRule="auto"/>
        <w:ind w:firstLine="480" w:firstLineChars="200"/>
        <w:textAlignment w:val="auto"/>
        <w:rPr>
          <w:rFonts w:ascii="宋体" w:hAnsi="宋体"/>
          <w:color w:val="auto"/>
          <w:sz w:val="24"/>
          <w:highlight w:val="none"/>
          <w:u w:val="single"/>
        </w:rPr>
      </w:pPr>
      <w:bookmarkStart w:id="494" w:name="_Toc13343"/>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bookmarkEnd w:id="494"/>
    </w:p>
    <w:p w14:paraId="1D4DCD27">
      <w:pPr>
        <w:pageBreakBefore w:val="0"/>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67EC417">
      <w:pPr>
        <w:pageBreakBefore w:val="0"/>
        <w:kinsoku/>
        <w:wordWrap/>
        <w:overflowPunct/>
        <w:topLinePunct w:val="0"/>
        <w:bidi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C04174B">
      <w:pPr>
        <w:pageBreakBefore w:val="0"/>
        <w:kinsoku/>
        <w:wordWrap/>
        <w:overflowPunct/>
        <w:topLinePunct w:val="0"/>
        <w:bidi w:val="0"/>
        <w:snapToGrid/>
        <w:spacing w:line="360" w:lineRule="auto"/>
        <w:ind w:firstLine="480" w:firstLineChars="200"/>
        <w:textAlignment w:val="auto"/>
        <w:rPr>
          <w:rFonts w:ascii="宋体" w:hAnsi="宋体"/>
          <w:bCs/>
          <w:color w:val="auto"/>
          <w:sz w:val="24"/>
          <w:highlight w:val="none"/>
        </w:rPr>
      </w:pPr>
      <w:bookmarkStart w:id="495" w:name="_Toc15893"/>
      <w:bookmarkStart w:id="496" w:name="_Toc8586"/>
      <w:bookmarkStart w:id="497" w:name="_Toc2375"/>
      <w:bookmarkStart w:id="498" w:name="_Toc3079"/>
      <w:bookmarkStart w:id="499" w:name="_Toc24662"/>
      <w:bookmarkStart w:id="500" w:name="_Toc5698"/>
      <w:r>
        <w:rPr>
          <w:rFonts w:hint="eastAsia" w:ascii="宋体" w:hAnsi="宋体"/>
          <w:bCs/>
          <w:color w:val="auto"/>
          <w:sz w:val="24"/>
          <w:highlight w:val="none"/>
        </w:rPr>
        <w:t>1.7.4若服务</w:t>
      </w:r>
      <w:r>
        <w:rPr>
          <w:rFonts w:hint="eastAsia"/>
          <w:bCs/>
          <w:color w:val="auto"/>
          <w:sz w:val="24"/>
          <w:highlight w:val="none"/>
        </w:rPr>
        <w:t>涉及货物的，则货物的：</w:t>
      </w:r>
      <w:bookmarkEnd w:id="495"/>
    </w:p>
    <w:p w14:paraId="64947D2E">
      <w:pPr>
        <w:pageBreakBefore w:val="0"/>
        <w:kinsoku/>
        <w:wordWrap/>
        <w:overflowPunct/>
        <w:topLinePunct w:val="0"/>
        <w:bidi w:val="0"/>
        <w:snapToGrid/>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4B6D873">
      <w:pPr>
        <w:pageBreakBefore w:val="0"/>
        <w:kinsoku/>
        <w:wordWrap/>
        <w:overflowPunct/>
        <w:topLinePunct w:val="0"/>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F4CBE1C">
      <w:pPr>
        <w:pageBreakBefore w:val="0"/>
        <w:kinsoku/>
        <w:wordWrap/>
        <w:overflowPunct/>
        <w:topLinePunct w:val="0"/>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8EBA2A3">
      <w:pPr>
        <w:pageBreakBefore w:val="0"/>
        <w:kinsoku/>
        <w:wordWrap/>
        <w:overflowPunct/>
        <w:topLinePunct w:val="0"/>
        <w:bidi w:val="0"/>
        <w:snapToGrid/>
        <w:spacing w:line="360" w:lineRule="auto"/>
        <w:ind w:firstLine="482" w:firstLineChars="200"/>
        <w:textAlignment w:val="auto"/>
        <w:outlineLvl w:val="9"/>
        <w:rPr>
          <w:rFonts w:ascii="宋体" w:hAnsi="宋体"/>
          <w:color w:val="auto"/>
          <w:sz w:val="24"/>
          <w:highlight w:val="none"/>
          <w:u w:val="single"/>
        </w:rPr>
      </w:pPr>
      <w:bookmarkStart w:id="501" w:name="_Toc12117"/>
      <w:r>
        <w:rPr>
          <w:rFonts w:ascii="宋体" w:hAnsi="宋体"/>
          <w:b/>
          <w:color w:val="auto"/>
          <w:sz w:val="24"/>
          <w:highlight w:val="none"/>
        </w:rPr>
        <w:t>1.</w:t>
      </w:r>
      <w:r>
        <w:rPr>
          <w:rFonts w:hint="eastAsia" w:ascii="宋体" w:hAnsi="宋体"/>
          <w:b/>
          <w:color w:val="auto"/>
          <w:sz w:val="24"/>
          <w:highlight w:val="none"/>
        </w:rPr>
        <w:t>8违约责任</w:t>
      </w:r>
      <w:bookmarkEnd w:id="496"/>
      <w:bookmarkEnd w:id="497"/>
      <w:bookmarkEnd w:id="498"/>
      <w:bookmarkEnd w:id="499"/>
      <w:bookmarkEnd w:id="500"/>
      <w:bookmarkEnd w:id="501"/>
    </w:p>
    <w:p w14:paraId="68CC3E3A">
      <w:pPr>
        <w:pageBreakBefore w:val="0"/>
        <w:kinsoku/>
        <w:wordWrap/>
        <w:overflowPunct/>
        <w:topLinePunct w:val="0"/>
        <w:bidi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rPr>
        <w:t>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20%</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14:paraId="0A4DD14A">
      <w:pPr>
        <w:pageBreakBefore w:val="0"/>
        <w:kinsoku/>
        <w:wordWrap/>
        <w:overflowPunct/>
        <w:topLinePunct w:val="0"/>
        <w:bidi w:val="0"/>
        <w:snapToGrid/>
        <w:spacing w:line="360" w:lineRule="auto"/>
        <w:ind w:firstLine="480" w:firstLineChars="200"/>
        <w:textAlignment w:val="auto"/>
        <w:rPr>
          <w:rFonts w:hint="eastAsia" w:ascii="宋体" w:hAnsi="宋体" w:cs="宋体"/>
          <w:color w:val="auto"/>
          <w:sz w:val="24"/>
          <w:highlight w:val="none"/>
          <w:lang w:val="en-US"/>
        </w:rPr>
      </w:pPr>
      <w:bookmarkStart w:id="502" w:name="_Toc12514"/>
      <w:r>
        <w:rPr>
          <w:rFonts w:hint="eastAsia" w:ascii="宋体" w:hAnsi="宋体" w:cs="宋体"/>
          <w:color w:val="auto"/>
          <w:sz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lang w:val="en-US"/>
        </w:rPr>
        <w:t>0.05%</w:t>
      </w:r>
      <w:r>
        <w:rPr>
          <w:rFonts w:hint="eastAsia" w:ascii="宋体" w:hAnsi="宋体" w:cs="宋体"/>
          <w:color w:val="auto"/>
          <w:sz w:val="24"/>
          <w:highlight w:val="none"/>
          <w:lang w:val="en-US"/>
        </w:rPr>
        <w:t>计算，最高限额为本合同总价的</w:t>
      </w:r>
      <w:r>
        <w:rPr>
          <w:rFonts w:hint="eastAsia" w:ascii="宋体" w:hAnsi="宋体" w:cs="宋体"/>
          <w:color w:val="auto"/>
          <w:sz w:val="24"/>
          <w:highlight w:val="none"/>
          <w:u w:val="single"/>
          <w:lang w:val="en-US"/>
        </w:rPr>
        <w:t>20%</w:t>
      </w:r>
      <w:r>
        <w:rPr>
          <w:rFonts w:hint="eastAsia" w:ascii="宋体" w:hAnsi="宋体" w:cs="宋体"/>
          <w:color w:val="auto"/>
          <w:sz w:val="24"/>
          <w:highlight w:val="none"/>
          <w:lang w:val="en-US"/>
        </w:rPr>
        <w:t>；迟延交付货物的违约金计算数额达到前述最高限额之日起，甲方有权在要求乙方支付违约金的同时，书面通知乙方解除本合同；</w:t>
      </w:r>
      <w:bookmarkEnd w:id="502"/>
    </w:p>
    <w:p w14:paraId="61A2FAFC">
      <w:pPr>
        <w:pageBreakBefore w:val="0"/>
        <w:kinsoku/>
        <w:wordWrap/>
        <w:overflowPunct/>
        <w:topLinePunct w:val="0"/>
        <w:bidi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0.05%</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20%</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5A7AE768">
      <w:pPr>
        <w:pageBreakBefore w:val="0"/>
        <w:kinsoku/>
        <w:wordWrap/>
        <w:overflowPunct/>
        <w:topLinePunct w:val="0"/>
        <w:bidi w:val="0"/>
        <w:snapToGrid/>
        <w:spacing w:line="360" w:lineRule="auto"/>
        <w:ind w:firstLine="480" w:firstLineChars="200"/>
        <w:textAlignment w:val="auto"/>
        <w:rPr>
          <w:rFonts w:ascii="宋体" w:hAnsi="宋体" w:cs="宋体"/>
          <w:color w:val="auto"/>
          <w:sz w:val="24"/>
          <w:highlight w:val="none"/>
        </w:rPr>
      </w:pPr>
      <w:bookmarkStart w:id="503" w:name="_Toc9497"/>
      <w:bookmarkStart w:id="504" w:name="_Toc30329"/>
      <w:bookmarkStart w:id="505" w:name="_Toc18683"/>
      <w:bookmarkStart w:id="506" w:name="_Toc32454"/>
      <w:bookmarkStart w:id="507"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1D92D99">
      <w:pPr>
        <w:pageBreakBefore w:val="0"/>
        <w:kinsoku/>
        <w:wordWrap/>
        <w:overflowPunct/>
        <w:topLinePunct w:val="0"/>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BC21A77">
      <w:pPr>
        <w:pageBreakBefore w:val="0"/>
        <w:kinsoku/>
        <w:wordWrap/>
        <w:overflowPunct/>
        <w:topLinePunct w:val="0"/>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3EE6263">
      <w:pPr>
        <w:pageBreakBefore w:val="0"/>
        <w:kinsoku/>
        <w:wordWrap/>
        <w:overflowPunct/>
        <w:topLinePunct w:val="0"/>
        <w:bidi w:val="0"/>
        <w:snapToGrid/>
        <w:spacing w:line="360" w:lineRule="auto"/>
        <w:ind w:firstLine="480" w:firstLineChars="200"/>
        <w:textAlignment w:val="auto"/>
        <w:rPr>
          <w:rFonts w:ascii="宋体" w:hAnsi="宋体" w:cs="宋体"/>
          <w:color w:val="auto"/>
          <w:highlight w:val="none"/>
        </w:rPr>
      </w:pPr>
      <w:bookmarkStart w:id="508" w:name="_Toc25667"/>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bookmarkEnd w:id="508"/>
    </w:p>
    <w:bookmarkEnd w:id="503"/>
    <w:bookmarkEnd w:id="504"/>
    <w:bookmarkEnd w:id="505"/>
    <w:bookmarkEnd w:id="506"/>
    <w:bookmarkEnd w:id="507"/>
    <w:p w14:paraId="1DAAAA18">
      <w:pPr>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509" w:name="_Toc28375"/>
      <w:bookmarkStart w:id="510" w:name="_Toc14902"/>
      <w:bookmarkStart w:id="511" w:name="_Toc16021"/>
      <w:bookmarkStart w:id="512" w:name="_Toc15583"/>
      <w:r>
        <w:rPr>
          <w:rFonts w:hint="eastAsia" w:ascii="宋体" w:hAnsi="宋体" w:cs="宋体"/>
          <w:b/>
          <w:color w:val="auto"/>
          <w:sz w:val="24"/>
          <w:highlight w:val="none"/>
        </w:rPr>
        <w:t>1.9合同争议的解决</w:t>
      </w:r>
      <w:bookmarkEnd w:id="509"/>
      <w:bookmarkEnd w:id="510"/>
      <w:bookmarkEnd w:id="511"/>
      <w:bookmarkEnd w:id="512"/>
    </w:p>
    <w:p w14:paraId="43CC5326">
      <w:pPr>
        <w:pageBreakBefore w:val="0"/>
        <w:kinsoku/>
        <w:wordWrap/>
        <w:overflowPunct/>
        <w:topLinePunct w:val="0"/>
        <w:bidi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 </w:t>
      </w:r>
      <w:r>
        <w:rPr>
          <w:rFonts w:hint="eastAsia" w:ascii="宋体" w:hAnsi="宋体" w:cs="宋体"/>
          <w:b/>
          <w:bCs/>
          <w:color w:val="auto"/>
          <w:sz w:val="24"/>
          <w:highlight w:val="none"/>
          <w:u w:val="single"/>
          <w:lang w:val="en-US" w:eastAsia="zh-CN"/>
        </w:rPr>
        <w:t>1.9.2</w:t>
      </w:r>
      <w:r>
        <w:rPr>
          <w:rFonts w:hint="eastAsia" w:ascii="宋体" w:hAnsi="宋体" w:cs="宋体"/>
          <w:color w:val="auto"/>
          <w:sz w:val="24"/>
          <w:highlight w:val="none"/>
        </w:rPr>
        <w:t xml:space="preserve"> 条款规定的方式解决：</w:t>
      </w:r>
    </w:p>
    <w:p w14:paraId="6FE174DB">
      <w:pPr>
        <w:pageBreakBefore w:val="0"/>
        <w:kinsoku/>
        <w:wordWrap/>
        <w:overflowPunct/>
        <w:topLinePunct w:val="0"/>
        <w:bidi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B3691D6">
      <w:pPr>
        <w:pageBreakBefore w:val="0"/>
        <w:kinsoku/>
        <w:wordWrap/>
        <w:overflowPunct/>
        <w:topLinePunct w:val="0"/>
        <w:bidi w:val="0"/>
        <w:snapToGrid/>
        <w:spacing w:line="360" w:lineRule="auto"/>
        <w:ind w:firstLine="480" w:firstLineChars="200"/>
        <w:textAlignment w:val="auto"/>
        <w:rPr>
          <w:rFonts w:ascii="宋体" w:hAnsi="宋体" w:cs="宋体"/>
          <w:color w:val="auto"/>
          <w:sz w:val="24"/>
          <w:highlight w:val="none"/>
        </w:rPr>
      </w:pPr>
      <w:bookmarkStart w:id="513" w:name="_Toc24457"/>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bookmarkEnd w:id="513"/>
    </w:p>
    <w:p w14:paraId="4002B554">
      <w:pPr>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514" w:name="_Toc21440"/>
      <w:bookmarkStart w:id="515" w:name="_Toc15322"/>
      <w:bookmarkStart w:id="516" w:name="_Toc7245"/>
      <w:bookmarkStart w:id="517" w:name="_Toc11173"/>
      <w:r>
        <w:rPr>
          <w:rFonts w:hint="eastAsia" w:ascii="宋体" w:hAnsi="宋体" w:cs="宋体"/>
          <w:b/>
          <w:color w:val="auto"/>
          <w:sz w:val="24"/>
          <w:highlight w:val="none"/>
        </w:rPr>
        <w:t>2.0 合同生效</w:t>
      </w:r>
      <w:bookmarkEnd w:id="514"/>
      <w:bookmarkEnd w:id="515"/>
      <w:bookmarkEnd w:id="516"/>
      <w:bookmarkEnd w:id="517"/>
    </w:p>
    <w:p w14:paraId="4B63CCA1">
      <w:pPr>
        <w:pageBreakBefore w:val="0"/>
        <w:kinsoku/>
        <w:wordWrap/>
        <w:overflowPunct/>
        <w:topLinePunct w:val="0"/>
        <w:bidi w:val="0"/>
        <w:snapToGrid/>
        <w:spacing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475B4CD">
      <w:pPr>
        <w:pageBreakBefore w:val="0"/>
        <w:kinsoku/>
        <w:wordWrap/>
        <w:overflowPunct/>
        <w:topLinePunct w:val="0"/>
        <w:autoSpaceDE w:val="0"/>
        <w:autoSpaceDN w:val="0"/>
        <w:bidi w:val="0"/>
        <w:snapToGrid/>
        <w:spacing w:line="360" w:lineRule="auto"/>
        <w:textAlignment w:val="auto"/>
        <w:rPr>
          <w:rFonts w:ascii="宋体" w:hAnsi="宋体"/>
          <w:color w:val="auto"/>
          <w:sz w:val="24"/>
          <w:highlight w:val="none"/>
          <w:lang w:val="zh-CN"/>
        </w:rPr>
      </w:pPr>
    </w:p>
    <w:p w14:paraId="5D2BC73C">
      <w:pPr>
        <w:pageBreakBefore w:val="0"/>
        <w:kinsoku/>
        <w:wordWrap/>
        <w:overflowPunct/>
        <w:topLinePunct w:val="0"/>
        <w:autoSpaceDE w:val="0"/>
        <w:autoSpaceDN w:val="0"/>
        <w:bidi w:val="0"/>
        <w:snapToGrid/>
        <w:spacing w:line="360" w:lineRule="auto"/>
        <w:textAlignment w:val="auto"/>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37D38D20">
      <w:pPr>
        <w:pageBreakBefore w:val="0"/>
        <w:kinsoku/>
        <w:wordWrap/>
        <w:overflowPunct/>
        <w:topLinePunct w:val="0"/>
        <w:autoSpaceDE w:val="0"/>
        <w:autoSpaceDN w:val="0"/>
        <w:bidi w:val="0"/>
        <w:snapToGrid/>
        <w:spacing w:line="360" w:lineRule="auto"/>
        <w:textAlignment w:val="auto"/>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08443523">
      <w:pPr>
        <w:pageBreakBefore w:val="0"/>
        <w:kinsoku/>
        <w:wordWrap/>
        <w:overflowPunct/>
        <w:topLinePunct w:val="0"/>
        <w:autoSpaceDE w:val="0"/>
        <w:autoSpaceDN w:val="0"/>
        <w:bidi w:val="0"/>
        <w:snapToGrid/>
        <w:spacing w:line="360" w:lineRule="auto"/>
        <w:textAlignment w:val="auto"/>
        <w:rPr>
          <w:rFonts w:ascii="宋体" w:hAnsi="宋体"/>
          <w:color w:val="auto"/>
          <w:sz w:val="24"/>
          <w:highlight w:val="none"/>
          <w:lang w:val="zh-CN"/>
        </w:rPr>
      </w:pPr>
    </w:p>
    <w:p w14:paraId="24061343">
      <w:pPr>
        <w:pageBreakBefore w:val="0"/>
        <w:kinsoku/>
        <w:wordWrap/>
        <w:overflowPunct/>
        <w:topLinePunct w:val="0"/>
        <w:autoSpaceDE w:val="0"/>
        <w:autoSpaceDN w:val="0"/>
        <w:bidi w:val="0"/>
        <w:snapToGrid/>
        <w:spacing w:line="360" w:lineRule="auto"/>
        <w:textAlignment w:val="auto"/>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77DB9C0D">
      <w:pPr>
        <w:pageBreakBefore w:val="0"/>
        <w:kinsoku/>
        <w:wordWrap/>
        <w:overflowPunct/>
        <w:topLinePunct w:val="0"/>
        <w:autoSpaceDE w:val="0"/>
        <w:autoSpaceDN w:val="0"/>
        <w:bidi w:val="0"/>
        <w:snapToGrid/>
        <w:spacing w:line="360" w:lineRule="auto"/>
        <w:textAlignment w:val="auto"/>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632BDD7F">
      <w:pPr>
        <w:pageBreakBefore w:val="0"/>
        <w:kinsoku/>
        <w:wordWrap/>
        <w:overflowPunct/>
        <w:topLinePunct w:val="0"/>
        <w:autoSpaceDE w:val="0"/>
        <w:autoSpaceDN w:val="0"/>
        <w:bidi w:val="0"/>
        <w:snapToGrid/>
        <w:spacing w:line="360" w:lineRule="auto"/>
        <w:textAlignment w:val="auto"/>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53BDFBB0">
      <w:pPr>
        <w:pageBreakBefore w:val="0"/>
        <w:kinsoku/>
        <w:wordWrap/>
        <w:overflowPunct/>
        <w:topLinePunct w:val="0"/>
        <w:autoSpaceDE w:val="0"/>
        <w:autoSpaceDN w:val="0"/>
        <w:bidi w:val="0"/>
        <w:snapToGrid/>
        <w:spacing w:line="360" w:lineRule="auto"/>
        <w:textAlignment w:val="auto"/>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2800C52A">
      <w:pPr>
        <w:pageBreakBefore w:val="0"/>
        <w:kinsoku/>
        <w:wordWrap/>
        <w:overflowPunct/>
        <w:topLinePunct w:val="0"/>
        <w:autoSpaceDE w:val="0"/>
        <w:autoSpaceDN w:val="0"/>
        <w:bidi w:val="0"/>
        <w:snapToGrid/>
        <w:spacing w:line="360" w:lineRule="auto"/>
        <w:textAlignment w:val="auto"/>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AB46F5D">
      <w:pPr>
        <w:pageBreakBefore w:val="0"/>
        <w:kinsoku/>
        <w:wordWrap/>
        <w:overflowPunct/>
        <w:topLinePunct w:val="0"/>
        <w:autoSpaceDE w:val="0"/>
        <w:autoSpaceDN w:val="0"/>
        <w:bidi w:val="0"/>
        <w:snapToGrid/>
        <w:spacing w:line="360" w:lineRule="auto"/>
        <w:textAlignment w:val="auto"/>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36F61595">
      <w:pPr>
        <w:pageBreakBefore w:val="0"/>
        <w:kinsoku/>
        <w:wordWrap/>
        <w:overflowPunct/>
        <w:topLinePunct w:val="0"/>
        <w:autoSpaceDE w:val="0"/>
        <w:autoSpaceDN w:val="0"/>
        <w:bidi w:val="0"/>
        <w:snapToGrid/>
        <w:spacing w:line="360" w:lineRule="auto"/>
        <w:textAlignment w:val="auto"/>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717DB2F4">
      <w:pPr>
        <w:pageBreakBefore w:val="0"/>
        <w:kinsoku/>
        <w:wordWrap/>
        <w:overflowPunct/>
        <w:topLinePunct w:val="0"/>
        <w:autoSpaceDE w:val="0"/>
        <w:autoSpaceDN w:val="0"/>
        <w:bidi w:val="0"/>
        <w:snapToGrid/>
        <w:spacing w:line="360" w:lineRule="auto"/>
        <w:textAlignment w:val="auto"/>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3FDE9C54">
      <w:pPr>
        <w:pageBreakBefore w:val="0"/>
        <w:kinsoku/>
        <w:wordWrap/>
        <w:overflowPunct/>
        <w:topLinePunct w:val="0"/>
        <w:autoSpaceDE w:val="0"/>
        <w:autoSpaceDN w:val="0"/>
        <w:bidi w:val="0"/>
        <w:snapToGrid/>
        <w:spacing w:line="360" w:lineRule="auto"/>
        <w:textAlignment w:val="auto"/>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372C756">
      <w:pPr>
        <w:pageBreakBefore w:val="0"/>
        <w:kinsoku/>
        <w:wordWrap/>
        <w:overflowPunct/>
        <w:topLinePunct w:val="0"/>
        <w:autoSpaceDE w:val="0"/>
        <w:autoSpaceDN w:val="0"/>
        <w:bidi w:val="0"/>
        <w:snapToGrid/>
        <w:spacing w:line="360" w:lineRule="auto"/>
        <w:textAlignment w:val="auto"/>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689950B">
      <w:pPr>
        <w:pageBreakBefore w:val="0"/>
        <w:kinsoku/>
        <w:wordWrap/>
        <w:overflowPunct/>
        <w:topLinePunct w:val="0"/>
        <w:autoSpaceDE w:val="0"/>
        <w:autoSpaceDN w:val="0"/>
        <w:bidi w:val="0"/>
        <w:snapToGrid/>
        <w:spacing w:line="360" w:lineRule="auto"/>
        <w:textAlignment w:val="auto"/>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00CDF576">
      <w:pPr>
        <w:pageBreakBefore w:val="0"/>
        <w:kinsoku/>
        <w:wordWrap/>
        <w:overflowPunct/>
        <w:topLinePunct w:val="0"/>
        <w:autoSpaceDE w:val="0"/>
        <w:autoSpaceDN w:val="0"/>
        <w:bidi w:val="0"/>
        <w:snapToGrid/>
        <w:spacing w:line="360" w:lineRule="auto"/>
        <w:textAlignment w:val="auto"/>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0617969E">
      <w:pPr>
        <w:widowControl/>
        <w:spacing w:line="560" w:lineRule="exact"/>
        <w:jc w:val="left"/>
        <w:rPr>
          <w:rFonts w:ascii="宋体" w:hAnsi="宋体"/>
          <w:b/>
          <w:color w:val="auto"/>
          <w:sz w:val="24"/>
          <w:highlight w:val="none"/>
        </w:rPr>
      </w:pPr>
    </w:p>
    <w:p w14:paraId="1C78CAFC">
      <w:pPr>
        <w:widowControl/>
        <w:adjustRightInd/>
        <w:jc w:val="left"/>
        <w:rPr>
          <w:rFonts w:ascii="宋体" w:hAnsi="宋体"/>
          <w:b/>
          <w:color w:val="auto"/>
          <w:sz w:val="24"/>
          <w:highlight w:val="none"/>
        </w:rPr>
      </w:pPr>
      <w:r>
        <w:rPr>
          <w:rFonts w:ascii="宋体" w:hAnsi="宋体"/>
          <w:b/>
          <w:color w:val="auto"/>
          <w:highlight w:val="none"/>
        </w:rPr>
        <w:br w:type="page"/>
      </w:r>
    </w:p>
    <w:p w14:paraId="18CA24C4">
      <w:pPr>
        <w:pStyle w:val="699"/>
        <w:keepNext w:val="0"/>
        <w:keepLines w:val="0"/>
        <w:pageBreakBefore w:val="0"/>
        <w:widowControl w:val="0"/>
        <w:kinsoku/>
        <w:wordWrap/>
        <w:overflowPunct/>
        <w:topLinePunct w:val="0"/>
        <w:bidi w:val="0"/>
        <w:adjustRightInd w:val="0"/>
        <w:spacing w:after="0" w:line="360" w:lineRule="auto"/>
        <w:ind w:left="0" w:leftChars="0" w:firstLine="0" w:firstLineChars="0"/>
        <w:jc w:val="center"/>
        <w:textAlignment w:val="auto"/>
        <w:outlineLvl w:val="1"/>
        <w:rPr>
          <w:rFonts w:ascii="宋体" w:hAnsi="宋体"/>
          <w:b/>
          <w:color w:val="auto"/>
          <w:szCs w:val="24"/>
          <w:highlight w:val="none"/>
        </w:rPr>
      </w:pPr>
      <w:bookmarkStart w:id="518" w:name="_Toc32122"/>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bookmarkEnd w:id="518"/>
    </w:p>
    <w:p w14:paraId="1BB06A8F">
      <w:pPr>
        <w:pageBreakBefore w:val="0"/>
        <w:kinsoku/>
        <w:wordWrap/>
        <w:overflowPunct/>
        <w:topLinePunct w:val="0"/>
        <w:bidi w:val="0"/>
        <w:snapToGrid/>
        <w:spacing w:line="360" w:lineRule="auto"/>
        <w:ind w:firstLine="482" w:firstLineChars="200"/>
        <w:textAlignment w:val="auto"/>
        <w:outlineLvl w:val="9"/>
        <w:rPr>
          <w:rFonts w:ascii="宋体" w:hAnsi="宋体"/>
          <w:b/>
          <w:color w:val="auto"/>
          <w:sz w:val="24"/>
          <w:highlight w:val="none"/>
        </w:rPr>
      </w:pPr>
      <w:bookmarkStart w:id="519" w:name="_Toc5210"/>
      <w:bookmarkStart w:id="520" w:name="_Toc5228"/>
      <w:bookmarkStart w:id="521" w:name="_Toc25079"/>
      <w:bookmarkStart w:id="522" w:name="_Toc14021"/>
      <w:bookmarkStart w:id="523" w:name="_Toc19680"/>
      <w:bookmarkStart w:id="524" w:name="_Toc31297"/>
      <w:r>
        <w:rPr>
          <w:rFonts w:ascii="宋体" w:hAnsi="宋体"/>
          <w:b/>
          <w:color w:val="auto"/>
          <w:sz w:val="24"/>
          <w:highlight w:val="none"/>
        </w:rPr>
        <w:t>2.1 定义</w:t>
      </w:r>
      <w:bookmarkEnd w:id="519"/>
      <w:bookmarkEnd w:id="520"/>
      <w:bookmarkEnd w:id="521"/>
      <w:bookmarkEnd w:id="522"/>
      <w:bookmarkEnd w:id="523"/>
      <w:bookmarkEnd w:id="524"/>
    </w:p>
    <w:p w14:paraId="2C163908">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25BD0006">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3EAE1E9B">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69856FC1">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DA8F590">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5B2471D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2D3C8A8">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bookmarkStart w:id="525" w:name="_Toc24059"/>
      <w:r>
        <w:rPr>
          <w:rFonts w:ascii="宋体" w:hAnsi="宋体"/>
          <w:color w:val="auto"/>
          <w:sz w:val="24"/>
          <w:highlight w:val="none"/>
        </w:rPr>
        <w:t>2.1.6 “现场”系指合同约定提供服务的地点。</w:t>
      </w:r>
      <w:bookmarkEnd w:id="525"/>
    </w:p>
    <w:p w14:paraId="50E1446C">
      <w:pPr>
        <w:pageBreakBefore w:val="0"/>
        <w:kinsoku/>
        <w:wordWrap/>
        <w:overflowPunct/>
        <w:topLinePunct w:val="0"/>
        <w:bidi w:val="0"/>
        <w:snapToGrid/>
        <w:spacing w:line="360" w:lineRule="auto"/>
        <w:ind w:firstLine="482" w:firstLineChars="200"/>
        <w:textAlignment w:val="auto"/>
        <w:outlineLvl w:val="9"/>
        <w:rPr>
          <w:rFonts w:ascii="宋体" w:hAnsi="宋体"/>
          <w:b/>
          <w:color w:val="auto"/>
          <w:sz w:val="24"/>
          <w:highlight w:val="none"/>
        </w:rPr>
      </w:pPr>
      <w:bookmarkStart w:id="526" w:name="_Toc14087"/>
      <w:bookmarkStart w:id="527" w:name="_Toc3769"/>
      <w:bookmarkStart w:id="528" w:name="_Toc19539"/>
      <w:bookmarkStart w:id="529" w:name="_Toc23289"/>
      <w:bookmarkStart w:id="530" w:name="_Toc31402"/>
      <w:bookmarkStart w:id="531" w:name="_Toc16752"/>
      <w:r>
        <w:rPr>
          <w:rFonts w:ascii="宋体" w:hAnsi="宋体"/>
          <w:b/>
          <w:color w:val="auto"/>
          <w:sz w:val="24"/>
          <w:highlight w:val="none"/>
        </w:rPr>
        <w:t>2.2 技术规范</w:t>
      </w:r>
      <w:bookmarkEnd w:id="526"/>
      <w:bookmarkEnd w:id="527"/>
      <w:bookmarkEnd w:id="528"/>
      <w:bookmarkEnd w:id="529"/>
      <w:bookmarkEnd w:id="530"/>
      <w:bookmarkEnd w:id="531"/>
    </w:p>
    <w:p w14:paraId="4266774F">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1A2DB15">
      <w:pPr>
        <w:pageBreakBefore w:val="0"/>
        <w:kinsoku/>
        <w:wordWrap/>
        <w:overflowPunct/>
        <w:topLinePunct w:val="0"/>
        <w:bidi w:val="0"/>
        <w:snapToGrid/>
        <w:spacing w:line="360" w:lineRule="auto"/>
        <w:ind w:firstLine="482" w:firstLineChars="200"/>
        <w:textAlignment w:val="auto"/>
        <w:outlineLvl w:val="9"/>
        <w:rPr>
          <w:rFonts w:ascii="宋体" w:hAnsi="宋体"/>
          <w:b/>
          <w:color w:val="auto"/>
          <w:sz w:val="24"/>
          <w:highlight w:val="none"/>
        </w:rPr>
      </w:pPr>
      <w:bookmarkStart w:id="532" w:name="_Toc12412"/>
      <w:bookmarkStart w:id="533" w:name="_Toc4133"/>
      <w:bookmarkStart w:id="534" w:name="_Toc9161"/>
      <w:bookmarkStart w:id="535" w:name="_Toc27945"/>
      <w:bookmarkStart w:id="536" w:name="_Toc10246"/>
      <w:bookmarkStart w:id="537" w:name="_Toc13673"/>
      <w:r>
        <w:rPr>
          <w:rFonts w:ascii="宋体" w:hAnsi="宋体"/>
          <w:b/>
          <w:color w:val="auto"/>
          <w:sz w:val="24"/>
          <w:highlight w:val="none"/>
        </w:rPr>
        <w:t>2.3 知识产权</w:t>
      </w:r>
      <w:bookmarkEnd w:id="532"/>
      <w:bookmarkEnd w:id="533"/>
      <w:bookmarkEnd w:id="534"/>
      <w:bookmarkEnd w:id="535"/>
      <w:bookmarkEnd w:id="536"/>
      <w:bookmarkEnd w:id="537"/>
    </w:p>
    <w:p w14:paraId="6D31FBFD">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1C3B8CA6">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7307118F">
      <w:pPr>
        <w:pageBreakBefore w:val="0"/>
        <w:kinsoku/>
        <w:wordWrap/>
        <w:overflowPunct/>
        <w:topLinePunct w:val="0"/>
        <w:bidi w:val="0"/>
        <w:snapToGrid/>
        <w:spacing w:line="360" w:lineRule="auto"/>
        <w:ind w:firstLine="482" w:firstLineChars="200"/>
        <w:textAlignment w:val="auto"/>
        <w:outlineLvl w:val="9"/>
        <w:rPr>
          <w:rFonts w:ascii="宋体" w:hAnsi="宋体"/>
          <w:b/>
          <w:color w:val="auto"/>
          <w:sz w:val="24"/>
          <w:highlight w:val="none"/>
        </w:rPr>
      </w:pPr>
      <w:bookmarkStart w:id="538" w:name="_Toc18126"/>
      <w:r>
        <w:rPr>
          <w:rFonts w:ascii="宋体" w:hAnsi="宋体"/>
          <w:b/>
          <w:color w:val="auto"/>
          <w:sz w:val="24"/>
          <w:highlight w:val="none"/>
        </w:rPr>
        <w:t xml:space="preserve">2.4 </w:t>
      </w:r>
      <w:r>
        <w:rPr>
          <w:rFonts w:hint="eastAsia" w:ascii="宋体" w:hAnsi="宋体"/>
          <w:b/>
          <w:color w:val="auto"/>
          <w:sz w:val="24"/>
          <w:highlight w:val="none"/>
        </w:rPr>
        <w:t>履约检查和问题反馈</w:t>
      </w:r>
      <w:bookmarkEnd w:id="538"/>
    </w:p>
    <w:p w14:paraId="42138F71">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8910F4E">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547654C9">
      <w:pPr>
        <w:pageBreakBefore w:val="0"/>
        <w:kinsoku/>
        <w:wordWrap/>
        <w:overflowPunct/>
        <w:topLinePunct w:val="0"/>
        <w:bidi w:val="0"/>
        <w:snapToGrid/>
        <w:spacing w:line="360" w:lineRule="auto"/>
        <w:ind w:firstLine="482" w:firstLineChars="200"/>
        <w:textAlignment w:val="auto"/>
        <w:outlineLvl w:val="9"/>
        <w:rPr>
          <w:rFonts w:ascii="宋体" w:hAnsi="宋体"/>
          <w:b/>
          <w:color w:val="auto"/>
          <w:sz w:val="24"/>
          <w:highlight w:val="none"/>
        </w:rPr>
      </w:pPr>
      <w:bookmarkStart w:id="539" w:name="_Toc15447"/>
      <w:bookmarkStart w:id="540" w:name="_Toc8858"/>
      <w:bookmarkStart w:id="541" w:name="_Toc32670"/>
      <w:bookmarkStart w:id="542" w:name="_Toc31233"/>
      <w:bookmarkStart w:id="543" w:name="_Toc26555"/>
      <w:bookmarkStart w:id="544" w:name="_Toc22011"/>
      <w:r>
        <w:rPr>
          <w:rFonts w:ascii="宋体" w:hAnsi="宋体"/>
          <w:b/>
          <w:color w:val="auto"/>
          <w:sz w:val="24"/>
          <w:highlight w:val="none"/>
        </w:rPr>
        <w:t>2.5 结算方式和付款条件</w:t>
      </w:r>
      <w:bookmarkEnd w:id="539"/>
      <w:bookmarkEnd w:id="540"/>
      <w:bookmarkEnd w:id="541"/>
      <w:bookmarkEnd w:id="542"/>
      <w:bookmarkEnd w:id="543"/>
      <w:bookmarkEnd w:id="544"/>
    </w:p>
    <w:p w14:paraId="27FDD038">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C22AF6F">
      <w:pPr>
        <w:pageBreakBefore w:val="0"/>
        <w:kinsoku/>
        <w:wordWrap/>
        <w:overflowPunct/>
        <w:topLinePunct w:val="0"/>
        <w:bidi w:val="0"/>
        <w:snapToGrid/>
        <w:spacing w:line="360" w:lineRule="auto"/>
        <w:ind w:firstLine="482" w:firstLineChars="200"/>
        <w:textAlignment w:val="auto"/>
        <w:outlineLvl w:val="9"/>
        <w:rPr>
          <w:rFonts w:ascii="宋体" w:hAnsi="宋体"/>
          <w:b/>
          <w:color w:val="auto"/>
          <w:sz w:val="24"/>
          <w:highlight w:val="none"/>
        </w:rPr>
      </w:pPr>
      <w:bookmarkStart w:id="545" w:name="_Toc13467"/>
      <w:bookmarkStart w:id="546" w:name="_Toc30507"/>
      <w:bookmarkStart w:id="547" w:name="_Toc32384"/>
      <w:bookmarkStart w:id="548" w:name="_Toc16163"/>
      <w:bookmarkStart w:id="549" w:name="_Toc18990"/>
      <w:bookmarkStart w:id="550" w:name="_Toc13154"/>
      <w:r>
        <w:rPr>
          <w:rFonts w:ascii="宋体" w:hAnsi="宋体"/>
          <w:b/>
          <w:color w:val="auto"/>
          <w:sz w:val="24"/>
          <w:highlight w:val="none"/>
        </w:rPr>
        <w:t>2.6 技术资料和保密义务</w:t>
      </w:r>
      <w:bookmarkEnd w:id="545"/>
      <w:bookmarkEnd w:id="546"/>
      <w:bookmarkEnd w:id="547"/>
      <w:bookmarkEnd w:id="548"/>
      <w:bookmarkEnd w:id="549"/>
      <w:bookmarkEnd w:id="550"/>
    </w:p>
    <w:p w14:paraId="18B85706">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0855CF43">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1DAB7C0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4E58CF1E">
      <w:pPr>
        <w:pageBreakBefore w:val="0"/>
        <w:kinsoku/>
        <w:wordWrap/>
        <w:overflowPunct/>
        <w:topLinePunct w:val="0"/>
        <w:bidi w:val="0"/>
        <w:snapToGrid/>
        <w:spacing w:line="360" w:lineRule="auto"/>
        <w:ind w:firstLine="482" w:firstLineChars="200"/>
        <w:textAlignment w:val="auto"/>
        <w:outlineLvl w:val="9"/>
        <w:rPr>
          <w:rFonts w:ascii="宋体" w:hAnsi="宋体"/>
          <w:b/>
          <w:color w:val="auto"/>
          <w:sz w:val="24"/>
          <w:highlight w:val="none"/>
        </w:rPr>
      </w:pPr>
      <w:bookmarkStart w:id="551" w:name="_Toc5602"/>
      <w:bookmarkStart w:id="552"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551"/>
      <w:bookmarkEnd w:id="552"/>
    </w:p>
    <w:p w14:paraId="4764BCE9">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5AEFC42C">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6073E05">
      <w:pPr>
        <w:pageBreakBefore w:val="0"/>
        <w:kinsoku/>
        <w:wordWrap/>
        <w:overflowPunct/>
        <w:topLinePunct w:val="0"/>
        <w:bidi w:val="0"/>
        <w:snapToGrid/>
        <w:spacing w:line="360" w:lineRule="auto"/>
        <w:ind w:firstLine="482" w:firstLineChars="200"/>
        <w:textAlignment w:val="auto"/>
        <w:outlineLvl w:val="9"/>
        <w:rPr>
          <w:rFonts w:ascii="宋体" w:hAnsi="宋体"/>
          <w:b/>
          <w:color w:val="auto"/>
          <w:sz w:val="24"/>
          <w:highlight w:val="none"/>
        </w:rPr>
      </w:pPr>
      <w:bookmarkStart w:id="553" w:name="_Toc22267"/>
      <w:bookmarkStart w:id="554" w:name="_Toc9136"/>
      <w:r>
        <w:rPr>
          <w:rFonts w:ascii="宋体" w:hAnsi="宋体"/>
          <w:b/>
          <w:color w:val="auto"/>
          <w:sz w:val="24"/>
          <w:highlight w:val="none"/>
        </w:rPr>
        <w:t xml:space="preserve">2.8 </w:t>
      </w:r>
      <w:r>
        <w:rPr>
          <w:rFonts w:hint="eastAsia" w:ascii="宋体" w:hAnsi="宋体"/>
          <w:b/>
          <w:color w:val="auto"/>
          <w:sz w:val="24"/>
          <w:highlight w:val="none"/>
        </w:rPr>
        <w:t>延迟履行</w:t>
      </w:r>
      <w:bookmarkEnd w:id="553"/>
      <w:bookmarkEnd w:id="554"/>
    </w:p>
    <w:p w14:paraId="44DF330D">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3DEBE317">
      <w:pPr>
        <w:pageBreakBefore w:val="0"/>
        <w:kinsoku/>
        <w:wordWrap/>
        <w:overflowPunct/>
        <w:topLinePunct w:val="0"/>
        <w:bidi w:val="0"/>
        <w:snapToGrid/>
        <w:spacing w:line="360" w:lineRule="auto"/>
        <w:ind w:firstLine="482" w:firstLineChars="200"/>
        <w:textAlignment w:val="auto"/>
        <w:outlineLvl w:val="9"/>
        <w:rPr>
          <w:rFonts w:ascii="宋体" w:hAnsi="宋体"/>
          <w:b/>
          <w:color w:val="auto"/>
          <w:sz w:val="24"/>
          <w:highlight w:val="none"/>
        </w:rPr>
      </w:pPr>
      <w:bookmarkStart w:id="555" w:name="_Toc16086"/>
      <w:bookmarkStart w:id="55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555"/>
      <w:bookmarkEnd w:id="556"/>
    </w:p>
    <w:p w14:paraId="170578D3">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052CD51">
      <w:pPr>
        <w:pageBreakBefore w:val="0"/>
        <w:kinsoku/>
        <w:wordWrap/>
        <w:overflowPunct/>
        <w:topLinePunct w:val="0"/>
        <w:bidi w:val="0"/>
        <w:snapToGrid/>
        <w:spacing w:line="360" w:lineRule="auto"/>
        <w:ind w:firstLine="482" w:firstLineChars="200"/>
        <w:textAlignment w:val="auto"/>
        <w:outlineLvl w:val="9"/>
        <w:rPr>
          <w:rFonts w:ascii="宋体" w:hAnsi="宋体"/>
          <w:b/>
          <w:color w:val="auto"/>
          <w:sz w:val="24"/>
          <w:highlight w:val="none"/>
        </w:rPr>
      </w:pPr>
      <w:bookmarkStart w:id="557" w:name="_Toc42"/>
      <w:bookmarkStart w:id="558" w:name="_Toc7781"/>
      <w:bookmarkStart w:id="559" w:name="_Toc26689"/>
      <w:bookmarkStart w:id="560" w:name="_Toc21830"/>
      <w:bookmarkStart w:id="561" w:name="_Toc10663"/>
      <w:bookmarkStart w:id="562" w:name="_Toc23368"/>
      <w:r>
        <w:rPr>
          <w:rFonts w:ascii="宋体" w:hAnsi="宋体"/>
          <w:b/>
          <w:color w:val="auto"/>
          <w:sz w:val="24"/>
          <w:highlight w:val="none"/>
        </w:rPr>
        <w:t>2.10 合同转让和分包</w:t>
      </w:r>
      <w:bookmarkEnd w:id="557"/>
      <w:bookmarkEnd w:id="558"/>
      <w:bookmarkEnd w:id="559"/>
      <w:bookmarkEnd w:id="560"/>
      <w:bookmarkEnd w:id="561"/>
      <w:bookmarkEnd w:id="562"/>
    </w:p>
    <w:p w14:paraId="7C139390">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DA7BD1E">
      <w:pPr>
        <w:pageBreakBefore w:val="0"/>
        <w:kinsoku/>
        <w:wordWrap/>
        <w:overflowPunct/>
        <w:topLinePunct w:val="0"/>
        <w:bidi w:val="0"/>
        <w:snapToGrid/>
        <w:spacing w:line="360" w:lineRule="auto"/>
        <w:ind w:firstLine="482" w:firstLineChars="200"/>
        <w:textAlignment w:val="auto"/>
        <w:outlineLvl w:val="9"/>
        <w:rPr>
          <w:rFonts w:ascii="宋体" w:hAnsi="宋体"/>
          <w:b/>
          <w:color w:val="auto"/>
          <w:sz w:val="24"/>
          <w:highlight w:val="none"/>
        </w:rPr>
      </w:pPr>
      <w:bookmarkStart w:id="563" w:name="_Toc14371"/>
      <w:bookmarkStart w:id="564" w:name="_Toc4720"/>
      <w:bookmarkStart w:id="565" w:name="_Toc32494"/>
      <w:bookmarkStart w:id="566" w:name="_Toc25571"/>
      <w:bookmarkStart w:id="567" w:name="_Toc12453"/>
      <w:bookmarkStart w:id="568" w:name="_Toc26633"/>
      <w:r>
        <w:rPr>
          <w:rFonts w:ascii="宋体" w:hAnsi="宋体"/>
          <w:b/>
          <w:color w:val="auto"/>
          <w:sz w:val="24"/>
          <w:highlight w:val="none"/>
        </w:rPr>
        <w:t>2.11 不可抗力</w:t>
      </w:r>
      <w:bookmarkEnd w:id="563"/>
      <w:bookmarkEnd w:id="564"/>
      <w:bookmarkEnd w:id="565"/>
      <w:bookmarkEnd w:id="566"/>
      <w:bookmarkEnd w:id="567"/>
      <w:bookmarkEnd w:id="568"/>
    </w:p>
    <w:p w14:paraId="2AB65DF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7981674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190FD04A">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60FBCAF8">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642A4D15">
      <w:pPr>
        <w:pageBreakBefore w:val="0"/>
        <w:kinsoku/>
        <w:wordWrap/>
        <w:overflowPunct/>
        <w:topLinePunct w:val="0"/>
        <w:bidi w:val="0"/>
        <w:snapToGrid/>
        <w:spacing w:line="360" w:lineRule="auto"/>
        <w:ind w:firstLine="482" w:firstLineChars="200"/>
        <w:textAlignment w:val="auto"/>
        <w:outlineLvl w:val="9"/>
        <w:rPr>
          <w:rFonts w:ascii="宋体" w:hAnsi="宋体"/>
          <w:b/>
          <w:color w:val="auto"/>
          <w:sz w:val="24"/>
          <w:highlight w:val="none"/>
        </w:rPr>
      </w:pPr>
      <w:bookmarkStart w:id="569" w:name="_Toc3638"/>
      <w:bookmarkStart w:id="570" w:name="_Toc23854"/>
      <w:bookmarkStart w:id="571" w:name="_Toc24465"/>
      <w:bookmarkStart w:id="572" w:name="_Toc25783"/>
      <w:bookmarkStart w:id="573" w:name="_Toc23369"/>
      <w:bookmarkStart w:id="574" w:name="_Toc14115"/>
      <w:r>
        <w:rPr>
          <w:rFonts w:ascii="宋体" w:hAnsi="宋体"/>
          <w:b/>
          <w:color w:val="auto"/>
          <w:sz w:val="24"/>
          <w:highlight w:val="none"/>
        </w:rPr>
        <w:t>2.12 税费</w:t>
      </w:r>
      <w:bookmarkEnd w:id="569"/>
      <w:bookmarkEnd w:id="570"/>
      <w:bookmarkEnd w:id="571"/>
      <w:bookmarkEnd w:id="572"/>
      <w:bookmarkEnd w:id="573"/>
      <w:bookmarkEnd w:id="574"/>
    </w:p>
    <w:p w14:paraId="38638FEA">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72AF93F">
      <w:pPr>
        <w:pageBreakBefore w:val="0"/>
        <w:kinsoku/>
        <w:wordWrap/>
        <w:overflowPunct/>
        <w:topLinePunct w:val="0"/>
        <w:bidi w:val="0"/>
        <w:snapToGrid/>
        <w:spacing w:line="360" w:lineRule="auto"/>
        <w:ind w:firstLine="482" w:firstLineChars="200"/>
        <w:textAlignment w:val="auto"/>
        <w:outlineLvl w:val="9"/>
        <w:rPr>
          <w:rFonts w:ascii="宋体" w:hAnsi="宋体"/>
          <w:b/>
          <w:color w:val="auto"/>
          <w:sz w:val="24"/>
          <w:highlight w:val="none"/>
        </w:rPr>
      </w:pPr>
      <w:bookmarkStart w:id="575" w:name="_Toc14814"/>
      <w:bookmarkStart w:id="576" w:name="_Toc25525"/>
      <w:bookmarkStart w:id="577" w:name="_Toc6822"/>
      <w:bookmarkStart w:id="578" w:name="_Toc26883"/>
      <w:bookmarkStart w:id="579" w:name="_Toc7315"/>
      <w:bookmarkStart w:id="580" w:name="_Toc30105"/>
      <w:r>
        <w:rPr>
          <w:rFonts w:ascii="宋体" w:hAnsi="宋体"/>
          <w:b/>
          <w:color w:val="auto"/>
          <w:sz w:val="24"/>
          <w:highlight w:val="none"/>
        </w:rPr>
        <w:t>2.13 乙方破产</w:t>
      </w:r>
      <w:bookmarkEnd w:id="575"/>
      <w:bookmarkEnd w:id="576"/>
      <w:bookmarkEnd w:id="577"/>
      <w:bookmarkEnd w:id="578"/>
      <w:bookmarkEnd w:id="579"/>
      <w:bookmarkEnd w:id="580"/>
    </w:p>
    <w:p w14:paraId="2A4A3778">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667ED47A">
      <w:pPr>
        <w:pageBreakBefore w:val="0"/>
        <w:kinsoku/>
        <w:wordWrap/>
        <w:overflowPunct/>
        <w:topLinePunct w:val="0"/>
        <w:bidi w:val="0"/>
        <w:snapToGrid/>
        <w:spacing w:line="360" w:lineRule="auto"/>
        <w:ind w:firstLine="482" w:firstLineChars="200"/>
        <w:textAlignment w:val="auto"/>
        <w:outlineLvl w:val="9"/>
        <w:rPr>
          <w:rFonts w:ascii="宋体" w:hAnsi="宋体"/>
          <w:b/>
          <w:color w:val="auto"/>
          <w:sz w:val="24"/>
          <w:highlight w:val="none"/>
        </w:rPr>
      </w:pPr>
      <w:bookmarkStart w:id="581" w:name="_Toc13409"/>
      <w:bookmarkStart w:id="582" w:name="_Toc1123"/>
      <w:bookmarkStart w:id="583" w:name="_Toc23323"/>
      <w:bookmarkStart w:id="584" w:name="_Toc2016"/>
      <w:r>
        <w:rPr>
          <w:rFonts w:ascii="宋体" w:hAnsi="宋体"/>
          <w:b/>
          <w:color w:val="auto"/>
          <w:sz w:val="24"/>
          <w:highlight w:val="none"/>
        </w:rPr>
        <w:t>2.14 合同中止、终止</w:t>
      </w:r>
      <w:bookmarkEnd w:id="581"/>
      <w:bookmarkEnd w:id="582"/>
      <w:bookmarkEnd w:id="583"/>
      <w:bookmarkEnd w:id="584"/>
    </w:p>
    <w:p w14:paraId="6E62A1D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bookmarkStart w:id="585" w:name="_Toc24232"/>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bookmarkEnd w:id="585"/>
    </w:p>
    <w:p w14:paraId="753E2F9E">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00A613A">
      <w:pPr>
        <w:pageBreakBefore w:val="0"/>
        <w:kinsoku/>
        <w:wordWrap/>
        <w:overflowPunct/>
        <w:topLinePunct w:val="0"/>
        <w:bidi w:val="0"/>
        <w:snapToGrid/>
        <w:spacing w:line="360" w:lineRule="auto"/>
        <w:ind w:firstLine="482" w:firstLineChars="200"/>
        <w:textAlignment w:val="auto"/>
        <w:outlineLvl w:val="9"/>
        <w:rPr>
          <w:rFonts w:ascii="宋体" w:hAnsi="宋体"/>
          <w:b/>
          <w:color w:val="auto"/>
          <w:sz w:val="24"/>
          <w:highlight w:val="none"/>
        </w:rPr>
      </w:pPr>
      <w:bookmarkStart w:id="586" w:name="_Toc14525"/>
      <w:bookmarkStart w:id="587" w:name="_Toc1969"/>
      <w:bookmarkStart w:id="588" w:name="_Toc17363"/>
      <w:bookmarkStart w:id="589" w:name="_Toc15517"/>
      <w:r>
        <w:rPr>
          <w:rFonts w:ascii="宋体" w:hAnsi="宋体"/>
          <w:b/>
          <w:color w:val="auto"/>
          <w:sz w:val="24"/>
          <w:highlight w:val="none"/>
        </w:rPr>
        <w:t>2.15 检验和验收</w:t>
      </w:r>
      <w:bookmarkEnd w:id="586"/>
      <w:bookmarkEnd w:id="587"/>
      <w:bookmarkEnd w:id="588"/>
      <w:bookmarkEnd w:id="589"/>
    </w:p>
    <w:p w14:paraId="71F548F8">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7C662B36">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3CD738C">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2CAFE0A7">
      <w:pPr>
        <w:pageBreakBefore w:val="0"/>
        <w:kinsoku/>
        <w:wordWrap/>
        <w:overflowPunct/>
        <w:topLinePunct w:val="0"/>
        <w:bidi w:val="0"/>
        <w:snapToGrid/>
        <w:spacing w:line="360" w:lineRule="auto"/>
        <w:ind w:firstLine="482" w:firstLineChars="200"/>
        <w:textAlignment w:val="auto"/>
        <w:outlineLvl w:val="9"/>
        <w:rPr>
          <w:rFonts w:ascii="宋体" w:hAnsi="宋体"/>
          <w:b/>
          <w:color w:val="auto"/>
          <w:sz w:val="24"/>
          <w:highlight w:val="none"/>
        </w:rPr>
      </w:pPr>
      <w:bookmarkStart w:id="590" w:name="_Toc25198"/>
      <w:bookmarkStart w:id="591" w:name="_Toc12666"/>
      <w:bookmarkStart w:id="592" w:name="_Toc2308"/>
      <w:bookmarkStart w:id="593" w:name="_Toc720"/>
      <w:bookmarkStart w:id="594" w:name="_Toc31892"/>
      <w:bookmarkStart w:id="595" w:name="_Toc9808"/>
      <w:r>
        <w:rPr>
          <w:rFonts w:ascii="宋体" w:hAnsi="宋体"/>
          <w:b/>
          <w:color w:val="auto"/>
          <w:sz w:val="24"/>
          <w:highlight w:val="none"/>
        </w:rPr>
        <w:t>2.16 通知和送达</w:t>
      </w:r>
      <w:bookmarkEnd w:id="590"/>
      <w:bookmarkEnd w:id="591"/>
      <w:bookmarkEnd w:id="592"/>
      <w:bookmarkEnd w:id="593"/>
      <w:bookmarkEnd w:id="594"/>
      <w:bookmarkEnd w:id="595"/>
    </w:p>
    <w:p w14:paraId="1AECE3CD">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bookmarkStart w:id="596" w:name="_Toc27674"/>
      <w:bookmarkStart w:id="597"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311734C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96"/>
      <w:bookmarkEnd w:id="597"/>
    </w:p>
    <w:p w14:paraId="76C5F229">
      <w:pPr>
        <w:pageBreakBefore w:val="0"/>
        <w:kinsoku/>
        <w:wordWrap/>
        <w:overflowPunct/>
        <w:topLinePunct w:val="0"/>
        <w:bidi w:val="0"/>
        <w:snapToGrid/>
        <w:spacing w:line="360" w:lineRule="auto"/>
        <w:ind w:firstLine="482" w:firstLineChars="200"/>
        <w:textAlignment w:val="auto"/>
        <w:outlineLvl w:val="9"/>
        <w:rPr>
          <w:rFonts w:ascii="宋体" w:hAnsi="宋体"/>
          <w:b/>
          <w:color w:val="auto"/>
          <w:sz w:val="24"/>
          <w:highlight w:val="none"/>
        </w:rPr>
      </w:pPr>
      <w:bookmarkStart w:id="598" w:name="_Toc28906"/>
      <w:bookmarkStart w:id="599" w:name="_Toc27832"/>
      <w:bookmarkStart w:id="600" w:name="_Toc20808"/>
      <w:bookmarkStart w:id="601" w:name="_Toc5063"/>
      <w:bookmarkStart w:id="602" w:name="_Toc27644"/>
      <w:bookmarkStart w:id="603"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98"/>
      <w:bookmarkEnd w:id="599"/>
      <w:bookmarkEnd w:id="600"/>
      <w:bookmarkEnd w:id="601"/>
      <w:bookmarkEnd w:id="602"/>
      <w:bookmarkEnd w:id="603"/>
    </w:p>
    <w:p w14:paraId="4020BF01">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0D7F6F8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77514BD2">
      <w:pPr>
        <w:pageBreakBefore w:val="0"/>
        <w:kinsoku/>
        <w:wordWrap/>
        <w:overflowPunct/>
        <w:topLinePunct w:val="0"/>
        <w:bidi w:val="0"/>
        <w:snapToGrid/>
        <w:spacing w:line="360" w:lineRule="auto"/>
        <w:ind w:firstLine="482" w:firstLineChars="200"/>
        <w:textAlignment w:val="auto"/>
        <w:outlineLvl w:val="9"/>
        <w:rPr>
          <w:rFonts w:ascii="宋体" w:hAnsi="宋体" w:cs="宋体"/>
          <w:b/>
          <w:color w:val="auto"/>
          <w:sz w:val="24"/>
          <w:highlight w:val="none"/>
        </w:rPr>
      </w:pPr>
      <w:bookmarkStart w:id="604" w:name="_Toc4355"/>
      <w:bookmarkStart w:id="605" w:name="_Toc18540"/>
      <w:bookmarkStart w:id="606" w:name="_Toc9067"/>
      <w:bookmarkStart w:id="607" w:name="_Toc30599"/>
      <w:r>
        <w:rPr>
          <w:rFonts w:hint="eastAsia" w:ascii="宋体" w:hAnsi="宋体" w:cs="宋体"/>
          <w:b/>
          <w:color w:val="auto"/>
          <w:sz w:val="24"/>
          <w:highlight w:val="none"/>
        </w:rPr>
        <w:t>2.18 计量单位</w:t>
      </w:r>
      <w:bookmarkEnd w:id="604"/>
      <w:bookmarkEnd w:id="605"/>
      <w:bookmarkEnd w:id="606"/>
      <w:bookmarkEnd w:id="607"/>
    </w:p>
    <w:p w14:paraId="5C02F07D">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599BFF7">
      <w:pPr>
        <w:pageBreakBefore w:val="0"/>
        <w:kinsoku/>
        <w:wordWrap/>
        <w:overflowPunct/>
        <w:topLinePunct w:val="0"/>
        <w:bidi w:val="0"/>
        <w:snapToGrid/>
        <w:spacing w:line="360" w:lineRule="auto"/>
        <w:ind w:firstLine="482" w:firstLineChars="200"/>
        <w:textAlignment w:val="auto"/>
        <w:outlineLvl w:val="9"/>
        <w:rPr>
          <w:rFonts w:ascii="宋体" w:hAnsi="宋体"/>
          <w:b/>
          <w:color w:val="auto"/>
          <w:sz w:val="24"/>
          <w:highlight w:val="none"/>
        </w:rPr>
      </w:pPr>
      <w:bookmarkStart w:id="608" w:name="_Toc25663"/>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bookmarkEnd w:id="608"/>
    </w:p>
    <w:p w14:paraId="3B8C4FA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3A6633F1">
      <w:pPr>
        <w:spacing w:line="360" w:lineRule="auto"/>
        <w:jc w:val="center"/>
        <w:outlineLvl w:val="1"/>
        <w:rPr>
          <w:rFonts w:ascii="宋体" w:hAnsi="宋体" w:cs="宋体"/>
          <w:b/>
          <w:color w:val="auto"/>
          <w:sz w:val="24"/>
          <w:highlight w:val="none"/>
        </w:rPr>
      </w:pPr>
      <w:r>
        <w:rPr>
          <w:rFonts w:hint="eastAsia" w:ascii="宋体" w:hAnsi="宋体" w:cs="宋体"/>
          <w:color w:val="auto"/>
          <w:kern w:val="0"/>
          <w:highlight w:val="none"/>
        </w:rPr>
        <w:br w:type="page"/>
      </w:r>
      <w:bookmarkStart w:id="609" w:name="_Toc27749"/>
      <w:r>
        <w:rPr>
          <w:rFonts w:hint="eastAsia" w:ascii="宋体" w:hAnsi="宋体" w:cs="宋体"/>
          <w:b/>
          <w:color w:val="auto"/>
          <w:sz w:val="24"/>
          <w:highlight w:val="none"/>
        </w:rPr>
        <w:t>第三部分 合同专用条款</w:t>
      </w:r>
      <w:bookmarkEnd w:id="609"/>
    </w:p>
    <w:p w14:paraId="140CB180">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50"/>
      </w:tblGrid>
      <w:tr w14:paraId="233F9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blHeader/>
        </w:trPr>
        <w:tc>
          <w:tcPr>
            <w:tcW w:w="535" w:type="pct"/>
            <w:tcBorders>
              <w:left w:val="single" w:color="auto" w:sz="4" w:space="0"/>
            </w:tcBorders>
            <w:vAlign w:val="center"/>
          </w:tcPr>
          <w:p w14:paraId="4AE958D4">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4464" w:type="pct"/>
            <w:vAlign w:val="center"/>
          </w:tcPr>
          <w:p w14:paraId="70DABF2C">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约定内容</w:t>
            </w:r>
          </w:p>
        </w:tc>
      </w:tr>
      <w:tr w14:paraId="35F17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062CA1">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4464" w:type="pct"/>
            <w:vAlign w:val="center"/>
          </w:tcPr>
          <w:p w14:paraId="03B7D8E2">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单价合同</w:t>
            </w:r>
            <w:r>
              <w:rPr>
                <w:rFonts w:hint="eastAsia" w:ascii="宋体" w:hAnsi="宋体" w:eastAsia="宋体" w:cs="宋体"/>
                <w:color w:val="auto"/>
                <w:sz w:val="24"/>
                <w:szCs w:val="24"/>
                <w:highlight w:val="none"/>
                <w:lang w:val="zh-TW" w:eastAsia="zh-TW"/>
              </w:rPr>
              <w:t>服务工作量的计量方式</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lang w:val="en-US" w:eastAsia="zh-CN"/>
              </w:rPr>
              <w:t>。</w:t>
            </w:r>
          </w:p>
        </w:tc>
      </w:tr>
      <w:tr w14:paraId="0C85F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A17465A">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4464" w:type="pct"/>
            <w:vAlign w:val="center"/>
          </w:tcPr>
          <w:p w14:paraId="2FE2ACC8">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zh-TW" w:eastAsia="zh-TW"/>
              </w:rPr>
              <w:t>履约保证金支付方式</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lang w:val="en-US" w:eastAsia="zh-CN"/>
              </w:rPr>
              <w:t>。</w:t>
            </w:r>
          </w:p>
        </w:tc>
      </w:tr>
      <w:tr w14:paraId="27746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6615BF">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p>
        </w:tc>
        <w:tc>
          <w:tcPr>
            <w:tcW w:w="4464" w:type="pct"/>
            <w:vAlign w:val="center"/>
          </w:tcPr>
          <w:p w14:paraId="4CF0A7F3">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TW"/>
              </w:rPr>
              <w:t>预付款比例、支付方式、时间</w:t>
            </w:r>
            <w:r>
              <w:rPr>
                <w:rFonts w:hint="eastAsia" w:ascii="宋体" w:hAnsi="宋体" w:eastAsia="宋体" w:cs="宋体"/>
                <w:color w:val="auto"/>
                <w:sz w:val="24"/>
                <w:szCs w:val="24"/>
                <w:highlight w:val="none"/>
                <w:lang w:val="zh-TW" w:eastAsia="zh-CN"/>
              </w:rPr>
              <w:t>：</w:t>
            </w:r>
          </w:p>
          <w:p w14:paraId="6FF3A1F5">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TW"/>
              </w:rPr>
              <w:t>预付款比例</w:t>
            </w:r>
            <w:r>
              <w:rPr>
                <w:rFonts w:hint="eastAsia" w:ascii="宋体" w:hAnsi="宋体" w:cs="宋体"/>
                <w:color w:val="auto"/>
                <w:sz w:val="24"/>
                <w:szCs w:val="24"/>
                <w:highlight w:val="none"/>
                <w:lang w:val="zh-TW" w:eastAsia="zh-CN"/>
              </w:rPr>
              <w:t>：</w:t>
            </w:r>
            <w:r>
              <w:rPr>
                <w:rFonts w:hint="eastAsia" w:ascii="宋体" w:hAnsi="宋体" w:eastAsia="宋体" w:cs="宋体"/>
                <w:color w:val="auto"/>
                <w:sz w:val="24"/>
                <w:szCs w:val="24"/>
                <w:highlight w:val="none"/>
                <w:u w:val="single"/>
                <w:lang w:val="zh-TW" w:eastAsia="zh-CN"/>
              </w:rPr>
              <w:t>合同金额的</w:t>
            </w:r>
            <w:r>
              <w:rPr>
                <w:rFonts w:hint="eastAsia" w:ascii="宋体" w:hAnsi="宋体" w:cs="宋体"/>
                <w:color w:val="auto"/>
                <w:sz w:val="24"/>
                <w:szCs w:val="24"/>
                <w:highlight w:val="none"/>
                <w:u w:val="single"/>
                <w:lang w:val="en-US" w:eastAsia="zh-CN"/>
              </w:rPr>
              <w:t>60</w:t>
            </w:r>
            <w:r>
              <w:rPr>
                <w:rFonts w:hint="eastAsia" w:ascii="宋体" w:hAnsi="宋体" w:eastAsia="宋体" w:cs="宋体"/>
                <w:color w:val="auto"/>
                <w:sz w:val="24"/>
                <w:szCs w:val="24"/>
                <w:highlight w:val="none"/>
                <w:u w:val="single"/>
                <w:lang w:val="zh-TW" w:eastAsia="zh-CN"/>
              </w:rPr>
              <w:t>%</w:t>
            </w:r>
            <w:r>
              <w:rPr>
                <w:rFonts w:hint="eastAsia" w:ascii="宋体" w:hAnsi="宋体" w:cs="宋体"/>
                <w:color w:val="auto"/>
                <w:sz w:val="24"/>
                <w:szCs w:val="24"/>
                <w:highlight w:val="none"/>
                <w:u w:val="single"/>
                <w:lang w:val="zh-TW" w:eastAsia="zh-CN"/>
              </w:rPr>
              <w:t>；</w:t>
            </w:r>
            <w:r>
              <w:rPr>
                <w:rFonts w:hint="eastAsia" w:ascii="宋体" w:hAnsi="宋体" w:cs="宋体"/>
                <w:color w:val="auto"/>
                <w:sz w:val="24"/>
                <w:szCs w:val="24"/>
                <w:highlight w:val="none"/>
                <w:lang w:val="zh-TW" w:eastAsia="zh-CN"/>
              </w:rPr>
              <w:br w:type="textWrapping"/>
            </w:r>
            <w:r>
              <w:rPr>
                <w:rFonts w:hint="eastAsia" w:ascii="宋体" w:hAnsi="宋体" w:eastAsia="宋体" w:cs="宋体"/>
                <w:color w:val="auto"/>
                <w:sz w:val="24"/>
                <w:szCs w:val="24"/>
                <w:highlight w:val="none"/>
                <w:lang w:val="zh-TW" w:eastAsia="zh-TW"/>
              </w:rPr>
              <w:t>预付款支付方式</w:t>
            </w:r>
            <w:r>
              <w:rPr>
                <w:rFonts w:hint="eastAsia" w:ascii="宋体" w:hAnsi="宋体" w:cs="宋体"/>
                <w:color w:val="auto"/>
                <w:sz w:val="24"/>
                <w:szCs w:val="24"/>
                <w:highlight w:val="none"/>
                <w:lang w:val="zh-TW" w:eastAsia="zh-CN"/>
              </w:rPr>
              <w:t>：</w:t>
            </w:r>
            <w:r>
              <w:rPr>
                <w:rFonts w:hint="eastAsia" w:ascii="宋体" w:hAnsi="宋体" w:cs="宋体"/>
                <w:b w:val="0"/>
                <w:bCs/>
                <w:color w:val="auto"/>
                <w:sz w:val="24"/>
                <w:highlight w:val="none"/>
                <w:u w:val="single"/>
              </w:rPr>
              <w:t>转账</w:t>
            </w:r>
            <w:r>
              <w:rPr>
                <w:rFonts w:hint="eastAsia" w:ascii="宋体" w:hAnsi="宋体" w:cs="宋体"/>
                <w:b w:val="0"/>
                <w:bCs/>
                <w:color w:val="auto"/>
                <w:sz w:val="24"/>
                <w:highlight w:val="none"/>
                <w:u w:val="single"/>
                <w:lang w:eastAsia="zh-CN"/>
              </w:rPr>
              <w:t>；</w:t>
            </w:r>
            <w:r>
              <w:rPr>
                <w:rFonts w:hint="eastAsia" w:ascii="宋体" w:hAnsi="宋体" w:cs="宋体"/>
                <w:color w:val="auto"/>
                <w:sz w:val="24"/>
                <w:szCs w:val="24"/>
                <w:highlight w:val="none"/>
                <w:lang w:val="zh-TW" w:eastAsia="zh-CN"/>
              </w:rPr>
              <w:br w:type="textWrapping"/>
            </w:r>
            <w:r>
              <w:rPr>
                <w:rFonts w:hint="eastAsia" w:ascii="宋体" w:hAnsi="宋体" w:eastAsia="宋体" w:cs="宋体"/>
                <w:color w:val="auto"/>
                <w:sz w:val="24"/>
                <w:szCs w:val="24"/>
                <w:highlight w:val="none"/>
                <w:lang w:val="zh-TW" w:eastAsia="zh-TW"/>
              </w:rPr>
              <w:t>预付款支付时间</w:t>
            </w:r>
            <w:r>
              <w:rPr>
                <w:rFonts w:hint="eastAsia" w:ascii="宋体" w:hAnsi="宋体" w:cs="宋体"/>
                <w:color w:val="auto"/>
                <w:sz w:val="24"/>
                <w:szCs w:val="24"/>
                <w:highlight w:val="none"/>
                <w:lang w:val="zh-TW" w:eastAsia="zh-CN"/>
              </w:rPr>
              <w:t>：</w:t>
            </w:r>
            <w:r>
              <w:rPr>
                <w:rFonts w:hint="eastAsia" w:ascii="宋体" w:hAnsi="宋体" w:eastAsia="宋体" w:cs="宋体"/>
                <w:color w:val="auto"/>
                <w:kern w:val="0"/>
                <w:sz w:val="24"/>
                <w:szCs w:val="24"/>
                <w:highlight w:val="none"/>
                <w:lang w:val="en-US" w:eastAsia="zh-CN"/>
              </w:rPr>
              <w:t>合同签订并生效之日起</w:t>
            </w:r>
            <w:r>
              <w:rPr>
                <w:rFonts w:hint="eastAsia" w:ascii="宋体" w:hAnsi="宋体" w:eastAsia="宋体" w:cs="宋体"/>
                <w:color w:val="auto"/>
                <w:sz w:val="24"/>
                <w:szCs w:val="24"/>
                <w:highlight w:val="none"/>
                <w:lang w:val="en-US" w:eastAsia="zh-CN"/>
              </w:rPr>
              <w:t>5个工作日</w:t>
            </w:r>
            <w:r>
              <w:rPr>
                <w:rFonts w:hint="eastAsia" w:ascii="宋体" w:hAnsi="宋体" w:cs="宋体"/>
                <w:color w:val="auto"/>
                <w:sz w:val="24"/>
                <w:szCs w:val="24"/>
                <w:highlight w:val="none"/>
                <w:lang w:val="en-US" w:eastAsia="zh-CN"/>
              </w:rPr>
              <w:t>内</w:t>
            </w:r>
            <w:r>
              <w:rPr>
                <w:rFonts w:hint="eastAsia" w:ascii="宋体" w:hAnsi="宋体" w:eastAsia="宋体" w:cs="宋体"/>
                <w:color w:val="auto"/>
                <w:sz w:val="24"/>
                <w:szCs w:val="24"/>
                <w:highlight w:val="none"/>
                <w:lang w:val="zh-TW" w:eastAsia="zh-CN"/>
              </w:rPr>
              <w:t>。</w:t>
            </w:r>
          </w:p>
        </w:tc>
      </w:tr>
      <w:tr w14:paraId="11CEC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882E32">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w:t>
            </w:r>
          </w:p>
        </w:tc>
        <w:tc>
          <w:tcPr>
            <w:tcW w:w="4464" w:type="pct"/>
            <w:vAlign w:val="center"/>
          </w:tcPr>
          <w:p w14:paraId="6DA741F4">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预付款的扣回方式</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u w:val="single"/>
                <w:lang w:val="en-US" w:eastAsia="zh-CN"/>
              </w:rPr>
              <w:t>不扣回</w:t>
            </w:r>
            <w:r>
              <w:rPr>
                <w:rFonts w:hint="eastAsia" w:ascii="宋体" w:hAnsi="宋体" w:eastAsia="宋体" w:cs="宋体"/>
                <w:color w:val="auto"/>
                <w:sz w:val="24"/>
                <w:szCs w:val="24"/>
                <w:highlight w:val="none"/>
                <w:lang w:val="zh-TW" w:eastAsia="zh-CN"/>
              </w:rPr>
              <w:t>。</w:t>
            </w:r>
          </w:p>
        </w:tc>
      </w:tr>
      <w:tr w14:paraId="723DA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3E5985">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w:t>
            </w:r>
          </w:p>
        </w:tc>
        <w:tc>
          <w:tcPr>
            <w:tcW w:w="4464" w:type="pct"/>
            <w:vAlign w:val="center"/>
          </w:tcPr>
          <w:p w14:paraId="3911A599">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TW" w:eastAsia="zh-TW"/>
              </w:rPr>
              <w:t>预付款的担保措施：</w:t>
            </w:r>
            <w:r>
              <w:rPr>
                <w:rFonts w:hint="eastAsia" w:ascii="宋体" w:hAnsi="宋体" w:eastAsia="宋体" w:cs="宋体"/>
                <w:color w:val="auto"/>
                <w:sz w:val="24"/>
                <w:szCs w:val="24"/>
                <w:highlight w:val="none"/>
                <w:u w:val="single"/>
                <w:lang w:val="en-US" w:eastAsia="zh-CN"/>
              </w:rPr>
              <w:t>无</w:t>
            </w:r>
            <w:r>
              <w:rPr>
                <w:rFonts w:hint="eastAsia" w:ascii="宋体" w:hAnsi="宋体" w:eastAsia="宋体" w:cs="宋体"/>
                <w:color w:val="auto"/>
                <w:sz w:val="24"/>
                <w:szCs w:val="24"/>
                <w:highlight w:val="none"/>
                <w:lang w:val="en-US" w:eastAsia="zh-CN"/>
              </w:rPr>
              <w:t>。</w:t>
            </w:r>
          </w:p>
        </w:tc>
      </w:tr>
      <w:tr w14:paraId="3C940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C60158">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p>
        </w:tc>
        <w:tc>
          <w:tcPr>
            <w:tcW w:w="4464" w:type="pct"/>
            <w:vAlign w:val="center"/>
          </w:tcPr>
          <w:p w14:paraId="0DCB182D">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资金支付的方式、时间和条件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资金支付的方式</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转账</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rPr>
              <w:t>资金支付的时间和条件</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合同签订并生效之日起5个工作日内支付合同总金额的60%；项目验收合格之日起5个工作日内支付合同总金额的40%。</w:t>
            </w:r>
          </w:p>
        </w:tc>
      </w:tr>
      <w:tr w14:paraId="7E234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4F9AABF">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p>
        </w:tc>
        <w:tc>
          <w:tcPr>
            <w:tcW w:w="4464" w:type="pct"/>
            <w:vAlign w:val="center"/>
          </w:tcPr>
          <w:p w14:paraId="3C15A837">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服务交付（实施）的时间（期限）</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一年</w:t>
            </w:r>
            <w:r>
              <w:rPr>
                <w:rFonts w:hint="eastAsia" w:ascii="宋体" w:hAnsi="宋体" w:eastAsia="宋体" w:cs="宋体"/>
                <w:color w:val="auto"/>
                <w:sz w:val="24"/>
                <w:szCs w:val="24"/>
                <w:highlight w:val="none"/>
                <w:u w:val="single"/>
                <w:lang w:val="en-US"/>
              </w:rPr>
              <w:t>。</w:t>
            </w:r>
          </w:p>
        </w:tc>
      </w:tr>
      <w:tr w14:paraId="4AAF0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3B1B29">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p>
        </w:tc>
        <w:tc>
          <w:tcPr>
            <w:tcW w:w="4464" w:type="pct"/>
            <w:vAlign w:val="center"/>
          </w:tcPr>
          <w:p w14:paraId="25CC8B0B">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服务交付（实施）的地点（地域范围）：</w:t>
            </w:r>
            <w:r>
              <w:rPr>
                <w:rFonts w:hint="eastAsia" w:ascii="宋体" w:hAnsi="宋体" w:eastAsia="宋体" w:cs="宋体"/>
                <w:color w:val="auto"/>
                <w:sz w:val="24"/>
                <w:szCs w:val="24"/>
                <w:highlight w:val="none"/>
                <w:u w:val="single"/>
                <w:lang w:val="en-US" w:eastAsia="zh-CN"/>
              </w:rPr>
              <w:t>杭州市余杭区</w:t>
            </w:r>
            <w:r>
              <w:rPr>
                <w:rFonts w:hint="eastAsia" w:ascii="宋体" w:hAnsi="宋体" w:eastAsia="宋体" w:cs="宋体"/>
                <w:color w:val="auto"/>
                <w:sz w:val="24"/>
                <w:szCs w:val="24"/>
                <w:highlight w:val="none"/>
                <w:lang w:val="en-US" w:eastAsia="zh-CN"/>
              </w:rPr>
              <w:t>。</w:t>
            </w:r>
          </w:p>
        </w:tc>
      </w:tr>
      <w:tr w14:paraId="77B01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EA58DD">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p>
        </w:tc>
        <w:tc>
          <w:tcPr>
            <w:tcW w:w="4464" w:type="pct"/>
            <w:vAlign w:val="center"/>
          </w:tcPr>
          <w:p w14:paraId="33DE5CA9">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服务交付（实施）的方式：</w:t>
            </w:r>
            <w:r>
              <w:rPr>
                <w:rFonts w:hint="eastAsia" w:ascii="宋体" w:hAnsi="宋体" w:eastAsia="宋体" w:cs="宋体"/>
                <w:color w:val="auto"/>
                <w:sz w:val="24"/>
                <w:szCs w:val="24"/>
                <w:highlight w:val="none"/>
                <w:u w:val="single"/>
                <w:lang w:val="en-US" w:eastAsia="zh-CN"/>
              </w:rPr>
              <w:t>根据采购文件、投标文件、合同条款约定，乙方完成</w:t>
            </w:r>
            <w:r>
              <w:rPr>
                <w:rFonts w:hint="eastAsia" w:ascii="宋体" w:hAnsi="宋体" w:eastAsia="宋体" w:cs="宋体"/>
                <w:color w:val="auto"/>
                <w:sz w:val="24"/>
                <w:szCs w:val="24"/>
                <w:highlight w:val="none"/>
                <w:u w:val="single"/>
              </w:rPr>
              <w:t>融媒体平台运行服务</w:t>
            </w:r>
            <w:r>
              <w:rPr>
                <w:rFonts w:hint="eastAsia" w:ascii="宋体" w:hAnsi="宋体" w:eastAsia="宋体" w:cs="宋体"/>
                <w:color w:val="auto"/>
                <w:sz w:val="24"/>
                <w:szCs w:val="24"/>
                <w:highlight w:val="none"/>
                <w:u w:val="single"/>
                <w:lang w:val="zh-TW" w:eastAsia="zh-TW"/>
              </w:rPr>
              <w:t>。</w:t>
            </w:r>
          </w:p>
        </w:tc>
      </w:tr>
      <w:tr w14:paraId="21542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53AA51">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1.7.4.1</w:t>
            </w:r>
          </w:p>
        </w:tc>
        <w:tc>
          <w:tcPr>
            <w:tcW w:w="4464" w:type="pct"/>
            <w:vAlign w:val="center"/>
          </w:tcPr>
          <w:p w14:paraId="27A89C41">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交付期限：</w:t>
            </w:r>
            <w:r>
              <w:rPr>
                <w:rFonts w:hint="eastAsia" w:ascii="宋体" w:hAnsi="宋体" w:cs="宋体"/>
                <w:color w:val="auto"/>
                <w:sz w:val="24"/>
                <w:szCs w:val="24"/>
                <w:highlight w:val="none"/>
                <w:u w:val="single"/>
                <w:lang w:val="en-US" w:eastAsia="zh-CN"/>
              </w:rPr>
              <w:t>一年</w:t>
            </w:r>
            <w:r>
              <w:rPr>
                <w:rFonts w:hint="eastAsia" w:ascii="宋体" w:hAnsi="宋体" w:eastAsia="宋体" w:cs="宋体"/>
                <w:color w:val="auto"/>
                <w:sz w:val="24"/>
                <w:szCs w:val="24"/>
                <w:highlight w:val="none"/>
                <w:u w:val="single"/>
                <w:lang w:val="en-US"/>
              </w:rPr>
              <w:t>。</w:t>
            </w:r>
          </w:p>
        </w:tc>
      </w:tr>
      <w:tr w14:paraId="044C6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2D0D0">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1.7.4.2</w:t>
            </w:r>
          </w:p>
        </w:tc>
        <w:tc>
          <w:tcPr>
            <w:tcW w:w="4464" w:type="pct"/>
            <w:vAlign w:val="center"/>
          </w:tcPr>
          <w:p w14:paraId="6F668426">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交付地点：</w:t>
            </w:r>
            <w:r>
              <w:rPr>
                <w:rFonts w:hint="eastAsia" w:ascii="宋体" w:hAnsi="宋体" w:eastAsia="宋体" w:cs="宋体"/>
                <w:color w:val="auto"/>
                <w:sz w:val="24"/>
                <w:szCs w:val="24"/>
                <w:highlight w:val="none"/>
                <w:u w:val="single"/>
                <w:lang w:val="en-US" w:eastAsia="zh-CN"/>
              </w:rPr>
              <w:t>杭州市余杭区。</w:t>
            </w:r>
          </w:p>
        </w:tc>
      </w:tr>
      <w:tr w14:paraId="01968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DDA32A">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1.7.4.3</w:t>
            </w:r>
          </w:p>
        </w:tc>
        <w:tc>
          <w:tcPr>
            <w:tcW w:w="4464" w:type="pct"/>
            <w:vAlign w:val="center"/>
          </w:tcPr>
          <w:p w14:paraId="61DFAA6E">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交付方式：</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lang w:val="en-US" w:eastAsia="zh-CN"/>
              </w:rPr>
              <w:t>。</w:t>
            </w:r>
          </w:p>
        </w:tc>
      </w:tr>
      <w:tr w14:paraId="47339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560DBE">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w:t>
            </w:r>
          </w:p>
        </w:tc>
        <w:tc>
          <w:tcPr>
            <w:tcW w:w="4464" w:type="pct"/>
            <w:vAlign w:val="center"/>
          </w:tcPr>
          <w:p w14:paraId="0DB63593">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违约责任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lang w:val="en-US" w:eastAsia="zh-CN"/>
              </w:rPr>
              <w:t>。</w:t>
            </w:r>
          </w:p>
        </w:tc>
      </w:tr>
      <w:tr w14:paraId="0DB69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4B0FCD">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4464" w:type="pct"/>
            <w:vAlign w:val="center"/>
          </w:tcPr>
          <w:p w14:paraId="673B111A">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将争议提交</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仲裁委员会依申请仲裁时其现行有效的仲裁规则裁决</w:t>
            </w:r>
            <w:r>
              <w:rPr>
                <w:rFonts w:hint="eastAsia" w:ascii="宋体" w:hAnsi="宋体" w:eastAsia="宋体" w:cs="宋体"/>
                <w:color w:val="auto"/>
                <w:sz w:val="24"/>
                <w:szCs w:val="24"/>
                <w:highlight w:val="none"/>
                <w:lang w:eastAsia="zh-CN"/>
              </w:rPr>
              <w:t>。</w:t>
            </w:r>
          </w:p>
        </w:tc>
      </w:tr>
      <w:tr w14:paraId="7B0E9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14A5B5">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p>
        </w:tc>
        <w:tc>
          <w:tcPr>
            <w:tcW w:w="4464" w:type="pct"/>
            <w:vAlign w:val="center"/>
          </w:tcPr>
          <w:p w14:paraId="79F2C150">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u w:val="single"/>
                <w:lang w:val="en-US" w:eastAsia="zh-CN"/>
              </w:rPr>
              <w:t>杭州市余杭区</w:t>
            </w:r>
            <w:r>
              <w:rPr>
                <w:rFonts w:hint="eastAsia" w:ascii="宋体" w:hAnsi="宋体" w:eastAsia="宋体" w:cs="宋体"/>
                <w:color w:val="auto"/>
                <w:sz w:val="24"/>
                <w:szCs w:val="24"/>
                <w:highlight w:val="none"/>
              </w:rPr>
              <w:t>人民法院起诉</w:t>
            </w:r>
            <w:r>
              <w:rPr>
                <w:rFonts w:hint="eastAsia" w:ascii="宋体" w:hAnsi="宋体" w:eastAsia="宋体" w:cs="宋体"/>
                <w:color w:val="auto"/>
                <w:sz w:val="24"/>
                <w:szCs w:val="24"/>
                <w:highlight w:val="none"/>
                <w:lang w:eastAsia="zh-CN"/>
              </w:rPr>
              <w:t>。</w:t>
            </w:r>
          </w:p>
        </w:tc>
      </w:tr>
      <w:tr w14:paraId="40A97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87F788">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4464" w:type="pct"/>
            <w:vAlign w:val="center"/>
          </w:tcPr>
          <w:p w14:paraId="74E945A0">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合同涉及技术成果的归属和收益的分成办法</w:t>
            </w:r>
            <w:r>
              <w:rPr>
                <w:rFonts w:hint="eastAsia" w:ascii="宋体" w:hAnsi="宋体" w:cs="宋体"/>
                <w:color w:val="auto"/>
                <w:sz w:val="24"/>
                <w:szCs w:val="24"/>
                <w:highlight w:val="none"/>
                <w:lang w:eastAsia="zh-CN"/>
              </w:rPr>
              <w:t>：</w:t>
            </w:r>
            <w:r>
              <w:rPr>
                <w:rFonts w:hint="eastAsia" w:ascii="宋体" w:hAnsi="宋体" w:cs="宋体"/>
                <w:strike w:val="0"/>
                <w:dstrike w:val="0"/>
                <w:color w:val="auto"/>
                <w:sz w:val="24"/>
                <w:szCs w:val="24"/>
                <w:highlight w:val="none"/>
                <w:u w:val="single"/>
                <w:lang w:eastAsia="zh-CN"/>
              </w:rPr>
              <w:t>乙方依本合同提供的服务或产品上的技术、知识和程序有关的任何构想、概念或其他的知识产权（无论是否是为客户所开发）均由乙方享有，甲方在本合同服务期限及服务范围内享有该技术及软件的使用权。</w:t>
            </w:r>
          </w:p>
        </w:tc>
      </w:tr>
      <w:tr w14:paraId="7D86F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75FEA5">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4464" w:type="pct"/>
            <w:vAlign w:val="center"/>
          </w:tcPr>
          <w:p w14:paraId="2A03474D">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结算方式和付款条件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同1.6.2</w:t>
            </w:r>
            <w:r>
              <w:rPr>
                <w:rFonts w:hint="eastAsia" w:ascii="宋体" w:hAnsi="宋体" w:eastAsia="宋体" w:cs="宋体"/>
                <w:color w:val="auto"/>
                <w:sz w:val="24"/>
                <w:szCs w:val="24"/>
                <w:highlight w:val="none"/>
                <w:lang w:val="en-US" w:eastAsia="zh-CN"/>
              </w:rPr>
              <w:t>。</w:t>
            </w:r>
          </w:p>
        </w:tc>
      </w:tr>
      <w:tr w14:paraId="633FA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5B82EA">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w:t>
            </w:r>
          </w:p>
        </w:tc>
        <w:tc>
          <w:tcPr>
            <w:tcW w:w="4464" w:type="pct"/>
            <w:vAlign w:val="center"/>
          </w:tcPr>
          <w:p w14:paraId="17735E87">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因不可抗力致使合同有变更必要的，双方当事人应在</w:t>
            </w:r>
            <w:r>
              <w:rPr>
                <w:rFonts w:hint="eastAsia" w:ascii="宋体" w:hAnsi="宋体" w:eastAsia="宋体" w:cs="宋体"/>
                <w:color w:val="auto"/>
                <w:sz w:val="24"/>
                <w:szCs w:val="24"/>
                <w:highlight w:val="none"/>
                <w:u w:val="single"/>
                <w:lang w:val="en-US" w:eastAsia="zh-CN"/>
              </w:rPr>
              <w:t>3个工作日</w:t>
            </w:r>
            <w:r>
              <w:rPr>
                <w:rFonts w:hint="eastAsia" w:ascii="宋体" w:hAnsi="宋体" w:eastAsia="宋体" w:cs="宋体"/>
                <w:color w:val="auto"/>
                <w:sz w:val="24"/>
                <w:szCs w:val="24"/>
                <w:highlight w:val="none"/>
              </w:rPr>
              <w:t>内以书面形式变更合同；</w:t>
            </w:r>
          </w:p>
        </w:tc>
      </w:tr>
      <w:tr w14:paraId="2AF34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F0AB6B">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w:t>
            </w:r>
          </w:p>
        </w:tc>
        <w:tc>
          <w:tcPr>
            <w:tcW w:w="4464" w:type="pct"/>
          </w:tcPr>
          <w:p w14:paraId="4C4C6CE8">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受不可抗力影响的一方在不可抗力发生后，应在</w:t>
            </w:r>
            <w:r>
              <w:rPr>
                <w:rFonts w:hint="eastAsia" w:ascii="宋体" w:hAnsi="宋体" w:eastAsia="宋体" w:cs="宋体"/>
                <w:color w:val="auto"/>
                <w:sz w:val="24"/>
                <w:szCs w:val="24"/>
                <w:highlight w:val="none"/>
                <w:u w:val="single"/>
                <w:lang w:val="en-US" w:eastAsia="zh-CN"/>
              </w:rPr>
              <w:t>3个工作日</w:t>
            </w:r>
            <w:r>
              <w:rPr>
                <w:rFonts w:hint="eastAsia" w:ascii="宋体" w:hAnsi="宋体" w:eastAsia="宋体" w:cs="宋体"/>
                <w:color w:val="auto"/>
                <w:sz w:val="24"/>
                <w:szCs w:val="24"/>
                <w:highlight w:val="none"/>
              </w:rPr>
              <w:t>内以书面形式通知对方当事人，并在</w:t>
            </w:r>
            <w:r>
              <w:rPr>
                <w:rFonts w:hint="eastAsia" w:ascii="宋体" w:hAnsi="宋体" w:eastAsia="宋体" w:cs="宋体"/>
                <w:color w:val="auto"/>
                <w:sz w:val="24"/>
                <w:szCs w:val="24"/>
                <w:highlight w:val="none"/>
                <w:u w:val="single"/>
                <w:lang w:val="en-US" w:eastAsia="zh-CN"/>
              </w:rPr>
              <w:t>10个工作日</w:t>
            </w:r>
            <w:r>
              <w:rPr>
                <w:rFonts w:hint="eastAsia" w:ascii="宋体" w:hAnsi="宋体" w:eastAsia="宋体" w:cs="宋体"/>
                <w:color w:val="auto"/>
                <w:sz w:val="24"/>
                <w:szCs w:val="24"/>
                <w:highlight w:val="none"/>
              </w:rPr>
              <w:t>内，将有关部门出具的证明文件送达对方当事人。</w:t>
            </w:r>
          </w:p>
        </w:tc>
      </w:tr>
      <w:tr w14:paraId="0F527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9359A2">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w:t>
            </w:r>
          </w:p>
        </w:tc>
        <w:tc>
          <w:tcPr>
            <w:tcW w:w="4464" w:type="pct"/>
            <w:vAlign w:val="center"/>
          </w:tcPr>
          <w:p w14:paraId="7AABA871">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乙方按照</w:t>
            </w:r>
            <w:r>
              <w:rPr>
                <w:rFonts w:hint="eastAsia" w:ascii="宋体" w:hAnsi="宋体" w:cs="宋体"/>
                <w:color w:val="auto"/>
                <w:sz w:val="24"/>
                <w:szCs w:val="24"/>
                <w:highlight w:val="none"/>
                <w:u w:val="single"/>
                <w:lang w:val="en-US" w:eastAsia="zh-CN"/>
              </w:rPr>
              <w:t>双方</w:t>
            </w:r>
            <w:r>
              <w:rPr>
                <w:rFonts w:hint="eastAsia" w:ascii="宋体" w:hAnsi="宋体" w:eastAsia="宋体" w:cs="宋体"/>
                <w:color w:val="auto"/>
                <w:sz w:val="24"/>
                <w:szCs w:val="24"/>
                <w:highlight w:val="none"/>
              </w:rPr>
              <w:t>的约定，定期提交服务报告，甲方按照合同专用条款的约定进行定期验收；</w:t>
            </w:r>
          </w:p>
        </w:tc>
      </w:tr>
      <w:tr w14:paraId="2F102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3819174">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w:t>
            </w:r>
          </w:p>
        </w:tc>
        <w:tc>
          <w:tcPr>
            <w:tcW w:w="4464" w:type="pct"/>
            <w:vAlign w:val="center"/>
          </w:tcPr>
          <w:p w14:paraId="6469B6B3">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检验和验收标准、程序等具体内容以及前述验收书的效力</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采购需求及</w:t>
            </w:r>
            <w:r>
              <w:rPr>
                <w:rFonts w:hint="eastAsia" w:ascii="宋体" w:hAnsi="宋体" w:cs="宋体"/>
                <w:color w:val="auto"/>
                <w:sz w:val="24"/>
                <w:szCs w:val="24"/>
                <w:highlight w:val="none"/>
                <w:u w:val="single"/>
                <w:lang w:val="en-US" w:eastAsia="zh-CN"/>
              </w:rPr>
              <w:t>投标</w:t>
            </w:r>
            <w:r>
              <w:rPr>
                <w:rFonts w:hint="eastAsia" w:ascii="宋体" w:hAnsi="宋体" w:eastAsia="宋体" w:cs="宋体"/>
                <w:color w:val="auto"/>
                <w:sz w:val="24"/>
                <w:szCs w:val="24"/>
                <w:highlight w:val="none"/>
                <w:u w:val="single"/>
              </w:rPr>
              <w:t>文件，具体验收流程、程序以甲方要求为准。</w:t>
            </w:r>
          </w:p>
        </w:tc>
      </w:tr>
      <w:tr w14:paraId="4EB30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vAlign w:val="center"/>
          </w:tcPr>
          <w:p w14:paraId="242FF171">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2.19</w:t>
            </w:r>
          </w:p>
        </w:tc>
        <w:tc>
          <w:tcPr>
            <w:tcW w:w="4464" w:type="pct"/>
          </w:tcPr>
          <w:p w14:paraId="6D1CDD4D">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合同份数：本合同一式陆份，甲方执肆份，乙方执贰份，</w:t>
            </w:r>
            <w:r>
              <w:rPr>
                <w:rFonts w:hint="eastAsia" w:ascii="宋体" w:hAnsi="宋体" w:eastAsia="宋体" w:cs="宋体"/>
                <w:color w:val="auto"/>
                <w:sz w:val="24"/>
                <w:szCs w:val="24"/>
                <w:highlight w:val="none"/>
              </w:rPr>
              <w:t>每份均具有同等法律效力。</w:t>
            </w:r>
          </w:p>
        </w:tc>
      </w:tr>
    </w:tbl>
    <w:p w14:paraId="2E0A9757">
      <w:pPr>
        <w:spacing w:line="360" w:lineRule="auto"/>
        <w:ind w:left="-420" w:leftChars="-200" w:right="-420" w:rightChars="-200" w:firstLine="480" w:firstLineChars="200"/>
        <w:rPr>
          <w:rFonts w:ascii="宋体" w:hAnsi="宋体" w:cs="宋体"/>
          <w:color w:val="auto"/>
          <w:sz w:val="24"/>
          <w:highlight w:val="none"/>
        </w:rPr>
      </w:pPr>
    </w:p>
    <w:p w14:paraId="10C3945A">
      <w:pPr>
        <w:spacing w:line="360" w:lineRule="auto"/>
        <w:ind w:left="-420" w:leftChars="-200" w:right="-420" w:rightChars="-200" w:firstLine="480" w:firstLineChars="200"/>
        <w:jc w:val="center"/>
        <w:outlineLvl w:val="9"/>
        <w:rPr>
          <w:rFonts w:ascii="宋体" w:hAnsi="宋体" w:cs="宋体"/>
          <w:color w:val="auto"/>
          <w:sz w:val="24"/>
          <w:highlight w:val="none"/>
        </w:rPr>
      </w:pPr>
    </w:p>
    <w:p w14:paraId="7D275248">
      <w:pPr>
        <w:widowControl/>
        <w:adjustRightInd/>
        <w:jc w:val="center"/>
        <w:outlineLvl w:val="1"/>
        <w:rPr>
          <w:rFonts w:hint="eastAsia" w:ascii="宋体" w:hAnsi="宋体" w:cs="宋体"/>
          <w:b/>
          <w:color w:val="auto"/>
          <w:sz w:val="36"/>
          <w:szCs w:val="20"/>
          <w:highlight w:val="none"/>
        </w:rPr>
        <w:sectPr>
          <w:headerReference r:id="rId8" w:type="first"/>
          <w:footerReference r:id="rId10" w:type="first"/>
          <w:footerReference r:id="rId9" w:type="default"/>
          <w:pgSz w:w="11905" w:h="16838"/>
          <w:pgMar w:top="1417" w:right="1417" w:bottom="1417" w:left="1417" w:header="851" w:footer="850" w:gutter="0"/>
          <w:cols w:space="0" w:num="1"/>
          <w:rtlGutter w:val="0"/>
          <w:docGrid w:linePitch="312" w:charSpace="0"/>
        </w:sectPr>
      </w:pPr>
      <w:bookmarkStart w:id="610" w:name="_Toc18369"/>
    </w:p>
    <w:p w14:paraId="4DF2C117">
      <w:pPr>
        <w:numPr>
          <w:ilvl w:val="0"/>
          <w:numId w:val="0"/>
        </w:num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 xml:space="preserve">第六部分 </w:t>
      </w:r>
      <w:bookmarkEnd w:id="450"/>
      <w:r>
        <w:rPr>
          <w:rFonts w:hint="eastAsia" w:ascii="宋体" w:hAnsi="宋体" w:cs="宋体"/>
          <w:b/>
          <w:color w:val="auto"/>
          <w:sz w:val="36"/>
          <w:szCs w:val="20"/>
          <w:highlight w:val="none"/>
        </w:rPr>
        <w:t>应提交的有关格式范例</w:t>
      </w:r>
      <w:bookmarkEnd w:id="610"/>
    </w:p>
    <w:p w14:paraId="19CFF747">
      <w:pPr>
        <w:spacing w:line="360" w:lineRule="auto"/>
        <w:jc w:val="center"/>
        <w:outlineLvl w:val="9"/>
        <w:rPr>
          <w:rFonts w:ascii="宋体" w:hAnsi="宋体" w:cs="宋体"/>
          <w:b/>
          <w:color w:val="auto"/>
          <w:kern w:val="0"/>
          <w:sz w:val="36"/>
          <w:szCs w:val="36"/>
          <w:highlight w:val="none"/>
        </w:rPr>
      </w:pPr>
    </w:p>
    <w:p w14:paraId="2CD3C9BA">
      <w:pPr>
        <w:spacing w:line="360" w:lineRule="auto"/>
        <w:jc w:val="center"/>
        <w:outlineLvl w:val="1"/>
        <w:rPr>
          <w:rFonts w:ascii="宋体" w:hAnsi="宋体" w:cs="宋体"/>
          <w:b/>
          <w:color w:val="auto"/>
          <w:kern w:val="0"/>
          <w:sz w:val="36"/>
          <w:szCs w:val="36"/>
          <w:highlight w:val="none"/>
        </w:rPr>
      </w:pPr>
      <w:bookmarkStart w:id="611" w:name="_Toc7989"/>
      <w:r>
        <w:rPr>
          <w:rFonts w:hint="eastAsia" w:ascii="宋体" w:hAnsi="宋体" w:cs="宋体"/>
          <w:b/>
          <w:color w:val="auto"/>
          <w:kern w:val="0"/>
          <w:sz w:val="36"/>
          <w:szCs w:val="36"/>
          <w:highlight w:val="none"/>
        </w:rPr>
        <w:t>资格文件部分</w:t>
      </w:r>
      <w:bookmarkEnd w:id="611"/>
    </w:p>
    <w:p w14:paraId="5ED8E43B">
      <w:pPr>
        <w:spacing w:line="360" w:lineRule="auto"/>
        <w:jc w:val="center"/>
        <w:outlineLvl w:val="2"/>
        <w:rPr>
          <w:rFonts w:ascii="宋体" w:hAnsi="宋体" w:cs="宋体"/>
          <w:b/>
          <w:color w:val="auto"/>
          <w:kern w:val="0"/>
          <w:sz w:val="36"/>
          <w:szCs w:val="36"/>
          <w:highlight w:val="none"/>
        </w:rPr>
      </w:pPr>
      <w:bookmarkStart w:id="612" w:name="_Toc19818"/>
      <w:r>
        <w:rPr>
          <w:rFonts w:hint="eastAsia" w:ascii="宋体" w:hAnsi="宋体" w:cs="宋体"/>
          <w:b/>
          <w:color w:val="auto"/>
          <w:kern w:val="0"/>
          <w:sz w:val="36"/>
          <w:szCs w:val="36"/>
          <w:highlight w:val="none"/>
        </w:rPr>
        <w:t>目录</w:t>
      </w:r>
      <w:bookmarkEnd w:id="612"/>
    </w:p>
    <w:p w14:paraId="55EEA4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C70C53C">
      <w:pPr>
        <w:snapToGrid w:val="0"/>
        <w:spacing w:line="360" w:lineRule="auto"/>
        <w:jc w:val="center"/>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0646B0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E983D4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）本项目的特定资格要求………………………………………………（页码）</w:t>
      </w:r>
    </w:p>
    <w:p w14:paraId="280FCBCD">
      <w:pPr>
        <w:snapToGrid w:val="0"/>
        <w:spacing w:line="360" w:lineRule="auto"/>
        <w:ind w:firstLine="480" w:firstLineChars="200"/>
        <w:rPr>
          <w:rFonts w:ascii="宋体" w:hAnsi="宋体" w:cs="宋体"/>
          <w:color w:val="auto"/>
          <w:sz w:val="24"/>
          <w:highlight w:val="none"/>
        </w:rPr>
      </w:pPr>
    </w:p>
    <w:p w14:paraId="1215EA8D">
      <w:pPr>
        <w:spacing w:line="360" w:lineRule="auto"/>
        <w:ind w:firstLine="480" w:firstLineChars="200"/>
        <w:rPr>
          <w:rFonts w:ascii="宋体" w:hAnsi="宋体" w:cs="宋体"/>
          <w:color w:val="auto"/>
          <w:sz w:val="24"/>
          <w:highlight w:val="none"/>
        </w:rPr>
      </w:pPr>
    </w:p>
    <w:p w14:paraId="02808985">
      <w:pPr>
        <w:snapToGrid w:val="0"/>
        <w:spacing w:line="360" w:lineRule="auto"/>
        <w:ind w:right="480"/>
        <w:jc w:val="center"/>
        <w:outlineLvl w:val="3"/>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bookmarkStart w:id="613" w:name="_Toc4490"/>
      <w:r>
        <w:rPr>
          <w:rFonts w:hint="eastAsia" w:ascii="宋体" w:hAnsi="宋体" w:cs="宋体"/>
          <w:b/>
          <w:color w:val="auto"/>
          <w:kern w:val="0"/>
          <w:sz w:val="32"/>
          <w:szCs w:val="32"/>
          <w:highlight w:val="none"/>
        </w:rPr>
        <w:t>一、符合参加政府采购活动应当具备的一般条件的承诺函</w:t>
      </w:r>
      <w:bookmarkEnd w:id="613"/>
    </w:p>
    <w:p w14:paraId="0DBD1FD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杭州市余杭区融媒体中心（杭州市余杭区广播电视台）、浙江省成套招标代理有限公司：</w:t>
      </w:r>
    </w:p>
    <w:p w14:paraId="5C52E5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融媒体平台运行服务采购项目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CTZB-2025020163</w:t>
      </w:r>
      <w:r>
        <w:rPr>
          <w:rFonts w:hint="eastAsia" w:ascii="宋体" w:hAnsi="宋体" w:cs="宋体"/>
          <w:color w:val="auto"/>
          <w:sz w:val="24"/>
          <w:highlight w:val="none"/>
        </w:rPr>
        <w:t>】政府采购活动，郑重承诺：</w:t>
      </w:r>
    </w:p>
    <w:p w14:paraId="7C49151F">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5F2C1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E7FD5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26B12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5684E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54DEA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20DC2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448C0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0B7D7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（三）不存在以下情况：</w:t>
      </w:r>
    </w:p>
    <w:p w14:paraId="719AC0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665B0E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326FCDF">
      <w:pPr>
        <w:keepNext w:val="0"/>
        <w:keepLines w:val="0"/>
        <w:pageBreakBefore w:val="0"/>
        <w:widowControl w:val="0"/>
        <w:kinsoku/>
        <w:wordWrap/>
        <w:overflowPunct/>
        <w:topLinePunct w:val="0"/>
        <w:autoSpaceDE/>
        <w:autoSpaceDN/>
        <w:bidi w:val="0"/>
        <w:adjustRightInd w:val="0"/>
        <w:snapToGrid w:val="0"/>
        <w:spacing w:line="360" w:lineRule="auto"/>
        <w:ind w:firstLine="5520" w:firstLineChars="2300"/>
        <w:textAlignment w:val="auto"/>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7B0F5E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75B13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p>
    <w:p w14:paraId="7B5175F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w:t>
      </w:r>
      <w:r>
        <w:rPr>
          <w:rFonts w:hint="eastAsia" w:ascii="宋体" w:hAnsi="宋体" w:cs="宋体"/>
          <w:b/>
          <w:bCs/>
          <w:snapToGrid w:val="0"/>
          <w:color w:val="auto"/>
          <w:kern w:val="28"/>
          <w:sz w:val="24"/>
          <w:highlight w:val="none"/>
        </w:rPr>
        <w:t>联合体投标</w:t>
      </w:r>
      <w:r>
        <w:rPr>
          <w:rFonts w:hint="eastAsia" w:ascii="宋体" w:hAnsi="宋体" w:eastAsia="宋体" w:cs="宋体"/>
          <w:b/>
          <w:bCs/>
          <w:snapToGrid w:val="0"/>
          <w:color w:val="auto"/>
          <w:kern w:val="28"/>
          <w:sz w:val="24"/>
          <w:highlight w:val="none"/>
        </w:rPr>
        <w:t>的，联合体</w:t>
      </w:r>
      <w:r>
        <w:rPr>
          <w:rFonts w:hint="eastAsia" w:ascii="宋体" w:hAnsi="宋体" w:eastAsia="宋体" w:cs="宋体"/>
          <w:b/>
          <w:bCs/>
          <w:snapToGrid w:val="0"/>
          <w:color w:val="auto"/>
          <w:kern w:val="28"/>
          <w:sz w:val="24"/>
          <w:highlight w:val="none"/>
          <w:lang w:val="en-US" w:eastAsia="zh-CN"/>
        </w:rPr>
        <w:t>各方均需提供《</w:t>
      </w:r>
      <w:r>
        <w:rPr>
          <w:rFonts w:hint="eastAsia" w:ascii="宋体" w:hAnsi="宋体" w:eastAsia="宋体" w:cs="宋体"/>
          <w:b/>
          <w:bCs/>
          <w:snapToGrid w:val="0"/>
          <w:color w:val="auto"/>
          <w:kern w:val="28"/>
          <w:sz w:val="24"/>
          <w:highlight w:val="none"/>
        </w:rPr>
        <w:t>符合参加政府采购活动应当具备的一般条件的承诺函</w:t>
      </w:r>
      <w:r>
        <w:rPr>
          <w:rFonts w:hint="eastAsia" w:ascii="宋体" w:hAnsi="宋体" w:eastAsia="宋体" w:cs="宋体"/>
          <w:b/>
          <w:bCs/>
          <w:snapToGrid w:val="0"/>
          <w:color w:val="auto"/>
          <w:kern w:val="28"/>
          <w:sz w:val="24"/>
          <w:highlight w:val="none"/>
          <w:lang w:eastAsia="zh-CN"/>
        </w:rPr>
        <w:t>》（</w:t>
      </w:r>
      <w:r>
        <w:rPr>
          <w:rFonts w:hint="eastAsia" w:ascii="宋体" w:hAnsi="宋体" w:eastAsia="宋体" w:cs="宋体"/>
          <w:b/>
          <w:bCs/>
          <w:snapToGrid w:val="0"/>
          <w:color w:val="auto"/>
          <w:kern w:val="28"/>
          <w:sz w:val="24"/>
          <w:highlight w:val="none"/>
          <w:lang w:val="en-US" w:eastAsia="zh-CN"/>
        </w:rPr>
        <w:t>盖章</w:t>
      </w:r>
      <w:r>
        <w:rPr>
          <w:rFonts w:hint="eastAsia" w:ascii="宋体" w:hAnsi="宋体" w:eastAsia="宋体" w:cs="宋体"/>
          <w:b/>
          <w:bCs/>
          <w:snapToGrid w:val="0"/>
          <w:color w:val="auto"/>
          <w:kern w:val="28"/>
          <w:sz w:val="24"/>
          <w:highlight w:val="none"/>
          <w:lang w:eastAsia="zh-CN"/>
        </w:rPr>
        <w:t>）</w:t>
      </w:r>
    </w:p>
    <w:p w14:paraId="2F60E19D">
      <w:pPr>
        <w:snapToGrid w:val="0"/>
        <w:spacing w:line="360" w:lineRule="auto"/>
        <w:ind w:right="480"/>
        <w:jc w:val="center"/>
        <w:rPr>
          <w:rFonts w:ascii="宋体" w:hAnsi="宋体" w:cs="宋体"/>
          <w:b/>
          <w:color w:val="auto"/>
          <w:kern w:val="0"/>
          <w:sz w:val="32"/>
          <w:szCs w:val="32"/>
          <w:highlight w:val="none"/>
        </w:rPr>
      </w:pPr>
    </w:p>
    <w:p w14:paraId="107B8953">
      <w:pPr>
        <w:snapToGrid w:val="0"/>
        <w:spacing w:line="360" w:lineRule="auto"/>
        <w:ind w:right="480"/>
        <w:jc w:val="center"/>
        <w:rPr>
          <w:rFonts w:ascii="宋体" w:hAnsi="宋体" w:cs="宋体"/>
          <w:b/>
          <w:color w:val="auto"/>
          <w:kern w:val="0"/>
          <w:sz w:val="32"/>
          <w:szCs w:val="32"/>
          <w:highlight w:val="none"/>
        </w:rPr>
      </w:pPr>
    </w:p>
    <w:p w14:paraId="5D04A297">
      <w:pPr>
        <w:rPr>
          <w:rFonts w:ascii="宋体" w:hAnsi="宋体" w:cs="宋体"/>
          <w:color w:val="auto"/>
          <w:highlight w:val="none"/>
        </w:rPr>
      </w:pPr>
    </w:p>
    <w:p w14:paraId="6350735A">
      <w:pPr>
        <w:snapToGrid w:val="0"/>
        <w:spacing w:line="360" w:lineRule="auto"/>
        <w:ind w:right="480"/>
        <w:jc w:val="center"/>
        <w:rPr>
          <w:rFonts w:ascii="宋体" w:hAnsi="宋体" w:cs="宋体"/>
          <w:b/>
          <w:color w:val="auto"/>
          <w:kern w:val="0"/>
          <w:sz w:val="32"/>
          <w:szCs w:val="32"/>
          <w:highlight w:val="none"/>
        </w:rPr>
      </w:pPr>
    </w:p>
    <w:p w14:paraId="5CCF4F16">
      <w:pPr>
        <w:snapToGrid w:val="0"/>
        <w:spacing w:line="360" w:lineRule="auto"/>
        <w:ind w:right="480"/>
        <w:jc w:val="center"/>
        <w:rPr>
          <w:rFonts w:ascii="宋体" w:hAnsi="宋体" w:cs="宋体"/>
          <w:b/>
          <w:color w:val="auto"/>
          <w:kern w:val="0"/>
          <w:sz w:val="32"/>
          <w:szCs w:val="32"/>
          <w:highlight w:val="none"/>
        </w:rPr>
      </w:pPr>
    </w:p>
    <w:p w14:paraId="28639224">
      <w:pPr>
        <w:widowControl/>
        <w:spacing w:line="360" w:lineRule="auto"/>
        <w:ind w:firstLine="643" w:firstLineChars="200"/>
        <w:jc w:val="center"/>
        <w:outlineLvl w:val="3"/>
        <w:rPr>
          <w:rFonts w:ascii="宋体" w:hAnsi="宋体" w:cs="宋体"/>
          <w:b/>
          <w:color w:val="auto"/>
          <w:kern w:val="0"/>
          <w:sz w:val="32"/>
          <w:szCs w:val="32"/>
          <w:highlight w:val="none"/>
        </w:rPr>
      </w:pPr>
      <w:bookmarkStart w:id="614" w:name="_Toc21405"/>
      <w:r>
        <w:rPr>
          <w:rFonts w:hint="eastAsia" w:ascii="宋体" w:hAnsi="宋体" w:cs="宋体"/>
          <w:b/>
          <w:color w:val="auto"/>
          <w:kern w:val="0"/>
          <w:sz w:val="32"/>
          <w:szCs w:val="32"/>
          <w:highlight w:val="none"/>
        </w:rPr>
        <w:t>二、联合协议（如果有）</w:t>
      </w:r>
      <w:bookmarkEnd w:id="614"/>
    </w:p>
    <w:p w14:paraId="289BB30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A2649CE">
      <w:pPr>
        <w:snapToGrid w:val="0"/>
        <w:spacing w:line="360" w:lineRule="auto"/>
        <w:ind w:right="480"/>
        <w:jc w:val="center"/>
        <w:rPr>
          <w:rFonts w:ascii="宋体" w:hAnsi="宋体" w:cs="宋体"/>
          <w:b/>
          <w:color w:val="auto"/>
          <w:kern w:val="0"/>
          <w:sz w:val="32"/>
          <w:szCs w:val="32"/>
          <w:highlight w:val="none"/>
        </w:rPr>
      </w:pPr>
    </w:p>
    <w:p w14:paraId="72BE1926">
      <w:pPr>
        <w:snapToGrid w:val="0"/>
        <w:spacing w:line="360" w:lineRule="auto"/>
        <w:ind w:right="480"/>
        <w:jc w:val="center"/>
        <w:rPr>
          <w:rFonts w:ascii="宋体" w:hAnsi="宋体" w:cs="宋体"/>
          <w:b/>
          <w:color w:val="auto"/>
          <w:kern w:val="0"/>
          <w:sz w:val="32"/>
          <w:szCs w:val="32"/>
          <w:highlight w:val="none"/>
        </w:rPr>
      </w:pPr>
    </w:p>
    <w:p w14:paraId="5682F596">
      <w:pPr>
        <w:snapToGrid w:val="0"/>
        <w:spacing w:line="360" w:lineRule="auto"/>
        <w:ind w:right="480"/>
        <w:jc w:val="center"/>
        <w:outlineLvl w:val="3"/>
        <w:rPr>
          <w:rFonts w:hint="eastAsia" w:ascii="宋体" w:hAnsi="宋体" w:cs="宋体"/>
          <w:b/>
          <w:color w:val="auto"/>
          <w:kern w:val="0"/>
          <w:sz w:val="32"/>
          <w:szCs w:val="32"/>
          <w:highlight w:val="none"/>
        </w:rPr>
        <w:sectPr>
          <w:pgSz w:w="11905" w:h="16838"/>
          <w:pgMar w:top="1417" w:right="1417" w:bottom="1417" w:left="1417" w:header="851" w:footer="850" w:gutter="0"/>
          <w:cols w:space="0" w:num="1"/>
          <w:rtlGutter w:val="0"/>
          <w:docGrid w:linePitch="312" w:charSpace="0"/>
        </w:sectPr>
      </w:pPr>
      <w:bookmarkStart w:id="615" w:name="_Toc12795"/>
    </w:p>
    <w:p w14:paraId="0C95F9B2">
      <w:pPr>
        <w:snapToGrid w:val="0"/>
        <w:spacing w:line="360" w:lineRule="auto"/>
        <w:ind w:right="480"/>
        <w:jc w:val="center"/>
        <w:outlineLvl w:val="3"/>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bookmarkEnd w:id="615"/>
    </w:p>
    <w:p w14:paraId="5597425D">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D9AAD96">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94BE584">
      <w:pPr>
        <w:widowControl/>
        <w:spacing w:line="360" w:lineRule="auto"/>
        <w:ind w:firstLine="480"/>
        <w:jc w:val="left"/>
        <w:rPr>
          <w:rFonts w:ascii="宋体" w:hAnsi="宋体" w:cs="宋体"/>
          <w:color w:val="auto"/>
          <w:sz w:val="24"/>
          <w:highlight w:val="none"/>
        </w:rPr>
      </w:pPr>
    </w:p>
    <w:p w14:paraId="674C6348">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59FE535">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A86E73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056C4AC">
      <w:pPr>
        <w:widowControl/>
        <w:spacing w:line="360" w:lineRule="auto"/>
        <w:ind w:left="150"/>
        <w:jc w:val="center"/>
        <w:rPr>
          <w:rFonts w:ascii="宋体" w:hAnsi="宋体" w:cs="宋体"/>
          <w:b/>
          <w:color w:val="auto"/>
          <w:kern w:val="0"/>
          <w:sz w:val="32"/>
          <w:szCs w:val="32"/>
          <w:highlight w:val="none"/>
        </w:rPr>
      </w:pPr>
    </w:p>
    <w:p w14:paraId="7B01ED76">
      <w:pPr>
        <w:rPr>
          <w:rFonts w:hint="eastAsia" w:ascii="宋体" w:hAnsi="宋体" w:cs="宋体"/>
          <w:b/>
          <w:color w:val="auto"/>
          <w:kern w:val="0"/>
          <w:sz w:val="32"/>
          <w:szCs w:val="32"/>
          <w:highlight w:val="none"/>
        </w:rPr>
      </w:pPr>
      <w:bookmarkStart w:id="616" w:name="_Toc31054"/>
      <w:r>
        <w:rPr>
          <w:rFonts w:hint="eastAsia" w:ascii="宋体" w:hAnsi="宋体" w:cs="宋体"/>
          <w:b/>
          <w:color w:val="auto"/>
          <w:kern w:val="0"/>
          <w:sz w:val="32"/>
          <w:szCs w:val="32"/>
          <w:highlight w:val="none"/>
        </w:rPr>
        <w:br w:type="page"/>
      </w:r>
    </w:p>
    <w:p w14:paraId="209D3BC4">
      <w:pPr>
        <w:widowControl/>
        <w:spacing w:line="360" w:lineRule="auto"/>
        <w:ind w:left="150"/>
        <w:jc w:val="center"/>
        <w:outlineLvl w:val="3"/>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bookmarkEnd w:id="616"/>
    </w:p>
    <w:p w14:paraId="051FF84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5F580C5">
      <w:pPr>
        <w:rPr>
          <w:rFonts w:ascii="宋体" w:hAnsi="宋体" w:cs="宋体"/>
          <w:color w:val="auto"/>
          <w:highlight w:val="none"/>
        </w:rPr>
      </w:pPr>
    </w:p>
    <w:p w14:paraId="712AB640">
      <w:pPr>
        <w:snapToGrid w:val="0"/>
        <w:spacing w:line="360" w:lineRule="auto"/>
        <w:ind w:right="480"/>
        <w:jc w:val="center"/>
        <w:rPr>
          <w:rFonts w:ascii="宋体" w:hAnsi="宋体" w:cs="宋体"/>
          <w:b/>
          <w:color w:val="auto"/>
          <w:kern w:val="0"/>
          <w:sz w:val="32"/>
          <w:szCs w:val="32"/>
          <w:highlight w:val="none"/>
        </w:rPr>
      </w:pPr>
    </w:p>
    <w:p w14:paraId="231FF28A">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45E01FEE">
      <w:pPr>
        <w:spacing w:line="360" w:lineRule="auto"/>
        <w:jc w:val="center"/>
        <w:outlineLvl w:val="1"/>
        <w:rPr>
          <w:rFonts w:ascii="宋体" w:hAnsi="宋体" w:cs="宋体"/>
          <w:b/>
          <w:color w:val="auto"/>
          <w:kern w:val="0"/>
          <w:sz w:val="24"/>
          <w:highlight w:val="none"/>
        </w:rPr>
      </w:pPr>
      <w:r>
        <w:rPr>
          <w:rFonts w:hint="eastAsia" w:ascii="宋体" w:hAnsi="宋体" w:cs="宋体"/>
          <w:b/>
          <w:color w:val="auto"/>
          <w:kern w:val="0"/>
          <w:sz w:val="36"/>
          <w:szCs w:val="36"/>
          <w:highlight w:val="none"/>
        </w:rPr>
        <w:t>商务技术文件部分</w:t>
      </w:r>
    </w:p>
    <w:p w14:paraId="034CF0E3">
      <w:pPr>
        <w:spacing w:line="360" w:lineRule="auto"/>
        <w:jc w:val="center"/>
        <w:outlineLvl w:val="2"/>
        <w:rPr>
          <w:rFonts w:ascii="宋体" w:hAnsi="宋体" w:cs="宋体"/>
          <w:b/>
          <w:color w:val="auto"/>
          <w:kern w:val="0"/>
          <w:sz w:val="36"/>
          <w:szCs w:val="36"/>
          <w:highlight w:val="none"/>
        </w:rPr>
      </w:pPr>
      <w:bookmarkStart w:id="617" w:name="_Toc19326"/>
      <w:r>
        <w:rPr>
          <w:rFonts w:hint="eastAsia" w:ascii="宋体" w:hAnsi="宋体" w:cs="宋体"/>
          <w:b/>
          <w:color w:val="auto"/>
          <w:kern w:val="0"/>
          <w:sz w:val="36"/>
          <w:szCs w:val="36"/>
          <w:highlight w:val="none"/>
        </w:rPr>
        <w:t>目录</w:t>
      </w:r>
      <w:bookmarkEnd w:id="617"/>
    </w:p>
    <w:p w14:paraId="3825924D">
      <w:pPr>
        <w:numPr>
          <w:ilvl w:val="0"/>
          <w:numId w:val="4"/>
        </w:num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投标函………………………………………………………………………（页码）</w:t>
      </w:r>
    </w:p>
    <w:p w14:paraId="190DDA16">
      <w:pPr>
        <w:numPr>
          <w:ilvl w:val="0"/>
          <w:numId w:val="4"/>
        </w:num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授权委托书或法定代表人（单位负责人、自然人本人）身份证明……（页码）</w:t>
      </w:r>
    </w:p>
    <w:p w14:paraId="487F1446">
      <w:pPr>
        <w:numPr>
          <w:ilvl w:val="0"/>
          <w:numId w:val="4"/>
        </w:num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分包意向协议………………………………………………………………（页码）</w:t>
      </w:r>
    </w:p>
    <w:p w14:paraId="68AF22AE">
      <w:pPr>
        <w:numPr>
          <w:ilvl w:val="0"/>
          <w:numId w:val="4"/>
        </w:num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符合性审查资料……………………………………………………………（页码）</w:t>
      </w:r>
    </w:p>
    <w:p w14:paraId="149BF00F">
      <w:pPr>
        <w:numPr>
          <w:ilvl w:val="0"/>
          <w:numId w:val="4"/>
        </w:num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评标标准相应的商务技术资料……………………………………………（页码）</w:t>
      </w:r>
    </w:p>
    <w:p w14:paraId="7738BABD">
      <w:pPr>
        <w:numPr>
          <w:ilvl w:val="0"/>
          <w:numId w:val="4"/>
        </w:num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投标标的清单………………………………………………………………（页码）</w:t>
      </w:r>
    </w:p>
    <w:p w14:paraId="2DB1A528">
      <w:pPr>
        <w:numPr>
          <w:ilvl w:val="0"/>
          <w:numId w:val="4"/>
        </w:num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rPr>
        <w:t>商务技术偏离表……………………………………………………………（页码）</w:t>
      </w:r>
    </w:p>
    <w:p w14:paraId="577DBD59">
      <w:pPr>
        <w:numPr>
          <w:ilvl w:val="0"/>
          <w:numId w:val="4"/>
        </w:numPr>
        <w:snapToGrid w:val="0"/>
        <w:spacing w:line="360" w:lineRule="auto"/>
        <w:jc w:val="both"/>
        <w:rPr>
          <w:rFonts w:hint="eastAsia" w:ascii="宋体" w:hAnsi="宋体" w:cs="宋体"/>
          <w:color w:val="auto"/>
          <w:sz w:val="24"/>
          <w:highlight w:val="none"/>
        </w:rPr>
      </w:pPr>
      <w:bookmarkStart w:id="618" w:name="_Toc11811"/>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bookmarkEnd w:id="618"/>
    </w:p>
    <w:p w14:paraId="056AD86A">
      <w:pPr>
        <w:snapToGrid w:val="0"/>
        <w:spacing w:line="360" w:lineRule="auto"/>
        <w:jc w:val="center"/>
        <w:rPr>
          <w:rFonts w:ascii="宋体" w:hAnsi="宋体" w:cs="宋体"/>
          <w:b/>
          <w:color w:val="auto"/>
          <w:kern w:val="0"/>
          <w:sz w:val="32"/>
          <w:szCs w:val="32"/>
          <w:highlight w:val="none"/>
          <w:lang w:val="zh-CN"/>
        </w:rPr>
      </w:pPr>
    </w:p>
    <w:p w14:paraId="68E8D15F">
      <w:pPr>
        <w:snapToGrid w:val="0"/>
        <w:spacing w:line="360" w:lineRule="auto"/>
        <w:jc w:val="center"/>
        <w:rPr>
          <w:rFonts w:ascii="宋体" w:hAnsi="宋体" w:cs="宋体"/>
          <w:b/>
          <w:color w:val="auto"/>
          <w:kern w:val="0"/>
          <w:sz w:val="32"/>
          <w:szCs w:val="32"/>
          <w:highlight w:val="none"/>
          <w:lang w:val="zh-CN"/>
        </w:rPr>
      </w:pPr>
    </w:p>
    <w:p w14:paraId="75F11EFC">
      <w:pPr>
        <w:snapToGrid w:val="0"/>
        <w:spacing w:line="360" w:lineRule="auto"/>
        <w:jc w:val="center"/>
        <w:rPr>
          <w:rFonts w:ascii="宋体" w:hAnsi="宋体" w:cs="宋体"/>
          <w:b/>
          <w:color w:val="auto"/>
          <w:kern w:val="0"/>
          <w:sz w:val="32"/>
          <w:szCs w:val="32"/>
          <w:highlight w:val="none"/>
          <w:lang w:val="zh-CN"/>
        </w:rPr>
      </w:pPr>
    </w:p>
    <w:p w14:paraId="13A23AA4">
      <w:pPr>
        <w:snapToGrid w:val="0"/>
        <w:spacing w:line="360" w:lineRule="auto"/>
        <w:jc w:val="center"/>
        <w:rPr>
          <w:rFonts w:ascii="宋体" w:hAnsi="宋体" w:cs="宋体"/>
          <w:b/>
          <w:color w:val="auto"/>
          <w:kern w:val="0"/>
          <w:sz w:val="32"/>
          <w:szCs w:val="32"/>
          <w:highlight w:val="none"/>
          <w:lang w:val="zh-CN"/>
        </w:rPr>
      </w:pPr>
    </w:p>
    <w:p w14:paraId="5B095E82">
      <w:pPr>
        <w:snapToGrid w:val="0"/>
        <w:spacing w:line="360" w:lineRule="auto"/>
        <w:jc w:val="center"/>
        <w:rPr>
          <w:rFonts w:ascii="宋体" w:hAnsi="宋体" w:cs="宋体"/>
          <w:b/>
          <w:color w:val="auto"/>
          <w:kern w:val="0"/>
          <w:sz w:val="32"/>
          <w:szCs w:val="32"/>
          <w:highlight w:val="none"/>
          <w:lang w:val="zh-CN"/>
        </w:rPr>
      </w:pPr>
    </w:p>
    <w:p w14:paraId="156F1659">
      <w:pPr>
        <w:snapToGrid w:val="0"/>
        <w:spacing w:line="360" w:lineRule="auto"/>
        <w:jc w:val="center"/>
        <w:rPr>
          <w:rFonts w:ascii="宋体" w:hAnsi="宋体" w:cs="宋体"/>
          <w:b/>
          <w:color w:val="auto"/>
          <w:kern w:val="0"/>
          <w:sz w:val="32"/>
          <w:szCs w:val="32"/>
          <w:highlight w:val="none"/>
          <w:lang w:val="zh-CN"/>
        </w:rPr>
      </w:pPr>
    </w:p>
    <w:p w14:paraId="209683B1">
      <w:pPr>
        <w:snapToGrid w:val="0"/>
        <w:spacing w:line="360" w:lineRule="auto"/>
        <w:jc w:val="center"/>
        <w:rPr>
          <w:rFonts w:ascii="宋体" w:hAnsi="宋体" w:cs="宋体"/>
          <w:b/>
          <w:color w:val="auto"/>
          <w:kern w:val="0"/>
          <w:sz w:val="32"/>
          <w:szCs w:val="32"/>
          <w:highlight w:val="none"/>
          <w:lang w:val="zh-CN"/>
        </w:rPr>
      </w:pPr>
    </w:p>
    <w:p w14:paraId="03FCF7BB">
      <w:pPr>
        <w:snapToGrid w:val="0"/>
        <w:spacing w:line="360" w:lineRule="auto"/>
        <w:jc w:val="center"/>
        <w:rPr>
          <w:rFonts w:ascii="宋体" w:hAnsi="宋体" w:cs="宋体"/>
          <w:b/>
          <w:color w:val="auto"/>
          <w:kern w:val="0"/>
          <w:sz w:val="32"/>
          <w:szCs w:val="32"/>
          <w:highlight w:val="none"/>
          <w:lang w:val="zh-CN"/>
        </w:rPr>
      </w:pPr>
    </w:p>
    <w:p w14:paraId="77FBAB7D">
      <w:pPr>
        <w:snapToGrid w:val="0"/>
        <w:spacing w:line="360" w:lineRule="auto"/>
        <w:jc w:val="center"/>
        <w:rPr>
          <w:rFonts w:ascii="宋体" w:hAnsi="宋体" w:cs="宋体"/>
          <w:b/>
          <w:color w:val="auto"/>
          <w:kern w:val="0"/>
          <w:sz w:val="32"/>
          <w:szCs w:val="32"/>
          <w:highlight w:val="none"/>
          <w:lang w:val="zh-CN"/>
        </w:rPr>
      </w:pPr>
    </w:p>
    <w:p w14:paraId="35FB4150">
      <w:pPr>
        <w:snapToGrid w:val="0"/>
        <w:spacing w:line="360" w:lineRule="auto"/>
        <w:jc w:val="center"/>
        <w:rPr>
          <w:rFonts w:ascii="宋体" w:hAnsi="宋体" w:cs="宋体"/>
          <w:b/>
          <w:color w:val="auto"/>
          <w:kern w:val="0"/>
          <w:sz w:val="32"/>
          <w:szCs w:val="32"/>
          <w:highlight w:val="none"/>
          <w:lang w:val="zh-CN"/>
        </w:rPr>
      </w:pPr>
    </w:p>
    <w:p w14:paraId="09A46AC9">
      <w:pPr>
        <w:snapToGrid w:val="0"/>
        <w:spacing w:line="360" w:lineRule="auto"/>
        <w:jc w:val="center"/>
        <w:rPr>
          <w:rFonts w:ascii="宋体" w:hAnsi="宋体" w:cs="宋体"/>
          <w:b/>
          <w:color w:val="auto"/>
          <w:kern w:val="0"/>
          <w:sz w:val="32"/>
          <w:szCs w:val="32"/>
          <w:highlight w:val="none"/>
          <w:lang w:val="zh-CN"/>
        </w:rPr>
      </w:pPr>
    </w:p>
    <w:p w14:paraId="5ECA9B7F">
      <w:pPr>
        <w:snapToGrid w:val="0"/>
        <w:spacing w:line="360" w:lineRule="auto"/>
        <w:jc w:val="center"/>
        <w:rPr>
          <w:rFonts w:ascii="宋体" w:hAnsi="宋体" w:cs="宋体"/>
          <w:b/>
          <w:color w:val="auto"/>
          <w:kern w:val="0"/>
          <w:sz w:val="32"/>
          <w:szCs w:val="32"/>
          <w:highlight w:val="none"/>
          <w:lang w:val="zh-CN"/>
        </w:rPr>
      </w:pPr>
    </w:p>
    <w:p w14:paraId="621C190A">
      <w:pPr>
        <w:rPr>
          <w:rFonts w:ascii="宋体" w:hAnsi="宋体" w:cs="宋体"/>
          <w:b/>
          <w:color w:val="auto"/>
          <w:kern w:val="0"/>
          <w:sz w:val="32"/>
          <w:szCs w:val="32"/>
          <w:highlight w:val="none"/>
          <w:lang w:val="zh-CN"/>
        </w:rPr>
      </w:pPr>
    </w:p>
    <w:p w14:paraId="7F4E06E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258FC5D">
      <w:pPr>
        <w:snapToGrid w:val="0"/>
        <w:spacing w:line="360" w:lineRule="auto"/>
        <w:jc w:val="center"/>
        <w:outlineLvl w:val="3"/>
        <w:rPr>
          <w:rFonts w:ascii="宋体" w:hAnsi="宋体" w:cs="宋体"/>
          <w:b/>
          <w:color w:val="auto"/>
          <w:sz w:val="32"/>
          <w:szCs w:val="32"/>
          <w:highlight w:val="none"/>
        </w:rPr>
      </w:pPr>
      <w:bookmarkStart w:id="619" w:name="_Toc17795"/>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bookmarkEnd w:id="619"/>
    </w:p>
    <w:p w14:paraId="5995147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杭州市余杭区融媒体中心（杭州市余杭区广播电视台）、浙江省成套招标代理有限公司：</w:t>
      </w:r>
    </w:p>
    <w:p w14:paraId="71A0A9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融媒体平台运行服务采购项目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CTZB-2025020163</w:t>
      </w:r>
      <w:r>
        <w:rPr>
          <w:rFonts w:hint="eastAsia" w:ascii="宋体" w:hAnsi="宋体" w:cs="宋体"/>
          <w:color w:val="auto"/>
          <w:sz w:val="24"/>
          <w:highlight w:val="none"/>
        </w:rPr>
        <w:t>】招标的有关活动，并对此项目进行投标。为此：</w:t>
      </w:r>
    </w:p>
    <w:p w14:paraId="79E408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6004DC0">
      <w:pPr>
        <w:snapToGrid w:val="0"/>
        <w:spacing w:line="360" w:lineRule="auto"/>
        <w:ind w:firstLine="480" w:firstLineChars="200"/>
        <w:rPr>
          <w:rFonts w:ascii="宋体" w:hAnsi="宋体" w:cs="宋体"/>
          <w:color w:val="auto"/>
          <w:sz w:val="24"/>
          <w:highlight w:val="none"/>
        </w:rPr>
      </w:pPr>
      <w:bookmarkStart w:id="620" w:name="_Toc8360"/>
      <w:r>
        <w:rPr>
          <w:rFonts w:hint="eastAsia" w:ascii="宋体" w:hAnsi="宋体" w:cs="宋体"/>
          <w:color w:val="auto"/>
          <w:sz w:val="24"/>
          <w:highlight w:val="none"/>
        </w:rPr>
        <w:t>2、我方的投标文件包括以下内容：</w:t>
      </w:r>
      <w:bookmarkEnd w:id="620"/>
    </w:p>
    <w:p w14:paraId="13227DF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188E04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72B207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621" w:name="_Hlk101257010"/>
      <w:r>
        <w:rPr>
          <w:rFonts w:hint="eastAsia" w:ascii="宋体" w:hAnsi="宋体" w:cs="宋体"/>
          <w:color w:val="auto"/>
          <w:sz w:val="24"/>
          <w:highlight w:val="none"/>
        </w:rPr>
        <w:t>（如果有)</w:t>
      </w:r>
      <w:bookmarkEnd w:id="621"/>
      <w:r>
        <w:rPr>
          <w:rFonts w:hint="eastAsia" w:ascii="宋体" w:hAnsi="宋体" w:cs="宋体"/>
          <w:snapToGrid w:val="0"/>
          <w:color w:val="auto"/>
          <w:kern w:val="28"/>
          <w:sz w:val="24"/>
          <w:szCs w:val="20"/>
          <w:highlight w:val="none"/>
        </w:rPr>
        <w:t>；</w:t>
      </w:r>
    </w:p>
    <w:p w14:paraId="561AAA11">
      <w:pPr>
        <w:snapToGrid w:val="0"/>
        <w:spacing w:line="360" w:lineRule="auto"/>
        <w:ind w:left="420" w:leftChars="200" w:firstLine="480" w:firstLineChars="20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2.1.3落实政府采购政策需满足的资格要求（如果有）；</w:t>
      </w:r>
    </w:p>
    <w:p w14:paraId="2382420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EF228F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28DDEC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338E5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DFC1C6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110EB65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1225EC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4A277F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C8DC49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72BCF4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A2FF38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97D748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2C82323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6431F4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7CF3D930">
      <w:pPr>
        <w:snapToGrid w:val="0"/>
        <w:spacing w:line="360" w:lineRule="auto"/>
        <w:ind w:firstLine="480" w:firstLineChars="200"/>
        <w:rPr>
          <w:rFonts w:ascii="宋体" w:hAnsi="宋体" w:cs="宋体"/>
          <w:color w:val="auto"/>
          <w:sz w:val="24"/>
          <w:highlight w:val="none"/>
        </w:rPr>
      </w:pPr>
      <w:bookmarkStart w:id="622" w:name="_Toc19929"/>
      <w:r>
        <w:rPr>
          <w:rFonts w:hint="eastAsia" w:ascii="宋体" w:hAnsi="宋体" w:cs="宋体"/>
          <w:color w:val="auto"/>
          <w:sz w:val="24"/>
          <w:highlight w:val="none"/>
        </w:rPr>
        <w:t>4、如我方中标，我方承诺：</w:t>
      </w:r>
      <w:bookmarkEnd w:id="622"/>
    </w:p>
    <w:p w14:paraId="7AD5F81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250BF4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52BA1A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2BFEC5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A3A7AD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C8FFEC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A876FA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50945B4">
      <w:pPr>
        <w:snapToGrid w:val="0"/>
        <w:spacing w:line="360" w:lineRule="auto"/>
        <w:ind w:left="420" w:leftChars="200" w:firstLine="4200" w:firstLineChars="1750"/>
        <w:rPr>
          <w:rFonts w:ascii="宋体" w:hAnsi="宋体" w:cs="宋体"/>
          <w:color w:val="auto"/>
          <w:kern w:val="0"/>
          <w:sz w:val="24"/>
          <w:highlight w:val="none"/>
          <w:u w:val="single"/>
        </w:rPr>
      </w:pPr>
    </w:p>
    <w:p w14:paraId="73A1B2E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EC41B5E">
      <w:pPr>
        <w:snapToGrid w:val="0"/>
        <w:spacing w:line="360" w:lineRule="auto"/>
        <w:jc w:val="center"/>
        <w:rPr>
          <w:rFonts w:ascii="宋体" w:hAnsi="宋体" w:cs="宋体"/>
          <w:b/>
          <w:color w:val="auto"/>
          <w:kern w:val="0"/>
          <w:sz w:val="32"/>
          <w:szCs w:val="32"/>
          <w:highlight w:val="none"/>
        </w:rPr>
      </w:pPr>
    </w:p>
    <w:p w14:paraId="38189387">
      <w:pPr>
        <w:snapToGrid w:val="0"/>
        <w:spacing w:line="360" w:lineRule="auto"/>
        <w:rPr>
          <w:rFonts w:ascii="宋体" w:hAnsi="宋体" w:cs="宋体"/>
          <w:color w:val="auto"/>
          <w:sz w:val="24"/>
          <w:highlight w:val="none"/>
        </w:rPr>
      </w:pPr>
    </w:p>
    <w:p w14:paraId="0BA95A66">
      <w:pPr>
        <w:jc w:val="center"/>
        <w:rPr>
          <w:rFonts w:ascii="宋体" w:hAnsi="宋体" w:cs="宋体"/>
          <w:b/>
          <w:color w:val="auto"/>
          <w:kern w:val="0"/>
          <w:sz w:val="32"/>
          <w:szCs w:val="32"/>
          <w:highlight w:val="none"/>
        </w:rPr>
      </w:pPr>
    </w:p>
    <w:p w14:paraId="47965E6F">
      <w:pPr>
        <w:jc w:val="center"/>
        <w:rPr>
          <w:rFonts w:ascii="宋体" w:hAnsi="宋体" w:cs="宋体"/>
          <w:b/>
          <w:color w:val="auto"/>
          <w:kern w:val="0"/>
          <w:sz w:val="32"/>
          <w:szCs w:val="32"/>
          <w:highlight w:val="none"/>
        </w:rPr>
      </w:pPr>
    </w:p>
    <w:p w14:paraId="4AF111BA">
      <w:pPr>
        <w:jc w:val="center"/>
        <w:rPr>
          <w:rFonts w:ascii="宋体" w:hAnsi="宋体" w:cs="宋体"/>
          <w:b/>
          <w:color w:val="auto"/>
          <w:kern w:val="0"/>
          <w:sz w:val="32"/>
          <w:szCs w:val="32"/>
          <w:highlight w:val="none"/>
        </w:rPr>
      </w:pPr>
    </w:p>
    <w:p w14:paraId="3352F8D8">
      <w:pPr>
        <w:jc w:val="center"/>
        <w:rPr>
          <w:rFonts w:ascii="宋体" w:hAnsi="宋体" w:cs="宋体"/>
          <w:b/>
          <w:color w:val="auto"/>
          <w:kern w:val="0"/>
          <w:sz w:val="32"/>
          <w:szCs w:val="32"/>
          <w:highlight w:val="none"/>
        </w:rPr>
      </w:pPr>
    </w:p>
    <w:p w14:paraId="6C0132C9">
      <w:pPr>
        <w:jc w:val="center"/>
        <w:rPr>
          <w:rFonts w:ascii="宋体" w:hAnsi="宋体" w:cs="宋体"/>
          <w:b/>
          <w:color w:val="auto"/>
          <w:kern w:val="0"/>
          <w:sz w:val="32"/>
          <w:szCs w:val="32"/>
          <w:highlight w:val="none"/>
        </w:rPr>
      </w:pPr>
    </w:p>
    <w:p w14:paraId="50EF0412">
      <w:pPr>
        <w:jc w:val="center"/>
        <w:rPr>
          <w:rFonts w:ascii="宋体" w:hAnsi="宋体" w:cs="宋体"/>
          <w:b/>
          <w:color w:val="auto"/>
          <w:kern w:val="0"/>
          <w:sz w:val="32"/>
          <w:szCs w:val="32"/>
          <w:highlight w:val="none"/>
        </w:rPr>
      </w:pPr>
    </w:p>
    <w:p w14:paraId="15D7110C">
      <w:pPr>
        <w:jc w:val="center"/>
        <w:rPr>
          <w:rFonts w:ascii="宋体" w:hAnsi="宋体" w:cs="宋体"/>
          <w:b/>
          <w:color w:val="auto"/>
          <w:kern w:val="0"/>
          <w:sz w:val="32"/>
          <w:szCs w:val="32"/>
          <w:highlight w:val="none"/>
        </w:rPr>
      </w:pPr>
    </w:p>
    <w:p w14:paraId="4823E068">
      <w:pPr>
        <w:jc w:val="center"/>
        <w:rPr>
          <w:rFonts w:ascii="宋体" w:hAnsi="宋体" w:cs="宋体"/>
          <w:b/>
          <w:color w:val="auto"/>
          <w:kern w:val="0"/>
          <w:sz w:val="32"/>
          <w:szCs w:val="32"/>
          <w:highlight w:val="none"/>
        </w:rPr>
      </w:pPr>
    </w:p>
    <w:p w14:paraId="029F23A5">
      <w:pPr>
        <w:jc w:val="center"/>
        <w:rPr>
          <w:rFonts w:ascii="宋体" w:hAnsi="宋体" w:cs="宋体"/>
          <w:b/>
          <w:color w:val="auto"/>
          <w:kern w:val="0"/>
          <w:sz w:val="32"/>
          <w:szCs w:val="32"/>
          <w:highlight w:val="none"/>
        </w:rPr>
      </w:pPr>
    </w:p>
    <w:p w14:paraId="312C427E">
      <w:pPr>
        <w:jc w:val="center"/>
        <w:rPr>
          <w:rFonts w:ascii="宋体" w:hAnsi="宋体" w:cs="宋体"/>
          <w:b/>
          <w:color w:val="auto"/>
          <w:kern w:val="0"/>
          <w:sz w:val="32"/>
          <w:szCs w:val="32"/>
          <w:highlight w:val="none"/>
        </w:rPr>
      </w:pPr>
    </w:p>
    <w:p w14:paraId="2BF78919">
      <w:pPr>
        <w:jc w:val="center"/>
        <w:rPr>
          <w:rFonts w:ascii="宋体" w:hAnsi="宋体" w:cs="宋体"/>
          <w:b/>
          <w:color w:val="auto"/>
          <w:kern w:val="0"/>
          <w:sz w:val="32"/>
          <w:szCs w:val="32"/>
          <w:highlight w:val="none"/>
        </w:rPr>
      </w:pPr>
    </w:p>
    <w:p w14:paraId="7413DEC2">
      <w:pPr>
        <w:jc w:val="center"/>
        <w:rPr>
          <w:rFonts w:ascii="宋体" w:hAnsi="宋体" w:cs="宋体"/>
          <w:b/>
          <w:color w:val="auto"/>
          <w:kern w:val="0"/>
          <w:sz w:val="32"/>
          <w:szCs w:val="32"/>
          <w:highlight w:val="none"/>
        </w:rPr>
      </w:pPr>
    </w:p>
    <w:p w14:paraId="430EE0C2">
      <w:pPr>
        <w:jc w:val="center"/>
        <w:rPr>
          <w:rFonts w:ascii="宋体" w:hAnsi="宋体" w:cs="宋体"/>
          <w:b/>
          <w:color w:val="auto"/>
          <w:kern w:val="0"/>
          <w:sz w:val="32"/>
          <w:szCs w:val="32"/>
          <w:highlight w:val="none"/>
        </w:rPr>
      </w:pPr>
    </w:p>
    <w:p w14:paraId="1557583B">
      <w:pPr>
        <w:jc w:val="center"/>
        <w:rPr>
          <w:rFonts w:ascii="宋体" w:hAnsi="宋体" w:cs="宋体"/>
          <w:b/>
          <w:color w:val="auto"/>
          <w:kern w:val="0"/>
          <w:sz w:val="32"/>
          <w:szCs w:val="32"/>
          <w:highlight w:val="none"/>
        </w:rPr>
      </w:pPr>
    </w:p>
    <w:p w14:paraId="07A443DA">
      <w:pPr>
        <w:jc w:val="center"/>
        <w:rPr>
          <w:rFonts w:ascii="宋体" w:hAnsi="宋体" w:cs="宋体"/>
          <w:b/>
          <w:color w:val="auto"/>
          <w:kern w:val="0"/>
          <w:sz w:val="32"/>
          <w:szCs w:val="32"/>
          <w:highlight w:val="none"/>
        </w:rPr>
      </w:pPr>
    </w:p>
    <w:p w14:paraId="5EFC92EC">
      <w:pPr>
        <w:jc w:val="center"/>
        <w:rPr>
          <w:rFonts w:ascii="宋体" w:hAnsi="宋体" w:cs="宋体"/>
          <w:b/>
          <w:color w:val="auto"/>
          <w:kern w:val="0"/>
          <w:sz w:val="32"/>
          <w:szCs w:val="32"/>
          <w:highlight w:val="none"/>
        </w:rPr>
      </w:pPr>
    </w:p>
    <w:p w14:paraId="0CA0BCAB">
      <w:pPr>
        <w:jc w:val="center"/>
        <w:rPr>
          <w:rFonts w:ascii="宋体" w:hAnsi="宋体" w:cs="宋体"/>
          <w:b/>
          <w:color w:val="auto"/>
          <w:kern w:val="0"/>
          <w:sz w:val="32"/>
          <w:szCs w:val="32"/>
          <w:highlight w:val="none"/>
        </w:rPr>
      </w:pPr>
    </w:p>
    <w:p w14:paraId="54476A69">
      <w:pPr>
        <w:jc w:val="center"/>
        <w:rPr>
          <w:rFonts w:ascii="宋体" w:hAnsi="宋体" w:cs="宋体"/>
          <w:b/>
          <w:color w:val="auto"/>
          <w:kern w:val="0"/>
          <w:sz w:val="32"/>
          <w:szCs w:val="32"/>
          <w:highlight w:val="none"/>
        </w:rPr>
      </w:pPr>
    </w:p>
    <w:p w14:paraId="40F8FB5E">
      <w:pPr>
        <w:jc w:val="center"/>
        <w:rPr>
          <w:rFonts w:ascii="宋体" w:hAnsi="宋体" w:cs="宋体"/>
          <w:b/>
          <w:color w:val="auto"/>
          <w:kern w:val="0"/>
          <w:sz w:val="32"/>
          <w:szCs w:val="32"/>
          <w:highlight w:val="none"/>
        </w:rPr>
      </w:pPr>
    </w:p>
    <w:p w14:paraId="2808BB6E">
      <w:pPr>
        <w:jc w:val="center"/>
        <w:rPr>
          <w:rFonts w:ascii="宋体" w:hAnsi="宋体" w:cs="宋体"/>
          <w:b/>
          <w:color w:val="auto"/>
          <w:kern w:val="0"/>
          <w:sz w:val="32"/>
          <w:szCs w:val="32"/>
          <w:highlight w:val="none"/>
        </w:rPr>
      </w:pPr>
    </w:p>
    <w:p w14:paraId="6A5CE93C">
      <w:pPr>
        <w:pStyle w:val="2"/>
        <w:outlineLvl w:val="9"/>
        <w:rPr>
          <w:color w:val="auto"/>
          <w:highlight w:val="none"/>
          <w:lang w:val="en-US"/>
        </w:rPr>
      </w:pPr>
    </w:p>
    <w:p w14:paraId="4317163A">
      <w:pPr>
        <w:jc w:val="center"/>
        <w:rPr>
          <w:rFonts w:ascii="宋体" w:hAnsi="宋体" w:cs="宋体"/>
          <w:b/>
          <w:color w:val="auto"/>
          <w:kern w:val="0"/>
          <w:sz w:val="32"/>
          <w:szCs w:val="32"/>
          <w:highlight w:val="none"/>
        </w:rPr>
      </w:pPr>
    </w:p>
    <w:p w14:paraId="4B24D607">
      <w:pPr>
        <w:jc w:val="center"/>
        <w:rPr>
          <w:rFonts w:ascii="宋体" w:hAnsi="宋体" w:cs="宋体"/>
          <w:b/>
          <w:color w:val="auto"/>
          <w:kern w:val="0"/>
          <w:sz w:val="32"/>
          <w:szCs w:val="32"/>
          <w:highlight w:val="none"/>
        </w:rPr>
      </w:pPr>
    </w:p>
    <w:p w14:paraId="392AF033">
      <w:pPr>
        <w:snapToGrid w:val="0"/>
        <w:spacing w:line="360" w:lineRule="auto"/>
        <w:jc w:val="center"/>
        <w:outlineLvl w:val="3"/>
        <w:rPr>
          <w:rFonts w:hint="eastAsia" w:ascii="宋体" w:hAnsi="宋体" w:cs="宋体"/>
          <w:b/>
          <w:color w:val="auto"/>
          <w:kern w:val="0"/>
          <w:sz w:val="32"/>
          <w:szCs w:val="32"/>
          <w:highlight w:val="none"/>
          <w:lang w:val="zh-CN"/>
        </w:rPr>
      </w:pPr>
      <w:bookmarkStart w:id="623" w:name="_Toc25370"/>
      <w:r>
        <w:rPr>
          <w:rFonts w:hint="eastAsia" w:ascii="宋体" w:hAnsi="宋体" w:cs="宋体"/>
          <w:b/>
          <w:color w:val="auto"/>
          <w:kern w:val="0"/>
          <w:sz w:val="32"/>
          <w:szCs w:val="32"/>
          <w:highlight w:val="none"/>
          <w:lang w:val="zh-CN"/>
        </w:rPr>
        <w:t>二、授权委托书或法定代表人（单位负责人、自然人本人）身份证明</w:t>
      </w:r>
      <w:bookmarkEnd w:id="623"/>
    </w:p>
    <w:p w14:paraId="263EF7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D486784">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63316E4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杭州市余杭区融媒体中心（杭州市余杭区广播电视台）、浙江省成套招标代理有限公司</w:t>
      </w:r>
      <w:r>
        <w:rPr>
          <w:rFonts w:hint="eastAsia" w:ascii="宋体" w:hAnsi="宋体" w:cs="宋体"/>
          <w:color w:val="auto"/>
          <w:kern w:val="0"/>
          <w:sz w:val="24"/>
          <w:highlight w:val="none"/>
          <w:lang w:val="zh-CN"/>
        </w:rPr>
        <w:t>：</w:t>
      </w:r>
    </w:p>
    <w:p w14:paraId="08D31C2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融媒体平台运行服务采购项目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CTZB-2025020163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9BACF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C54FCA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F96740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投标人名称(电子签名)：</w:t>
      </w:r>
    </w:p>
    <w:p w14:paraId="7960834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签发日期：  年  月   日</w:t>
      </w:r>
    </w:p>
    <w:p w14:paraId="4ED35088">
      <w:pPr>
        <w:snapToGrid w:val="0"/>
        <w:spacing w:line="360" w:lineRule="auto"/>
        <w:rPr>
          <w:rFonts w:ascii="宋体" w:hAnsi="宋体" w:cs="宋体"/>
          <w:color w:val="auto"/>
          <w:sz w:val="24"/>
          <w:highlight w:val="none"/>
        </w:rPr>
      </w:pPr>
    </w:p>
    <w:p w14:paraId="0E20C741">
      <w:pPr>
        <w:pStyle w:val="24"/>
        <w:rPr>
          <w:rFonts w:ascii="宋体" w:hAnsi="宋体" w:cs="宋体"/>
          <w:color w:val="auto"/>
          <w:sz w:val="24"/>
          <w:highlight w:val="none"/>
        </w:rPr>
      </w:pPr>
    </w:p>
    <w:p w14:paraId="42684FC0">
      <w:pPr>
        <w:rPr>
          <w:rFonts w:ascii="宋体" w:hAnsi="宋体" w:cs="宋体"/>
          <w:color w:val="auto"/>
          <w:sz w:val="24"/>
          <w:highlight w:val="none"/>
        </w:rPr>
      </w:pPr>
    </w:p>
    <w:p w14:paraId="3335DEB4">
      <w:pPr>
        <w:pStyle w:val="24"/>
        <w:rPr>
          <w:color w:val="auto"/>
          <w:highlight w:val="none"/>
        </w:rPr>
      </w:pPr>
    </w:p>
    <w:p w14:paraId="38ED9A4E">
      <w:pPr>
        <w:snapToGrid w:val="0"/>
        <w:spacing w:line="360" w:lineRule="auto"/>
        <w:jc w:val="center"/>
        <w:rPr>
          <w:rFonts w:ascii="宋体" w:hAnsi="宋体" w:cs="宋体"/>
          <w:b/>
          <w:color w:val="auto"/>
          <w:kern w:val="0"/>
          <w:sz w:val="32"/>
          <w:szCs w:val="32"/>
          <w:highlight w:val="none"/>
        </w:rPr>
      </w:pPr>
      <w:bookmarkStart w:id="624" w:name="_Toc714"/>
      <w:r>
        <w:rPr>
          <w:rFonts w:hint="eastAsia" w:ascii="宋体" w:hAnsi="宋体" w:cs="宋体"/>
          <w:b/>
          <w:color w:val="auto"/>
          <w:kern w:val="0"/>
          <w:sz w:val="32"/>
          <w:szCs w:val="32"/>
          <w:highlight w:val="none"/>
          <w:lang w:val="zh-CN"/>
        </w:rPr>
        <w:t>授权委托书（适用于联合体投标）</w:t>
      </w:r>
      <w:bookmarkEnd w:id="624"/>
    </w:p>
    <w:p w14:paraId="5BE78C4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杭州市余杭区融媒体中心（杭州市余杭区广播电视台）、浙江省成套招标代理有限公司</w:t>
      </w:r>
      <w:r>
        <w:rPr>
          <w:rFonts w:hint="eastAsia" w:ascii="宋体" w:hAnsi="宋体" w:cs="宋体"/>
          <w:color w:val="auto"/>
          <w:kern w:val="0"/>
          <w:sz w:val="24"/>
          <w:highlight w:val="none"/>
          <w:lang w:val="zh-CN"/>
        </w:rPr>
        <w:t>：</w:t>
      </w:r>
    </w:p>
    <w:p w14:paraId="17269EC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融媒体平台运行服务采购项目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CTZB-2025020163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DD3CBA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7415CA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6D8CEB8">
      <w:pPr>
        <w:jc w:val="center"/>
        <w:rPr>
          <w:rFonts w:ascii="宋体" w:hAnsi="宋体" w:cs="宋体"/>
          <w:b/>
          <w:color w:val="auto"/>
          <w:kern w:val="0"/>
          <w:sz w:val="32"/>
          <w:szCs w:val="32"/>
          <w:highlight w:val="none"/>
        </w:rPr>
      </w:pPr>
    </w:p>
    <w:p w14:paraId="2939C562">
      <w:pPr>
        <w:rPr>
          <w:rFonts w:ascii="宋体" w:hAnsi="宋体" w:cs="宋体"/>
          <w:color w:val="auto"/>
          <w:highlight w:val="none"/>
        </w:rPr>
      </w:pPr>
    </w:p>
    <w:p w14:paraId="0E6D0E8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27ACA2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E1F67E7">
      <w:pPr>
        <w:snapToGrid w:val="0"/>
        <w:spacing w:line="360" w:lineRule="auto"/>
        <w:ind w:firstLine="5040" w:firstLineChars="2100"/>
        <w:rPr>
          <w:rFonts w:ascii="宋体" w:hAnsi="宋体" w:cs="宋体"/>
          <w:color w:val="auto"/>
          <w:highlight w:val="none"/>
        </w:rPr>
      </w:pPr>
      <w:r>
        <w:rPr>
          <w:rFonts w:hint="eastAsia" w:ascii="宋体" w:hAnsi="宋体" w:cs="宋体"/>
          <w:color w:val="auto"/>
          <w:kern w:val="0"/>
          <w:sz w:val="24"/>
          <w:highlight w:val="none"/>
          <w:lang w:val="zh-CN"/>
        </w:rPr>
        <w:t>……</w:t>
      </w:r>
    </w:p>
    <w:p w14:paraId="799194B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28D4FD1">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2893A4B">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3CB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2C1DA88">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FEDBA16">
            <w:pPr>
              <w:pStyle w:val="147"/>
              <w:adjustRightInd w:val="0"/>
              <w:spacing w:line="360" w:lineRule="auto"/>
              <w:rPr>
                <w:rFonts w:hAnsi="宋体" w:cs="宋体"/>
                <w:bCs/>
                <w:color w:val="auto"/>
                <w:sz w:val="24"/>
                <w:highlight w:val="none"/>
              </w:rPr>
            </w:pPr>
          </w:p>
        </w:tc>
      </w:tr>
    </w:tbl>
    <w:p w14:paraId="7A2FD33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FBF821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071F336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338C77">
      <w:pPr>
        <w:jc w:val="center"/>
        <w:rPr>
          <w:rFonts w:ascii="宋体" w:hAnsi="宋体" w:cs="宋体"/>
          <w:b/>
          <w:color w:val="auto"/>
          <w:kern w:val="0"/>
          <w:sz w:val="32"/>
          <w:szCs w:val="32"/>
          <w:highlight w:val="none"/>
        </w:rPr>
      </w:pPr>
    </w:p>
    <w:p w14:paraId="250D3B07">
      <w:pPr>
        <w:jc w:val="center"/>
        <w:rPr>
          <w:rFonts w:ascii="宋体" w:hAnsi="宋体" w:cs="宋体"/>
          <w:b/>
          <w:color w:val="auto"/>
          <w:kern w:val="0"/>
          <w:sz w:val="32"/>
          <w:szCs w:val="32"/>
          <w:highlight w:val="none"/>
        </w:rPr>
      </w:pPr>
    </w:p>
    <w:p w14:paraId="248D6D4F">
      <w:pPr>
        <w:jc w:val="center"/>
        <w:rPr>
          <w:rFonts w:ascii="宋体" w:hAnsi="宋体" w:cs="宋体"/>
          <w:b/>
          <w:color w:val="auto"/>
          <w:kern w:val="0"/>
          <w:sz w:val="32"/>
          <w:szCs w:val="32"/>
          <w:highlight w:val="none"/>
        </w:rPr>
      </w:pPr>
    </w:p>
    <w:p w14:paraId="3EB6C90F">
      <w:pPr>
        <w:jc w:val="center"/>
        <w:rPr>
          <w:rFonts w:ascii="宋体" w:hAnsi="宋体" w:cs="宋体"/>
          <w:b/>
          <w:color w:val="auto"/>
          <w:kern w:val="0"/>
          <w:sz w:val="32"/>
          <w:szCs w:val="32"/>
          <w:highlight w:val="none"/>
        </w:rPr>
      </w:pPr>
    </w:p>
    <w:p w14:paraId="1FC713BF">
      <w:pPr>
        <w:jc w:val="center"/>
        <w:rPr>
          <w:rFonts w:ascii="宋体" w:hAnsi="宋体" w:cs="宋体"/>
          <w:b/>
          <w:color w:val="auto"/>
          <w:kern w:val="0"/>
          <w:sz w:val="32"/>
          <w:szCs w:val="32"/>
          <w:highlight w:val="none"/>
        </w:rPr>
      </w:pPr>
    </w:p>
    <w:p w14:paraId="0C5EA956">
      <w:pPr>
        <w:jc w:val="center"/>
        <w:rPr>
          <w:rFonts w:ascii="宋体" w:hAnsi="宋体" w:cs="宋体"/>
          <w:b/>
          <w:color w:val="auto"/>
          <w:kern w:val="0"/>
          <w:sz w:val="32"/>
          <w:szCs w:val="32"/>
          <w:highlight w:val="none"/>
        </w:rPr>
      </w:pPr>
    </w:p>
    <w:p w14:paraId="5C95756C">
      <w:pPr>
        <w:jc w:val="center"/>
        <w:rPr>
          <w:rFonts w:ascii="宋体" w:hAnsi="宋体" w:cs="宋体"/>
          <w:b/>
          <w:color w:val="auto"/>
          <w:kern w:val="0"/>
          <w:sz w:val="32"/>
          <w:szCs w:val="32"/>
          <w:highlight w:val="none"/>
        </w:rPr>
      </w:pPr>
    </w:p>
    <w:p w14:paraId="3C177B7D">
      <w:pPr>
        <w:jc w:val="center"/>
        <w:rPr>
          <w:rFonts w:ascii="宋体" w:hAnsi="宋体" w:cs="宋体"/>
          <w:b/>
          <w:color w:val="auto"/>
          <w:kern w:val="0"/>
          <w:sz w:val="32"/>
          <w:szCs w:val="32"/>
          <w:highlight w:val="none"/>
        </w:rPr>
      </w:pPr>
    </w:p>
    <w:p w14:paraId="2A86DFBE">
      <w:pPr>
        <w:jc w:val="center"/>
        <w:rPr>
          <w:rFonts w:ascii="宋体" w:hAnsi="宋体" w:cs="宋体"/>
          <w:b/>
          <w:color w:val="auto"/>
          <w:kern w:val="0"/>
          <w:sz w:val="32"/>
          <w:szCs w:val="32"/>
          <w:highlight w:val="none"/>
        </w:rPr>
      </w:pPr>
    </w:p>
    <w:p w14:paraId="7DE2D7A9">
      <w:pPr>
        <w:jc w:val="center"/>
        <w:rPr>
          <w:rFonts w:ascii="宋体" w:hAnsi="宋体" w:cs="宋体"/>
          <w:b/>
          <w:color w:val="auto"/>
          <w:kern w:val="0"/>
          <w:sz w:val="32"/>
          <w:szCs w:val="32"/>
          <w:highlight w:val="none"/>
        </w:rPr>
      </w:pPr>
    </w:p>
    <w:p w14:paraId="78BE02F7">
      <w:pPr>
        <w:snapToGrid w:val="0"/>
        <w:spacing w:line="360" w:lineRule="auto"/>
        <w:ind w:right="480"/>
        <w:rPr>
          <w:rFonts w:ascii="宋体" w:hAnsi="宋体" w:cs="宋体"/>
          <w:b/>
          <w:color w:val="auto"/>
          <w:kern w:val="0"/>
          <w:sz w:val="32"/>
          <w:szCs w:val="32"/>
          <w:highlight w:val="none"/>
        </w:rPr>
        <w:sectPr>
          <w:pgSz w:w="11905" w:h="16838"/>
          <w:pgMar w:top="1417" w:right="1417" w:bottom="1417" w:left="1417" w:header="851" w:footer="850" w:gutter="0"/>
          <w:cols w:space="0" w:num="1"/>
          <w:rtlGutter w:val="0"/>
          <w:docGrid w:linePitch="312" w:charSpace="0"/>
        </w:sectPr>
      </w:pPr>
    </w:p>
    <w:p w14:paraId="0D9D7955">
      <w:pPr>
        <w:snapToGrid w:val="0"/>
        <w:spacing w:line="360" w:lineRule="auto"/>
        <w:jc w:val="center"/>
        <w:outlineLvl w:val="3"/>
        <w:rPr>
          <w:rFonts w:hint="eastAsia" w:ascii="宋体" w:hAnsi="宋体" w:cs="宋体"/>
          <w:b/>
          <w:color w:val="auto"/>
          <w:kern w:val="0"/>
          <w:sz w:val="32"/>
          <w:szCs w:val="32"/>
          <w:highlight w:val="none"/>
        </w:rPr>
      </w:pPr>
      <w:bookmarkStart w:id="625" w:name="_Toc9109"/>
      <w:r>
        <w:rPr>
          <w:rFonts w:hint="eastAsia" w:ascii="宋体" w:hAnsi="宋体" w:cs="宋体"/>
          <w:b/>
          <w:color w:val="auto"/>
          <w:kern w:val="0"/>
          <w:sz w:val="32"/>
          <w:szCs w:val="32"/>
          <w:highlight w:val="none"/>
        </w:rPr>
        <w:t>三、分包意向协议（如果有）</w:t>
      </w:r>
      <w:bookmarkEnd w:id="625"/>
    </w:p>
    <w:p w14:paraId="3CB01536">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16258D33">
      <w:pPr>
        <w:rPr>
          <w:rFonts w:hint="eastAsia" w:ascii="宋体" w:hAnsi="宋体" w:cs="宋体"/>
          <w:color w:val="auto"/>
          <w:sz w:val="24"/>
          <w:highlight w:val="none"/>
        </w:rPr>
      </w:pPr>
      <w:r>
        <w:rPr>
          <w:rFonts w:hint="eastAsia" w:ascii="宋体" w:hAnsi="宋体" w:cs="宋体"/>
          <w:color w:val="auto"/>
          <w:sz w:val="24"/>
          <w:highlight w:val="none"/>
        </w:rPr>
        <w:br w:type="page"/>
      </w:r>
    </w:p>
    <w:p w14:paraId="5793AF68">
      <w:pPr>
        <w:snapToGrid w:val="0"/>
        <w:spacing w:line="360" w:lineRule="auto"/>
        <w:jc w:val="center"/>
        <w:outlineLvl w:val="3"/>
        <w:rPr>
          <w:rFonts w:hint="eastAsia" w:ascii="宋体" w:hAnsi="宋体" w:cs="宋体"/>
          <w:b/>
          <w:color w:val="auto"/>
          <w:kern w:val="0"/>
          <w:sz w:val="32"/>
          <w:szCs w:val="32"/>
          <w:highlight w:val="none"/>
        </w:rPr>
      </w:pPr>
      <w:bookmarkStart w:id="626" w:name="_Toc10002"/>
      <w:r>
        <w:rPr>
          <w:rFonts w:hint="eastAsia" w:ascii="宋体" w:hAnsi="宋体" w:cs="宋体"/>
          <w:b/>
          <w:color w:val="auto"/>
          <w:kern w:val="0"/>
          <w:sz w:val="32"/>
          <w:szCs w:val="32"/>
          <w:highlight w:val="none"/>
        </w:rPr>
        <w:t>四、符合性审查资料</w:t>
      </w:r>
      <w:bookmarkEnd w:id="626"/>
    </w:p>
    <w:tbl>
      <w:tblPr>
        <w:tblStyle w:val="62"/>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881"/>
        <w:gridCol w:w="3450"/>
        <w:gridCol w:w="1988"/>
      </w:tblGrid>
      <w:tr w14:paraId="0341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28" w:type="dxa"/>
            <w:vAlign w:val="center"/>
          </w:tcPr>
          <w:p w14:paraId="4C604B4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881" w:type="dxa"/>
            <w:vAlign w:val="center"/>
          </w:tcPr>
          <w:p w14:paraId="7721928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实质性要求</w:t>
            </w:r>
          </w:p>
        </w:tc>
        <w:tc>
          <w:tcPr>
            <w:tcW w:w="3450" w:type="dxa"/>
            <w:vAlign w:val="center"/>
          </w:tcPr>
          <w:p w14:paraId="115EBA7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需要提供的符合性审查资料</w:t>
            </w:r>
          </w:p>
        </w:tc>
        <w:tc>
          <w:tcPr>
            <w:tcW w:w="1988" w:type="dxa"/>
            <w:vAlign w:val="center"/>
          </w:tcPr>
          <w:p w14:paraId="336CEF4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投标文件中的页码位置</w:t>
            </w:r>
          </w:p>
        </w:tc>
      </w:tr>
      <w:tr w14:paraId="63C2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28" w:type="dxa"/>
            <w:vAlign w:val="center"/>
          </w:tcPr>
          <w:p w14:paraId="343A3290">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81" w:type="dxa"/>
            <w:vAlign w:val="center"/>
          </w:tcPr>
          <w:p w14:paraId="53EBAA42">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投标文件按照招标文件要求签署、盖章。</w:t>
            </w:r>
          </w:p>
        </w:tc>
        <w:tc>
          <w:tcPr>
            <w:tcW w:w="3450" w:type="dxa"/>
            <w:vAlign w:val="center"/>
          </w:tcPr>
          <w:p w14:paraId="68377F29">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需要使用电子签名或者签字盖章的投标文件的组成部分</w:t>
            </w:r>
          </w:p>
        </w:tc>
        <w:tc>
          <w:tcPr>
            <w:tcW w:w="1988" w:type="dxa"/>
            <w:vAlign w:val="center"/>
          </w:tcPr>
          <w:p w14:paraId="7D230A59">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见投标文件</w:t>
            </w:r>
          </w:p>
          <w:p w14:paraId="3FCD7953">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页</w:t>
            </w:r>
          </w:p>
        </w:tc>
      </w:tr>
      <w:tr w14:paraId="33C6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28" w:type="dxa"/>
            <w:vAlign w:val="center"/>
          </w:tcPr>
          <w:p w14:paraId="123E8A30">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881" w:type="dxa"/>
            <w:vAlign w:val="center"/>
          </w:tcPr>
          <w:p w14:paraId="26B39E11">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投标文件中承诺的投标有效期不少于招标文件中载明的投标有效期。</w:t>
            </w:r>
          </w:p>
        </w:tc>
        <w:tc>
          <w:tcPr>
            <w:tcW w:w="3450" w:type="dxa"/>
            <w:vAlign w:val="center"/>
          </w:tcPr>
          <w:p w14:paraId="12800BDA">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w:t>
            </w:r>
          </w:p>
        </w:tc>
        <w:tc>
          <w:tcPr>
            <w:tcW w:w="1988" w:type="dxa"/>
            <w:vAlign w:val="center"/>
          </w:tcPr>
          <w:p w14:paraId="63CD745A">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见投标文件</w:t>
            </w:r>
          </w:p>
          <w:p w14:paraId="724B79BC">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页</w:t>
            </w:r>
          </w:p>
        </w:tc>
      </w:tr>
      <w:tr w14:paraId="6828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28" w:type="dxa"/>
            <w:vAlign w:val="center"/>
          </w:tcPr>
          <w:p w14:paraId="42F8CC88">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881" w:type="dxa"/>
            <w:vAlign w:val="center"/>
          </w:tcPr>
          <w:p w14:paraId="2D98839D">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投标文件满足招标文件的其它实质性要求。</w:t>
            </w:r>
          </w:p>
        </w:tc>
        <w:tc>
          <w:tcPr>
            <w:tcW w:w="3450" w:type="dxa"/>
            <w:vAlign w:val="center"/>
          </w:tcPr>
          <w:p w14:paraId="133D4F3B">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招标文件其它实质性要求相应的材料（“▲” 系指实质性要求条款，招标文件无其它实质性要求的，无需提供）</w:t>
            </w:r>
          </w:p>
        </w:tc>
        <w:tc>
          <w:tcPr>
            <w:tcW w:w="1988" w:type="dxa"/>
            <w:vAlign w:val="center"/>
          </w:tcPr>
          <w:p w14:paraId="1BD93BAC">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见投标文件</w:t>
            </w:r>
          </w:p>
          <w:p w14:paraId="72127EC4">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页</w:t>
            </w:r>
          </w:p>
        </w:tc>
      </w:tr>
    </w:tbl>
    <w:p w14:paraId="699FF0C5">
      <w:pPr>
        <w:keepNext w:val="0"/>
        <w:keepLines w:val="0"/>
        <w:pageBreakBefore w:val="0"/>
        <w:widowControl w:val="0"/>
        <w:kinsoku/>
        <w:wordWrap/>
        <w:overflowPunct/>
        <w:topLinePunct w:val="0"/>
        <w:autoSpaceDE/>
        <w:autoSpaceDN/>
        <w:bidi w:val="0"/>
        <w:adjustRightInd w:val="0"/>
        <w:snapToGrid/>
        <w:spacing w:before="157" w:beforeLines="50" w:line="360" w:lineRule="auto"/>
        <w:ind w:right="420"/>
        <w:textAlignment w:val="auto"/>
        <w:rPr>
          <w:rFonts w:ascii="宋体" w:hAnsi="宋体" w:cs="宋体"/>
          <w:color w:val="auto"/>
          <w:sz w:val="24"/>
          <w:highlight w:val="none"/>
        </w:rPr>
      </w:pPr>
      <w:r>
        <w:rPr>
          <w:rFonts w:hint="eastAsia" w:ascii="宋体" w:hAnsi="宋体" w:cs="宋体"/>
          <w:color w:val="auto"/>
          <w:sz w:val="24"/>
          <w:highlight w:val="none"/>
        </w:rPr>
        <w:t>注：按本格式和要求提供。</w:t>
      </w:r>
    </w:p>
    <w:p w14:paraId="6BE86C4B">
      <w:pPr>
        <w:jc w:val="center"/>
        <w:rPr>
          <w:rFonts w:ascii="宋体" w:hAnsi="宋体" w:cs="宋体"/>
          <w:b/>
          <w:color w:val="auto"/>
          <w:kern w:val="0"/>
          <w:sz w:val="32"/>
          <w:szCs w:val="32"/>
          <w:highlight w:val="none"/>
        </w:rPr>
      </w:pPr>
    </w:p>
    <w:p w14:paraId="1567DCF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5639E26">
      <w:pPr>
        <w:jc w:val="center"/>
        <w:rPr>
          <w:rFonts w:ascii="宋体" w:hAnsi="宋体" w:cs="宋体"/>
          <w:b/>
          <w:color w:val="auto"/>
          <w:kern w:val="0"/>
          <w:sz w:val="32"/>
          <w:szCs w:val="32"/>
          <w:highlight w:val="none"/>
        </w:rPr>
      </w:pPr>
    </w:p>
    <w:p w14:paraId="13D0B4AB">
      <w:pPr>
        <w:jc w:val="center"/>
        <w:rPr>
          <w:rFonts w:ascii="宋体" w:hAnsi="宋体" w:cs="宋体"/>
          <w:b/>
          <w:color w:val="auto"/>
          <w:kern w:val="0"/>
          <w:sz w:val="32"/>
          <w:szCs w:val="32"/>
          <w:highlight w:val="none"/>
        </w:rPr>
      </w:pPr>
    </w:p>
    <w:p w14:paraId="6FA4E484">
      <w:pPr>
        <w:jc w:val="center"/>
        <w:rPr>
          <w:rFonts w:ascii="宋体" w:hAnsi="宋体" w:cs="宋体"/>
          <w:b/>
          <w:color w:val="auto"/>
          <w:kern w:val="0"/>
          <w:sz w:val="32"/>
          <w:szCs w:val="32"/>
          <w:highlight w:val="none"/>
        </w:rPr>
      </w:pPr>
    </w:p>
    <w:p w14:paraId="1BCD0D86">
      <w:pPr>
        <w:jc w:val="center"/>
        <w:rPr>
          <w:rFonts w:ascii="宋体" w:hAnsi="宋体" w:cs="宋体"/>
          <w:b/>
          <w:color w:val="auto"/>
          <w:kern w:val="0"/>
          <w:sz w:val="32"/>
          <w:szCs w:val="32"/>
          <w:highlight w:val="none"/>
        </w:rPr>
      </w:pPr>
    </w:p>
    <w:p w14:paraId="663C08CD">
      <w:pPr>
        <w:jc w:val="center"/>
        <w:rPr>
          <w:rFonts w:ascii="宋体" w:hAnsi="宋体" w:cs="宋体"/>
          <w:b/>
          <w:color w:val="auto"/>
          <w:kern w:val="0"/>
          <w:sz w:val="32"/>
          <w:szCs w:val="32"/>
          <w:highlight w:val="none"/>
        </w:rPr>
      </w:pPr>
    </w:p>
    <w:p w14:paraId="618B9A6C">
      <w:pPr>
        <w:jc w:val="center"/>
        <w:rPr>
          <w:rFonts w:ascii="宋体" w:hAnsi="宋体" w:cs="宋体"/>
          <w:b/>
          <w:color w:val="auto"/>
          <w:kern w:val="0"/>
          <w:sz w:val="32"/>
          <w:szCs w:val="32"/>
          <w:highlight w:val="none"/>
        </w:rPr>
      </w:pPr>
    </w:p>
    <w:p w14:paraId="778AC2A3">
      <w:pPr>
        <w:jc w:val="center"/>
        <w:rPr>
          <w:rFonts w:ascii="宋体" w:hAnsi="宋体" w:cs="宋体"/>
          <w:b/>
          <w:color w:val="auto"/>
          <w:kern w:val="0"/>
          <w:sz w:val="32"/>
          <w:szCs w:val="32"/>
          <w:highlight w:val="none"/>
        </w:rPr>
      </w:pPr>
    </w:p>
    <w:p w14:paraId="34BB4488">
      <w:pPr>
        <w:jc w:val="center"/>
        <w:rPr>
          <w:rFonts w:ascii="宋体" w:hAnsi="宋体" w:cs="宋体"/>
          <w:b/>
          <w:color w:val="auto"/>
          <w:kern w:val="0"/>
          <w:sz w:val="32"/>
          <w:szCs w:val="32"/>
          <w:highlight w:val="none"/>
        </w:rPr>
      </w:pPr>
    </w:p>
    <w:p w14:paraId="4E5F25A9">
      <w:pPr>
        <w:jc w:val="center"/>
        <w:rPr>
          <w:rFonts w:ascii="宋体" w:hAnsi="宋体" w:cs="宋体"/>
          <w:b/>
          <w:color w:val="auto"/>
          <w:kern w:val="0"/>
          <w:sz w:val="32"/>
          <w:szCs w:val="32"/>
          <w:highlight w:val="none"/>
        </w:rPr>
      </w:pPr>
    </w:p>
    <w:p w14:paraId="6A0F2394">
      <w:pPr>
        <w:jc w:val="center"/>
        <w:rPr>
          <w:rFonts w:ascii="宋体" w:hAnsi="宋体" w:cs="宋体"/>
          <w:b/>
          <w:color w:val="auto"/>
          <w:kern w:val="0"/>
          <w:sz w:val="32"/>
          <w:szCs w:val="32"/>
          <w:highlight w:val="none"/>
        </w:rPr>
      </w:pPr>
    </w:p>
    <w:p w14:paraId="6D19D503">
      <w:pPr>
        <w:jc w:val="center"/>
        <w:rPr>
          <w:rFonts w:ascii="宋体" w:hAnsi="宋体" w:cs="宋体"/>
          <w:b/>
          <w:color w:val="auto"/>
          <w:kern w:val="0"/>
          <w:sz w:val="32"/>
          <w:szCs w:val="32"/>
          <w:highlight w:val="none"/>
        </w:rPr>
      </w:pPr>
    </w:p>
    <w:p w14:paraId="70DE88F5">
      <w:pPr>
        <w:jc w:val="center"/>
        <w:rPr>
          <w:rFonts w:ascii="宋体" w:hAnsi="宋体" w:cs="宋体"/>
          <w:b/>
          <w:color w:val="auto"/>
          <w:kern w:val="0"/>
          <w:sz w:val="32"/>
          <w:szCs w:val="32"/>
          <w:highlight w:val="none"/>
        </w:rPr>
      </w:pPr>
    </w:p>
    <w:p w14:paraId="1CCCBEA5">
      <w:pPr>
        <w:jc w:val="center"/>
        <w:outlineLvl w:val="3"/>
        <w:rPr>
          <w:rFonts w:hint="eastAsia" w:ascii="宋体" w:hAnsi="宋体" w:cs="宋体"/>
          <w:b/>
          <w:color w:val="auto"/>
          <w:kern w:val="0"/>
          <w:sz w:val="32"/>
          <w:szCs w:val="32"/>
          <w:highlight w:val="none"/>
        </w:rPr>
        <w:sectPr>
          <w:headerReference r:id="rId11" w:type="first"/>
          <w:footerReference r:id="rId13" w:type="first"/>
          <w:footerReference r:id="rId12" w:type="default"/>
          <w:pgSz w:w="11905" w:h="16838"/>
          <w:pgMar w:top="1417" w:right="1417" w:bottom="1417" w:left="1417" w:header="851" w:footer="850" w:gutter="0"/>
          <w:cols w:space="0" w:num="1"/>
          <w:rtlGutter w:val="0"/>
          <w:docGrid w:linePitch="312" w:charSpace="0"/>
        </w:sectPr>
      </w:pPr>
      <w:bookmarkStart w:id="627" w:name="_Toc31403"/>
    </w:p>
    <w:p w14:paraId="669EAAE2">
      <w:pPr>
        <w:snapToGrid w:val="0"/>
        <w:spacing w:line="360" w:lineRule="auto"/>
        <w:jc w:val="center"/>
        <w:outlineLvl w:val="3"/>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五、评标标准相应的商务技术资料</w:t>
      </w:r>
      <w:bookmarkEnd w:id="627"/>
    </w:p>
    <w:p w14:paraId="0C8C523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3AEF402">
      <w:pPr>
        <w:jc w:val="center"/>
        <w:rPr>
          <w:rFonts w:ascii="宋体" w:hAnsi="宋体" w:cs="宋体"/>
          <w:b/>
          <w:color w:val="auto"/>
          <w:kern w:val="0"/>
          <w:sz w:val="32"/>
          <w:szCs w:val="32"/>
          <w:highlight w:val="none"/>
        </w:rPr>
      </w:pPr>
    </w:p>
    <w:p w14:paraId="1E16479C">
      <w:pPr>
        <w:jc w:val="center"/>
        <w:rPr>
          <w:rFonts w:ascii="宋体" w:hAnsi="宋体" w:cs="宋体"/>
          <w:b/>
          <w:color w:val="auto"/>
          <w:kern w:val="0"/>
          <w:sz w:val="32"/>
          <w:szCs w:val="32"/>
          <w:highlight w:val="none"/>
        </w:rPr>
      </w:pPr>
    </w:p>
    <w:p w14:paraId="2846DC0E">
      <w:pPr>
        <w:jc w:val="center"/>
        <w:rPr>
          <w:rFonts w:ascii="宋体" w:hAnsi="宋体" w:cs="宋体"/>
          <w:b/>
          <w:color w:val="auto"/>
          <w:kern w:val="0"/>
          <w:sz w:val="32"/>
          <w:szCs w:val="32"/>
          <w:highlight w:val="none"/>
        </w:rPr>
      </w:pPr>
    </w:p>
    <w:p w14:paraId="30245F16">
      <w:pPr>
        <w:ind w:firstLine="2891" w:firstLineChars="900"/>
        <w:outlineLvl w:val="3"/>
        <w:rPr>
          <w:rFonts w:hint="eastAsia" w:ascii="宋体" w:hAnsi="宋体" w:cs="宋体"/>
          <w:b/>
          <w:color w:val="auto"/>
          <w:kern w:val="0"/>
          <w:sz w:val="32"/>
          <w:szCs w:val="32"/>
          <w:highlight w:val="none"/>
        </w:rPr>
        <w:sectPr>
          <w:pgSz w:w="11905" w:h="16838"/>
          <w:pgMar w:top="1417" w:right="1417" w:bottom="1417" w:left="1417" w:header="851" w:footer="850" w:gutter="0"/>
          <w:cols w:space="0" w:num="1"/>
          <w:rtlGutter w:val="0"/>
          <w:docGrid w:linePitch="312" w:charSpace="0"/>
        </w:sectPr>
      </w:pPr>
      <w:bookmarkStart w:id="628" w:name="_Toc30370"/>
    </w:p>
    <w:p w14:paraId="170FD7D5">
      <w:pPr>
        <w:snapToGrid w:val="0"/>
        <w:spacing w:line="360" w:lineRule="auto"/>
        <w:jc w:val="center"/>
        <w:outlineLvl w:val="3"/>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bookmarkEnd w:id="628"/>
    </w:p>
    <w:tbl>
      <w:tblPr>
        <w:tblStyle w:val="62"/>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104"/>
        <w:gridCol w:w="1379"/>
        <w:gridCol w:w="1260"/>
        <w:gridCol w:w="1344"/>
        <w:gridCol w:w="1276"/>
        <w:gridCol w:w="1884"/>
      </w:tblGrid>
      <w:tr w14:paraId="739D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16656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104" w:type="dxa"/>
            <w:tcBorders>
              <w:top w:val="single" w:color="auto" w:sz="4" w:space="0"/>
              <w:left w:val="single" w:color="auto" w:sz="4" w:space="0"/>
              <w:bottom w:val="single" w:color="auto" w:sz="4" w:space="0"/>
              <w:right w:val="single" w:color="auto" w:sz="4" w:space="0"/>
            </w:tcBorders>
            <w:vAlign w:val="center"/>
          </w:tcPr>
          <w:p w14:paraId="3675653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名称</w:t>
            </w:r>
          </w:p>
        </w:tc>
        <w:tc>
          <w:tcPr>
            <w:tcW w:w="1379" w:type="dxa"/>
            <w:tcBorders>
              <w:top w:val="single" w:color="auto" w:sz="4" w:space="0"/>
              <w:left w:val="single" w:color="auto" w:sz="4" w:space="0"/>
              <w:bottom w:val="single" w:color="auto" w:sz="4" w:space="0"/>
              <w:right w:val="single" w:color="auto" w:sz="4" w:space="0"/>
            </w:tcBorders>
            <w:vAlign w:val="center"/>
          </w:tcPr>
          <w:p w14:paraId="3E8A121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EE4B08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服务要求</w:t>
            </w:r>
          </w:p>
        </w:tc>
        <w:tc>
          <w:tcPr>
            <w:tcW w:w="1344" w:type="dxa"/>
            <w:tcBorders>
              <w:top w:val="single" w:color="auto" w:sz="4" w:space="0"/>
              <w:left w:val="single" w:color="auto" w:sz="4" w:space="0"/>
              <w:bottom w:val="single" w:color="auto" w:sz="4" w:space="0"/>
              <w:right w:val="single" w:color="auto" w:sz="4" w:space="0"/>
            </w:tcBorders>
            <w:vAlign w:val="center"/>
          </w:tcPr>
          <w:p w14:paraId="66C6209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服务时间</w:t>
            </w:r>
          </w:p>
        </w:tc>
        <w:tc>
          <w:tcPr>
            <w:tcW w:w="1276" w:type="dxa"/>
            <w:tcBorders>
              <w:top w:val="single" w:color="auto" w:sz="4" w:space="0"/>
              <w:left w:val="single" w:color="auto" w:sz="4" w:space="0"/>
              <w:bottom w:val="single" w:color="auto" w:sz="4" w:space="0"/>
              <w:right w:val="single" w:color="auto" w:sz="4" w:space="0"/>
            </w:tcBorders>
            <w:vAlign w:val="center"/>
          </w:tcPr>
          <w:p w14:paraId="23C6196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服务标准</w:t>
            </w:r>
          </w:p>
        </w:tc>
        <w:tc>
          <w:tcPr>
            <w:tcW w:w="1884" w:type="dxa"/>
            <w:tcBorders>
              <w:top w:val="single" w:color="auto" w:sz="4" w:space="0"/>
              <w:left w:val="single" w:color="auto" w:sz="4" w:space="0"/>
              <w:bottom w:val="single" w:color="auto" w:sz="4" w:space="0"/>
              <w:right w:val="single" w:color="auto" w:sz="4" w:space="0"/>
            </w:tcBorders>
            <w:vAlign w:val="center"/>
          </w:tcPr>
          <w:p w14:paraId="4B9385B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p>
          <w:p w14:paraId="7440DA3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备注（如果有）</w:t>
            </w:r>
          </w:p>
          <w:p w14:paraId="6B6A4E3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color w:val="auto"/>
                <w:sz w:val="24"/>
                <w:highlight w:val="none"/>
              </w:rPr>
            </w:pPr>
          </w:p>
        </w:tc>
      </w:tr>
      <w:tr w14:paraId="4FD0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8E4F8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104" w:type="dxa"/>
            <w:tcBorders>
              <w:top w:val="single" w:color="auto" w:sz="4" w:space="0"/>
              <w:left w:val="single" w:color="auto" w:sz="4" w:space="0"/>
              <w:bottom w:val="single" w:color="auto" w:sz="4" w:space="0"/>
              <w:right w:val="single" w:color="auto" w:sz="4" w:space="0"/>
            </w:tcBorders>
            <w:vAlign w:val="center"/>
          </w:tcPr>
          <w:p w14:paraId="15A6118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highlight w:val="none"/>
              </w:rPr>
            </w:pPr>
          </w:p>
        </w:tc>
        <w:tc>
          <w:tcPr>
            <w:tcW w:w="1379" w:type="dxa"/>
            <w:tcBorders>
              <w:top w:val="single" w:color="auto" w:sz="4" w:space="0"/>
              <w:left w:val="single" w:color="auto" w:sz="4" w:space="0"/>
              <w:bottom w:val="single" w:color="auto" w:sz="4" w:space="0"/>
              <w:right w:val="single" w:color="auto" w:sz="4" w:space="0"/>
            </w:tcBorders>
            <w:vAlign w:val="center"/>
          </w:tcPr>
          <w:p w14:paraId="273EC1F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C60641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highlight w:val="none"/>
              </w:rPr>
            </w:pPr>
          </w:p>
        </w:tc>
        <w:tc>
          <w:tcPr>
            <w:tcW w:w="1344" w:type="dxa"/>
            <w:tcBorders>
              <w:top w:val="single" w:color="auto" w:sz="4" w:space="0"/>
              <w:left w:val="single" w:color="auto" w:sz="4" w:space="0"/>
              <w:bottom w:val="single" w:color="auto" w:sz="4" w:space="0"/>
              <w:right w:val="single" w:color="auto" w:sz="4" w:space="0"/>
            </w:tcBorders>
            <w:vAlign w:val="center"/>
          </w:tcPr>
          <w:p w14:paraId="5870456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01F715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highlight w:val="none"/>
              </w:rPr>
            </w:pPr>
          </w:p>
        </w:tc>
        <w:tc>
          <w:tcPr>
            <w:tcW w:w="1884" w:type="dxa"/>
            <w:tcBorders>
              <w:top w:val="single" w:color="auto" w:sz="4" w:space="0"/>
              <w:left w:val="single" w:color="auto" w:sz="4" w:space="0"/>
              <w:bottom w:val="single" w:color="auto" w:sz="4" w:space="0"/>
              <w:right w:val="single" w:color="auto" w:sz="4" w:space="0"/>
            </w:tcBorders>
            <w:vAlign w:val="center"/>
          </w:tcPr>
          <w:p w14:paraId="3BB2090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highlight w:val="none"/>
              </w:rPr>
            </w:pPr>
          </w:p>
        </w:tc>
      </w:tr>
      <w:tr w14:paraId="6B72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7BB2A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104" w:type="dxa"/>
            <w:tcBorders>
              <w:top w:val="single" w:color="auto" w:sz="4" w:space="0"/>
              <w:left w:val="single" w:color="auto" w:sz="4" w:space="0"/>
              <w:bottom w:val="single" w:color="auto" w:sz="4" w:space="0"/>
              <w:right w:val="single" w:color="auto" w:sz="4" w:space="0"/>
            </w:tcBorders>
            <w:vAlign w:val="center"/>
          </w:tcPr>
          <w:p w14:paraId="6EFDD72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highlight w:val="none"/>
              </w:rPr>
            </w:pPr>
          </w:p>
        </w:tc>
        <w:tc>
          <w:tcPr>
            <w:tcW w:w="1379" w:type="dxa"/>
            <w:tcBorders>
              <w:top w:val="single" w:color="auto" w:sz="4" w:space="0"/>
              <w:left w:val="single" w:color="auto" w:sz="4" w:space="0"/>
              <w:bottom w:val="single" w:color="auto" w:sz="4" w:space="0"/>
              <w:right w:val="single" w:color="auto" w:sz="4" w:space="0"/>
            </w:tcBorders>
            <w:vAlign w:val="center"/>
          </w:tcPr>
          <w:p w14:paraId="2FCB560A">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A81386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highlight w:val="none"/>
              </w:rPr>
            </w:pPr>
          </w:p>
        </w:tc>
        <w:tc>
          <w:tcPr>
            <w:tcW w:w="1344" w:type="dxa"/>
            <w:tcBorders>
              <w:top w:val="single" w:color="auto" w:sz="4" w:space="0"/>
              <w:left w:val="single" w:color="auto" w:sz="4" w:space="0"/>
              <w:bottom w:val="single" w:color="auto" w:sz="4" w:space="0"/>
              <w:right w:val="single" w:color="auto" w:sz="4" w:space="0"/>
            </w:tcBorders>
            <w:vAlign w:val="center"/>
          </w:tcPr>
          <w:p w14:paraId="60E73F5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1E23A7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highlight w:val="none"/>
              </w:rPr>
            </w:pPr>
          </w:p>
        </w:tc>
        <w:tc>
          <w:tcPr>
            <w:tcW w:w="1884" w:type="dxa"/>
            <w:tcBorders>
              <w:top w:val="single" w:color="auto" w:sz="4" w:space="0"/>
              <w:left w:val="single" w:color="auto" w:sz="4" w:space="0"/>
              <w:bottom w:val="single" w:color="auto" w:sz="4" w:space="0"/>
              <w:right w:val="single" w:color="auto" w:sz="4" w:space="0"/>
            </w:tcBorders>
            <w:vAlign w:val="center"/>
          </w:tcPr>
          <w:p w14:paraId="6B41D2A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highlight w:val="none"/>
              </w:rPr>
            </w:pPr>
          </w:p>
        </w:tc>
      </w:tr>
      <w:tr w14:paraId="7F0B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14A0D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c>
          <w:tcPr>
            <w:tcW w:w="1104" w:type="dxa"/>
            <w:tcBorders>
              <w:top w:val="single" w:color="auto" w:sz="4" w:space="0"/>
              <w:left w:val="single" w:color="auto" w:sz="4" w:space="0"/>
              <w:bottom w:val="single" w:color="auto" w:sz="4" w:space="0"/>
              <w:right w:val="single" w:color="auto" w:sz="4" w:space="0"/>
            </w:tcBorders>
            <w:vAlign w:val="center"/>
          </w:tcPr>
          <w:p w14:paraId="43D0365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highlight w:val="none"/>
              </w:rPr>
            </w:pPr>
          </w:p>
        </w:tc>
        <w:tc>
          <w:tcPr>
            <w:tcW w:w="1379" w:type="dxa"/>
            <w:tcBorders>
              <w:top w:val="single" w:color="auto" w:sz="4" w:space="0"/>
              <w:left w:val="single" w:color="auto" w:sz="4" w:space="0"/>
              <w:bottom w:val="single" w:color="auto" w:sz="4" w:space="0"/>
              <w:right w:val="single" w:color="auto" w:sz="4" w:space="0"/>
            </w:tcBorders>
            <w:vAlign w:val="center"/>
          </w:tcPr>
          <w:p w14:paraId="4E44398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EE1476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highlight w:val="none"/>
              </w:rPr>
            </w:pPr>
          </w:p>
        </w:tc>
        <w:tc>
          <w:tcPr>
            <w:tcW w:w="1344" w:type="dxa"/>
            <w:tcBorders>
              <w:top w:val="single" w:color="auto" w:sz="4" w:space="0"/>
              <w:left w:val="single" w:color="auto" w:sz="4" w:space="0"/>
              <w:bottom w:val="single" w:color="auto" w:sz="4" w:space="0"/>
              <w:right w:val="single" w:color="auto" w:sz="4" w:space="0"/>
            </w:tcBorders>
            <w:vAlign w:val="center"/>
          </w:tcPr>
          <w:p w14:paraId="2EE1DE3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965C88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highlight w:val="none"/>
              </w:rPr>
            </w:pPr>
          </w:p>
        </w:tc>
        <w:tc>
          <w:tcPr>
            <w:tcW w:w="1884" w:type="dxa"/>
            <w:tcBorders>
              <w:top w:val="single" w:color="auto" w:sz="4" w:space="0"/>
              <w:left w:val="single" w:color="auto" w:sz="4" w:space="0"/>
              <w:bottom w:val="single" w:color="auto" w:sz="4" w:space="0"/>
              <w:right w:val="single" w:color="auto" w:sz="4" w:space="0"/>
            </w:tcBorders>
            <w:vAlign w:val="center"/>
          </w:tcPr>
          <w:p w14:paraId="75CF8BF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ascii="宋体" w:hAnsi="宋体" w:cs="宋体"/>
                <w:color w:val="auto"/>
                <w:sz w:val="24"/>
                <w:highlight w:val="none"/>
              </w:rPr>
            </w:pPr>
          </w:p>
        </w:tc>
      </w:tr>
    </w:tbl>
    <w:p w14:paraId="217FCB33">
      <w:pPr>
        <w:keepNext w:val="0"/>
        <w:keepLines w:val="0"/>
        <w:pageBreakBefore w:val="0"/>
        <w:widowControl w:val="0"/>
        <w:kinsoku/>
        <w:wordWrap/>
        <w:overflowPunct/>
        <w:topLinePunct w:val="0"/>
        <w:autoSpaceDE/>
        <w:autoSpaceDN/>
        <w:bidi w:val="0"/>
        <w:adjustRightInd w:val="0"/>
        <w:snapToGrid/>
        <w:spacing w:before="313" w:beforeLines="100" w:line="360" w:lineRule="auto"/>
        <w:ind w:right="420"/>
        <w:textAlignment w:val="auto"/>
        <w:rPr>
          <w:rFonts w:ascii="宋体" w:hAnsi="宋体" w:cs="宋体"/>
          <w:color w:val="auto"/>
          <w:sz w:val="24"/>
          <w:highlight w:val="none"/>
        </w:rPr>
      </w:pPr>
      <w:r>
        <w:rPr>
          <w:rFonts w:hint="eastAsia" w:ascii="宋体" w:hAnsi="宋体" w:cs="宋体"/>
          <w:color w:val="auto"/>
          <w:sz w:val="24"/>
          <w:highlight w:val="none"/>
        </w:rPr>
        <w:t>注：按本格式和要求提供。</w:t>
      </w:r>
    </w:p>
    <w:p w14:paraId="0F53C145">
      <w:pPr>
        <w:jc w:val="center"/>
        <w:rPr>
          <w:rFonts w:ascii="宋体" w:hAnsi="宋体" w:cs="宋体"/>
          <w:b/>
          <w:color w:val="auto"/>
          <w:kern w:val="0"/>
          <w:sz w:val="32"/>
          <w:szCs w:val="32"/>
          <w:highlight w:val="none"/>
        </w:rPr>
      </w:pPr>
    </w:p>
    <w:p w14:paraId="2FAE97E3">
      <w:pPr>
        <w:jc w:val="center"/>
        <w:rPr>
          <w:rFonts w:ascii="宋体" w:hAnsi="宋体" w:cs="宋体"/>
          <w:b/>
          <w:color w:val="auto"/>
          <w:kern w:val="0"/>
          <w:sz w:val="32"/>
          <w:szCs w:val="32"/>
          <w:highlight w:val="none"/>
        </w:rPr>
      </w:pPr>
    </w:p>
    <w:p w14:paraId="17B2438B">
      <w:pPr>
        <w:jc w:val="center"/>
        <w:outlineLvl w:val="2"/>
        <w:rPr>
          <w:rFonts w:hint="eastAsia" w:ascii="宋体" w:hAnsi="宋体" w:cs="宋体"/>
          <w:b/>
          <w:color w:val="auto"/>
          <w:kern w:val="0"/>
          <w:sz w:val="32"/>
          <w:szCs w:val="32"/>
          <w:highlight w:val="none"/>
        </w:rPr>
        <w:sectPr>
          <w:pgSz w:w="11905" w:h="16838"/>
          <w:pgMar w:top="1417" w:right="1417" w:bottom="1417" w:left="1417" w:header="851" w:footer="850" w:gutter="0"/>
          <w:cols w:space="0" w:num="1"/>
          <w:rtlGutter w:val="0"/>
          <w:docGrid w:linePitch="312" w:charSpace="0"/>
        </w:sectPr>
      </w:pPr>
      <w:bookmarkStart w:id="629" w:name="_Toc11176"/>
    </w:p>
    <w:p w14:paraId="7853D00A">
      <w:pPr>
        <w:snapToGrid w:val="0"/>
        <w:spacing w:line="360" w:lineRule="auto"/>
        <w:jc w:val="center"/>
        <w:outlineLvl w:val="3"/>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bookmarkEnd w:id="629"/>
    </w:p>
    <w:tbl>
      <w:tblPr>
        <w:tblStyle w:val="63"/>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030"/>
        <w:gridCol w:w="1313"/>
      </w:tblGrid>
      <w:tr w14:paraId="113E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59" w:type="dxa"/>
            <w:vAlign w:val="center"/>
          </w:tcPr>
          <w:p w14:paraId="3B184B7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center"/>
          </w:tcPr>
          <w:p w14:paraId="1D3E485E">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30" w:type="dxa"/>
            <w:vAlign w:val="center"/>
          </w:tcPr>
          <w:p w14:paraId="16A0E321">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313" w:type="dxa"/>
            <w:vAlign w:val="center"/>
          </w:tcPr>
          <w:p w14:paraId="3EF480D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361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59" w:type="dxa"/>
            <w:vAlign w:val="center"/>
          </w:tcPr>
          <w:p w14:paraId="7B680AF0">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center"/>
          </w:tcPr>
          <w:p w14:paraId="4B057D13">
            <w:pPr>
              <w:jc w:val="center"/>
              <w:rPr>
                <w:rFonts w:ascii="宋体" w:hAnsi="宋体" w:cs="宋体"/>
                <w:b/>
                <w:color w:val="auto"/>
                <w:kern w:val="0"/>
                <w:sz w:val="32"/>
                <w:szCs w:val="32"/>
                <w:highlight w:val="none"/>
              </w:rPr>
            </w:pPr>
          </w:p>
        </w:tc>
        <w:tc>
          <w:tcPr>
            <w:tcW w:w="3030" w:type="dxa"/>
            <w:vAlign w:val="center"/>
          </w:tcPr>
          <w:p w14:paraId="25A7609A">
            <w:pPr>
              <w:jc w:val="center"/>
              <w:rPr>
                <w:rFonts w:ascii="宋体" w:hAnsi="宋体" w:cs="宋体"/>
                <w:b/>
                <w:color w:val="auto"/>
                <w:kern w:val="0"/>
                <w:sz w:val="32"/>
                <w:szCs w:val="32"/>
                <w:highlight w:val="none"/>
              </w:rPr>
            </w:pPr>
          </w:p>
        </w:tc>
        <w:tc>
          <w:tcPr>
            <w:tcW w:w="1313" w:type="dxa"/>
            <w:vAlign w:val="center"/>
          </w:tcPr>
          <w:p w14:paraId="004D8095">
            <w:pPr>
              <w:jc w:val="center"/>
              <w:rPr>
                <w:rFonts w:ascii="宋体" w:hAnsi="宋体" w:cs="宋体"/>
                <w:b/>
                <w:color w:val="auto"/>
                <w:kern w:val="0"/>
                <w:sz w:val="32"/>
                <w:szCs w:val="32"/>
                <w:highlight w:val="none"/>
              </w:rPr>
            </w:pPr>
          </w:p>
        </w:tc>
      </w:tr>
      <w:tr w14:paraId="656E3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59" w:type="dxa"/>
            <w:vAlign w:val="center"/>
          </w:tcPr>
          <w:p w14:paraId="20F21A68">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center"/>
          </w:tcPr>
          <w:p w14:paraId="65F1862C">
            <w:pPr>
              <w:jc w:val="center"/>
              <w:rPr>
                <w:rFonts w:ascii="宋体" w:hAnsi="宋体" w:cs="宋体"/>
                <w:b/>
                <w:color w:val="auto"/>
                <w:kern w:val="0"/>
                <w:sz w:val="32"/>
                <w:szCs w:val="32"/>
                <w:highlight w:val="none"/>
              </w:rPr>
            </w:pPr>
          </w:p>
        </w:tc>
        <w:tc>
          <w:tcPr>
            <w:tcW w:w="3030" w:type="dxa"/>
            <w:vAlign w:val="center"/>
          </w:tcPr>
          <w:p w14:paraId="4B4B5142">
            <w:pPr>
              <w:jc w:val="center"/>
              <w:rPr>
                <w:rFonts w:ascii="宋体" w:hAnsi="宋体" w:cs="宋体"/>
                <w:b/>
                <w:color w:val="auto"/>
                <w:kern w:val="0"/>
                <w:sz w:val="32"/>
                <w:szCs w:val="32"/>
                <w:highlight w:val="none"/>
              </w:rPr>
            </w:pPr>
          </w:p>
        </w:tc>
        <w:tc>
          <w:tcPr>
            <w:tcW w:w="1313" w:type="dxa"/>
            <w:vAlign w:val="center"/>
          </w:tcPr>
          <w:p w14:paraId="51C6DA71">
            <w:pPr>
              <w:jc w:val="center"/>
              <w:rPr>
                <w:rFonts w:ascii="宋体" w:hAnsi="宋体" w:cs="宋体"/>
                <w:b/>
                <w:color w:val="auto"/>
                <w:kern w:val="0"/>
                <w:sz w:val="32"/>
                <w:szCs w:val="32"/>
                <w:highlight w:val="none"/>
              </w:rPr>
            </w:pPr>
          </w:p>
        </w:tc>
      </w:tr>
      <w:tr w14:paraId="0711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59" w:type="dxa"/>
            <w:vAlign w:val="center"/>
          </w:tcPr>
          <w:p w14:paraId="420E89E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center"/>
          </w:tcPr>
          <w:p w14:paraId="00B87D6F">
            <w:pPr>
              <w:jc w:val="center"/>
              <w:rPr>
                <w:rFonts w:ascii="宋体" w:hAnsi="宋体" w:cs="宋体"/>
                <w:b/>
                <w:color w:val="auto"/>
                <w:kern w:val="0"/>
                <w:sz w:val="32"/>
                <w:szCs w:val="32"/>
                <w:highlight w:val="none"/>
              </w:rPr>
            </w:pPr>
          </w:p>
        </w:tc>
        <w:tc>
          <w:tcPr>
            <w:tcW w:w="3030" w:type="dxa"/>
            <w:vAlign w:val="center"/>
          </w:tcPr>
          <w:p w14:paraId="6DF232DB">
            <w:pPr>
              <w:jc w:val="center"/>
              <w:rPr>
                <w:rFonts w:ascii="宋体" w:hAnsi="宋体" w:cs="宋体"/>
                <w:b/>
                <w:color w:val="auto"/>
                <w:kern w:val="0"/>
                <w:sz w:val="32"/>
                <w:szCs w:val="32"/>
                <w:highlight w:val="none"/>
              </w:rPr>
            </w:pPr>
          </w:p>
        </w:tc>
        <w:tc>
          <w:tcPr>
            <w:tcW w:w="1313" w:type="dxa"/>
            <w:vAlign w:val="center"/>
          </w:tcPr>
          <w:p w14:paraId="0E6381F1">
            <w:pPr>
              <w:jc w:val="center"/>
              <w:rPr>
                <w:rFonts w:ascii="宋体" w:hAnsi="宋体" w:cs="宋体"/>
                <w:b/>
                <w:color w:val="auto"/>
                <w:kern w:val="0"/>
                <w:sz w:val="32"/>
                <w:szCs w:val="32"/>
                <w:highlight w:val="none"/>
              </w:rPr>
            </w:pPr>
          </w:p>
        </w:tc>
      </w:tr>
    </w:tbl>
    <w:p w14:paraId="67101A85">
      <w:pPr>
        <w:jc w:val="left"/>
        <w:rPr>
          <w:rFonts w:hint="eastAsia" w:ascii="宋体" w:hAnsi="宋体" w:cs="宋体"/>
          <w:color w:val="auto"/>
          <w:kern w:val="0"/>
          <w:sz w:val="24"/>
          <w:highlight w:val="none"/>
        </w:rPr>
      </w:pPr>
    </w:p>
    <w:p w14:paraId="65A2777A">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2FB1DDA">
      <w:pPr>
        <w:jc w:val="center"/>
        <w:rPr>
          <w:rFonts w:ascii="宋体" w:hAnsi="宋体" w:cs="宋体"/>
          <w:b/>
          <w:color w:val="auto"/>
          <w:kern w:val="0"/>
          <w:sz w:val="32"/>
          <w:szCs w:val="32"/>
          <w:highlight w:val="none"/>
        </w:rPr>
      </w:pPr>
    </w:p>
    <w:p w14:paraId="3FA75F5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363B5E7">
      <w:pPr>
        <w:ind w:firstLine="1911" w:firstLineChars="595"/>
        <w:rPr>
          <w:rFonts w:ascii="宋体" w:hAnsi="宋体" w:cs="宋体"/>
          <w:b/>
          <w:bCs/>
          <w:color w:val="auto"/>
          <w:sz w:val="32"/>
          <w:szCs w:val="32"/>
          <w:highlight w:val="none"/>
        </w:rPr>
      </w:pPr>
    </w:p>
    <w:p w14:paraId="4C44CD43">
      <w:pPr>
        <w:ind w:firstLine="1911" w:firstLineChars="595"/>
        <w:rPr>
          <w:rFonts w:ascii="宋体" w:hAnsi="宋体" w:cs="宋体"/>
          <w:b/>
          <w:bCs/>
          <w:color w:val="auto"/>
          <w:sz w:val="32"/>
          <w:szCs w:val="32"/>
          <w:highlight w:val="none"/>
        </w:rPr>
      </w:pPr>
    </w:p>
    <w:p w14:paraId="2440887C">
      <w:pPr>
        <w:ind w:firstLine="1911" w:firstLineChars="595"/>
        <w:rPr>
          <w:rFonts w:ascii="宋体" w:hAnsi="宋体" w:cs="宋体"/>
          <w:b/>
          <w:bCs/>
          <w:color w:val="auto"/>
          <w:sz w:val="32"/>
          <w:szCs w:val="32"/>
          <w:highlight w:val="none"/>
        </w:rPr>
      </w:pPr>
    </w:p>
    <w:p w14:paraId="54642FD4">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ED61110">
      <w:pPr>
        <w:ind w:firstLine="1911" w:firstLineChars="595"/>
        <w:outlineLvl w:val="3"/>
        <w:rPr>
          <w:rFonts w:ascii="宋体" w:hAnsi="宋体" w:cs="宋体"/>
          <w:b/>
          <w:color w:val="auto"/>
          <w:kern w:val="0"/>
          <w:sz w:val="32"/>
          <w:szCs w:val="32"/>
          <w:highlight w:val="none"/>
        </w:rPr>
      </w:pPr>
      <w:bookmarkStart w:id="630" w:name="_Toc10820"/>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bookmarkEnd w:id="630"/>
    </w:p>
    <w:p w14:paraId="4888BE91">
      <w:pPr>
        <w:snapToGrid w:val="0"/>
        <w:spacing w:line="360" w:lineRule="auto"/>
        <w:rPr>
          <w:rFonts w:ascii="宋体" w:hAnsi="宋体" w:cs="宋体"/>
          <w:color w:val="auto"/>
          <w:sz w:val="24"/>
          <w:highlight w:val="none"/>
        </w:rPr>
      </w:pPr>
    </w:p>
    <w:p w14:paraId="53A8BD1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杭州市余杭区融媒体中心（杭州市余杭区广播电视台）、浙江省成套招标代理有限公司</w:t>
      </w:r>
      <w:r>
        <w:rPr>
          <w:rFonts w:hint="eastAsia" w:ascii="宋体" w:hAnsi="宋体" w:cs="宋体"/>
          <w:color w:val="auto"/>
          <w:kern w:val="0"/>
          <w:sz w:val="24"/>
          <w:highlight w:val="none"/>
          <w:lang w:val="zh-CN"/>
        </w:rPr>
        <w:t>：</w:t>
      </w:r>
    </w:p>
    <w:p w14:paraId="3C9C07B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2D557E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C7177E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4BAFFF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DE80F7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29F9D4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AD517D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3320534">
      <w:pPr>
        <w:autoSpaceDE w:val="0"/>
        <w:autoSpaceDN w:val="0"/>
        <w:spacing w:line="360" w:lineRule="auto"/>
        <w:ind w:left="481" w:leftChars="229"/>
        <w:jc w:val="left"/>
        <w:rPr>
          <w:rFonts w:ascii="宋体" w:hAnsi="宋体" w:cs="宋体"/>
          <w:color w:val="auto"/>
          <w:kern w:val="0"/>
          <w:sz w:val="24"/>
          <w:highlight w:val="none"/>
          <w:lang w:val="zh-CN"/>
        </w:rPr>
      </w:pPr>
      <w:bookmarkStart w:id="631" w:name="_Toc19477"/>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bookmarkEnd w:id="631"/>
    </w:p>
    <w:p w14:paraId="40862DE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8B9178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CDA2E32">
      <w:pPr>
        <w:autoSpaceDE w:val="0"/>
        <w:autoSpaceDN w:val="0"/>
        <w:spacing w:line="360" w:lineRule="auto"/>
        <w:ind w:left="2"/>
        <w:jc w:val="left"/>
        <w:rPr>
          <w:rFonts w:ascii="宋体" w:hAnsi="宋体" w:cs="宋体"/>
          <w:color w:val="auto"/>
          <w:kern w:val="0"/>
          <w:sz w:val="24"/>
          <w:highlight w:val="none"/>
          <w:lang w:val="zh-CN"/>
        </w:rPr>
      </w:pPr>
    </w:p>
    <w:p w14:paraId="61442134">
      <w:pPr>
        <w:autoSpaceDE w:val="0"/>
        <w:autoSpaceDN w:val="0"/>
        <w:spacing w:line="360" w:lineRule="auto"/>
        <w:ind w:left="2"/>
        <w:jc w:val="left"/>
        <w:rPr>
          <w:rFonts w:ascii="宋体" w:hAnsi="宋体" w:cs="宋体"/>
          <w:color w:val="auto"/>
          <w:kern w:val="0"/>
          <w:sz w:val="24"/>
          <w:highlight w:val="none"/>
          <w:lang w:val="zh-CN"/>
        </w:rPr>
      </w:pPr>
    </w:p>
    <w:p w14:paraId="77CC7342">
      <w:pPr>
        <w:autoSpaceDE w:val="0"/>
        <w:autoSpaceDN w:val="0"/>
        <w:spacing w:line="360" w:lineRule="auto"/>
        <w:ind w:left="2"/>
        <w:jc w:val="left"/>
        <w:rPr>
          <w:rFonts w:ascii="宋体" w:hAnsi="宋体" w:cs="宋体"/>
          <w:color w:val="auto"/>
          <w:kern w:val="0"/>
          <w:sz w:val="24"/>
          <w:highlight w:val="none"/>
          <w:lang w:val="zh-CN"/>
        </w:rPr>
      </w:pPr>
    </w:p>
    <w:p w14:paraId="2A93D713">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33EBB2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8FD4E1E">
      <w:pPr>
        <w:spacing w:line="360" w:lineRule="auto"/>
        <w:jc w:val="center"/>
        <w:rPr>
          <w:rFonts w:ascii="宋体" w:hAnsi="宋体" w:cs="宋体"/>
          <w:b/>
          <w:bCs/>
          <w:color w:val="auto"/>
          <w:sz w:val="24"/>
          <w:highlight w:val="none"/>
        </w:rPr>
      </w:pPr>
    </w:p>
    <w:p w14:paraId="1347028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D99D8A2">
      <w:pPr>
        <w:spacing w:line="360" w:lineRule="auto"/>
        <w:jc w:val="center"/>
        <w:rPr>
          <w:rFonts w:ascii="宋体" w:hAnsi="宋体" w:cs="宋体"/>
          <w:b/>
          <w:bCs/>
          <w:color w:val="auto"/>
          <w:sz w:val="24"/>
          <w:highlight w:val="none"/>
        </w:rPr>
        <w:sectPr>
          <w:pgSz w:w="11905" w:h="16838"/>
          <w:pgMar w:top="1417" w:right="1417" w:bottom="1417" w:left="1417" w:header="851" w:footer="850" w:gutter="0"/>
          <w:cols w:space="0" w:num="1"/>
          <w:rtlGutter w:val="0"/>
          <w:docGrid w:linePitch="312" w:charSpace="0"/>
        </w:sectPr>
      </w:pPr>
    </w:p>
    <w:p w14:paraId="7491F89C">
      <w:pPr>
        <w:spacing w:line="360" w:lineRule="auto"/>
        <w:jc w:val="center"/>
        <w:outlineLvl w:val="1"/>
        <w:rPr>
          <w:rFonts w:ascii="宋体" w:hAnsi="宋体" w:cs="宋体"/>
          <w:b/>
          <w:color w:val="auto"/>
          <w:kern w:val="0"/>
          <w:sz w:val="36"/>
          <w:szCs w:val="36"/>
          <w:highlight w:val="none"/>
        </w:rPr>
      </w:pPr>
      <w:bookmarkStart w:id="632" w:name="_Toc27039"/>
      <w:r>
        <w:rPr>
          <w:rFonts w:hint="eastAsia" w:ascii="宋体" w:hAnsi="宋体" w:cs="宋体"/>
          <w:b/>
          <w:color w:val="auto"/>
          <w:kern w:val="0"/>
          <w:sz w:val="36"/>
          <w:szCs w:val="36"/>
          <w:highlight w:val="none"/>
        </w:rPr>
        <w:t>报价文件部分</w:t>
      </w:r>
      <w:bookmarkEnd w:id="632"/>
    </w:p>
    <w:p w14:paraId="04A8208D">
      <w:pPr>
        <w:spacing w:line="360" w:lineRule="auto"/>
        <w:jc w:val="center"/>
        <w:outlineLvl w:val="2"/>
        <w:rPr>
          <w:rFonts w:ascii="宋体" w:hAnsi="宋体" w:cs="宋体"/>
          <w:b/>
          <w:color w:val="auto"/>
          <w:kern w:val="0"/>
          <w:sz w:val="36"/>
          <w:szCs w:val="36"/>
          <w:highlight w:val="none"/>
        </w:rPr>
      </w:pPr>
      <w:bookmarkStart w:id="633" w:name="_Toc13370"/>
      <w:r>
        <w:rPr>
          <w:rFonts w:hint="eastAsia" w:ascii="宋体" w:hAnsi="宋体" w:cs="宋体"/>
          <w:b/>
          <w:color w:val="auto"/>
          <w:kern w:val="0"/>
          <w:sz w:val="36"/>
          <w:szCs w:val="36"/>
          <w:highlight w:val="none"/>
        </w:rPr>
        <w:t>目录</w:t>
      </w:r>
      <w:bookmarkEnd w:id="633"/>
    </w:p>
    <w:p w14:paraId="3A9D0AA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39E5F15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2B2276CD">
      <w:pPr>
        <w:snapToGrid w:val="0"/>
        <w:spacing w:line="360" w:lineRule="auto"/>
        <w:ind w:right="480"/>
        <w:jc w:val="center"/>
        <w:rPr>
          <w:rFonts w:ascii="宋体" w:hAnsi="宋体" w:cs="宋体"/>
          <w:b/>
          <w:color w:val="auto"/>
          <w:kern w:val="0"/>
          <w:sz w:val="32"/>
          <w:szCs w:val="32"/>
          <w:highlight w:val="none"/>
        </w:rPr>
      </w:pPr>
    </w:p>
    <w:p w14:paraId="55D71B0E">
      <w:pPr>
        <w:snapToGrid w:val="0"/>
        <w:spacing w:line="360" w:lineRule="auto"/>
        <w:ind w:right="480"/>
        <w:jc w:val="center"/>
        <w:rPr>
          <w:rFonts w:ascii="宋体" w:hAnsi="宋体" w:cs="宋体"/>
          <w:b/>
          <w:color w:val="auto"/>
          <w:kern w:val="0"/>
          <w:sz w:val="32"/>
          <w:szCs w:val="32"/>
          <w:highlight w:val="none"/>
        </w:rPr>
      </w:pPr>
    </w:p>
    <w:p w14:paraId="34814676">
      <w:pPr>
        <w:snapToGrid w:val="0"/>
        <w:spacing w:line="360" w:lineRule="auto"/>
        <w:ind w:right="480"/>
        <w:jc w:val="center"/>
        <w:rPr>
          <w:rFonts w:ascii="宋体" w:hAnsi="宋体" w:cs="宋体"/>
          <w:b/>
          <w:color w:val="auto"/>
          <w:kern w:val="0"/>
          <w:sz w:val="32"/>
          <w:szCs w:val="32"/>
          <w:highlight w:val="none"/>
        </w:rPr>
      </w:pPr>
    </w:p>
    <w:p w14:paraId="30338324">
      <w:pPr>
        <w:snapToGrid w:val="0"/>
        <w:spacing w:line="360" w:lineRule="auto"/>
        <w:ind w:right="480"/>
        <w:jc w:val="center"/>
        <w:rPr>
          <w:rFonts w:ascii="宋体" w:hAnsi="宋体" w:cs="宋体"/>
          <w:b/>
          <w:color w:val="auto"/>
          <w:kern w:val="0"/>
          <w:sz w:val="32"/>
          <w:szCs w:val="32"/>
          <w:highlight w:val="none"/>
        </w:rPr>
      </w:pPr>
    </w:p>
    <w:p w14:paraId="07647900">
      <w:pPr>
        <w:snapToGrid w:val="0"/>
        <w:spacing w:line="360" w:lineRule="auto"/>
        <w:ind w:right="480"/>
        <w:jc w:val="center"/>
        <w:rPr>
          <w:rFonts w:ascii="宋体" w:hAnsi="宋体" w:cs="宋体"/>
          <w:b/>
          <w:color w:val="auto"/>
          <w:kern w:val="0"/>
          <w:sz w:val="32"/>
          <w:szCs w:val="32"/>
          <w:highlight w:val="none"/>
        </w:rPr>
      </w:pPr>
    </w:p>
    <w:p w14:paraId="2721B5F0">
      <w:pPr>
        <w:snapToGrid w:val="0"/>
        <w:spacing w:line="360" w:lineRule="auto"/>
        <w:ind w:right="480"/>
        <w:jc w:val="center"/>
        <w:rPr>
          <w:rFonts w:ascii="宋体" w:hAnsi="宋体" w:cs="宋体"/>
          <w:b/>
          <w:color w:val="auto"/>
          <w:kern w:val="0"/>
          <w:sz w:val="32"/>
          <w:szCs w:val="32"/>
          <w:highlight w:val="none"/>
        </w:rPr>
      </w:pPr>
    </w:p>
    <w:p w14:paraId="46EAAD91">
      <w:pPr>
        <w:snapToGrid w:val="0"/>
        <w:spacing w:line="360" w:lineRule="auto"/>
        <w:ind w:right="480"/>
        <w:jc w:val="center"/>
        <w:rPr>
          <w:rFonts w:ascii="宋体" w:hAnsi="宋体" w:cs="宋体"/>
          <w:b/>
          <w:color w:val="auto"/>
          <w:kern w:val="0"/>
          <w:sz w:val="32"/>
          <w:szCs w:val="32"/>
          <w:highlight w:val="none"/>
        </w:rPr>
      </w:pPr>
    </w:p>
    <w:p w14:paraId="6D76201B">
      <w:pPr>
        <w:snapToGrid w:val="0"/>
        <w:spacing w:line="360" w:lineRule="auto"/>
        <w:ind w:right="480"/>
        <w:jc w:val="center"/>
        <w:rPr>
          <w:rFonts w:ascii="宋体" w:hAnsi="宋体" w:cs="宋体"/>
          <w:b/>
          <w:color w:val="auto"/>
          <w:kern w:val="0"/>
          <w:sz w:val="32"/>
          <w:szCs w:val="32"/>
          <w:highlight w:val="none"/>
        </w:rPr>
      </w:pPr>
    </w:p>
    <w:p w14:paraId="58769206">
      <w:pPr>
        <w:snapToGrid w:val="0"/>
        <w:spacing w:line="360" w:lineRule="auto"/>
        <w:ind w:right="480"/>
        <w:jc w:val="center"/>
        <w:rPr>
          <w:rFonts w:ascii="宋体" w:hAnsi="宋体" w:cs="宋体"/>
          <w:b/>
          <w:color w:val="auto"/>
          <w:kern w:val="0"/>
          <w:sz w:val="32"/>
          <w:szCs w:val="32"/>
          <w:highlight w:val="none"/>
        </w:rPr>
      </w:pPr>
    </w:p>
    <w:p w14:paraId="0688A8B6">
      <w:pPr>
        <w:snapToGrid w:val="0"/>
        <w:spacing w:line="360" w:lineRule="auto"/>
        <w:ind w:right="480"/>
        <w:jc w:val="center"/>
        <w:rPr>
          <w:rFonts w:ascii="宋体" w:hAnsi="宋体" w:cs="宋体"/>
          <w:b/>
          <w:color w:val="auto"/>
          <w:kern w:val="0"/>
          <w:sz w:val="32"/>
          <w:szCs w:val="32"/>
          <w:highlight w:val="none"/>
        </w:rPr>
      </w:pPr>
    </w:p>
    <w:p w14:paraId="648F01F5">
      <w:pPr>
        <w:snapToGrid w:val="0"/>
        <w:spacing w:line="360" w:lineRule="auto"/>
        <w:ind w:right="480"/>
        <w:jc w:val="center"/>
        <w:rPr>
          <w:rFonts w:ascii="宋体" w:hAnsi="宋体" w:cs="宋体"/>
          <w:b/>
          <w:color w:val="auto"/>
          <w:kern w:val="0"/>
          <w:sz w:val="32"/>
          <w:szCs w:val="32"/>
          <w:highlight w:val="none"/>
        </w:rPr>
      </w:pPr>
    </w:p>
    <w:p w14:paraId="4F124A7A">
      <w:pPr>
        <w:snapToGrid w:val="0"/>
        <w:spacing w:line="360" w:lineRule="auto"/>
        <w:ind w:right="480"/>
        <w:jc w:val="center"/>
        <w:rPr>
          <w:rFonts w:ascii="宋体" w:hAnsi="宋体" w:cs="宋体"/>
          <w:b/>
          <w:color w:val="auto"/>
          <w:kern w:val="0"/>
          <w:sz w:val="32"/>
          <w:szCs w:val="32"/>
          <w:highlight w:val="none"/>
        </w:rPr>
      </w:pPr>
    </w:p>
    <w:p w14:paraId="642D21CD">
      <w:pPr>
        <w:snapToGrid w:val="0"/>
        <w:spacing w:line="360" w:lineRule="auto"/>
        <w:ind w:right="480"/>
        <w:jc w:val="center"/>
        <w:rPr>
          <w:rFonts w:ascii="宋体" w:hAnsi="宋体" w:cs="宋体"/>
          <w:b/>
          <w:color w:val="auto"/>
          <w:kern w:val="0"/>
          <w:sz w:val="32"/>
          <w:szCs w:val="32"/>
          <w:highlight w:val="none"/>
        </w:rPr>
      </w:pPr>
    </w:p>
    <w:p w14:paraId="5AD20208">
      <w:pPr>
        <w:snapToGrid w:val="0"/>
        <w:spacing w:line="360" w:lineRule="auto"/>
        <w:ind w:right="480"/>
        <w:jc w:val="center"/>
        <w:rPr>
          <w:rFonts w:ascii="宋体" w:hAnsi="宋体" w:cs="宋体"/>
          <w:b/>
          <w:color w:val="auto"/>
          <w:kern w:val="0"/>
          <w:sz w:val="32"/>
          <w:szCs w:val="32"/>
          <w:highlight w:val="none"/>
        </w:rPr>
      </w:pPr>
    </w:p>
    <w:p w14:paraId="3B44F74B">
      <w:pPr>
        <w:snapToGrid w:val="0"/>
        <w:spacing w:line="360" w:lineRule="auto"/>
        <w:ind w:right="480"/>
        <w:jc w:val="center"/>
        <w:rPr>
          <w:rFonts w:ascii="宋体" w:hAnsi="宋体" w:cs="宋体"/>
          <w:b/>
          <w:color w:val="auto"/>
          <w:kern w:val="0"/>
          <w:sz w:val="32"/>
          <w:szCs w:val="32"/>
          <w:highlight w:val="none"/>
        </w:rPr>
      </w:pPr>
    </w:p>
    <w:p w14:paraId="0F6A3293">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5" w:h="16838"/>
          <w:pgMar w:top="1417" w:right="1417" w:bottom="1417" w:left="1417" w:header="851" w:footer="850" w:gutter="0"/>
          <w:cols w:space="0" w:num="1"/>
          <w:rtlGutter w:val="0"/>
          <w:docGrid w:linePitch="312" w:charSpace="0"/>
        </w:sectPr>
      </w:pPr>
    </w:p>
    <w:p w14:paraId="6909D9F3">
      <w:pPr>
        <w:snapToGrid w:val="0"/>
        <w:spacing w:line="360" w:lineRule="auto"/>
        <w:jc w:val="center"/>
        <w:outlineLvl w:val="3"/>
        <w:rPr>
          <w:rFonts w:hint="eastAsia" w:ascii="宋体" w:hAnsi="宋体" w:cs="宋体"/>
          <w:b/>
          <w:color w:val="auto"/>
          <w:kern w:val="0"/>
          <w:sz w:val="32"/>
          <w:szCs w:val="32"/>
          <w:highlight w:val="none"/>
        </w:rPr>
      </w:pPr>
      <w:bookmarkStart w:id="634" w:name="_Toc9778"/>
      <w:r>
        <w:rPr>
          <w:rFonts w:hint="eastAsia" w:ascii="宋体" w:hAnsi="宋体" w:cs="宋体"/>
          <w:b/>
          <w:color w:val="auto"/>
          <w:kern w:val="0"/>
          <w:sz w:val="32"/>
          <w:szCs w:val="32"/>
          <w:highlight w:val="none"/>
        </w:rPr>
        <w:t>一、开标一览表（报价表）</w:t>
      </w:r>
      <w:bookmarkEnd w:id="634"/>
    </w:p>
    <w:p w14:paraId="41E70FE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杭州市余杭区融媒体中心（杭州市余杭区广播电视台）、浙江省成套招标代理有限公司</w:t>
      </w:r>
      <w:r>
        <w:rPr>
          <w:rFonts w:hint="eastAsia" w:ascii="宋体" w:hAnsi="宋体" w:cs="宋体"/>
          <w:color w:val="auto"/>
          <w:kern w:val="0"/>
          <w:sz w:val="24"/>
          <w:highlight w:val="none"/>
          <w:lang w:val="zh-CN"/>
        </w:rPr>
        <w:t>：</w:t>
      </w:r>
    </w:p>
    <w:p w14:paraId="279573F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融媒体平台运行服务采购项目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CTZB-2025020163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60804BA">
      <w:pPr>
        <w:snapToGrid w:val="0"/>
        <w:spacing w:line="360" w:lineRule="auto"/>
        <w:jc w:val="center"/>
        <w:rPr>
          <w:rFonts w:ascii="宋体" w:hAnsi="宋体" w:cs="宋体"/>
          <w:b/>
          <w:color w:val="auto"/>
          <w:kern w:val="0"/>
          <w:sz w:val="24"/>
          <w:highlight w:val="none"/>
          <w:lang w:val="zh-CN"/>
        </w:rPr>
      </w:pPr>
      <w:bookmarkStart w:id="635" w:name="_Toc26787"/>
      <w:r>
        <w:rPr>
          <w:rFonts w:hint="eastAsia" w:ascii="宋体" w:hAnsi="宋体" w:cs="宋体"/>
          <w:b/>
          <w:color w:val="auto"/>
          <w:kern w:val="0"/>
          <w:sz w:val="24"/>
          <w:highlight w:val="none"/>
          <w:lang w:val="zh-CN"/>
        </w:rPr>
        <w:t>开标一览表（报价表）(单位均为人民币元)</w:t>
      </w:r>
      <w:bookmarkEnd w:id="635"/>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824"/>
        <w:gridCol w:w="1064"/>
        <w:gridCol w:w="1285"/>
        <w:gridCol w:w="1747"/>
        <w:gridCol w:w="1709"/>
      </w:tblGrid>
      <w:tr w14:paraId="0F2B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5375090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0" w:type="auto"/>
            <w:vAlign w:val="center"/>
          </w:tcPr>
          <w:p w14:paraId="4A1A01A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0" w:type="auto"/>
            <w:vAlign w:val="center"/>
          </w:tcPr>
          <w:p w14:paraId="69559BB5">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服务范围</w:t>
            </w:r>
          </w:p>
        </w:tc>
        <w:tc>
          <w:tcPr>
            <w:tcW w:w="0" w:type="auto"/>
            <w:vAlign w:val="center"/>
          </w:tcPr>
          <w:p w14:paraId="3822C18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数量及</w:t>
            </w:r>
            <w:r>
              <w:rPr>
                <w:rFonts w:hint="eastAsia" w:ascii="宋体" w:hAnsi="宋体" w:eastAsia="宋体" w:cs="宋体"/>
                <w:color w:val="auto"/>
                <w:sz w:val="24"/>
                <w:szCs w:val="24"/>
                <w:highlight w:val="none"/>
              </w:rPr>
              <w:t>单位</w:t>
            </w:r>
          </w:p>
        </w:tc>
        <w:tc>
          <w:tcPr>
            <w:tcW w:w="0" w:type="auto"/>
            <w:vAlign w:val="center"/>
          </w:tcPr>
          <w:p w14:paraId="127ADDE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投标报价（元）</w:t>
            </w:r>
          </w:p>
        </w:tc>
        <w:tc>
          <w:tcPr>
            <w:tcW w:w="0" w:type="auto"/>
            <w:vAlign w:val="center"/>
          </w:tcPr>
          <w:p w14:paraId="2E1A60F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备注（如果有）</w:t>
            </w:r>
          </w:p>
        </w:tc>
      </w:tr>
      <w:tr w14:paraId="4C2A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1502120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0" w:type="auto"/>
            <w:vAlign w:val="center"/>
          </w:tcPr>
          <w:p w14:paraId="5CD02A1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基础服务</w:t>
            </w:r>
          </w:p>
        </w:tc>
        <w:tc>
          <w:tcPr>
            <w:tcW w:w="0" w:type="auto"/>
            <w:vAlign w:val="center"/>
          </w:tcPr>
          <w:p w14:paraId="73A3A9DE">
            <w:pPr>
              <w:jc w:val="center"/>
              <w:rPr>
                <w:rFonts w:hint="eastAsia" w:ascii="宋体" w:hAnsi="宋体" w:eastAsia="宋体" w:cs="宋体"/>
                <w:color w:val="auto"/>
                <w:sz w:val="24"/>
                <w:szCs w:val="24"/>
                <w:highlight w:val="none"/>
              </w:rPr>
            </w:pPr>
          </w:p>
        </w:tc>
        <w:tc>
          <w:tcPr>
            <w:tcW w:w="0" w:type="auto"/>
            <w:vAlign w:val="center"/>
          </w:tcPr>
          <w:p w14:paraId="661D075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1套</w:t>
            </w:r>
          </w:p>
        </w:tc>
        <w:tc>
          <w:tcPr>
            <w:tcW w:w="0" w:type="auto"/>
            <w:vAlign w:val="center"/>
          </w:tcPr>
          <w:p w14:paraId="05E14F63">
            <w:pPr>
              <w:jc w:val="center"/>
              <w:rPr>
                <w:rFonts w:hint="eastAsia" w:ascii="宋体" w:hAnsi="宋体" w:eastAsia="宋体" w:cs="宋体"/>
                <w:color w:val="auto"/>
                <w:sz w:val="24"/>
                <w:szCs w:val="24"/>
                <w:highlight w:val="none"/>
              </w:rPr>
            </w:pPr>
          </w:p>
        </w:tc>
        <w:tc>
          <w:tcPr>
            <w:tcW w:w="0" w:type="auto"/>
            <w:vAlign w:val="center"/>
          </w:tcPr>
          <w:p w14:paraId="7E9FEB9F">
            <w:pPr>
              <w:jc w:val="center"/>
              <w:rPr>
                <w:rFonts w:hint="eastAsia" w:ascii="宋体" w:hAnsi="宋体" w:eastAsia="宋体" w:cs="宋体"/>
                <w:color w:val="auto"/>
                <w:sz w:val="24"/>
                <w:szCs w:val="24"/>
                <w:highlight w:val="none"/>
              </w:rPr>
            </w:pPr>
          </w:p>
        </w:tc>
      </w:tr>
      <w:tr w14:paraId="3DDA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shd w:val="clear" w:color="auto" w:fill="auto"/>
            <w:vAlign w:val="center"/>
          </w:tcPr>
          <w:p w14:paraId="7B9FB426">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0" w:type="auto"/>
            <w:vAlign w:val="center"/>
          </w:tcPr>
          <w:p w14:paraId="1F7FA58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融合采编</w:t>
            </w:r>
          </w:p>
        </w:tc>
        <w:tc>
          <w:tcPr>
            <w:tcW w:w="0" w:type="auto"/>
            <w:vAlign w:val="center"/>
          </w:tcPr>
          <w:p w14:paraId="3D88DBD1">
            <w:pPr>
              <w:jc w:val="center"/>
              <w:rPr>
                <w:rFonts w:hint="eastAsia" w:ascii="宋体" w:hAnsi="宋体" w:eastAsia="宋体" w:cs="宋体"/>
                <w:color w:val="auto"/>
                <w:sz w:val="24"/>
                <w:szCs w:val="24"/>
                <w:highlight w:val="none"/>
              </w:rPr>
            </w:pPr>
          </w:p>
        </w:tc>
        <w:tc>
          <w:tcPr>
            <w:tcW w:w="0" w:type="auto"/>
            <w:shd w:val="clear" w:color="auto" w:fill="auto"/>
            <w:vAlign w:val="center"/>
          </w:tcPr>
          <w:p w14:paraId="19CA056A">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1套</w:t>
            </w:r>
          </w:p>
        </w:tc>
        <w:tc>
          <w:tcPr>
            <w:tcW w:w="0" w:type="auto"/>
            <w:vAlign w:val="center"/>
          </w:tcPr>
          <w:p w14:paraId="74BE9B39">
            <w:pPr>
              <w:jc w:val="center"/>
              <w:rPr>
                <w:rFonts w:hint="eastAsia" w:ascii="宋体" w:hAnsi="宋体" w:eastAsia="宋体" w:cs="宋体"/>
                <w:color w:val="auto"/>
                <w:sz w:val="24"/>
                <w:szCs w:val="24"/>
                <w:highlight w:val="none"/>
              </w:rPr>
            </w:pPr>
          </w:p>
        </w:tc>
        <w:tc>
          <w:tcPr>
            <w:tcW w:w="0" w:type="auto"/>
            <w:vAlign w:val="center"/>
          </w:tcPr>
          <w:p w14:paraId="07132C6E">
            <w:pPr>
              <w:jc w:val="center"/>
              <w:rPr>
                <w:rFonts w:hint="eastAsia" w:ascii="宋体" w:hAnsi="宋体" w:eastAsia="宋体" w:cs="宋体"/>
                <w:color w:val="auto"/>
                <w:sz w:val="24"/>
                <w:szCs w:val="24"/>
                <w:highlight w:val="none"/>
              </w:rPr>
            </w:pPr>
          </w:p>
        </w:tc>
      </w:tr>
      <w:tr w14:paraId="5637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shd w:val="clear" w:color="auto" w:fill="auto"/>
            <w:vAlign w:val="center"/>
          </w:tcPr>
          <w:p w14:paraId="7EECB2F8">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0" w:type="auto"/>
            <w:vAlign w:val="center"/>
          </w:tcPr>
          <w:p w14:paraId="3773F9E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智慧资源</w:t>
            </w:r>
          </w:p>
        </w:tc>
        <w:tc>
          <w:tcPr>
            <w:tcW w:w="0" w:type="auto"/>
            <w:vAlign w:val="center"/>
          </w:tcPr>
          <w:p w14:paraId="06F53D4C">
            <w:pPr>
              <w:jc w:val="center"/>
              <w:rPr>
                <w:rFonts w:hint="eastAsia" w:ascii="宋体" w:hAnsi="宋体" w:eastAsia="宋体" w:cs="宋体"/>
                <w:color w:val="auto"/>
                <w:sz w:val="24"/>
                <w:szCs w:val="24"/>
                <w:highlight w:val="none"/>
              </w:rPr>
            </w:pPr>
          </w:p>
        </w:tc>
        <w:tc>
          <w:tcPr>
            <w:tcW w:w="0" w:type="auto"/>
            <w:vAlign w:val="center"/>
          </w:tcPr>
          <w:p w14:paraId="1976DD6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1套</w:t>
            </w:r>
          </w:p>
        </w:tc>
        <w:tc>
          <w:tcPr>
            <w:tcW w:w="0" w:type="auto"/>
            <w:vAlign w:val="center"/>
          </w:tcPr>
          <w:p w14:paraId="3C9EBEEF">
            <w:pPr>
              <w:jc w:val="center"/>
              <w:rPr>
                <w:rFonts w:hint="eastAsia" w:ascii="宋体" w:hAnsi="宋体" w:eastAsia="宋体" w:cs="宋体"/>
                <w:color w:val="auto"/>
                <w:sz w:val="24"/>
                <w:szCs w:val="24"/>
                <w:highlight w:val="none"/>
              </w:rPr>
            </w:pPr>
          </w:p>
        </w:tc>
        <w:tc>
          <w:tcPr>
            <w:tcW w:w="0" w:type="auto"/>
            <w:vAlign w:val="center"/>
          </w:tcPr>
          <w:p w14:paraId="57B71CB5">
            <w:pPr>
              <w:jc w:val="center"/>
              <w:rPr>
                <w:rFonts w:hint="eastAsia" w:ascii="宋体" w:hAnsi="宋体" w:eastAsia="宋体" w:cs="宋体"/>
                <w:color w:val="auto"/>
                <w:sz w:val="24"/>
                <w:szCs w:val="24"/>
                <w:highlight w:val="none"/>
              </w:rPr>
            </w:pPr>
          </w:p>
        </w:tc>
      </w:tr>
      <w:tr w14:paraId="5AD5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24C3225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0" w:type="auto"/>
            <w:vAlign w:val="center"/>
          </w:tcPr>
          <w:p w14:paraId="38104F8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电视文稿</w:t>
            </w:r>
          </w:p>
        </w:tc>
        <w:tc>
          <w:tcPr>
            <w:tcW w:w="0" w:type="auto"/>
            <w:vAlign w:val="center"/>
          </w:tcPr>
          <w:p w14:paraId="1EFB61DF">
            <w:pPr>
              <w:jc w:val="center"/>
              <w:rPr>
                <w:rFonts w:hint="eastAsia" w:ascii="宋体" w:hAnsi="宋体" w:eastAsia="宋体" w:cs="宋体"/>
                <w:color w:val="auto"/>
                <w:sz w:val="24"/>
                <w:szCs w:val="24"/>
                <w:highlight w:val="none"/>
              </w:rPr>
            </w:pPr>
          </w:p>
        </w:tc>
        <w:tc>
          <w:tcPr>
            <w:tcW w:w="0" w:type="auto"/>
            <w:vAlign w:val="center"/>
          </w:tcPr>
          <w:p w14:paraId="27ECDA7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1套</w:t>
            </w:r>
          </w:p>
        </w:tc>
        <w:tc>
          <w:tcPr>
            <w:tcW w:w="0" w:type="auto"/>
            <w:vAlign w:val="center"/>
          </w:tcPr>
          <w:p w14:paraId="4D5EB150">
            <w:pPr>
              <w:jc w:val="center"/>
              <w:rPr>
                <w:rFonts w:hint="eastAsia" w:ascii="宋体" w:hAnsi="宋体" w:eastAsia="宋体" w:cs="宋体"/>
                <w:color w:val="auto"/>
                <w:sz w:val="24"/>
                <w:szCs w:val="24"/>
                <w:highlight w:val="none"/>
              </w:rPr>
            </w:pPr>
          </w:p>
        </w:tc>
        <w:tc>
          <w:tcPr>
            <w:tcW w:w="0" w:type="auto"/>
            <w:vAlign w:val="center"/>
          </w:tcPr>
          <w:p w14:paraId="659DC2D9">
            <w:pPr>
              <w:jc w:val="center"/>
              <w:rPr>
                <w:rFonts w:hint="eastAsia" w:ascii="宋体" w:hAnsi="宋体" w:eastAsia="宋体" w:cs="宋体"/>
                <w:color w:val="auto"/>
                <w:sz w:val="24"/>
                <w:szCs w:val="24"/>
                <w:highlight w:val="none"/>
              </w:rPr>
            </w:pPr>
          </w:p>
        </w:tc>
      </w:tr>
      <w:tr w14:paraId="3AFC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0D8228B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0" w:type="auto"/>
            <w:vAlign w:val="center"/>
          </w:tcPr>
          <w:p w14:paraId="1884EFE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指挥监测服务-驾驶舱大屏</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（次年技术服务）</w:t>
            </w:r>
          </w:p>
        </w:tc>
        <w:tc>
          <w:tcPr>
            <w:tcW w:w="0" w:type="auto"/>
            <w:vAlign w:val="center"/>
          </w:tcPr>
          <w:p w14:paraId="310C8B55">
            <w:pPr>
              <w:jc w:val="center"/>
              <w:rPr>
                <w:rFonts w:hint="eastAsia" w:ascii="宋体" w:hAnsi="宋体" w:eastAsia="宋体" w:cs="宋体"/>
                <w:color w:val="auto"/>
                <w:sz w:val="24"/>
                <w:szCs w:val="24"/>
                <w:highlight w:val="none"/>
              </w:rPr>
            </w:pPr>
          </w:p>
        </w:tc>
        <w:tc>
          <w:tcPr>
            <w:tcW w:w="0" w:type="auto"/>
            <w:vAlign w:val="center"/>
          </w:tcPr>
          <w:p w14:paraId="55D65B2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1套</w:t>
            </w:r>
          </w:p>
        </w:tc>
        <w:tc>
          <w:tcPr>
            <w:tcW w:w="0" w:type="auto"/>
            <w:vAlign w:val="center"/>
          </w:tcPr>
          <w:p w14:paraId="66185CC4">
            <w:pPr>
              <w:jc w:val="center"/>
              <w:rPr>
                <w:rFonts w:hint="eastAsia" w:ascii="宋体" w:hAnsi="宋体" w:eastAsia="宋体" w:cs="宋体"/>
                <w:color w:val="auto"/>
                <w:sz w:val="24"/>
                <w:szCs w:val="24"/>
                <w:highlight w:val="none"/>
              </w:rPr>
            </w:pPr>
          </w:p>
        </w:tc>
        <w:tc>
          <w:tcPr>
            <w:tcW w:w="0" w:type="auto"/>
            <w:vAlign w:val="center"/>
          </w:tcPr>
          <w:p w14:paraId="74DA5F2F">
            <w:pPr>
              <w:jc w:val="center"/>
              <w:rPr>
                <w:rFonts w:hint="eastAsia" w:ascii="宋体" w:hAnsi="宋体" w:eastAsia="宋体" w:cs="宋体"/>
                <w:color w:val="auto"/>
                <w:sz w:val="24"/>
                <w:szCs w:val="24"/>
                <w:highlight w:val="none"/>
              </w:rPr>
            </w:pPr>
          </w:p>
        </w:tc>
      </w:tr>
      <w:tr w14:paraId="64BB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62BFC19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0" w:type="auto"/>
            <w:vAlign w:val="center"/>
          </w:tcPr>
          <w:p w14:paraId="3E1A55A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指挥监测服务-微融站定制屏</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（次年技术服务）</w:t>
            </w:r>
          </w:p>
        </w:tc>
        <w:tc>
          <w:tcPr>
            <w:tcW w:w="0" w:type="auto"/>
            <w:vAlign w:val="center"/>
          </w:tcPr>
          <w:p w14:paraId="17FE7F31">
            <w:pPr>
              <w:jc w:val="center"/>
              <w:rPr>
                <w:rFonts w:hint="eastAsia" w:ascii="宋体" w:hAnsi="宋体" w:eastAsia="宋体" w:cs="宋体"/>
                <w:color w:val="auto"/>
                <w:sz w:val="24"/>
                <w:szCs w:val="24"/>
                <w:highlight w:val="none"/>
              </w:rPr>
            </w:pPr>
          </w:p>
        </w:tc>
        <w:tc>
          <w:tcPr>
            <w:tcW w:w="0" w:type="auto"/>
            <w:vAlign w:val="center"/>
          </w:tcPr>
          <w:p w14:paraId="48D37FE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1套</w:t>
            </w:r>
          </w:p>
        </w:tc>
        <w:tc>
          <w:tcPr>
            <w:tcW w:w="0" w:type="auto"/>
            <w:vAlign w:val="center"/>
          </w:tcPr>
          <w:p w14:paraId="51C92CB5">
            <w:pPr>
              <w:jc w:val="center"/>
              <w:rPr>
                <w:rFonts w:hint="eastAsia" w:ascii="宋体" w:hAnsi="宋体" w:eastAsia="宋体" w:cs="宋体"/>
                <w:color w:val="auto"/>
                <w:sz w:val="24"/>
                <w:szCs w:val="24"/>
                <w:highlight w:val="none"/>
              </w:rPr>
            </w:pPr>
          </w:p>
        </w:tc>
        <w:tc>
          <w:tcPr>
            <w:tcW w:w="0" w:type="auto"/>
            <w:vAlign w:val="center"/>
          </w:tcPr>
          <w:p w14:paraId="1235CDD0">
            <w:pPr>
              <w:jc w:val="center"/>
              <w:rPr>
                <w:rFonts w:hint="eastAsia" w:ascii="宋体" w:hAnsi="宋体" w:eastAsia="宋体" w:cs="宋体"/>
                <w:color w:val="auto"/>
                <w:sz w:val="24"/>
                <w:szCs w:val="24"/>
                <w:highlight w:val="none"/>
              </w:rPr>
            </w:pPr>
          </w:p>
        </w:tc>
      </w:tr>
      <w:tr w14:paraId="076B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4D617E3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0" w:type="auto"/>
            <w:vAlign w:val="center"/>
          </w:tcPr>
          <w:p w14:paraId="6BCC36E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传播引导工具</w:t>
            </w:r>
          </w:p>
        </w:tc>
        <w:tc>
          <w:tcPr>
            <w:tcW w:w="0" w:type="auto"/>
            <w:vAlign w:val="center"/>
          </w:tcPr>
          <w:p w14:paraId="0DA382C0">
            <w:pPr>
              <w:jc w:val="center"/>
              <w:rPr>
                <w:rFonts w:hint="eastAsia" w:ascii="宋体" w:hAnsi="宋体" w:eastAsia="宋体" w:cs="宋体"/>
                <w:color w:val="auto"/>
                <w:sz w:val="24"/>
                <w:szCs w:val="24"/>
                <w:highlight w:val="none"/>
              </w:rPr>
            </w:pPr>
          </w:p>
        </w:tc>
        <w:tc>
          <w:tcPr>
            <w:tcW w:w="0" w:type="auto"/>
            <w:vAlign w:val="center"/>
          </w:tcPr>
          <w:p w14:paraId="05F0FB4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1套</w:t>
            </w:r>
          </w:p>
        </w:tc>
        <w:tc>
          <w:tcPr>
            <w:tcW w:w="0" w:type="auto"/>
            <w:vAlign w:val="center"/>
          </w:tcPr>
          <w:p w14:paraId="412AAD6B">
            <w:pPr>
              <w:jc w:val="center"/>
              <w:rPr>
                <w:rFonts w:hint="eastAsia" w:ascii="宋体" w:hAnsi="宋体" w:eastAsia="宋体" w:cs="宋体"/>
                <w:color w:val="auto"/>
                <w:sz w:val="24"/>
                <w:szCs w:val="24"/>
                <w:highlight w:val="none"/>
              </w:rPr>
            </w:pPr>
          </w:p>
        </w:tc>
        <w:tc>
          <w:tcPr>
            <w:tcW w:w="0" w:type="auto"/>
            <w:vAlign w:val="center"/>
          </w:tcPr>
          <w:p w14:paraId="129C7A7D">
            <w:pPr>
              <w:jc w:val="center"/>
              <w:rPr>
                <w:rFonts w:hint="eastAsia" w:ascii="宋体" w:hAnsi="宋体" w:eastAsia="宋体" w:cs="宋体"/>
                <w:color w:val="auto"/>
                <w:sz w:val="24"/>
                <w:szCs w:val="24"/>
                <w:highlight w:val="none"/>
              </w:rPr>
            </w:pPr>
          </w:p>
        </w:tc>
      </w:tr>
      <w:tr w14:paraId="40AC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5FA800C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0" w:type="auto"/>
            <w:vAlign w:val="center"/>
          </w:tcPr>
          <w:p w14:paraId="795F228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纸媒采编</w:t>
            </w:r>
          </w:p>
        </w:tc>
        <w:tc>
          <w:tcPr>
            <w:tcW w:w="0" w:type="auto"/>
            <w:vAlign w:val="center"/>
          </w:tcPr>
          <w:p w14:paraId="2B81D629">
            <w:pPr>
              <w:jc w:val="center"/>
              <w:rPr>
                <w:rFonts w:hint="eastAsia" w:ascii="宋体" w:hAnsi="宋体" w:eastAsia="宋体" w:cs="宋体"/>
                <w:color w:val="auto"/>
                <w:sz w:val="24"/>
                <w:szCs w:val="24"/>
                <w:highlight w:val="none"/>
              </w:rPr>
            </w:pPr>
          </w:p>
        </w:tc>
        <w:tc>
          <w:tcPr>
            <w:tcW w:w="0" w:type="auto"/>
            <w:vAlign w:val="center"/>
          </w:tcPr>
          <w:p w14:paraId="411329E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1套</w:t>
            </w:r>
          </w:p>
        </w:tc>
        <w:tc>
          <w:tcPr>
            <w:tcW w:w="0" w:type="auto"/>
            <w:vAlign w:val="center"/>
          </w:tcPr>
          <w:p w14:paraId="1AD4EC6E">
            <w:pPr>
              <w:jc w:val="center"/>
              <w:rPr>
                <w:rFonts w:hint="eastAsia" w:ascii="宋体" w:hAnsi="宋体" w:eastAsia="宋体" w:cs="宋体"/>
                <w:color w:val="auto"/>
                <w:sz w:val="24"/>
                <w:szCs w:val="24"/>
                <w:highlight w:val="none"/>
              </w:rPr>
            </w:pPr>
          </w:p>
        </w:tc>
        <w:tc>
          <w:tcPr>
            <w:tcW w:w="0" w:type="auto"/>
            <w:vAlign w:val="center"/>
          </w:tcPr>
          <w:p w14:paraId="41017DF2">
            <w:pPr>
              <w:jc w:val="center"/>
              <w:rPr>
                <w:rFonts w:hint="eastAsia" w:ascii="宋体" w:hAnsi="宋体" w:eastAsia="宋体" w:cs="宋体"/>
                <w:color w:val="auto"/>
                <w:sz w:val="24"/>
                <w:szCs w:val="24"/>
                <w:highlight w:val="none"/>
              </w:rPr>
            </w:pPr>
          </w:p>
        </w:tc>
      </w:tr>
      <w:tr w14:paraId="7959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36C88D6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0" w:type="auto"/>
            <w:vAlign w:val="center"/>
          </w:tcPr>
          <w:p w14:paraId="4F0D123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新媒体字库</w:t>
            </w:r>
          </w:p>
        </w:tc>
        <w:tc>
          <w:tcPr>
            <w:tcW w:w="0" w:type="auto"/>
            <w:vAlign w:val="center"/>
          </w:tcPr>
          <w:p w14:paraId="2F1CAC2A">
            <w:pPr>
              <w:jc w:val="center"/>
              <w:rPr>
                <w:rFonts w:hint="eastAsia" w:ascii="宋体" w:hAnsi="宋体" w:eastAsia="宋体" w:cs="宋体"/>
                <w:color w:val="auto"/>
                <w:sz w:val="24"/>
                <w:szCs w:val="24"/>
                <w:highlight w:val="none"/>
              </w:rPr>
            </w:pPr>
          </w:p>
        </w:tc>
        <w:tc>
          <w:tcPr>
            <w:tcW w:w="0" w:type="auto"/>
            <w:vAlign w:val="center"/>
          </w:tcPr>
          <w:p w14:paraId="5AA0440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1套</w:t>
            </w:r>
          </w:p>
        </w:tc>
        <w:tc>
          <w:tcPr>
            <w:tcW w:w="0" w:type="auto"/>
            <w:vAlign w:val="center"/>
          </w:tcPr>
          <w:p w14:paraId="2E650218">
            <w:pPr>
              <w:jc w:val="center"/>
              <w:rPr>
                <w:rFonts w:hint="eastAsia" w:ascii="宋体" w:hAnsi="宋体" w:eastAsia="宋体" w:cs="宋体"/>
                <w:color w:val="auto"/>
                <w:sz w:val="24"/>
                <w:szCs w:val="24"/>
                <w:highlight w:val="none"/>
              </w:rPr>
            </w:pPr>
          </w:p>
        </w:tc>
        <w:tc>
          <w:tcPr>
            <w:tcW w:w="0" w:type="auto"/>
            <w:vAlign w:val="center"/>
          </w:tcPr>
          <w:p w14:paraId="5603EF8D">
            <w:pPr>
              <w:jc w:val="center"/>
              <w:rPr>
                <w:rFonts w:hint="eastAsia" w:ascii="宋体" w:hAnsi="宋体" w:eastAsia="宋体" w:cs="宋体"/>
                <w:color w:val="auto"/>
                <w:sz w:val="24"/>
                <w:szCs w:val="24"/>
                <w:highlight w:val="none"/>
              </w:rPr>
            </w:pPr>
          </w:p>
        </w:tc>
      </w:tr>
      <w:tr w14:paraId="4D00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6B4F78D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0" w:type="auto"/>
            <w:vAlign w:val="center"/>
          </w:tcPr>
          <w:p w14:paraId="3B80ADF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流量存储</w:t>
            </w:r>
          </w:p>
        </w:tc>
        <w:tc>
          <w:tcPr>
            <w:tcW w:w="0" w:type="auto"/>
            <w:vAlign w:val="center"/>
          </w:tcPr>
          <w:p w14:paraId="22178B9F">
            <w:pPr>
              <w:jc w:val="center"/>
              <w:rPr>
                <w:rFonts w:hint="eastAsia" w:ascii="宋体" w:hAnsi="宋体" w:eastAsia="宋体" w:cs="宋体"/>
                <w:color w:val="auto"/>
                <w:sz w:val="24"/>
                <w:szCs w:val="24"/>
                <w:highlight w:val="none"/>
              </w:rPr>
            </w:pPr>
          </w:p>
        </w:tc>
        <w:tc>
          <w:tcPr>
            <w:tcW w:w="0" w:type="auto"/>
            <w:vAlign w:val="center"/>
          </w:tcPr>
          <w:p w14:paraId="0A47630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预充值</w:t>
            </w:r>
          </w:p>
        </w:tc>
        <w:tc>
          <w:tcPr>
            <w:tcW w:w="0" w:type="auto"/>
            <w:vAlign w:val="center"/>
          </w:tcPr>
          <w:p w14:paraId="7F26456F">
            <w:pPr>
              <w:jc w:val="center"/>
              <w:rPr>
                <w:rFonts w:hint="eastAsia" w:ascii="宋体" w:hAnsi="宋体" w:eastAsia="宋体" w:cs="宋体"/>
                <w:color w:val="auto"/>
                <w:sz w:val="24"/>
                <w:szCs w:val="24"/>
                <w:highlight w:val="none"/>
              </w:rPr>
            </w:pPr>
          </w:p>
        </w:tc>
        <w:tc>
          <w:tcPr>
            <w:tcW w:w="0" w:type="auto"/>
            <w:vAlign w:val="center"/>
          </w:tcPr>
          <w:p w14:paraId="78D0288F">
            <w:pPr>
              <w:jc w:val="center"/>
              <w:rPr>
                <w:rFonts w:hint="eastAsia" w:ascii="宋体" w:hAnsi="宋体" w:eastAsia="宋体" w:cs="宋体"/>
                <w:color w:val="auto"/>
                <w:sz w:val="24"/>
                <w:szCs w:val="24"/>
                <w:highlight w:val="none"/>
              </w:rPr>
            </w:pPr>
          </w:p>
        </w:tc>
      </w:tr>
      <w:tr w14:paraId="7FB7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599FDC2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0" w:type="auto"/>
            <w:vAlign w:val="center"/>
          </w:tcPr>
          <w:p w14:paraId="7CA8F42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融媒体中心系统维护服务</w:t>
            </w:r>
          </w:p>
        </w:tc>
        <w:tc>
          <w:tcPr>
            <w:tcW w:w="0" w:type="auto"/>
            <w:vAlign w:val="center"/>
          </w:tcPr>
          <w:p w14:paraId="55C5DB5B">
            <w:pPr>
              <w:jc w:val="center"/>
              <w:rPr>
                <w:rFonts w:hint="eastAsia" w:ascii="宋体" w:hAnsi="宋体" w:eastAsia="宋体" w:cs="宋体"/>
                <w:color w:val="auto"/>
                <w:sz w:val="24"/>
                <w:szCs w:val="24"/>
                <w:highlight w:val="none"/>
              </w:rPr>
            </w:pPr>
          </w:p>
        </w:tc>
        <w:tc>
          <w:tcPr>
            <w:tcW w:w="0" w:type="auto"/>
            <w:vAlign w:val="center"/>
          </w:tcPr>
          <w:p w14:paraId="43EC7CD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1套</w:t>
            </w:r>
          </w:p>
        </w:tc>
        <w:tc>
          <w:tcPr>
            <w:tcW w:w="0" w:type="auto"/>
            <w:vAlign w:val="center"/>
          </w:tcPr>
          <w:p w14:paraId="739A2FB2">
            <w:pPr>
              <w:jc w:val="center"/>
              <w:rPr>
                <w:rFonts w:hint="eastAsia" w:ascii="宋体" w:hAnsi="宋体" w:eastAsia="宋体" w:cs="宋体"/>
                <w:color w:val="auto"/>
                <w:sz w:val="24"/>
                <w:szCs w:val="24"/>
                <w:highlight w:val="none"/>
              </w:rPr>
            </w:pPr>
          </w:p>
        </w:tc>
        <w:tc>
          <w:tcPr>
            <w:tcW w:w="0" w:type="auto"/>
            <w:vAlign w:val="center"/>
          </w:tcPr>
          <w:p w14:paraId="47DAE488">
            <w:pPr>
              <w:jc w:val="center"/>
              <w:rPr>
                <w:rFonts w:hint="eastAsia" w:ascii="宋体" w:hAnsi="宋体" w:eastAsia="宋体" w:cs="宋体"/>
                <w:color w:val="auto"/>
                <w:sz w:val="24"/>
                <w:szCs w:val="24"/>
                <w:highlight w:val="none"/>
              </w:rPr>
            </w:pPr>
          </w:p>
        </w:tc>
      </w:tr>
      <w:tr w14:paraId="1963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67C4181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0" w:type="auto"/>
            <w:vAlign w:val="center"/>
          </w:tcPr>
          <w:p w14:paraId="792D1FE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广电业务管理底座</w:t>
            </w:r>
          </w:p>
        </w:tc>
        <w:tc>
          <w:tcPr>
            <w:tcW w:w="0" w:type="auto"/>
            <w:vAlign w:val="center"/>
          </w:tcPr>
          <w:p w14:paraId="4A4BA596">
            <w:pPr>
              <w:jc w:val="center"/>
              <w:rPr>
                <w:rFonts w:hint="eastAsia" w:ascii="宋体" w:hAnsi="宋体" w:eastAsia="宋体" w:cs="宋体"/>
                <w:color w:val="auto"/>
                <w:sz w:val="24"/>
                <w:szCs w:val="24"/>
                <w:highlight w:val="none"/>
              </w:rPr>
            </w:pPr>
          </w:p>
        </w:tc>
        <w:tc>
          <w:tcPr>
            <w:tcW w:w="0" w:type="auto"/>
            <w:vAlign w:val="center"/>
          </w:tcPr>
          <w:p w14:paraId="67D13C1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1套</w:t>
            </w:r>
          </w:p>
        </w:tc>
        <w:tc>
          <w:tcPr>
            <w:tcW w:w="0" w:type="auto"/>
            <w:vAlign w:val="center"/>
          </w:tcPr>
          <w:p w14:paraId="4DCB4FE5">
            <w:pPr>
              <w:jc w:val="center"/>
              <w:rPr>
                <w:rFonts w:hint="eastAsia" w:ascii="宋体" w:hAnsi="宋体" w:eastAsia="宋体" w:cs="宋体"/>
                <w:color w:val="auto"/>
                <w:sz w:val="24"/>
                <w:szCs w:val="24"/>
                <w:highlight w:val="none"/>
              </w:rPr>
            </w:pPr>
          </w:p>
        </w:tc>
        <w:tc>
          <w:tcPr>
            <w:tcW w:w="0" w:type="auto"/>
            <w:vAlign w:val="center"/>
          </w:tcPr>
          <w:p w14:paraId="1E4D23EE">
            <w:pPr>
              <w:jc w:val="center"/>
              <w:rPr>
                <w:rFonts w:hint="eastAsia" w:ascii="宋体" w:hAnsi="宋体" w:eastAsia="宋体" w:cs="宋体"/>
                <w:color w:val="auto"/>
                <w:sz w:val="24"/>
                <w:szCs w:val="24"/>
                <w:highlight w:val="none"/>
              </w:rPr>
            </w:pPr>
          </w:p>
        </w:tc>
      </w:tr>
      <w:tr w14:paraId="13A6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64C5220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0" w:type="auto"/>
            <w:vAlign w:val="center"/>
          </w:tcPr>
          <w:p w14:paraId="74CC74F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广电业务生产底座</w:t>
            </w:r>
          </w:p>
        </w:tc>
        <w:tc>
          <w:tcPr>
            <w:tcW w:w="0" w:type="auto"/>
            <w:vAlign w:val="center"/>
          </w:tcPr>
          <w:p w14:paraId="5A8F3934">
            <w:pPr>
              <w:jc w:val="center"/>
              <w:rPr>
                <w:rFonts w:hint="eastAsia" w:ascii="宋体" w:hAnsi="宋体" w:eastAsia="宋体" w:cs="宋体"/>
                <w:color w:val="auto"/>
                <w:sz w:val="24"/>
                <w:szCs w:val="24"/>
                <w:highlight w:val="none"/>
              </w:rPr>
            </w:pPr>
          </w:p>
        </w:tc>
        <w:tc>
          <w:tcPr>
            <w:tcW w:w="0" w:type="auto"/>
            <w:vAlign w:val="center"/>
          </w:tcPr>
          <w:p w14:paraId="2F36A60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1套</w:t>
            </w:r>
          </w:p>
        </w:tc>
        <w:tc>
          <w:tcPr>
            <w:tcW w:w="0" w:type="auto"/>
            <w:vAlign w:val="center"/>
          </w:tcPr>
          <w:p w14:paraId="421650FF">
            <w:pPr>
              <w:jc w:val="center"/>
              <w:rPr>
                <w:rFonts w:hint="eastAsia" w:ascii="宋体" w:hAnsi="宋体" w:eastAsia="宋体" w:cs="宋体"/>
                <w:color w:val="auto"/>
                <w:sz w:val="24"/>
                <w:szCs w:val="24"/>
                <w:highlight w:val="none"/>
              </w:rPr>
            </w:pPr>
          </w:p>
        </w:tc>
        <w:tc>
          <w:tcPr>
            <w:tcW w:w="0" w:type="auto"/>
            <w:vAlign w:val="center"/>
          </w:tcPr>
          <w:p w14:paraId="14B380EE">
            <w:pPr>
              <w:jc w:val="center"/>
              <w:rPr>
                <w:rFonts w:hint="eastAsia" w:ascii="宋体" w:hAnsi="宋体" w:eastAsia="宋体" w:cs="宋体"/>
                <w:color w:val="auto"/>
                <w:sz w:val="24"/>
                <w:szCs w:val="24"/>
                <w:highlight w:val="none"/>
              </w:rPr>
            </w:pPr>
          </w:p>
        </w:tc>
      </w:tr>
      <w:tr w14:paraId="7B18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7EAD518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0" w:type="auto"/>
            <w:vAlign w:val="center"/>
          </w:tcPr>
          <w:p w14:paraId="21CDC14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VPN账号</w:t>
            </w:r>
          </w:p>
        </w:tc>
        <w:tc>
          <w:tcPr>
            <w:tcW w:w="0" w:type="auto"/>
            <w:vAlign w:val="center"/>
          </w:tcPr>
          <w:p w14:paraId="3781FD5C">
            <w:pPr>
              <w:jc w:val="center"/>
              <w:rPr>
                <w:rFonts w:hint="eastAsia" w:ascii="宋体" w:hAnsi="宋体" w:eastAsia="宋体" w:cs="宋体"/>
                <w:color w:val="auto"/>
                <w:sz w:val="24"/>
                <w:szCs w:val="24"/>
                <w:highlight w:val="none"/>
              </w:rPr>
            </w:pPr>
          </w:p>
        </w:tc>
        <w:tc>
          <w:tcPr>
            <w:tcW w:w="0" w:type="auto"/>
            <w:vAlign w:val="center"/>
          </w:tcPr>
          <w:p w14:paraId="6838592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1套</w:t>
            </w:r>
          </w:p>
        </w:tc>
        <w:tc>
          <w:tcPr>
            <w:tcW w:w="0" w:type="auto"/>
            <w:vAlign w:val="center"/>
          </w:tcPr>
          <w:p w14:paraId="5E753623">
            <w:pPr>
              <w:jc w:val="center"/>
              <w:rPr>
                <w:rFonts w:hint="eastAsia" w:ascii="宋体" w:hAnsi="宋体" w:eastAsia="宋体" w:cs="宋体"/>
                <w:color w:val="auto"/>
                <w:sz w:val="24"/>
                <w:szCs w:val="24"/>
                <w:highlight w:val="none"/>
              </w:rPr>
            </w:pPr>
          </w:p>
        </w:tc>
        <w:tc>
          <w:tcPr>
            <w:tcW w:w="0" w:type="auto"/>
            <w:vAlign w:val="center"/>
          </w:tcPr>
          <w:p w14:paraId="23F6EA2C">
            <w:pPr>
              <w:jc w:val="center"/>
              <w:rPr>
                <w:rFonts w:hint="eastAsia" w:ascii="宋体" w:hAnsi="宋体" w:eastAsia="宋体" w:cs="宋体"/>
                <w:color w:val="auto"/>
                <w:sz w:val="24"/>
                <w:szCs w:val="24"/>
                <w:highlight w:val="none"/>
              </w:rPr>
            </w:pPr>
          </w:p>
        </w:tc>
      </w:tr>
      <w:tr w14:paraId="5E79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15A1E4B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0" w:type="auto"/>
            <w:vAlign w:val="center"/>
          </w:tcPr>
          <w:p w14:paraId="6FE6D66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接入省广电主干网所需专线</w:t>
            </w:r>
          </w:p>
        </w:tc>
        <w:tc>
          <w:tcPr>
            <w:tcW w:w="0" w:type="auto"/>
            <w:vAlign w:val="center"/>
          </w:tcPr>
          <w:p w14:paraId="598F1E62">
            <w:pPr>
              <w:jc w:val="center"/>
              <w:rPr>
                <w:rFonts w:hint="eastAsia" w:ascii="宋体" w:hAnsi="宋体" w:eastAsia="宋体" w:cs="宋体"/>
                <w:color w:val="auto"/>
                <w:sz w:val="24"/>
                <w:szCs w:val="24"/>
                <w:highlight w:val="none"/>
              </w:rPr>
            </w:pPr>
          </w:p>
        </w:tc>
        <w:tc>
          <w:tcPr>
            <w:tcW w:w="0" w:type="auto"/>
            <w:vAlign w:val="center"/>
          </w:tcPr>
          <w:p w14:paraId="47D12E9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1套</w:t>
            </w:r>
          </w:p>
        </w:tc>
        <w:tc>
          <w:tcPr>
            <w:tcW w:w="0" w:type="auto"/>
            <w:vAlign w:val="center"/>
          </w:tcPr>
          <w:p w14:paraId="2F242E60">
            <w:pPr>
              <w:jc w:val="center"/>
              <w:rPr>
                <w:rFonts w:hint="eastAsia" w:ascii="宋体" w:hAnsi="宋体" w:eastAsia="宋体" w:cs="宋体"/>
                <w:color w:val="auto"/>
                <w:sz w:val="24"/>
                <w:szCs w:val="24"/>
                <w:highlight w:val="none"/>
              </w:rPr>
            </w:pPr>
          </w:p>
        </w:tc>
        <w:tc>
          <w:tcPr>
            <w:tcW w:w="0" w:type="auto"/>
            <w:vAlign w:val="center"/>
          </w:tcPr>
          <w:p w14:paraId="2D5F253D">
            <w:pPr>
              <w:jc w:val="center"/>
              <w:rPr>
                <w:rFonts w:hint="eastAsia" w:ascii="宋体" w:hAnsi="宋体" w:eastAsia="宋体" w:cs="宋体"/>
                <w:color w:val="auto"/>
                <w:sz w:val="24"/>
                <w:szCs w:val="24"/>
                <w:highlight w:val="none"/>
              </w:rPr>
            </w:pPr>
          </w:p>
        </w:tc>
      </w:tr>
      <w:tr w14:paraId="0BFC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713B1FB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0" w:type="auto"/>
            <w:vAlign w:val="center"/>
          </w:tcPr>
          <w:p w14:paraId="0E6E521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广播电视节目通联</w:t>
            </w:r>
          </w:p>
        </w:tc>
        <w:tc>
          <w:tcPr>
            <w:tcW w:w="0" w:type="auto"/>
            <w:vAlign w:val="center"/>
          </w:tcPr>
          <w:p w14:paraId="2E572B0F">
            <w:pPr>
              <w:jc w:val="center"/>
              <w:rPr>
                <w:rFonts w:hint="eastAsia" w:ascii="宋体" w:hAnsi="宋体" w:eastAsia="宋体" w:cs="宋体"/>
                <w:color w:val="auto"/>
                <w:sz w:val="24"/>
                <w:szCs w:val="24"/>
                <w:highlight w:val="none"/>
              </w:rPr>
            </w:pPr>
          </w:p>
        </w:tc>
        <w:tc>
          <w:tcPr>
            <w:tcW w:w="0" w:type="auto"/>
            <w:vAlign w:val="center"/>
          </w:tcPr>
          <w:p w14:paraId="040BFC3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1套</w:t>
            </w:r>
          </w:p>
        </w:tc>
        <w:tc>
          <w:tcPr>
            <w:tcW w:w="0" w:type="auto"/>
            <w:vAlign w:val="center"/>
          </w:tcPr>
          <w:p w14:paraId="357F807F">
            <w:pPr>
              <w:jc w:val="center"/>
              <w:rPr>
                <w:rFonts w:hint="eastAsia" w:ascii="宋体" w:hAnsi="宋体" w:eastAsia="宋体" w:cs="宋体"/>
                <w:color w:val="auto"/>
                <w:sz w:val="24"/>
                <w:szCs w:val="24"/>
                <w:highlight w:val="none"/>
              </w:rPr>
            </w:pPr>
          </w:p>
        </w:tc>
        <w:tc>
          <w:tcPr>
            <w:tcW w:w="0" w:type="auto"/>
            <w:vAlign w:val="center"/>
          </w:tcPr>
          <w:p w14:paraId="4BE6A332">
            <w:pPr>
              <w:jc w:val="center"/>
              <w:rPr>
                <w:rFonts w:hint="eastAsia" w:ascii="宋体" w:hAnsi="宋体" w:eastAsia="宋体" w:cs="宋体"/>
                <w:color w:val="auto"/>
                <w:sz w:val="24"/>
                <w:szCs w:val="24"/>
                <w:highlight w:val="none"/>
              </w:rPr>
            </w:pPr>
          </w:p>
        </w:tc>
      </w:tr>
      <w:tr w14:paraId="143E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140A426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0" w:type="auto"/>
            <w:vAlign w:val="center"/>
          </w:tcPr>
          <w:p w14:paraId="081175C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节目交流系统技术资源服务</w:t>
            </w:r>
          </w:p>
        </w:tc>
        <w:tc>
          <w:tcPr>
            <w:tcW w:w="0" w:type="auto"/>
            <w:vAlign w:val="center"/>
          </w:tcPr>
          <w:p w14:paraId="45991703">
            <w:pPr>
              <w:jc w:val="center"/>
              <w:rPr>
                <w:rFonts w:hint="eastAsia" w:ascii="宋体" w:hAnsi="宋体" w:eastAsia="宋体" w:cs="宋体"/>
                <w:color w:val="auto"/>
                <w:sz w:val="24"/>
                <w:szCs w:val="24"/>
                <w:highlight w:val="none"/>
              </w:rPr>
            </w:pPr>
          </w:p>
        </w:tc>
        <w:tc>
          <w:tcPr>
            <w:tcW w:w="0" w:type="auto"/>
            <w:vAlign w:val="center"/>
          </w:tcPr>
          <w:p w14:paraId="4CDDBD5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1套</w:t>
            </w:r>
          </w:p>
        </w:tc>
        <w:tc>
          <w:tcPr>
            <w:tcW w:w="0" w:type="auto"/>
            <w:vAlign w:val="center"/>
          </w:tcPr>
          <w:p w14:paraId="2F3B1B2D">
            <w:pPr>
              <w:jc w:val="center"/>
              <w:rPr>
                <w:rFonts w:hint="eastAsia" w:ascii="宋体" w:hAnsi="宋体" w:eastAsia="宋体" w:cs="宋体"/>
                <w:color w:val="auto"/>
                <w:sz w:val="24"/>
                <w:szCs w:val="24"/>
                <w:highlight w:val="none"/>
              </w:rPr>
            </w:pPr>
          </w:p>
        </w:tc>
        <w:tc>
          <w:tcPr>
            <w:tcW w:w="0" w:type="auto"/>
            <w:vAlign w:val="center"/>
          </w:tcPr>
          <w:p w14:paraId="2CA6C6AF">
            <w:pPr>
              <w:jc w:val="center"/>
              <w:rPr>
                <w:rFonts w:hint="eastAsia" w:ascii="宋体" w:hAnsi="宋体" w:eastAsia="宋体" w:cs="宋体"/>
                <w:color w:val="auto"/>
                <w:sz w:val="24"/>
                <w:szCs w:val="24"/>
                <w:highlight w:val="none"/>
              </w:rPr>
            </w:pPr>
          </w:p>
        </w:tc>
      </w:tr>
      <w:tr w14:paraId="006B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174F280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0" w:type="auto"/>
            <w:vAlign w:val="center"/>
          </w:tcPr>
          <w:p w14:paraId="45738BF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存储扩展</w:t>
            </w:r>
          </w:p>
        </w:tc>
        <w:tc>
          <w:tcPr>
            <w:tcW w:w="0" w:type="auto"/>
            <w:vAlign w:val="center"/>
          </w:tcPr>
          <w:p w14:paraId="42F20D96">
            <w:pPr>
              <w:jc w:val="center"/>
              <w:rPr>
                <w:rFonts w:hint="eastAsia" w:ascii="宋体" w:hAnsi="宋体" w:eastAsia="宋体" w:cs="宋体"/>
                <w:color w:val="auto"/>
                <w:sz w:val="24"/>
                <w:szCs w:val="24"/>
                <w:highlight w:val="none"/>
              </w:rPr>
            </w:pPr>
          </w:p>
        </w:tc>
        <w:tc>
          <w:tcPr>
            <w:tcW w:w="0" w:type="auto"/>
            <w:vAlign w:val="center"/>
          </w:tcPr>
          <w:p w14:paraId="0A4577B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20t</w:t>
            </w:r>
          </w:p>
        </w:tc>
        <w:tc>
          <w:tcPr>
            <w:tcW w:w="0" w:type="auto"/>
            <w:vAlign w:val="center"/>
          </w:tcPr>
          <w:p w14:paraId="05EA7405">
            <w:pPr>
              <w:jc w:val="center"/>
              <w:rPr>
                <w:rFonts w:hint="eastAsia" w:ascii="宋体" w:hAnsi="宋体" w:eastAsia="宋体" w:cs="宋体"/>
                <w:color w:val="auto"/>
                <w:sz w:val="24"/>
                <w:szCs w:val="24"/>
                <w:highlight w:val="none"/>
              </w:rPr>
            </w:pPr>
          </w:p>
        </w:tc>
        <w:tc>
          <w:tcPr>
            <w:tcW w:w="0" w:type="auto"/>
            <w:vAlign w:val="center"/>
          </w:tcPr>
          <w:p w14:paraId="5EC02746">
            <w:pPr>
              <w:jc w:val="center"/>
              <w:rPr>
                <w:rFonts w:hint="eastAsia" w:ascii="宋体" w:hAnsi="宋体" w:eastAsia="宋体" w:cs="宋体"/>
                <w:color w:val="auto"/>
                <w:sz w:val="24"/>
                <w:szCs w:val="24"/>
                <w:highlight w:val="none"/>
              </w:rPr>
            </w:pPr>
          </w:p>
        </w:tc>
      </w:tr>
      <w:tr w14:paraId="680C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gridSpan w:val="4"/>
            <w:vAlign w:val="center"/>
          </w:tcPr>
          <w:p w14:paraId="4867563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投标报价（小写）</w:t>
            </w:r>
          </w:p>
        </w:tc>
        <w:tc>
          <w:tcPr>
            <w:tcW w:w="0" w:type="auto"/>
            <w:gridSpan w:val="2"/>
            <w:vAlign w:val="center"/>
          </w:tcPr>
          <w:p w14:paraId="61C325F8">
            <w:pPr>
              <w:jc w:val="center"/>
              <w:rPr>
                <w:rFonts w:hint="eastAsia" w:ascii="宋体" w:hAnsi="宋体" w:eastAsia="宋体" w:cs="宋体"/>
                <w:color w:val="auto"/>
                <w:sz w:val="24"/>
                <w:szCs w:val="24"/>
                <w:highlight w:val="none"/>
              </w:rPr>
            </w:pPr>
          </w:p>
        </w:tc>
      </w:tr>
      <w:tr w14:paraId="550E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gridSpan w:val="4"/>
            <w:vAlign w:val="center"/>
          </w:tcPr>
          <w:p w14:paraId="6440C06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投标报价（大写）</w:t>
            </w:r>
          </w:p>
        </w:tc>
        <w:tc>
          <w:tcPr>
            <w:tcW w:w="0" w:type="auto"/>
            <w:gridSpan w:val="2"/>
            <w:vAlign w:val="center"/>
          </w:tcPr>
          <w:p w14:paraId="0CF629D0">
            <w:pPr>
              <w:jc w:val="center"/>
              <w:rPr>
                <w:rFonts w:hint="eastAsia" w:ascii="宋体" w:hAnsi="宋体" w:eastAsia="宋体" w:cs="宋体"/>
                <w:color w:val="auto"/>
                <w:sz w:val="24"/>
                <w:szCs w:val="24"/>
                <w:highlight w:val="none"/>
              </w:rPr>
            </w:pPr>
          </w:p>
        </w:tc>
      </w:tr>
    </w:tbl>
    <w:p w14:paraId="6D6AEFEF">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B30187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691D82B4">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501851F">
      <w:pPr>
        <w:adjustRightInd w:val="0"/>
        <w:snapToGrid w:val="0"/>
        <w:spacing w:line="360" w:lineRule="auto"/>
        <w:ind w:firstLine="482" w:firstLineChars="200"/>
        <w:rPr>
          <w:rFonts w:hint="eastAsia" w:ascii="宋体" w:hAnsi="宋体" w:cs="宋体"/>
          <w:b/>
          <w:color w:val="auto"/>
          <w:kern w:val="0"/>
          <w:sz w:val="24"/>
          <w:szCs w:val="24"/>
          <w:highlight w:val="none"/>
          <w:lang w:val="zh-CN"/>
        </w:rPr>
      </w:pPr>
      <w:r>
        <w:rPr>
          <w:rFonts w:hint="eastAsia" w:ascii="宋体" w:hAnsi="宋体"/>
          <w:b/>
          <w:color w:val="auto"/>
          <w:sz w:val="24"/>
          <w:highlight w:val="none"/>
        </w:rPr>
        <w:t>▲供应商不得进行影响产品质量或者诚信履约的恶意报价。如供应商报价低于项目预算50%的，应当在报价文件中详细阐述不影响产品质量或者诚信履约的具体原因（包括报价核算、报价明细、报价说明等材料）。</w:t>
      </w:r>
    </w:p>
    <w:p w14:paraId="48D59E58">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8093D9D">
      <w:pPr>
        <w:snapToGrid w:val="0"/>
        <w:spacing w:line="360" w:lineRule="auto"/>
        <w:ind w:firstLine="480" w:firstLineChars="200"/>
        <w:jc w:val="left"/>
        <w:rPr>
          <w:rFonts w:ascii="宋体" w:hAnsi="宋体" w:eastAsia="宋体" w:cs="宋体"/>
          <w:color w:val="auto"/>
          <w:kern w:val="2"/>
          <w:sz w:val="32"/>
          <w:szCs w:val="32"/>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3C5608E">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5" w:h="16838"/>
          <w:pgMar w:top="1417" w:right="1417" w:bottom="1417" w:left="1417" w:header="851" w:footer="850" w:gutter="0"/>
          <w:cols w:space="0" w:num="1"/>
          <w:rtlGutter w:val="0"/>
          <w:docGrid w:linePitch="312" w:charSpace="0"/>
        </w:sectPr>
      </w:pPr>
    </w:p>
    <w:p w14:paraId="28D369AC">
      <w:pPr>
        <w:snapToGrid w:val="0"/>
        <w:spacing w:line="360" w:lineRule="auto"/>
        <w:jc w:val="center"/>
        <w:outlineLvl w:val="3"/>
        <w:rPr>
          <w:rFonts w:hint="eastAsia" w:ascii="宋体" w:hAnsi="宋体" w:cs="宋体"/>
          <w:b/>
          <w:color w:val="auto"/>
          <w:kern w:val="0"/>
          <w:sz w:val="32"/>
          <w:szCs w:val="32"/>
          <w:highlight w:val="none"/>
        </w:rPr>
      </w:pPr>
      <w:bookmarkStart w:id="636" w:name="_Toc28468"/>
      <w:r>
        <w:rPr>
          <w:rFonts w:hint="eastAsia" w:ascii="宋体" w:hAnsi="宋体" w:cs="宋体"/>
          <w:b/>
          <w:color w:val="auto"/>
          <w:kern w:val="0"/>
          <w:sz w:val="32"/>
          <w:szCs w:val="32"/>
          <w:highlight w:val="none"/>
        </w:rPr>
        <w:t>二、中小企业声明函（如果有）</w:t>
      </w:r>
      <w:bookmarkEnd w:id="636"/>
    </w:p>
    <w:p w14:paraId="5DB5FB3F">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543260F">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09ABDC5A">
      <w:pPr>
        <w:spacing w:line="360" w:lineRule="auto"/>
        <w:ind w:right="420" w:firstLine="3614" w:firstLineChars="1000"/>
        <w:rPr>
          <w:rFonts w:ascii="宋体" w:hAnsi="宋体" w:cs="宋体"/>
          <w:b/>
          <w:color w:val="auto"/>
          <w:kern w:val="0"/>
          <w:sz w:val="36"/>
          <w:szCs w:val="36"/>
          <w:highlight w:val="none"/>
        </w:rPr>
      </w:pPr>
    </w:p>
    <w:p w14:paraId="43E7651B">
      <w:pPr>
        <w:spacing w:line="360" w:lineRule="auto"/>
        <w:ind w:right="420" w:firstLine="3614" w:firstLineChars="1000"/>
        <w:rPr>
          <w:rFonts w:ascii="宋体" w:hAnsi="宋体" w:cs="宋体"/>
          <w:b/>
          <w:color w:val="auto"/>
          <w:kern w:val="0"/>
          <w:sz w:val="36"/>
          <w:szCs w:val="36"/>
          <w:highlight w:val="none"/>
        </w:rPr>
      </w:pPr>
    </w:p>
    <w:p w14:paraId="786B3AD2">
      <w:pPr>
        <w:spacing w:line="360" w:lineRule="auto"/>
        <w:ind w:right="420" w:firstLine="3614" w:firstLineChars="1000"/>
        <w:rPr>
          <w:rFonts w:ascii="宋体" w:hAnsi="宋体" w:cs="宋体"/>
          <w:b/>
          <w:color w:val="auto"/>
          <w:kern w:val="0"/>
          <w:sz w:val="36"/>
          <w:szCs w:val="36"/>
          <w:highlight w:val="none"/>
        </w:rPr>
      </w:pPr>
    </w:p>
    <w:p w14:paraId="18F31859">
      <w:pPr>
        <w:spacing w:line="360" w:lineRule="auto"/>
        <w:ind w:right="420" w:firstLine="3614" w:firstLineChars="1000"/>
        <w:rPr>
          <w:rFonts w:ascii="宋体" w:hAnsi="宋体" w:cs="宋体"/>
          <w:b/>
          <w:color w:val="auto"/>
          <w:kern w:val="0"/>
          <w:sz w:val="36"/>
          <w:szCs w:val="36"/>
          <w:highlight w:val="none"/>
        </w:rPr>
      </w:pPr>
    </w:p>
    <w:p w14:paraId="792DD0A6">
      <w:pPr>
        <w:spacing w:line="360" w:lineRule="auto"/>
        <w:ind w:right="420" w:firstLine="3614" w:firstLineChars="1000"/>
        <w:rPr>
          <w:rFonts w:ascii="宋体" w:hAnsi="宋体" w:cs="宋体"/>
          <w:b/>
          <w:color w:val="auto"/>
          <w:kern w:val="0"/>
          <w:sz w:val="36"/>
          <w:szCs w:val="36"/>
          <w:highlight w:val="none"/>
        </w:rPr>
      </w:pPr>
    </w:p>
    <w:p w14:paraId="6BFE5340">
      <w:pPr>
        <w:spacing w:line="360" w:lineRule="auto"/>
        <w:ind w:right="420" w:firstLine="3614" w:firstLineChars="1000"/>
        <w:rPr>
          <w:rFonts w:ascii="宋体" w:hAnsi="宋体" w:cs="宋体"/>
          <w:b/>
          <w:color w:val="auto"/>
          <w:kern w:val="0"/>
          <w:sz w:val="36"/>
          <w:szCs w:val="36"/>
          <w:highlight w:val="none"/>
        </w:rPr>
      </w:pPr>
    </w:p>
    <w:p w14:paraId="7201D4DE">
      <w:pPr>
        <w:spacing w:line="360" w:lineRule="auto"/>
        <w:ind w:right="420" w:firstLine="3614" w:firstLineChars="1000"/>
        <w:rPr>
          <w:rFonts w:ascii="宋体" w:hAnsi="宋体" w:cs="宋体"/>
          <w:b/>
          <w:color w:val="auto"/>
          <w:kern w:val="0"/>
          <w:sz w:val="36"/>
          <w:szCs w:val="36"/>
          <w:highlight w:val="none"/>
        </w:rPr>
      </w:pPr>
    </w:p>
    <w:p w14:paraId="71EA487B">
      <w:pPr>
        <w:spacing w:line="360" w:lineRule="auto"/>
        <w:ind w:right="420" w:firstLine="3614" w:firstLineChars="1000"/>
        <w:rPr>
          <w:rFonts w:ascii="宋体" w:hAnsi="宋体" w:cs="宋体"/>
          <w:b/>
          <w:color w:val="auto"/>
          <w:kern w:val="0"/>
          <w:sz w:val="36"/>
          <w:szCs w:val="36"/>
          <w:highlight w:val="none"/>
        </w:rPr>
      </w:pPr>
    </w:p>
    <w:p w14:paraId="611D6F90">
      <w:pPr>
        <w:spacing w:line="360" w:lineRule="auto"/>
        <w:ind w:right="420" w:firstLine="3614" w:firstLineChars="1000"/>
        <w:rPr>
          <w:rFonts w:ascii="宋体" w:hAnsi="宋体" w:cs="宋体"/>
          <w:b/>
          <w:color w:val="auto"/>
          <w:kern w:val="0"/>
          <w:sz w:val="36"/>
          <w:szCs w:val="36"/>
          <w:highlight w:val="none"/>
        </w:rPr>
      </w:pPr>
    </w:p>
    <w:p w14:paraId="40EBB35E">
      <w:pPr>
        <w:spacing w:line="360" w:lineRule="auto"/>
        <w:ind w:right="420" w:firstLine="3614" w:firstLineChars="1000"/>
        <w:rPr>
          <w:rFonts w:ascii="宋体" w:hAnsi="宋体" w:cs="宋体"/>
          <w:b/>
          <w:color w:val="auto"/>
          <w:kern w:val="0"/>
          <w:sz w:val="36"/>
          <w:szCs w:val="36"/>
          <w:highlight w:val="none"/>
        </w:rPr>
      </w:pPr>
    </w:p>
    <w:p w14:paraId="3B48C831">
      <w:pPr>
        <w:spacing w:line="360" w:lineRule="auto"/>
        <w:ind w:right="420" w:firstLine="3614" w:firstLineChars="1000"/>
        <w:rPr>
          <w:rFonts w:ascii="宋体" w:hAnsi="宋体" w:cs="宋体"/>
          <w:b/>
          <w:color w:val="auto"/>
          <w:kern w:val="0"/>
          <w:sz w:val="36"/>
          <w:szCs w:val="36"/>
          <w:highlight w:val="none"/>
        </w:rPr>
      </w:pPr>
    </w:p>
    <w:p w14:paraId="29AB6203">
      <w:pPr>
        <w:spacing w:line="360" w:lineRule="auto"/>
        <w:ind w:right="420" w:firstLine="3614" w:firstLineChars="1000"/>
        <w:rPr>
          <w:rFonts w:ascii="宋体" w:hAnsi="宋体" w:cs="宋体"/>
          <w:b/>
          <w:color w:val="auto"/>
          <w:kern w:val="0"/>
          <w:sz w:val="36"/>
          <w:szCs w:val="36"/>
          <w:highlight w:val="none"/>
        </w:rPr>
      </w:pPr>
    </w:p>
    <w:p w14:paraId="63A3A2AF">
      <w:pPr>
        <w:spacing w:line="360" w:lineRule="auto"/>
        <w:ind w:right="420" w:firstLine="3614" w:firstLineChars="1000"/>
        <w:rPr>
          <w:rFonts w:ascii="宋体" w:hAnsi="宋体" w:cs="宋体"/>
          <w:b/>
          <w:color w:val="auto"/>
          <w:kern w:val="0"/>
          <w:sz w:val="36"/>
          <w:szCs w:val="36"/>
          <w:highlight w:val="none"/>
        </w:rPr>
      </w:pPr>
    </w:p>
    <w:p w14:paraId="6F55E768">
      <w:pPr>
        <w:spacing w:line="360" w:lineRule="auto"/>
        <w:ind w:right="420" w:firstLine="3614" w:firstLineChars="1000"/>
        <w:rPr>
          <w:rFonts w:ascii="宋体" w:hAnsi="宋体" w:cs="宋体"/>
          <w:b/>
          <w:color w:val="auto"/>
          <w:kern w:val="0"/>
          <w:sz w:val="36"/>
          <w:szCs w:val="36"/>
          <w:highlight w:val="none"/>
        </w:rPr>
      </w:pPr>
    </w:p>
    <w:p w14:paraId="27D57B0C">
      <w:pPr>
        <w:spacing w:line="360" w:lineRule="auto"/>
        <w:ind w:right="420" w:firstLine="3614" w:firstLineChars="1000"/>
        <w:rPr>
          <w:rFonts w:ascii="宋体" w:hAnsi="宋体" w:cs="宋体"/>
          <w:b/>
          <w:color w:val="auto"/>
          <w:kern w:val="0"/>
          <w:sz w:val="36"/>
          <w:szCs w:val="36"/>
          <w:highlight w:val="none"/>
        </w:rPr>
      </w:pPr>
    </w:p>
    <w:p w14:paraId="07C7C5A2">
      <w:pPr>
        <w:spacing w:line="360" w:lineRule="auto"/>
        <w:ind w:right="420" w:firstLine="3614" w:firstLineChars="1000"/>
        <w:rPr>
          <w:rFonts w:ascii="宋体" w:hAnsi="宋体" w:cs="宋体"/>
          <w:b/>
          <w:color w:val="auto"/>
          <w:kern w:val="0"/>
          <w:sz w:val="36"/>
          <w:szCs w:val="36"/>
          <w:highlight w:val="none"/>
        </w:rPr>
      </w:pPr>
    </w:p>
    <w:p w14:paraId="156F379F">
      <w:pPr>
        <w:snapToGrid w:val="0"/>
        <w:spacing w:line="360" w:lineRule="auto"/>
        <w:jc w:val="center"/>
        <w:outlineLvl w:val="3"/>
        <w:rPr>
          <w:rFonts w:hint="eastAsia" w:ascii="宋体" w:hAnsi="宋体" w:cs="宋体"/>
          <w:b/>
          <w:color w:val="auto"/>
          <w:kern w:val="0"/>
          <w:sz w:val="32"/>
          <w:szCs w:val="32"/>
          <w:highlight w:val="none"/>
        </w:rPr>
      </w:pPr>
      <w:bookmarkStart w:id="637" w:name="_Toc27905"/>
      <w:r>
        <w:rPr>
          <w:rFonts w:hint="eastAsia" w:ascii="宋体" w:hAnsi="宋体" w:cs="宋体"/>
          <w:b/>
          <w:color w:val="auto"/>
          <w:kern w:val="0"/>
          <w:sz w:val="32"/>
          <w:szCs w:val="32"/>
          <w:highlight w:val="none"/>
        </w:rPr>
        <w:t>附件</w:t>
      </w:r>
      <w:bookmarkEnd w:id="637"/>
    </w:p>
    <w:p w14:paraId="08059710">
      <w:pPr>
        <w:spacing w:line="360" w:lineRule="auto"/>
        <w:jc w:val="left"/>
        <w:outlineLvl w:val="3"/>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附件1：残疾人福利性单位声明函</w:t>
      </w:r>
    </w:p>
    <w:p w14:paraId="369C42B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14:paraId="5CE204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杭州市余杭区融媒体中心（杭州市余杭区广播电视台）</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融媒体平台运行服务采购项目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3363E0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ABFE755">
      <w:pPr>
        <w:spacing w:line="360" w:lineRule="auto"/>
        <w:ind w:firstLine="480" w:firstLineChars="200"/>
        <w:rPr>
          <w:rFonts w:ascii="宋体" w:hAnsi="宋体" w:cs="宋体"/>
          <w:color w:val="auto"/>
          <w:sz w:val="24"/>
          <w:highlight w:val="none"/>
        </w:rPr>
      </w:pPr>
    </w:p>
    <w:p w14:paraId="00E32876">
      <w:pPr>
        <w:spacing w:line="360" w:lineRule="auto"/>
        <w:ind w:firstLine="480" w:firstLineChars="200"/>
        <w:rPr>
          <w:rFonts w:ascii="宋体" w:hAnsi="宋体" w:cs="宋体"/>
          <w:color w:val="auto"/>
          <w:sz w:val="24"/>
          <w:highlight w:val="none"/>
        </w:rPr>
      </w:pPr>
    </w:p>
    <w:p w14:paraId="6AB25D8E">
      <w:pPr>
        <w:tabs>
          <w:tab w:val="left" w:pos="4860"/>
        </w:tabs>
        <w:spacing w:line="360" w:lineRule="auto"/>
        <w:ind w:right="1560"/>
        <w:jc w:val="both"/>
        <w:rPr>
          <w:rFonts w:ascii="宋体" w:hAnsi="宋体" w:cs="宋体"/>
          <w:color w:val="auto"/>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DF39C3E">
      <w:pPr>
        <w:tabs>
          <w:tab w:val="left" w:pos="4860"/>
        </w:tabs>
        <w:spacing w:line="360" w:lineRule="auto"/>
        <w:ind w:right="1560"/>
        <w:jc w:val="both"/>
        <w:rPr>
          <w:rFonts w:ascii="宋体" w:hAnsi="宋体" w:cs="宋体"/>
          <w:color w:val="auto"/>
          <w:sz w:val="24"/>
          <w:highlight w:val="none"/>
        </w:rPr>
      </w:pPr>
      <w:r>
        <w:rPr>
          <w:rFonts w:hint="eastAsia" w:ascii="宋体" w:hAnsi="宋体" w:cs="宋体"/>
          <w:color w:val="auto"/>
          <w:sz w:val="24"/>
          <w:highlight w:val="none"/>
        </w:rPr>
        <w:t>日  期：</w:t>
      </w:r>
    </w:p>
    <w:p w14:paraId="1F028A3C">
      <w:pPr>
        <w:spacing w:line="360" w:lineRule="auto"/>
        <w:ind w:firstLine="480" w:firstLineChars="200"/>
        <w:rPr>
          <w:rFonts w:ascii="宋体" w:hAnsi="宋体" w:cs="宋体"/>
          <w:color w:val="auto"/>
          <w:sz w:val="24"/>
          <w:highlight w:val="none"/>
        </w:rPr>
      </w:pPr>
    </w:p>
    <w:p w14:paraId="4D2092CB">
      <w:pPr>
        <w:spacing w:line="360" w:lineRule="auto"/>
        <w:ind w:firstLine="420" w:firstLineChars="200"/>
        <w:rPr>
          <w:rFonts w:ascii="宋体" w:hAnsi="宋体" w:cs="宋体"/>
          <w:color w:val="auto"/>
          <w:highlight w:val="none"/>
        </w:rPr>
      </w:pPr>
    </w:p>
    <w:p w14:paraId="67A11706">
      <w:pPr>
        <w:spacing w:line="360" w:lineRule="auto"/>
        <w:ind w:firstLine="420" w:firstLineChars="200"/>
        <w:rPr>
          <w:rFonts w:ascii="宋体" w:hAnsi="宋体" w:cs="宋体"/>
          <w:color w:val="auto"/>
          <w:highlight w:val="none"/>
        </w:rPr>
      </w:pPr>
    </w:p>
    <w:p w14:paraId="42108572">
      <w:pPr>
        <w:spacing w:line="360" w:lineRule="auto"/>
        <w:ind w:firstLine="420" w:firstLineChars="200"/>
        <w:rPr>
          <w:rFonts w:ascii="宋体" w:hAnsi="宋体" w:cs="宋体"/>
          <w:color w:val="auto"/>
          <w:highlight w:val="none"/>
        </w:rPr>
      </w:pPr>
    </w:p>
    <w:p w14:paraId="19CDA620">
      <w:pPr>
        <w:spacing w:line="360" w:lineRule="auto"/>
        <w:ind w:firstLine="420" w:firstLineChars="200"/>
        <w:rPr>
          <w:rFonts w:ascii="宋体" w:hAnsi="宋体" w:cs="宋体"/>
          <w:color w:val="auto"/>
          <w:highlight w:val="none"/>
        </w:rPr>
      </w:pPr>
    </w:p>
    <w:p w14:paraId="2920DC87">
      <w:pPr>
        <w:spacing w:line="360" w:lineRule="auto"/>
        <w:rPr>
          <w:rFonts w:ascii="宋体" w:hAnsi="宋体" w:cs="宋体"/>
          <w:b/>
          <w:color w:val="auto"/>
          <w:sz w:val="24"/>
          <w:highlight w:val="none"/>
        </w:rPr>
      </w:pPr>
    </w:p>
    <w:p w14:paraId="0D3C6D18">
      <w:pPr>
        <w:spacing w:line="360" w:lineRule="auto"/>
        <w:rPr>
          <w:rFonts w:ascii="宋体" w:hAnsi="宋体" w:cs="宋体"/>
          <w:b/>
          <w:color w:val="auto"/>
          <w:sz w:val="24"/>
          <w:highlight w:val="none"/>
        </w:rPr>
      </w:pPr>
    </w:p>
    <w:p w14:paraId="30EFAFD7">
      <w:pPr>
        <w:spacing w:line="360" w:lineRule="auto"/>
        <w:rPr>
          <w:rFonts w:ascii="宋体" w:hAnsi="宋体" w:cs="宋体"/>
          <w:b/>
          <w:color w:val="auto"/>
          <w:sz w:val="24"/>
          <w:highlight w:val="none"/>
        </w:rPr>
      </w:pPr>
    </w:p>
    <w:p w14:paraId="172488F6">
      <w:pPr>
        <w:spacing w:line="360" w:lineRule="auto"/>
        <w:rPr>
          <w:rFonts w:ascii="宋体" w:hAnsi="宋体" w:cs="宋体"/>
          <w:b/>
          <w:color w:val="auto"/>
          <w:sz w:val="24"/>
          <w:highlight w:val="none"/>
        </w:rPr>
      </w:pPr>
    </w:p>
    <w:p w14:paraId="26E5F366">
      <w:pPr>
        <w:spacing w:line="360" w:lineRule="auto"/>
        <w:rPr>
          <w:rFonts w:ascii="宋体" w:hAnsi="宋体" w:cs="宋体"/>
          <w:b/>
          <w:color w:val="auto"/>
          <w:sz w:val="24"/>
          <w:highlight w:val="none"/>
        </w:rPr>
      </w:pPr>
    </w:p>
    <w:p w14:paraId="45B0A72F">
      <w:pPr>
        <w:spacing w:line="360" w:lineRule="auto"/>
        <w:rPr>
          <w:rFonts w:ascii="宋体" w:hAnsi="宋体" w:cs="宋体"/>
          <w:b/>
          <w:color w:val="auto"/>
          <w:sz w:val="24"/>
          <w:highlight w:val="none"/>
        </w:rPr>
      </w:pPr>
    </w:p>
    <w:p w14:paraId="7C4E9A58">
      <w:pPr>
        <w:spacing w:line="360" w:lineRule="auto"/>
        <w:rPr>
          <w:rFonts w:ascii="宋体" w:hAnsi="宋体" w:cs="宋体"/>
          <w:b/>
          <w:color w:val="auto"/>
          <w:sz w:val="24"/>
          <w:highlight w:val="none"/>
        </w:rPr>
      </w:pPr>
    </w:p>
    <w:p w14:paraId="3C8147B3">
      <w:pPr>
        <w:spacing w:line="360" w:lineRule="auto"/>
        <w:rPr>
          <w:rFonts w:ascii="宋体" w:hAnsi="宋体" w:cs="宋体"/>
          <w:b/>
          <w:color w:val="auto"/>
          <w:sz w:val="24"/>
          <w:highlight w:val="none"/>
        </w:rPr>
      </w:pPr>
    </w:p>
    <w:p w14:paraId="51D9D760">
      <w:pPr>
        <w:spacing w:line="360" w:lineRule="auto"/>
        <w:rPr>
          <w:rFonts w:ascii="宋体" w:hAnsi="宋体" w:cs="宋体"/>
          <w:b/>
          <w:color w:val="auto"/>
          <w:sz w:val="24"/>
          <w:highlight w:val="none"/>
        </w:rPr>
      </w:pPr>
    </w:p>
    <w:p w14:paraId="655526B4">
      <w:pPr>
        <w:spacing w:line="360" w:lineRule="auto"/>
        <w:jc w:val="left"/>
        <w:rPr>
          <w:rFonts w:hint="eastAsia" w:ascii="宋体" w:hAnsi="宋体" w:cs="宋体"/>
          <w:b/>
          <w:color w:val="auto"/>
          <w:spacing w:val="6"/>
          <w:sz w:val="32"/>
          <w:szCs w:val="32"/>
          <w:highlight w:val="none"/>
        </w:rPr>
        <w:sectPr>
          <w:headerReference r:id="rId19" w:type="first"/>
          <w:footerReference r:id="rId22" w:type="first"/>
          <w:headerReference r:id="rId18" w:type="default"/>
          <w:footerReference r:id="rId20" w:type="default"/>
          <w:footerReference r:id="rId21" w:type="even"/>
          <w:pgSz w:w="11905" w:h="16838"/>
          <w:pgMar w:top="1417" w:right="1417" w:bottom="1417" w:left="1417" w:header="851" w:footer="850" w:gutter="0"/>
          <w:cols w:space="0" w:num="1"/>
          <w:rtlGutter w:val="0"/>
          <w:docGrid w:linePitch="312" w:charSpace="0"/>
        </w:sectPr>
      </w:pPr>
    </w:p>
    <w:p w14:paraId="61D0D56F">
      <w:pPr>
        <w:spacing w:line="360" w:lineRule="auto"/>
        <w:jc w:val="left"/>
        <w:outlineLvl w:val="3"/>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0A8FA0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BB80A12">
      <w:pPr>
        <w:snapToGrid w:val="0"/>
        <w:spacing w:line="360" w:lineRule="auto"/>
        <w:rPr>
          <w:rFonts w:ascii="宋体" w:hAnsi="宋体" w:cs="宋体"/>
          <w:bCs/>
          <w:color w:val="auto"/>
          <w:sz w:val="24"/>
          <w:highlight w:val="none"/>
        </w:rPr>
      </w:pPr>
      <w:bookmarkStart w:id="638" w:name="_Toc3464"/>
      <w:r>
        <w:rPr>
          <w:rFonts w:hint="eastAsia" w:ascii="宋体" w:hAnsi="宋体" w:cs="宋体"/>
          <w:bCs/>
          <w:color w:val="auto"/>
          <w:sz w:val="24"/>
          <w:highlight w:val="none"/>
        </w:rPr>
        <w:t>一、质疑供应商基本信息</w:t>
      </w:r>
      <w:bookmarkEnd w:id="638"/>
    </w:p>
    <w:p w14:paraId="4D09997B">
      <w:pPr>
        <w:snapToGrid w:val="0"/>
        <w:spacing w:line="360" w:lineRule="auto"/>
        <w:rPr>
          <w:rFonts w:hint="default" w:ascii="宋体" w:hAnsi="宋体" w:eastAsia="宋体" w:cs="宋体"/>
          <w:color w:val="auto"/>
          <w:sz w:val="24"/>
          <w:highlight w:val="none"/>
          <w:u w:val="dotted"/>
          <w:lang w:val="en-US" w:eastAsia="zh-CN"/>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14:paraId="209BD29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456DAB7">
      <w:pPr>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14:paraId="331BB4AF">
      <w:pPr>
        <w:snapToGrid w:val="0"/>
        <w:spacing w:line="360" w:lineRule="auto"/>
        <w:rPr>
          <w:rFonts w:hint="default" w:ascii="宋体" w:hAnsi="宋体" w:eastAsia="宋体" w:cs="宋体"/>
          <w:color w:val="auto"/>
          <w:sz w:val="24"/>
          <w:highlight w:val="none"/>
          <w:u w:val="dotted"/>
          <w:lang w:val="en-US" w:eastAsia="zh-CN"/>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14:paraId="043449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rPr>
        <w:t xml:space="preserve"> </w:t>
      </w:r>
    </w:p>
    <w:p w14:paraId="58E5209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B3DCFB4">
      <w:pPr>
        <w:snapToGrid w:val="0"/>
        <w:spacing w:line="360" w:lineRule="auto"/>
        <w:rPr>
          <w:rFonts w:ascii="宋体" w:hAnsi="宋体" w:cs="宋体"/>
          <w:bCs/>
          <w:color w:val="auto"/>
          <w:sz w:val="24"/>
          <w:highlight w:val="none"/>
        </w:rPr>
      </w:pPr>
      <w:bookmarkStart w:id="639" w:name="_Toc13020"/>
      <w:r>
        <w:rPr>
          <w:rFonts w:hint="eastAsia" w:ascii="宋体" w:hAnsi="宋体" w:cs="宋体"/>
          <w:bCs/>
          <w:color w:val="auto"/>
          <w:sz w:val="24"/>
          <w:highlight w:val="none"/>
        </w:rPr>
        <w:t>二、质疑项目基本情况</w:t>
      </w:r>
      <w:bookmarkEnd w:id="639"/>
    </w:p>
    <w:p w14:paraId="0C6005C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64EC60E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243D703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2F3D362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10F9564C">
      <w:pPr>
        <w:snapToGrid w:val="0"/>
        <w:spacing w:line="360" w:lineRule="auto"/>
        <w:rPr>
          <w:rFonts w:ascii="宋体" w:hAnsi="宋体" w:cs="宋体"/>
          <w:bCs/>
          <w:color w:val="auto"/>
          <w:sz w:val="24"/>
          <w:highlight w:val="none"/>
        </w:rPr>
      </w:pPr>
      <w:bookmarkStart w:id="640" w:name="_Toc28698"/>
      <w:r>
        <w:rPr>
          <w:rFonts w:hint="eastAsia" w:ascii="宋体" w:hAnsi="宋体" w:cs="宋体"/>
          <w:bCs/>
          <w:color w:val="auto"/>
          <w:sz w:val="24"/>
          <w:highlight w:val="none"/>
        </w:rPr>
        <w:t>三、质疑事项具体内容</w:t>
      </w:r>
      <w:bookmarkEnd w:id="640"/>
    </w:p>
    <w:p w14:paraId="48391D9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145A8EF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4B807C9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39DFC96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402257E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42C1AB4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41D46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E6A9E96">
      <w:pPr>
        <w:snapToGrid w:val="0"/>
        <w:spacing w:line="360" w:lineRule="auto"/>
        <w:rPr>
          <w:rFonts w:ascii="宋体" w:hAnsi="宋体" w:cs="宋体"/>
          <w:bCs/>
          <w:color w:val="auto"/>
          <w:sz w:val="24"/>
          <w:highlight w:val="none"/>
        </w:rPr>
      </w:pPr>
      <w:bookmarkStart w:id="641" w:name="_Toc10981"/>
      <w:r>
        <w:rPr>
          <w:rFonts w:hint="eastAsia" w:ascii="宋体" w:hAnsi="宋体" w:cs="宋体"/>
          <w:bCs/>
          <w:color w:val="auto"/>
          <w:sz w:val="24"/>
          <w:highlight w:val="none"/>
        </w:rPr>
        <w:t>四、与质疑事项相关的质疑请求</w:t>
      </w:r>
      <w:bookmarkEnd w:id="641"/>
    </w:p>
    <w:p w14:paraId="571C74A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064EF7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DAA069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CEE260C">
      <w:pPr>
        <w:spacing w:line="360" w:lineRule="auto"/>
        <w:jc w:val="center"/>
        <w:rPr>
          <w:rFonts w:ascii="宋体" w:hAnsi="宋体" w:cs="宋体"/>
          <w:b/>
          <w:bCs/>
          <w:color w:val="auto"/>
          <w:sz w:val="24"/>
          <w:highlight w:val="none"/>
        </w:rPr>
      </w:pPr>
    </w:p>
    <w:p w14:paraId="0856E36E">
      <w:pPr>
        <w:spacing w:line="360" w:lineRule="auto"/>
        <w:rPr>
          <w:rFonts w:ascii="宋体" w:hAnsi="宋体" w:cs="宋体"/>
          <w:b/>
          <w:color w:val="auto"/>
          <w:sz w:val="24"/>
          <w:highlight w:val="none"/>
        </w:rPr>
      </w:pPr>
    </w:p>
    <w:p w14:paraId="42788A67">
      <w:pPr>
        <w:spacing w:line="360" w:lineRule="auto"/>
        <w:rPr>
          <w:rFonts w:ascii="宋体" w:hAnsi="宋体" w:cs="宋体"/>
          <w:b/>
          <w:color w:val="auto"/>
          <w:sz w:val="24"/>
          <w:highlight w:val="none"/>
        </w:rPr>
      </w:pPr>
    </w:p>
    <w:p w14:paraId="1D3E9C5E">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F0A924B">
      <w:pPr>
        <w:widowControl/>
        <w:spacing w:line="360" w:lineRule="auto"/>
        <w:ind w:firstLine="480" w:firstLineChars="200"/>
        <w:jc w:val="left"/>
        <w:rPr>
          <w:rFonts w:ascii="宋体" w:hAnsi="宋体" w:cs="宋体"/>
          <w:color w:val="auto"/>
          <w:sz w:val="24"/>
          <w:highlight w:val="none"/>
        </w:rPr>
      </w:pPr>
      <w:bookmarkStart w:id="642" w:name="_Toc29796"/>
      <w:r>
        <w:rPr>
          <w:rFonts w:hint="eastAsia" w:ascii="宋体" w:hAnsi="宋体" w:cs="宋体"/>
          <w:color w:val="auto"/>
          <w:sz w:val="24"/>
          <w:highlight w:val="none"/>
        </w:rPr>
        <w:t>1.供应商提出质疑时，应提交质疑函和必要的证明材料。</w:t>
      </w:r>
      <w:bookmarkEnd w:id="642"/>
    </w:p>
    <w:p w14:paraId="086ABB5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F9ADDA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EFA5F7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55D657E">
      <w:pPr>
        <w:widowControl/>
        <w:spacing w:line="360" w:lineRule="auto"/>
        <w:ind w:firstLine="480" w:firstLineChars="200"/>
        <w:jc w:val="left"/>
        <w:rPr>
          <w:rFonts w:ascii="宋体" w:hAnsi="宋体" w:cs="宋体"/>
          <w:color w:val="auto"/>
          <w:sz w:val="24"/>
          <w:highlight w:val="none"/>
        </w:rPr>
      </w:pPr>
      <w:bookmarkStart w:id="643" w:name="_Toc30201"/>
      <w:r>
        <w:rPr>
          <w:rFonts w:hint="eastAsia" w:ascii="宋体" w:hAnsi="宋体" w:cs="宋体"/>
          <w:color w:val="auto"/>
          <w:sz w:val="24"/>
          <w:highlight w:val="none"/>
        </w:rPr>
        <w:t>5.质疑函的质疑请求应与质疑事项相关。</w:t>
      </w:r>
      <w:bookmarkEnd w:id="643"/>
    </w:p>
    <w:p w14:paraId="3C07861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2213336">
      <w:pPr>
        <w:widowControl/>
        <w:spacing w:line="360" w:lineRule="auto"/>
        <w:ind w:firstLine="600" w:firstLineChars="200"/>
        <w:jc w:val="left"/>
        <w:rPr>
          <w:rFonts w:ascii="宋体" w:hAnsi="宋体" w:cs="宋体"/>
          <w:color w:val="auto"/>
          <w:sz w:val="30"/>
          <w:szCs w:val="30"/>
          <w:highlight w:val="none"/>
        </w:rPr>
      </w:pPr>
    </w:p>
    <w:p w14:paraId="42A5E277">
      <w:pPr>
        <w:spacing w:line="360" w:lineRule="auto"/>
        <w:jc w:val="center"/>
        <w:rPr>
          <w:rFonts w:ascii="宋体" w:hAnsi="宋体" w:cs="宋体"/>
          <w:b/>
          <w:color w:val="auto"/>
          <w:spacing w:val="6"/>
          <w:sz w:val="32"/>
          <w:szCs w:val="32"/>
          <w:highlight w:val="none"/>
        </w:rPr>
      </w:pPr>
    </w:p>
    <w:p w14:paraId="7505A30B">
      <w:pPr>
        <w:spacing w:line="360" w:lineRule="auto"/>
        <w:jc w:val="center"/>
        <w:rPr>
          <w:rFonts w:ascii="宋体" w:hAnsi="宋体" w:cs="宋体"/>
          <w:b/>
          <w:color w:val="auto"/>
          <w:spacing w:val="6"/>
          <w:sz w:val="32"/>
          <w:szCs w:val="32"/>
          <w:highlight w:val="none"/>
        </w:rPr>
      </w:pPr>
    </w:p>
    <w:p w14:paraId="356AD33D">
      <w:pPr>
        <w:spacing w:line="360" w:lineRule="auto"/>
        <w:jc w:val="center"/>
        <w:rPr>
          <w:rFonts w:ascii="宋体" w:hAnsi="宋体" w:cs="宋体"/>
          <w:b/>
          <w:color w:val="auto"/>
          <w:spacing w:val="6"/>
          <w:sz w:val="32"/>
          <w:szCs w:val="32"/>
          <w:highlight w:val="none"/>
        </w:rPr>
      </w:pPr>
    </w:p>
    <w:p w14:paraId="207AFCBB">
      <w:pPr>
        <w:spacing w:line="360" w:lineRule="auto"/>
        <w:jc w:val="center"/>
        <w:rPr>
          <w:rFonts w:ascii="宋体" w:hAnsi="宋体" w:cs="宋体"/>
          <w:b/>
          <w:color w:val="auto"/>
          <w:spacing w:val="6"/>
          <w:sz w:val="32"/>
          <w:szCs w:val="32"/>
          <w:highlight w:val="none"/>
        </w:rPr>
      </w:pPr>
    </w:p>
    <w:p w14:paraId="12DE553C">
      <w:pPr>
        <w:spacing w:line="360" w:lineRule="auto"/>
        <w:jc w:val="center"/>
        <w:rPr>
          <w:rFonts w:ascii="宋体" w:hAnsi="宋体" w:cs="宋体"/>
          <w:b/>
          <w:color w:val="auto"/>
          <w:spacing w:val="6"/>
          <w:sz w:val="32"/>
          <w:szCs w:val="32"/>
          <w:highlight w:val="none"/>
        </w:rPr>
      </w:pPr>
    </w:p>
    <w:p w14:paraId="75C14C48">
      <w:pPr>
        <w:spacing w:line="360" w:lineRule="auto"/>
        <w:jc w:val="center"/>
        <w:rPr>
          <w:rFonts w:ascii="宋体" w:hAnsi="宋体" w:cs="宋体"/>
          <w:b/>
          <w:color w:val="auto"/>
          <w:spacing w:val="6"/>
          <w:sz w:val="32"/>
          <w:szCs w:val="32"/>
          <w:highlight w:val="none"/>
        </w:rPr>
      </w:pPr>
    </w:p>
    <w:p w14:paraId="2D815C93">
      <w:pPr>
        <w:spacing w:line="360" w:lineRule="auto"/>
        <w:jc w:val="center"/>
        <w:rPr>
          <w:rFonts w:ascii="宋体" w:hAnsi="宋体" w:cs="宋体"/>
          <w:b/>
          <w:color w:val="auto"/>
          <w:spacing w:val="6"/>
          <w:sz w:val="32"/>
          <w:szCs w:val="32"/>
          <w:highlight w:val="none"/>
        </w:rPr>
      </w:pPr>
    </w:p>
    <w:p w14:paraId="6A1381EF">
      <w:pPr>
        <w:spacing w:line="360" w:lineRule="auto"/>
        <w:jc w:val="center"/>
        <w:rPr>
          <w:rFonts w:ascii="宋体" w:hAnsi="宋体" w:cs="宋体"/>
          <w:b/>
          <w:color w:val="auto"/>
          <w:spacing w:val="6"/>
          <w:sz w:val="32"/>
          <w:szCs w:val="32"/>
          <w:highlight w:val="none"/>
        </w:rPr>
      </w:pPr>
    </w:p>
    <w:p w14:paraId="37BCC110">
      <w:pPr>
        <w:spacing w:line="360" w:lineRule="auto"/>
        <w:jc w:val="center"/>
        <w:rPr>
          <w:rFonts w:ascii="宋体" w:hAnsi="宋体" w:cs="宋体"/>
          <w:b/>
          <w:color w:val="auto"/>
          <w:spacing w:val="6"/>
          <w:sz w:val="32"/>
          <w:szCs w:val="32"/>
          <w:highlight w:val="none"/>
        </w:rPr>
      </w:pPr>
    </w:p>
    <w:p w14:paraId="44848358">
      <w:pPr>
        <w:spacing w:line="360" w:lineRule="auto"/>
        <w:jc w:val="center"/>
        <w:rPr>
          <w:rFonts w:ascii="宋体" w:hAnsi="宋体" w:cs="宋体"/>
          <w:b/>
          <w:color w:val="auto"/>
          <w:spacing w:val="6"/>
          <w:sz w:val="32"/>
          <w:szCs w:val="32"/>
          <w:highlight w:val="none"/>
        </w:rPr>
      </w:pPr>
    </w:p>
    <w:p w14:paraId="64D876E1">
      <w:pPr>
        <w:spacing w:line="360" w:lineRule="auto"/>
        <w:jc w:val="center"/>
        <w:rPr>
          <w:rFonts w:ascii="宋体" w:hAnsi="宋体" w:cs="宋体"/>
          <w:b/>
          <w:color w:val="auto"/>
          <w:spacing w:val="6"/>
          <w:sz w:val="32"/>
          <w:szCs w:val="32"/>
          <w:highlight w:val="none"/>
        </w:rPr>
      </w:pPr>
    </w:p>
    <w:p w14:paraId="5F5C95BD">
      <w:pPr>
        <w:spacing w:line="360" w:lineRule="auto"/>
        <w:jc w:val="center"/>
        <w:rPr>
          <w:rFonts w:ascii="宋体" w:hAnsi="宋体" w:cs="宋体"/>
          <w:b/>
          <w:color w:val="auto"/>
          <w:spacing w:val="6"/>
          <w:sz w:val="32"/>
          <w:szCs w:val="32"/>
          <w:highlight w:val="none"/>
        </w:rPr>
      </w:pPr>
    </w:p>
    <w:p w14:paraId="5ABE6682">
      <w:pPr>
        <w:spacing w:line="360" w:lineRule="auto"/>
        <w:jc w:val="left"/>
        <w:rPr>
          <w:rFonts w:ascii="宋体" w:hAnsi="宋体" w:cs="宋体"/>
          <w:b/>
          <w:color w:val="auto"/>
          <w:spacing w:val="6"/>
          <w:sz w:val="32"/>
          <w:szCs w:val="32"/>
          <w:highlight w:val="none"/>
        </w:rPr>
      </w:pPr>
    </w:p>
    <w:p w14:paraId="4B9AF240">
      <w:pPr>
        <w:rPr>
          <w:rFonts w:hint="eastAsia" w:ascii="宋体" w:hAnsi="宋体" w:cs="宋体"/>
          <w:b/>
          <w:color w:val="auto"/>
          <w:spacing w:val="6"/>
          <w:sz w:val="32"/>
          <w:szCs w:val="32"/>
          <w:highlight w:val="none"/>
        </w:rPr>
      </w:pPr>
      <w:bookmarkStart w:id="644" w:name="_Toc13297"/>
      <w:r>
        <w:rPr>
          <w:rFonts w:hint="eastAsia" w:ascii="宋体" w:hAnsi="宋体" w:cs="宋体"/>
          <w:b/>
          <w:color w:val="auto"/>
          <w:spacing w:val="6"/>
          <w:sz w:val="32"/>
          <w:szCs w:val="32"/>
          <w:highlight w:val="none"/>
        </w:rPr>
        <w:br w:type="page"/>
      </w:r>
    </w:p>
    <w:p w14:paraId="007D2C7F">
      <w:pPr>
        <w:spacing w:line="360" w:lineRule="auto"/>
        <w:jc w:val="left"/>
        <w:outlineLvl w:val="3"/>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bookmarkEnd w:id="644"/>
    </w:p>
    <w:p w14:paraId="10201C4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1283A0B">
      <w:pPr>
        <w:spacing w:line="360" w:lineRule="auto"/>
        <w:rPr>
          <w:rFonts w:ascii="宋体" w:hAnsi="宋体" w:cs="宋体"/>
          <w:color w:val="auto"/>
          <w:sz w:val="24"/>
          <w:highlight w:val="none"/>
        </w:rPr>
      </w:pPr>
      <w:bookmarkStart w:id="645" w:name="_Toc23310"/>
      <w:r>
        <w:rPr>
          <w:rFonts w:hint="eastAsia" w:ascii="宋体" w:hAnsi="宋体" w:cs="宋体"/>
          <w:color w:val="auto"/>
          <w:sz w:val="24"/>
          <w:highlight w:val="none"/>
        </w:rPr>
        <w:t>一、投诉相关主体基本情况</w:t>
      </w:r>
      <w:bookmarkEnd w:id="645"/>
    </w:p>
    <w:p w14:paraId="4C980653">
      <w:pPr>
        <w:spacing w:line="360" w:lineRule="auto"/>
        <w:rPr>
          <w:rFonts w:hint="eastAsia" w:ascii="宋体" w:hAnsi="宋体" w:eastAsia="宋体" w:cs="宋体"/>
          <w:color w:val="auto"/>
          <w:sz w:val="24"/>
          <w:highlight w:val="none"/>
          <w:u w:val="dotted"/>
          <w:lang w:val="en-US" w:eastAsia="zh-CN"/>
        </w:rPr>
      </w:pPr>
      <w:r>
        <w:rPr>
          <w:rFonts w:hint="eastAsia" w:ascii="宋体" w:hAnsi="宋体" w:cs="宋体"/>
          <w:color w:val="auto"/>
          <w:sz w:val="24"/>
          <w:highlight w:val="none"/>
        </w:rPr>
        <w:t>投</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诉</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14:paraId="0BD5ED30">
      <w:pPr>
        <w:spacing w:line="360" w:lineRule="auto"/>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14:paraId="18579B6B">
      <w:pPr>
        <w:tabs>
          <w:tab w:val="left" w:pos="6510"/>
        </w:tabs>
        <w:spacing w:line="360" w:lineRule="auto"/>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p>
    <w:p w14:paraId="485CAE74">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0605731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0B83218C">
      <w:pPr>
        <w:spacing w:line="360" w:lineRule="auto"/>
        <w:rPr>
          <w:rFonts w:hint="eastAsia" w:ascii="宋体" w:hAnsi="宋体" w:eastAsia="宋体" w:cs="宋体"/>
          <w:color w:val="auto"/>
          <w:sz w:val="24"/>
          <w:highlight w:val="none"/>
          <w:u w:val="dotted"/>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14:paraId="3052E606">
      <w:pPr>
        <w:spacing w:line="360" w:lineRule="auto"/>
        <w:rPr>
          <w:rFonts w:hint="default" w:ascii="宋体" w:hAnsi="宋体" w:cs="宋体"/>
          <w:color w:val="auto"/>
          <w:sz w:val="24"/>
          <w:highlight w:val="none"/>
          <w:u w:val="single"/>
          <w:lang w:val="en-US"/>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14:paraId="6254983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14:paraId="388FDA5E">
      <w:pPr>
        <w:spacing w:line="360" w:lineRule="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14:paraId="4A6372D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B47772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196A295">
      <w:pPr>
        <w:spacing w:line="360" w:lineRule="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14:paraId="0A41951F">
      <w:pPr>
        <w:spacing w:line="360" w:lineRule="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14:paraId="45A70CE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4716BA82">
      <w:pPr>
        <w:spacing w:line="360" w:lineRule="auto"/>
        <w:rPr>
          <w:rFonts w:ascii="宋体" w:hAnsi="宋体" w:cs="宋体"/>
          <w:color w:val="auto"/>
          <w:sz w:val="24"/>
          <w:highlight w:val="none"/>
        </w:rPr>
      </w:pPr>
      <w:bookmarkStart w:id="646" w:name="_Toc1812"/>
      <w:r>
        <w:rPr>
          <w:rFonts w:hint="eastAsia" w:ascii="宋体" w:hAnsi="宋体" w:cs="宋体"/>
          <w:color w:val="auto"/>
          <w:sz w:val="24"/>
          <w:highlight w:val="none"/>
        </w:rPr>
        <w:t>二、投诉项目基本情况</w:t>
      </w:r>
      <w:bookmarkEnd w:id="646"/>
    </w:p>
    <w:p w14:paraId="043A180F">
      <w:pPr>
        <w:spacing w:line="360" w:lineRule="auto"/>
        <w:rPr>
          <w:rFonts w:hint="default" w:ascii="宋体" w:hAnsi="宋体" w:eastAsia="宋体" w:cs="宋体"/>
          <w:color w:val="auto"/>
          <w:sz w:val="24"/>
          <w:highlight w:val="none"/>
          <w:u w:val="dotted"/>
          <w:lang w:val="en-US" w:eastAsia="zh-CN"/>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14:paraId="18D50901">
      <w:pPr>
        <w:spacing w:line="360" w:lineRule="auto"/>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14:paraId="610E7D2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14:paraId="3C860F4C">
      <w:pPr>
        <w:spacing w:line="360" w:lineRule="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14:paraId="4B6F3F2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10F3DE27">
      <w:pPr>
        <w:spacing w:line="360" w:lineRule="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14:paraId="4BF28DA7">
      <w:pPr>
        <w:spacing w:line="360" w:lineRule="auto"/>
        <w:rPr>
          <w:rFonts w:ascii="宋体" w:hAnsi="宋体" w:cs="宋体"/>
          <w:color w:val="auto"/>
          <w:sz w:val="24"/>
          <w:highlight w:val="none"/>
        </w:rPr>
      </w:pPr>
      <w:bookmarkStart w:id="647" w:name="_Toc4508"/>
      <w:r>
        <w:rPr>
          <w:rFonts w:hint="eastAsia" w:ascii="宋体" w:hAnsi="宋体" w:cs="宋体"/>
          <w:color w:val="auto"/>
          <w:sz w:val="24"/>
          <w:highlight w:val="none"/>
        </w:rPr>
        <w:t>三、质疑基本情况</w:t>
      </w:r>
      <w:bookmarkEnd w:id="647"/>
    </w:p>
    <w:p w14:paraId="7B9EB492">
      <w:pPr>
        <w:spacing w:line="360" w:lineRule="auto"/>
        <w:rPr>
          <w:rFonts w:hint="default" w:ascii="宋体" w:hAnsi="宋体" w:eastAsia="宋体" w:cs="宋体"/>
          <w:color w:val="auto"/>
          <w:sz w:val="24"/>
          <w:highlight w:val="none"/>
          <w:u w:val="dotted"/>
          <w:lang w:val="en-US" w:eastAsia="zh-CN"/>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14:paraId="68A6687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none"/>
        </w:rPr>
        <w:t>采购人/代理机构于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DE78353">
      <w:pPr>
        <w:spacing w:line="360" w:lineRule="auto"/>
        <w:rPr>
          <w:rFonts w:ascii="宋体" w:hAnsi="宋体" w:cs="宋体"/>
          <w:color w:val="auto"/>
          <w:sz w:val="24"/>
          <w:highlight w:val="none"/>
        </w:rPr>
      </w:pPr>
      <w:bookmarkStart w:id="648" w:name="_Toc11818"/>
      <w:r>
        <w:rPr>
          <w:rFonts w:hint="eastAsia" w:ascii="宋体" w:hAnsi="宋体" w:cs="宋体"/>
          <w:color w:val="auto"/>
          <w:sz w:val="24"/>
          <w:highlight w:val="none"/>
        </w:rPr>
        <w:t>四、投诉事项具体内容</w:t>
      </w:r>
      <w:bookmarkEnd w:id="648"/>
    </w:p>
    <w:p w14:paraId="286FC0F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6C7DBA3B">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p>
    <w:p w14:paraId="5BD7D827">
      <w:pPr>
        <w:spacing w:line="360" w:lineRule="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p>
    <w:p w14:paraId="50494776">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509E07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5F6FC59">
      <w:pPr>
        <w:spacing w:line="360" w:lineRule="auto"/>
        <w:rPr>
          <w:rFonts w:hint="eastAsia" w:ascii="宋体" w:hAnsi="宋体" w:cs="宋体"/>
          <w:color w:val="auto"/>
          <w:sz w:val="24"/>
          <w:highlight w:val="none"/>
        </w:rPr>
      </w:pPr>
      <w:bookmarkStart w:id="649" w:name="_Toc11330"/>
      <w:r>
        <w:rPr>
          <w:rFonts w:hint="eastAsia" w:ascii="宋体" w:hAnsi="宋体" w:cs="宋体"/>
          <w:color w:val="auto"/>
          <w:sz w:val="24"/>
          <w:highlight w:val="none"/>
        </w:rPr>
        <w:t>五、与投诉事项相关的投诉请求</w:t>
      </w:r>
      <w:bookmarkEnd w:id="649"/>
    </w:p>
    <w:p w14:paraId="05D994DF">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dotted"/>
          <w:lang w:val="en-US" w:eastAsia="zh-CN"/>
        </w:rPr>
        <w:t xml:space="preserve">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04F31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F4DFB6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AACBDC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C75A16E">
      <w:pPr>
        <w:spacing w:line="360" w:lineRule="auto"/>
        <w:rPr>
          <w:rFonts w:ascii="宋体" w:hAnsi="宋体" w:cs="宋体"/>
          <w:b/>
          <w:color w:val="auto"/>
          <w:sz w:val="24"/>
          <w:highlight w:val="none"/>
        </w:rPr>
      </w:pPr>
    </w:p>
    <w:p w14:paraId="00AEFB6A">
      <w:pPr>
        <w:spacing w:line="360" w:lineRule="auto"/>
        <w:rPr>
          <w:rFonts w:ascii="宋体" w:hAnsi="宋体" w:cs="宋体"/>
          <w:b/>
          <w:color w:val="auto"/>
          <w:sz w:val="24"/>
          <w:highlight w:val="none"/>
        </w:rPr>
      </w:pPr>
    </w:p>
    <w:p w14:paraId="6B986CCE">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11CB83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C884A0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804E86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23F85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17DAAE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623623F">
      <w:pPr>
        <w:widowControl/>
        <w:spacing w:line="360" w:lineRule="auto"/>
        <w:ind w:firstLine="480" w:firstLineChars="200"/>
        <w:jc w:val="left"/>
        <w:rPr>
          <w:rFonts w:ascii="宋体" w:hAnsi="宋体" w:cs="宋体"/>
          <w:color w:val="auto"/>
          <w:sz w:val="24"/>
          <w:highlight w:val="none"/>
        </w:rPr>
      </w:pPr>
      <w:bookmarkStart w:id="650" w:name="_Toc24098"/>
      <w:r>
        <w:rPr>
          <w:rFonts w:hint="eastAsia" w:ascii="宋体" w:hAnsi="宋体" w:cs="宋体"/>
          <w:color w:val="auto"/>
          <w:sz w:val="24"/>
          <w:highlight w:val="none"/>
        </w:rPr>
        <w:t>6.投诉书的投诉请求应与投诉事项相关。</w:t>
      </w:r>
      <w:bookmarkEnd w:id="650"/>
    </w:p>
    <w:p w14:paraId="7BC88CF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8612B2A">
      <w:pPr>
        <w:spacing w:line="360" w:lineRule="auto"/>
        <w:rPr>
          <w:rFonts w:ascii="宋体" w:hAnsi="宋体" w:cs="宋体"/>
          <w:b/>
          <w:color w:val="auto"/>
          <w:sz w:val="24"/>
          <w:highlight w:val="none"/>
        </w:rPr>
      </w:pPr>
    </w:p>
    <w:p w14:paraId="68AAA03E">
      <w:pPr>
        <w:autoSpaceDE w:val="0"/>
        <w:autoSpaceDN w:val="0"/>
        <w:jc w:val="center"/>
        <w:rPr>
          <w:rFonts w:ascii="宋体" w:hAnsi="宋体" w:cs="宋体"/>
          <w:b/>
          <w:color w:val="auto"/>
          <w:spacing w:val="6"/>
          <w:sz w:val="32"/>
          <w:szCs w:val="32"/>
          <w:highlight w:val="none"/>
        </w:rPr>
      </w:pPr>
    </w:p>
    <w:p w14:paraId="072BABFE">
      <w:pPr>
        <w:rPr>
          <w:rFonts w:hint="eastAsia" w:ascii="宋体" w:hAnsi="宋体" w:cs="宋体"/>
          <w:b/>
          <w:color w:val="auto"/>
          <w:spacing w:val="6"/>
          <w:sz w:val="32"/>
          <w:szCs w:val="32"/>
          <w:highlight w:val="none"/>
        </w:rPr>
      </w:pPr>
      <w:bookmarkStart w:id="651" w:name="_Toc3518"/>
      <w:r>
        <w:rPr>
          <w:rFonts w:hint="eastAsia" w:ascii="宋体" w:hAnsi="宋体" w:cs="宋体"/>
          <w:b/>
          <w:color w:val="auto"/>
          <w:spacing w:val="6"/>
          <w:sz w:val="32"/>
          <w:szCs w:val="32"/>
          <w:highlight w:val="none"/>
        </w:rPr>
        <w:br w:type="page"/>
      </w:r>
    </w:p>
    <w:p w14:paraId="6F11E5BB">
      <w:pPr>
        <w:spacing w:line="360" w:lineRule="auto"/>
        <w:jc w:val="left"/>
        <w:outlineLvl w:val="3"/>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附件4：业务专用章使用说明函</w:t>
      </w:r>
      <w:bookmarkEnd w:id="651"/>
    </w:p>
    <w:p w14:paraId="025F23D6">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业务专用章使用说明函</w:t>
      </w:r>
    </w:p>
    <w:p w14:paraId="78AEF22F">
      <w:pP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杭州市余杭区融媒体中心（杭州市余杭区广播电视台）、浙江省成套招标代理有限公司：</w:t>
      </w:r>
    </w:p>
    <w:p w14:paraId="6A025E4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融媒体平台运行服务采购项目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CTZB-2025020163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70778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024DEC7">
      <w:pPr>
        <w:spacing w:line="360" w:lineRule="auto"/>
        <w:ind w:firstLine="494"/>
        <w:rPr>
          <w:rFonts w:ascii="宋体" w:hAnsi="宋体" w:cs="宋体"/>
          <w:color w:val="auto"/>
          <w:sz w:val="24"/>
          <w:highlight w:val="none"/>
        </w:rPr>
      </w:pPr>
    </w:p>
    <w:p w14:paraId="187DFD97">
      <w:pPr>
        <w:spacing w:line="360" w:lineRule="auto"/>
        <w:ind w:firstLine="494"/>
        <w:rPr>
          <w:rFonts w:ascii="宋体" w:hAnsi="宋体" w:cs="宋体"/>
          <w:color w:val="auto"/>
          <w:sz w:val="24"/>
          <w:highlight w:val="none"/>
        </w:rPr>
      </w:pPr>
    </w:p>
    <w:p w14:paraId="451424D4">
      <w:pPr>
        <w:spacing w:line="360" w:lineRule="auto"/>
        <w:ind w:firstLine="494"/>
        <w:rPr>
          <w:rFonts w:ascii="宋体" w:hAnsi="宋体" w:cs="宋体"/>
          <w:color w:val="auto"/>
          <w:sz w:val="24"/>
          <w:highlight w:val="none"/>
        </w:rPr>
      </w:pPr>
    </w:p>
    <w:p w14:paraId="492F1535">
      <w:pPr>
        <w:spacing w:line="360" w:lineRule="auto"/>
        <w:ind w:firstLine="494"/>
        <w:rPr>
          <w:rFonts w:ascii="宋体" w:hAnsi="宋体" w:cs="宋体"/>
          <w:color w:val="auto"/>
          <w:sz w:val="24"/>
          <w:highlight w:val="none"/>
        </w:rPr>
      </w:pPr>
    </w:p>
    <w:p w14:paraId="43961410">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F2A3DC1">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C096DB9">
      <w:pPr>
        <w:rPr>
          <w:rFonts w:ascii="宋体" w:hAnsi="宋体" w:cs="宋体"/>
          <w:color w:val="auto"/>
          <w:sz w:val="24"/>
          <w:highlight w:val="none"/>
        </w:rPr>
      </w:pPr>
      <w:r>
        <w:rPr>
          <w:rFonts w:hint="eastAsia" w:ascii="宋体" w:hAnsi="宋体" w:cs="宋体"/>
          <w:b/>
          <w:bCs/>
          <w:color w:val="auto"/>
          <w:sz w:val="24"/>
          <w:highlight w:val="none"/>
        </w:rPr>
        <w:t>附：</w:t>
      </w:r>
    </w:p>
    <w:p w14:paraId="711643B1">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5F4B5788">
      <w:pPr>
        <w:autoSpaceDE w:val="0"/>
        <w:autoSpaceDN w:val="0"/>
        <w:jc w:val="center"/>
        <w:rPr>
          <w:rFonts w:ascii="宋体" w:hAnsi="宋体" w:cs="宋体"/>
          <w:b/>
          <w:color w:val="auto"/>
          <w:spacing w:val="6"/>
          <w:sz w:val="32"/>
          <w:szCs w:val="32"/>
          <w:highlight w:val="none"/>
        </w:rPr>
      </w:pPr>
    </w:p>
    <w:p w14:paraId="7EDD27C5">
      <w:pPr>
        <w:autoSpaceDE w:val="0"/>
        <w:autoSpaceDN w:val="0"/>
        <w:jc w:val="center"/>
        <w:rPr>
          <w:rFonts w:ascii="宋体" w:hAnsi="宋体" w:cs="宋体"/>
          <w:b/>
          <w:color w:val="auto"/>
          <w:spacing w:val="6"/>
          <w:sz w:val="32"/>
          <w:szCs w:val="32"/>
          <w:highlight w:val="none"/>
        </w:rPr>
      </w:pPr>
    </w:p>
    <w:p w14:paraId="6ECD79A1">
      <w:pPr>
        <w:autoSpaceDE w:val="0"/>
        <w:autoSpaceDN w:val="0"/>
        <w:jc w:val="center"/>
        <w:rPr>
          <w:rFonts w:ascii="宋体" w:hAnsi="宋体" w:cs="宋体"/>
          <w:b/>
          <w:color w:val="auto"/>
          <w:spacing w:val="6"/>
          <w:sz w:val="32"/>
          <w:szCs w:val="32"/>
          <w:highlight w:val="none"/>
        </w:rPr>
      </w:pPr>
    </w:p>
    <w:p w14:paraId="79B602E3">
      <w:pPr>
        <w:autoSpaceDE w:val="0"/>
        <w:autoSpaceDN w:val="0"/>
        <w:jc w:val="center"/>
        <w:rPr>
          <w:rFonts w:ascii="宋体" w:hAnsi="宋体" w:cs="宋体"/>
          <w:b/>
          <w:color w:val="auto"/>
          <w:spacing w:val="6"/>
          <w:sz w:val="32"/>
          <w:szCs w:val="32"/>
          <w:highlight w:val="none"/>
        </w:rPr>
      </w:pPr>
    </w:p>
    <w:p w14:paraId="7BF7029E">
      <w:pPr>
        <w:autoSpaceDE w:val="0"/>
        <w:autoSpaceDN w:val="0"/>
        <w:jc w:val="center"/>
        <w:rPr>
          <w:rFonts w:ascii="宋体" w:hAnsi="宋体" w:cs="宋体"/>
          <w:b/>
          <w:color w:val="auto"/>
          <w:spacing w:val="6"/>
          <w:sz w:val="32"/>
          <w:szCs w:val="32"/>
          <w:highlight w:val="none"/>
        </w:rPr>
      </w:pPr>
    </w:p>
    <w:p w14:paraId="461725A6">
      <w:pPr>
        <w:autoSpaceDE w:val="0"/>
        <w:autoSpaceDN w:val="0"/>
        <w:jc w:val="center"/>
        <w:rPr>
          <w:rFonts w:ascii="宋体" w:hAnsi="宋体" w:cs="宋体"/>
          <w:b/>
          <w:color w:val="auto"/>
          <w:spacing w:val="6"/>
          <w:sz w:val="32"/>
          <w:szCs w:val="32"/>
          <w:highlight w:val="none"/>
        </w:rPr>
      </w:pPr>
    </w:p>
    <w:p w14:paraId="1F8AF314">
      <w:pPr>
        <w:autoSpaceDE w:val="0"/>
        <w:autoSpaceDN w:val="0"/>
        <w:jc w:val="center"/>
        <w:rPr>
          <w:rFonts w:ascii="宋体" w:hAnsi="宋体" w:cs="宋体"/>
          <w:b/>
          <w:color w:val="auto"/>
          <w:spacing w:val="6"/>
          <w:sz w:val="32"/>
          <w:szCs w:val="32"/>
          <w:highlight w:val="none"/>
        </w:rPr>
      </w:pPr>
    </w:p>
    <w:p w14:paraId="0CBD53B3">
      <w:pPr>
        <w:autoSpaceDE w:val="0"/>
        <w:autoSpaceDN w:val="0"/>
        <w:jc w:val="center"/>
        <w:rPr>
          <w:rFonts w:ascii="宋体" w:hAnsi="宋体" w:cs="宋体"/>
          <w:b/>
          <w:color w:val="auto"/>
          <w:spacing w:val="6"/>
          <w:sz w:val="32"/>
          <w:szCs w:val="32"/>
          <w:highlight w:val="none"/>
        </w:rPr>
      </w:pPr>
    </w:p>
    <w:p w14:paraId="647C65A1">
      <w:pPr>
        <w:autoSpaceDE w:val="0"/>
        <w:autoSpaceDN w:val="0"/>
        <w:jc w:val="center"/>
        <w:rPr>
          <w:rFonts w:ascii="宋体" w:hAnsi="宋体" w:cs="宋体"/>
          <w:b/>
          <w:color w:val="auto"/>
          <w:spacing w:val="6"/>
          <w:sz w:val="32"/>
          <w:szCs w:val="32"/>
          <w:highlight w:val="none"/>
        </w:rPr>
      </w:pPr>
    </w:p>
    <w:p w14:paraId="68CB5DF3">
      <w:pPr>
        <w:autoSpaceDE w:val="0"/>
        <w:autoSpaceDN w:val="0"/>
        <w:jc w:val="center"/>
        <w:rPr>
          <w:rFonts w:ascii="宋体" w:hAnsi="宋体" w:cs="宋体"/>
          <w:b/>
          <w:color w:val="auto"/>
          <w:spacing w:val="6"/>
          <w:sz w:val="32"/>
          <w:szCs w:val="32"/>
          <w:highlight w:val="none"/>
        </w:rPr>
      </w:pPr>
    </w:p>
    <w:p w14:paraId="6B7C4A10">
      <w:pPr>
        <w:autoSpaceDE w:val="0"/>
        <w:autoSpaceDN w:val="0"/>
        <w:jc w:val="center"/>
        <w:rPr>
          <w:rFonts w:ascii="宋体" w:hAnsi="宋体" w:cs="宋体"/>
          <w:b/>
          <w:color w:val="auto"/>
          <w:spacing w:val="6"/>
          <w:sz w:val="32"/>
          <w:szCs w:val="32"/>
          <w:highlight w:val="none"/>
        </w:rPr>
      </w:pPr>
    </w:p>
    <w:p w14:paraId="25C4950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0138234">
      <w:pPr>
        <w:spacing w:line="360" w:lineRule="auto"/>
        <w:jc w:val="left"/>
        <w:outlineLvl w:val="3"/>
        <w:rPr>
          <w:rFonts w:hint="eastAsia" w:ascii="宋体" w:hAnsi="宋体" w:cs="宋体"/>
          <w:b/>
          <w:color w:val="auto"/>
          <w:spacing w:val="6"/>
          <w:sz w:val="32"/>
          <w:szCs w:val="32"/>
          <w:highlight w:val="none"/>
          <w:lang w:val="zh-CN"/>
        </w:rPr>
      </w:pPr>
      <w:r>
        <w:rPr>
          <w:rFonts w:hint="eastAsia" w:ascii="宋体" w:hAnsi="宋体" w:cs="宋体"/>
          <w:b/>
          <w:color w:val="auto"/>
          <w:spacing w:val="6"/>
          <w:sz w:val="32"/>
          <w:szCs w:val="32"/>
          <w:highlight w:val="none"/>
        </w:rPr>
        <w:t>附件5：</w:t>
      </w:r>
      <w:r>
        <w:rPr>
          <w:rFonts w:hint="eastAsia" w:ascii="宋体" w:hAnsi="宋体" w:cs="宋体"/>
          <w:b/>
          <w:color w:val="auto"/>
          <w:spacing w:val="6"/>
          <w:sz w:val="32"/>
          <w:szCs w:val="32"/>
          <w:highlight w:val="none"/>
          <w:lang w:val="zh-CN"/>
        </w:rPr>
        <w:t>联合协议</w:t>
      </w:r>
    </w:p>
    <w:p w14:paraId="059F538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6B21932">
      <w:pPr>
        <w:spacing w:line="360" w:lineRule="auto"/>
        <w:jc w:val="center"/>
        <w:rPr>
          <w:rFonts w:hint="eastAsia" w:ascii="宋体" w:hAnsi="宋体" w:cs="宋体"/>
          <w:b/>
          <w:color w:val="auto"/>
          <w:spacing w:val="6"/>
          <w:sz w:val="32"/>
          <w:szCs w:val="32"/>
          <w:highlight w:val="none"/>
          <w:lang w:val="en-US" w:eastAsia="zh-CN"/>
        </w:rPr>
      </w:pPr>
    </w:p>
    <w:p w14:paraId="7F92FA39">
      <w:pPr>
        <w:spacing w:line="360" w:lineRule="auto"/>
        <w:jc w:val="center"/>
        <w:rPr>
          <w:rFonts w:hint="default" w:ascii="宋体" w:hAnsi="宋体" w:cs="宋体"/>
          <w:b/>
          <w:color w:val="auto"/>
          <w:spacing w:val="6"/>
          <w:sz w:val="32"/>
          <w:szCs w:val="32"/>
          <w:highlight w:val="none"/>
          <w:lang w:val="en-US" w:eastAsia="zh-CN"/>
        </w:rPr>
      </w:pPr>
      <w:r>
        <w:rPr>
          <w:rFonts w:hint="eastAsia" w:ascii="宋体" w:hAnsi="宋体" w:cs="宋体"/>
          <w:b/>
          <w:color w:val="auto"/>
          <w:spacing w:val="6"/>
          <w:sz w:val="32"/>
          <w:szCs w:val="32"/>
          <w:highlight w:val="none"/>
          <w:lang w:val="en-US" w:eastAsia="zh-CN"/>
        </w:rPr>
        <w:t>联合协议</w:t>
      </w:r>
    </w:p>
    <w:p w14:paraId="68BE23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融媒体平台运行服务采购项目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CTZB-2025020163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108A2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DE29E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3BE6F66">
      <w:pPr>
        <w:snapToGrid w:val="0"/>
        <w:spacing w:line="360" w:lineRule="auto"/>
        <w:ind w:firstLine="576"/>
        <w:rPr>
          <w:rFonts w:ascii="宋体" w:hAnsi="宋体" w:cs="宋体"/>
          <w:color w:val="auto"/>
          <w:kern w:val="0"/>
          <w:sz w:val="24"/>
          <w:highlight w:val="none"/>
          <w:lang w:val="zh-CN"/>
        </w:rPr>
      </w:pPr>
      <w:bookmarkStart w:id="652" w:name="_Toc4644"/>
      <w:r>
        <w:rPr>
          <w:rFonts w:hint="eastAsia" w:ascii="宋体" w:hAnsi="宋体" w:cs="宋体"/>
          <w:color w:val="auto"/>
          <w:kern w:val="0"/>
          <w:sz w:val="24"/>
          <w:highlight w:val="none"/>
          <w:lang w:val="zh-CN"/>
        </w:rPr>
        <w:t>三、本次联合投标中，分工如下：</w:t>
      </w:r>
      <w:bookmarkEnd w:id="652"/>
    </w:p>
    <w:p w14:paraId="641FD7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FF9BA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286E1E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8D7327E">
      <w:pPr>
        <w:snapToGrid w:val="0"/>
        <w:spacing w:line="360" w:lineRule="auto"/>
        <w:ind w:firstLine="576"/>
        <w:rPr>
          <w:rFonts w:ascii="宋体" w:hAnsi="宋体" w:cs="宋体"/>
          <w:color w:val="auto"/>
          <w:kern w:val="0"/>
          <w:sz w:val="24"/>
          <w:highlight w:val="none"/>
          <w:lang w:val="zh-CN"/>
        </w:rPr>
      </w:pPr>
      <w:bookmarkStart w:id="653" w:name="_Toc21389"/>
      <w:r>
        <w:rPr>
          <w:rFonts w:hint="eastAsia" w:ascii="宋体" w:hAnsi="宋体" w:cs="宋体"/>
          <w:color w:val="auto"/>
          <w:kern w:val="0"/>
          <w:sz w:val="24"/>
          <w:highlight w:val="none"/>
          <w:lang w:val="zh-CN"/>
        </w:rPr>
        <w:t>四、联合体成员中小企业合同份额。</w:t>
      </w:r>
      <w:bookmarkEnd w:id="653"/>
    </w:p>
    <w:p w14:paraId="00FAB25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65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65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65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655"/>
      <w:r>
        <w:rPr>
          <w:rFonts w:hint="eastAsia" w:ascii="宋体" w:hAnsi="宋体" w:cs="宋体"/>
          <w:b/>
          <w:color w:val="auto"/>
          <w:kern w:val="0"/>
          <w:sz w:val="24"/>
          <w:highlight w:val="none"/>
          <w:lang w:val="zh-CN"/>
        </w:rPr>
        <w:t>）</w:t>
      </w:r>
    </w:p>
    <w:p w14:paraId="03580A9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65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656"/>
    </w:p>
    <w:p w14:paraId="7FE0CE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F2E213E">
      <w:pPr>
        <w:snapToGrid w:val="0"/>
        <w:spacing w:line="360" w:lineRule="auto"/>
        <w:ind w:firstLine="576"/>
        <w:rPr>
          <w:rFonts w:ascii="宋体" w:hAnsi="宋体" w:cs="宋体"/>
          <w:color w:val="auto"/>
          <w:kern w:val="0"/>
          <w:sz w:val="24"/>
          <w:highlight w:val="none"/>
          <w:lang w:val="zh-CN"/>
        </w:rPr>
      </w:pPr>
      <w:bookmarkStart w:id="657" w:name="_Toc10985"/>
      <w:r>
        <w:rPr>
          <w:rFonts w:hint="eastAsia" w:ascii="宋体" w:hAnsi="宋体" w:cs="宋体"/>
          <w:color w:val="auto"/>
          <w:kern w:val="0"/>
          <w:sz w:val="24"/>
          <w:highlight w:val="none"/>
          <w:lang w:val="zh-CN"/>
        </w:rPr>
        <w:t>六、有关本次联合投标的其他事宜：</w:t>
      </w:r>
      <w:bookmarkEnd w:id="657"/>
    </w:p>
    <w:p w14:paraId="3FE3926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4377A9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46F40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41DCF9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4BE7A4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1489090">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D1F9F1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930AD1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296DA4">
      <w:pPr>
        <w:autoSpaceDE w:val="0"/>
        <w:autoSpaceDN w:val="0"/>
        <w:jc w:val="center"/>
        <w:rPr>
          <w:rFonts w:ascii="宋体" w:hAnsi="宋体" w:cs="宋体"/>
          <w:b/>
          <w:color w:val="auto"/>
          <w:spacing w:val="6"/>
          <w:sz w:val="32"/>
          <w:szCs w:val="32"/>
          <w:highlight w:val="none"/>
        </w:rPr>
      </w:pPr>
    </w:p>
    <w:p w14:paraId="7ADD7099">
      <w:pPr>
        <w:autoSpaceDE w:val="0"/>
        <w:autoSpaceDN w:val="0"/>
        <w:jc w:val="center"/>
        <w:rPr>
          <w:rFonts w:ascii="宋体" w:hAnsi="宋体" w:cs="宋体"/>
          <w:b/>
          <w:color w:val="auto"/>
          <w:spacing w:val="6"/>
          <w:sz w:val="32"/>
          <w:szCs w:val="32"/>
          <w:highlight w:val="none"/>
        </w:rPr>
      </w:pPr>
    </w:p>
    <w:p w14:paraId="1BC342AF">
      <w:pPr>
        <w:autoSpaceDE w:val="0"/>
        <w:autoSpaceDN w:val="0"/>
        <w:jc w:val="center"/>
        <w:rPr>
          <w:rFonts w:ascii="宋体" w:hAnsi="宋体" w:cs="宋体"/>
          <w:b/>
          <w:color w:val="auto"/>
          <w:spacing w:val="6"/>
          <w:sz w:val="32"/>
          <w:szCs w:val="32"/>
          <w:highlight w:val="none"/>
        </w:rPr>
      </w:pPr>
    </w:p>
    <w:p w14:paraId="3F70E442">
      <w:pPr>
        <w:autoSpaceDE w:val="0"/>
        <w:autoSpaceDN w:val="0"/>
        <w:jc w:val="center"/>
        <w:rPr>
          <w:rFonts w:ascii="宋体" w:hAnsi="宋体" w:cs="宋体"/>
          <w:b/>
          <w:color w:val="auto"/>
          <w:spacing w:val="6"/>
          <w:sz w:val="32"/>
          <w:szCs w:val="32"/>
          <w:highlight w:val="none"/>
        </w:rPr>
      </w:pPr>
    </w:p>
    <w:p w14:paraId="55AC9A22">
      <w:pPr>
        <w:autoSpaceDE w:val="0"/>
        <w:autoSpaceDN w:val="0"/>
        <w:jc w:val="center"/>
        <w:rPr>
          <w:rFonts w:ascii="宋体" w:hAnsi="宋体" w:cs="宋体"/>
          <w:b/>
          <w:color w:val="auto"/>
          <w:spacing w:val="6"/>
          <w:sz w:val="32"/>
          <w:szCs w:val="32"/>
          <w:highlight w:val="none"/>
        </w:rPr>
      </w:pPr>
    </w:p>
    <w:p w14:paraId="11EC23CC">
      <w:pPr>
        <w:autoSpaceDE w:val="0"/>
        <w:autoSpaceDN w:val="0"/>
        <w:jc w:val="center"/>
        <w:rPr>
          <w:rFonts w:ascii="宋体" w:hAnsi="宋体" w:cs="宋体"/>
          <w:b/>
          <w:color w:val="auto"/>
          <w:spacing w:val="6"/>
          <w:sz w:val="32"/>
          <w:szCs w:val="32"/>
          <w:highlight w:val="none"/>
        </w:rPr>
      </w:pPr>
    </w:p>
    <w:p w14:paraId="2ED5D02A">
      <w:pPr>
        <w:autoSpaceDE w:val="0"/>
        <w:autoSpaceDN w:val="0"/>
        <w:jc w:val="center"/>
        <w:rPr>
          <w:rFonts w:ascii="宋体" w:hAnsi="宋体" w:cs="宋体"/>
          <w:b/>
          <w:color w:val="auto"/>
          <w:spacing w:val="6"/>
          <w:sz w:val="32"/>
          <w:szCs w:val="32"/>
          <w:highlight w:val="none"/>
        </w:rPr>
      </w:pPr>
    </w:p>
    <w:p w14:paraId="768C28AB">
      <w:pPr>
        <w:autoSpaceDE w:val="0"/>
        <w:autoSpaceDN w:val="0"/>
        <w:jc w:val="center"/>
        <w:rPr>
          <w:rFonts w:ascii="宋体" w:hAnsi="宋体" w:cs="宋体"/>
          <w:b/>
          <w:color w:val="auto"/>
          <w:spacing w:val="6"/>
          <w:sz w:val="32"/>
          <w:szCs w:val="32"/>
          <w:highlight w:val="none"/>
        </w:rPr>
      </w:pPr>
    </w:p>
    <w:p w14:paraId="6EA326D2">
      <w:pPr>
        <w:autoSpaceDE w:val="0"/>
        <w:autoSpaceDN w:val="0"/>
        <w:jc w:val="center"/>
        <w:rPr>
          <w:rFonts w:ascii="宋体" w:hAnsi="宋体" w:cs="宋体"/>
          <w:b/>
          <w:color w:val="auto"/>
          <w:spacing w:val="6"/>
          <w:sz w:val="32"/>
          <w:szCs w:val="32"/>
          <w:highlight w:val="none"/>
        </w:rPr>
      </w:pPr>
    </w:p>
    <w:p w14:paraId="4FEF342F">
      <w:pPr>
        <w:autoSpaceDE w:val="0"/>
        <w:autoSpaceDN w:val="0"/>
        <w:jc w:val="center"/>
        <w:rPr>
          <w:rFonts w:ascii="宋体" w:hAnsi="宋体" w:cs="宋体"/>
          <w:b/>
          <w:color w:val="auto"/>
          <w:spacing w:val="6"/>
          <w:sz w:val="32"/>
          <w:szCs w:val="32"/>
          <w:highlight w:val="none"/>
        </w:rPr>
      </w:pPr>
    </w:p>
    <w:p w14:paraId="00C459DC">
      <w:pPr>
        <w:autoSpaceDE w:val="0"/>
        <w:autoSpaceDN w:val="0"/>
        <w:jc w:val="center"/>
        <w:rPr>
          <w:rFonts w:ascii="宋体" w:hAnsi="宋体" w:cs="宋体"/>
          <w:b/>
          <w:color w:val="auto"/>
          <w:spacing w:val="6"/>
          <w:sz w:val="32"/>
          <w:szCs w:val="32"/>
          <w:highlight w:val="none"/>
        </w:rPr>
      </w:pPr>
    </w:p>
    <w:p w14:paraId="066FC73D">
      <w:pPr>
        <w:autoSpaceDE w:val="0"/>
        <w:autoSpaceDN w:val="0"/>
        <w:jc w:val="center"/>
        <w:rPr>
          <w:rFonts w:ascii="宋体" w:hAnsi="宋体" w:cs="宋体"/>
          <w:b/>
          <w:color w:val="auto"/>
          <w:spacing w:val="6"/>
          <w:sz w:val="32"/>
          <w:szCs w:val="32"/>
          <w:highlight w:val="none"/>
        </w:rPr>
      </w:pPr>
    </w:p>
    <w:p w14:paraId="5C4832DF">
      <w:pPr>
        <w:autoSpaceDE w:val="0"/>
        <w:autoSpaceDN w:val="0"/>
        <w:jc w:val="center"/>
        <w:rPr>
          <w:rFonts w:ascii="宋体" w:hAnsi="宋体" w:cs="宋体"/>
          <w:b/>
          <w:color w:val="auto"/>
          <w:spacing w:val="6"/>
          <w:sz w:val="32"/>
          <w:szCs w:val="32"/>
          <w:highlight w:val="none"/>
        </w:rPr>
      </w:pPr>
    </w:p>
    <w:p w14:paraId="41FB6872">
      <w:pPr>
        <w:autoSpaceDE w:val="0"/>
        <w:autoSpaceDN w:val="0"/>
        <w:jc w:val="center"/>
        <w:rPr>
          <w:rFonts w:ascii="宋体" w:hAnsi="宋体" w:cs="宋体"/>
          <w:b/>
          <w:color w:val="auto"/>
          <w:spacing w:val="6"/>
          <w:sz w:val="32"/>
          <w:szCs w:val="32"/>
          <w:highlight w:val="none"/>
        </w:rPr>
      </w:pPr>
    </w:p>
    <w:p w14:paraId="23F25CA6">
      <w:pPr>
        <w:autoSpaceDE w:val="0"/>
        <w:autoSpaceDN w:val="0"/>
        <w:jc w:val="center"/>
        <w:rPr>
          <w:rFonts w:ascii="宋体" w:hAnsi="宋体" w:cs="宋体"/>
          <w:b/>
          <w:color w:val="auto"/>
          <w:spacing w:val="6"/>
          <w:sz w:val="32"/>
          <w:szCs w:val="32"/>
          <w:highlight w:val="none"/>
        </w:rPr>
      </w:pPr>
    </w:p>
    <w:p w14:paraId="29BCA5C0">
      <w:pPr>
        <w:autoSpaceDE w:val="0"/>
        <w:autoSpaceDN w:val="0"/>
        <w:jc w:val="center"/>
        <w:rPr>
          <w:rFonts w:ascii="宋体" w:hAnsi="宋体" w:cs="宋体"/>
          <w:b/>
          <w:color w:val="auto"/>
          <w:spacing w:val="6"/>
          <w:sz w:val="32"/>
          <w:szCs w:val="32"/>
          <w:highlight w:val="none"/>
        </w:rPr>
      </w:pPr>
    </w:p>
    <w:p w14:paraId="082E5EA4">
      <w:pPr>
        <w:autoSpaceDE w:val="0"/>
        <w:autoSpaceDN w:val="0"/>
        <w:jc w:val="center"/>
        <w:rPr>
          <w:rFonts w:ascii="宋体" w:hAnsi="宋体" w:cs="宋体"/>
          <w:b/>
          <w:color w:val="auto"/>
          <w:spacing w:val="6"/>
          <w:sz w:val="32"/>
          <w:szCs w:val="32"/>
          <w:highlight w:val="none"/>
        </w:rPr>
      </w:pPr>
    </w:p>
    <w:p w14:paraId="5C721B18">
      <w:pPr>
        <w:autoSpaceDE w:val="0"/>
        <w:autoSpaceDN w:val="0"/>
        <w:jc w:val="center"/>
        <w:rPr>
          <w:rFonts w:ascii="宋体" w:hAnsi="宋体" w:cs="宋体"/>
          <w:b/>
          <w:color w:val="auto"/>
          <w:spacing w:val="6"/>
          <w:sz w:val="32"/>
          <w:szCs w:val="32"/>
          <w:highlight w:val="none"/>
        </w:rPr>
      </w:pPr>
    </w:p>
    <w:p w14:paraId="71AB8319">
      <w:pPr>
        <w:autoSpaceDE w:val="0"/>
        <w:autoSpaceDN w:val="0"/>
        <w:jc w:val="center"/>
        <w:rPr>
          <w:rFonts w:ascii="宋体" w:hAnsi="宋体" w:cs="宋体"/>
          <w:b/>
          <w:color w:val="auto"/>
          <w:spacing w:val="6"/>
          <w:sz w:val="32"/>
          <w:szCs w:val="32"/>
          <w:highlight w:val="none"/>
        </w:rPr>
      </w:pPr>
    </w:p>
    <w:p w14:paraId="3CE3F4BE">
      <w:pPr>
        <w:autoSpaceDE w:val="0"/>
        <w:autoSpaceDN w:val="0"/>
        <w:jc w:val="center"/>
        <w:rPr>
          <w:rFonts w:ascii="宋体" w:hAnsi="宋体" w:cs="宋体"/>
          <w:b/>
          <w:color w:val="auto"/>
          <w:spacing w:val="6"/>
          <w:sz w:val="32"/>
          <w:szCs w:val="32"/>
          <w:highlight w:val="none"/>
        </w:rPr>
      </w:pPr>
    </w:p>
    <w:p w14:paraId="4F60FDC6">
      <w:pPr>
        <w:autoSpaceDE w:val="0"/>
        <w:autoSpaceDN w:val="0"/>
        <w:jc w:val="center"/>
        <w:rPr>
          <w:rFonts w:ascii="宋体" w:hAnsi="宋体" w:cs="宋体"/>
          <w:b/>
          <w:color w:val="auto"/>
          <w:spacing w:val="6"/>
          <w:sz w:val="32"/>
          <w:szCs w:val="32"/>
          <w:highlight w:val="none"/>
        </w:rPr>
      </w:pPr>
    </w:p>
    <w:p w14:paraId="2E69C6A8">
      <w:pPr>
        <w:autoSpaceDE w:val="0"/>
        <w:autoSpaceDN w:val="0"/>
        <w:jc w:val="center"/>
        <w:rPr>
          <w:rFonts w:ascii="宋体" w:hAnsi="宋体" w:cs="宋体"/>
          <w:b/>
          <w:color w:val="auto"/>
          <w:spacing w:val="6"/>
          <w:sz w:val="32"/>
          <w:szCs w:val="32"/>
          <w:highlight w:val="none"/>
        </w:rPr>
      </w:pPr>
    </w:p>
    <w:p w14:paraId="7BBE5CC4">
      <w:pPr>
        <w:spacing w:line="360" w:lineRule="auto"/>
        <w:jc w:val="left"/>
        <w:outlineLvl w:val="3"/>
        <w:rPr>
          <w:rFonts w:ascii="宋体" w:hAnsi="宋体" w:cs="宋体"/>
          <w:b/>
          <w:color w:val="auto"/>
          <w:kern w:val="0"/>
          <w:sz w:val="32"/>
          <w:szCs w:val="32"/>
          <w:highlight w:val="none"/>
        </w:rPr>
      </w:pPr>
      <w:bookmarkStart w:id="658" w:name="_Toc29333"/>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bookmarkEnd w:id="658"/>
    </w:p>
    <w:p w14:paraId="0D557F7A">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4054F3F">
      <w:pPr>
        <w:snapToGrid w:val="0"/>
        <w:spacing w:line="360" w:lineRule="auto"/>
        <w:jc w:val="center"/>
        <w:rPr>
          <w:rFonts w:hint="eastAsia" w:ascii="宋体" w:hAnsi="宋体" w:cs="宋体"/>
          <w:b/>
          <w:color w:val="auto"/>
          <w:kern w:val="0"/>
          <w:sz w:val="32"/>
          <w:szCs w:val="32"/>
          <w:highlight w:val="none"/>
        </w:rPr>
      </w:pPr>
    </w:p>
    <w:p w14:paraId="7D9ABBF4">
      <w:pPr>
        <w:snapToGrid w:val="0"/>
        <w:spacing w:line="360" w:lineRule="auto"/>
        <w:jc w:val="center"/>
        <w:rPr>
          <w:rFonts w:hint="eastAsia" w:ascii="宋体" w:hAnsi="宋体" w:cs="宋体"/>
          <w:color w:val="auto"/>
          <w:kern w:val="0"/>
          <w:sz w:val="24"/>
          <w:highlight w:val="none"/>
          <w:u w:val="single"/>
        </w:rPr>
      </w:pPr>
      <w:r>
        <w:rPr>
          <w:rFonts w:hint="eastAsia" w:ascii="宋体" w:hAnsi="宋体" w:cs="宋体"/>
          <w:b/>
          <w:color w:val="auto"/>
          <w:kern w:val="0"/>
          <w:sz w:val="32"/>
          <w:szCs w:val="32"/>
          <w:highlight w:val="none"/>
        </w:rPr>
        <w:t>分包意向协议</w:t>
      </w:r>
    </w:p>
    <w:p w14:paraId="07EE714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融媒体平台运行服务采购项目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CTZB-2025020163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AF42213">
      <w:pPr>
        <w:snapToGrid w:val="0"/>
        <w:spacing w:line="360" w:lineRule="auto"/>
        <w:ind w:firstLine="576"/>
        <w:rPr>
          <w:rFonts w:ascii="宋体" w:hAnsi="宋体" w:cs="宋体"/>
          <w:color w:val="auto"/>
          <w:kern w:val="0"/>
          <w:sz w:val="24"/>
          <w:highlight w:val="none"/>
          <w:lang w:val="zh-CN"/>
        </w:rPr>
      </w:pPr>
      <w:bookmarkStart w:id="659" w:name="_Toc2178"/>
      <w:r>
        <w:rPr>
          <w:rFonts w:hint="eastAsia" w:ascii="宋体" w:hAnsi="宋体" w:cs="宋体"/>
          <w:color w:val="auto"/>
          <w:kern w:val="0"/>
          <w:sz w:val="24"/>
          <w:highlight w:val="none"/>
          <w:lang w:val="zh-CN"/>
        </w:rPr>
        <w:t>一、分包标的及数量</w:t>
      </w:r>
      <w:bookmarkEnd w:id="659"/>
    </w:p>
    <w:p w14:paraId="366940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D741FFA">
      <w:pPr>
        <w:snapToGrid w:val="0"/>
        <w:spacing w:line="360" w:lineRule="auto"/>
        <w:ind w:firstLine="576"/>
        <w:rPr>
          <w:rFonts w:ascii="宋体" w:hAnsi="宋体" w:eastAsia="宋体" w:cs="宋体"/>
          <w:color w:val="auto"/>
          <w:kern w:val="0"/>
          <w:sz w:val="24"/>
          <w:szCs w:val="24"/>
          <w:highlight w:val="none"/>
        </w:rPr>
      </w:pPr>
      <w:bookmarkStart w:id="660" w:name="_Toc15706"/>
      <w:r>
        <w:rPr>
          <w:rFonts w:hint="eastAsia" w:ascii="宋体" w:hAnsi="宋体" w:eastAsia="宋体" w:cs="宋体"/>
          <w:color w:val="auto"/>
          <w:kern w:val="0"/>
          <w:sz w:val="24"/>
          <w:szCs w:val="24"/>
          <w:highlight w:val="none"/>
        </w:rPr>
        <w:t>……</w:t>
      </w:r>
      <w:bookmarkEnd w:id="660"/>
    </w:p>
    <w:p w14:paraId="153FA193">
      <w:pPr>
        <w:rPr>
          <w:color w:val="auto"/>
          <w:highlight w:val="none"/>
        </w:rPr>
      </w:pPr>
      <w:r>
        <w:rPr>
          <w:rFonts w:hint="eastAsia"/>
          <w:color w:val="auto"/>
          <w:highlight w:val="none"/>
          <w:lang w:val="zh-CN"/>
        </w:rPr>
        <w:t xml:space="preserve"> </w:t>
      </w:r>
    </w:p>
    <w:p w14:paraId="717F1094">
      <w:pPr>
        <w:snapToGrid w:val="0"/>
        <w:spacing w:line="360" w:lineRule="auto"/>
        <w:ind w:firstLine="576"/>
        <w:rPr>
          <w:rFonts w:ascii="宋体" w:hAnsi="宋体" w:cs="宋体"/>
          <w:color w:val="auto"/>
          <w:kern w:val="0"/>
          <w:sz w:val="24"/>
          <w:highlight w:val="none"/>
          <w:lang w:val="zh-CN"/>
        </w:rPr>
      </w:pPr>
      <w:bookmarkStart w:id="661" w:name="_Toc17064"/>
      <w:r>
        <w:rPr>
          <w:rFonts w:hint="eastAsia" w:ascii="宋体" w:hAnsi="宋体" w:cs="宋体"/>
          <w:color w:val="auto"/>
          <w:kern w:val="0"/>
          <w:sz w:val="24"/>
          <w:highlight w:val="none"/>
          <w:lang w:val="zh-CN"/>
        </w:rPr>
        <w:t>二、分包供应商中小企业合同份额</w:t>
      </w:r>
      <w:bookmarkEnd w:id="661"/>
    </w:p>
    <w:p w14:paraId="5A24250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D9908C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6AD30C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FFFCEE9">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88FBD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E135C3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3D957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F4837F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F38300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1BBEF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35127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3601E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2A3E7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2BCA210D">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0E7C1ED7">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C06F835">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14:paraId="770EF0CD">
      <w:pPr>
        <w:snapToGrid w:val="0"/>
        <w:spacing w:line="360" w:lineRule="auto"/>
        <w:ind w:firstLine="720" w:firstLineChars="300"/>
        <w:jc w:val="both"/>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D9A6268">
      <w:pPr>
        <w:snapToGrid w:val="0"/>
        <w:spacing w:line="360" w:lineRule="auto"/>
        <w:ind w:firstLine="720" w:firstLineChars="300"/>
        <w:rPr>
          <w:rFonts w:ascii="宋体" w:hAnsi="宋体" w:cs="宋体"/>
          <w:color w:val="auto"/>
          <w:highlight w:val="none"/>
        </w:rPr>
      </w:pPr>
      <w:r>
        <w:rPr>
          <w:rFonts w:hint="eastAsia" w:ascii="宋体" w:hAnsi="宋体" w:cs="宋体"/>
          <w:color w:val="auto"/>
          <w:kern w:val="0"/>
          <w:sz w:val="24"/>
          <w:highlight w:val="none"/>
          <w:lang w:val="zh-CN"/>
        </w:rPr>
        <w:t>……</w:t>
      </w:r>
    </w:p>
    <w:p w14:paraId="3C192304">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C31B1F3">
      <w:pPr>
        <w:spacing w:line="360" w:lineRule="auto"/>
        <w:ind w:right="420"/>
        <w:rPr>
          <w:rFonts w:hint="eastAsia" w:ascii="宋体" w:hAnsi="宋体" w:cs="宋体"/>
          <w:color w:val="auto"/>
          <w:sz w:val="24"/>
          <w:highlight w:val="none"/>
        </w:rPr>
      </w:pPr>
    </w:p>
    <w:p w14:paraId="3DEF5D8E">
      <w:pPr>
        <w:spacing w:line="360" w:lineRule="auto"/>
        <w:ind w:right="420"/>
        <w:rPr>
          <w:rFonts w:hint="eastAsia" w:ascii="宋体" w:hAnsi="宋体" w:cs="宋体"/>
          <w:color w:val="auto"/>
          <w:sz w:val="24"/>
          <w:highlight w:val="none"/>
        </w:rPr>
      </w:pPr>
    </w:p>
    <w:p w14:paraId="7B63722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DB33A78">
      <w:pPr>
        <w:autoSpaceDE w:val="0"/>
        <w:autoSpaceDN w:val="0"/>
        <w:jc w:val="center"/>
        <w:rPr>
          <w:rFonts w:ascii="宋体" w:hAnsi="宋体" w:cs="宋体"/>
          <w:b/>
          <w:color w:val="auto"/>
          <w:spacing w:val="6"/>
          <w:sz w:val="32"/>
          <w:szCs w:val="32"/>
          <w:highlight w:val="none"/>
        </w:rPr>
      </w:pPr>
    </w:p>
    <w:p w14:paraId="2B7FB799">
      <w:pPr>
        <w:autoSpaceDE w:val="0"/>
        <w:autoSpaceDN w:val="0"/>
        <w:jc w:val="center"/>
        <w:rPr>
          <w:rFonts w:ascii="宋体" w:hAnsi="宋体" w:cs="宋体"/>
          <w:b/>
          <w:color w:val="auto"/>
          <w:spacing w:val="6"/>
          <w:sz w:val="32"/>
          <w:szCs w:val="32"/>
          <w:highlight w:val="none"/>
        </w:rPr>
      </w:pPr>
    </w:p>
    <w:p w14:paraId="65DF600E">
      <w:pPr>
        <w:autoSpaceDE w:val="0"/>
        <w:autoSpaceDN w:val="0"/>
        <w:jc w:val="center"/>
        <w:rPr>
          <w:rFonts w:ascii="宋体" w:hAnsi="宋体" w:cs="宋体"/>
          <w:b/>
          <w:color w:val="auto"/>
          <w:spacing w:val="6"/>
          <w:sz w:val="32"/>
          <w:szCs w:val="32"/>
          <w:highlight w:val="none"/>
        </w:rPr>
      </w:pPr>
    </w:p>
    <w:p w14:paraId="4AFAD657">
      <w:pPr>
        <w:autoSpaceDE w:val="0"/>
        <w:autoSpaceDN w:val="0"/>
        <w:jc w:val="center"/>
        <w:rPr>
          <w:rFonts w:ascii="宋体" w:hAnsi="宋体" w:cs="宋体"/>
          <w:b/>
          <w:color w:val="auto"/>
          <w:spacing w:val="6"/>
          <w:sz w:val="32"/>
          <w:szCs w:val="32"/>
          <w:highlight w:val="none"/>
        </w:rPr>
      </w:pPr>
    </w:p>
    <w:p w14:paraId="20F73FA4">
      <w:pPr>
        <w:autoSpaceDE w:val="0"/>
        <w:autoSpaceDN w:val="0"/>
        <w:jc w:val="center"/>
        <w:rPr>
          <w:rFonts w:ascii="宋体" w:hAnsi="宋体" w:cs="宋体"/>
          <w:b/>
          <w:color w:val="auto"/>
          <w:spacing w:val="6"/>
          <w:sz w:val="32"/>
          <w:szCs w:val="32"/>
          <w:highlight w:val="none"/>
        </w:rPr>
      </w:pPr>
    </w:p>
    <w:p w14:paraId="1A472935">
      <w:pPr>
        <w:autoSpaceDE w:val="0"/>
        <w:autoSpaceDN w:val="0"/>
        <w:jc w:val="center"/>
        <w:rPr>
          <w:rFonts w:ascii="宋体" w:hAnsi="宋体" w:cs="宋体"/>
          <w:b/>
          <w:color w:val="auto"/>
          <w:spacing w:val="6"/>
          <w:sz w:val="32"/>
          <w:szCs w:val="32"/>
          <w:highlight w:val="none"/>
        </w:rPr>
      </w:pPr>
    </w:p>
    <w:p w14:paraId="287AAA18">
      <w:pPr>
        <w:autoSpaceDE w:val="0"/>
        <w:autoSpaceDN w:val="0"/>
        <w:jc w:val="center"/>
        <w:rPr>
          <w:rFonts w:ascii="宋体" w:hAnsi="宋体" w:cs="宋体"/>
          <w:b/>
          <w:color w:val="auto"/>
          <w:spacing w:val="6"/>
          <w:sz w:val="32"/>
          <w:szCs w:val="32"/>
          <w:highlight w:val="none"/>
        </w:rPr>
      </w:pPr>
    </w:p>
    <w:p w14:paraId="2ACE1DA5">
      <w:pPr>
        <w:autoSpaceDE w:val="0"/>
        <w:autoSpaceDN w:val="0"/>
        <w:jc w:val="center"/>
        <w:rPr>
          <w:rFonts w:ascii="宋体" w:hAnsi="宋体" w:cs="宋体"/>
          <w:b/>
          <w:color w:val="auto"/>
          <w:spacing w:val="6"/>
          <w:sz w:val="32"/>
          <w:szCs w:val="32"/>
          <w:highlight w:val="none"/>
        </w:rPr>
      </w:pPr>
    </w:p>
    <w:p w14:paraId="5A8C38E4">
      <w:pPr>
        <w:autoSpaceDE w:val="0"/>
        <w:autoSpaceDN w:val="0"/>
        <w:jc w:val="center"/>
        <w:rPr>
          <w:rFonts w:ascii="宋体" w:hAnsi="宋体" w:cs="宋体"/>
          <w:b/>
          <w:color w:val="auto"/>
          <w:spacing w:val="6"/>
          <w:sz w:val="32"/>
          <w:szCs w:val="32"/>
          <w:highlight w:val="none"/>
        </w:rPr>
      </w:pPr>
    </w:p>
    <w:p w14:paraId="39C78C04">
      <w:pPr>
        <w:autoSpaceDE w:val="0"/>
        <w:autoSpaceDN w:val="0"/>
        <w:jc w:val="center"/>
        <w:rPr>
          <w:rFonts w:ascii="宋体" w:hAnsi="宋体" w:cs="宋体"/>
          <w:b/>
          <w:color w:val="auto"/>
          <w:spacing w:val="6"/>
          <w:sz w:val="32"/>
          <w:szCs w:val="32"/>
          <w:highlight w:val="none"/>
        </w:rPr>
      </w:pPr>
    </w:p>
    <w:p w14:paraId="37AC1101">
      <w:pPr>
        <w:autoSpaceDE w:val="0"/>
        <w:autoSpaceDN w:val="0"/>
        <w:jc w:val="center"/>
        <w:rPr>
          <w:rFonts w:ascii="宋体" w:hAnsi="宋体" w:cs="宋体"/>
          <w:b/>
          <w:color w:val="auto"/>
          <w:spacing w:val="6"/>
          <w:sz w:val="32"/>
          <w:szCs w:val="32"/>
          <w:highlight w:val="none"/>
        </w:rPr>
      </w:pPr>
    </w:p>
    <w:p w14:paraId="16E6CBA3">
      <w:pPr>
        <w:autoSpaceDE w:val="0"/>
        <w:autoSpaceDN w:val="0"/>
        <w:jc w:val="center"/>
        <w:rPr>
          <w:rFonts w:ascii="宋体" w:hAnsi="宋体" w:cs="宋体"/>
          <w:b/>
          <w:color w:val="auto"/>
          <w:spacing w:val="6"/>
          <w:sz w:val="32"/>
          <w:szCs w:val="32"/>
          <w:highlight w:val="none"/>
        </w:rPr>
      </w:pPr>
    </w:p>
    <w:p w14:paraId="0D6949DB">
      <w:pPr>
        <w:autoSpaceDE w:val="0"/>
        <w:autoSpaceDN w:val="0"/>
        <w:jc w:val="center"/>
        <w:rPr>
          <w:rFonts w:ascii="宋体" w:hAnsi="宋体" w:cs="宋体"/>
          <w:b/>
          <w:color w:val="auto"/>
          <w:spacing w:val="6"/>
          <w:sz w:val="32"/>
          <w:szCs w:val="32"/>
          <w:highlight w:val="none"/>
        </w:rPr>
      </w:pPr>
    </w:p>
    <w:p w14:paraId="58B2CBB1">
      <w:pPr>
        <w:autoSpaceDE w:val="0"/>
        <w:autoSpaceDN w:val="0"/>
        <w:jc w:val="center"/>
        <w:rPr>
          <w:rFonts w:ascii="宋体" w:hAnsi="宋体" w:cs="宋体"/>
          <w:b/>
          <w:color w:val="auto"/>
          <w:spacing w:val="6"/>
          <w:sz w:val="32"/>
          <w:szCs w:val="32"/>
          <w:highlight w:val="none"/>
        </w:rPr>
      </w:pPr>
    </w:p>
    <w:p w14:paraId="642868EF">
      <w:pPr>
        <w:autoSpaceDE w:val="0"/>
        <w:autoSpaceDN w:val="0"/>
        <w:jc w:val="center"/>
        <w:rPr>
          <w:rFonts w:ascii="宋体" w:hAnsi="宋体" w:cs="宋体"/>
          <w:b/>
          <w:color w:val="auto"/>
          <w:spacing w:val="6"/>
          <w:sz w:val="32"/>
          <w:szCs w:val="32"/>
          <w:highlight w:val="none"/>
        </w:rPr>
      </w:pPr>
    </w:p>
    <w:p w14:paraId="0D5C1744">
      <w:pPr>
        <w:autoSpaceDE w:val="0"/>
        <w:autoSpaceDN w:val="0"/>
        <w:jc w:val="center"/>
        <w:rPr>
          <w:rFonts w:ascii="宋体" w:hAnsi="宋体" w:cs="宋体"/>
          <w:b/>
          <w:color w:val="auto"/>
          <w:spacing w:val="6"/>
          <w:sz w:val="32"/>
          <w:szCs w:val="32"/>
          <w:highlight w:val="none"/>
        </w:rPr>
      </w:pPr>
    </w:p>
    <w:p w14:paraId="61AA981B">
      <w:pPr>
        <w:autoSpaceDE w:val="0"/>
        <w:autoSpaceDN w:val="0"/>
        <w:jc w:val="center"/>
        <w:rPr>
          <w:rFonts w:ascii="宋体" w:hAnsi="宋体" w:cs="宋体"/>
          <w:b/>
          <w:color w:val="auto"/>
          <w:spacing w:val="6"/>
          <w:sz w:val="32"/>
          <w:szCs w:val="32"/>
          <w:highlight w:val="none"/>
        </w:rPr>
      </w:pPr>
    </w:p>
    <w:p w14:paraId="5EB0C444">
      <w:pPr>
        <w:autoSpaceDE w:val="0"/>
        <w:autoSpaceDN w:val="0"/>
        <w:jc w:val="center"/>
        <w:rPr>
          <w:rFonts w:ascii="宋体" w:hAnsi="宋体" w:cs="宋体"/>
          <w:b/>
          <w:color w:val="auto"/>
          <w:spacing w:val="6"/>
          <w:sz w:val="32"/>
          <w:szCs w:val="32"/>
          <w:highlight w:val="none"/>
        </w:rPr>
      </w:pPr>
    </w:p>
    <w:p w14:paraId="3288B152">
      <w:pPr>
        <w:autoSpaceDE w:val="0"/>
        <w:autoSpaceDN w:val="0"/>
        <w:jc w:val="center"/>
        <w:rPr>
          <w:rFonts w:ascii="宋体" w:hAnsi="宋体" w:cs="宋体"/>
          <w:b/>
          <w:color w:val="auto"/>
          <w:spacing w:val="6"/>
          <w:sz w:val="32"/>
          <w:szCs w:val="32"/>
          <w:highlight w:val="none"/>
        </w:rPr>
      </w:pPr>
    </w:p>
    <w:p w14:paraId="4D250A1F">
      <w:pPr>
        <w:spacing w:line="360" w:lineRule="auto"/>
        <w:jc w:val="left"/>
        <w:outlineLvl w:val="3"/>
        <w:rPr>
          <w:rFonts w:hint="eastAsia" w:ascii="宋体" w:hAnsi="宋体" w:cs="宋体"/>
          <w:b/>
          <w:color w:val="auto"/>
          <w:spacing w:val="6"/>
          <w:sz w:val="32"/>
          <w:szCs w:val="32"/>
          <w:highlight w:val="none"/>
        </w:rPr>
      </w:pPr>
      <w:bookmarkStart w:id="662" w:name="_Toc28716"/>
      <w:r>
        <w:rPr>
          <w:rFonts w:hint="eastAsia" w:ascii="宋体" w:hAnsi="宋体" w:cs="宋体"/>
          <w:b/>
          <w:color w:val="auto"/>
          <w:spacing w:val="6"/>
          <w:sz w:val="32"/>
          <w:szCs w:val="32"/>
          <w:highlight w:val="none"/>
        </w:rPr>
        <w:t>附件7：中小企业声明函</w:t>
      </w:r>
      <w:bookmarkEnd w:id="662"/>
    </w:p>
    <w:p w14:paraId="26F17E2A">
      <w:pPr>
        <w:spacing w:line="360" w:lineRule="auto"/>
        <w:jc w:val="center"/>
        <w:outlineLvl w:val="4"/>
        <w:rPr>
          <w:rFonts w:ascii="宋体" w:hAnsi="宋体" w:cs="宋体"/>
          <w:b/>
          <w:color w:val="auto"/>
          <w:sz w:val="32"/>
          <w:szCs w:val="32"/>
          <w:highlight w:val="none"/>
        </w:rPr>
      </w:pPr>
      <w:bookmarkStart w:id="663" w:name="_Toc29826"/>
      <w:r>
        <w:rPr>
          <w:rFonts w:hint="eastAsia" w:ascii="宋体" w:hAnsi="宋体" w:cs="宋体"/>
          <w:b/>
          <w:color w:val="auto"/>
          <w:sz w:val="32"/>
          <w:szCs w:val="32"/>
          <w:highlight w:val="none"/>
        </w:rPr>
        <w:t>中小企业声明函（服务）</w:t>
      </w:r>
      <w:bookmarkEnd w:id="663"/>
    </w:p>
    <w:p w14:paraId="169AC134">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杭州市余杭区融媒体中心（杭州市余杭区广播电视台）</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融媒体平台运行服务采购项目</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3E1185F">
      <w:pPr>
        <w:numPr>
          <w:ilvl w:val="0"/>
          <w:numId w:val="5"/>
        </w:numPr>
        <w:spacing w:line="360" w:lineRule="auto"/>
        <w:ind w:firstLine="480" w:firstLineChars="200"/>
        <w:jc w:val="left"/>
        <w:rPr>
          <w:rFonts w:ascii="宋体" w:hAnsi="宋体" w:cs="宋体"/>
          <w:color w:val="auto"/>
          <w:sz w:val="24"/>
          <w:highlight w:val="none"/>
        </w:rPr>
      </w:pPr>
      <w:r>
        <w:rPr>
          <w:rFonts w:hint="eastAsia" w:ascii="宋体" w:hAnsi="宋体" w:eastAsia="宋体" w:cs="宋体"/>
          <w:b w:val="0"/>
          <w:bCs w:val="0"/>
          <w:i w:val="0"/>
          <w:iCs w:val="0"/>
          <w:color w:val="auto"/>
          <w:kern w:val="0"/>
          <w:sz w:val="24"/>
          <w:szCs w:val="24"/>
          <w:highlight w:val="none"/>
          <w:u w:val="single"/>
          <w:lang w:val="en-US" w:eastAsia="zh-CN" w:bidi="ar"/>
        </w:rPr>
        <w:t>融媒体平台运行服务采购项目</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软件和信息技术服务业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870283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E99E0B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23AA928">
      <w:pPr>
        <w:spacing w:line="360" w:lineRule="auto"/>
        <w:ind w:right="1760" w:firstLine="3360" w:firstLineChars="1400"/>
        <w:jc w:val="both"/>
        <w:rPr>
          <w:rFonts w:ascii="宋体" w:hAnsi="宋体" w:cs="宋体"/>
          <w:color w:val="auto"/>
          <w:sz w:val="24"/>
          <w:highlight w:val="none"/>
        </w:rPr>
      </w:pPr>
      <w:r>
        <w:rPr>
          <w:rFonts w:hint="eastAsia" w:ascii="宋体" w:hAnsi="宋体" w:cs="宋体"/>
          <w:color w:val="auto"/>
          <w:sz w:val="24"/>
          <w:highlight w:val="none"/>
        </w:rPr>
        <w:t>投标人名称（电子签名）：</w:t>
      </w:r>
    </w:p>
    <w:p w14:paraId="5B2C760A">
      <w:pPr>
        <w:spacing w:line="360" w:lineRule="auto"/>
        <w:ind w:right="1120" w:firstLine="3360" w:firstLineChars="1400"/>
        <w:rPr>
          <w:rFonts w:ascii="宋体" w:hAnsi="宋体" w:cs="宋体"/>
          <w:color w:val="auto"/>
          <w:sz w:val="24"/>
          <w:highlight w:val="none"/>
        </w:rPr>
      </w:pPr>
      <w:r>
        <w:rPr>
          <w:rFonts w:hint="eastAsia" w:ascii="宋体" w:hAnsi="宋体" w:cs="宋体"/>
          <w:color w:val="auto"/>
          <w:sz w:val="24"/>
          <w:highlight w:val="none"/>
        </w:rPr>
        <w:t>日 期：</w:t>
      </w:r>
    </w:p>
    <w:p w14:paraId="26745B3C">
      <w:pPr>
        <w:spacing w:line="360" w:lineRule="auto"/>
        <w:ind w:firstLine="354" w:firstLineChars="147"/>
        <w:jc w:val="left"/>
        <w:rPr>
          <w:rFonts w:ascii="宋体" w:hAnsi="宋体" w:cs="宋体"/>
          <w:color w:val="auto"/>
          <w:sz w:val="24"/>
          <w:szCs w:val="24"/>
          <w:highlight w:val="none"/>
        </w:rPr>
      </w:pPr>
      <w:r>
        <w:rPr>
          <w:rFonts w:hint="eastAsia" w:ascii="宋体" w:hAnsi="宋体" w:cs="宋体"/>
          <w:b/>
          <w:color w:val="auto"/>
          <w:sz w:val="24"/>
          <w:szCs w:val="24"/>
          <w:highlight w:val="none"/>
        </w:rPr>
        <w:t>从业人员、营业收入、资产总额填报上一年度数据，无上一年度数据的新成立企业可不填报。</w:t>
      </w:r>
    </w:p>
    <w:p w14:paraId="6C54030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注：</w:t>
      </w:r>
    </w:p>
    <w:p w14:paraId="26F2DA2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241AFF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20E3100">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如供应商符合《政府采购促进中小企业发展管理办法》扶持政策的标准且成交，则在成交公示中将此函予以公示，接受社会监督。供应商对其中小企业声明函内容的真实性负责，声明函内容不实的，属于提供虚假材料谋取成交，依照《中华人民共和国政府采购法》等国家有关规定追究相应责任。</w:t>
      </w:r>
    </w:p>
    <w:p w14:paraId="00BA318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4、</w:t>
      </w:r>
      <w:r>
        <w:rPr>
          <w:rFonts w:hint="eastAsia" w:ascii="宋体" w:hAnsi="宋体" w:cs="宋体"/>
          <w:b/>
          <w:bCs/>
          <w:snapToGrid w:val="0"/>
          <w:color w:val="auto"/>
          <w:kern w:val="28"/>
          <w:sz w:val="24"/>
          <w:highlight w:val="none"/>
        </w:rPr>
        <w:t>联合体投标</w:t>
      </w:r>
      <w:r>
        <w:rPr>
          <w:rFonts w:hint="eastAsia" w:ascii="宋体" w:hAnsi="宋体" w:eastAsia="宋体" w:cs="宋体"/>
          <w:b/>
          <w:bCs/>
          <w:snapToGrid w:val="0"/>
          <w:color w:val="auto"/>
          <w:kern w:val="28"/>
          <w:sz w:val="24"/>
          <w:highlight w:val="none"/>
        </w:rPr>
        <w:t>的，联合体</w:t>
      </w:r>
      <w:r>
        <w:rPr>
          <w:rFonts w:hint="eastAsia" w:ascii="宋体" w:hAnsi="宋体" w:eastAsia="宋体" w:cs="宋体"/>
          <w:b/>
          <w:bCs/>
          <w:snapToGrid w:val="0"/>
          <w:color w:val="auto"/>
          <w:kern w:val="28"/>
          <w:sz w:val="24"/>
          <w:highlight w:val="none"/>
          <w:lang w:val="en-US" w:eastAsia="zh-CN"/>
        </w:rPr>
        <w:t>各方均需提供《</w:t>
      </w:r>
      <w:r>
        <w:rPr>
          <w:rFonts w:hint="eastAsia" w:ascii="宋体" w:hAnsi="宋体" w:eastAsia="宋体" w:cs="宋体"/>
          <w:b/>
          <w:bCs/>
          <w:snapToGrid w:val="0"/>
          <w:color w:val="auto"/>
          <w:kern w:val="28"/>
          <w:sz w:val="24"/>
          <w:highlight w:val="none"/>
        </w:rPr>
        <w:t>中小企业声明函（服务）</w:t>
      </w:r>
      <w:r>
        <w:rPr>
          <w:rFonts w:hint="eastAsia" w:ascii="宋体" w:hAnsi="宋体" w:cs="宋体"/>
          <w:b/>
          <w:bCs/>
          <w:snapToGrid w:val="0"/>
          <w:color w:val="auto"/>
          <w:kern w:val="28"/>
          <w:sz w:val="24"/>
          <w:highlight w:val="none"/>
          <w:lang w:eastAsia="zh-CN"/>
        </w:rPr>
        <w:t>》。</w:t>
      </w:r>
    </w:p>
    <w:p w14:paraId="03195D1C">
      <w:pPr>
        <w:pStyle w:val="24"/>
        <w:rPr>
          <w:rFonts w:hint="eastAsia"/>
          <w:color w:val="auto"/>
          <w:highlight w:val="none"/>
          <w:lang w:val="zh-CN"/>
        </w:rPr>
      </w:pPr>
    </w:p>
    <w:p w14:paraId="3404F81A">
      <w:pPr>
        <w:pStyle w:val="2"/>
        <w:outlineLvl w:val="9"/>
        <w:rPr>
          <w:rFonts w:ascii="宋体" w:hAnsi="宋体" w:eastAsia="宋体" w:cs="宋体"/>
          <w:color w:val="auto"/>
          <w:highlight w:val="none"/>
          <w:lang w:val="en-US"/>
        </w:rPr>
      </w:pPr>
    </w:p>
    <w:p w14:paraId="0C85DC2F">
      <w:pPr>
        <w:spacing w:line="360" w:lineRule="auto"/>
        <w:ind w:right="420"/>
        <w:rPr>
          <w:rFonts w:ascii="宋体" w:hAnsi="宋体" w:cs="宋体"/>
          <w:color w:val="auto"/>
          <w:highlight w:val="none"/>
        </w:rPr>
      </w:pPr>
    </w:p>
    <w:p w14:paraId="17B990E9">
      <w:pPr>
        <w:spacing w:line="360" w:lineRule="auto"/>
        <w:rPr>
          <w:rFonts w:ascii="宋体" w:hAnsi="宋体" w:cs="宋体"/>
          <w:bCs/>
          <w:color w:val="auto"/>
          <w:sz w:val="24"/>
          <w:highlight w:val="none"/>
        </w:rPr>
        <w:sectPr>
          <w:pgSz w:w="11905" w:h="16838"/>
          <w:pgMar w:top="1417" w:right="1417" w:bottom="1417" w:left="1417" w:header="851" w:footer="850" w:gutter="0"/>
          <w:cols w:space="0" w:num="1"/>
          <w:rtlGutter w:val="0"/>
          <w:docGrid w:linePitch="312" w:charSpace="0"/>
        </w:sectPr>
      </w:pPr>
    </w:p>
    <w:p w14:paraId="41C08323">
      <w:pPr>
        <w:keepNext w:val="0"/>
        <w:keepLines w:val="0"/>
        <w:pageBreakBefore w:val="0"/>
        <w:kinsoku/>
        <w:wordWrap/>
        <w:overflowPunct/>
        <w:topLinePunct w:val="0"/>
        <w:autoSpaceDE/>
        <w:autoSpaceDN/>
        <w:bidi w:val="0"/>
        <w:adjustRightInd w:val="0"/>
        <w:snapToGrid/>
        <w:spacing w:line="360" w:lineRule="auto"/>
        <w:jc w:val="both"/>
        <w:textAlignment w:val="auto"/>
        <w:rPr>
          <w:rFonts w:hint="eastAsia" w:ascii="宋体" w:hAnsi="宋体" w:eastAsia="宋体" w:cs="宋体"/>
          <w:b w:val="0"/>
          <w:bCs/>
          <w:color w:val="auto"/>
          <w:sz w:val="24"/>
          <w:szCs w:val="22"/>
          <w:highlight w:val="none"/>
          <w:shd w:val="clear" w:color="auto" w:fill="auto"/>
          <w:lang w:val="en-US" w:eastAsia="zh-CN"/>
        </w:rPr>
      </w:pPr>
      <w:r>
        <w:rPr>
          <w:rFonts w:hint="eastAsia" w:ascii="宋体" w:hAnsi="宋体" w:eastAsia="宋体" w:cs="宋体"/>
          <w:b w:val="0"/>
          <w:bCs/>
          <w:color w:val="auto"/>
          <w:sz w:val="24"/>
          <w:szCs w:val="22"/>
          <w:highlight w:val="none"/>
          <w:shd w:val="clear" w:color="auto" w:fill="auto"/>
          <w:lang w:val="en-US" w:eastAsia="zh-CN"/>
        </w:rPr>
        <w:t>附件：《中小企业划型标准规定》工信部联企业〔2011〕300号</w:t>
      </w:r>
    </w:p>
    <w:tbl>
      <w:tblPr>
        <w:tblStyle w:val="62"/>
        <w:tblW w:w="0" w:type="auto"/>
        <w:jc w:val="center"/>
        <w:tblLayout w:type="autofit"/>
        <w:tblCellMar>
          <w:top w:w="0" w:type="dxa"/>
          <w:left w:w="108" w:type="dxa"/>
          <w:bottom w:w="0" w:type="dxa"/>
          <w:right w:w="108" w:type="dxa"/>
        </w:tblCellMar>
      </w:tblPr>
      <w:tblGrid>
        <w:gridCol w:w="470"/>
        <w:gridCol w:w="995"/>
        <w:gridCol w:w="1073"/>
        <w:gridCol w:w="1805"/>
        <w:gridCol w:w="1709"/>
        <w:gridCol w:w="1685"/>
        <w:gridCol w:w="1550"/>
      </w:tblGrid>
      <w:tr w14:paraId="3EE42871">
        <w:tblPrEx>
          <w:tblCellMar>
            <w:top w:w="0" w:type="dxa"/>
            <w:left w:w="108" w:type="dxa"/>
            <w:bottom w:w="0" w:type="dxa"/>
            <w:right w:w="108" w:type="dxa"/>
          </w:tblCellMar>
        </w:tblPrEx>
        <w:trPr>
          <w:trHeight w:val="442" w:hRule="atLeast"/>
          <w:tblHeader/>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F15E5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64E0C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行业分类</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4DE4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中小微型企业总要求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BCD9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中型企业标准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8689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小型企业标准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79CF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微型企业标准</w:t>
            </w:r>
          </w:p>
        </w:tc>
      </w:tr>
      <w:tr w14:paraId="0BF38972">
        <w:tblPrEx>
          <w:tblCellMar>
            <w:top w:w="0" w:type="dxa"/>
            <w:left w:w="108" w:type="dxa"/>
            <w:bottom w:w="0" w:type="dxa"/>
            <w:right w:w="108"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7400AC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44A1A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农、林、牧、渔业</w:t>
            </w:r>
          </w:p>
        </w:tc>
        <w:tc>
          <w:tcPr>
            <w:tcW w:w="0" w:type="auto"/>
            <w:tcBorders>
              <w:left w:val="single" w:color="000000" w:sz="4" w:space="0"/>
              <w:bottom w:val="single" w:color="000000" w:sz="4" w:space="0"/>
              <w:right w:val="single" w:color="000000" w:sz="4" w:space="0"/>
            </w:tcBorders>
            <w:noWrap w:val="0"/>
            <w:vAlign w:val="center"/>
          </w:tcPr>
          <w:p w14:paraId="10FCBB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营业收入（万元）</w:t>
            </w:r>
          </w:p>
        </w:tc>
        <w:tc>
          <w:tcPr>
            <w:tcW w:w="0" w:type="auto"/>
            <w:tcBorders>
              <w:left w:val="single" w:color="000000" w:sz="4" w:space="0"/>
              <w:bottom w:val="single" w:color="000000" w:sz="4" w:space="0"/>
              <w:right w:val="single" w:color="000000" w:sz="4" w:space="0"/>
            </w:tcBorders>
            <w:noWrap w:val="0"/>
            <w:vAlign w:val="center"/>
          </w:tcPr>
          <w:p w14:paraId="2CF5611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20000万以下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4047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500万及以上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A0A8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color w:val="auto"/>
                <w:sz w:val="21"/>
                <w:szCs w:val="21"/>
                <w:highlight w:val="none"/>
                <w:lang w:val="en-US" w:eastAsia="zh-CN"/>
              </w:rPr>
              <w:t>50万元及以上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E3CB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b w:val="0"/>
                <w:bCs/>
                <w:color w:val="auto"/>
                <w:sz w:val="21"/>
                <w:szCs w:val="21"/>
                <w:highlight w:val="none"/>
                <w:lang w:val="en-US" w:eastAsia="zh-CN"/>
              </w:rPr>
              <w:t>50万元以下</w:t>
            </w:r>
          </w:p>
        </w:tc>
      </w:tr>
      <w:tr w14:paraId="7EC07CA1">
        <w:tblPrEx>
          <w:tblCellMar>
            <w:top w:w="0" w:type="dxa"/>
            <w:left w:w="108" w:type="dxa"/>
            <w:bottom w:w="0" w:type="dxa"/>
            <w:right w:w="108"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59961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B3A70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工业</w:t>
            </w:r>
          </w:p>
        </w:tc>
        <w:tc>
          <w:tcPr>
            <w:tcW w:w="0" w:type="auto"/>
            <w:tcBorders>
              <w:left w:val="single" w:color="000000" w:sz="4" w:space="0"/>
              <w:bottom w:val="single" w:color="000000" w:sz="4" w:space="0"/>
              <w:right w:val="single" w:color="000000" w:sz="4" w:space="0"/>
            </w:tcBorders>
            <w:noWrap w:val="0"/>
            <w:vAlign w:val="center"/>
          </w:tcPr>
          <w:p w14:paraId="3E4A72D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从业人员（人）</w:t>
            </w:r>
          </w:p>
          <w:p w14:paraId="6577007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营业收入（万元）</w:t>
            </w:r>
          </w:p>
        </w:tc>
        <w:tc>
          <w:tcPr>
            <w:tcW w:w="0" w:type="auto"/>
            <w:tcBorders>
              <w:left w:val="single" w:color="000000" w:sz="4" w:space="0"/>
              <w:bottom w:val="single" w:color="000000" w:sz="4" w:space="0"/>
              <w:right w:val="single" w:color="000000" w:sz="4" w:space="0"/>
            </w:tcBorders>
            <w:noWrap w:val="0"/>
            <w:vAlign w:val="center"/>
          </w:tcPr>
          <w:p w14:paraId="456AA80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color w:val="auto"/>
                <w:sz w:val="21"/>
                <w:szCs w:val="21"/>
                <w:highlight w:val="none"/>
                <w:lang w:val="en-US" w:eastAsia="zh-CN"/>
              </w:rPr>
              <w:t>从业人员1000人以下或营业收入40000万元以下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0B42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val="0"/>
                <w:bCs/>
                <w:color w:val="auto"/>
                <w:sz w:val="21"/>
                <w:szCs w:val="21"/>
                <w:highlight w:val="none"/>
                <w:lang w:val="en-US" w:eastAsia="zh-CN"/>
              </w:rPr>
              <w:t>从业人员300人及以上，且营业收入2000万元及以上的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CC48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从业人员20人及以上，且营业收入300万元及以上的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5B26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从业人员20人以下或营业收入300万元以下</w:t>
            </w:r>
          </w:p>
        </w:tc>
      </w:tr>
      <w:tr w14:paraId="426B337D">
        <w:tblPrEx>
          <w:tblCellMar>
            <w:top w:w="0" w:type="dxa"/>
            <w:left w:w="108" w:type="dxa"/>
            <w:bottom w:w="0" w:type="dxa"/>
            <w:right w:w="108"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DCF61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6475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建筑业</w:t>
            </w:r>
          </w:p>
        </w:tc>
        <w:tc>
          <w:tcPr>
            <w:tcW w:w="0" w:type="auto"/>
            <w:tcBorders>
              <w:left w:val="single" w:color="000000" w:sz="4" w:space="0"/>
              <w:bottom w:val="single" w:color="000000" w:sz="4" w:space="0"/>
              <w:right w:val="single" w:color="000000" w:sz="4" w:space="0"/>
            </w:tcBorders>
            <w:noWrap w:val="0"/>
            <w:vAlign w:val="center"/>
          </w:tcPr>
          <w:p w14:paraId="17B45F2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营业收入（万元）</w:t>
            </w:r>
          </w:p>
          <w:p w14:paraId="4961261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资产总额（万元）</w:t>
            </w:r>
          </w:p>
        </w:tc>
        <w:tc>
          <w:tcPr>
            <w:tcW w:w="0" w:type="auto"/>
            <w:tcBorders>
              <w:left w:val="single" w:color="000000" w:sz="4" w:space="0"/>
              <w:bottom w:val="single" w:color="000000" w:sz="4" w:space="0"/>
              <w:right w:val="single" w:color="000000" w:sz="4" w:space="0"/>
            </w:tcBorders>
            <w:noWrap w:val="0"/>
            <w:vAlign w:val="center"/>
          </w:tcPr>
          <w:p w14:paraId="52387E7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营业收入80000万元以下或资产总额80000万元以下的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140A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营业收入6000万元及以上，且资产总额5000万元及以上的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943F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营业收入300万元及以上，且资产总额300万元及以上的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FE75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营业收入300万元以下或资产总额300万元以下的</w:t>
            </w:r>
          </w:p>
        </w:tc>
      </w:tr>
      <w:tr w14:paraId="7EA3EB23">
        <w:tblPrEx>
          <w:tblCellMar>
            <w:top w:w="0" w:type="dxa"/>
            <w:left w:w="108" w:type="dxa"/>
            <w:bottom w:w="0" w:type="dxa"/>
            <w:right w:w="108"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3EA41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A9E8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批发业</w:t>
            </w:r>
          </w:p>
        </w:tc>
        <w:tc>
          <w:tcPr>
            <w:tcW w:w="0" w:type="auto"/>
            <w:tcBorders>
              <w:left w:val="single" w:color="000000" w:sz="4" w:space="0"/>
              <w:bottom w:val="single" w:color="000000" w:sz="4" w:space="0"/>
              <w:right w:val="single" w:color="000000" w:sz="4" w:space="0"/>
            </w:tcBorders>
            <w:noWrap w:val="0"/>
            <w:vAlign w:val="center"/>
          </w:tcPr>
          <w:p w14:paraId="02C4EA1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从业人员（人）</w:t>
            </w:r>
          </w:p>
          <w:p w14:paraId="2A84FC7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营业收入（万元）</w:t>
            </w:r>
          </w:p>
        </w:tc>
        <w:tc>
          <w:tcPr>
            <w:tcW w:w="0" w:type="auto"/>
            <w:tcBorders>
              <w:left w:val="single" w:color="000000" w:sz="4" w:space="0"/>
              <w:bottom w:val="single" w:color="000000" w:sz="4" w:space="0"/>
              <w:right w:val="single" w:color="000000" w:sz="4" w:space="0"/>
            </w:tcBorders>
            <w:noWrap w:val="0"/>
            <w:vAlign w:val="center"/>
          </w:tcPr>
          <w:p w14:paraId="252DD8D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从业人员200人以下或营业收入40000万元以下的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61EE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从业人员20人及以上，且营业收入5000万元及以上的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8779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从业人员5人及以上，且营业收入1000万元及以上的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72B5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从业人员5人以下或营业收入1000万元以下的</w:t>
            </w:r>
          </w:p>
        </w:tc>
      </w:tr>
      <w:tr w14:paraId="7E3D7BB0">
        <w:tblPrEx>
          <w:tblCellMar>
            <w:top w:w="0" w:type="dxa"/>
            <w:left w:w="108" w:type="dxa"/>
            <w:bottom w:w="0" w:type="dxa"/>
            <w:right w:w="108"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A0A36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6A5A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零售业</w:t>
            </w:r>
          </w:p>
        </w:tc>
        <w:tc>
          <w:tcPr>
            <w:tcW w:w="0" w:type="auto"/>
            <w:tcBorders>
              <w:left w:val="single" w:color="000000" w:sz="4" w:space="0"/>
              <w:bottom w:val="single" w:color="000000" w:sz="4" w:space="0"/>
              <w:right w:val="single" w:color="000000" w:sz="4" w:space="0"/>
            </w:tcBorders>
            <w:noWrap w:val="0"/>
            <w:vAlign w:val="center"/>
          </w:tcPr>
          <w:p w14:paraId="58F1F2D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从业人员（人）</w:t>
            </w:r>
          </w:p>
          <w:p w14:paraId="58C7C03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营业收入（万元）</w:t>
            </w:r>
          </w:p>
        </w:tc>
        <w:tc>
          <w:tcPr>
            <w:tcW w:w="0" w:type="auto"/>
            <w:tcBorders>
              <w:left w:val="single" w:color="000000" w:sz="4" w:space="0"/>
              <w:bottom w:val="single" w:color="000000" w:sz="4" w:space="0"/>
              <w:right w:val="single" w:color="000000" w:sz="4" w:space="0"/>
            </w:tcBorders>
            <w:noWrap w:val="0"/>
            <w:vAlign w:val="center"/>
          </w:tcPr>
          <w:p w14:paraId="3762626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从业人员300人以下或营业收入20000万元以下的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5079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从业人员50人及以上，且营业收入500万元及以上的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382E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从业人员10人及以上，且营业收入100万元及以上的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2450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从业人员10人以下或营业收入100万元以下的</w:t>
            </w:r>
          </w:p>
        </w:tc>
      </w:tr>
      <w:tr w14:paraId="64C5C379">
        <w:tblPrEx>
          <w:tblCellMar>
            <w:top w:w="0" w:type="dxa"/>
            <w:left w:w="108" w:type="dxa"/>
            <w:bottom w:w="0" w:type="dxa"/>
            <w:right w:w="108"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DD85A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F244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交通运输业</w:t>
            </w:r>
          </w:p>
        </w:tc>
        <w:tc>
          <w:tcPr>
            <w:tcW w:w="0" w:type="auto"/>
            <w:tcBorders>
              <w:left w:val="single" w:color="000000" w:sz="4" w:space="0"/>
              <w:bottom w:val="single" w:color="000000" w:sz="4" w:space="0"/>
              <w:right w:val="single" w:color="000000" w:sz="4" w:space="0"/>
            </w:tcBorders>
            <w:noWrap w:val="0"/>
            <w:vAlign w:val="center"/>
          </w:tcPr>
          <w:p w14:paraId="2B0BAD4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从业人员（人）</w:t>
            </w:r>
          </w:p>
          <w:p w14:paraId="11508B3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营业收入（万元）</w:t>
            </w:r>
          </w:p>
        </w:tc>
        <w:tc>
          <w:tcPr>
            <w:tcW w:w="0" w:type="auto"/>
            <w:tcBorders>
              <w:left w:val="single" w:color="000000" w:sz="4" w:space="0"/>
              <w:bottom w:val="single" w:color="000000" w:sz="4" w:space="0"/>
              <w:right w:val="single" w:color="000000" w:sz="4" w:space="0"/>
            </w:tcBorders>
            <w:noWrap w:val="0"/>
            <w:vAlign w:val="center"/>
          </w:tcPr>
          <w:p w14:paraId="1656DDC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从业人员1000人以下或营业收入30000万元以下的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1555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从业人员300人及以上，且营业收入3000万元及以上的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3439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从业人员20人及以上，且营业收入200万元及以上的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FD67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从业人员20人以下或营业收入200万元以下的</w:t>
            </w:r>
          </w:p>
        </w:tc>
      </w:tr>
      <w:tr w14:paraId="5BB182D0">
        <w:tblPrEx>
          <w:tblCellMar>
            <w:top w:w="0" w:type="dxa"/>
            <w:left w:w="108" w:type="dxa"/>
            <w:bottom w:w="0" w:type="dxa"/>
            <w:right w:w="108"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29C36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9554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仓储业</w:t>
            </w:r>
          </w:p>
        </w:tc>
        <w:tc>
          <w:tcPr>
            <w:tcW w:w="0" w:type="auto"/>
            <w:tcBorders>
              <w:left w:val="single" w:color="000000" w:sz="4" w:space="0"/>
              <w:bottom w:val="single" w:color="000000" w:sz="4" w:space="0"/>
              <w:right w:val="single" w:color="000000" w:sz="4" w:space="0"/>
            </w:tcBorders>
            <w:noWrap w:val="0"/>
            <w:vAlign w:val="center"/>
          </w:tcPr>
          <w:p w14:paraId="3B0C0AB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从业人员（人）</w:t>
            </w:r>
          </w:p>
          <w:p w14:paraId="48CA5AC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营业收入（万元）</w:t>
            </w:r>
          </w:p>
        </w:tc>
        <w:tc>
          <w:tcPr>
            <w:tcW w:w="0" w:type="auto"/>
            <w:tcBorders>
              <w:left w:val="single" w:color="000000" w:sz="4" w:space="0"/>
              <w:bottom w:val="single" w:color="000000" w:sz="4" w:space="0"/>
              <w:right w:val="single" w:color="000000" w:sz="4" w:space="0"/>
            </w:tcBorders>
            <w:noWrap w:val="0"/>
            <w:vAlign w:val="center"/>
          </w:tcPr>
          <w:p w14:paraId="715B80C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从业人员200人以下或营业收入30000万元以下的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BFAF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从业人员100人及以上，且营业收入1000万元及以上的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FDDB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从业人员20人及以上，且营业收入100万元及以上的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E491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从业人员20人以下或营业收入100万元以下的</w:t>
            </w:r>
          </w:p>
        </w:tc>
      </w:tr>
      <w:tr w14:paraId="1E893538">
        <w:tblPrEx>
          <w:tblCellMar>
            <w:top w:w="0" w:type="dxa"/>
            <w:left w:w="108" w:type="dxa"/>
            <w:bottom w:w="0" w:type="dxa"/>
            <w:right w:w="108" w:type="dxa"/>
          </w:tblCellMar>
        </w:tblPrEx>
        <w:trPr>
          <w:trHeight w:val="1793"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0EB04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4370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邮政业</w:t>
            </w:r>
          </w:p>
        </w:tc>
        <w:tc>
          <w:tcPr>
            <w:tcW w:w="0" w:type="auto"/>
            <w:tcBorders>
              <w:left w:val="single" w:color="000000" w:sz="4" w:space="0"/>
              <w:bottom w:val="single" w:color="000000" w:sz="4" w:space="0"/>
              <w:right w:val="single" w:color="000000" w:sz="4" w:space="0"/>
            </w:tcBorders>
            <w:noWrap w:val="0"/>
            <w:vAlign w:val="center"/>
          </w:tcPr>
          <w:p w14:paraId="4EB85F1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从业人员（人）</w:t>
            </w:r>
          </w:p>
          <w:p w14:paraId="3B1E94D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营业收入（万元）</w:t>
            </w:r>
          </w:p>
        </w:tc>
        <w:tc>
          <w:tcPr>
            <w:tcW w:w="0" w:type="auto"/>
            <w:tcBorders>
              <w:left w:val="single" w:color="000000" w:sz="4" w:space="0"/>
              <w:bottom w:val="single" w:color="000000" w:sz="4" w:space="0"/>
              <w:right w:val="single" w:color="000000" w:sz="4" w:space="0"/>
            </w:tcBorders>
            <w:noWrap w:val="0"/>
            <w:vAlign w:val="center"/>
          </w:tcPr>
          <w:p w14:paraId="53B3321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从业人员1000人以下或营业收入30000万元以下的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42AE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从业人员300人及以上，且营业收入2000万元及以上的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4041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从业人员20人及以上，且营业收入100万元及以上的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2FC6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从业人员20人以下或营业收入100万元以下的</w:t>
            </w:r>
          </w:p>
        </w:tc>
      </w:tr>
      <w:tr w14:paraId="24FFAF8E">
        <w:tblPrEx>
          <w:tblCellMar>
            <w:top w:w="0" w:type="dxa"/>
            <w:left w:w="108" w:type="dxa"/>
            <w:bottom w:w="0" w:type="dxa"/>
            <w:right w:w="108"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202E4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FAD7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住宿业</w:t>
            </w:r>
          </w:p>
        </w:tc>
        <w:tc>
          <w:tcPr>
            <w:tcW w:w="0" w:type="auto"/>
            <w:tcBorders>
              <w:left w:val="single" w:color="000000" w:sz="4" w:space="0"/>
              <w:bottom w:val="single" w:color="000000" w:sz="4" w:space="0"/>
              <w:right w:val="single" w:color="000000" w:sz="4" w:space="0"/>
            </w:tcBorders>
            <w:noWrap w:val="0"/>
            <w:vAlign w:val="center"/>
          </w:tcPr>
          <w:p w14:paraId="684E5AF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从业人员（人）</w:t>
            </w:r>
          </w:p>
          <w:p w14:paraId="150DAEA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营业收入（万元）</w:t>
            </w:r>
          </w:p>
        </w:tc>
        <w:tc>
          <w:tcPr>
            <w:tcW w:w="0" w:type="auto"/>
            <w:tcBorders>
              <w:left w:val="single" w:color="000000" w:sz="4" w:space="0"/>
              <w:bottom w:val="single" w:color="000000" w:sz="4" w:space="0"/>
              <w:right w:val="single" w:color="000000" w:sz="4" w:space="0"/>
            </w:tcBorders>
            <w:noWrap w:val="0"/>
            <w:vAlign w:val="center"/>
          </w:tcPr>
          <w:p w14:paraId="616154A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从业人员300人以下或营业收入10000万元以下的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DD4A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从业人员100人及以上，且营业收入2000万元及以上的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8C9D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从业人员10人及以上，且营业收入100万元及以上的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2253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从业人员10人以下或营业收入100万元以下的</w:t>
            </w:r>
          </w:p>
        </w:tc>
      </w:tr>
      <w:tr w14:paraId="420A3DC6">
        <w:tblPrEx>
          <w:tblCellMar>
            <w:top w:w="0" w:type="dxa"/>
            <w:left w:w="108" w:type="dxa"/>
            <w:bottom w:w="0" w:type="dxa"/>
            <w:right w:w="108"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BB9B0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BE32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餐饮业</w:t>
            </w:r>
          </w:p>
        </w:tc>
        <w:tc>
          <w:tcPr>
            <w:tcW w:w="0" w:type="auto"/>
            <w:tcBorders>
              <w:left w:val="single" w:color="000000" w:sz="4" w:space="0"/>
              <w:bottom w:val="single" w:color="000000" w:sz="4" w:space="0"/>
              <w:right w:val="single" w:color="000000" w:sz="4" w:space="0"/>
            </w:tcBorders>
            <w:noWrap w:val="0"/>
            <w:vAlign w:val="center"/>
          </w:tcPr>
          <w:p w14:paraId="1D1D7F5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从业人员（人）</w:t>
            </w:r>
          </w:p>
          <w:p w14:paraId="1990E06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营业收入（万元）</w:t>
            </w:r>
          </w:p>
        </w:tc>
        <w:tc>
          <w:tcPr>
            <w:tcW w:w="0" w:type="auto"/>
            <w:tcBorders>
              <w:left w:val="single" w:color="000000" w:sz="4" w:space="0"/>
              <w:bottom w:val="single" w:color="000000" w:sz="4" w:space="0"/>
              <w:right w:val="single" w:color="000000" w:sz="4" w:space="0"/>
            </w:tcBorders>
            <w:noWrap w:val="0"/>
            <w:vAlign w:val="center"/>
          </w:tcPr>
          <w:p w14:paraId="6C324A9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从业人员300人以下或营业收入10000万元以下的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F318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从业人员100人及以上，且营业收入2000万元及以上的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696B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从业人员10人及以上，且营业收入100万元及以上的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C943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从业人员10人以下或营业收入100万元以下的</w:t>
            </w:r>
          </w:p>
        </w:tc>
      </w:tr>
      <w:tr w14:paraId="0963212A">
        <w:tblPrEx>
          <w:tblCellMar>
            <w:top w:w="0" w:type="dxa"/>
            <w:left w:w="108" w:type="dxa"/>
            <w:bottom w:w="0" w:type="dxa"/>
            <w:right w:w="108"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9FE07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6083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信息传输业</w:t>
            </w:r>
          </w:p>
        </w:tc>
        <w:tc>
          <w:tcPr>
            <w:tcW w:w="0" w:type="auto"/>
            <w:tcBorders>
              <w:left w:val="single" w:color="000000" w:sz="4" w:space="0"/>
              <w:bottom w:val="single" w:color="000000" w:sz="4" w:space="0"/>
              <w:right w:val="single" w:color="000000" w:sz="4" w:space="0"/>
            </w:tcBorders>
            <w:noWrap w:val="0"/>
            <w:vAlign w:val="center"/>
          </w:tcPr>
          <w:p w14:paraId="31CAFFA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从业人员（人）</w:t>
            </w:r>
          </w:p>
          <w:p w14:paraId="55D989F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营业收入（万元）</w:t>
            </w:r>
          </w:p>
        </w:tc>
        <w:tc>
          <w:tcPr>
            <w:tcW w:w="0" w:type="auto"/>
            <w:tcBorders>
              <w:left w:val="single" w:color="000000" w:sz="4" w:space="0"/>
              <w:bottom w:val="single" w:color="000000" w:sz="4" w:space="0"/>
              <w:right w:val="single" w:color="000000" w:sz="4" w:space="0"/>
            </w:tcBorders>
            <w:noWrap w:val="0"/>
            <w:vAlign w:val="center"/>
          </w:tcPr>
          <w:p w14:paraId="0B2B09C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从业人员2000人以下或营业收入100000万元以下的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0E15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从业人员100人及以上，且营业收入1000万元及以上的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CE43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从业人员10人及以上，且营业收入100万元及以上的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D2D8A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从业人员10人以下或营业收入100万元以下的</w:t>
            </w:r>
          </w:p>
        </w:tc>
      </w:tr>
      <w:tr w14:paraId="03054C0E">
        <w:tblPrEx>
          <w:tblCellMar>
            <w:top w:w="0" w:type="dxa"/>
            <w:left w:w="108" w:type="dxa"/>
            <w:bottom w:w="0" w:type="dxa"/>
            <w:right w:w="108"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BC4D5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0680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软件和信息技术服务业</w:t>
            </w:r>
          </w:p>
        </w:tc>
        <w:tc>
          <w:tcPr>
            <w:tcW w:w="0" w:type="auto"/>
            <w:tcBorders>
              <w:left w:val="single" w:color="000000" w:sz="4" w:space="0"/>
              <w:bottom w:val="single" w:color="000000" w:sz="4" w:space="0"/>
              <w:right w:val="single" w:color="000000" w:sz="4" w:space="0"/>
            </w:tcBorders>
            <w:noWrap w:val="0"/>
            <w:vAlign w:val="center"/>
          </w:tcPr>
          <w:p w14:paraId="2BF2D89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从业人员（人）</w:t>
            </w:r>
          </w:p>
          <w:p w14:paraId="30A9AA8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营业收入（万元）</w:t>
            </w:r>
          </w:p>
        </w:tc>
        <w:tc>
          <w:tcPr>
            <w:tcW w:w="0" w:type="auto"/>
            <w:tcBorders>
              <w:left w:val="single" w:color="000000" w:sz="4" w:space="0"/>
              <w:bottom w:val="single" w:color="000000" w:sz="4" w:space="0"/>
              <w:right w:val="single" w:color="000000" w:sz="4" w:space="0"/>
            </w:tcBorders>
            <w:noWrap w:val="0"/>
            <w:vAlign w:val="center"/>
          </w:tcPr>
          <w:p w14:paraId="6B2D9ED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从业人员300人以下或营业收入10000万元以下的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A76C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从业人员100人及以上，且营业收入1000万元及以上的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5EE3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从业人员10人及以上，且营业收入50万元及以上的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DE1F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从业人员10人以下或营业收入50万元以下的</w:t>
            </w:r>
          </w:p>
        </w:tc>
      </w:tr>
      <w:tr w14:paraId="47D7311A">
        <w:tblPrEx>
          <w:tblCellMar>
            <w:top w:w="0" w:type="dxa"/>
            <w:left w:w="108" w:type="dxa"/>
            <w:bottom w:w="0" w:type="dxa"/>
            <w:right w:w="108"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F1CAD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A709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房地产开发经营</w:t>
            </w:r>
          </w:p>
        </w:tc>
        <w:tc>
          <w:tcPr>
            <w:tcW w:w="0" w:type="auto"/>
            <w:tcBorders>
              <w:left w:val="single" w:color="000000" w:sz="4" w:space="0"/>
              <w:bottom w:val="single" w:color="000000" w:sz="4" w:space="0"/>
              <w:right w:val="single" w:color="000000" w:sz="4" w:space="0"/>
            </w:tcBorders>
            <w:noWrap w:val="0"/>
            <w:vAlign w:val="center"/>
          </w:tcPr>
          <w:p w14:paraId="75DDB80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营业收入（万元）</w:t>
            </w:r>
          </w:p>
          <w:p w14:paraId="0D4419D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资产总额（万元）</w:t>
            </w:r>
          </w:p>
        </w:tc>
        <w:tc>
          <w:tcPr>
            <w:tcW w:w="0" w:type="auto"/>
            <w:tcBorders>
              <w:left w:val="single" w:color="000000" w:sz="4" w:space="0"/>
              <w:bottom w:val="single" w:color="000000" w:sz="4" w:space="0"/>
              <w:right w:val="single" w:color="000000" w:sz="4" w:space="0"/>
            </w:tcBorders>
            <w:noWrap w:val="0"/>
            <w:vAlign w:val="center"/>
          </w:tcPr>
          <w:p w14:paraId="0EF8224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营业收入200000万元以下或资产总额10000万元以下的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9ACB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营业收入1000万元及以上，且资产总额5000万元及以上的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1117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营业收入100万元及以上，且资产总额2000万元及以上的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BC52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营业收入100万元以下或资产总额2000万元以下的</w:t>
            </w:r>
          </w:p>
        </w:tc>
      </w:tr>
      <w:tr w14:paraId="59000F0F">
        <w:tblPrEx>
          <w:tblCellMar>
            <w:top w:w="0" w:type="dxa"/>
            <w:left w:w="108" w:type="dxa"/>
            <w:bottom w:w="0" w:type="dxa"/>
            <w:right w:w="108"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CE045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0716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物业管理</w:t>
            </w:r>
          </w:p>
        </w:tc>
        <w:tc>
          <w:tcPr>
            <w:tcW w:w="0" w:type="auto"/>
            <w:tcBorders>
              <w:left w:val="single" w:color="000000" w:sz="4" w:space="0"/>
              <w:bottom w:val="single" w:color="000000" w:sz="4" w:space="0"/>
              <w:right w:val="single" w:color="000000" w:sz="4" w:space="0"/>
            </w:tcBorders>
            <w:noWrap w:val="0"/>
            <w:vAlign w:val="center"/>
          </w:tcPr>
          <w:p w14:paraId="72657FC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从业人员（人）</w:t>
            </w:r>
          </w:p>
          <w:p w14:paraId="1623107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营业收入（万元）</w:t>
            </w:r>
          </w:p>
        </w:tc>
        <w:tc>
          <w:tcPr>
            <w:tcW w:w="0" w:type="auto"/>
            <w:tcBorders>
              <w:left w:val="single" w:color="000000" w:sz="4" w:space="0"/>
              <w:bottom w:val="single" w:color="000000" w:sz="4" w:space="0"/>
              <w:right w:val="single" w:color="000000" w:sz="4" w:space="0"/>
            </w:tcBorders>
            <w:noWrap w:val="0"/>
            <w:vAlign w:val="center"/>
          </w:tcPr>
          <w:p w14:paraId="4A22757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从业人员1000人以下或营业收入5000万元以下的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98B0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从业人员300人及以上，且营业收入1000万元及以上的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1AA3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从业人员100人及以上，且营业收入500万元及以上的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C44C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从业人员100人以下或营业收入500万元以下的</w:t>
            </w:r>
          </w:p>
        </w:tc>
      </w:tr>
      <w:tr w14:paraId="3859E0A6">
        <w:tblPrEx>
          <w:tblCellMar>
            <w:top w:w="0" w:type="dxa"/>
            <w:left w:w="108" w:type="dxa"/>
            <w:bottom w:w="0" w:type="dxa"/>
            <w:right w:w="108"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056C5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7024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租赁和商务服务业</w:t>
            </w:r>
          </w:p>
        </w:tc>
        <w:tc>
          <w:tcPr>
            <w:tcW w:w="0" w:type="auto"/>
            <w:tcBorders>
              <w:left w:val="single" w:color="000000" w:sz="4" w:space="0"/>
              <w:bottom w:val="single" w:color="000000" w:sz="4" w:space="0"/>
              <w:right w:val="single" w:color="000000" w:sz="4" w:space="0"/>
            </w:tcBorders>
            <w:noWrap w:val="0"/>
            <w:vAlign w:val="center"/>
          </w:tcPr>
          <w:p w14:paraId="54FBF55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营业收入（万元）</w:t>
            </w:r>
          </w:p>
          <w:p w14:paraId="2B72E8B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资产总额（万元）</w:t>
            </w:r>
          </w:p>
        </w:tc>
        <w:tc>
          <w:tcPr>
            <w:tcW w:w="0" w:type="auto"/>
            <w:tcBorders>
              <w:left w:val="single" w:color="000000" w:sz="4" w:space="0"/>
              <w:bottom w:val="single" w:color="000000" w:sz="4" w:space="0"/>
              <w:right w:val="single" w:color="000000" w:sz="4" w:space="0"/>
            </w:tcBorders>
            <w:noWrap w:val="0"/>
            <w:vAlign w:val="center"/>
          </w:tcPr>
          <w:p w14:paraId="2E45B38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从业人员300人以下或资产总额120000万元以下的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220C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从业人员100人及以上，且资产总额8000万元及以上的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0030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从业人员10人及以上，且资产总额100万元及以上的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6AEE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从业人员10人以下或资产总额100万元以下的</w:t>
            </w:r>
          </w:p>
        </w:tc>
      </w:tr>
      <w:tr w14:paraId="279BE7E9">
        <w:tblPrEx>
          <w:tblCellMar>
            <w:top w:w="0" w:type="dxa"/>
            <w:left w:w="108" w:type="dxa"/>
            <w:bottom w:w="0" w:type="dxa"/>
            <w:right w:w="108" w:type="dxa"/>
          </w:tblCellMar>
        </w:tblPrEx>
        <w:trPr>
          <w:trHeight w:val="444"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B46E8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5687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其他未列明行业</w:t>
            </w:r>
          </w:p>
        </w:tc>
        <w:tc>
          <w:tcPr>
            <w:tcW w:w="0" w:type="auto"/>
            <w:tcBorders>
              <w:left w:val="single" w:color="000000" w:sz="4" w:space="0"/>
              <w:bottom w:val="single" w:color="000000" w:sz="4" w:space="0"/>
              <w:right w:val="single" w:color="000000" w:sz="4" w:space="0"/>
            </w:tcBorders>
            <w:noWrap w:val="0"/>
            <w:vAlign w:val="center"/>
          </w:tcPr>
          <w:p w14:paraId="562A651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从业人员（人）</w:t>
            </w:r>
          </w:p>
        </w:tc>
        <w:tc>
          <w:tcPr>
            <w:tcW w:w="0" w:type="auto"/>
            <w:tcBorders>
              <w:left w:val="single" w:color="000000" w:sz="4" w:space="0"/>
              <w:bottom w:val="single" w:color="000000" w:sz="4" w:space="0"/>
              <w:right w:val="single" w:color="000000" w:sz="4" w:space="0"/>
            </w:tcBorders>
            <w:noWrap w:val="0"/>
            <w:vAlign w:val="center"/>
          </w:tcPr>
          <w:p w14:paraId="61F7C8A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从业人员300人以下的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FD50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从业人员100人及以上的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332D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从业人员10人及以上的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D23B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从业人员10人以下的</w:t>
            </w:r>
          </w:p>
        </w:tc>
      </w:tr>
    </w:tbl>
    <w:p w14:paraId="3265B2C3">
      <w:pPr>
        <w:pStyle w:val="7"/>
        <w:tabs>
          <w:tab w:val="left" w:pos="432"/>
          <w:tab w:val="clear" w:pos="1152"/>
        </w:tabs>
        <w:ind w:left="0" w:leftChars="0" w:firstLine="0" w:firstLineChars="0"/>
        <w:rPr>
          <w:color w:val="auto"/>
          <w:sz w:val="20"/>
          <w:szCs w:val="20"/>
          <w:highlight w:val="none"/>
        </w:rPr>
      </w:pPr>
    </w:p>
    <w:bookmarkEnd w:id="668"/>
    <w:sectPr>
      <w:pgSz w:w="11905" w:h="16838"/>
      <w:pgMar w:top="1417" w:right="1417" w:bottom="1417" w:left="1417"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0"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2F6F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5C04B">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2433A">
    <w:pPr>
      <w:pStyle w:val="39"/>
      <w:framePr w:wrap="around" w:vAnchor="text" w:hAnchor="margin" w:xAlign="right" w:y="1"/>
      <w:rPr>
        <w:rStyle w:val="72"/>
      </w:rPr>
    </w:pPr>
    <w:r>
      <w:fldChar w:fldCharType="begin"/>
    </w:r>
    <w:r>
      <w:rPr>
        <w:rStyle w:val="72"/>
      </w:rPr>
      <w:instrText xml:space="preserve">PAGE  </w:instrText>
    </w:r>
    <w:r>
      <w:fldChar w:fldCharType="end"/>
    </w:r>
  </w:p>
  <w:p w14:paraId="718B6CC4">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D5AC1">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664" w:name="_Toc164085800"/>
    <w:bookmarkStart w:id="665" w:name="_Toc131845147"/>
    <w:bookmarkStart w:id="666" w:name="_Toc36110187"/>
    <w:bookmarkStart w:id="667" w:name="_Toc91899912"/>
    <w:r>
      <w:rPr>
        <w:rFonts w:hint="eastAsia" w:ascii="仿宋_GB2312" w:eastAsia="仿宋_GB2312"/>
        <w:kern w:val="0"/>
        <w:szCs w:val="21"/>
      </w:rPr>
      <w:t xml:space="preserve"> 页</w:t>
    </w:r>
    <w:bookmarkEnd w:id="664"/>
    <w:bookmarkEnd w:id="665"/>
    <w:bookmarkEnd w:id="666"/>
    <w:bookmarkEnd w:id="66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4A296">
    <w:pPr>
      <w:pStyle w:val="39"/>
      <w:framePr w:wrap="around" w:vAnchor="text" w:hAnchor="margin" w:xAlign="right" w:y="1"/>
      <w:rPr>
        <w:rStyle w:val="72"/>
      </w:rPr>
    </w:pPr>
    <w:r>
      <w:fldChar w:fldCharType="begin"/>
    </w:r>
    <w:r>
      <w:rPr>
        <w:rStyle w:val="72"/>
      </w:rPr>
      <w:instrText xml:space="preserve">PAGE  </w:instrText>
    </w:r>
    <w:r>
      <w:fldChar w:fldCharType="end"/>
    </w:r>
  </w:p>
  <w:p w14:paraId="2282A033">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1A3F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C11F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334F33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E46D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A9A803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5230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369C8A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667B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F398C9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2989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EA8C80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9B71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EB21FC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D03E0">
    <w:pPr>
      <w:pStyle w:val="40"/>
      <w:jc w:val="right"/>
      <w:rPr>
        <w:lang w:val="en-US"/>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0BD56">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6A971">
    <w:pPr>
      <w:pStyle w:val="40"/>
    </w:pPr>
    <w:r>
      <w:t></w:t>
    </w:r>
    <w:r>
      <w:rPr>
        <w:rFonts w:hint="eastAsia"/>
      </w:rPr>
      <w:t xml:space="preserve">         </w:t>
    </w:r>
  </w:p>
  <w:p w14:paraId="3B0480FB">
    <w:pPr>
      <w:pStyle w:val="40"/>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09BDD">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70482">
    <w:pPr>
      <w:pStyle w:val="40"/>
      <w:jc w:val="right"/>
      <w:rPr>
        <w:rFonts w:ascii="仿宋_GB2312" w:eastAsia="仿宋_GB2312"/>
        <w:b/>
        <w:i/>
        <w:u w:val="single"/>
      </w:rPr>
    </w:pPr>
    <w:r>
      <w:rPr>
        <w:rFonts w:hint="eastAsia"/>
      </w:rPr>
      <w:t xml:space="preserve">                                  </w:t>
    </w:r>
    <w:r>
      <w:t>杭州市政府采购公开招标文件</w:t>
    </w:r>
  </w:p>
  <w:p w14:paraId="1ED8450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B671A">
    <w:pPr>
      <w:pStyle w:val="40"/>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68B5F">
    <w:pPr>
      <w:pStyle w:val="40"/>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F7EA1">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842F0"/>
    <w:multiLevelType w:val="singleLevel"/>
    <w:tmpl w:val="B2A842F0"/>
    <w:lvl w:ilvl="0" w:tentative="0">
      <w:start w:val="1"/>
      <w:numFmt w:val="decimal"/>
      <w:suff w:val="space"/>
      <w:lvlText w:val="%1."/>
      <w:lvlJc w:val="left"/>
    </w:lvl>
  </w:abstractNum>
  <w:abstractNum w:abstractNumId="1">
    <w:nsid w:val="D49749B7"/>
    <w:multiLevelType w:val="singleLevel"/>
    <w:tmpl w:val="D49749B7"/>
    <w:lvl w:ilvl="0" w:tentative="0">
      <w:start w:val="5"/>
      <w:numFmt w:val="decimal"/>
      <w:suff w:val="nothing"/>
      <w:lvlText w:val="（%1）"/>
      <w:lvlJc w:val="left"/>
    </w:lvl>
  </w:abstractNum>
  <w:abstractNum w:abstractNumId="2">
    <w:nsid w:val="44185CAF"/>
    <w:multiLevelType w:val="singleLevel"/>
    <w:tmpl w:val="44185CAF"/>
    <w:lvl w:ilvl="0" w:tentative="0">
      <w:start w:val="1"/>
      <w:numFmt w:val="decimal"/>
      <w:suff w:val="nothing"/>
      <w:lvlText w:val="（%1）"/>
      <w:lvlJc w:val="left"/>
    </w:lvl>
  </w:abstractNum>
  <w:abstractNum w:abstractNumId="3">
    <w:nsid w:val="5F154414"/>
    <w:multiLevelType w:val="singleLevel"/>
    <w:tmpl w:val="5F154414"/>
    <w:lvl w:ilvl="0" w:tentative="0">
      <w:start w:val="4"/>
      <w:numFmt w:val="chineseCounting"/>
      <w:suff w:val="nothing"/>
      <w:lvlText w:val="%1、"/>
      <w:lvlJc w:val="left"/>
      <w:rPr>
        <w:rFonts w:hint="eastAsia"/>
      </w:rPr>
    </w:lvl>
  </w:abstractNum>
  <w:abstractNum w:abstractNumId="4">
    <w:nsid w:val="7C6B313D"/>
    <w:multiLevelType w:val="singleLevel"/>
    <w:tmpl w:val="7C6B313D"/>
    <w:lvl w:ilvl="0" w:tentative="0">
      <w:start w:val="1"/>
      <w:numFmt w:val="bullet"/>
      <w:lvlText w:val=""/>
      <w:lvlJc w:val="left"/>
      <w:pPr>
        <w:ind w:left="420" w:hanging="420"/>
      </w:pPr>
      <w:rPr>
        <w:rFonts w:hint="default" w:ascii="Wingdings" w:hAnsi="Wingdings"/>
      </w:rPr>
    </w:lvl>
  </w:abstractNum>
  <w:num w:numId="1">
    <w:abstractNumId w:val="3"/>
  </w:num>
  <w:num w:numId="2">
    <w:abstractNumId w:val="4"/>
  </w:num>
  <w:num w:numId="3">
    <w:abstractNumId w:val="1"/>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NGZkN2M4OGVjYmI1YzFiZTQ0OTdkNGFhNGY0OD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8A6"/>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2AE"/>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F4318"/>
    <w:rsid w:val="019F7441"/>
    <w:rsid w:val="01B37585"/>
    <w:rsid w:val="01CA5CC8"/>
    <w:rsid w:val="01D55165"/>
    <w:rsid w:val="01DE1773"/>
    <w:rsid w:val="01DF6BF8"/>
    <w:rsid w:val="01EC2C57"/>
    <w:rsid w:val="025F0711"/>
    <w:rsid w:val="026B2E25"/>
    <w:rsid w:val="027C3466"/>
    <w:rsid w:val="02824D4D"/>
    <w:rsid w:val="02DC4B10"/>
    <w:rsid w:val="02DD76CE"/>
    <w:rsid w:val="02F36323"/>
    <w:rsid w:val="02F5619C"/>
    <w:rsid w:val="02FF7BF3"/>
    <w:rsid w:val="0326446A"/>
    <w:rsid w:val="032D5555"/>
    <w:rsid w:val="036634D2"/>
    <w:rsid w:val="037E57A5"/>
    <w:rsid w:val="03B31109"/>
    <w:rsid w:val="03CC21CB"/>
    <w:rsid w:val="03DD35E4"/>
    <w:rsid w:val="03EF5EB9"/>
    <w:rsid w:val="04076900"/>
    <w:rsid w:val="041A5A3B"/>
    <w:rsid w:val="042311BA"/>
    <w:rsid w:val="042B157A"/>
    <w:rsid w:val="04463D2B"/>
    <w:rsid w:val="048C4926"/>
    <w:rsid w:val="048F763B"/>
    <w:rsid w:val="049F330E"/>
    <w:rsid w:val="04AA775C"/>
    <w:rsid w:val="04AF1889"/>
    <w:rsid w:val="04E92909"/>
    <w:rsid w:val="04F66F48"/>
    <w:rsid w:val="05137986"/>
    <w:rsid w:val="05251E14"/>
    <w:rsid w:val="056B1570"/>
    <w:rsid w:val="059E1945"/>
    <w:rsid w:val="05A16594"/>
    <w:rsid w:val="05A7762D"/>
    <w:rsid w:val="05B52058"/>
    <w:rsid w:val="05C07B0D"/>
    <w:rsid w:val="05EA06E6"/>
    <w:rsid w:val="060E5941"/>
    <w:rsid w:val="06110FAF"/>
    <w:rsid w:val="062F07EF"/>
    <w:rsid w:val="06493CA7"/>
    <w:rsid w:val="06497B03"/>
    <w:rsid w:val="065A6178"/>
    <w:rsid w:val="066F1CF3"/>
    <w:rsid w:val="068530B4"/>
    <w:rsid w:val="06930BB8"/>
    <w:rsid w:val="06C90C44"/>
    <w:rsid w:val="06CA71D1"/>
    <w:rsid w:val="06EC048E"/>
    <w:rsid w:val="0708351A"/>
    <w:rsid w:val="07245D42"/>
    <w:rsid w:val="07264C62"/>
    <w:rsid w:val="072A7934"/>
    <w:rsid w:val="0779354C"/>
    <w:rsid w:val="07812A3C"/>
    <w:rsid w:val="07A77DE7"/>
    <w:rsid w:val="08061376"/>
    <w:rsid w:val="08452D77"/>
    <w:rsid w:val="086401F8"/>
    <w:rsid w:val="08751CAA"/>
    <w:rsid w:val="087E4C40"/>
    <w:rsid w:val="087F4D23"/>
    <w:rsid w:val="0889486E"/>
    <w:rsid w:val="08A871D0"/>
    <w:rsid w:val="08AF79C5"/>
    <w:rsid w:val="08D66AD6"/>
    <w:rsid w:val="08DA33A3"/>
    <w:rsid w:val="08E80F13"/>
    <w:rsid w:val="09133071"/>
    <w:rsid w:val="09335624"/>
    <w:rsid w:val="0944690F"/>
    <w:rsid w:val="09535675"/>
    <w:rsid w:val="095F057D"/>
    <w:rsid w:val="09642282"/>
    <w:rsid w:val="09733572"/>
    <w:rsid w:val="09772C16"/>
    <w:rsid w:val="098353B5"/>
    <w:rsid w:val="09A92330"/>
    <w:rsid w:val="09B06B87"/>
    <w:rsid w:val="09C13146"/>
    <w:rsid w:val="09CC2259"/>
    <w:rsid w:val="09E04166"/>
    <w:rsid w:val="09F14739"/>
    <w:rsid w:val="09F71624"/>
    <w:rsid w:val="09FB55B8"/>
    <w:rsid w:val="0A1C0718"/>
    <w:rsid w:val="0A344BEA"/>
    <w:rsid w:val="0A3E7710"/>
    <w:rsid w:val="0A5B7E63"/>
    <w:rsid w:val="0A740EC6"/>
    <w:rsid w:val="0AA374A5"/>
    <w:rsid w:val="0AAB7649"/>
    <w:rsid w:val="0AB539B9"/>
    <w:rsid w:val="0ABC5606"/>
    <w:rsid w:val="0ADB7197"/>
    <w:rsid w:val="0B301291"/>
    <w:rsid w:val="0B30404E"/>
    <w:rsid w:val="0B4C6C14"/>
    <w:rsid w:val="0B547599"/>
    <w:rsid w:val="0B631A88"/>
    <w:rsid w:val="0B683D45"/>
    <w:rsid w:val="0B696551"/>
    <w:rsid w:val="0B7F3F11"/>
    <w:rsid w:val="0B884417"/>
    <w:rsid w:val="0BCB4B16"/>
    <w:rsid w:val="0BF6188C"/>
    <w:rsid w:val="0BF73C91"/>
    <w:rsid w:val="0C170175"/>
    <w:rsid w:val="0C40074F"/>
    <w:rsid w:val="0C571A41"/>
    <w:rsid w:val="0C5C1171"/>
    <w:rsid w:val="0C5E1CBC"/>
    <w:rsid w:val="0C615B50"/>
    <w:rsid w:val="0C8445DA"/>
    <w:rsid w:val="0C87121B"/>
    <w:rsid w:val="0CB3217A"/>
    <w:rsid w:val="0CC007F7"/>
    <w:rsid w:val="0CC617AC"/>
    <w:rsid w:val="0CE618DF"/>
    <w:rsid w:val="0CFA3905"/>
    <w:rsid w:val="0CFE707A"/>
    <w:rsid w:val="0D063BDA"/>
    <w:rsid w:val="0D08375F"/>
    <w:rsid w:val="0D184CFB"/>
    <w:rsid w:val="0D4A7419"/>
    <w:rsid w:val="0D5D3E94"/>
    <w:rsid w:val="0D827401"/>
    <w:rsid w:val="0D84094E"/>
    <w:rsid w:val="0D8A00E9"/>
    <w:rsid w:val="0D8D29CB"/>
    <w:rsid w:val="0D8D589E"/>
    <w:rsid w:val="0DA01C73"/>
    <w:rsid w:val="0DC40F5C"/>
    <w:rsid w:val="0DD63300"/>
    <w:rsid w:val="0DF50604"/>
    <w:rsid w:val="0DF702FE"/>
    <w:rsid w:val="0E060E51"/>
    <w:rsid w:val="0E5604B2"/>
    <w:rsid w:val="0E6D5D79"/>
    <w:rsid w:val="0E9D0089"/>
    <w:rsid w:val="0EB803EE"/>
    <w:rsid w:val="0EF94D4B"/>
    <w:rsid w:val="0F340C24"/>
    <w:rsid w:val="0F4958DC"/>
    <w:rsid w:val="0F515DF7"/>
    <w:rsid w:val="0F596BA8"/>
    <w:rsid w:val="0F6248D2"/>
    <w:rsid w:val="0F693536"/>
    <w:rsid w:val="0F7335C5"/>
    <w:rsid w:val="0F7B0511"/>
    <w:rsid w:val="0F7B76D9"/>
    <w:rsid w:val="0F816ACD"/>
    <w:rsid w:val="0F9832DB"/>
    <w:rsid w:val="0FBF3FD2"/>
    <w:rsid w:val="0FBF7FF3"/>
    <w:rsid w:val="0FCE72CB"/>
    <w:rsid w:val="101C3B95"/>
    <w:rsid w:val="10367256"/>
    <w:rsid w:val="104551E4"/>
    <w:rsid w:val="1053332C"/>
    <w:rsid w:val="10646583"/>
    <w:rsid w:val="107D4B15"/>
    <w:rsid w:val="108A3C80"/>
    <w:rsid w:val="10C2298C"/>
    <w:rsid w:val="10C26171"/>
    <w:rsid w:val="10EF12A7"/>
    <w:rsid w:val="10F33360"/>
    <w:rsid w:val="10FC16EA"/>
    <w:rsid w:val="110F1D40"/>
    <w:rsid w:val="11266F33"/>
    <w:rsid w:val="113525F2"/>
    <w:rsid w:val="118963A1"/>
    <w:rsid w:val="11B00A36"/>
    <w:rsid w:val="11B36778"/>
    <w:rsid w:val="11BC16A5"/>
    <w:rsid w:val="11C6522A"/>
    <w:rsid w:val="11E104CC"/>
    <w:rsid w:val="11E20309"/>
    <w:rsid w:val="11ED0305"/>
    <w:rsid w:val="12255233"/>
    <w:rsid w:val="12411FD6"/>
    <w:rsid w:val="12492F64"/>
    <w:rsid w:val="12530213"/>
    <w:rsid w:val="12597320"/>
    <w:rsid w:val="12745F08"/>
    <w:rsid w:val="127723A9"/>
    <w:rsid w:val="1279351E"/>
    <w:rsid w:val="12862074"/>
    <w:rsid w:val="12883966"/>
    <w:rsid w:val="129E45B4"/>
    <w:rsid w:val="12BA7692"/>
    <w:rsid w:val="12CD73C6"/>
    <w:rsid w:val="12D81596"/>
    <w:rsid w:val="13072A44"/>
    <w:rsid w:val="135F4BE2"/>
    <w:rsid w:val="139B1A0A"/>
    <w:rsid w:val="139B30AD"/>
    <w:rsid w:val="139D25C7"/>
    <w:rsid w:val="13A445CA"/>
    <w:rsid w:val="13AC347F"/>
    <w:rsid w:val="13BF3CE4"/>
    <w:rsid w:val="13FA243C"/>
    <w:rsid w:val="141008D8"/>
    <w:rsid w:val="14125FE6"/>
    <w:rsid w:val="142B4CEC"/>
    <w:rsid w:val="143771ED"/>
    <w:rsid w:val="14524026"/>
    <w:rsid w:val="146D271E"/>
    <w:rsid w:val="147B7751"/>
    <w:rsid w:val="14887A48"/>
    <w:rsid w:val="14926B19"/>
    <w:rsid w:val="14975EDD"/>
    <w:rsid w:val="14982588"/>
    <w:rsid w:val="149A5AD9"/>
    <w:rsid w:val="14A7619D"/>
    <w:rsid w:val="14BF5434"/>
    <w:rsid w:val="14DB226E"/>
    <w:rsid w:val="150536C3"/>
    <w:rsid w:val="150C1963"/>
    <w:rsid w:val="151447A0"/>
    <w:rsid w:val="154A6454"/>
    <w:rsid w:val="15762120"/>
    <w:rsid w:val="15932B49"/>
    <w:rsid w:val="15AB60E4"/>
    <w:rsid w:val="168801D3"/>
    <w:rsid w:val="16A8729C"/>
    <w:rsid w:val="16B33777"/>
    <w:rsid w:val="16BC70A7"/>
    <w:rsid w:val="16C6339E"/>
    <w:rsid w:val="16E11692"/>
    <w:rsid w:val="172F2D79"/>
    <w:rsid w:val="17557BEF"/>
    <w:rsid w:val="1759391E"/>
    <w:rsid w:val="17780248"/>
    <w:rsid w:val="17D349C1"/>
    <w:rsid w:val="18063B92"/>
    <w:rsid w:val="1830729E"/>
    <w:rsid w:val="1870062C"/>
    <w:rsid w:val="18817102"/>
    <w:rsid w:val="18830A15"/>
    <w:rsid w:val="18852B28"/>
    <w:rsid w:val="188B3FAB"/>
    <w:rsid w:val="188B5321"/>
    <w:rsid w:val="18AF5EEB"/>
    <w:rsid w:val="18B828C6"/>
    <w:rsid w:val="18FA5EA0"/>
    <w:rsid w:val="192B12EA"/>
    <w:rsid w:val="19932372"/>
    <w:rsid w:val="19A20DD5"/>
    <w:rsid w:val="19AE03F1"/>
    <w:rsid w:val="19D07AE4"/>
    <w:rsid w:val="1A051B3B"/>
    <w:rsid w:val="1A071A03"/>
    <w:rsid w:val="1A1F16AE"/>
    <w:rsid w:val="1A3B5C77"/>
    <w:rsid w:val="1A6E5932"/>
    <w:rsid w:val="1A7E3710"/>
    <w:rsid w:val="1A82318C"/>
    <w:rsid w:val="1A984BAD"/>
    <w:rsid w:val="1AB8220E"/>
    <w:rsid w:val="1AD02149"/>
    <w:rsid w:val="1AE4166C"/>
    <w:rsid w:val="1AF06CFB"/>
    <w:rsid w:val="1AF11B8D"/>
    <w:rsid w:val="1B11359C"/>
    <w:rsid w:val="1B154000"/>
    <w:rsid w:val="1B2A271F"/>
    <w:rsid w:val="1B446693"/>
    <w:rsid w:val="1B4B7A22"/>
    <w:rsid w:val="1B530544"/>
    <w:rsid w:val="1B713184"/>
    <w:rsid w:val="1B9019AB"/>
    <w:rsid w:val="1B9A62B3"/>
    <w:rsid w:val="1B9B020F"/>
    <w:rsid w:val="1BA209CF"/>
    <w:rsid w:val="1BA62EAA"/>
    <w:rsid w:val="1BB4777D"/>
    <w:rsid w:val="1BD75AB8"/>
    <w:rsid w:val="1BDD4B1E"/>
    <w:rsid w:val="1BE13EE2"/>
    <w:rsid w:val="1C0302FC"/>
    <w:rsid w:val="1C0459C2"/>
    <w:rsid w:val="1C1B3B4A"/>
    <w:rsid w:val="1C356A49"/>
    <w:rsid w:val="1C766D20"/>
    <w:rsid w:val="1C88086E"/>
    <w:rsid w:val="1C9A2A0F"/>
    <w:rsid w:val="1CD0259C"/>
    <w:rsid w:val="1CEE4694"/>
    <w:rsid w:val="1D266CE1"/>
    <w:rsid w:val="1D3963AF"/>
    <w:rsid w:val="1D5C4168"/>
    <w:rsid w:val="1D6A673C"/>
    <w:rsid w:val="1D6B7F07"/>
    <w:rsid w:val="1D7A639C"/>
    <w:rsid w:val="1D9247AE"/>
    <w:rsid w:val="1DB567EC"/>
    <w:rsid w:val="1DF51A98"/>
    <w:rsid w:val="1E3D060F"/>
    <w:rsid w:val="1E3F7D2E"/>
    <w:rsid w:val="1E4134E4"/>
    <w:rsid w:val="1E4E3AB1"/>
    <w:rsid w:val="1E5062B3"/>
    <w:rsid w:val="1E523514"/>
    <w:rsid w:val="1E714A66"/>
    <w:rsid w:val="1E802593"/>
    <w:rsid w:val="1E8B6156"/>
    <w:rsid w:val="1EA703CC"/>
    <w:rsid w:val="1EB7330C"/>
    <w:rsid w:val="1EF657D6"/>
    <w:rsid w:val="1F096B01"/>
    <w:rsid w:val="1F0A0FF3"/>
    <w:rsid w:val="1F106FB8"/>
    <w:rsid w:val="1F550E6F"/>
    <w:rsid w:val="1F5771FF"/>
    <w:rsid w:val="1F7D37A4"/>
    <w:rsid w:val="1F8A4FBC"/>
    <w:rsid w:val="1FD52DD5"/>
    <w:rsid w:val="1FE868A9"/>
    <w:rsid w:val="1FF269E9"/>
    <w:rsid w:val="20034907"/>
    <w:rsid w:val="20173E4B"/>
    <w:rsid w:val="204E48BC"/>
    <w:rsid w:val="20580C17"/>
    <w:rsid w:val="20650389"/>
    <w:rsid w:val="207035BF"/>
    <w:rsid w:val="208921B3"/>
    <w:rsid w:val="20973DEB"/>
    <w:rsid w:val="20B26522"/>
    <w:rsid w:val="20B44310"/>
    <w:rsid w:val="20EA3839"/>
    <w:rsid w:val="21093CBF"/>
    <w:rsid w:val="211116EB"/>
    <w:rsid w:val="213D1BBA"/>
    <w:rsid w:val="21470C8B"/>
    <w:rsid w:val="216133FC"/>
    <w:rsid w:val="21887A5C"/>
    <w:rsid w:val="21BF2393"/>
    <w:rsid w:val="21D56769"/>
    <w:rsid w:val="21DF3896"/>
    <w:rsid w:val="21E52EF3"/>
    <w:rsid w:val="21F71429"/>
    <w:rsid w:val="21FB5D7B"/>
    <w:rsid w:val="22015E94"/>
    <w:rsid w:val="220646A2"/>
    <w:rsid w:val="220B1C3D"/>
    <w:rsid w:val="221D1D20"/>
    <w:rsid w:val="22334A87"/>
    <w:rsid w:val="22431452"/>
    <w:rsid w:val="22494829"/>
    <w:rsid w:val="22965A26"/>
    <w:rsid w:val="22A04AF7"/>
    <w:rsid w:val="22BE6801"/>
    <w:rsid w:val="230010F2"/>
    <w:rsid w:val="233500BF"/>
    <w:rsid w:val="23377FF7"/>
    <w:rsid w:val="23614286"/>
    <w:rsid w:val="236B425F"/>
    <w:rsid w:val="23836192"/>
    <w:rsid w:val="23901F29"/>
    <w:rsid w:val="239C0061"/>
    <w:rsid w:val="23B908A4"/>
    <w:rsid w:val="23E95BEF"/>
    <w:rsid w:val="23EB1DA2"/>
    <w:rsid w:val="23FD0064"/>
    <w:rsid w:val="245375B0"/>
    <w:rsid w:val="24642C0A"/>
    <w:rsid w:val="246F652F"/>
    <w:rsid w:val="24B22173"/>
    <w:rsid w:val="24B91EA0"/>
    <w:rsid w:val="24B95AD9"/>
    <w:rsid w:val="24BE24DA"/>
    <w:rsid w:val="24BF095A"/>
    <w:rsid w:val="24CF5825"/>
    <w:rsid w:val="24D663E6"/>
    <w:rsid w:val="24D77F2B"/>
    <w:rsid w:val="251175E6"/>
    <w:rsid w:val="2527505B"/>
    <w:rsid w:val="254554E2"/>
    <w:rsid w:val="258B00E2"/>
    <w:rsid w:val="25A8619C"/>
    <w:rsid w:val="25A917A6"/>
    <w:rsid w:val="25BE27CC"/>
    <w:rsid w:val="25F74A5C"/>
    <w:rsid w:val="2628662C"/>
    <w:rsid w:val="262D45DE"/>
    <w:rsid w:val="26435EC5"/>
    <w:rsid w:val="26871DC8"/>
    <w:rsid w:val="26A53EF9"/>
    <w:rsid w:val="26A94201"/>
    <w:rsid w:val="26AC274F"/>
    <w:rsid w:val="26B26BA7"/>
    <w:rsid w:val="27044A29"/>
    <w:rsid w:val="271D34C8"/>
    <w:rsid w:val="274A6DDF"/>
    <w:rsid w:val="2750394D"/>
    <w:rsid w:val="276142BF"/>
    <w:rsid w:val="27666A45"/>
    <w:rsid w:val="27783712"/>
    <w:rsid w:val="27895B59"/>
    <w:rsid w:val="27907362"/>
    <w:rsid w:val="27DA4607"/>
    <w:rsid w:val="2826784C"/>
    <w:rsid w:val="28333E1D"/>
    <w:rsid w:val="28454BD6"/>
    <w:rsid w:val="28455253"/>
    <w:rsid w:val="28551971"/>
    <w:rsid w:val="285B1C53"/>
    <w:rsid w:val="28844573"/>
    <w:rsid w:val="289F7086"/>
    <w:rsid w:val="28C32028"/>
    <w:rsid w:val="28CC490F"/>
    <w:rsid w:val="28D472A8"/>
    <w:rsid w:val="28DE40AA"/>
    <w:rsid w:val="28F17E5A"/>
    <w:rsid w:val="28F95BE3"/>
    <w:rsid w:val="29253B8C"/>
    <w:rsid w:val="2934498A"/>
    <w:rsid w:val="29345E77"/>
    <w:rsid w:val="29363ABF"/>
    <w:rsid w:val="294C65AD"/>
    <w:rsid w:val="295E4DC4"/>
    <w:rsid w:val="29806583"/>
    <w:rsid w:val="298B3C4C"/>
    <w:rsid w:val="29B72B6A"/>
    <w:rsid w:val="29F26D24"/>
    <w:rsid w:val="2A15033F"/>
    <w:rsid w:val="2A1662C1"/>
    <w:rsid w:val="2A1C7367"/>
    <w:rsid w:val="2A2815FA"/>
    <w:rsid w:val="2A6D6092"/>
    <w:rsid w:val="2A7D76B4"/>
    <w:rsid w:val="2AC44873"/>
    <w:rsid w:val="2B1B11BE"/>
    <w:rsid w:val="2B22254D"/>
    <w:rsid w:val="2B437463"/>
    <w:rsid w:val="2B7807EE"/>
    <w:rsid w:val="2B7E174D"/>
    <w:rsid w:val="2BA50BF7"/>
    <w:rsid w:val="2BBF00EC"/>
    <w:rsid w:val="2BC37CFD"/>
    <w:rsid w:val="2BD47621"/>
    <w:rsid w:val="2BD5237F"/>
    <w:rsid w:val="2BE536CE"/>
    <w:rsid w:val="2BE758D9"/>
    <w:rsid w:val="2BFF463C"/>
    <w:rsid w:val="2C000822"/>
    <w:rsid w:val="2C09049E"/>
    <w:rsid w:val="2C0A653C"/>
    <w:rsid w:val="2C191F85"/>
    <w:rsid w:val="2C1D107C"/>
    <w:rsid w:val="2C2D709D"/>
    <w:rsid w:val="2C8D7E9A"/>
    <w:rsid w:val="2CC118F2"/>
    <w:rsid w:val="2CE101E6"/>
    <w:rsid w:val="2CE82D6F"/>
    <w:rsid w:val="2D016192"/>
    <w:rsid w:val="2D343236"/>
    <w:rsid w:val="2D3622E0"/>
    <w:rsid w:val="2DD15014"/>
    <w:rsid w:val="2DF72DE4"/>
    <w:rsid w:val="2E0220AF"/>
    <w:rsid w:val="2E04418C"/>
    <w:rsid w:val="2E4B082A"/>
    <w:rsid w:val="2E5D4E86"/>
    <w:rsid w:val="2E5D734C"/>
    <w:rsid w:val="2E5D790B"/>
    <w:rsid w:val="2E7D7A9A"/>
    <w:rsid w:val="2E853117"/>
    <w:rsid w:val="2E8572B6"/>
    <w:rsid w:val="2E9A3C18"/>
    <w:rsid w:val="2EBB0FEE"/>
    <w:rsid w:val="2EC63002"/>
    <w:rsid w:val="2EEE2746"/>
    <w:rsid w:val="2F0A6B38"/>
    <w:rsid w:val="2F725125"/>
    <w:rsid w:val="2F946CCB"/>
    <w:rsid w:val="2F9B0B20"/>
    <w:rsid w:val="2FD25781"/>
    <w:rsid w:val="2FDB716E"/>
    <w:rsid w:val="2FDC745C"/>
    <w:rsid w:val="2FFD7934"/>
    <w:rsid w:val="30077F63"/>
    <w:rsid w:val="301D7787"/>
    <w:rsid w:val="302F3016"/>
    <w:rsid w:val="303348B4"/>
    <w:rsid w:val="303845C1"/>
    <w:rsid w:val="304741A2"/>
    <w:rsid w:val="3055508B"/>
    <w:rsid w:val="306E7FE2"/>
    <w:rsid w:val="30733ACD"/>
    <w:rsid w:val="30890978"/>
    <w:rsid w:val="308C3862"/>
    <w:rsid w:val="309379D8"/>
    <w:rsid w:val="30A270F7"/>
    <w:rsid w:val="30B11C7D"/>
    <w:rsid w:val="30DF1478"/>
    <w:rsid w:val="30EC586F"/>
    <w:rsid w:val="3121035F"/>
    <w:rsid w:val="314550B7"/>
    <w:rsid w:val="31682C84"/>
    <w:rsid w:val="31737FFF"/>
    <w:rsid w:val="31753DD8"/>
    <w:rsid w:val="317C7E92"/>
    <w:rsid w:val="31853836"/>
    <w:rsid w:val="319C6071"/>
    <w:rsid w:val="31A517E2"/>
    <w:rsid w:val="31AC537E"/>
    <w:rsid w:val="31E00A6C"/>
    <w:rsid w:val="31E3679B"/>
    <w:rsid w:val="31E732FD"/>
    <w:rsid w:val="31EC5663"/>
    <w:rsid w:val="32517576"/>
    <w:rsid w:val="32BE5C2C"/>
    <w:rsid w:val="32C91500"/>
    <w:rsid w:val="32E84B9E"/>
    <w:rsid w:val="32FB6478"/>
    <w:rsid w:val="33024A12"/>
    <w:rsid w:val="331F7372"/>
    <w:rsid w:val="33263B3F"/>
    <w:rsid w:val="332D1A72"/>
    <w:rsid w:val="334E7C57"/>
    <w:rsid w:val="336631F3"/>
    <w:rsid w:val="336963EB"/>
    <w:rsid w:val="33816EEB"/>
    <w:rsid w:val="33AD2BD0"/>
    <w:rsid w:val="33EA3E24"/>
    <w:rsid w:val="33EB55CD"/>
    <w:rsid w:val="33EC4C02"/>
    <w:rsid w:val="340D2360"/>
    <w:rsid w:val="3410665D"/>
    <w:rsid w:val="34211214"/>
    <w:rsid w:val="342E63AB"/>
    <w:rsid w:val="344067C4"/>
    <w:rsid w:val="34796F56"/>
    <w:rsid w:val="34950E68"/>
    <w:rsid w:val="34986E94"/>
    <w:rsid w:val="34AF62C9"/>
    <w:rsid w:val="34C04B85"/>
    <w:rsid w:val="34CB4388"/>
    <w:rsid w:val="34FA6E12"/>
    <w:rsid w:val="354D7158"/>
    <w:rsid w:val="3583008C"/>
    <w:rsid w:val="358931C8"/>
    <w:rsid w:val="358D5588"/>
    <w:rsid w:val="35950EA6"/>
    <w:rsid w:val="35E44DA6"/>
    <w:rsid w:val="36121410"/>
    <w:rsid w:val="363A3B40"/>
    <w:rsid w:val="365302AE"/>
    <w:rsid w:val="36607A0A"/>
    <w:rsid w:val="366E227C"/>
    <w:rsid w:val="366F2E0D"/>
    <w:rsid w:val="367B6A5C"/>
    <w:rsid w:val="36820344"/>
    <w:rsid w:val="36A74ADA"/>
    <w:rsid w:val="36AD60D5"/>
    <w:rsid w:val="36B224F9"/>
    <w:rsid w:val="36EC0CC9"/>
    <w:rsid w:val="372633C5"/>
    <w:rsid w:val="373F410B"/>
    <w:rsid w:val="37405B09"/>
    <w:rsid w:val="37B7401D"/>
    <w:rsid w:val="37EE7094"/>
    <w:rsid w:val="37F555DB"/>
    <w:rsid w:val="38296C89"/>
    <w:rsid w:val="382B0567"/>
    <w:rsid w:val="383002EB"/>
    <w:rsid w:val="384653A1"/>
    <w:rsid w:val="38586797"/>
    <w:rsid w:val="38B13162"/>
    <w:rsid w:val="38BC0149"/>
    <w:rsid w:val="38D87D1C"/>
    <w:rsid w:val="38F86C88"/>
    <w:rsid w:val="39636459"/>
    <w:rsid w:val="3963744A"/>
    <w:rsid w:val="396B7F6C"/>
    <w:rsid w:val="39893797"/>
    <w:rsid w:val="39972358"/>
    <w:rsid w:val="399C796E"/>
    <w:rsid w:val="39B417A9"/>
    <w:rsid w:val="39EE5CF0"/>
    <w:rsid w:val="39FC5695"/>
    <w:rsid w:val="3A006D8E"/>
    <w:rsid w:val="3A3651E5"/>
    <w:rsid w:val="3A4F49E1"/>
    <w:rsid w:val="3A744481"/>
    <w:rsid w:val="3A766411"/>
    <w:rsid w:val="3A80032B"/>
    <w:rsid w:val="3A8C7BEF"/>
    <w:rsid w:val="3A906246"/>
    <w:rsid w:val="3ABC5104"/>
    <w:rsid w:val="3AE25855"/>
    <w:rsid w:val="3AEC66D3"/>
    <w:rsid w:val="3B2349B7"/>
    <w:rsid w:val="3B616CFF"/>
    <w:rsid w:val="3B6259F6"/>
    <w:rsid w:val="3B974891"/>
    <w:rsid w:val="3B976654"/>
    <w:rsid w:val="3BC01EFC"/>
    <w:rsid w:val="3BC1546A"/>
    <w:rsid w:val="3BCA786A"/>
    <w:rsid w:val="3BCD6080"/>
    <w:rsid w:val="3BD31E2F"/>
    <w:rsid w:val="3BE329CD"/>
    <w:rsid w:val="3BE74A70"/>
    <w:rsid w:val="3BF15831"/>
    <w:rsid w:val="3C0B4937"/>
    <w:rsid w:val="3C105946"/>
    <w:rsid w:val="3C461E13"/>
    <w:rsid w:val="3C471448"/>
    <w:rsid w:val="3C535ADB"/>
    <w:rsid w:val="3C5F759A"/>
    <w:rsid w:val="3C6C525A"/>
    <w:rsid w:val="3C6D55F2"/>
    <w:rsid w:val="3C9C4076"/>
    <w:rsid w:val="3CCE23CB"/>
    <w:rsid w:val="3CD17D17"/>
    <w:rsid w:val="3D3C7F39"/>
    <w:rsid w:val="3D440F09"/>
    <w:rsid w:val="3D4504A0"/>
    <w:rsid w:val="3D8734BB"/>
    <w:rsid w:val="3D9A11D4"/>
    <w:rsid w:val="3DA16D89"/>
    <w:rsid w:val="3DA364BE"/>
    <w:rsid w:val="3DD516A1"/>
    <w:rsid w:val="3DE041CB"/>
    <w:rsid w:val="3DFA2EB5"/>
    <w:rsid w:val="3E0D48F6"/>
    <w:rsid w:val="3E1868B4"/>
    <w:rsid w:val="3E377251"/>
    <w:rsid w:val="3E3B1ECF"/>
    <w:rsid w:val="3E42664B"/>
    <w:rsid w:val="3E5A7334"/>
    <w:rsid w:val="3E7B5D6B"/>
    <w:rsid w:val="3E843E66"/>
    <w:rsid w:val="3E8F51FE"/>
    <w:rsid w:val="3E926F87"/>
    <w:rsid w:val="3E9A59DE"/>
    <w:rsid w:val="3E9E3F68"/>
    <w:rsid w:val="3EAF4836"/>
    <w:rsid w:val="3EC33DFA"/>
    <w:rsid w:val="3F060E16"/>
    <w:rsid w:val="3F1D1096"/>
    <w:rsid w:val="3F2F0234"/>
    <w:rsid w:val="3F346C78"/>
    <w:rsid w:val="3F6363FE"/>
    <w:rsid w:val="3F756B8F"/>
    <w:rsid w:val="3F95482B"/>
    <w:rsid w:val="3FC7326B"/>
    <w:rsid w:val="3FE652B1"/>
    <w:rsid w:val="3FF1653A"/>
    <w:rsid w:val="3FFB6FE5"/>
    <w:rsid w:val="4019356B"/>
    <w:rsid w:val="402266F3"/>
    <w:rsid w:val="40354679"/>
    <w:rsid w:val="40592157"/>
    <w:rsid w:val="406E1CAE"/>
    <w:rsid w:val="40A0133A"/>
    <w:rsid w:val="40C003E6"/>
    <w:rsid w:val="40C31A53"/>
    <w:rsid w:val="40C7232D"/>
    <w:rsid w:val="40F20F22"/>
    <w:rsid w:val="40FF545D"/>
    <w:rsid w:val="410067C8"/>
    <w:rsid w:val="411E510D"/>
    <w:rsid w:val="412A3AB2"/>
    <w:rsid w:val="414F52C6"/>
    <w:rsid w:val="41807A0E"/>
    <w:rsid w:val="41822DB1"/>
    <w:rsid w:val="41872596"/>
    <w:rsid w:val="418F0D2A"/>
    <w:rsid w:val="419E624E"/>
    <w:rsid w:val="41D01505"/>
    <w:rsid w:val="41F30347"/>
    <w:rsid w:val="42474939"/>
    <w:rsid w:val="424C3C57"/>
    <w:rsid w:val="42613FF3"/>
    <w:rsid w:val="42660D96"/>
    <w:rsid w:val="426B4382"/>
    <w:rsid w:val="428667D2"/>
    <w:rsid w:val="42CD1CE0"/>
    <w:rsid w:val="42E1381E"/>
    <w:rsid w:val="42ED6459"/>
    <w:rsid w:val="42F00D2B"/>
    <w:rsid w:val="42FA74B4"/>
    <w:rsid w:val="42FE58DD"/>
    <w:rsid w:val="43174B3D"/>
    <w:rsid w:val="434B790E"/>
    <w:rsid w:val="4360274F"/>
    <w:rsid w:val="436031EC"/>
    <w:rsid w:val="43977AB6"/>
    <w:rsid w:val="43A3342B"/>
    <w:rsid w:val="43AB7D36"/>
    <w:rsid w:val="43C77C27"/>
    <w:rsid w:val="43DE09EE"/>
    <w:rsid w:val="43F565F9"/>
    <w:rsid w:val="44002FAD"/>
    <w:rsid w:val="449101DD"/>
    <w:rsid w:val="44DE1391"/>
    <w:rsid w:val="451B225C"/>
    <w:rsid w:val="452410C9"/>
    <w:rsid w:val="45317DFB"/>
    <w:rsid w:val="454F1D39"/>
    <w:rsid w:val="456D3CE4"/>
    <w:rsid w:val="4579042C"/>
    <w:rsid w:val="457F0571"/>
    <w:rsid w:val="45851176"/>
    <w:rsid w:val="45A71B75"/>
    <w:rsid w:val="45A8769B"/>
    <w:rsid w:val="45C63B94"/>
    <w:rsid w:val="45CA13BF"/>
    <w:rsid w:val="460E7DA5"/>
    <w:rsid w:val="46422483"/>
    <w:rsid w:val="464B69A4"/>
    <w:rsid w:val="4659254A"/>
    <w:rsid w:val="465B0637"/>
    <w:rsid w:val="465E3F0D"/>
    <w:rsid w:val="466A16E6"/>
    <w:rsid w:val="46893F2B"/>
    <w:rsid w:val="4693091B"/>
    <w:rsid w:val="46AD3081"/>
    <w:rsid w:val="46C4686E"/>
    <w:rsid w:val="46D110ED"/>
    <w:rsid w:val="46D544C0"/>
    <w:rsid w:val="46DA3884"/>
    <w:rsid w:val="46DF70EC"/>
    <w:rsid w:val="46E97F6B"/>
    <w:rsid w:val="46F34946"/>
    <w:rsid w:val="470703F1"/>
    <w:rsid w:val="4710374A"/>
    <w:rsid w:val="47174AD8"/>
    <w:rsid w:val="47653A95"/>
    <w:rsid w:val="477B778F"/>
    <w:rsid w:val="478203EC"/>
    <w:rsid w:val="47A345BE"/>
    <w:rsid w:val="47B025FA"/>
    <w:rsid w:val="47BC11DC"/>
    <w:rsid w:val="47C14A44"/>
    <w:rsid w:val="47DB3D58"/>
    <w:rsid w:val="4809698F"/>
    <w:rsid w:val="4811697D"/>
    <w:rsid w:val="48174A91"/>
    <w:rsid w:val="48192719"/>
    <w:rsid w:val="481B4154"/>
    <w:rsid w:val="487A3E25"/>
    <w:rsid w:val="488B5503"/>
    <w:rsid w:val="48937E21"/>
    <w:rsid w:val="489A0361"/>
    <w:rsid w:val="48B94FF3"/>
    <w:rsid w:val="48E37AAB"/>
    <w:rsid w:val="48F232BB"/>
    <w:rsid w:val="48FD4B4C"/>
    <w:rsid w:val="490A68E0"/>
    <w:rsid w:val="491055FE"/>
    <w:rsid w:val="49211C3E"/>
    <w:rsid w:val="494871CB"/>
    <w:rsid w:val="495F5B3E"/>
    <w:rsid w:val="496F77D7"/>
    <w:rsid w:val="497654FD"/>
    <w:rsid w:val="49AD34D2"/>
    <w:rsid w:val="49B64211"/>
    <w:rsid w:val="49D942C7"/>
    <w:rsid w:val="49DF52A1"/>
    <w:rsid w:val="49E56AF9"/>
    <w:rsid w:val="49F6167F"/>
    <w:rsid w:val="4A064FA0"/>
    <w:rsid w:val="4A16615C"/>
    <w:rsid w:val="4A4424D7"/>
    <w:rsid w:val="4A5B202C"/>
    <w:rsid w:val="4A7F6DC7"/>
    <w:rsid w:val="4AB82D0F"/>
    <w:rsid w:val="4AEB7664"/>
    <w:rsid w:val="4AEF3676"/>
    <w:rsid w:val="4AFD7C19"/>
    <w:rsid w:val="4B0567D1"/>
    <w:rsid w:val="4B236AAE"/>
    <w:rsid w:val="4B2E0642"/>
    <w:rsid w:val="4B707271"/>
    <w:rsid w:val="4B9739F7"/>
    <w:rsid w:val="4BEE2503"/>
    <w:rsid w:val="4C013661"/>
    <w:rsid w:val="4C245A30"/>
    <w:rsid w:val="4C3E2B07"/>
    <w:rsid w:val="4C485734"/>
    <w:rsid w:val="4C982217"/>
    <w:rsid w:val="4C9B1D07"/>
    <w:rsid w:val="4CB6685F"/>
    <w:rsid w:val="4CC367FE"/>
    <w:rsid w:val="4D077F3C"/>
    <w:rsid w:val="4D123355"/>
    <w:rsid w:val="4D2A3B31"/>
    <w:rsid w:val="4D312C52"/>
    <w:rsid w:val="4D552926"/>
    <w:rsid w:val="4D6420F9"/>
    <w:rsid w:val="4D722A68"/>
    <w:rsid w:val="4D88228C"/>
    <w:rsid w:val="4D905305"/>
    <w:rsid w:val="4D964A72"/>
    <w:rsid w:val="4D9C1254"/>
    <w:rsid w:val="4E355844"/>
    <w:rsid w:val="4E564138"/>
    <w:rsid w:val="4E793892"/>
    <w:rsid w:val="4E800872"/>
    <w:rsid w:val="4EC569ED"/>
    <w:rsid w:val="4ED432AF"/>
    <w:rsid w:val="4ED50EA1"/>
    <w:rsid w:val="4EEC050C"/>
    <w:rsid w:val="4F104EC3"/>
    <w:rsid w:val="4F47354A"/>
    <w:rsid w:val="4F911C54"/>
    <w:rsid w:val="4FA113E3"/>
    <w:rsid w:val="4FE625E0"/>
    <w:rsid w:val="4FF27E90"/>
    <w:rsid w:val="4FF43C08"/>
    <w:rsid w:val="50045401"/>
    <w:rsid w:val="5021480F"/>
    <w:rsid w:val="503264DF"/>
    <w:rsid w:val="503F0BFC"/>
    <w:rsid w:val="50574197"/>
    <w:rsid w:val="50615016"/>
    <w:rsid w:val="50962ECB"/>
    <w:rsid w:val="50A42E38"/>
    <w:rsid w:val="50A4577F"/>
    <w:rsid w:val="50B73D1F"/>
    <w:rsid w:val="50BD5BC9"/>
    <w:rsid w:val="50C11EEE"/>
    <w:rsid w:val="50E97CFC"/>
    <w:rsid w:val="50EA6DB9"/>
    <w:rsid w:val="50FA4028"/>
    <w:rsid w:val="50FB2D75"/>
    <w:rsid w:val="510D65B7"/>
    <w:rsid w:val="511157AB"/>
    <w:rsid w:val="5142540C"/>
    <w:rsid w:val="514A5AAA"/>
    <w:rsid w:val="518832C8"/>
    <w:rsid w:val="519D3C50"/>
    <w:rsid w:val="51A0432A"/>
    <w:rsid w:val="51A86090"/>
    <w:rsid w:val="51B7396D"/>
    <w:rsid w:val="522E4CC3"/>
    <w:rsid w:val="52412A09"/>
    <w:rsid w:val="5244713B"/>
    <w:rsid w:val="52615633"/>
    <w:rsid w:val="52644E77"/>
    <w:rsid w:val="526F4DE4"/>
    <w:rsid w:val="527C7EE5"/>
    <w:rsid w:val="528F038A"/>
    <w:rsid w:val="52977FD4"/>
    <w:rsid w:val="52A25790"/>
    <w:rsid w:val="52A96B6F"/>
    <w:rsid w:val="52B45975"/>
    <w:rsid w:val="52CF44B9"/>
    <w:rsid w:val="52D94AA4"/>
    <w:rsid w:val="52EA3A62"/>
    <w:rsid w:val="52F50BB8"/>
    <w:rsid w:val="53097272"/>
    <w:rsid w:val="53544462"/>
    <w:rsid w:val="5397158E"/>
    <w:rsid w:val="54013861"/>
    <w:rsid w:val="54487265"/>
    <w:rsid w:val="544D6070"/>
    <w:rsid w:val="54605E1E"/>
    <w:rsid w:val="547C241E"/>
    <w:rsid w:val="54AD75DB"/>
    <w:rsid w:val="54B3506A"/>
    <w:rsid w:val="54CA0D16"/>
    <w:rsid w:val="54D27137"/>
    <w:rsid w:val="54D7562C"/>
    <w:rsid w:val="54D97871"/>
    <w:rsid w:val="54DD4057"/>
    <w:rsid w:val="54E7490F"/>
    <w:rsid w:val="550764A4"/>
    <w:rsid w:val="550B2BF6"/>
    <w:rsid w:val="55214EB5"/>
    <w:rsid w:val="55347222"/>
    <w:rsid w:val="55364EFD"/>
    <w:rsid w:val="553C3A50"/>
    <w:rsid w:val="555667CB"/>
    <w:rsid w:val="555D4828"/>
    <w:rsid w:val="557A4C8B"/>
    <w:rsid w:val="558931E1"/>
    <w:rsid w:val="55923347"/>
    <w:rsid w:val="55925180"/>
    <w:rsid w:val="55983B1B"/>
    <w:rsid w:val="559E63C4"/>
    <w:rsid w:val="55A8376B"/>
    <w:rsid w:val="55DC29B6"/>
    <w:rsid w:val="55DD4241"/>
    <w:rsid w:val="56253085"/>
    <w:rsid w:val="56682C5A"/>
    <w:rsid w:val="566B6D1E"/>
    <w:rsid w:val="569972B8"/>
    <w:rsid w:val="56E319E5"/>
    <w:rsid w:val="56F269C8"/>
    <w:rsid w:val="57032A2C"/>
    <w:rsid w:val="570F5219"/>
    <w:rsid w:val="572A43B4"/>
    <w:rsid w:val="575256B8"/>
    <w:rsid w:val="575D12B5"/>
    <w:rsid w:val="57610A87"/>
    <w:rsid w:val="577B1140"/>
    <w:rsid w:val="577B7F21"/>
    <w:rsid w:val="577F181B"/>
    <w:rsid w:val="57805D82"/>
    <w:rsid w:val="57921984"/>
    <w:rsid w:val="57925AB5"/>
    <w:rsid w:val="579737F0"/>
    <w:rsid w:val="57AA2DFF"/>
    <w:rsid w:val="57AB7B30"/>
    <w:rsid w:val="57AF5251"/>
    <w:rsid w:val="57B26373"/>
    <w:rsid w:val="57B63F04"/>
    <w:rsid w:val="57CD20C2"/>
    <w:rsid w:val="57D675AB"/>
    <w:rsid w:val="57D95FDD"/>
    <w:rsid w:val="57DF519E"/>
    <w:rsid w:val="57E427B4"/>
    <w:rsid w:val="58354DBE"/>
    <w:rsid w:val="58812A41"/>
    <w:rsid w:val="5886386C"/>
    <w:rsid w:val="58896EB8"/>
    <w:rsid w:val="58917D2F"/>
    <w:rsid w:val="5894085C"/>
    <w:rsid w:val="58AE4F0C"/>
    <w:rsid w:val="58B85899"/>
    <w:rsid w:val="58CD4FF7"/>
    <w:rsid w:val="58E363A9"/>
    <w:rsid w:val="58E653A5"/>
    <w:rsid w:val="59401C6C"/>
    <w:rsid w:val="595E1678"/>
    <w:rsid w:val="596516D3"/>
    <w:rsid w:val="596D5BD4"/>
    <w:rsid w:val="597A540D"/>
    <w:rsid w:val="597B0EF6"/>
    <w:rsid w:val="597E3DD8"/>
    <w:rsid w:val="59D2488F"/>
    <w:rsid w:val="59E41FE5"/>
    <w:rsid w:val="59F80043"/>
    <w:rsid w:val="5A09252F"/>
    <w:rsid w:val="5A0B2778"/>
    <w:rsid w:val="5A117165"/>
    <w:rsid w:val="5A2A7C7B"/>
    <w:rsid w:val="5A3B68D8"/>
    <w:rsid w:val="5A3E2560"/>
    <w:rsid w:val="5A5D3B6E"/>
    <w:rsid w:val="5A637A76"/>
    <w:rsid w:val="5A6951F3"/>
    <w:rsid w:val="5A6D33BA"/>
    <w:rsid w:val="5A792B1F"/>
    <w:rsid w:val="5A874767"/>
    <w:rsid w:val="5AA85BE2"/>
    <w:rsid w:val="5AAD6F28"/>
    <w:rsid w:val="5AD63A24"/>
    <w:rsid w:val="5ADC3C17"/>
    <w:rsid w:val="5B174C4F"/>
    <w:rsid w:val="5B2E1A1D"/>
    <w:rsid w:val="5B5E63DA"/>
    <w:rsid w:val="5B843A1C"/>
    <w:rsid w:val="5B873E3F"/>
    <w:rsid w:val="5BA26C0E"/>
    <w:rsid w:val="5BA858A7"/>
    <w:rsid w:val="5BF94701"/>
    <w:rsid w:val="5C02690E"/>
    <w:rsid w:val="5C196DA7"/>
    <w:rsid w:val="5C2A048C"/>
    <w:rsid w:val="5C6A7638"/>
    <w:rsid w:val="5C80234E"/>
    <w:rsid w:val="5C8A680C"/>
    <w:rsid w:val="5CA95D7B"/>
    <w:rsid w:val="5CB70498"/>
    <w:rsid w:val="5CD05CDC"/>
    <w:rsid w:val="5CDC7EFE"/>
    <w:rsid w:val="5D0C4701"/>
    <w:rsid w:val="5D0F0395"/>
    <w:rsid w:val="5D1F428F"/>
    <w:rsid w:val="5D221076"/>
    <w:rsid w:val="5D227A80"/>
    <w:rsid w:val="5D397964"/>
    <w:rsid w:val="5D5A391C"/>
    <w:rsid w:val="5D5F10C0"/>
    <w:rsid w:val="5D891B7B"/>
    <w:rsid w:val="5D964551"/>
    <w:rsid w:val="5DAD38EE"/>
    <w:rsid w:val="5DBC1ADE"/>
    <w:rsid w:val="5E006862"/>
    <w:rsid w:val="5E0207B9"/>
    <w:rsid w:val="5E1834A1"/>
    <w:rsid w:val="5E1C65A0"/>
    <w:rsid w:val="5E261785"/>
    <w:rsid w:val="5E4A7017"/>
    <w:rsid w:val="5E552BBA"/>
    <w:rsid w:val="5E611C10"/>
    <w:rsid w:val="5E7A0F3F"/>
    <w:rsid w:val="5EFC7377"/>
    <w:rsid w:val="5F06174D"/>
    <w:rsid w:val="5F0B14B3"/>
    <w:rsid w:val="5F3A3602"/>
    <w:rsid w:val="5F45733B"/>
    <w:rsid w:val="5F593A88"/>
    <w:rsid w:val="5F6277C6"/>
    <w:rsid w:val="5F6D0B1D"/>
    <w:rsid w:val="5F795ED8"/>
    <w:rsid w:val="5F8D0B82"/>
    <w:rsid w:val="5FAD113E"/>
    <w:rsid w:val="5FCC5339"/>
    <w:rsid w:val="5FE34A5B"/>
    <w:rsid w:val="5FFE1E36"/>
    <w:rsid w:val="60232584"/>
    <w:rsid w:val="607330CE"/>
    <w:rsid w:val="60825176"/>
    <w:rsid w:val="6098238E"/>
    <w:rsid w:val="609F2AC4"/>
    <w:rsid w:val="60CB6FF6"/>
    <w:rsid w:val="60F577E0"/>
    <w:rsid w:val="60FA2EE8"/>
    <w:rsid w:val="61054A27"/>
    <w:rsid w:val="610A52BC"/>
    <w:rsid w:val="611D2366"/>
    <w:rsid w:val="61421856"/>
    <w:rsid w:val="6151078F"/>
    <w:rsid w:val="615227C4"/>
    <w:rsid w:val="61654E3F"/>
    <w:rsid w:val="6182292A"/>
    <w:rsid w:val="61914F52"/>
    <w:rsid w:val="619F7F92"/>
    <w:rsid w:val="61AD00BB"/>
    <w:rsid w:val="61D03DA9"/>
    <w:rsid w:val="61F623AC"/>
    <w:rsid w:val="61F94C26"/>
    <w:rsid w:val="62000E56"/>
    <w:rsid w:val="624F3E49"/>
    <w:rsid w:val="62632286"/>
    <w:rsid w:val="628701D8"/>
    <w:rsid w:val="62885958"/>
    <w:rsid w:val="628A21AA"/>
    <w:rsid w:val="62A74B0A"/>
    <w:rsid w:val="62F40B65"/>
    <w:rsid w:val="62FC2CFE"/>
    <w:rsid w:val="63024505"/>
    <w:rsid w:val="635600A5"/>
    <w:rsid w:val="635B1DB5"/>
    <w:rsid w:val="636D5D54"/>
    <w:rsid w:val="63711FED"/>
    <w:rsid w:val="63880DDC"/>
    <w:rsid w:val="638D750D"/>
    <w:rsid w:val="63AC6CC0"/>
    <w:rsid w:val="64055776"/>
    <w:rsid w:val="64177A6E"/>
    <w:rsid w:val="64240056"/>
    <w:rsid w:val="643E143A"/>
    <w:rsid w:val="64457FF6"/>
    <w:rsid w:val="64491666"/>
    <w:rsid w:val="648669A1"/>
    <w:rsid w:val="648B6EEF"/>
    <w:rsid w:val="649015CE"/>
    <w:rsid w:val="64C158BF"/>
    <w:rsid w:val="64CE2EAA"/>
    <w:rsid w:val="64E90C98"/>
    <w:rsid w:val="65017861"/>
    <w:rsid w:val="65085608"/>
    <w:rsid w:val="651F0F92"/>
    <w:rsid w:val="653C3090"/>
    <w:rsid w:val="65854376"/>
    <w:rsid w:val="658767BE"/>
    <w:rsid w:val="65892531"/>
    <w:rsid w:val="66106E6A"/>
    <w:rsid w:val="66195831"/>
    <w:rsid w:val="662E75B1"/>
    <w:rsid w:val="66342C2E"/>
    <w:rsid w:val="663E784C"/>
    <w:rsid w:val="666F593F"/>
    <w:rsid w:val="668B6A45"/>
    <w:rsid w:val="66C11F13"/>
    <w:rsid w:val="67011F07"/>
    <w:rsid w:val="672F3F24"/>
    <w:rsid w:val="67312852"/>
    <w:rsid w:val="673E055F"/>
    <w:rsid w:val="67551CE3"/>
    <w:rsid w:val="677A0A3F"/>
    <w:rsid w:val="67A22552"/>
    <w:rsid w:val="67AF5C35"/>
    <w:rsid w:val="67B22DCC"/>
    <w:rsid w:val="67BE71AA"/>
    <w:rsid w:val="67D90273"/>
    <w:rsid w:val="67DE5875"/>
    <w:rsid w:val="67E55852"/>
    <w:rsid w:val="67EB1AB4"/>
    <w:rsid w:val="67FA1285"/>
    <w:rsid w:val="68467B80"/>
    <w:rsid w:val="68551F4F"/>
    <w:rsid w:val="685748DD"/>
    <w:rsid w:val="687C10C9"/>
    <w:rsid w:val="68840C16"/>
    <w:rsid w:val="68872541"/>
    <w:rsid w:val="68876EFB"/>
    <w:rsid w:val="68884654"/>
    <w:rsid w:val="688A2F04"/>
    <w:rsid w:val="689F444F"/>
    <w:rsid w:val="68B96DBB"/>
    <w:rsid w:val="68CA2805"/>
    <w:rsid w:val="68E937A3"/>
    <w:rsid w:val="68EE3E7A"/>
    <w:rsid w:val="68FE3099"/>
    <w:rsid w:val="69100091"/>
    <w:rsid w:val="69152A61"/>
    <w:rsid w:val="691664E5"/>
    <w:rsid w:val="693E15D3"/>
    <w:rsid w:val="695706BC"/>
    <w:rsid w:val="69616B10"/>
    <w:rsid w:val="69627681"/>
    <w:rsid w:val="6977531D"/>
    <w:rsid w:val="698E3DED"/>
    <w:rsid w:val="69BE3C72"/>
    <w:rsid w:val="69CC2BFF"/>
    <w:rsid w:val="69FD55B8"/>
    <w:rsid w:val="6A0B1C62"/>
    <w:rsid w:val="6A2406C8"/>
    <w:rsid w:val="6A3F1ACC"/>
    <w:rsid w:val="6A521800"/>
    <w:rsid w:val="6A680DA3"/>
    <w:rsid w:val="6A885221"/>
    <w:rsid w:val="6AC00E5F"/>
    <w:rsid w:val="6ADA322E"/>
    <w:rsid w:val="6ADE0BD1"/>
    <w:rsid w:val="6AE96859"/>
    <w:rsid w:val="6B11560E"/>
    <w:rsid w:val="6B147746"/>
    <w:rsid w:val="6B230670"/>
    <w:rsid w:val="6B24787C"/>
    <w:rsid w:val="6B463F87"/>
    <w:rsid w:val="6B573233"/>
    <w:rsid w:val="6B5B6274"/>
    <w:rsid w:val="6B673089"/>
    <w:rsid w:val="6B6C4B43"/>
    <w:rsid w:val="6B935D53"/>
    <w:rsid w:val="6BBF2EC5"/>
    <w:rsid w:val="6C0B435C"/>
    <w:rsid w:val="6C0C1E82"/>
    <w:rsid w:val="6C196F71"/>
    <w:rsid w:val="6C1A6A95"/>
    <w:rsid w:val="6C226FCB"/>
    <w:rsid w:val="6C31226F"/>
    <w:rsid w:val="6C552F0B"/>
    <w:rsid w:val="6C6A65E2"/>
    <w:rsid w:val="6C8C67B7"/>
    <w:rsid w:val="6C9D744C"/>
    <w:rsid w:val="6D167928"/>
    <w:rsid w:val="6D237483"/>
    <w:rsid w:val="6D26299B"/>
    <w:rsid w:val="6D4772EC"/>
    <w:rsid w:val="6D4C69DA"/>
    <w:rsid w:val="6D7A22DC"/>
    <w:rsid w:val="6D9078AF"/>
    <w:rsid w:val="6DAA3FEF"/>
    <w:rsid w:val="6DC0172B"/>
    <w:rsid w:val="6DCB690C"/>
    <w:rsid w:val="6DCF3167"/>
    <w:rsid w:val="6DD41A5B"/>
    <w:rsid w:val="6DF43C2E"/>
    <w:rsid w:val="6DF51CA3"/>
    <w:rsid w:val="6E056D33"/>
    <w:rsid w:val="6E2C2368"/>
    <w:rsid w:val="6E625D89"/>
    <w:rsid w:val="6E8335BD"/>
    <w:rsid w:val="6E8E12EF"/>
    <w:rsid w:val="6E972936"/>
    <w:rsid w:val="6EBE56B6"/>
    <w:rsid w:val="6ECD3B4B"/>
    <w:rsid w:val="6ED446C5"/>
    <w:rsid w:val="6F2A7D94"/>
    <w:rsid w:val="6F8331F1"/>
    <w:rsid w:val="6FAE1A09"/>
    <w:rsid w:val="6FD42CB7"/>
    <w:rsid w:val="6FD75BF8"/>
    <w:rsid w:val="6FF356A3"/>
    <w:rsid w:val="704B4683"/>
    <w:rsid w:val="70512AD7"/>
    <w:rsid w:val="707723D0"/>
    <w:rsid w:val="70820965"/>
    <w:rsid w:val="70ED5389"/>
    <w:rsid w:val="70F5661B"/>
    <w:rsid w:val="71360107"/>
    <w:rsid w:val="713B688E"/>
    <w:rsid w:val="717E3BCF"/>
    <w:rsid w:val="71883D59"/>
    <w:rsid w:val="71A87F57"/>
    <w:rsid w:val="71B73BB5"/>
    <w:rsid w:val="71D43752"/>
    <w:rsid w:val="71F1796A"/>
    <w:rsid w:val="72154626"/>
    <w:rsid w:val="72262B5D"/>
    <w:rsid w:val="7227389B"/>
    <w:rsid w:val="72283FF7"/>
    <w:rsid w:val="722E7212"/>
    <w:rsid w:val="72367C59"/>
    <w:rsid w:val="723A0474"/>
    <w:rsid w:val="7242215A"/>
    <w:rsid w:val="725923E4"/>
    <w:rsid w:val="72693B8A"/>
    <w:rsid w:val="72864BF7"/>
    <w:rsid w:val="729023FC"/>
    <w:rsid w:val="72DF5BFA"/>
    <w:rsid w:val="72EB27F1"/>
    <w:rsid w:val="72FD2525"/>
    <w:rsid w:val="731358A4"/>
    <w:rsid w:val="73683E42"/>
    <w:rsid w:val="738F520D"/>
    <w:rsid w:val="73C0646E"/>
    <w:rsid w:val="74026044"/>
    <w:rsid w:val="742222F5"/>
    <w:rsid w:val="742F670E"/>
    <w:rsid w:val="743146C8"/>
    <w:rsid w:val="7439758C"/>
    <w:rsid w:val="74476126"/>
    <w:rsid w:val="746C1710"/>
    <w:rsid w:val="74706664"/>
    <w:rsid w:val="747F3682"/>
    <w:rsid w:val="748507EA"/>
    <w:rsid w:val="74856C75"/>
    <w:rsid w:val="749C4185"/>
    <w:rsid w:val="75067759"/>
    <w:rsid w:val="752E6DCD"/>
    <w:rsid w:val="7551380D"/>
    <w:rsid w:val="75600BE5"/>
    <w:rsid w:val="7564475C"/>
    <w:rsid w:val="7583797F"/>
    <w:rsid w:val="75D20F1D"/>
    <w:rsid w:val="75D27C98"/>
    <w:rsid w:val="75DA2C18"/>
    <w:rsid w:val="75F54412"/>
    <w:rsid w:val="76171B4F"/>
    <w:rsid w:val="761D08E0"/>
    <w:rsid w:val="76320737"/>
    <w:rsid w:val="764A5A81"/>
    <w:rsid w:val="765863F0"/>
    <w:rsid w:val="765D347C"/>
    <w:rsid w:val="767B0330"/>
    <w:rsid w:val="767D7C04"/>
    <w:rsid w:val="76826699"/>
    <w:rsid w:val="76A817C7"/>
    <w:rsid w:val="76C87133"/>
    <w:rsid w:val="76CD08D5"/>
    <w:rsid w:val="76DB4B92"/>
    <w:rsid w:val="76F02F82"/>
    <w:rsid w:val="76FD013A"/>
    <w:rsid w:val="77052AA4"/>
    <w:rsid w:val="77136511"/>
    <w:rsid w:val="77340A39"/>
    <w:rsid w:val="77351FD0"/>
    <w:rsid w:val="77472422"/>
    <w:rsid w:val="77753B36"/>
    <w:rsid w:val="777F31F2"/>
    <w:rsid w:val="77D1700D"/>
    <w:rsid w:val="77EC04CC"/>
    <w:rsid w:val="780305DD"/>
    <w:rsid w:val="785C7CED"/>
    <w:rsid w:val="785E49AD"/>
    <w:rsid w:val="78654DF4"/>
    <w:rsid w:val="78775729"/>
    <w:rsid w:val="78A42DB0"/>
    <w:rsid w:val="78A656AB"/>
    <w:rsid w:val="78B2245C"/>
    <w:rsid w:val="78E172CC"/>
    <w:rsid w:val="78E26444"/>
    <w:rsid w:val="78EA1D1F"/>
    <w:rsid w:val="78FA5025"/>
    <w:rsid w:val="7904172F"/>
    <w:rsid w:val="790F7E27"/>
    <w:rsid w:val="792A231A"/>
    <w:rsid w:val="792E168A"/>
    <w:rsid w:val="79316829"/>
    <w:rsid w:val="797E66A9"/>
    <w:rsid w:val="798518A4"/>
    <w:rsid w:val="79892D64"/>
    <w:rsid w:val="798B6ADC"/>
    <w:rsid w:val="79A13C0A"/>
    <w:rsid w:val="79A97383"/>
    <w:rsid w:val="79C67B14"/>
    <w:rsid w:val="79E27E8B"/>
    <w:rsid w:val="79F850CE"/>
    <w:rsid w:val="79FD443C"/>
    <w:rsid w:val="7A1D1975"/>
    <w:rsid w:val="7A1E3F28"/>
    <w:rsid w:val="7A3E5150"/>
    <w:rsid w:val="7A4670D6"/>
    <w:rsid w:val="7A534B63"/>
    <w:rsid w:val="7A615382"/>
    <w:rsid w:val="7A67303B"/>
    <w:rsid w:val="7A6F427A"/>
    <w:rsid w:val="7AAB1D04"/>
    <w:rsid w:val="7ABA4368"/>
    <w:rsid w:val="7ACA4638"/>
    <w:rsid w:val="7AD05746"/>
    <w:rsid w:val="7B257FFD"/>
    <w:rsid w:val="7B273D20"/>
    <w:rsid w:val="7B343476"/>
    <w:rsid w:val="7B3A2568"/>
    <w:rsid w:val="7B5A2978"/>
    <w:rsid w:val="7B5A7E4C"/>
    <w:rsid w:val="7B667AF9"/>
    <w:rsid w:val="7B7468F8"/>
    <w:rsid w:val="7B9C1B1E"/>
    <w:rsid w:val="7B9D6653"/>
    <w:rsid w:val="7BC63DFB"/>
    <w:rsid w:val="7BEE0103"/>
    <w:rsid w:val="7C0A0FE4"/>
    <w:rsid w:val="7C254906"/>
    <w:rsid w:val="7C2D5C29"/>
    <w:rsid w:val="7C4A219A"/>
    <w:rsid w:val="7C590818"/>
    <w:rsid w:val="7C7A6994"/>
    <w:rsid w:val="7C7C10F6"/>
    <w:rsid w:val="7C853BEA"/>
    <w:rsid w:val="7C881368"/>
    <w:rsid w:val="7CB225D2"/>
    <w:rsid w:val="7CE27788"/>
    <w:rsid w:val="7D0C32F1"/>
    <w:rsid w:val="7D0F408D"/>
    <w:rsid w:val="7D22132A"/>
    <w:rsid w:val="7D491C6C"/>
    <w:rsid w:val="7D5429C0"/>
    <w:rsid w:val="7D6E6D43"/>
    <w:rsid w:val="7DAE4B47"/>
    <w:rsid w:val="7DB57A34"/>
    <w:rsid w:val="7DC9372F"/>
    <w:rsid w:val="7DE60973"/>
    <w:rsid w:val="7DEF06F6"/>
    <w:rsid w:val="7DEF0916"/>
    <w:rsid w:val="7DF25DC7"/>
    <w:rsid w:val="7E1E5218"/>
    <w:rsid w:val="7E854043"/>
    <w:rsid w:val="7E9A4E1F"/>
    <w:rsid w:val="7EA7723A"/>
    <w:rsid w:val="7EBC6F52"/>
    <w:rsid w:val="7EC00FD6"/>
    <w:rsid w:val="7EC42148"/>
    <w:rsid w:val="7EF56FBB"/>
    <w:rsid w:val="7F0768EB"/>
    <w:rsid w:val="7F0D7F93"/>
    <w:rsid w:val="7F143BEC"/>
    <w:rsid w:val="7F2C0419"/>
    <w:rsid w:val="7F715AF2"/>
    <w:rsid w:val="7F735F98"/>
    <w:rsid w:val="7F886E69"/>
    <w:rsid w:val="7F954211"/>
    <w:rsid w:val="7F9562A7"/>
    <w:rsid w:val="7FBA3C77"/>
    <w:rsid w:val="7FC248DA"/>
    <w:rsid w:val="7FC44AF6"/>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3"/>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9"/>
    <w:autoRedefine/>
    <w:qFormat/>
    <w:uiPriority w:val="0"/>
    <w:pPr>
      <w:ind w:left="100" w:leftChars="2500"/>
    </w:pPr>
    <w:rPr>
      <w:rFonts w:ascii="宋体"/>
      <w:sz w:val="24"/>
      <w:szCs w:val="21"/>
      <w:lang w:val="zh-CN"/>
    </w:rPr>
  </w:style>
  <w:style w:type="paragraph" w:styleId="36">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6"/>
    <w:autoRedefine/>
    <w:qFormat/>
    <w:uiPriority w:val="0"/>
    <w:rPr>
      <w:sz w:val="18"/>
      <w:szCs w:val="18"/>
    </w:rPr>
  </w:style>
  <w:style w:type="paragraph" w:styleId="39">
    <w:name w:val="footer"/>
    <w:basedOn w:val="1"/>
    <w:link w:val="381"/>
    <w:autoRedefine/>
    <w:qFormat/>
    <w:uiPriority w:val="99"/>
    <w:pPr>
      <w:tabs>
        <w:tab w:val="center" w:pos="4153"/>
        <w:tab w:val="right" w:pos="8306"/>
      </w:tabs>
      <w:snapToGrid w:val="0"/>
      <w:jc w:val="left"/>
    </w:pPr>
    <w:rPr>
      <w:sz w:val="18"/>
      <w:szCs w:val="18"/>
    </w:rPr>
  </w:style>
  <w:style w:type="paragraph" w:styleId="40">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3"/>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0"/>
    <w:autoRedefine/>
    <w:qFormat/>
    <w:uiPriority w:val="0"/>
    <w:pPr>
      <w:spacing w:after="120" w:line="480" w:lineRule="auto"/>
    </w:pPr>
  </w:style>
  <w:style w:type="paragraph" w:styleId="56">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autoRedefine/>
    <w:qFormat/>
    <w:uiPriority w:val="0"/>
    <w:rPr>
      <w:b/>
      <w:bCs/>
    </w:rPr>
  </w:style>
  <w:style w:type="paragraph" w:styleId="60">
    <w:name w:val="Body Text First Indent"/>
    <w:basedOn w:val="23"/>
    <w:link w:val="319"/>
    <w:autoRedefine/>
    <w:qFormat/>
    <w:uiPriority w:val="0"/>
    <w:pPr>
      <w:ind w:firstLine="420"/>
    </w:pPr>
    <w:rPr>
      <w:rFonts w:hAnsi="Calibri" w:cs="Times New Roman"/>
      <w:snapToGrid/>
      <w:szCs w:val="20"/>
    </w:rPr>
  </w:style>
  <w:style w:type="paragraph" w:styleId="61">
    <w:name w:val="Body Text First Indent 2"/>
    <w:basedOn w:val="24"/>
    <w:next w:val="1"/>
    <w:link w:val="119"/>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标题 1 字符"/>
    <w:autoRedefine/>
    <w:qFormat/>
    <w:uiPriority w:val="9"/>
    <w:rPr>
      <w:rFonts w:ascii="Arial" w:hAnsi="Arial" w:eastAsia="黑体" w:cs="Arial"/>
      <w:b/>
      <w:bCs/>
      <w:snapToGrid w:val="0"/>
      <w:kern w:val="44"/>
      <w:sz w:val="44"/>
      <w:szCs w:val="44"/>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59"/>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1"/>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6"/>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autoRedefine/>
    <w:qFormat/>
    <w:uiPriority w:val="0"/>
    <w:rPr>
      <w:rFonts w:hint="eastAsia" w:ascii="仿宋_GB2312" w:eastAsia="仿宋_GB2312" w:cs="仿宋_GB2312"/>
      <w:color w:val="000000"/>
      <w:sz w:val="22"/>
      <w:szCs w:val="22"/>
      <w:u w:val="none"/>
    </w:rPr>
  </w:style>
  <w:style w:type="character" w:customStyle="1" w:styleId="145">
    <w:name w:val="标题 6 Char"/>
    <w:link w:val="7"/>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2"/>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5"/>
    <w:autoRedefine/>
    <w:qFormat/>
    <w:uiPriority w:val="0"/>
    <w:rPr>
      <w:rFonts w:ascii="宋体"/>
      <w:kern w:val="2"/>
      <w:sz w:val="24"/>
      <w:szCs w:val="21"/>
      <w:lang w:val="zh-CN"/>
    </w:rPr>
  </w:style>
  <w:style w:type="character" w:customStyle="1" w:styleId="180">
    <w:name w:val="标题 9 Char"/>
    <w:link w:val="10"/>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99"/>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8"/>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29"/>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5"/>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4"/>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8"/>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6"/>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6"/>
    <w:autoRedefine/>
    <w:qFormat/>
    <w:uiPriority w:val="0"/>
    <w:rPr>
      <w:rFonts w:ascii="黑体" w:hAnsi="Courier New" w:eastAsia="黑体"/>
    </w:rPr>
  </w:style>
  <w:style w:type="character" w:customStyle="1" w:styleId="300">
    <w:name w:val="正文文本 2 Char1"/>
    <w:link w:val="55"/>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5"/>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8"/>
    <w:autoRedefine/>
    <w:qFormat/>
    <w:uiPriority w:val="0"/>
    <w:rPr>
      <w:b/>
      <w:bCs/>
      <w:kern w:val="2"/>
      <w:sz w:val="24"/>
      <w:szCs w:val="24"/>
    </w:rPr>
  </w:style>
  <w:style w:type="character" w:customStyle="1" w:styleId="306">
    <w:name w:val="正文文本缩进 2 Char"/>
    <w:link w:val="36"/>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49"/>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60"/>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5"/>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autoRedefine/>
    <w:qFormat/>
    <w:uiPriority w:val="99"/>
    <w:rPr>
      <w:kern w:val="2"/>
      <w:sz w:val="21"/>
      <w:szCs w:val="24"/>
    </w:rPr>
  </w:style>
  <w:style w:type="character" w:customStyle="1" w:styleId="343">
    <w:name w:val="签名 Char"/>
    <w:link w:val="41"/>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2"/>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39"/>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0"/>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1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6"/>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3"/>
    <w:autoRedefine/>
    <w:qFormat/>
    <w:uiPriority w:val="0"/>
    <w:pPr>
      <w:tabs>
        <w:tab w:val="left" w:pos="840"/>
      </w:tabs>
      <w:adjustRightInd/>
      <w:ind w:left="840" w:hanging="420"/>
    </w:pPr>
  </w:style>
  <w:style w:type="paragraph" w:customStyle="1" w:styleId="623">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autoRedefine/>
    <w:qFormat/>
    <w:uiPriority w:val="0"/>
    <w:pPr>
      <w:tabs>
        <w:tab w:val="left" w:pos="1080"/>
      </w:tabs>
      <w:ind w:left="1080" w:hanging="1080"/>
    </w:pPr>
  </w:style>
  <w:style w:type="paragraph" w:customStyle="1" w:styleId="894">
    <w:name w:val="数字标题1"/>
    <w:basedOn w:val="3"/>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7"/>
    <w:autoRedefine/>
    <w:qFormat/>
    <w:uiPriority w:val="0"/>
    <w:rPr>
      <w:kern w:val="2"/>
      <w:sz w:val="21"/>
      <w:szCs w:val="24"/>
      <w:lang w:val="zh-CN"/>
    </w:rPr>
  </w:style>
  <w:style w:type="character" w:customStyle="1" w:styleId="930">
    <w:name w:val="无间隔 Char"/>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6"/>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WPSOffice手动目录 1"/>
    <w:autoRedefine/>
    <w:qFormat/>
    <w:uiPriority w:val="0"/>
    <w:pPr>
      <w:ind w:leftChars="0"/>
    </w:pPr>
    <w:rPr>
      <w:rFonts w:ascii="Times New Roman" w:hAnsi="Times New Roman" w:eastAsia="宋体" w:cs="Times New Roman"/>
      <w:sz w:val="20"/>
      <w:szCs w:val="20"/>
    </w:rPr>
  </w:style>
  <w:style w:type="paragraph" w:customStyle="1" w:styleId="963">
    <w:name w:val="WPSOffice手动目录 2"/>
    <w:autoRedefine/>
    <w:qFormat/>
    <w:uiPriority w:val="0"/>
    <w:pPr>
      <w:ind w:leftChars="200"/>
    </w:pPr>
    <w:rPr>
      <w:rFonts w:ascii="Times New Roman" w:hAnsi="Times New Roman" w:eastAsia="宋体" w:cs="Times New Roman"/>
      <w:sz w:val="20"/>
      <w:szCs w:val="20"/>
    </w:rPr>
  </w:style>
  <w:style w:type="paragraph" w:customStyle="1" w:styleId="964">
    <w:name w:val="WPSOffice手动目录 3"/>
    <w:autoRedefine/>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101</Pages>
  <Words>15437</Words>
  <Characters>16606</Characters>
  <Lines>281</Lines>
  <Paragraphs>79</Paragraphs>
  <TotalTime>28</TotalTime>
  <ScaleCrop>false</ScaleCrop>
  <LinksUpToDate>false</LinksUpToDate>
  <CharactersWithSpaces>16998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Z</cp:lastModifiedBy>
  <cp:lastPrinted>2021-12-27T19:06:00Z</cp:lastPrinted>
  <dcterms:modified xsi:type="dcterms:W3CDTF">2025-02-18T09:22:16Z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DB224B3C910E4DAFAD761E0C2072618F_13</vt:lpwstr>
  </property>
  <property fmtid="{D5CDD505-2E9C-101B-9397-08002B2CF9AE}" pid="5" name="KSOTemplateDocerSaveRecord">
    <vt:lpwstr>eyJoZGlkIjoiNWUzNGZkN2M4OGVjYmI1YzFiZTQ0OTdkNGFhNGY0ODIiLCJ1c2VySWQiOiI0Mzc4MDc2NjgifQ==</vt:lpwstr>
  </property>
</Properties>
</file>