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2024年度横村微型消防站服务外包项目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ZJKJ-TL2024006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tabs>
          <w:tab w:val="left" w:pos="1980"/>
          <w:tab w:val="left" w:pos="3240"/>
          <w:tab w:val="left" w:pos="3420"/>
          <w:tab w:val="left" w:pos="3600"/>
          <w:tab w:val="left" w:pos="3780"/>
        </w:tabs>
        <w:spacing w:line="720" w:lineRule="auto"/>
        <w:jc w:val="center"/>
        <w:rPr>
          <w:rFonts w:ascii="宋体" w:hAnsi="宋体"/>
          <w:sz w:val="32"/>
          <w:szCs w:val="32"/>
          <w:u w:val="single"/>
        </w:rPr>
      </w:pPr>
      <w:r>
        <w:rPr>
          <w:rFonts w:hint="eastAsia" w:ascii="宋体" w:hAnsi="宋体"/>
          <w:sz w:val="32"/>
          <w:szCs w:val="32"/>
        </w:rPr>
        <w:t>采购人：</w:t>
      </w:r>
      <w:r>
        <w:fldChar w:fldCharType="begin"/>
      </w:r>
      <w:r>
        <w:instrText xml:space="preserve"> HYPERLINK "javascript:void(0);" \t "_self" \o "桐庐县残疾人联合会" </w:instrText>
      </w:r>
      <w:r>
        <w:fldChar w:fldCharType="separate"/>
      </w:r>
      <w:r>
        <w:rPr>
          <w:rFonts w:hint="eastAsia" w:ascii="宋体" w:hAnsi="宋体"/>
          <w:sz w:val="32"/>
          <w:szCs w:val="32"/>
          <w:u w:val="single"/>
          <w:lang w:eastAsia="zh-CN"/>
        </w:rPr>
        <w:t>桐庐县横村镇人民政府</w:t>
      </w:r>
      <w:r>
        <w:rPr>
          <w:rFonts w:hint="eastAsia" w:ascii="宋体" w:hAnsi="宋体"/>
          <w:sz w:val="32"/>
          <w:szCs w:val="32"/>
          <w:u w:val="single"/>
        </w:rPr>
        <w:fldChar w:fldCharType="end"/>
      </w:r>
    </w:p>
    <w:p>
      <w:pPr>
        <w:tabs>
          <w:tab w:val="left" w:pos="1620"/>
          <w:tab w:val="left" w:pos="1800"/>
          <w:tab w:val="left" w:pos="1980"/>
        </w:tabs>
        <w:spacing w:line="720" w:lineRule="auto"/>
        <w:jc w:val="center"/>
        <w:rPr>
          <w:rFonts w:hint="eastAsia" w:ascii="宋体" w:hAnsi="宋体" w:eastAsia="宋体"/>
          <w:sz w:val="32"/>
          <w:szCs w:val="32"/>
          <w:u w:val="single"/>
          <w:lang w:eastAsia="zh-CN"/>
        </w:rPr>
      </w:pPr>
      <w:r>
        <w:rPr>
          <w:rFonts w:hint="eastAsia" w:ascii="宋体" w:hAnsi="宋体"/>
          <w:sz w:val="32"/>
          <w:szCs w:val="32"/>
        </w:rPr>
        <w:t>采购机构 ：</w:t>
      </w:r>
      <w:r>
        <w:rPr>
          <w:rFonts w:hint="eastAsia" w:ascii="宋体" w:hAnsi="宋体"/>
          <w:sz w:val="32"/>
          <w:szCs w:val="32"/>
          <w:u w:val="single"/>
          <w:lang w:eastAsia="zh-CN"/>
        </w:rPr>
        <w:t>浙江科佳工程咨询有限公司</w:t>
      </w:r>
    </w:p>
    <w:p>
      <w:pPr>
        <w:snapToGrid w:val="0"/>
        <w:spacing w:line="360" w:lineRule="auto"/>
        <w:jc w:val="center"/>
        <w:rPr>
          <w:rFonts w:ascii="宋体" w:hAnsi="宋体" w:cs="宋体"/>
          <w:bCs/>
          <w:sz w:val="32"/>
          <w:szCs w:val="32"/>
        </w:rPr>
      </w:pPr>
      <w:r>
        <w:rPr>
          <w:rFonts w:hint="eastAsia" w:ascii="宋体" w:hAnsi="宋体"/>
          <w:sz w:val="32"/>
          <w:szCs w:val="32"/>
        </w:rPr>
        <w:t>202</w:t>
      </w:r>
      <w:r>
        <w:rPr>
          <w:rFonts w:hint="eastAsia" w:ascii="宋体" w:hAnsi="宋体"/>
          <w:sz w:val="32"/>
          <w:szCs w:val="32"/>
          <w:lang w:val="en-US" w:eastAsia="zh-CN"/>
        </w:rPr>
        <w:t>4</w:t>
      </w:r>
      <w:r>
        <w:rPr>
          <w:rFonts w:hint="eastAsia" w:ascii="宋体" w:hAnsi="宋体"/>
          <w:sz w:val="32"/>
          <w:szCs w:val="32"/>
        </w:rPr>
        <w:t>年</w:t>
      </w:r>
      <w:r>
        <w:rPr>
          <w:rFonts w:hint="eastAsia" w:ascii="宋体" w:hAnsi="宋体"/>
          <w:sz w:val="32"/>
          <w:szCs w:val="32"/>
          <w:lang w:val="en-US" w:eastAsia="zh-CN"/>
        </w:rPr>
        <w:t>5</w:t>
      </w:r>
      <w:r>
        <w:rPr>
          <w:rFonts w:hint="eastAsia" w:ascii="宋体" w:hAnsi="宋体"/>
          <w:sz w:val="32"/>
          <w:szCs w:val="32"/>
        </w:rPr>
        <w:t>月</w:t>
      </w:r>
    </w:p>
    <w:p>
      <w:pPr>
        <w:spacing w:line="360" w:lineRule="auto"/>
        <w:jc w:val="center"/>
        <w:rPr>
          <w:rFonts w:cs="宋体" w:asciiTheme="minorEastAsia" w:hAnsiTheme="minorEastAsia" w:eastAsiaTheme="minorEastAsia"/>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0" w:num="1"/>
          <w:titlePg/>
          <w:docGrid w:linePitch="312" w:charSpace="0"/>
        </w:sectPr>
      </w:pPr>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adjustRightInd/>
        <w:spacing w:line="360" w:lineRule="auto"/>
        <w:jc w:val="center"/>
        <w:outlineLvl w:val="0"/>
        <w:rPr>
          <w:rFonts w:cs="宋体" w:asciiTheme="minorEastAsia" w:hAnsiTheme="minorEastAsia" w:eastAsiaTheme="minorEastAsia"/>
          <w:b/>
          <w:sz w:val="36"/>
          <w:szCs w:val="20"/>
        </w:rPr>
        <w:sectPr>
          <w:pgSz w:w="11906" w:h="16838"/>
          <w:pgMar w:top="1440" w:right="1418" w:bottom="1440" w:left="1418" w:header="851" w:footer="992" w:gutter="0"/>
          <w:cols w:space="0" w:num="1"/>
          <w:titlePg/>
          <w:docGrid w:linePitch="312" w:charSpace="0"/>
        </w:sectPr>
      </w:pPr>
      <w:bookmarkStart w:id="0" w:name="_Hlt91233176"/>
      <w:bookmarkEnd w:id="0"/>
      <w:bookmarkStart w:id="1" w:name="第二部分"/>
      <w:bookmarkStart w:id="2" w:name="_Toc91899870"/>
      <w:bookmarkStart w:id="3" w:name="_Toc91899871"/>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lang w:eastAsia="zh-CN"/>
        </w:rPr>
        <w:t>2024年度横村微型消防站服务外包项目</w:t>
      </w:r>
      <w:r>
        <w:rPr>
          <w:rFonts w:hint="eastAsia" w:cs="宋体" w:asciiTheme="minorEastAsia" w:hAnsiTheme="minorEastAsia" w:eastAsiaTheme="minorEastAsia"/>
          <w:sz w:val="24"/>
        </w:rPr>
        <w:t>的潜在投标人应在政采云平台（</w:t>
      </w:r>
      <w:r>
        <w:fldChar w:fldCharType="begin"/>
      </w:r>
      <w:r>
        <w:instrText xml:space="preserve"> HYPERLINK "https://www.zcygov.cn/）获取（下载）招标文件，并于2021年" </w:instrText>
      </w:r>
      <w:r>
        <w:fldChar w:fldCharType="separate"/>
      </w:r>
      <w:r>
        <w:rPr>
          <w:rStyle w:val="85"/>
          <w:rFonts w:hint="eastAsia" w:cs="宋体" w:asciiTheme="minorEastAsia" w:hAnsiTheme="minorEastAsia" w:eastAsiaTheme="minorEastAsia"/>
          <w:snapToGrid/>
          <w:color w:val="auto"/>
          <w:kern w:val="2"/>
          <w:sz w:val="24"/>
          <w:szCs w:val="24"/>
        </w:rPr>
        <w:t>https://www.zcygov.cn/）获取（下载）招标文件，并于</w:t>
      </w:r>
      <w:r>
        <w:rPr>
          <w:rFonts w:hint="eastAsia" w:cs="宋体" w:asciiTheme="minorEastAsia" w:hAnsiTheme="minorEastAsia" w:eastAsiaTheme="minorEastAsia"/>
          <w:sz w:val="24"/>
          <w:highlight w:val="yellow"/>
          <w:u w:val="single"/>
          <w:lang w:eastAsia="zh-CN"/>
        </w:rPr>
        <w:t>2024年07月0</w:t>
      </w:r>
      <w:r>
        <w:rPr>
          <w:rFonts w:hint="eastAsia" w:cs="宋体" w:asciiTheme="minorEastAsia" w:hAnsiTheme="minorEastAsia" w:eastAsiaTheme="minorEastAsia"/>
          <w:sz w:val="24"/>
          <w:highlight w:val="yellow"/>
          <w:u w:val="single"/>
          <w:lang w:val="en-US" w:eastAsia="zh-CN"/>
        </w:rPr>
        <w:t>4</w:t>
      </w:r>
      <w:r>
        <w:rPr>
          <w:rFonts w:hint="eastAsia" w:cs="宋体" w:asciiTheme="minorEastAsia" w:hAnsiTheme="minorEastAsia" w:eastAsiaTheme="minorEastAsia"/>
          <w:sz w:val="24"/>
          <w:highlight w:val="yellow"/>
          <w:u w:val="single"/>
          <w:lang w:eastAsia="zh-CN"/>
        </w:rPr>
        <w:t>日</w:t>
      </w:r>
      <w:r>
        <w:rPr>
          <w:rFonts w:hint="eastAsia" w:cs="宋体" w:asciiTheme="minorEastAsia" w:hAnsiTheme="minorEastAsia" w:eastAsiaTheme="minorEastAsia"/>
          <w:sz w:val="24"/>
          <w:highlight w:val="yellow"/>
          <w:u w:val="single"/>
          <w:lang w:val="en-US" w:eastAsia="zh-CN"/>
        </w:rPr>
        <w:t>9</w:t>
      </w:r>
      <w:r>
        <w:rPr>
          <w:rFonts w:hint="eastAsia" w:cs="宋体" w:asciiTheme="minorEastAsia" w:hAnsiTheme="minorEastAsia" w:eastAsiaTheme="minorEastAsia"/>
          <w:sz w:val="24"/>
          <w:highlight w:val="yellow"/>
          <w:u w:val="single"/>
          <w:lang w:eastAsia="zh-CN"/>
        </w:rPr>
        <w:t>点</w:t>
      </w:r>
      <w:r>
        <w:rPr>
          <w:rFonts w:hint="eastAsia" w:cs="宋体" w:asciiTheme="minorEastAsia" w:hAnsiTheme="minorEastAsia" w:eastAsiaTheme="minorEastAsia"/>
          <w:sz w:val="24"/>
          <w:highlight w:val="yellow"/>
          <w:u w:val="single"/>
          <w:lang w:val="en-US" w:eastAsia="zh-CN"/>
        </w:rPr>
        <w:t>3</w:t>
      </w:r>
      <w:r>
        <w:rPr>
          <w:rFonts w:hint="eastAsia" w:cs="宋体" w:asciiTheme="minorEastAsia" w:hAnsiTheme="minorEastAsia" w:eastAsiaTheme="minorEastAsia"/>
          <w:sz w:val="24"/>
          <w:highlight w:val="yellow"/>
          <w:u w:val="single"/>
          <w:lang w:eastAsia="zh-CN"/>
        </w:rPr>
        <w:t>0分</w:t>
      </w:r>
      <w:r>
        <w:rPr>
          <w:rFonts w:hint="eastAsia" w:cs="宋体" w:asciiTheme="minorEastAsia" w:hAnsiTheme="minorEastAsia" w:eastAsiaTheme="minorEastAsia"/>
          <w:sz w:val="24"/>
          <w:highlight w:val="yellow"/>
          <w:u w:val="single"/>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lang w:eastAsia="zh-CN"/>
        </w:rPr>
        <w:t>ZJKJ-TL2024006</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lang w:eastAsia="zh-CN"/>
        </w:rPr>
        <w:t>2024年度横村微型消防站服务外包项目</w:t>
      </w:r>
    </w:p>
    <w:p>
      <w:pPr>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b/>
          <w:sz w:val="24"/>
          <w:lang w:val="en-US" w:eastAsia="zh-CN"/>
        </w:rPr>
        <w:t>最高限价</w:t>
      </w:r>
      <w:r>
        <w:rPr>
          <w:rFonts w:hint="eastAsia" w:cs="宋体" w:asciiTheme="minorEastAsia" w:hAnsiTheme="minorEastAsia" w:eastAsiaTheme="minorEastAsia"/>
          <w:b/>
          <w:sz w:val="24"/>
        </w:rPr>
        <w:t>（元）：</w:t>
      </w:r>
      <w:r>
        <w:rPr>
          <w:rFonts w:hint="eastAsia" w:cs="宋体" w:asciiTheme="minorEastAsia" w:hAnsiTheme="minorEastAsia" w:eastAsiaTheme="minorEastAsia"/>
          <w:bCs/>
          <w:sz w:val="24"/>
          <w:lang w:val="en-US" w:eastAsia="zh-CN"/>
        </w:rPr>
        <w:t>500000</w:t>
      </w:r>
    </w:p>
    <w:p>
      <w:pPr>
        <w:spacing w:line="360" w:lineRule="auto"/>
        <w:rPr>
          <w:rFonts w:hint="eastAsia" w:asciiTheme="minorEastAsia" w:hAnsiTheme="minorEastAsia" w:eastAsiaTheme="minorEastAsia"/>
          <w:bCs/>
          <w:snapToGrid/>
          <w:color w:val="auto"/>
          <w:kern w:val="2"/>
          <w:sz w:val="24"/>
          <w:szCs w:val="24"/>
        </w:rPr>
      </w:pPr>
      <w:r>
        <w:rPr>
          <w:rFonts w:hint="eastAsia" w:cs="宋体" w:asciiTheme="minorEastAsia" w:hAnsiTheme="minorEastAsia" w:eastAsiaTheme="minorEastAsia"/>
          <w:b/>
          <w:sz w:val="24"/>
        </w:rPr>
        <w:t>采购需求：</w:t>
      </w:r>
      <w:r>
        <w:rPr>
          <w:rFonts w:hint="eastAsia" w:ascii="宋体" w:hAnsi="宋体" w:cs="Arial"/>
          <w:bCs/>
          <w:color w:val="000000"/>
          <w:sz w:val="24"/>
          <w:lang w:eastAsia="zh-CN"/>
        </w:rPr>
        <w:t>2024年度横村微型消防站服务外包</w:t>
      </w:r>
      <w:r>
        <w:rPr>
          <w:rFonts w:hint="eastAsia" w:asciiTheme="minorEastAsia" w:hAnsiTheme="minorEastAsia" w:eastAsiaTheme="minorEastAsia"/>
          <w:bCs/>
          <w:snapToGrid/>
          <w:color w:val="auto"/>
          <w:kern w:val="2"/>
          <w:sz w:val="24"/>
          <w:szCs w:val="24"/>
        </w:rPr>
        <w:t>。详见招标文件第三部分采购需求。</w:t>
      </w:r>
    </w:p>
    <w:p>
      <w:pPr>
        <w:spacing w:line="360" w:lineRule="auto"/>
        <w:rPr>
          <w:rFonts w:hint="eastAsia" w:ascii="宋体" w:hAnsi="宋体" w:cs="宋体"/>
          <w:sz w:val="24"/>
          <w:szCs w:val="24"/>
          <w:lang w:eastAsia="zh-CN"/>
        </w:rPr>
      </w:pPr>
      <w:r>
        <w:rPr>
          <w:rFonts w:hint="eastAsia" w:cs="宋体" w:asciiTheme="minorEastAsia" w:hAnsiTheme="minorEastAsia" w:eastAsiaTheme="minorEastAsia"/>
          <w:b/>
          <w:sz w:val="24"/>
        </w:rPr>
        <w:t>合同履约期限</w:t>
      </w:r>
      <w:r>
        <w:rPr>
          <w:rFonts w:hint="eastAsia" w:cs="宋体" w:asciiTheme="minorEastAsia" w:hAnsiTheme="minorEastAsia" w:eastAsiaTheme="minorEastAsia"/>
          <w:bCs/>
          <w:sz w:val="24"/>
        </w:rPr>
        <w:t>：</w:t>
      </w:r>
      <w:r>
        <w:rPr>
          <w:rFonts w:hint="eastAsia" w:ascii="宋体" w:hAnsi="宋体" w:cs="宋体"/>
          <w:bCs/>
          <w:sz w:val="24"/>
          <w:lang w:eastAsia="zh-CN"/>
        </w:rPr>
        <w:t>合同签订后1年。</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本项目接受联合体投标：</w:t>
      </w:r>
      <w:sdt>
        <w:sdtPr>
          <w:rPr>
            <w:rFonts w:hint="eastAsia" w:cs="宋体" w:asciiTheme="minorEastAsia" w:hAnsiTheme="minorEastAsia" w:eastAsiaTheme="minorEastAsia"/>
            <w:kern w:val="0"/>
            <w:sz w:val="24"/>
          </w:rPr>
          <w:id w:val="2035453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86974422"/>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snapToGrid w:val="0"/>
                  <w:kern w:val="0"/>
                  <w:sz w:val="24"/>
                  <w:szCs w:val="20"/>
                </w:rPr>
                <w:t>☐</w:t>
              </w:r>
            </w:sdtContent>
          </w:sdt>
        </w:sdtContent>
      </w:sdt>
      <w:r>
        <w:rPr>
          <w:rFonts w:hint="eastAsia" w:cs="宋体" w:asciiTheme="minorEastAsia" w:hAnsiTheme="minorEastAsia" w:eastAsiaTheme="minorEastAsia"/>
          <w:b/>
          <w:sz w:val="24"/>
        </w:rPr>
        <w:t>是，</w:t>
      </w:r>
      <w:sdt>
        <w:sdtPr>
          <w:rPr>
            <w:rFonts w:hint="eastAsia" w:cs="宋体" w:asciiTheme="minorEastAsia" w:hAnsiTheme="minorEastAsia" w:eastAsiaTheme="minorEastAsia"/>
            <w:kern w:val="0"/>
            <w:sz w:val="24"/>
          </w:rPr>
          <w:id w:val="-176552672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3964096"/>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sdtContent>
          </w:sdt>
        </w:sdtContent>
      </w:sdt>
      <w:r>
        <w:rPr>
          <w:rFonts w:hint="eastAsia" w:cs="宋体" w:asciiTheme="minorEastAsia" w:hAnsiTheme="minorEastAsia" w:eastAsiaTheme="minorEastAsia"/>
          <w:b/>
          <w:sz w:val="24"/>
        </w:rPr>
        <w:t>否</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2.落实政府采购政策需满足的资格要求：</w:t>
      </w:r>
    </w:p>
    <w:p>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4"/>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A8"/>
              </w:r>
            </w:sdtContent>
          </w:sdt>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3410824"/>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sz w:val="24"/>
        </w:rPr>
        <w:t>要求以联合体形式参加，提供联合协议和中小企业声明函，联合协议中中小企业合同金额应当达到%，小微企业合同金额应当达到%;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 ，小微企业合同金额应当达到%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rPr>
          <w:rFonts w:cs="宋体" w:asciiTheme="minorEastAsia" w:hAnsiTheme="minorEastAsia" w:eastAsiaTheme="minorEastAsia"/>
          <w:spacing w:val="8"/>
          <w:kern w:val="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求：无</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highlight w:val="yellow"/>
        </w:rPr>
        <w:t>至</w:t>
      </w:r>
      <w:r>
        <w:rPr>
          <w:rFonts w:hint="eastAsia" w:cs="宋体" w:asciiTheme="minorEastAsia" w:hAnsiTheme="minorEastAsia" w:eastAsiaTheme="minorEastAsia"/>
          <w:sz w:val="24"/>
          <w:highlight w:val="yellow"/>
          <w:u w:val="single"/>
          <w:lang w:eastAsia="zh-CN"/>
        </w:rPr>
        <w:t>2024年07月0</w:t>
      </w:r>
      <w:r>
        <w:rPr>
          <w:rFonts w:hint="eastAsia" w:cs="宋体" w:asciiTheme="minorEastAsia" w:hAnsiTheme="minorEastAsia" w:eastAsiaTheme="minorEastAsia"/>
          <w:sz w:val="24"/>
          <w:highlight w:val="yellow"/>
          <w:u w:val="single"/>
          <w:lang w:val="en-US" w:eastAsia="zh-CN"/>
        </w:rPr>
        <w:t>4</w:t>
      </w:r>
      <w:r>
        <w:rPr>
          <w:rFonts w:hint="eastAsia" w:cs="宋体" w:asciiTheme="minorEastAsia" w:hAnsiTheme="minorEastAsia" w:eastAsiaTheme="minorEastAsia"/>
          <w:sz w:val="24"/>
          <w:highlight w:val="yellow"/>
          <w:u w:val="single"/>
          <w:lang w:eastAsia="zh-CN"/>
        </w:rPr>
        <w:t>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highlight w:val="yellow"/>
          <w:u w:val="single"/>
          <w:lang w:eastAsia="zh-CN"/>
        </w:rPr>
        <w:t>2024年07月0</w:t>
      </w:r>
      <w:r>
        <w:rPr>
          <w:rFonts w:hint="eastAsia" w:cs="宋体" w:asciiTheme="minorEastAsia" w:hAnsiTheme="minorEastAsia" w:eastAsiaTheme="minorEastAsia"/>
          <w:sz w:val="24"/>
          <w:highlight w:val="yellow"/>
          <w:u w:val="single"/>
          <w:lang w:val="en-US" w:eastAsia="zh-CN"/>
        </w:rPr>
        <w:t>4</w:t>
      </w:r>
      <w:r>
        <w:rPr>
          <w:rFonts w:hint="eastAsia" w:cs="宋体" w:asciiTheme="minorEastAsia" w:hAnsiTheme="minorEastAsia" w:eastAsiaTheme="minorEastAsia"/>
          <w:sz w:val="24"/>
          <w:highlight w:val="yellow"/>
          <w:u w:val="single"/>
          <w:lang w:eastAsia="zh-CN"/>
        </w:rPr>
        <w:t>日</w:t>
      </w:r>
      <w:r>
        <w:rPr>
          <w:rFonts w:hint="eastAsia" w:cs="宋体" w:asciiTheme="minorEastAsia" w:hAnsiTheme="minorEastAsia" w:eastAsiaTheme="minorEastAsia"/>
          <w:sz w:val="24"/>
          <w:highlight w:val="yellow"/>
          <w:u w:val="single"/>
          <w:lang w:val="en-US" w:eastAsia="zh-CN"/>
        </w:rPr>
        <w:t>9</w:t>
      </w:r>
      <w:r>
        <w:rPr>
          <w:rFonts w:hint="eastAsia" w:cs="宋体" w:asciiTheme="minorEastAsia" w:hAnsiTheme="minorEastAsia" w:eastAsiaTheme="minorEastAsia"/>
          <w:sz w:val="24"/>
          <w:highlight w:val="yellow"/>
          <w:u w:val="single"/>
          <w:lang w:eastAsia="zh-CN"/>
        </w:rPr>
        <w:t>点</w:t>
      </w:r>
      <w:r>
        <w:rPr>
          <w:rFonts w:hint="eastAsia" w:cs="宋体" w:asciiTheme="minorEastAsia" w:hAnsiTheme="minorEastAsia" w:eastAsiaTheme="minorEastAsia"/>
          <w:sz w:val="24"/>
          <w:highlight w:val="yellow"/>
          <w:u w:val="single"/>
          <w:lang w:val="en-US" w:eastAsia="zh-CN"/>
        </w:rPr>
        <w:t>3</w:t>
      </w:r>
      <w:r>
        <w:rPr>
          <w:rFonts w:hint="eastAsia" w:cs="宋体" w:asciiTheme="minorEastAsia" w:hAnsiTheme="minorEastAsia" w:eastAsiaTheme="minorEastAsia"/>
          <w:sz w:val="24"/>
          <w:highlight w:val="yellow"/>
          <w:u w:val="single"/>
          <w:lang w:eastAsia="zh-CN"/>
        </w:rPr>
        <w:t>0分</w:t>
      </w:r>
      <w:r>
        <w:rPr>
          <w:rFonts w:hint="eastAsia" w:cs="宋体" w:asciiTheme="minorEastAsia" w:hAnsiTheme="minorEastAsia" w:eastAsiaTheme="minorEastAsia"/>
          <w:sz w:val="24"/>
        </w:rPr>
        <w:t>（北京时间）</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hint="eastAsia" w:cs="宋体" w:asciiTheme="minorEastAsia" w:hAnsiTheme="minorEastAsia" w:eastAsiaTheme="minorEastAsia"/>
          <w:bCs/>
          <w:sz w:val="24"/>
          <w:u w:val="single"/>
          <w:lang w:eastAsia="zh-CN"/>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highlight w:val="yellow"/>
          <w:u w:val="single"/>
          <w:lang w:eastAsia="zh-CN"/>
        </w:rPr>
        <w:t>2024年07月0</w:t>
      </w:r>
      <w:r>
        <w:rPr>
          <w:rFonts w:hint="eastAsia" w:cs="宋体" w:asciiTheme="minorEastAsia" w:hAnsiTheme="minorEastAsia" w:eastAsiaTheme="minorEastAsia"/>
          <w:sz w:val="24"/>
          <w:highlight w:val="yellow"/>
          <w:u w:val="single"/>
          <w:lang w:val="en-US" w:eastAsia="zh-CN"/>
        </w:rPr>
        <w:t>4</w:t>
      </w:r>
      <w:r>
        <w:rPr>
          <w:rFonts w:hint="eastAsia" w:cs="宋体" w:asciiTheme="minorEastAsia" w:hAnsiTheme="minorEastAsia" w:eastAsiaTheme="minorEastAsia"/>
          <w:sz w:val="24"/>
          <w:highlight w:val="yellow"/>
          <w:u w:val="single"/>
          <w:lang w:eastAsia="zh-CN"/>
        </w:rPr>
        <w:t>日</w:t>
      </w:r>
      <w:r>
        <w:rPr>
          <w:rFonts w:hint="eastAsia" w:cs="宋体" w:asciiTheme="minorEastAsia" w:hAnsiTheme="minorEastAsia" w:eastAsiaTheme="minorEastAsia"/>
          <w:sz w:val="24"/>
          <w:highlight w:val="yellow"/>
          <w:u w:val="single"/>
          <w:lang w:val="en-US" w:eastAsia="zh-CN"/>
        </w:rPr>
        <w:t>9</w:t>
      </w:r>
      <w:r>
        <w:rPr>
          <w:rFonts w:hint="eastAsia" w:cs="宋体" w:asciiTheme="minorEastAsia" w:hAnsiTheme="minorEastAsia" w:eastAsiaTheme="minorEastAsia"/>
          <w:sz w:val="24"/>
          <w:highlight w:val="yellow"/>
          <w:u w:val="single"/>
          <w:lang w:eastAsia="zh-CN"/>
        </w:rPr>
        <w:t>点</w:t>
      </w:r>
      <w:r>
        <w:rPr>
          <w:rFonts w:hint="eastAsia" w:cs="宋体" w:asciiTheme="minorEastAsia" w:hAnsiTheme="minorEastAsia" w:eastAsiaTheme="minorEastAsia"/>
          <w:sz w:val="24"/>
          <w:highlight w:val="yellow"/>
          <w:u w:val="single"/>
          <w:lang w:val="en-US" w:eastAsia="zh-CN"/>
        </w:rPr>
        <w:t>3</w:t>
      </w:r>
      <w:r>
        <w:rPr>
          <w:rFonts w:hint="eastAsia" w:cs="宋体" w:asciiTheme="minorEastAsia" w:hAnsiTheme="minorEastAsia" w:eastAsiaTheme="minorEastAsia"/>
          <w:sz w:val="24"/>
          <w:highlight w:val="yellow"/>
          <w:u w:val="single"/>
          <w:lang w:eastAsia="zh-CN"/>
        </w:rPr>
        <w:t>0分</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桐庐县横村镇人民政府</w:t>
      </w:r>
    </w:p>
    <w:p>
      <w:pPr>
        <w:spacing w:line="360" w:lineRule="auto"/>
        <w:rPr>
          <w:rFonts w:hint="eastAsia" w:ascii="宋体" w:hAnsi="宋体" w:eastAsia="宋体" w:cs="宋体"/>
          <w:sz w:val="24"/>
          <w:lang w:eastAsia="zh-CN"/>
        </w:rPr>
      </w:pPr>
      <w:r>
        <w:rPr>
          <w:rFonts w:hint="eastAsia" w:ascii="宋体" w:hAnsi="宋体" w:cs="宋体"/>
          <w:sz w:val="24"/>
        </w:rPr>
        <w:t xml:space="preserve">    地    址：</w:t>
      </w:r>
      <w:r>
        <w:rPr>
          <w:rFonts w:hint="eastAsia" w:asciiTheme="minorEastAsia" w:hAnsiTheme="minorEastAsia" w:eastAsiaTheme="minorEastAsia"/>
          <w:sz w:val="24"/>
          <w:lang w:eastAsia="zh-CN"/>
        </w:rPr>
        <w:t>桐庐县横村镇横政路299号</w:t>
      </w:r>
    </w:p>
    <w:p>
      <w:pPr>
        <w:spacing w:line="360" w:lineRule="auto"/>
        <w:ind w:firstLine="480"/>
        <w:rPr>
          <w:rFonts w:hint="eastAsia" w:ascii="宋体" w:hAnsi="宋体" w:eastAsia="宋体" w:cs="宋体"/>
          <w:sz w:val="24"/>
          <w:lang w:val="en-US" w:eastAsia="zh-CN"/>
        </w:rPr>
      </w:pPr>
      <w:r>
        <w:rPr>
          <w:rFonts w:hint="eastAsia" w:ascii="宋体" w:hAnsi="宋体" w:cs="宋体"/>
          <w:sz w:val="24"/>
        </w:rPr>
        <w:t>项目联系人（询问）：</w:t>
      </w:r>
      <w:r>
        <w:rPr>
          <w:rFonts w:hint="eastAsia" w:asciiTheme="minorEastAsia" w:hAnsiTheme="minorEastAsia" w:eastAsiaTheme="minorEastAsia"/>
          <w:sz w:val="24"/>
          <w:lang w:eastAsia="zh-CN"/>
        </w:rPr>
        <w:t>俞晓</w:t>
      </w:r>
    </w:p>
    <w:p>
      <w:pPr>
        <w:spacing w:line="360" w:lineRule="auto"/>
        <w:ind w:firstLine="480"/>
        <w:rPr>
          <w:rFonts w:hint="eastAsia" w:ascii="宋体" w:hAnsi="宋体" w:eastAsia="宋体" w:cs="宋体"/>
          <w:sz w:val="24"/>
          <w:lang w:eastAsia="zh-CN"/>
        </w:rPr>
      </w:pPr>
      <w:r>
        <w:rPr>
          <w:rFonts w:hint="eastAsia" w:ascii="宋体" w:hAnsi="宋体" w:cs="宋体"/>
          <w:sz w:val="24"/>
        </w:rPr>
        <w:t>项目联系方式（询问）：</w:t>
      </w:r>
      <w:r>
        <w:rPr>
          <w:rFonts w:hint="eastAsia" w:asciiTheme="minorEastAsia" w:hAnsiTheme="minorEastAsia" w:eastAsiaTheme="minorEastAsia"/>
          <w:sz w:val="24"/>
          <w:lang w:eastAsia="zh-CN"/>
        </w:rPr>
        <w:t>13968015227</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浙江科佳工程咨询有限公司</w:t>
      </w:r>
    </w:p>
    <w:p>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桐庐县迎春南路61号萧商大厦8楼</w:t>
      </w:r>
    </w:p>
    <w:p>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eastAsia="zh-CN"/>
        </w:rPr>
        <w:t>祁陈笛</w:t>
      </w:r>
    </w:p>
    <w:p>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15068853022</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质疑联系人：</w:t>
      </w:r>
      <w:r>
        <w:rPr>
          <w:rFonts w:hint="eastAsia" w:ascii="宋体" w:hAnsi="宋体" w:cs="宋体"/>
          <w:sz w:val="24"/>
          <w:lang w:eastAsia="zh-CN"/>
        </w:rPr>
        <w:t>钟良君</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cs="宋体"/>
          <w:sz w:val="24"/>
          <w:lang w:eastAsia="zh-CN"/>
        </w:rPr>
        <w:t>0571-29602226</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3.同级政府采购监督管理部门 </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名    称：</w:t>
      </w:r>
      <w:r>
        <w:rPr>
          <w:rFonts w:hint="eastAsia" w:ascii="宋体" w:hAnsi="宋体" w:eastAsia="宋体" w:cs="宋体"/>
          <w:sz w:val="24"/>
        </w:rPr>
        <w:t>桐庐县财政局、浙江省政府采购行政裁决服务中心（杭州）</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地    址：</w:t>
      </w:r>
      <w:r>
        <w:rPr>
          <w:rFonts w:hint="eastAsia" w:ascii="宋体" w:hAnsi="宋体" w:eastAsia="宋体" w:cs="宋体"/>
          <w:sz w:val="24"/>
        </w:rPr>
        <w:t>杭州市上城区四季青街道新业路市民之家G03办公室（快递仅限ems或顺丰）</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 ：</w:t>
      </w:r>
      <w:r>
        <w:rPr>
          <w:rFonts w:hint="eastAsia" w:ascii="宋体" w:hAnsi="宋体" w:eastAsia="宋体" w:cs="宋体"/>
          <w:sz w:val="24"/>
          <w:lang w:val="en-US" w:eastAsia="zh-CN"/>
        </w:rPr>
        <w:t>朱女士、王女士</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监督投诉电话：</w:t>
      </w:r>
      <w:r>
        <w:rPr>
          <w:rFonts w:hint="eastAsia" w:ascii="宋体" w:hAnsi="宋体" w:eastAsia="宋体" w:cs="宋体"/>
          <w:sz w:val="24"/>
        </w:rPr>
        <w:t>0571-85252453</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pPr>
        <w:pStyle w:val="24"/>
        <w:spacing w:line="360" w:lineRule="auto"/>
        <w:ind w:firstLine="480" w:firstLineChars="200"/>
        <w:rPr>
          <w:rFonts w:cs="宋体" w:asciiTheme="minorEastAsia" w:hAnsiTheme="minorEastAsia" w:eastAsiaTheme="minorEastAsia"/>
          <w:sz w:val="24"/>
          <w:szCs w:val="24"/>
        </w:rPr>
      </w:pPr>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1"/>
      <w:r>
        <w:rPr>
          <w:rFonts w:hint="eastAsia" w:cs="宋体" w:asciiTheme="minorEastAsia" w:hAnsiTheme="minorEastAsia" w:eastAsiaTheme="minorEastAsia"/>
          <w:b/>
          <w:sz w:val="36"/>
          <w:szCs w:val="20"/>
        </w:rPr>
        <w:t xml:space="preserve"> 投标人须知</w:t>
      </w:r>
      <w:bookmarkEnd w:id="2"/>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7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3"/>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23386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850595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（1）标的：</w:t>
            </w:r>
            <w:r>
              <w:rPr>
                <w:rFonts w:hint="eastAsia" w:cs="宋体" w:asciiTheme="minorEastAsia" w:hAnsiTheme="minorEastAsia" w:eastAsiaTheme="minorEastAsia"/>
                <w:sz w:val="24"/>
                <w:u w:val="single"/>
                <w:lang w:eastAsia="zh-CN"/>
              </w:rPr>
              <w:t>2024年度横村微型消防站服务外包项目</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kern w:val="0"/>
                <w:sz w:val="24"/>
              </w:rPr>
              <w:t>；</w:t>
            </w:r>
          </w:p>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cs="宋体" w:asciiTheme="minorEastAsia" w:hAnsiTheme="minorEastAsia" w:eastAsiaTheme="minorEastAsia"/>
              </w:rPr>
            </w:pP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pPr>
              <w:pStyle w:val="24"/>
              <w:spacing w:line="360" w:lineRule="auto"/>
              <w:rPr>
                <w:rFonts w:cs="宋体" w:asciiTheme="minorEastAsia" w:hAnsiTheme="minorEastAsia" w:eastAsiaTheme="minorEastAsia"/>
                <w:kern w:val="28"/>
                <w:sz w:val="24"/>
              </w:rPr>
            </w:pPr>
            <w:r>
              <w:rPr>
                <w:rFonts w:hint="eastAsia" w:hAnsi="宋体" w:cs="宋体"/>
                <w:kern w:val="28"/>
                <w:sz w:val="24"/>
                <w:szCs w:val="24"/>
              </w:rPr>
              <w:t>备份投标文件送达地点：</w:t>
            </w:r>
            <w:r>
              <w:rPr>
                <w:rFonts w:hint="eastAsia" w:hAnsi="宋体" w:cs="宋体"/>
                <w:sz w:val="24"/>
                <w:u w:val="single"/>
                <w:lang w:eastAsia="zh-CN"/>
              </w:rPr>
              <w:t>桐庐县迎春南路61号萧商大厦8楼</w:t>
            </w:r>
            <w:r>
              <w:rPr>
                <w:rFonts w:hint="eastAsia" w:hAnsi="宋体" w:cs="宋体"/>
                <w:sz w:val="24"/>
                <w:u w:val="single"/>
              </w:rPr>
              <w:t>（</w:t>
            </w:r>
            <w:r>
              <w:rPr>
                <w:rFonts w:hint="eastAsia" w:hAnsi="宋体" w:cs="宋体"/>
                <w:sz w:val="24"/>
                <w:u w:val="single"/>
                <w:lang w:eastAsia="zh-CN"/>
              </w:rPr>
              <w:t>浙江科佳工程咨询有限公司</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kern w:val="28"/>
                <w:sz w:val="24"/>
                <w:szCs w:val="24"/>
                <w:lang w:eastAsia="zh-CN"/>
              </w:rPr>
              <w:t>祁陈笛</w:t>
            </w:r>
            <w:r>
              <w:rPr>
                <w:rFonts w:hint="eastAsia" w:hAnsi="宋体" w:cs="宋体"/>
                <w:sz w:val="24"/>
                <w:u w:val="single"/>
              </w:rPr>
              <w:t xml:space="preserve"> </w:t>
            </w:r>
            <w:r>
              <w:rPr>
                <w:rFonts w:hint="eastAsia" w:hAnsi="宋体" w:cs="宋体"/>
                <w:sz w:val="24"/>
                <w:u w:val="single"/>
                <w:lang w:eastAsia="zh-CN"/>
              </w:rPr>
              <w:t>15068853022</w:t>
            </w:r>
            <w:r>
              <w:rPr>
                <w:rFonts w:hint="eastAsia" w:hAnsi="宋体" w:cs="宋体"/>
                <w:sz w:val="24"/>
                <w:u w:val="single"/>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olor w:val="auto"/>
                <w:sz w:val="24"/>
                <w:highlight w:val="none"/>
              </w:rPr>
            </w:pPr>
            <w:r>
              <w:rPr>
                <w:rFonts w:hint="eastAsia" w:asciiTheme="minorEastAsia" w:hAnsiTheme="minorEastAsia" w:eastAsiaTheme="minorEastAsia" w:cstheme="minorEastAsia"/>
                <w:color w:val="auto"/>
                <w:sz w:val="24"/>
                <w:highlight w:val="none"/>
              </w:rPr>
              <w:t>本项目招标</w:t>
            </w:r>
            <w:r>
              <w:rPr>
                <w:rFonts w:hint="eastAsia" w:ascii="宋体" w:hAnsi="宋体"/>
                <w:color w:val="auto"/>
                <w:sz w:val="24"/>
                <w:highlight w:val="none"/>
              </w:rPr>
              <w:t>代理费：</w:t>
            </w:r>
            <w:r>
              <w:rPr>
                <w:rFonts w:hint="eastAsia" w:ascii="宋体" w:hAnsi="宋体"/>
                <w:color w:val="auto"/>
                <w:sz w:val="24"/>
                <w:highlight w:val="none"/>
                <w:lang w:val="en-US" w:eastAsia="zh-CN"/>
              </w:rPr>
              <w:t>3900元</w:t>
            </w:r>
            <w:r>
              <w:rPr>
                <w:rFonts w:hint="eastAsia" w:ascii="宋体" w:hAnsi="宋体"/>
                <w:color w:val="auto"/>
                <w:sz w:val="24"/>
                <w:highlight w:val="none"/>
              </w:rPr>
              <w:t>；</w:t>
            </w:r>
          </w:p>
          <w:p>
            <w:pPr>
              <w:snapToGrid w:val="0"/>
              <w:spacing w:line="360" w:lineRule="auto"/>
              <w:rPr>
                <w:rFonts w:cs="宋体" w:asciiTheme="minorEastAsia" w:hAnsiTheme="minorEastAsia" w:eastAsiaTheme="minorEastAsia"/>
                <w:b/>
                <w:bCs/>
                <w:sz w:val="24"/>
              </w:rPr>
            </w:pPr>
            <w:r>
              <w:rPr>
                <w:rFonts w:hint="eastAsia" w:asciiTheme="minorEastAsia" w:hAnsiTheme="minorEastAsia" w:eastAsiaTheme="minorEastAsia" w:cstheme="minorEastAsia"/>
                <w:color w:val="auto"/>
                <w:sz w:val="24"/>
                <w:highlight w:val="none"/>
              </w:rPr>
              <w:t>以上费用由中标单位在领取中标通知书时，一次性支付给代理公司，上述费用应含在投标报价中（不得单独列项），投标人在投标报价让利中考虑上述费用。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sz w:val="24"/>
                <w:lang w:eastAsia="zh-CN"/>
              </w:rPr>
              <w:t>履约保证金</w:t>
            </w:r>
          </w:p>
        </w:tc>
        <w:tc>
          <w:tcPr>
            <w:tcW w:w="6506" w:type="dxa"/>
            <w:tcBorders>
              <w:top w:val="single" w:color="000000" w:sz="8" w:space="0"/>
              <w:left w:val="single" w:color="000000" w:sz="2" w:space="0"/>
              <w:bottom w:val="single" w:color="000000" w:sz="8" w:space="0"/>
              <w:right w:val="single" w:color="000000" w:sz="8" w:space="0"/>
            </w:tcBorders>
            <w:vAlign w:val="center"/>
          </w:tcPr>
          <w:p>
            <w:pPr>
              <w:tabs>
                <w:tab w:val="left" w:pos="897"/>
              </w:tabs>
              <w:spacing w:line="360" w:lineRule="auto"/>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eastAsia="zh-CN"/>
              </w:rPr>
              <w:t>本项目不需要缴纳履约保证金。</w:t>
            </w:r>
            <w:r>
              <w:rPr>
                <w:rFonts w:hint="eastAsia" w:cs="宋体" w:asciiTheme="minorEastAsia" w:hAnsiTheme="minorEastAsia" w:eastAsiaTheme="minorEastAsia"/>
                <w:bCs/>
                <w:sz w:val="24"/>
                <w:lang w:eastAsia="zh-CN"/>
              </w:rPr>
              <w:tab/>
            </w:r>
          </w:p>
        </w:tc>
      </w:tr>
      <w:bookmarkEnd w:id="3"/>
    </w:tbl>
    <w:p>
      <w:pPr>
        <w:adjustRightInd/>
        <w:spacing w:line="360" w:lineRule="auto"/>
        <w:ind w:firstLine="3845" w:firstLineChars="1197"/>
        <w:outlineLvl w:val="0"/>
        <w:rPr>
          <w:rFonts w:cs="宋体" w:asciiTheme="minorEastAsia" w:hAnsiTheme="minorEastAsia" w:eastAsiaTheme="minorEastAsia"/>
          <w:b/>
          <w:sz w:val="32"/>
          <w:szCs w:val="20"/>
        </w:rPr>
        <w:sectPr>
          <w:pgSz w:w="11906" w:h="16838"/>
          <w:pgMar w:top="1440" w:right="1418" w:bottom="1440" w:left="1418" w:header="851" w:footer="992" w:gutter="0"/>
          <w:cols w:space="0" w:num="1"/>
          <w:titlePg/>
          <w:docGrid w:linePitch="312" w:charSpace="0"/>
        </w:sectPr>
      </w:pPr>
      <w:bookmarkStart w:id="4" w:name="第三部分"/>
      <w:bookmarkStart w:id="5" w:name="_Toc164416483"/>
    </w:p>
    <w:p>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cs="宋体" w:asciiTheme="minorEastAsia" w:hAnsiTheme="minorEastAsia" w:eastAsiaTheme="minorEastAsia"/>
          <w:sz w:val="24"/>
          <w:lang w:val="en-US" w:eastAsia="zh-CN"/>
        </w:rPr>
        <w:t>的重要指标</w:t>
      </w:r>
      <w:r>
        <w:rPr>
          <w:rFonts w:hint="eastAsia" w:cs="宋体" w:asciiTheme="minorEastAsia" w:hAnsiTheme="minorEastAsia" w:eastAsiaTheme="minorEastAsia"/>
          <w:sz w:val="24"/>
        </w:rPr>
        <w:t>，</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526049235"/>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cs="宋体" w:asciiTheme="minorEastAsia" w:hAnsiTheme="minorEastAsia" w:eastAsiaTheme="minorEastAsia"/>
          <w:sz w:val="24"/>
        </w:rPr>
        <w:t xml:space="preserve">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pPr>
        <w:pStyle w:val="2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2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4.2.2.2对采购过程提出质疑的，质疑期限为各采购程序环节结束之日起计算。对同一采购程序环节的质疑，供应商须一次性提出。</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4.2.2.3对采购结果提出质疑的，质疑期限自采购结果公告期限届满之日起计算。</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4.2.3供应商提出质疑应当提交质疑函和必要的证明材料。质疑函应当包括下列内容：</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4.2.3.1供应商的姓名或者名称、地址、邮编、联系人及联系电话；</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4.2.3.2质疑项目的名称、编号；</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4.2.3.3具体、明确的质疑事项和与质疑事项相关的请求；</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4.2.3.4事实依据；</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4.2.3.5必要的法律依据；</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pPr>
        <w:pStyle w:val="24"/>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2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pPr>
        <w:pStyle w:val="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2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24"/>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18"/>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6" w:name="_Hlk101259339"/>
      <w:r>
        <w:rPr>
          <w:rFonts w:hint="eastAsia" w:cs="宋体" w:asciiTheme="minorEastAsia" w:hAnsiTheme="minorEastAsia" w:eastAsiaTheme="minorEastAsia"/>
          <w:snapToGrid w:val="0"/>
          <w:kern w:val="28"/>
          <w:sz w:val="24"/>
          <w:szCs w:val="20"/>
        </w:rPr>
        <w:t>联合协议（如果有)</w:t>
      </w:r>
      <w:bookmarkEnd w:id="6"/>
      <w:r>
        <w:rPr>
          <w:rFonts w:hint="eastAsia" w:cs="宋体" w:asciiTheme="minorEastAsia" w:hAnsiTheme="minorEastAsia" w:eastAsiaTheme="minorEastAsia"/>
          <w:snapToGrid w:val="0"/>
          <w:kern w:val="28"/>
          <w:sz w:val="24"/>
          <w:szCs w:val="20"/>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pPr>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11.3.2中小企业声明函。</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pPr>
        <w:pStyle w:val="66"/>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cs="宋体" w:asciiTheme="minorEastAsia" w:hAnsiTheme="minorEastAsia" w:eastAsiaTheme="minorEastAsia"/>
          <w:b/>
        </w:rPr>
        <w:t>▲</w:t>
      </w:r>
      <w:r>
        <w:rPr>
          <w:rFonts w:hint="eastAsia" w:cs="宋体" w:asciiTheme="minorEastAsia" w:hAnsiTheme="minorEastAsia" w:eastAsiaTheme="minorEastAsia"/>
          <w:b/>
          <w:sz w:val="24"/>
          <w:szCs w:val="20"/>
        </w:rPr>
        <w:t>投标文件未按规定的格式编制的，投标无效；</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66"/>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13.3招标文件对投标文件签署、盖章的要求适用于电子签名。</w:t>
      </w:r>
    </w:p>
    <w:p>
      <w:pPr>
        <w:pStyle w:val="66"/>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highlight w:val="yellow"/>
        </w:rPr>
        <w:t>中标单位在中标公示结束后3天内向采购机构提供纸质投标文件一式</w:t>
      </w:r>
      <w:r>
        <w:rPr>
          <w:rFonts w:hint="eastAsia" w:cs="宋体" w:asciiTheme="minorEastAsia" w:hAnsiTheme="minorEastAsia" w:eastAsiaTheme="minorEastAsia"/>
          <w:highlight w:val="yellow"/>
          <w:lang w:val="en-US" w:eastAsia="zh-CN"/>
        </w:rPr>
        <w:t>三</w:t>
      </w:r>
      <w:r>
        <w:rPr>
          <w:rFonts w:hint="eastAsia" w:cs="宋体" w:asciiTheme="minorEastAsia" w:hAnsiTheme="minorEastAsia" w:eastAsiaTheme="minorEastAsia"/>
          <w:highlight w:val="yellow"/>
        </w:rPr>
        <w:t>份，一正</w:t>
      </w:r>
      <w:r>
        <w:rPr>
          <w:rFonts w:hint="eastAsia" w:cs="宋体" w:asciiTheme="minorEastAsia" w:hAnsiTheme="minorEastAsia" w:eastAsiaTheme="minorEastAsia"/>
          <w:highlight w:val="yellow"/>
          <w:lang w:val="en-US" w:eastAsia="zh-CN"/>
        </w:rPr>
        <w:t>二</w:t>
      </w:r>
      <w:r>
        <w:rPr>
          <w:rFonts w:hint="eastAsia" w:cs="宋体" w:asciiTheme="minorEastAsia" w:hAnsiTheme="minorEastAsia" w:eastAsiaTheme="minorEastAsia"/>
          <w:highlight w:val="yellow"/>
        </w:rPr>
        <w:t>副，正本每页加盖公章，副本可以是正本的复印件，但封面需加盖公章。</w:t>
      </w:r>
    </w:p>
    <w:p>
      <w:pPr>
        <w:pStyle w:val="66"/>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66"/>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66"/>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66"/>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24"/>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pPr>
        <w:pStyle w:val="24"/>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DVD光盘或U盘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2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2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24"/>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pPr>
        <w:pStyle w:val="66"/>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36"/>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pPr>
        <w:pStyle w:val="66"/>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66"/>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66"/>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66"/>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561"/>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pPr>
        <w:pStyle w:val="561"/>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pPr>
        <w:pStyle w:val="561"/>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561"/>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pPr>
        <w:pStyle w:val="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pPr>
        <w:pStyle w:val="66"/>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66"/>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pPr>
        <w:pStyle w:val="66"/>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pPr>
        <w:pStyle w:val="66"/>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66"/>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66"/>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66"/>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cs="宋体" w:asciiTheme="minorEastAsia" w:hAnsiTheme="minorEastAsia" w:eastAsiaTheme="minorEastAsia"/>
          <w:b/>
          <w:sz w:val="24"/>
        </w:rPr>
      </w:pPr>
      <w:bookmarkStart w:id="7"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36"/>
        <w:spacing w:line="360" w:lineRule="auto"/>
        <w:ind w:left="479" w:hanging="479" w:hangingChars="199"/>
        <w:rPr>
          <w:rFonts w:cs="宋体"/>
          <w:b/>
        </w:rPr>
      </w:pPr>
      <w:r>
        <w:rPr>
          <w:rFonts w:hint="eastAsia" w:cs="宋体"/>
          <w:b/>
        </w:rPr>
        <w:t>22. 确定中标供应商</w:t>
      </w:r>
    </w:p>
    <w:p>
      <w:pPr>
        <w:pStyle w:val="66"/>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6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276"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276"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6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6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6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6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6"/>
        <w:snapToGrid w:val="0"/>
        <w:spacing w:before="0" w:after="120" w:line="276" w:lineRule="auto"/>
        <w:ind w:firstLine="482"/>
        <w:rPr>
          <w:rFonts w:ascii="宋体" w:hAnsi="宋体" w:cs="宋体"/>
          <w:b/>
        </w:rPr>
      </w:pPr>
      <w:r>
        <w:rPr>
          <w:rFonts w:hint="eastAsia" w:ascii="宋体" w:hAnsi="宋体" w:cs="宋体"/>
          <w:b/>
        </w:rPr>
        <w:t>26. 履约保证金：</w:t>
      </w:r>
    </w:p>
    <w:p>
      <w:pPr>
        <w:tabs>
          <w:tab w:val="left" w:pos="0"/>
        </w:tabs>
        <w:spacing w:line="276" w:lineRule="auto"/>
        <w:ind w:firstLine="482"/>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theme="minorEastAsia"/>
          <w:color w:val="000000" w:themeColor="text1"/>
          <w:sz w:val="24"/>
          <w14:textFill>
            <w14:solidFill>
              <w14:schemeClr w14:val="tx1"/>
            </w14:solidFill>
          </w14:textFill>
        </w:rPr>
        <w:t>。履约保证金的数额不得超过政府采购合同金额的0.1%。鼓励和支持供应商以银行、保险公司出具的保函形式提供履约保证金。采购人不得拒收履约保函，项目验收结束后应及时退还，延迟退还的，应当按照合同约定和法律规定承担相应的赔偿责任。</w:t>
      </w:r>
    </w:p>
    <w:p>
      <w:pPr>
        <w:snapToGrid w:val="0"/>
        <w:spacing w:line="360" w:lineRule="auto"/>
        <w:ind w:firstLine="3357" w:firstLineChars="1045"/>
        <w:rPr>
          <w:rFonts w:ascii="宋体" w:hAnsi="宋体" w:cs="宋体"/>
          <w:b/>
          <w:sz w:val="32"/>
        </w:rPr>
        <w:sectPr>
          <w:pgSz w:w="11906" w:h="16838"/>
          <w:pgMar w:top="1440" w:right="1418" w:bottom="1440" w:left="1418" w:header="851" w:footer="992" w:gutter="0"/>
          <w:cols w:space="0" w:num="1"/>
          <w:titlePg/>
          <w:docGrid w:linePitch="312" w:charSpace="0"/>
        </w:sect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66"/>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66"/>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66"/>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66"/>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66"/>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66"/>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66"/>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pPr>
        <w:tabs>
          <w:tab w:val="left" w:pos="0"/>
        </w:tabs>
        <w:spacing w:line="360" w:lineRule="auto"/>
        <w:ind w:firstLine="480"/>
        <w:rPr>
          <w:rFonts w:cs="宋体" w:asciiTheme="minorEastAsia" w:hAnsiTheme="minorEastAsia" w:eastAsiaTheme="minorEastAsia"/>
          <w:kern w:val="0"/>
          <w:sz w:val="24"/>
        </w:rPr>
        <w:sectPr>
          <w:pgSz w:w="11906" w:h="16838"/>
          <w:pgMar w:top="1440" w:right="1418" w:bottom="1440" w:left="1418" w:header="851" w:footer="992" w:gutter="0"/>
          <w:cols w:space="0" w:num="1"/>
          <w:titlePg/>
          <w:docGrid w:linePitch="312" w:charSpace="0"/>
        </w:sectPr>
      </w:pPr>
      <w:bookmarkStart w:id="8" w:name="_Hlt74714665"/>
      <w:bookmarkEnd w:id="8"/>
      <w:bookmarkStart w:id="9" w:name="_Hlt68057669"/>
      <w:bookmarkEnd w:id="9"/>
      <w:bookmarkStart w:id="10" w:name="_Hlt75236011"/>
      <w:bookmarkEnd w:id="10"/>
      <w:bookmarkStart w:id="11" w:name="_Hlt74730295"/>
      <w:bookmarkEnd w:id="11"/>
      <w:bookmarkStart w:id="12" w:name="_Hlt74707468"/>
      <w:bookmarkEnd w:id="12"/>
      <w:bookmarkStart w:id="13" w:name="_Hlt68403820"/>
      <w:bookmarkEnd w:id="13"/>
      <w:bookmarkStart w:id="14" w:name="_Hlt75236290"/>
      <w:bookmarkEnd w:id="14"/>
      <w:bookmarkStart w:id="15" w:name="_Hlt74729768"/>
      <w:bookmarkEnd w:id="15"/>
      <w:bookmarkStart w:id="16" w:name="_Hlt68072998"/>
      <w:bookmarkEnd w:id="16"/>
      <w:bookmarkStart w:id="17" w:name="_Hlt68073093"/>
      <w:bookmarkEnd w:id="17"/>
      <w:bookmarkStart w:id="18" w:name="_Hlt68072990"/>
      <w:bookmarkEnd w:id="18"/>
      <w:bookmarkStart w:id="19" w:name="_Hlt75236101"/>
      <w:bookmarkEnd w:id="19"/>
    </w:p>
    <w:bookmarkEnd w:id="4"/>
    <w:bookmarkEnd w:id="5"/>
    <w:p>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20" w:name="第四部分"/>
      <w:r>
        <w:rPr>
          <w:rFonts w:hint="eastAsia" w:cs="宋体" w:asciiTheme="minorEastAsia" w:hAnsiTheme="minorEastAsia" w:eastAsiaTheme="minorEastAsia"/>
          <w:b/>
          <w:sz w:val="36"/>
          <w:szCs w:val="36"/>
        </w:rPr>
        <w:t>第三部分   采购需求</w:t>
      </w:r>
    </w:p>
    <w:p>
      <w:pPr>
        <w:pStyle w:val="31"/>
        <w:spacing w:line="360" w:lineRule="auto"/>
        <w:rPr>
          <w:rFonts w:hint="eastAsia" w:ascii="宋体" w:hAnsi="宋体"/>
          <w:b/>
          <w:bCs/>
          <w:color w:val="000000"/>
          <w:sz w:val="24"/>
          <w:szCs w:val="24"/>
        </w:rPr>
      </w:pPr>
      <w:r>
        <w:rPr>
          <w:rFonts w:hint="eastAsia" w:ascii="宋体" w:hAnsi="宋体"/>
          <w:b/>
          <w:bCs/>
          <w:color w:val="000000"/>
          <w:sz w:val="24"/>
          <w:szCs w:val="24"/>
        </w:rPr>
        <w:t>一、项目概况</w:t>
      </w:r>
    </w:p>
    <w:p>
      <w:pPr>
        <w:spacing w:line="360" w:lineRule="auto"/>
        <w:ind w:firstLine="480" w:firstLineChars="200"/>
        <w:jc w:val="left"/>
        <w:rPr>
          <w:rFonts w:hint="eastAsia" w:ascii="宋体" w:hAnsi="宋体" w:eastAsia="宋体"/>
          <w:sz w:val="24"/>
          <w:lang w:eastAsia="zh-CN"/>
        </w:rPr>
      </w:pPr>
      <w:r>
        <w:rPr>
          <w:rFonts w:hint="eastAsia" w:ascii="宋体" w:hAnsi="宋体"/>
          <w:sz w:val="24"/>
          <w:lang w:eastAsia="zh-CN"/>
        </w:rPr>
        <w:t>本项目为采购内容为桐庐县横村镇辖区中心微型消防站消防专业人员值班，初期火灾扑救及指挥调度，消防安全检查（巡查），消防隐患排查、督促整改，消防安全宣传，建立健全消防设施台账，协助横村专职消防队处置警情，完成政府部门其他交办的相关业务工作。</w:t>
      </w:r>
    </w:p>
    <w:p>
      <w:pPr>
        <w:pStyle w:val="31"/>
        <w:spacing w:line="360" w:lineRule="auto"/>
        <w:rPr>
          <w:rFonts w:ascii="宋体" w:hAnsi="宋体"/>
          <w:b/>
          <w:bCs/>
          <w:color w:val="000000"/>
          <w:sz w:val="24"/>
          <w:szCs w:val="24"/>
        </w:rPr>
      </w:pPr>
      <w:r>
        <w:rPr>
          <w:rFonts w:hint="eastAsia" w:ascii="宋体" w:hAnsi="宋体"/>
          <w:b/>
          <w:bCs/>
          <w:color w:val="000000"/>
          <w:sz w:val="24"/>
          <w:szCs w:val="24"/>
        </w:rPr>
        <w:t>二、采购清单及要求</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（一）采购清单</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1.岗位设定：专职消防员</w:t>
      </w:r>
      <w:r>
        <w:rPr>
          <w:rFonts w:hint="eastAsia" w:hAnsi="宋体" w:eastAsia="宋体" w:cs="宋体"/>
          <w:color w:val="000000"/>
          <w:sz w:val="24"/>
          <w:szCs w:val="24"/>
          <w:lang w:val="en-US" w:eastAsia="zh-CN"/>
        </w:rPr>
        <w:t>6</w:t>
      </w:r>
      <w:r>
        <w:rPr>
          <w:rFonts w:hint="eastAsia" w:ascii="宋体" w:hAnsi="宋体" w:eastAsia="宋体" w:cs="宋体"/>
          <w:color w:val="000000"/>
          <w:sz w:val="24"/>
          <w:szCs w:val="24"/>
        </w:rPr>
        <w:t>名。</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2.本</w:t>
      </w:r>
      <w:r>
        <w:rPr>
          <w:rFonts w:hint="eastAsia" w:ascii="宋体" w:hAnsi="宋体" w:eastAsia="宋体" w:cs="宋体"/>
          <w:color w:val="auto"/>
          <w:sz w:val="24"/>
          <w:szCs w:val="24"/>
          <w:highlight w:val="yellow"/>
          <w:lang w:eastAsia="zh-CN"/>
        </w:rPr>
        <w:t>标项</w:t>
      </w:r>
      <w:r>
        <w:rPr>
          <w:rFonts w:hint="eastAsia" w:ascii="宋体" w:hAnsi="宋体" w:eastAsia="宋体" w:cs="宋体"/>
          <w:color w:val="auto"/>
          <w:sz w:val="24"/>
          <w:szCs w:val="24"/>
          <w:highlight w:val="yellow"/>
        </w:rPr>
        <w:t>最高限价为：</w:t>
      </w:r>
      <w:r>
        <w:rPr>
          <w:rFonts w:hint="eastAsia" w:hAnsi="宋体" w:eastAsia="宋体" w:cs="宋体"/>
          <w:color w:val="auto"/>
          <w:sz w:val="24"/>
          <w:szCs w:val="24"/>
          <w:highlight w:val="yellow"/>
          <w:lang w:val="en-US" w:eastAsia="zh-CN"/>
        </w:rPr>
        <w:t>50</w:t>
      </w:r>
      <w:r>
        <w:rPr>
          <w:rFonts w:hint="eastAsia" w:ascii="宋体" w:hAnsi="宋体" w:eastAsia="宋体" w:cs="宋体"/>
          <w:color w:val="auto"/>
          <w:kern w:val="0"/>
          <w:sz w:val="24"/>
          <w:szCs w:val="24"/>
          <w:highlight w:val="yellow"/>
          <w:lang w:bidi="ar"/>
        </w:rPr>
        <w:t>万</w:t>
      </w:r>
      <w:r>
        <w:rPr>
          <w:rFonts w:hint="eastAsia" w:ascii="宋体" w:hAnsi="宋体" w:eastAsia="宋体" w:cs="宋体"/>
          <w:color w:val="auto"/>
          <w:sz w:val="24"/>
          <w:szCs w:val="24"/>
          <w:highlight w:val="yellow"/>
        </w:rPr>
        <w:t>元</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（注：根据</w:t>
      </w:r>
      <w:r>
        <w:rPr>
          <w:rFonts w:hint="eastAsia" w:ascii="宋体" w:hAnsi="宋体" w:eastAsia="宋体" w:cs="宋体"/>
          <w:color w:val="000000"/>
          <w:sz w:val="24"/>
          <w:szCs w:val="24"/>
          <w:lang w:eastAsia="zh-CN"/>
        </w:rPr>
        <w:t>桐庐县横村镇</w:t>
      </w:r>
      <w:r>
        <w:rPr>
          <w:rFonts w:hint="eastAsia" w:ascii="宋体" w:hAnsi="宋体" w:eastAsia="宋体" w:cs="宋体"/>
          <w:sz w:val="24"/>
          <w:szCs w:val="24"/>
        </w:rPr>
        <w:t>中心微型消防站服务外包方案，专职消防队员工资福利待遇，本年度的基数为6</w:t>
      </w:r>
      <w:r>
        <w:rPr>
          <w:rFonts w:hint="eastAsia" w:hAnsi="宋体" w:eastAsia="宋体" w:cs="宋体"/>
          <w:sz w:val="24"/>
          <w:szCs w:val="24"/>
          <w:lang w:val="en-US" w:eastAsia="zh-CN"/>
        </w:rPr>
        <w:t>5</w:t>
      </w:r>
      <w:r>
        <w:rPr>
          <w:rFonts w:hint="eastAsia" w:ascii="宋体" w:hAnsi="宋体" w:eastAsia="宋体" w:cs="宋体"/>
          <w:sz w:val="24"/>
          <w:szCs w:val="24"/>
          <w:lang w:val="en-US" w:eastAsia="zh-CN"/>
        </w:rPr>
        <w:t>000</w:t>
      </w:r>
      <w:r>
        <w:rPr>
          <w:rFonts w:hint="eastAsia" w:ascii="宋体" w:hAnsi="宋体" w:eastAsia="宋体" w:cs="宋体"/>
          <w:sz w:val="24"/>
          <w:szCs w:val="24"/>
        </w:rPr>
        <w:t>元/人）。</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清单明细如下：</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73"/>
        <w:gridCol w:w="1490"/>
        <w:gridCol w:w="4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1490"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4437"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专职消防员</w:t>
            </w:r>
          </w:p>
        </w:tc>
        <w:tc>
          <w:tcPr>
            <w:tcW w:w="1490"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人</w:t>
            </w:r>
          </w:p>
        </w:tc>
        <w:tc>
          <w:tcPr>
            <w:tcW w:w="4437"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①包括人员工资、福利、加班值班费、养老保险、意外商业保险等。</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②成交后拟派的专职消防员须经过专业培训。</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③岗位设定：服从采购人安排。</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④人员要求：年龄4</w:t>
            </w:r>
            <w:r>
              <w:rPr>
                <w:rFonts w:hint="eastAsia" w:ascii="宋体" w:hAnsi="宋体" w:eastAsia="宋体" w:cs="宋体"/>
                <w:sz w:val="24"/>
                <w:szCs w:val="24"/>
                <w:lang w:val="en-US" w:eastAsia="zh-CN"/>
              </w:rPr>
              <w:t>5</w:t>
            </w:r>
            <w:r>
              <w:rPr>
                <w:rFonts w:hint="eastAsia" w:ascii="宋体" w:hAnsi="宋体" w:eastAsia="宋体" w:cs="宋体"/>
                <w:sz w:val="24"/>
                <w:szCs w:val="24"/>
              </w:rPr>
              <w:t>周岁以下,文化程度高中及以上，（退伍军人</w:t>
            </w:r>
            <w:r>
              <w:rPr>
                <w:rFonts w:hint="eastAsia" w:ascii="宋体" w:hAnsi="宋体" w:eastAsia="宋体" w:cs="宋体"/>
                <w:sz w:val="24"/>
                <w:szCs w:val="24"/>
                <w:lang w:eastAsia="zh-CN"/>
              </w:rPr>
              <w:t>或从事消防工作人员优先考虑</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其他费用</w:t>
            </w:r>
          </w:p>
        </w:tc>
        <w:tc>
          <w:tcPr>
            <w:tcW w:w="1490"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4437"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日常办公、生活用品消耗等其他所有费用</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注：投标报价除了包括上述招标清单中的费用外，还包括宣传培训费、管理费、税金、有关部门验收费、</w:t>
      </w:r>
      <w:r>
        <w:rPr>
          <w:rFonts w:hint="eastAsia" w:ascii="宋体" w:hAnsi="宋体" w:eastAsia="宋体" w:cs="宋体"/>
          <w:bCs/>
          <w:sz w:val="24"/>
          <w:szCs w:val="24"/>
          <w:lang w:eastAsia="zh-CN"/>
        </w:rPr>
        <w:t>招标代理服务费、</w:t>
      </w:r>
      <w:r>
        <w:rPr>
          <w:rFonts w:hint="eastAsia" w:ascii="宋体" w:hAnsi="宋体" w:eastAsia="宋体" w:cs="宋体"/>
          <w:bCs/>
          <w:sz w:val="24"/>
          <w:szCs w:val="24"/>
        </w:rPr>
        <w:t>政策性文件规定及合同包含的所有风险、责任等其他各项全部费用</w:t>
      </w:r>
      <w:r>
        <w:rPr>
          <w:rFonts w:hint="eastAsia" w:ascii="宋体" w:hAnsi="宋体" w:eastAsia="宋体" w:cs="宋体"/>
          <w:bCs/>
          <w:sz w:val="24"/>
          <w:szCs w:val="24"/>
          <w:lang w:eastAsia="zh-CN"/>
        </w:rPr>
        <w:t>，投标供应商在报价中自行考虑完成项目所需的所有费用，采购人及招标代理机构不承担任何其他费用。</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（二）采购要求</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1、服务范围：横村镇辖区。</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2、专职消防员工作内</w:t>
      </w:r>
      <w:r>
        <w:rPr>
          <w:rFonts w:hint="eastAsia" w:ascii="宋体" w:hAnsi="宋体" w:eastAsia="宋体" w:cs="宋体"/>
          <w:bCs/>
          <w:sz w:val="24"/>
          <w:szCs w:val="24"/>
        </w:rPr>
        <w:t>容：24小时值守，初</w:t>
      </w:r>
      <w:r>
        <w:rPr>
          <w:rFonts w:hint="eastAsia" w:ascii="宋体" w:hAnsi="宋体" w:eastAsia="宋体" w:cs="宋体"/>
          <w:sz w:val="24"/>
          <w:szCs w:val="24"/>
        </w:rPr>
        <w:t>期</w:t>
      </w:r>
      <w:r>
        <w:rPr>
          <w:rFonts w:hint="eastAsia" w:ascii="宋体" w:hAnsi="宋体" w:eastAsia="宋体" w:cs="宋体"/>
          <w:bCs/>
          <w:sz w:val="24"/>
          <w:szCs w:val="24"/>
        </w:rPr>
        <w:t>火灾扑救及指挥调度，消防安全检查（巡查），</w:t>
      </w:r>
      <w:r>
        <w:rPr>
          <w:rFonts w:hint="eastAsia" w:ascii="宋体" w:hAnsi="宋体" w:eastAsia="宋体" w:cs="宋体"/>
          <w:bCs/>
          <w:sz w:val="24"/>
          <w:szCs w:val="24"/>
          <w:lang w:eastAsia="zh-CN"/>
        </w:rPr>
        <w:t>能熟练使用横村镇数字消防综合管控平台，</w:t>
      </w:r>
      <w:r>
        <w:rPr>
          <w:rFonts w:hint="eastAsia" w:ascii="宋体" w:hAnsi="宋体" w:eastAsia="宋体" w:cs="宋体"/>
          <w:bCs/>
          <w:sz w:val="24"/>
          <w:szCs w:val="24"/>
        </w:rPr>
        <w:t>消防隐患排查、督促整改，消防安全宣传，建立健全消防设施台账，</w:t>
      </w:r>
      <w:r>
        <w:rPr>
          <w:rFonts w:hint="eastAsia" w:ascii="宋体" w:hAnsi="宋体" w:eastAsia="宋体" w:cs="宋体"/>
          <w:bCs/>
          <w:color w:val="000000"/>
          <w:sz w:val="24"/>
          <w:szCs w:val="24"/>
          <w:highlight w:val="none"/>
          <w:lang w:eastAsia="zh-CN"/>
        </w:rPr>
        <w:t>协助横村专职消防队处置警情</w:t>
      </w:r>
      <w:r>
        <w:rPr>
          <w:rFonts w:hint="eastAsia" w:ascii="宋体" w:hAnsi="宋体" w:eastAsia="宋体" w:cs="宋体"/>
          <w:bCs/>
          <w:sz w:val="24"/>
          <w:szCs w:val="24"/>
          <w:lang w:eastAsia="zh-CN"/>
        </w:rPr>
        <w:t>，</w:t>
      </w:r>
      <w:r>
        <w:rPr>
          <w:rFonts w:hint="eastAsia" w:ascii="宋体" w:hAnsi="宋体" w:eastAsia="宋体" w:cs="宋体"/>
          <w:sz w:val="24"/>
          <w:szCs w:val="24"/>
        </w:rPr>
        <w:t>完成政府部门其他交办的相关业务工作</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3、专职消防员岗位职责：</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（1）负责消防安全服务；认真检查、清点器材（装备），保证器材（装备）完好；做好交接值班记录；</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（2）需要认真巡查、检查，做到不留死角。根据情况及时落实安全措施，发现隐患及时处理并记录上报。</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（3）认真学习消防知识，掌握各种消防器材的操作技术。积极认真做好防火宣传教育活动，提高区域内人员的防火意识。</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（4）应学会“三懂、三会、三能”，即懂本岗位火灾的危险性，懂防火措施，懂火灾扑救方法。会使用各种消防器材，会处理火灾隐患，会报警。能自觉遵守消防规章制度，能及时发现火灾隐患，能有效扑救</w:t>
      </w:r>
      <w:r>
        <w:rPr>
          <w:rFonts w:hint="eastAsia" w:ascii="宋体" w:hAnsi="宋体" w:eastAsia="宋体" w:cs="宋体"/>
          <w:sz w:val="24"/>
          <w:szCs w:val="24"/>
        </w:rPr>
        <w:t>初期</w:t>
      </w:r>
      <w:r>
        <w:rPr>
          <w:rFonts w:hint="eastAsia" w:ascii="宋体" w:hAnsi="宋体" w:eastAsia="宋体" w:cs="宋体"/>
          <w:bCs/>
          <w:sz w:val="24"/>
          <w:szCs w:val="24"/>
        </w:rPr>
        <w:t>火灾。</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（5）开展日常消防防火巡查、安全检查、消防隐患排查、整改，及时制止违法、违章行为、消除火灾隐患。</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（6）参与应急救援等突发事件的处置工作。</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4、其他：</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项目履约期间，专职消防员出现的安全事故，由中标供应商承担全部责任，采购人不承担任何责任。</w:t>
      </w:r>
    </w:p>
    <w:p>
      <w:pPr>
        <w:pStyle w:val="24"/>
        <w:snapToGrid w:val="0"/>
        <w:spacing w:line="360" w:lineRule="auto"/>
        <w:rPr>
          <w:rFonts w:hAnsi="宋体"/>
          <w:b/>
          <w:bCs/>
          <w:color w:val="000000"/>
          <w:kern w:val="0"/>
          <w:sz w:val="24"/>
          <w:szCs w:val="24"/>
        </w:rPr>
      </w:pPr>
      <w:r>
        <w:rPr>
          <w:rFonts w:hint="eastAsia" w:hAnsi="宋体"/>
          <w:b/>
          <w:bCs/>
          <w:color w:val="000000"/>
          <w:kern w:val="0"/>
          <w:sz w:val="24"/>
          <w:szCs w:val="24"/>
        </w:rPr>
        <w:t>三、服务期限</w:t>
      </w:r>
    </w:p>
    <w:p>
      <w:pPr>
        <w:spacing w:line="360" w:lineRule="auto"/>
        <w:ind w:firstLine="480" w:firstLineChars="200"/>
        <w:jc w:val="left"/>
        <w:rPr>
          <w:rFonts w:hint="eastAsia" w:ascii="宋体" w:hAnsi="宋体" w:eastAsia="宋体" w:cs="宋体"/>
          <w:bCs/>
          <w:sz w:val="24"/>
          <w:lang w:eastAsia="zh-CN"/>
        </w:rPr>
      </w:pPr>
      <w:r>
        <w:rPr>
          <w:rFonts w:hint="eastAsia" w:ascii="宋体" w:hAnsi="宋体" w:cs="宋体"/>
          <w:bCs/>
          <w:sz w:val="24"/>
          <w:lang w:eastAsia="zh-CN"/>
        </w:rPr>
        <w:t>服务期限：合同签订后1年。</w:t>
      </w:r>
    </w:p>
    <w:p>
      <w:pPr>
        <w:pStyle w:val="24"/>
        <w:snapToGrid w:val="0"/>
        <w:spacing w:line="360" w:lineRule="auto"/>
        <w:rPr>
          <w:rFonts w:hAnsi="宋体"/>
          <w:b/>
          <w:bCs/>
        </w:rPr>
      </w:pPr>
      <w:r>
        <w:rPr>
          <w:rFonts w:hint="eastAsia" w:hAnsi="宋体" w:cs="宋体"/>
          <w:b/>
          <w:bCs/>
          <w:sz w:val="24"/>
        </w:rPr>
        <w:t>四、付款方式</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（1）业主单位按季付款，余款在当年合同履行完毕且无异议后一周内付清。</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（2）中标单位的考核扣款应在季度付款中相应扣除。</w:t>
      </w:r>
    </w:p>
    <w:p>
      <w:pPr>
        <w:pStyle w:val="24"/>
        <w:snapToGrid w:val="0"/>
        <w:spacing w:line="360" w:lineRule="auto"/>
        <w:rPr>
          <w:rFonts w:hint="eastAsia"/>
        </w:rPr>
      </w:pPr>
      <w:r>
        <w:rPr>
          <w:rFonts w:hint="eastAsia" w:hAnsi="宋体" w:cs="宋体"/>
          <w:b/>
          <w:bCs/>
          <w:sz w:val="24"/>
        </w:rPr>
        <w:t>五、考核细则（详见采购文件：附件1）</w:t>
      </w:r>
    </w:p>
    <w:p>
      <w:pPr>
        <w:pageBreakBefore w:val="0"/>
        <w:kinsoku/>
        <w:wordWrap/>
        <w:overflowPunct/>
        <w:topLinePunct w:val="0"/>
        <w:bidi w:val="0"/>
        <w:spacing w:line="360" w:lineRule="exact"/>
        <w:rPr>
          <w:rFonts w:hint="eastAsia" w:ascii="宋体" w:hAnsi="宋体" w:eastAsia="宋体" w:cs="宋体"/>
          <w:sz w:val="24"/>
          <w:szCs w:val="24"/>
        </w:rPr>
      </w:pPr>
      <w:r>
        <w:rPr>
          <w:rFonts w:hint="eastAsia" w:ascii="宋体" w:hAnsi="宋体" w:eastAsia="宋体" w:cs="宋体"/>
          <w:sz w:val="24"/>
          <w:szCs w:val="24"/>
        </w:rPr>
        <w:t>附件1：</w:t>
      </w:r>
    </w:p>
    <w:p>
      <w:pPr>
        <w:pStyle w:val="526"/>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中心微型消防站考核细则</w:t>
      </w:r>
    </w:p>
    <w:tbl>
      <w:tblPr>
        <w:tblStyle w:val="71"/>
        <w:tblW w:w="9431" w:type="dxa"/>
        <w:tblInd w:w="-60" w:type="dxa"/>
        <w:tblLayout w:type="fixed"/>
        <w:tblCellMar>
          <w:top w:w="0" w:type="dxa"/>
          <w:left w:w="0" w:type="dxa"/>
          <w:bottom w:w="0" w:type="dxa"/>
          <w:right w:w="0" w:type="dxa"/>
        </w:tblCellMar>
      </w:tblPr>
      <w:tblGrid>
        <w:gridCol w:w="1125"/>
        <w:gridCol w:w="1350"/>
        <w:gridCol w:w="4971"/>
        <w:gridCol w:w="1985"/>
      </w:tblGrid>
      <w:tr>
        <w:tblPrEx>
          <w:tblCellMar>
            <w:top w:w="0" w:type="dxa"/>
            <w:left w:w="0" w:type="dxa"/>
            <w:bottom w:w="0" w:type="dxa"/>
            <w:right w:w="0" w:type="dxa"/>
          </w:tblCellMar>
        </w:tblPrEx>
        <w:trPr>
          <w:trHeight w:val="645" w:hRule="atLeast"/>
        </w:trPr>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大类</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类别</w:t>
            </w:r>
          </w:p>
        </w:tc>
        <w:tc>
          <w:tcPr>
            <w:tcW w:w="4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考核内容</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考核标准</w:t>
            </w:r>
          </w:p>
        </w:tc>
      </w:tr>
      <w:tr>
        <w:tblPrEx>
          <w:tblCellMar>
            <w:top w:w="0" w:type="dxa"/>
            <w:left w:w="0" w:type="dxa"/>
            <w:bottom w:w="0" w:type="dxa"/>
            <w:right w:w="0" w:type="dxa"/>
          </w:tblCellMar>
        </w:tblPrEx>
        <w:trPr>
          <w:trHeight w:val="1202" w:hRule="atLeast"/>
        </w:trPr>
        <w:tc>
          <w:tcPr>
            <w:tcW w:w="11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基础工作（30分）</w:t>
            </w:r>
            <w:r>
              <w:rPr>
                <w:rFonts w:hint="eastAsia" w:ascii="宋体" w:hAnsi="宋体" w:eastAsia="宋体" w:cs="宋体"/>
                <w:color w:val="000000"/>
                <w:kern w:val="0"/>
                <w:sz w:val="24"/>
                <w:szCs w:val="24"/>
              </w:rPr>
              <w:br w:type="textWrapping"/>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工作制度</w:t>
            </w:r>
          </w:p>
        </w:tc>
        <w:tc>
          <w:tcPr>
            <w:tcW w:w="4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严格按要求落实作息制度，确保24小时在岗值守；工作职责明确，工作计划详实。</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发现脱岗情况</w:t>
            </w:r>
          </w:p>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每次扣2分</w:t>
            </w:r>
          </w:p>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（查看资料）</w:t>
            </w:r>
          </w:p>
        </w:tc>
      </w:tr>
      <w:tr>
        <w:tblPrEx>
          <w:tblCellMar>
            <w:top w:w="0" w:type="dxa"/>
            <w:left w:w="0" w:type="dxa"/>
            <w:bottom w:w="0" w:type="dxa"/>
            <w:right w:w="0" w:type="dxa"/>
          </w:tblCellMar>
        </w:tblPrEx>
        <w:trPr>
          <w:trHeight w:val="1117" w:hRule="atLeast"/>
        </w:trPr>
        <w:tc>
          <w:tcPr>
            <w:tcW w:w="11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信息收集</w:t>
            </w:r>
          </w:p>
        </w:tc>
        <w:tc>
          <w:tcPr>
            <w:tcW w:w="4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辖区消防安全情况底数清、情况明；重点场所登记造册，数据详实。</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未达要求</w:t>
            </w:r>
          </w:p>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每项扣1分</w:t>
            </w:r>
          </w:p>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（查看资料）</w:t>
            </w:r>
          </w:p>
        </w:tc>
      </w:tr>
      <w:tr>
        <w:tblPrEx>
          <w:tblCellMar>
            <w:top w:w="0" w:type="dxa"/>
            <w:left w:w="0" w:type="dxa"/>
            <w:bottom w:w="0" w:type="dxa"/>
            <w:right w:w="0" w:type="dxa"/>
          </w:tblCellMar>
        </w:tblPrEx>
        <w:trPr>
          <w:trHeight w:val="667" w:hRule="atLeast"/>
        </w:trPr>
        <w:tc>
          <w:tcPr>
            <w:tcW w:w="11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应知应会</w:t>
            </w:r>
          </w:p>
        </w:tc>
        <w:tc>
          <w:tcPr>
            <w:tcW w:w="4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应知应会熟悉知晓，能熟练掌握、操作各类消防器材，懂得基本消防知识培训。</w:t>
            </w:r>
            <w:r>
              <w:rPr>
                <w:rFonts w:hint="eastAsia" w:ascii="宋体" w:hAnsi="宋体" w:eastAsia="宋体" w:cs="宋体"/>
                <w:color w:val="000000"/>
                <w:kern w:val="0"/>
                <w:sz w:val="24"/>
                <w:szCs w:val="24"/>
              </w:rPr>
              <w:br w:type="textWrapping"/>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未达要求</w:t>
            </w:r>
          </w:p>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每项扣2分</w:t>
            </w:r>
          </w:p>
        </w:tc>
      </w:tr>
      <w:tr>
        <w:tblPrEx>
          <w:tblCellMar>
            <w:top w:w="0" w:type="dxa"/>
            <w:left w:w="0" w:type="dxa"/>
            <w:bottom w:w="0" w:type="dxa"/>
            <w:right w:w="0" w:type="dxa"/>
          </w:tblCellMar>
        </w:tblPrEx>
        <w:trPr>
          <w:trHeight w:val="450" w:hRule="atLeast"/>
        </w:trPr>
        <w:tc>
          <w:tcPr>
            <w:tcW w:w="11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器材维护</w:t>
            </w:r>
          </w:p>
        </w:tc>
        <w:tc>
          <w:tcPr>
            <w:tcW w:w="4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爱护装备器材，定期维护保养，确保正常使用。</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未达要求每起扣1分</w:t>
            </w:r>
          </w:p>
        </w:tc>
      </w:tr>
      <w:tr>
        <w:tblPrEx>
          <w:tblCellMar>
            <w:top w:w="0" w:type="dxa"/>
            <w:left w:w="0" w:type="dxa"/>
            <w:bottom w:w="0" w:type="dxa"/>
            <w:right w:w="0" w:type="dxa"/>
          </w:tblCellMar>
        </w:tblPrEx>
        <w:trPr>
          <w:trHeight w:val="667" w:hRule="atLeast"/>
        </w:trPr>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p>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p>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职责履行（60分）</w:t>
            </w:r>
          </w:p>
        </w:tc>
        <w:tc>
          <w:tcPr>
            <w:tcW w:w="13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应急救援</w:t>
            </w:r>
          </w:p>
        </w:tc>
        <w:tc>
          <w:tcPr>
            <w:tcW w:w="49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能熟练掌握初始火灾扑救；积极参加救援</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每参加一次火灾扑救和救援加2分</w:t>
            </w:r>
          </w:p>
        </w:tc>
      </w:tr>
      <w:tr>
        <w:tblPrEx>
          <w:tblCellMar>
            <w:top w:w="0" w:type="dxa"/>
            <w:left w:w="0" w:type="dxa"/>
            <w:bottom w:w="0" w:type="dxa"/>
            <w:right w:w="0" w:type="dxa"/>
          </w:tblCellMar>
        </w:tblPrEx>
        <w:trPr>
          <w:trHeight w:val="450"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49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及时响应火警联动，做到1分钟响应，5分钟内到达现场处置。</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未达要求每次扣2分</w:t>
            </w:r>
          </w:p>
        </w:tc>
      </w:tr>
      <w:tr>
        <w:tblPrEx>
          <w:tblCellMar>
            <w:top w:w="0" w:type="dxa"/>
            <w:left w:w="0" w:type="dxa"/>
            <w:bottom w:w="0" w:type="dxa"/>
            <w:right w:w="0" w:type="dxa"/>
          </w:tblCellMar>
        </w:tblPrEx>
        <w:trPr>
          <w:trHeight w:val="1101"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1350"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p>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巡查、检查</w:t>
            </w:r>
          </w:p>
        </w:tc>
        <w:tc>
          <w:tcPr>
            <w:tcW w:w="49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按要求完成重点场所消防巡查检查工作任务。</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未达要求扣2分</w:t>
            </w:r>
          </w:p>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（查看资料）</w:t>
            </w:r>
          </w:p>
        </w:tc>
      </w:tr>
      <w:tr>
        <w:tblPrEx>
          <w:tblCellMar>
            <w:top w:w="0" w:type="dxa"/>
            <w:left w:w="0" w:type="dxa"/>
            <w:bottom w:w="0" w:type="dxa"/>
            <w:right w:w="0" w:type="dxa"/>
          </w:tblCellMar>
        </w:tblPrEx>
        <w:trPr>
          <w:trHeight w:val="1101"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1350"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p>
        </w:tc>
        <w:tc>
          <w:tcPr>
            <w:tcW w:w="49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对巡查检查中发现的问题隐患及时督促整改，逾期未整改及时上报街道消安办。</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未达要求扣2分</w:t>
            </w:r>
          </w:p>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（查看资料）</w:t>
            </w:r>
          </w:p>
        </w:tc>
      </w:tr>
      <w:tr>
        <w:tblPrEx>
          <w:tblCellMar>
            <w:top w:w="0" w:type="dxa"/>
            <w:left w:w="0" w:type="dxa"/>
            <w:bottom w:w="0" w:type="dxa"/>
            <w:right w:w="0" w:type="dxa"/>
          </w:tblCellMar>
        </w:tblPrEx>
        <w:trPr>
          <w:trHeight w:val="450"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13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消防宣传</w:t>
            </w:r>
          </w:p>
        </w:tc>
        <w:tc>
          <w:tcPr>
            <w:tcW w:w="49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积极开展消防安全宣传。</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未达要求扣1分</w:t>
            </w:r>
          </w:p>
        </w:tc>
      </w:tr>
      <w:tr>
        <w:tblPrEx>
          <w:tblCellMar>
            <w:top w:w="0" w:type="dxa"/>
            <w:left w:w="0" w:type="dxa"/>
            <w:bottom w:w="0" w:type="dxa"/>
            <w:right w:w="0" w:type="dxa"/>
          </w:tblCellMar>
        </w:tblPrEx>
        <w:trPr>
          <w:trHeight w:val="450"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p>
        </w:tc>
        <w:tc>
          <w:tcPr>
            <w:tcW w:w="49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按计划完成</w:t>
            </w:r>
            <w:r>
              <w:rPr>
                <w:rFonts w:hint="eastAsia" w:ascii="宋体" w:hAnsi="宋体" w:eastAsia="宋体" w:cs="宋体"/>
                <w:color w:val="000000"/>
                <w:kern w:val="0"/>
                <w:sz w:val="24"/>
                <w:szCs w:val="24"/>
                <w:lang w:eastAsia="zh-CN"/>
              </w:rPr>
              <w:t>辖区</w:t>
            </w:r>
            <w:r>
              <w:rPr>
                <w:rFonts w:hint="eastAsia" w:ascii="宋体" w:hAnsi="宋体" w:eastAsia="宋体" w:cs="宋体"/>
                <w:color w:val="000000"/>
                <w:kern w:val="0"/>
                <w:sz w:val="24"/>
                <w:szCs w:val="24"/>
              </w:rPr>
              <w:t>重点单位（学校、幼儿园、企业、人员密集场所）的消防培训、演练。</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未达要求每项扣2分</w:t>
            </w:r>
          </w:p>
        </w:tc>
      </w:tr>
      <w:tr>
        <w:tblPrEx>
          <w:tblCellMar>
            <w:top w:w="0" w:type="dxa"/>
            <w:left w:w="0" w:type="dxa"/>
            <w:bottom w:w="0" w:type="dxa"/>
            <w:right w:w="0" w:type="dxa"/>
          </w:tblCellMar>
        </w:tblPrEx>
        <w:trPr>
          <w:trHeight w:val="884"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p>
        </w:tc>
        <w:tc>
          <w:tcPr>
            <w:tcW w:w="49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及时上报工作信息</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未达要求每项扣1分</w:t>
            </w:r>
          </w:p>
        </w:tc>
      </w:tr>
      <w:tr>
        <w:tblPrEx>
          <w:tblCellMar>
            <w:top w:w="0" w:type="dxa"/>
            <w:left w:w="0" w:type="dxa"/>
            <w:bottom w:w="0" w:type="dxa"/>
            <w:right w:w="0" w:type="dxa"/>
          </w:tblCellMar>
        </w:tblPrEx>
        <w:trPr>
          <w:trHeight w:val="667" w:hRule="atLeast"/>
        </w:trPr>
        <w:tc>
          <w:tcPr>
            <w:tcW w:w="11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综合评价（10分）</w:t>
            </w:r>
          </w:p>
        </w:tc>
        <w:tc>
          <w:tcPr>
            <w:tcW w:w="13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综合评价</w:t>
            </w:r>
          </w:p>
        </w:tc>
        <w:tc>
          <w:tcPr>
            <w:tcW w:w="695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整体服务外包满意度情况</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注：1、县、市、省发现相应问题依次加倍扣分。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2、特色亮点工作，被县级（含）以上表彰的，每项按省、市、县分别予以加5分、3分、2分的奖励，同一项按最高加分；奖励得分作为履职实绩，也可以抵扣日常考核的扣分，期限为本年度。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3、每季度考核一次，满分为100分；以上考核细则针对成交人考核，采购人随机抽查。考核结果按管理费1；人员工资福利0.5的系数同时扣发（奖励）季度工作经费。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（1）总体考核分数（99分-98分），不扣分；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（2）总体考核分数（97分-93分），每扣1分按比例扣罚季度款项的0.5%；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（3）总体考核分数（92分-89分），每扣1分按比例扣罚季度款项的1%；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（4）总体考核分数（88分-85分），每扣1分按比例扣罚季度款项的2%；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（5）总体考核分数低于85分的视为不合格，招标人应主动提交书面整改材料，剖析原因及采取的整改措施。1年内2次不合格的，采购单位有权提前终止合同。</w:t>
      </w:r>
    </w:p>
    <w:p>
      <w:pPr>
        <w:pStyle w:val="526"/>
        <w:rPr>
          <w:rFonts w:hint="eastAsia" w:eastAsia="宋体"/>
          <w:lang w:val="en-US" w:eastAsia="zh-CN"/>
        </w:rPr>
      </w:pPr>
      <w:r>
        <w:rPr>
          <w:rFonts w:hint="eastAsia" w:ascii="宋体" w:hAnsi="宋体" w:eastAsia="宋体" w:cs="宋体"/>
          <w:sz w:val="24"/>
          <w:szCs w:val="24"/>
          <w:lang w:val="en-US" w:eastAsia="zh-CN"/>
        </w:rPr>
        <w:t>4、考核标准同时参考桐庐县区域性微型消防站绩效量化考评实施暂行办法</w:t>
      </w:r>
    </w:p>
    <w:p>
      <w:pPr>
        <w:pStyle w:val="24"/>
        <w:snapToGrid w:val="0"/>
        <w:spacing w:line="360" w:lineRule="auto"/>
        <w:rPr>
          <w:rFonts w:hint="eastAsia" w:ascii="宋体" w:hAnsi="宋体" w:eastAsia="宋体"/>
          <w:sz w:val="24"/>
          <w:lang w:val="en-US" w:eastAsia="zh-CN"/>
        </w:rPr>
      </w:pPr>
      <w:r>
        <w:rPr>
          <w:rFonts w:hint="eastAsia" w:hAnsi="宋体" w:cs="宋体"/>
          <w:b/>
          <w:bCs/>
          <w:sz w:val="24"/>
          <w:lang w:eastAsia="zh-CN"/>
        </w:rPr>
        <w:t>六</w:t>
      </w:r>
      <w:r>
        <w:rPr>
          <w:rFonts w:hint="eastAsia" w:hAnsi="宋体" w:cs="宋体"/>
          <w:b/>
          <w:bCs/>
          <w:sz w:val="24"/>
        </w:rPr>
        <w:t>、</w:t>
      </w:r>
      <w:r>
        <w:rPr>
          <w:rFonts w:hint="eastAsia" w:hAnsi="宋体" w:cs="宋体"/>
          <w:b/>
          <w:bCs/>
          <w:sz w:val="24"/>
          <w:lang w:eastAsia="zh-CN"/>
        </w:rPr>
        <w:t>其他</w:t>
      </w:r>
    </w:p>
    <w:p>
      <w:pPr>
        <w:pStyle w:val="24"/>
        <w:spacing w:line="360" w:lineRule="auto"/>
        <w:ind w:firstLine="480" w:firstLineChars="200"/>
        <w:rPr>
          <w:rFonts w:hint="eastAsia" w:cs="Times New Roman" w:asciiTheme="minorEastAsia" w:hAnsiTheme="minorEastAsia" w:eastAsiaTheme="minorEastAsia"/>
          <w:kern w:val="28"/>
          <w:sz w:val="24"/>
          <w:szCs w:val="24"/>
          <w:lang w:val="en-US" w:eastAsia="zh-CN"/>
        </w:rPr>
      </w:pPr>
      <w:r>
        <w:rPr>
          <w:rFonts w:hint="eastAsia" w:ascii="宋体" w:hAnsi="宋体"/>
          <w:sz w:val="24"/>
          <w:lang w:val="en-US" w:eastAsia="zh-CN"/>
        </w:rPr>
        <w:t>1 、</w:t>
      </w:r>
      <w:r>
        <w:rPr>
          <w:rFonts w:hint="eastAsia" w:cs="Times New Roman" w:asciiTheme="minorEastAsia" w:hAnsiTheme="minorEastAsia" w:eastAsiaTheme="minorEastAsia"/>
          <w:kern w:val="28"/>
          <w:sz w:val="24"/>
          <w:szCs w:val="24"/>
        </w:rPr>
        <w:t>本项目的招标代理服务费</w:t>
      </w:r>
      <w:r>
        <w:rPr>
          <w:rFonts w:hint="eastAsia" w:cs="Times New Roman" w:asciiTheme="minorEastAsia" w:hAnsiTheme="minorEastAsia" w:eastAsiaTheme="minorEastAsia"/>
          <w:kern w:val="28"/>
          <w:sz w:val="24"/>
          <w:szCs w:val="24"/>
          <w:lang w:eastAsia="zh-CN"/>
        </w:rPr>
        <w:t>：</w:t>
      </w:r>
      <w:r>
        <w:rPr>
          <w:rFonts w:hint="eastAsia" w:cs="Times New Roman" w:asciiTheme="minorEastAsia" w:hAnsiTheme="minorEastAsia" w:eastAsiaTheme="minorEastAsia"/>
          <w:kern w:val="28"/>
          <w:sz w:val="24"/>
          <w:szCs w:val="24"/>
          <w:lang w:val="en-US" w:eastAsia="zh-CN"/>
        </w:rPr>
        <w:t>3900元；</w:t>
      </w:r>
    </w:p>
    <w:p>
      <w:pPr>
        <w:autoSpaceDE w:val="0"/>
        <w:autoSpaceDN w:val="0"/>
        <w:adjustRightInd w:val="0"/>
        <w:spacing w:line="360" w:lineRule="auto"/>
        <w:ind w:firstLine="360" w:firstLineChars="150"/>
        <w:rPr>
          <w:rFonts w:hint="eastAsia" w:ascii="宋体" w:hAnsi="宋体"/>
          <w:sz w:val="24"/>
          <w:lang w:val="en-US" w:eastAsia="zh-CN"/>
        </w:rPr>
      </w:pPr>
      <w:r>
        <w:rPr>
          <w:rFonts w:hint="eastAsia" w:cs="Times New Roman" w:asciiTheme="minorEastAsia" w:hAnsiTheme="minorEastAsia" w:eastAsiaTheme="minorEastAsia"/>
          <w:kern w:val="28"/>
          <w:sz w:val="24"/>
          <w:szCs w:val="24"/>
          <w:lang w:eastAsia="zh-CN"/>
        </w:rPr>
        <w:t>以上费用</w:t>
      </w:r>
      <w:r>
        <w:rPr>
          <w:rFonts w:hint="eastAsia" w:cs="Times New Roman" w:asciiTheme="minorEastAsia" w:hAnsiTheme="minorEastAsia" w:eastAsiaTheme="minorEastAsia"/>
          <w:kern w:val="28"/>
          <w:sz w:val="24"/>
          <w:szCs w:val="24"/>
        </w:rPr>
        <w:t>中标单位支付，由中标单位在领取中标通知书时，一次性支付给代理公司，上述费用应含在投标报价中（不得单独列项），投标人在投标报价让利中考虑上述费用。</w:t>
      </w:r>
    </w:p>
    <w:p>
      <w:pPr>
        <w:autoSpaceDE w:val="0"/>
        <w:autoSpaceDN w:val="0"/>
        <w:adjustRightInd w:val="0"/>
        <w:spacing w:line="360" w:lineRule="auto"/>
        <w:ind w:firstLine="360" w:firstLineChars="150"/>
        <w:rPr>
          <w:rFonts w:hint="eastAsia" w:ascii="宋体" w:hAnsi="宋体"/>
          <w:sz w:val="24"/>
          <w:lang w:val="en-US" w:eastAsia="zh-CN"/>
        </w:rPr>
      </w:pPr>
      <w:r>
        <w:rPr>
          <w:rFonts w:hint="eastAsia" w:ascii="宋体" w:hAnsi="宋体"/>
          <w:sz w:val="24"/>
          <w:lang w:val="en-US" w:eastAsia="zh-CN"/>
        </w:rPr>
        <w:t>2、代理费收取账号信息：</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公司名称：浙江科佳工程咨询有限公司桐庐分公司</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账号：3301040160001319436</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开户行：杭州银行桐庐支行</w:t>
      </w:r>
    </w:p>
    <w:p>
      <w:pPr>
        <w:pStyle w:val="7"/>
        <w:rPr>
          <w:rFonts w:hint="default"/>
          <w:lang w:val="en-US" w:eastAsia="zh-CN"/>
        </w:rPr>
        <w:sectPr>
          <w:pgSz w:w="11907" w:h="16840"/>
          <w:pgMar w:top="1440" w:right="1417" w:bottom="1440" w:left="1417" w:header="851" w:footer="850" w:gutter="0"/>
          <w:cols w:space="0" w:num="1"/>
        </w:sectPr>
      </w:pPr>
    </w:p>
    <w:p>
      <w:pPr>
        <w:snapToGrid w:val="0"/>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1" w:name="_Toc184308039"/>
      <w:bookmarkEnd w:id="21"/>
      <w:bookmarkStart w:id="22" w:name="_Toc184314443"/>
      <w:bookmarkEnd w:id="22"/>
      <w:bookmarkStart w:id="23" w:name="_Toc184308078"/>
      <w:bookmarkEnd w:id="23"/>
      <w:bookmarkStart w:id="24" w:name="_Toc184308072"/>
      <w:bookmarkEnd w:id="24"/>
      <w:bookmarkStart w:id="25" w:name="_Toc184310289"/>
      <w:bookmarkEnd w:id="25"/>
      <w:bookmarkStart w:id="26" w:name="_Toc184312085"/>
      <w:bookmarkEnd w:id="26"/>
      <w:bookmarkStart w:id="27" w:name="_Toc184310320"/>
      <w:bookmarkEnd w:id="27"/>
      <w:bookmarkStart w:id="28" w:name="_Toc184308088"/>
      <w:bookmarkEnd w:id="28"/>
      <w:bookmarkStart w:id="29" w:name="_Toc184313280"/>
      <w:bookmarkEnd w:id="29"/>
      <w:bookmarkStart w:id="30" w:name="_Toc184312100"/>
      <w:bookmarkEnd w:id="30"/>
      <w:bookmarkStart w:id="31" w:name="_Toc184312074"/>
      <w:bookmarkEnd w:id="31"/>
      <w:bookmarkStart w:id="32" w:name="_Toc184310337"/>
      <w:bookmarkEnd w:id="32"/>
      <w:bookmarkStart w:id="33" w:name="_Toc184308037"/>
      <w:bookmarkEnd w:id="33"/>
      <w:bookmarkStart w:id="34" w:name="_Toc184308107"/>
      <w:bookmarkEnd w:id="34"/>
      <w:bookmarkStart w:id="35" w:name="_Toc184310339"/>
      <w:bookmarkEnd w:id="35"/>
      <w:bookmarkStart w:id="36" w:name="_Toc184310274"/>
      <w:bookmarkEnd w:id="36"/>
      <w:bookmarkStart w:id="37" w:name="_Toc184310299"/>
      <w:bookmarkEnd w:id="37"/>
      <w:bookmarkStart w:id="38" w:name="_Toc184308105"/>
      <w:bookmarkEnd w:id="38"/>
      <w:bookmarkStart w:id="39" w:name="_Toc184314448"/>
      <w:bookmarkEnd w:id="39"/>
      <w:bookmarkStart w:id="40" w:name="_Toc184308052"/>
      <w:bookmarkEnd w:id="40"/>
      <w:bookmarkStart w:id="41" w:name="_Toc184314454"/>
      <w:bookmarkEnd w:id="41"/>
      <w:bookmarkStart w:id="42" w:name="_Toc184313309"/>
      <w:bookmarkEnd w:id="42"/>
      <w:bookmarkStart w:id="43" w:name="_Toc184312080"/>
      <w:bookmarkEnd w:id="43"/>
      <w:bookmarkStart w:id="44" w:name="_Toc184308038"/>
      <w:bookmarkEnd w:id="44"/>
      <w:bookmarkStart w:id="45" w:name="_Toc184313304"/>
      <w:bookmarkEnd w:id="45"/>
      <w:bookmarkStart w:id="46" w:name="_Toc184314456"/>
      <w:bookmarkEnd w:id="46"/>
      <w:bookmarkStart w:id="47" w:name="_Toc184308103"/>
      <w:bookmarkEnd w:id="47"/>
      <w:bookmarkStart w:id="48" w:name="_Toc184313266"/>
      <w:bookmarkEnd w:id="48"/>
      <w:bookmarkStart w:id="49" w:name="_Toc184313303"/>
      <w:bookmarkEnd w:id="49"/>
      <w:bookmarkStart w:id="50" w:name="_Toc184310313"/>
      <w:bookmarkEnd w:id="50"/>
      <w:bookmarkStart w:id="51" w:name="_Toc184312110"/>
      <w:bookmarkEnd w:id="51"/>
      <w:bookmarkStart w:id="52" w:name="_Toc184313271"/>
      <w:bookmarkEnd w:id="52"/>
      <w:bookmarkStart w:id="53" w:name="_Toc184314411"/>
      <w:bookmarkEnd w:id="53"/>
      <w:bookmarkStart w:id="54" w:name="_Toc184312072"/>
      <w:bookmarkEnd w:id="54"/>
      <w:bookmarkStart w:id="55" w:name="_Toc184310275"/>
      <w:bookmarkEnd w:id="55"/>
      <w:bookmarkStart w:id="56" w:name="_Toc184312077"/>
      <w:bookmarkEnd w:id="56"/>
      <w:bookmarkStart w:id="57" w:name="_Toc184308079"/>
      <w:bookmarkEnd w:id="57"/>
      <w:bookmarkStart w:id="58" w:name="_Toc184314417"/>
      <w:bookmarkEnd w:id="58"/>
      <w:bookmarkStart w:id="59" w:name="_Toc184312134"/>
      <w:bookmarkEnd w:id="59"/>
      <w:bookmarkStart w:id="60" w:name="_Toc184313305"/>
      <w:bookmarkEnd w:id="60"/>
      <w:bookmarkStart w:id="61" w:name="_Toc184312116"/>
      <w:bookmarkEnd w:id="61"/>
      <w:bookmarkStart w:id="62" w:name="_Toc184310317"/>
      <w:bookmarkEnd w:id="62"/>
      <w:bookmarkStart w:id="63" w:name="_Toc184310285"/>
      <w:bookmarkEnd w:id="63"/>
      <w:bookmarkStart w:id="64" w:name="_Toc184310324"/>
      <w:bookmarkEnd w:id="64"/>
      <w:bookmarkStart w:id="65" w:name="_Toc184310338"/>
      <w:bookmarkEnd w:id="65"/>
      <w:bookmarkStart w:id="66" w:name="_Toc184308065"/>
      <w:bookmarkEnd w:id="66"/>
      <w:bookmarkStart w:id="67" w:name="_Toc184313284"/>
      <w:bookmarkEnd w:id="67"/>
      <w:bookmarkStart w:id="68" w:name="_Toc184312136"/>
      <w:bookmarkEnd w:id="68"/>
      <w:bookmarkStart w:id="69" w:name="_Toc184310322"/>
      <w:bookmarkEnd w:id="69"/>
      <w:bookmarkStart w:id="70" w:name="_Toc184310310"/>
      <w:bookmarkEnd w:id="70"/>
      <w:bookmarkStart w:id="71" w:name="_Toc184308036"/>
      <w:bookmarkEnd w:id="71"/>
      <w:bookmarkStart w:id="72" w:name="_Toc184312088"/>
      <w:bookmarkEnd w:id="72"/>
      <w:bookmarkStart w:id="73" w:name="_Toc184313254"/>
      <w:bookmarkEnd w:id="73"/>
      <w:bookmarkStart w:id="74" w:name="_Toc184314457"/>
      <w:bookmarkEnd w:id="74"/>
      <w:bookmarkStart w:id="75" w:name="_Toc184312123"/>
      <w:bookmarkEnd w:id="75"/>
      <w:bookmarkStart w:id="76" w:name="_Toc184314476"/>
      <w:bookmarkEnd w:id="76"/>
      <w:bookmarkStart w:id="77" w:name="_Toc184314453"/>
      <w:bookmarkEnd w:id="77"/>
      <w:bookmarkStart w:id="78" w:name="_Toc184314425"/>
      <w:bookmarkEnd w:id="78"/>
      <w:bookmarkStart w:id="79" w:name="_Toc184314468"/>
      <w:bookmarkEnd w:id="79"/>
      <w:bookmarkStart w:id="80" w:name="_Toc184314436"/>
      <w:bookmarkEnd w:id="80"/>
      <w:bookmarkStart w:id="81" w:name="_Toc184313308"/>
      <w:bookmarkEnd w:id="81"/>
      <w:bookmarkStart w:id="82" w:name="_Toc184312067"/>
      <w:bookmarkEnd w:id="82"/>
      <w:bookmarkStart w:id="83" w:name="_Toc184314455"/>
      <w:bookmarkEnd w:id="83"/>
      <w:bookmarkStart w:id="84" w:name="_Toc184310273"/>
      <w:bookmarkEnd w:id="84"/>
      <w:bookmarkStart w:id="85" w:name="_Toc184314465"/>
      <w:bookmarkEnd w:id="85"/>
      <w:bookmarkStart w:id="86" w:name="_Toc184310284"/>
      <w:bookmarkEnd w:id="86"/>
      <w:bookmarkStart w:id="87" w:name="_Toc184308100"/>
      <w:bookmarkEnd w:id="87"/>
      <w:bookmarkStart w:id="88" w:name="_Toc184312121"/>
      <w:bookmarkEnd w:id="88"/>
      <w:bookmarkStart w:id="89" w:name="_Toc184312137"/>
      <w:bookmarkEnd w:id="89"/>
      <w:bookmarkStart w:id="90" w:name="_Toc184313301"/>
      <w:bookmarkEnd w:id="90"/>
      <w:bookmarkStart w:id="91" w:name="_Toc184313283"/>
      <w:bookmarkEnd w:id="91"/>
      <w:bookmarkStart w:id="92" w:name="_Toc184313289"/>
      <w:bookmarkEnd w:id="92"/>
      <w:bookmarkStart w:id="93" w:name="_Toc184310292"/>
      <w:bookmarkEnd w:id="93"/>
      <w:bookmarkStart w:id="94" w:name="_Toc184314481"/>
      <w:bookmarkEnd w:id="94"/>
      <w:bookmarkStart w:id="95" w:name="_Toc184310332"/>
      <w:bookmarkEnd w:id="95"/>
      <w:bookmarkStart w:id="96" w:name="_Toc184312114"/>
      <w:bookmarkEnd w:id="96"/>
      <w:bookmarkStart w:id="97" w:name="_Toc184313264"/>
      <w:bookmarkEnd w:id="97"/>
      <w:bookmarkStart w:id="98" w:name="_Toc184310308"/>
      <w:bookmarkEnd w:id="98"/>
      <w:bookmarkStart w:id="99" w:name="_Toc184313302"/>
      <w:bookmarkEnd w:id="99"/>
      <w:bookmarkStart w:id="100" w:name="_Toc184313246"/>
      <w:bookmarkEnd w:id="100"/>
      <w:bookmarkStart w:id="101" w:name="_Toc184312090"/>
      <w:bookmarkEnd w:id="101"/>
      <w:bookmarkStart w:id="102" w:name="_Toc184313310"/>
      <w:bookmarkEnd w:id="102"/>
      <w:bookmarkStart w:id="103" w:name="_Toc184314449"/>
      <w:bookmarkEnd w:id="103"/>
      <w:bookmarkStart w:id="104" w:name="_Toc184310298"/>
      <w:bookmarkEnd w:id="104"/>
      <w:bookmarkStart w:id="105" w:name="_Toc184313277"/>
      <w:bookmarkEnd w:id="105"/>
      <w:bookmarkStart w:id="106" w:name="_Toc184308082"/>
      <w:bookmarkEnd w:id="106"/>
      <w:bookmarkStart w:id="107" w:name="_Toc184310331"/>
      <w:bookmarkEnd w:id="107"/>
      <w:bookmarkStart w:id="108" w:name="_Toc184313248"/>
      <w:bookmarkEnd w:id="108"/>
      <w:bookmarkStart w:id="109" w:name="_Toc184312097"/>
      <w:bookmarkEnd w:id="109"/>
      <w:bookmarkStart w:id="110" w:name="_Toc184308098"/>
      <w:bookmarkEnd w:id="110"/>
      <w:bookmarkStart w:id="111" w:name="_Toc184312092"/>
      <w:bookmarkEnd w:id="111"/>
      <w:bookmarkStart w:id="112" w:name="_Toc184310329"/>
      <w:bookmarkEnd w:id="112"/>
      <w:bookmarkStart w:id="113" w:name="_Toc184310321"/>
      <w:bookmarkEnd w:id="113"/>
      <w:bookmarkStart w:id="114" w:name="_Toc184313291"/>
      <w:bookmarkEnd w:id="114"/>
      <w:bookmarkStart w:id="115" w:name="_Toc184314412"/>
      <w:bookmarkEnd w:id="115"/>
      <w:bookmarkStart w:id="116" w:name="_Toc184312120"/>
      <w:bookmarkEnd w:id="116"/>
      <w:bookmarkStart w:id="117" w:name="_Toc184313239"/>
      <w:bookmarkEnd w:id="117"/>
      <w:bookmarkStart w:id="118" w:name="_Toc184313260"/>
      <w:bookmarkEnd w:id="118"/>
      <w:bookmarkStart w:id="119" w:name="_Toc184308086"/>
      <w:bookmarkEnd w:id="119"/>
      <w:bookmarkStart w:id="120" w:name="_Toc184312109"/>
      <w:bookmarkEnd w:id="120"/>
      <w:bookmarkStart w:id="121" w:name="_Toc184308106"/>
      <w:bookmarkEnd w:id="121"/>
      <w:bookmarkStart w:id="122" w:name="_Toc184310318"/>
      <w:bookmarkEnd w:id="122"/>
      <w:bookmarkStart w:id="123" w:name="_Toc184310293"/>
      <w:bookmarkEnd w:id="123"/>
      <w:bookmarkStart w:id="124" w:name="_Toc184313300"/>
      <w:bookmarkEnd w:id="124"/>
      <w:bookmarkStart w:id="125" w:name="_Toc184312112"/>
      <w:bookmarkEnd w:id="125"/>
      <w:bookmarkStart w:id="126" w:name="_Toc184314421"/>
      <w:bookmarkEnd w:id="126"/>
      <w:bookmarkStart w:id="127" w:name="_Toc184314426"/>
      <w:bookmarkEnd w:id="127"/>
      <w:bookmarkStart w:id="128" w:name="_Toc184310288"/>
      <w:bookmarkEnd w:id="128"/>
      <w:bookmarkStart w:id="129" w:name="_Toc184314432"/>
      <w:bookmarkEnd w:id="129"/>
      <w:bookmarkStart w:id="130" w:name="_Toc184314469"/>
      <w:bookmarkEnd w:id="130"/>
      <w:bookmarkStart w:id="131" w:name="_Toc184308048"/>
      <w:bookmarkEnd w:id="131"/>
      <w:bookmarkStart w:id="132" w:name="_Toc184314458"/>
      <w:bookmarkEnd w:id="132"/>
      <w:bookmarkStart w:id="133" w:name="_Toc184313293"/>
      <w:bookmarkEnd w:id="133"/>
      <w:bookmarkStart w:id="134" w:name="_Toc184310281"/>
      <w:bookmarkEnd w:id="134"/>
      <w:bookmarkStart w:id="135" w:name="_Toc184310305"/>
      <w:bookmarkEnd w:id="135"/>
      <w:bookmarkStart w:id="136" w:name="_Toc184313296"/>
      <w:bookmarkEnd w:id="136"/>
      <w:bookmarkStart w:id="137" w:name="_Toc184310314"/>
      <w:bookmarkEnd w:id="137"/>
      <w:bookmarkStart w:id="138" w:name="_Toc184308056"/>
      <w:bookmarkEnd w:id="138"/>
      <w:bookmarkStart w:id="139" w:name="_Toc184312071"/>
      <w:bookmarkEnd w:id="139"/>
      <w:bookmarkStart w:id="140" w:name="_Toc184313249"/>
      <w:bookmarkEnd w:id="140"/>
      <w:bookmarkStart w:id="141" w:name="_Toc184312107"/>
      <w:bookmarkEnd w:id="141"/>
      <w:bookmarkStart w:id="142" w:name="_Toc184314414"/>
      <w:bookmarkEnd w:id="142"/>
      <w:bookmarkStart w:id="143" w:name="_Toc184313275"/>
      <w:bookmarkEnd w:id="143"/>
      <w:bookmarkStart w:id="144" w:name="_Toc184308044"/>
      <w:bookmarkEnd w:id="144"/>
      <w:bookmarkStart w:id="145" w:name="_Toc184314413"/>
      <w:bookmarkEnd w:id="145"/>
      <w:bookmarkStart w:id="146" w:name="_Toc184314420"/>
      <w:bookmarkEnd w:id="146"/>
      <w:bookmarkStart w:id="147" w:name="_Toc184308101"/>
      <w:bookmarkEnd w:id="147"/>
      <w:bookmarkStart w:id="148" w:name="_Toc184314430"/>
      <w:bookmarkEnd w:id="148"/>
      <w:bookmarkStart w:id="149" w:name="_Toc184313238"/>
      <w:bookmarkEnd w:id="149"/>
      <w:bookmarkStart w:id="150" w:name="_Toc184314459"/>
      <w:bookmarkEnd w:id="150"/>
      <w:bookmarkStart w:id="151" w:name="_Toc184312131"/>
      <w:bookmarkEnd w:id="151"/>
      <w:bookmarkStart w:id="152" w:name="_Toc184314450"/>
      <w:bookmarkEnd w:id="152"/>
      <w:bookmarkStart w:id="153" w:name="_Toc184312102"/>
      <w:bookmarkEnd w:id="153"/>
      <w:bookmarkStart w:id="154" w:name="_Toc184314444"/>
      <w:bookmarkEnd w:id="154"/>
      <w:bookmarkStart w:id="155" w:name="_Toc184310327"/>
      <w:bookmarkEnd w:id="155"/>
      <w:bookmarkStart w:id="156" w:name="_Toc184313294"/>
      <w:bookmarkEnd w:id="156"/>
      <w:bookmarkStart w:id="157" w:name="_Toc184312087"/>
      <w:bookmarkEnd w:id="157"/>
      <w:bookmarkStart w:id="158" w:name="_Toc184308094"/>
      <w:bookmarkEnd w:id="158"/>
      <w:bookmarkStart w:id="159" w:name="_Toc184310336"/>
      <w:bookmarkEnd w:id="159"/>
      <w:bookmarkStart w:id="160" w:name="_Toc184312076"/>
      <w:bookmarkEnd w:id="160"/>
      <w:bookmarkStart w:id="161" w:name="_Toc184312099"/>
      <w:bookmarkEnd w:id="161"/>
      <w:bookmarkStart w:id="162" w:name="_Toc184313282"/>
      <w:bookmarkEnd w:id="162"/>
      <w:bookmarkStart w:id="163" w:name="_Toc184312127"/>
      <w:bookmarkEnd w:id="163"/>
      <w:bookmarkStart w:id="164" w:name="_Toc184310306"/>
      <w:bookmarkEnd w:id="164"/>
      <w:bookmarkStart w:id="165" w:name="_Toc184313241"/>
      <w:bookmarkEnd w:id="165"/>
      <w:bookmarkStart w:id="166" w:name="_Toc184313276"/>
      <w:bookmarkEnd w:id="166"/>
      <w:bookmarkStart w:id="167" w:name="_Toc184312089"/>
      <w:bookmarkEnd w:id="167"/>
      <w:bookmarkStart w:id="168" w:name="_Toc184313259"/>
      <w:bookmarkEnd w:id="168"/>
      <w:bookmarkStart w:id="169" w:name="_Toc184312111"/>
      <w:bookmarkEnd w:id="169"/>
      <w:bookmarkStart w:id="170" w:name="_Toc184313274"/>
      <w:bookmarkEnd w:id="170"/>
      <w:bookmarkStart w:id="171" w:name="_Toc184313297"/>
      <w:bookmarkEnd w:id="171"/>
      <w:bookmarkStart w:id="172" w:name="_Toc184308054"/>
      <w:bookmarkEnd w:id="172"/>
      <w:bookmarkStart w:id="173" w:name="_Toc184310316"/>
      <w:bookmarkEnd w:id="173"/>
      <w:bookmarkStart w:id="174" w:name="_Toc184312117"/>
      <w:bookmarkEnd w:id="174"/>
      <w:bookmarkStart w:id="175" w:name="_Toc184308062"/>
      <w:bookmarkEnd w:id="175"/>
      <w:bookmarkStart w:id="176" w:name="_Toc184313247"/>
      <w:bookmarkEnd w:id="176"/>
      <w:bookmarkStart w:id="177" w:name="_Toc184313279"/>
      <w:bookmarkEnd w:id="177"/>
      <w:bookmarkStart w:id="178" w:name="_Toc184308077"/>
      <w:bookmarkEnd w:id="178"/>
      <w:bookmarkStart w:id="179" w:name="_Toc184312138"/>
      <w:bookmarkEnd w:id="179"/>
      <w:bookmarkStart w:id="180" w:name="_Toc184308084"/>
      <w:bookmarkEnd w:id="180"/>
      <w:bookmarkStart w:id="181" w:name="_Toc184310286"/>
      <w:bookmarkEnd w:id="181"/>
      <w:bookmarkStart w:id="182" w:name="_Toc184314434"/>
      <w:bookmarkEnd w:id="182"/>
      <w:bookmarkStart w:id="183" w:name="_Toc184308045"/>
      <w:bookmarkEnd w:id="183"/>
      <w:bookmarkStart w:id="184" w:name="_Toc184310287"/>
      <w:bookmarkEnd w:id="184"/>
      <w:bookmarkStart w:id="185" w:name="_Toc184314452"/>
      <w:bookmarkEnd w:id="185"/>
      <w:bookmarkStart w:id="186" w:name="_Toc184308097"/>
      <w:bookmarkEnd w:id="186"/>
      <w:bookmarkStart w:id="187" w:name="_Toc184310311"/>
      <w:bookmarkEnd w:id="187"/>
      <w:bookmarkStart w:id="188" w:name="_Toc184310307"/>
      <w:bookmarkEnd w:id="188"/>
      <w:bookmarkStart w:id="189" w:name="_Toc184312124"/>
      <w:bookmarkEnd w:id="189"/>
      <w:bookmarkStart w:id="190" w:name="_Toc184308059"/>
      <w:bookmarkEnd w:id="190"/>
      <w:bookmarkStart w:id="191" w:name="_Toc184308064"/>
      <w:bookmarkEnd w:id="191"/>
      <w:bookmarkStart w:id="192" w:name="_Toc184312094"/>
      <w:bookmarkEnd w:id="192"/>
      <w:bookmarkStart w:id="193" w:name="_Toc184308047"/>
      <w:bookmarkEnd w:id="193"/>
      <w:bookmarkStart w:id="194" w:name="_Toc184312084"/>
      <w:bookmarkEnd w:id="194"/>
      <w:bookmarkStart w:id="195" w:name="_Toc184310301"/>
      <w:bookmarkEnd w:id="195"/>
      <w:bookmarkStart w:id="196" w:name="_Toc184312093"/>
      <w:bookmarkEnd w:id="196"/>
      <w:bookmarkStart w:id="197" w:name="_Toc184313263"/>
      <w:bookmarkEnd w:id="197"/>
      <w:bookmarkStart w:id="198" w:name="_Toc184308073"/>
      <w:bookmarkEnd w:id="198"/>
      <w:bookmarkStart w:id="199" w:name="_Toc184308067"/>
      <w:bookmarkEnd w:id="199"/>
      <w:bookmarkStart w:id="200" w:name="_Toc184308083"/>
      <w:bookmarkEnd w:id="200"/>
      <w:bookmarkStart w:id="201" w:name="_Toc184314461"/>
      <w:bookmarkEnd w:id="201"/>
      <w:bookmarkStart w:id="202" w:name="_Toc184312104"/>
      <w:bookmarkEnd w:id="202"/>
      <w:bookmarkStart w:id="203" w:name="_Toc184314475"/>
      <w:bookmarkEnd w:id="203"/>
      <w:bookmarkStart w:id="204" w:name="_Toc184310344"/>
      <w:bookmarkEnd w:id="204"/>
      <w:bookmarkStart w:id="205" w:name="_Toc184314464"/>
      <w:bookmarkEnd w:id="205"/>
      <w:bookmarkStart w:id="206" w:name="_Toc184310300"/>
      <w:bookmarkEnd w:id="206"/>
      <w:bookmarkStart w:id="207" w:name="_Toc184312139"/>
      <w:bookmarkEnd w:id="207"/>
      <w:bookmarkStart w:id="208" w:name="_Toc184312070"/>
      <w:bookmarkEnd w:id="208"/>
      <w:bookmarkStart w:id="209" w:name="_Toc184308046"/>
      <w:bookmarkEnd w:id="209"/>
      <w:bookmarkStart w:id="210" w:name="_Toc184310333"/>
      <w:bookmarkEnd w:id="210"/>
      <w:bookmarkStart w:id="211" w:name="_Toc184312130"/>
      <w:bookmarkEnd w:id="211"/>
      <w:bookmarkStart w:id="212" w:name="_Toc184310294"/>
      <w:bookmarkEnd w:id="212"/>
      <w:bookmarkStart w:id="213" w:name="_Toc184312081"/>
      <w:bookmarkEnd w:id="213"/>
      <w:bookmarkStart w:id="214" w:name="_Toc184313288"/>
      <w:bookmarkEnd w:id="214"/>
      <w:bookmarkStart w:id="215" w:name="_Toc184314466"/>
      <w:bookmarkEnd w:id="215"/>
      <w:bookmarkStart w:id="216" w:name="_Toc184308081"/>
      <w:bookmarkEnd w:id="216"/>
      <w:bookmarkStart w:id="217" w:name="_Toc184308091"/>
      <w:bookmarkEnd w:id="217"/>
      <w:bookmarkStart w:id="218" w:name="_Toc184313245"/>
      <w:bookmarkEnd w:id="218"/>
      <w:bookmarkStart w:id="219" w:name="_Toc184314419"/>
      <w:bookmarkEnd w:id="219"/>
      <w:bookmarkStart w:id="220" w:name="_Toc184313269"/>
      <w:bookmarkEnd w:id="220"/>
      <w:bookmarkStart w:id="221" w:name="_Toc184308074"/>
      <w:bookmarkEnd w:id="221"/>
      <w:bookmarkStart w:id="222" w:name="_Toc184314473"/>
      <w:bookmarkEnd w:id="222"/>
      <w:bookmarkStart w:id="223" w:name="_Toc184314467"/>
      <w:bookmarkEnd w:id="223"/>
      <w:bookmarkStart w:id="224" w:name="_Toc184314472"/>
      <w:bookmarkEnd w:id="224"/>
      <w:bookmarkStart w:id="225" w:name="_Toc184313298"/>
      <w:bookmarkEnd w:id="225"/>
      <w:bookmarkStart w:id="226" w:name="_Toc184314429"/>
      <w:bookmarkEnd w:id="226"/>
      <w:bookmarkStart w:id="227" w:name="_Toc184308071"/>
      <w:bookmarkEnd w:id="227"/>
      <w:bookmarkStart w:id="228" w:name="_Toc184310334"/>
      <w:bookmarkEnd w:id="228"/>
      <w:bookmarkStart w:id="229" w:name="_Toc184312068"/>
      <w:bookmarkEnd w:id="229"/>
      <w:bookmarkStart w:id="230" w:name="_Toc184313258"/>
      <w:bookmarkEnd w:id="230"/>
      <w:bookmarkStart w:id="231" w:name="_Toc184314437"/>
      <w:bookmarkEnd w:id="231"/>
      <w:bookmarkStart w:id="232" w:name="_Toc184314478"/>
      <w:bookmarkEnd w:id="232"/>
      <w:bookmarkStart w:id="233" w:name="_Toc184308055"/>
      <w:bookmarkEnd w:id="233"/>
      <w:bookmarkStart w:id="234" w:name="_Toc184314446"/>
      <w:bookmarkEnd w:id="234"/>
      <w:bookmarkStart w:id="235" w:name="_Toc184313267"/>
      <w:bookmarkEnd w:id="235"/>
      <w:bookmarkStart w:id="236" w:name="_Toc184314451"/>
      <w:bookmarkEnd w:id="236"/>
      <w:bookmarkStart w:id="237" w:name="_Toc184314460"/>
      <w:bookmarkEnd w:id="237"/>
      <w:bookmarkStart w:id="238" w:name="_Toc184312103"/>
      <w:bookmarkEnd w:id="238"/>
      <w:bookmarkStart w:id="239" w:name="_Toc184310315"/>
      <w:bookmarkEnd w:id="239"/>
      <w:bookmarkStart w:id="240" w:name="_Toc184313253"/>
      <w:bookmarkEnd w:id="240"/>
      <w:bookmarkStart w:id="241" w:name="_Toc184308080"/>
      <w:bookmarkEnd w:id="241"/>
      <w:bookmarkStart w:id="242" w:name="_Toc184310340"/>
      <w:bookmarkEnd w:id="242"/>
      <w:bookmarkStart w:id="243" w:name="_Toc184308070"/>
      <w:bookmarkEnd w:id="243"/>
      <w:bookmarkStart w:id="244" w:name="_Toc184308093"/>
      <w:bookmarkEnd w:id="244"/>
      <w:bookmarkStart w:id="245" w:name="_Toc184312135"/>
      <w:bookmarkEnd w:id="245"/>
      <w:bookmarkStart w:id="246" w:name="_Toc184310326"/>
      <w:bookmarkEnd w:id="246"/>
      <w:bookmarkStart w:id="247" w:name="_Toc184310290"/>
      <w:bookmarkEnd w:id="247"/>
      <w:bookmarkStart w:id="248" w:name="_Toc184310276"/>
      <w:bookmarkEnd w:id="248"/>
      <w:bookmarkStart w:id="249" w:name="_Toc184314479"/>
      <w:bookmarkEnd w:id="249"/>
      <w:bookmarkStart w:id="250" w:name="_Toc184312126"/>
      <w:bookmarkEnd w:id="250"/>
      <w:bookmarkStart w:id="251" w:name="_Toc184312079"/>
      <w:bookmarkEnd w:id="251"/>
      <w:bookmarkStart w:id="252" w:name="_Toc184314415"/>
      <w:bookmarkEnd w:id="252"/>
      <w:bookmarkStart w:id="253" w:name="_Toc184314474"/>
      <w:bookmarkEnd w:id="253"/>
      <w:bookmarkStart w:id="254" w:name="_Toc184313244"/>
      <w:bookmarkEnd w:id="254"/>
      <w:bookmarkStart w:id="255" w:name="_Toc184310304"/>
      <w:bookmarkEnd w:id="255"/>
      <w:bookmarkStart w:id="256" w:name="_Toc184313243"/>
      <w:bookmarkEnd w:id="256"/>
      <w:bookmarkStart w:id="257" w:name="_Toc184314418"/>
      <w:bookmarkEnd w:id="257"/>
      <w:bookmarkStart w:id="258" w:name="_Toc184310302"/>
      <w:bookmarkEnd w:id="258"/>
      <w:bookmarkStart w:id="259" w:name="_Toc184314424"/>
      <w:bookmarkEnd w:id="259"/>
      <w:bookmarkStart w:id="260" w:name="_Toc184313262"/>
      <w:bookmarkEnd w:id="260"/>
      <w:bookmarkStart w:id="261" w:name="_Toc184313242"/>
      <w:bookmarkEnd w:id="261"/>
      <w:bookmarkStart w:id="262" w:name="_Toc184314442"/>
      <w:bookmarkEnd w:id="262"/>
      <w:bookmarkStart w:id="263" w:name="_Toc184310335"/>
      <w:bookmarkEnd w:id="263"/>
      <w:bookmarkStart w:id="264" w:name="_Toc184310319"/>
      <w:bookmarkEnd w:id="264"/>
      <w:bookmarkStart w:id="265" w:name="_Toc184312083"/>
      <w:bookmarkEnd w:id="265"/>
      <w:bookmarkStart w:id="266" w:name="_Toc184310343"/>
      <w:bookmarkEnd w:id="266"/>
      <w:bookmarkStart w:id="267" w:name="_Toc184314463"/>
      <w:bookmarkEnd w:id="267"/>
      <w:bookmarkStart w:id="268" w:name="_Toc184314423"/>
      <w:bookmarkEnd w:id="268"/>
      <w:bookmarkStart w:id="269" w:name="_Toc184312108"/>
      <w:bookmarkEnd w:id="269"/>
      <w:bookmarkStart w:id="270" w:name="_Toc184313257"/>
      <w:bookmarkEnd w:id="270"/>
      <w:bookmarkStart w:id="271" w:name="_Toc184310323"/>
      <w:bookmarkEnd w:id="271"/>
      <w:bookmarkStart w:id="272" w:name="_Toc184312125"/>
      <w:bookmarkEnd w:id="272"/>
      <w:bookmarkStart w:id="273" w:name="_Toc184308099"/>
      <w:bookmarkEnd w:id="273"/>
      <w:bookmarkStart w:id="274" w:name="_Toc184314439"/>
      <w:bookmarkEnd w:id="274"/>
      <w:bookmarkStart w:id="275" w:name="_Toc184308092"/>
      <w:bookmarkEnd w:id="275"/>
      <w:bookmarkStart w:id="276" w:name="_Toc184312113"/>
      <w:bookmarkEnd w:id="276"/>
      <w:bookmarkStart w:id="277" w:name="_Toc184312082"/>
      <w:bookmarkEnd w:id="277"/>
      <w:bookmarkStart w:id="278" w:name="_Toc184310291"/>
      <w:bookmarkEnd w:id="278"/>
      <w:bookmarkStart w:id="279" w:name="_Toc184314462"/>
      <w:bookmarkEnd w:id="279"/>
      <w:bookmarkStart w:id="280" w:name="_Toc184313250"/>
      <w:bookmarkEnd w:id="280"/>
      <w:bookmarkStart w:id="281" w:name="_Toc184308089"/>
      <w:bookmarkEnd w:id="281"/>
      <w:bookmarkStart w:id="282" w:name="_Toc184314422"/>
      <w:bookmarkEnd w:id="282"/>
      <w:bookmarkStart w:id="283" w:name="_Toc184308040"/>
      <w:bookmarkEnd w:id="283"/>
      <w:bookmarkStart w:id="284" w:name="_Toc184313307"/>
      <w:bookmarkEnd w:id="284"/>
      <w:bookmarkStart w:id="285" w:name="_Toc184313265"/>
      <w:bookmarkEnd w:id="285"/>
      <w:bookmarkStart w:id="286" w:name="_Toc184313295"/>
      <w:bookmarkEnd w:id="286"/>
      <w:bookmarkStart w:id="287" w:name="_Toc184313261"/>
      <w:bookmarkEnd w:id="287"/>
      <w:bookmarkStart w:id="288" w:name="_Toc184312118"/>
      <w:bookmarkEnd w:id="288"/>
      <w:bookmarkStart w:id="289" w:name="_Toc184312095"/>
      <w:bookmarkEnd w:id="289"/>
      <w:bookmarkStart w:id="290" w:name="_Toc184313268"/>
      <w:bookmarkEnd w:id="290"/>
      <w:bookmarkStart w:id="291" w:name="_Toc184314482"/>
      <w:bookmarkEnd w:id="291"/>
      <w:bookmarkStart w:id="292" w:name="_Toc184312122"/>
      <w:bookmarkEnd w:id="292"/>
      <w:bookmarkStart w:id="293" w:name="_Toc184310296"/>
      <w:bookmarkEnd w:id="293"/>
      <w:bookmarkStart w:id="294" w:name="_Toc184308053"/>
      <w:bookmarkEnd w:id="294"/>
      <w:bookmarkStart w:id="295" w:name="_Toc184313256"/>
      <w:bookmarkEnd w:id="295"/>
      <w:bookmarkStart w:id="296" w:name="_Toc184313273"/>
      <w:bookmarkEnd w:id="296"/>
      <w:bookmarkStart w:id="297" w:name="_Toc184313272"/>
      <w:bookmarkEnd w:id="297"/>
      <w:bookmarkStart w:id="298" w:name="_Toc184312132"/>
      <w:bookmarkEnd w:id="298"/>
      <w:bookmarkStart w:id="299" w:name="_Toc184308058"/>
      <w:bookmarkEnd w:id="299"/>
      <w:bookmarkStart w:id="300" w:name="_Toc184314433"/>
      <w:bookmarkEnd w:id="300"/>
      <w:bookmarkStart w:id="301" w:name="_Toc184313240"/>
      <w:bookmarkEnd w:id="301"/>
      <w:bookmarkStart w:id="302" w:name="_Toc184308060"/>
      <w:bookmarkEnd w:id="302"/>
      <w:bookmarkStart w:id="303" w:name="_Toc184308068"/>
      <w:bookmarkEnd w:id="303"/>
      <w:bookmarkStart w:id="304" w:name="_Toc184308104"/>
      <w:bookmarkEnd w:id="304"/>
      <w:bookmarkStart w:id="305" w:name="_Toc184312098"/>
      <w:bookmarkEnd w:id="305"/>
      <w:bookmarkStart w:id="306" w:name="_Toc184310330"/>
      <w:bookmarkEnd w:id="306"/>
      <w:bookmarkStart w:id="307" w:name="_Toc184312133"/>
      <w:bookmarkEnd w:id="307"/>
      <w:bookmarkStart w:id="308" w:name="_Toc184312105"/>
      <w:bookmarkEnd w:id="308"/>
      <w:bookmarkStart w:id="309" w:name="_Toc184312101"/>
      <w:bookmarkEnd w:id="309"/>
      <w:bookmarkStart w:id="310" w:name="_Toc184308041"/>
      <w:bookmarkEnd w:id="310"/>
      <w:bookmarkStart w:id="311" w:name="_Toc184310283"/>
      <w:bookmarkEnd w:id="311"/>
      <w:bookmarkStart w:id="312" w:name="_Toc184312115"/>
      <w:bookmarkEnd w:id="312"/>
      <w:bookmarkStart w:id="313" w:name="_Toc184312128"/>
      <w:bookmarkEnd w:id="313"/>
      <w:bookmarkStart w:id="314" w:name="_Toc184308061"/>
      <w:bookmarkEnd w:id="314"/>
      <w:bookmarkStart w:id="315" w:name="_Toc184308063"/>
      <w:bookmarkEnd w:id="315"/>
      <w:bookmarkStart w:id="316" w:name="_Toc184313299"/>
      <w:bookmarkEnd w:id="316"/>
      <w:bookmarkStart w:id="317" w:name="_Toc184313306"/>
      <w:bookmarkEnd w:id="317"/>
      <w:bookmarkStart w:id="318" w:name="_Toc184312091"/>
      <w:bookmarkEnd w:id="318"/>
      <w:bookmarkStart w:id="319" w:name="_Toc184310295"/>
      <w:bookmarkEnd w:id="319"/>
      <w:bookmarkStart w:id="320" w:name="_Toc184314435"/>
      <w:bookmarkEnd w:id="320"/>
      <w:bookmarkStart w:id="321" w:name="_Toc184308085"/>
      <w:bookmarkEnd w:id="321"/>
      <w:bookmarkStart w:id="322" w:name="_Toc184312073"/>
      <w:bookmarkEnd w:id="322"/>
      <w:bookmarkStart w:id="323" w:name="_Toc184308066"/>
      <w:bookmarkEnd w:id="323"/>
      <w:bookmarkStart w:id="324" w:name="_Toc184310303"/>
      <w:bookmarkEnd w:id="324"/>
      <w:bookmarkStart w:id="325" w:name="_Toc184312078"/>
      <w:bookmarkEnd w:id="325"/>
      <w:bookmarkStart w:id="326" w:name="_Toc184313287"/>
      <w:bookmarkEnd w:id="326"/>
      <w:bookmarkStart w:id="327" w:name="_Toc184310280"/>
      <w:bookmarkEnd w:id="327"/>
      <w:bookmarkStart w:id="328" w:name="_Toc184313255"/>
      <w:bookmarkEnd w:id="328"/>
      <w:bookmarkStart w:id="329" w:name="_Toc184310277"/>
      <w:bookmarkEnd w:id="329"/>
      <w:bookmarkStart w:id="330" w:name="_Toc184310325"/>
      <w:bookmarkEnd w:id="330"/>
      <w:bookmarkStart w:id="331" w:name="_Toc184308051"/>
      <w:bookmarkEnd w:id="331"/>
      <w:bookmarkStart w:id="332" w:name="_Toc184308102"/>
      <w:bookmarkEnd w:id="332"/>
      <w:bookmarkStart w:id="333" w:name="_Toc184314471"/>
      <w:bookmarkEnd w:id="333"/>
      <w:bookmarkStart w:id="334" w:name="_Toc184313292"/>
      <w:bookmarkEnd w:id="334"/>
      <w:bookmarkStart w:id="335" w:name="_Toc184314410"/>
      <w:bookmarkEnd w:id="335"/>
      <w:bookmarkStart w:id="336" w:name="_Toc184310272"/>
      <w:bookmarkEnd w:id="336"/>
      <w:bookmarkStart w:id="337" w:name="_Toc184310297"/>
      <w:bookmarkEnd w:id="337"/>
      <w:bookmarkStart w:id="338" w:name="_Toc184314441"/>
      <w:bookmarkEnd w:id="338"/>
      <w:bookmarkStart w:id="339" w:name="_Toc184308057"/>
      <w:bookmarkEnd w:id="339"/>
      <w:bookmarkStart w:id="340" w:name="_Toc184312069"/>
      <w:bookmarkEnd w:id="340"/>
      <w:bookmarkStart w:id="341" w:name="_Toc184314427"/>
      <w:bookmarkEnd w:id="341"/>
      <w:bookmarkStart w:id="342" w:name="_Toc184314431"/>
      <w:bookmarkEnd w:id="342"/>
      <w:bookmarkStart w:id="343" w:name="_Toc184308042"/>
      <w:bookmarkEnd w:id="343"/>
      <w:bookmarkStart w:id="344" w:name="_Toc184314447"/>
      <w:bookmarkEnd w:id="344"/>
      <w:bookmarkStart w:id="345" w:name="_Toc184308075"/>
      <w:bookmarkEnd w:id="345"/>
      <w:bookmarkStart w:id="346" w:name="_Toc184312086"/>
      <w:bookmarkEnd w:id="346"/>
      <w:bookmarkStart w:id="347" w:name="_Toc184313290"/>
      <w:bookmarkEnd w:id="347"/>
      <w:bookmarkStart w:id="348" w:name="_Toc184314428"/>
      <w:bookmarkEnd w:id="348"/>
      <w:bookmarkStart w:id="349" w:name="_Toc184310328"/>
      <w:bookmarkEnd w:id="349"/>
      <w:bookmarkStart w:id="350" w:name="_Toc184308069"/>
      <w:bookmarkEnd w:id="350"/>
      <w:bookmarkStart w:id="351" w:name="_Toc184308087"/>
      <w:bookmarkEnd w:id="351"/>
      <w:bookmarkStart w:id="352" w:name="_Toc184310282"/>
      <w:bookmarkEnd w:id="352"/>
      <w:bookmarkStart w:id="353" w:name="_Toc184310312"/>
      <w:bookmarkEnd w:id="353"/>
      <w:bookmarkStart w:id="354" w:name="_Toc184308090"/>
      <w:bookmarkEnd w:id="354"/>
      <w:bookmarkStart w:id="355" w:name="_Toc184308050"/>
      <w:bookmarkEnd w:id="355"/>
      <w:bookmarkStart w:id="356" w:name="_Toc184314440"/>
      <w:bookmarkEnd w:id="356"/>
      <w:bookmarkStart w:id="357" w:name="_Toc184313285"/>
      <w:bookmarkEnd w:id="357"/>
      <w:bookmarkStart w:id="358" w:name="_Toc184313286"/>
      <w:bookmarkEnd w:id="358"/>
      <w:bookmarkStart w:id="359" w:name="_Toc184308096"/>
      <w:bookmarkEnd w:id="359"/>
      <w:bookmarkStart w:id="360" w:name="_Toc184310278"/>
      <w:bookmarkEnd w:id="360"/>
      <w:bookmarkStart w:id="361" w:name="_Toc184310279"/>
      <w:bookmarkEnd w:id="361"/>
      <w:bookmarkStart w:id="362" w:name="_Toc184310342"/>
      <w:bookmarkEnd w:id="362"/>
      <w:bookmarkStart w:id="363" w:name="_Toc184314438"/>
      <w:bookmarkEnd w:id="363"/>
      <w:bookmarkStart w:id="364" w:name="_Toc184310309"/>
      <w:bookmarkEnd w:id="364"/>
      <w:bookmarkStart w:id="365" w:name="_Toc184308095"/>
      <w:bookmarkEnd w:id="365"/>
      <w:bookmarkStart w:id="366" w:name="_Toc184314416"/>
      <w:bookmarkEnd w:id="366"/>
      <w:bookmarkStart w:id="367" w:name="_Toc184312106"/>
      <w:bookmarkEnd w:id="367"/>
      <w:bookmarkStart w:id="368" w:name="_Toc184312096"/>
      <w:bookmarkEnd w:id="368"/>
      <w:bookmarkStart w:id="369" w:name="_Toc184314470"/>
      <w:bookmarkEnd w:id="369"/>
      <w:bookmarkStart w:id="370" w:name="_Toc184312129"/>
      <w:bookmarkEnd w:id="370"/>
      <w:bookmarkStart w:id="371" w:name="_Toc184308076"/>
      <w:bookmarkEnd w:id="371"/>
      <w:bookmarkStart w:id="372" w:name="_Toc184308108"/>
      <w:bookmarkEnd w:id="372"/>
      <w:bookmarkStart w:id="373" w:name="_Toc184313281"/>
      <w:bookmarkEnd w:id="373"/>
      <w:bookmarkStart w:id="374" w:name="_Toc184314480"/>
      <w:bookmarkEnd w:id="374"/>
      <w:bookmarkStart w:id="375" w:name="_Toc184313252"/>
      <w:bookmarkEnd w:id="375"/>
      <w:bookmarkStart w:id="376" w:name="_Toc184313278"/>
      <w:bookmarkEnd w:id="376"/>
      <w:bookmarkStart w:id="377" w:name="_Toc184313270"/>
      <w:bookmarkEnd w:id="377"/>
      <w:bookmarkStart w:id="378" w:name="_Toc184308043"/>
      <w:bookmarkEnd w:id="378"/>
      <w:bookmarkStart w:id="379" w:name="_Toc184313251"/>
      <w:bookmarkEnd w:id="379"/>
      <w:bookmarkStart w:id="380" w:name="_Toc184314445"/>
      <w:bookmarkEnd w:id="380"/>
      <w:bookmarkStart w:id="381" w:name="_Toc184312119"/>
      <w:bookmarkEnd w:id="381"/>
      <w:bookmarkStart w:id="382" w:name="_Toc184310341"/>
      <w:bookmarkEnd w:id="382"/>
      <w:bookmarkStart w:id="383" w:name="_Toc184314477"/>
      <w:bookmarkEnd w:id="383"/>
      <w:bookmarkStart w:id="384" w:name="_Toc184308049"/>
      <w:bookmarkEnd w:id="384"/>
      <w:bookmarkStart w:id="385" w:name="_Toc184312075"/>
      <w:bookmarkEnd w:id="385"/>
      <w:r>
        <w:rPr>
          <w:rFonts w:hint="eastAsia" w:ascii="宋体" w:hAnsi="宋体" w:cs="宋体"/>
          <w:b/>
          <w:color w:val="000000" w:themeColor="text1"/>
          <w:sz w:val="36"/>
          <w:szCs w:val="36"/>
          <w14:textFill>
            <w14:solidFill>
              <w14:schemeClr w14:val="tx1"/>
            </w14:solidFill>
          </w14:textFill>
        </w:rPr>
        <w:t>评标办法</w:t>
      </w:r>
    </w:p>
    <w:p>
      <w:pPr>
        <w:snapToGrid w:val="0"/>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t>评标办法前附表</w:t>
      </w:r>
    </w:p>
    <w:tbl>
      <w:tblPr>
        <w:tblStyle w:val="7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313"/>
        <w:gridCol w:w="639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序号</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评分项目</w:t>
            </w:r>
          </w:p>
        </w:tc>
        <w:tc>
          <w:tcPr>
            <w:tcW w:w="6394"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评分细则</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企业资质</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1、投标人具有政府部门颁发的《劳务派遣经营许可证》的得3分。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2、投标人具有政府部门颁发的《保安服务许可证》的得1分。</w:t>
            </w:r>
          </w:p>
          <w:p>
            <w:pPr>
              <w:spacing w:line="240" w:lineRule="auto"/>
              <w:jc w:val="left"/>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所有证书须在有效期内，需提供证书复印件加盖公章，未提供的不得分。</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业绩</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自2021年1月1日（以合同签订时间为准）以来，投标人承担过政府部门的类似服务外包项目业绩，每个得0.5分，最高得1分。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需提供签订合同及中标通知书扫描或复印件加盖公章，未提供的不得分。</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服务质量评价</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自2021年1月1日（以合同签订时间为准）以来，投标人具有政府部门类似服务外包项目服务质量获得业主满意评价的，每提供1个得1分，最高得4分。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需提供合同及业主或负责考核部门的单位证明材料扫描件或复印件并加盖公章，未提供的不得分。</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荣誉表彰</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自2021年1月1日以来，投标人及其员工获得行政主管部门荣誉表彰的加分标准(不含协会）：省级（含）以上荣誉表彰得2分；市级荣誉表彰得1分；县级荣誉表彰得0.5分。本项最高得8分。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提供荣誉证明材料及投标人单位社保证明材料扫描件或复印件加盖公章，未提供不得分。</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项目熟悉程度及优势</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1、对消防安全特点、规律、重点和难点分析把握清晰准确；（3分）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2、对微型消防站的职责任务和要求明确，对该项目执行具有哪些优势。（3分）</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内部管理制度及对本项目认知</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1、管理模式以及组织架构的完善性、科学行、合理性，是否保证管理落实到位。（2分）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2、项目各项规章制度齐全、完善，制定内部管理清退制度，实行末尾淘汰等奖优罚劣措施，保证服务人员的素质。（2分）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3、对消防安全的特点规律、重点难点的清晰把握；（2分）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4、对本项目的工作职责任务和要求明确；（2分）</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根据本项目管理制定的工作方案、对接措施</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1、本项目总体构思、实施工作方案内容齐全、结构完整、表述准确、条理清晰；（3分）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2、有可操作性强的实施计划，完成项目的进度安排是否合理。（3分）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3、如何与采购人及相关部门工作上的沟通、衔接等措施。（3分）  </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vMerge w:val="restart"/>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1313" w:type="dxa"/>
            <w:vMerge w:val="restart"/>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专业人员履职保障</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项目负责人：</w:t>
            </w:r>
          </w:p>
          <w:p>
            <w:pPr>
              <w:numPr>
                <w:ilvl w:val="0"/>
                <w:numId w:val="0"/>
              </w:num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年龄45周岁以下、具有大专或以上文化程度的得2分；</w:t>
            </w:r>
          </w:p>
          <w:p>
            <w:pPr>
              <w:numPr>
                <w:ilvl w:val="0"/>
                <w:numId w:val="0"/>
              </w:num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具有退伍军人经历的得1分；</w:t>
            </w:r>
          </w:p>
          <w:p>
            <w:pPr>
              <w:numPr>
                <w:ilvl w:val="0"/>
                <w:numId w:val="0"/>
              </w:num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具有保安员上岗证和保安国家职业资格二级及以上证书得1分；</w:t>
            </w:r>
          </w:p>
          <w:p>
            <w:pPr>
              <w:numPr>
                <w:ilvl w:val="0"/>
                <w:numId w:val="0"/>
              </w:num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具有同类项目管理工作经历的得2分。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【需提供履历、退役军人证书、国家职业资格证书、项目负责人等及单位社保证明、不提供不得分】。</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888" w:type="dxa"/>
            <w:vMerge w:val="continue"/>
            <w:shd w:val="clear" w:color="auto" w:fill="FFFFFF"/>
            <w:noWrap w:val="0"/>
            <w:vAlign w:val="center"/>
          </w:tcPr>
          <w:p>
            <w:pPr>
              <w:spacing w:line="240" w:lineRule="auto"/>
              <w:jc w:val="center"/>
              <w:rPr>
                <w:rFonts w:hint="eastAsia" w:ascii="宋体" w:hAnsi="宋体" w:eastAsia="宋体" w:cs="宋体"/>
                <w:color w:val="auto"/>
                <w:sz w:val="24"/>
                <w:lang w:val="en-US" w:eastAsia="zh-CN"/>
              </w:rPr>
            </w:pPr>
          </w:p>
        </w:tc>
        <w:tc>
          <w:tcPr>
            <w:tcW w:w="1313" w:type="dxa"/>
            <w:vMerge w:val="continue"/>
            <w:shd w:val="clear" w:color="auto" w:fill="FFFFFF"/>
            <w:noWrap w:val="0"/>
            <w:vAlign w:val="center"/>
          </w:tcPr>
          <w:p>
            <w:pPr>
              <w:spacing w:line="240" w:lineRule="auto"/>
              <w:jc w:val="center"/>
              <w:rPr>
                <w:rFonts w:hint="eastAsia" w:ascii="宋体" w:hAnsi="宋体" w:eastAsia="宋体" w:cs="宋体"/>
                <w:color w:val="auto"/>
                <w:sz w:val="24"/>
                <w:lang w:val="en-US" w:eastAsia="zh-CN"/>
              </w:rPr>
            </w:pP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拟派项目组成员（不含项目负责人）：                          1、具有消防专业中级或以上工程师证书的得3分，具有初级工程师证书的得1分,本项最高得3分。                                             2、投入人员具有为退伍军人、并且年龄在45周岁以下、消防救援相关专业工作，以4人为基础，满足基础条件得2分，每增加1个加1分，最高得4分。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【提供相关证书、证明或投标人单位社保证明材料扫描件或复印件加盖公章】。</w:t>
            </w:r>
          </w:p>
        </w:tc>
        <w:tc>
          <w:tcPr>
            <w:tcW w:w="1168" w:type="dxa"/>
            <w:shd w:val="clear" w:color="auto" w:fill="FFFFFF"/>
            <w:noWrap w:val="0"/>
            <w:vAlign w:val="center"/>
          </w:tcPr>
          <w:p>
            <w:pPr>
              <w:spacing w:line="24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管理人员结构、考核措施</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1、拟任管理总负责人及其项目管理班子的权利和责任明确，并有相应的岗位描述。（3分）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2、各岗位有明确的分工，并有对应的考核办法（包括管理人员考核办法、服务人员考核办法等）；（3分）  </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人员招聘、培训、合同及台账</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1、培训方案合理全面；培训计划细致合理，可操作性强；（3分）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2、员工签订的劳动合同规范；（3分）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3、项目相关台账资料完整全面。（3分）</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保障项目实施投入的装备器材</w:t>
            </w:r>
          </w:p>
        </w:tc>
        <w:tc>
          <w:tcPr>
            <w:tcW w:w="6394" w:type="dxa"/>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根据日常工作、应急处置等需要的装备器材、办公场所配备情况进行打分。每项得2分，最高得6分。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【提供购置发票、办公场所需提供房产证或租赁协议扫描件或复印件】。</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合理化建议</w:t>
            </w:r>
          </w:p>
        </w:tc>
        <w:tc>
          <w:tcPr>
            <w:tcW w:w="6394" w:type="dxa"/>
            <w:tcBorders>
              <w:bottom w:val="single" w:color="auto" w:sz="4" w:space="0"/>
            </w:tcBorders>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根据项目实际情况，对投标人提出的有效的改进措施和合理化建议等情况进行评分。每项得2分，最高得6分。</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GB" w:eastAsia="zh-CN"/>
              </w:rPr>
            </w:pPr>
            <w:r>
              <w:rPr>
                <w:rFonts w:hint="eastAsia" w:ascii="宋体" w:hAnsi="宋体" w:eastAsia="宋体" w:cs="宋体"/>
                <w:color w:val="auto"/>
                <w:sz w:val="24"/>
                <w:lang w:val="en-US" w:eastAsia="zh-CN"/>
              </w:rPr>
              <w:t>提供服务优惠措施</w:t>
            </w:r>
          </w:p>
        </w:tc>
        <w:tc>
          <w:tcPr>
            <w:tcW w:w="6394" w:type="dxa"/>
            <w:tcBorders>
              <w:top w:val="single" w:color="auto" w:sz="4" w:space="0"/>
            </w:tcBorders>
            <w:shd w:val="clear" w:color="auto" w:fill="FFFFFF"/>
            <w:noWrap w:val="0"/>
            <w:vAlign w:val="center"/>
          </w:tcPr>
          <w:p>
            <w:pPr>
              <w:spacing w:line="240" w:lineRule="auto"/>
              <w:jc w:val="left"/>
              <w:rPr>
                <w:rFonts w:hint="eastAsia" w:ascii="宋体" w:hAnsi="宋体" w:eastAsia="宋体" w:cs="宋体"/>
                <w:color w:val="auto"/>
                <w:sz w:val="24"/>
                <w:lang w:val="en-US" w:eastAsia="zh-CN"/>
              </w:rPr>
            </w:pPr>
            <w:bookmarkStart w:id="533" w:name="_GoBack"/>
            <w:r>
              <w:rPr>
                <w:rFonts w:hint="eastAsia" w:ascii="宋体" w:hAnsi="宋体" w:eastAsia="宋体" w:cs="宋体"/>
                <w:color w:val="auto"/>
                <w:sz w:val="24"/>
                <w:lang w:val="en-US" w:eastAsia="zh-CN"/>
              </w:rPr>
              <w:t>投标人在招标内容之外，根据项目实施需要和自身实际，提供应急处置能力、拓展服务范围、拟聘用人员的本地化率及服务响应能力等内容进行打分。最高得5分。</w:t>
            </w:r>
            <w:bookmarkEnd w:id="533"/>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8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p>
        </w:tc>
        <w:tc>
          <w:tcPr>
            <w:tcW w:w="1313"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商务分</w:t>
            </w:r>
          </w:p>
        </w:tc>
        <w:tc>
          <w:tcPr>
            <w:tcW w:w="6394" w:type="dxa"/>
            <w:tcBorders>
              <w:top w:val="single" w:color="auto" w:sz="4" w:space="0"/>
            </w:tcBorders>
            <w:shd w:val="clear" w:color="auto" w:fill="FFFFFF"/>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1.价格分采用低价优先法计算，即满足招标文件要求且投标价格最低的投标报价为评标基准价，其他投标人的价格分按照下列公式计算：</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价格分=（评标基准价/投标报价）×15</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2.投标人的投标报价超过设定的上限价的，作无效标处理。</w:t>
            </w:r>
          </w:p>
          <w:p>
            <w:pPr>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3.报价是中标的一个重要因素，但最低报价不是中标的唯一依据。</w:t>
            </w:r>
          </w:p>
        </w:tc>
        <w:tc>
          <w:tcPr>
            <w:tcW w:w="1168" w:type="dxa"/>
            <w:shd w:val="clear" w:color="auto" w:fill="FFFFFF"/>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95" w:type="dxa"/>
            <w:gridSpan w:val="3"/>
            <w:shd w:val="clear" w:color="auto" w:fill="FFFFFF"/>
            <w:noWrap w:val="0"/>
            <w:vAlign w:val="center"/>
          </w:tcPr>
          <w:p>
            <w:pPr>
              <w:keepNext w:val="0"/>
              <w:keepLines w:val="0"/>
              <w:pageBreakBefore w:val="0"/>
              <w:widowControl w:val="0"/>
              <w:tabs>
                <w:tab w:val="left" w:pos="630"/>
              </w:tabs>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   计</w:t>
            </w:r>
          </w:p>
        </w:tc>
        <w:tc>
          <w:tcPr>
            <w:tcW w:w="1168" w:type="dxa"/>
            <w:shd w:val="clear" w:color="auto" w:fill="FFFFFF"/>
            <w:noWrap w:val="0"/>
            <w:vAlign w:val="center"/>
          </w:tcPr>
          <w:p>
            <w:pPr>
              <w:keepNext w:val="0"/>
              <w:keepLines w:val="0"/>
              <w:pageBreakBefore w:val="0"/>
              <w:widowControl w:val="0"/>
              <w:tabs>
                <w:tab w:val="left" w:pos="630"/>
              </w:tabs>
              <w:kinsoku/>
              <w:wordWrap/>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r>
    </w:tbl>
    <w:p>
      <w:pPr>
        <w:snapToGrid w:val="0"/>
        <w:spacing w:line="360" w:lineRule="auto"/>
        <w:rPr>
          <w:rFonts w:hint="eastAsia" w:ascii="宋体" w:hAnsi="宋体" w:cs="宋体"/>
          <w:b/>
          <w:sz w:val="32"/>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2.评标标准：</w:t>
      </w:r>
      <w:r>
        <w:rPr>
          <w:rFonts w:hint="eastAsia" w:cs="宋体" w:asciiTheme="minorEastAsia" w:hAnsiTheme="minorEastAsia" w:eastAsiaTheme="minorEastAsia"/>
          <w:kern w:val="0"/>
          <w:sz w:val="24"/>
        </w:rPr>
        <w:t>评标办法前附表。</w:t>
      </w:r>
    </w:p>
    <w:p>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评标委员会各成员应当独立对每个投标人的商务技术文件进行评价，并汇总商务技术得分情况。</w:t>
      </w:r>
    </w:p>
    <w:p>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66"/>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pPr>
        <w:pStyle w:val="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66"/>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6"/>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pPr>
        <w:pStyle w:val="2"/>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36"/>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3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3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3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3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3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pPr>
        <w:pStyle w:val="36"/>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6"/>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pPr>
        <w:pStyle w:val="36"/>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pPr>
        <w:pStyle w:val="36"/>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6"/>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3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3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0"/>
    </w:p>
    <w:p>
      <w:pPr>
        <w:spacing w:line="360" w:lineRule="auto"/>
        <w:jc w:val="center"/>
        <w:outlineLvl w:val="0"/>
        <w:rPr>
          <w:rFonts w:cs="宋体" w:asciiTheme="minorEastAsia" w:hAnsiTheme="minorEastAsia" w:eastAsiaTheme="minorEastAsia"/>
          <w:b/>
          <w:sz w:val="36"/>
          <w:szCs w:val="36"/>
        </w:rPr>
        <w:sectPr>
          <w:pgSz w:w="11907" w:h="16840"/>
          <w:pgMar w:top="1440" w:right="1417" w:bottom="1440" w:left="1417" w:header="851" w:footer="850" w:gutter="0"/>
          <w:cols w:space="0" w:num="1"/>
        </w:sectPr>
      </w:pPr>
      <w:bookmarkStart w:id="386" w:name="_Toc86217003"/>
      <w:bookmarkStart w:id="387" w:name="第五部分"/>
    </w:p>
    <w:p>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（仅供参考，具体以合同签订为准）</w:t>
      </w:r>
    </w:p>
    <w:p>
      <w:pPr>
        <w:spacing w:line="480" w:lineRule="auto"/>
        <w:rPr>
          <w:rFonts w:cs="宋体" w:asciiTheme="minorEastAsia" w:hAnsiTheme="minorEastAsia" w:eastAsiaTheme="minorEastAsia"/>
          <w:b/>
          <w:sz w:val="24"/>
        </w:rPr>
      </w:pP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pPr>
        <w:pStyle w:val="704"/>
        <w:rPr>
          <w:rFonts w:cs="宋体" w:asciiTheme="minorEastAsia" w:hAnsiTheme="minorEastAsia" w:eastAsiaTheme="minorEastAsia"/>
          <w:szCs w:val="24"/>
        </w:rPr>
      </w:pPr>
    </w:p>
    <w:p>
      <w:pPr>
        <w:pStyle w:val="704"/>
        <w:ind w:left="0" w:leftChars="0" w:firstLine="0" w:firstLineChars="0"/>
        <w:rPr>
          <w:rFonts w:cs="宋体" w:asciiTheme="minorEastAsia" w:hAnsiTheme="minorEastAsia" w:eastAsiaTheme="minorEastAsia"/>
          <w:szCs w:val="24"/>
        </w:rPr>
      </w:pPr>
    </w:p>
    <w:p>
      <w:pPr>
        <w:pStyle w:val="704"/>
        <w:ind w:firstLine="2843" w:firstLineChars="1180"/>
        <w:rPr>
          <w:rFonts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pPr>
        <w:pStyle w:val="704"/>
        <w:rPr>
          <w:rFonts w:cs="宋体" w:asciiTheme="minorEastAsia" w:hAnsiTheme="minorEastAsia" w:eastAsiaTheme="minorEastAsia"/>
          <w:szCs w:val="24"/>
        </w:rPr>
      </w:pPr>
    </w:p>
    <w:p>
      <w:pPr>
        <w:pStyle w:val="704"/>
        <w:rPr>
          <w:rFonts w:cs="宋体" w:asciiTheme="minorEastAsia" w:hAnsiTheme="minorEastAsia" w:eastAsiaTheme="minorEastAsia"/>
          <w:szCs w:val="24"/>
        </w:rPr>
      </w:pP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p>
      <w:pPr>
        <w:pStyle w:val="601"/>
        <w:spacing w:before="120" w:line="22" w:lineRule="atLeast"/>
        <w:rPr>
          <w:rFonts w:cs="宋体" w:asciiTheme="minorEastAsia" w:hAnsiTheme="minorEastAsia" w:eastAsiaTheme="minorEastAsia"/>
          <w:szCs w:val="24"/>
        </w:rPr>
      </w:pPr>
    </w:p>
    <w:p>
      <w:pPr>
        <w:pStyle w:val="601"/>
        <w:spacing w:before="120" w:line="22" w:lineRule="atLeast"/>
        <w:rPr>
          <w:rFonts w:cs="宋体" w:asciiTheme="minorEastAsia" w:hAnsiTheme="minorEastAsia" w:eastAsiaTheme="minorEastAsia"/>
          <w:szCs w:val="24"/>
        </w:rPr>
      </w:pPr>
    </w:p>
    <w:p>
      <w:pPr>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甲方：</w:t>
      </w: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乙方：</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签订日期：年月日</w:t>
      </w:r>
    </w:p>
    <w:p>
      <w:pPr>
        <w:widowControl/>
        <w:jc w:val="left"/>
        <w:rPr>
          <w:rFonts w:cs="宋体" w:asciiTheme="minorEastAsia" w:hAnsiTheme="minorEastAsia" w:eastAsiaTheme="minorEastAsia"/>
          <w:kern w:val="0"/>
          <w:sz w:val="24"/>
        </w:rPr>
        <w:sectPr>
          <w:pgSz w:w="11907" w:h="16840"/>
          <w:pgMar w:top="1440" w:right="1417" w:bottom="1440" w:left="1417" w:header="851" w:footer="850" w:gutter="0"/>
          <w:cols w:space="0" w:num="1"/>
        </w:sectPr>
      </w:pPr>
    </w:p>
    <w:p>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ascii="宋体" w:hAnsi="宋体"/>
          <w:sz w:val="24"/>
          <w:u w:val="single"/>
        </w:rPr>
        <w:t xml:space="preserve">   （采购人名称）   </w:t>
      </w:r>
      <w:r>
        <w:rPr>
          <w:rFonts w:hint="eastAsia" w:ascii="宋体" w:hAnsi="宋体"/>
          <w:sz w:val="24"/>
        </w:rPr>
        <w:t>以</w:t>
      </w:r>
      <w:r>
        <w:rPr>
          <w:rFonts w:ascii="宋体" w:hAnsi="宋体"/>
          <w:sz w:val="24"/>
          <w:u w:val="single"/>
        </w:rPr>
        <w:t xml:space="preserve">   （采购方式）  </w:t>
      </w:r>
      <w:r>
        <w:rPr>
          <w:rFonts w:hint="eastAsia" w:ascii="宋体" w:hAnsi="宋体"/>
          <w:sz w:val="24"/>
        </w:rPr>
        <w:t>对</w:t>
      </w:r>
      <w:r>
        <w:rPr>
          <w:rFonts w:ascii="宋体" w:hAnsi="宋体"/>
          <w:sz w:val="24"/>
          <w:u w:val="single"/>
        </w:rPr>
        <w:t xml:space="preserve">   （同前</w:t>
      </w:r>
      <w:r>
        <w:rPr>
          <w:rFonts w:hint="eastAsia" w:ascii="宋体" w:hAnsi="宋体"/>
          <w:sz w:val="24"/>
          <w:u w:val="single"/>
        </w:rPr>
        <w:t>页项目名称）</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（中标供应商名称） </w:t>
      </w:r>
      <w:r>
        <w:rPr>
          <w:rFonts w:hint="eastAsia" w:ascii="宋体" w:hAnsi="宋体"/>
          <w:sz w:val="24"/>
        </w:rPr>
        <w:t>为该项目中标供应商。现于中标通知书发出之日起三十日内，按照采购文件确定的事项签订本合同。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（采购人名称）   </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88" w:name="_Toc28855"/>
      <w:bookmarkStart w:id="389" w:name="_Toc23681"/>
      <w:bookmarkStart w:id="390" w:name="_Toc19273"/>
      <w:bookmarkStart w:id="391" w:name="_Toc20421"/>
      <w:bookmarkStart w:id="392" w:name="_Toc15367"/>
      <w:bookmarkStart w:id="393" w:name="_Toc22967"/>
      <w:r>
        <w:rPr>
          <w:rFonts w:ascii="宋体" w:hAnsi="宋体"/>
          <w:b/>
          <w:sz w:val="24"/>
        </w:rPr>
        <w:t xml:space="preserve">1.1 </w:t>
      </w:r>
      <w:r>
        <w:rPr>
          <w:rFonts w:hint="eastAsia" w:ascii="宋体" w:hAnsi="宋体"/>
          <w:b/>
          <w:sz w:val="24"/>
        </w:rPr>
        <w:t>合同组成部分</w:t>
      </w:r>
      <w:bookmarkEnd w:id="388"/>
      <w:bookmarkEnd w:id="389"/>
      <w:bookmarkEnd w:id="390"/>
      <w:bookmarkEnd w:id="391"/>
      <w:bookmarkEnd w:id="392"/>
      <w:bookmarkEnd w:id="393"/>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招标文件（含澄清或者修改文件）；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394" w:name="_Toc18585"/>
      <w:bookmarkStart w:id="395" w:name="_Toc2918"/>
      <w:bookmarkStart w:id="396" w:name="_Toc2432"/>
      <w:bookmarkStart w:id="397" w:name="_Toc6773"/>
      <w:bookmarkStart w:id="398" w:name="_Toc22185"/>
      <w:bookmarkStart w:id="399" w:name="_Toc6311"/>
      <w:r>
        <w:rPr>
          <w:rFonts w:ascii="宋体" w:hAnsi="宋体"/>
          <w:b/>
          <w:sz w:val="24"/>
        </w:rPr>
        <w:t xml:space="preserve">1.2 </w:t>
      </w:r>
      <w:r>
        <w:rPr>
          <w:rFonts w:hint="eastAsia" w:ascii="宋体" w:hAnsi="宋体"/>
          <w:b/>
          <w:sz w:val="24"/>
        </w:rPr>
        <w:t>标的</w:t>
      </w:r>
      <w:bookmarkEnd w:id="394"/>
      <w:bookmarkEnd w:id="395"/>
      <w:bookmarkEnd w:id="396"/>
      <w:bookmarkEnd w:id="397"/>
      <w:bookmarkEnd w:id="398"/>
      <w:bookmarkEnd w:id="399"/>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标的</w:t>
      </w:r>
      <w:r>
        <w:rPr>
          <w:rFonts w:ascii="宋体" w:hAnsi="宋体"/>
          <w:sz w:val="24"/>
        </w:rPr>
        <w:t>名称：</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标的</w:t>
      </w:r>
      <w:r>
        <w:rPr>
          <w:rFonts w:ascii="宋体" w:hAnsi="宋体"/>
          <w:sz w:val="24"/>
        </w:rPr>
        <w:t>数量：</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1.2.3 </w:t>
      </w:r>
      <w:r>
        <w:rPr>
          <w:rFonts w:hint="eastAsia" w:ascii="宋体" w:hAnsi="宋体"/>
          <w:sz w:val="24"/>
        </w:rPr>
        <w:t>标的质量：</w:t>
      </w:r>
      <w:r>
        <w:rPr>
          <w:rFonts w:ascii="宋体" w:hAnsi="宋体"/>
          <w:sz w:val="24"/>
          <w:u w:val="single"/>
        </w:rPr>
        <w:t xml:space="preserve">　　　　　　　　　                      　      </w:t>
      </w:r>
      <w:r>
        <w:rPr>
          <w:rFonts w:hint="eastAsia" w:ascii="宋体" w:hAnsi="宋体"/>
          <w:sz w:val="24"/>
        </w:rPr>
        <w:t>。</w:t>
      </w:r>
    </w:p>
    <w:p>
      <w:pPr>
        <w:spacing w:line="560" w:lineRule="exact"/>
        <w:ind w:firstLine="482" w:firstLineChars="200"/>
        <w:outlineLvl w:val="0"/>
        <w:rPr>
          <w:rFonts w:ascii="宋体" w:hAnsi="宋体"/>
          <w:b/>
          <w:sz w:val="24"/>
        </w:rPr>
      </w:pPr>
      <w:bookmarkStart w:id="400" w:name="_Toc1386"/>
      <w:bookmarkStart w:id="401" w:name="_Toc21124"/>
      <w:bookmarkStart w:id="402" w:name="_Toc5635"/>
      <w:bookmarkStart w:id="403" w:name="_Toc179"/>
      <w:bookmarkStart w:id="404" w:name="_Toc4929"/>
      <w:bookmarkStart w:id="405" w:name="_Toc13918"/>
      <w:r>
        <w:rPr>
          <w:rFonts w:ascii="宋体" w:hAnsi="宋体"/>
          <w:b/>
          <w:sz w:val="24"/>
        </w:rPr>
        <w:t>1.3 价款</w:t>
      </w:r>
      <w:bookmarkEnd w:id="400"/>
      <w:bookmarkEnd w:id="401"/>
      <w:bookmarkEnd w:id="402"/>
      <w:bookmarkEnd w:id="403"/>
      <w:bookmarkEnd w:id="404"/>
      <w:bookmarkEnd w:id="405"/>
    </w:p>
    <w:p>
      <w:pPr>
        <w:spacing w:line="560" w:lineRule="exact"/>
        <w:ind w:firstLine="480" w:firstLineChars="200"/>
        <w:rPr>
          <w:rFonts w:ascii="宋体" w:hAnsi="宋体"/>
          <w:sz w:val="24"/>
        </w:rPr>
      </w:pPr>
      <w:r>
        <w:rPr>
          <w:rFonts w:ascii="宋体" w:hAnsi="宋体"/>
          <w:sz w:val="24"/>
        </w:rPr>
        <w:t>本合同总价为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26"/>
              <w:spacing w:line="560" w:lineRule="exact"/>
              <w:jc w:val="center"/>
              <w:rPr>
                <w:rFonts w:hAnsi="宋体"/>
                <w:sz w:val="24"/>
                <w:szCs w:val="24"/>
              </w:rPr>
            </w:pPr>
            <w:r>
              <w:rPr>
                <w:rFonts w:hAnsi="宋体"/>
                <w:sz w:val="24"/>
                <w:szCs w:val="24"/>
              </w:rPr>
              <w:t>序号</w:t>
            </w:r>
          </w:p>
        </w:tc>
        <w:tc>
          <w:tcPr>
            <w:tcW w:w="3402" w:type="dxa"/>
            <w:noWrap/>
            <w:vAlign w:val="center"/>
          </w:tcPr>
          <w:p>
            <w:pPr>
              <w:pStyle w:val="326"/>
              <w:spacing w:line="560" w:lineRule="exact"/>
              <w:ind w:firstLine="200"/>
              <w:jc w:val="center"/>
              <w:rPr>
                <w:rFonts w:hAnsi="宋体"/>
                <w:sz w:val="24"/>
                <w:szCs w:val="24"/>
              </w:rPr>
            </w:pPr>
            <w:r>
              <w:rPr>
                <w:rFonts w:hint="eastAsia" w:hAnsi="宋体"/>
                <w:sz w:val="24"/>
                <w:szCs w:val="24"/>
              </w:rPr>
              <w:t>分项名称</w:t>
            </w:r>
          </w:p>
        </w:tc>
        <w:tc>
          <w:tcPr>
            <w:tcW w:w="2552" w:type="dxa"/>
            <w:noWrap/>
            <w:vAlign w:val="center"/>
          </w:tcPr>
          <w:p>
            <w:pPr>
              <w:pStyle w:val="326"/>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26"/>
              <w:spacing w:line="560" w:lineRule="exact"/>
              <w:ind w:firstLine="200"/>
              <w:jc w:val="center"/>
              <w:rPr>
                <w:rFonts w:hAnsi="宋体"/>
                <w:sz w:val="24"/>
                <w:szCs w:val="24"/>
              </w:rPr>
            </w:pPr>
          </w:p>
        </w:tc>
        <w:tc>
          <w:tcPr>
            <w:tcW w:w="3402" w:type="dxa"/>
            <w:noWrap/>
            <w:vAlign w:val="center"/>
          </w:tcPr>
          <w:p>
            <w:pPr>
              <w:pStyle w:val="326"/>
              <w:spacing w:line="560" w:lineRule="exact"/>
              <w:ind w:firstLine="200"/>
              <w:jc w:val="center"/>
              <w:rPr>
                <w:rFonts w:hAnsi="宋体"/>
                <w:sz w:val="24"/>
                <w:szCs w:val="24"/>
              </w:rPr>
            </w:pPr>
          </w:p>
        </w:tc>
        <w:tc>
          <w:tcPr>
            <w:tcW w:w="2552" w:type="dxa"/>
            <w:noWrap/>
            <w:vAlign w:val="center"/>
          </w:tcPr>
          <w:p>
            <w:pPr>
              <w:pStyle w:val="326"/>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26"/>
              <w:spacing w:line="560" w:lineRule="exact"/>
              <w:ind w:firstLine="200"/>
              <w:jc w:val="center"/>
              <w:rPr>
                <w:rFonts w:hAnsi="宋体"/>
                <w:sz w:val="24"/>
                <w:szCs w:val="24"/>
              </w:rPr>
            </w:pPr>
          </w:p>
        </w:tc>
        <w:tc>
          <w:tcPr>
            <w:tcW w:w="3402" w:type="dxa"/>
            <w:noWrap/>
            <w:vAlign w:val="center"/>
          </w:tcPr>
          <w:p>
            <w:pPr>
              <w:pStyle w:val="326"/>
              <w:spacing w:line="560" w:lineRule="exact"/>
              <w:ind w:firstLine="200"/>
              <w:jc w:val="center"/>
              <w:rPr>
                <w:rFonts w:hAnsi="宋体"/>
                <w:sz w:val="24"/>
                <w:szCs w:val="24"/>
              </w:rPr>
            </w:pPr>
          </w:p>
        </w:tc>
        <w:tc>
          <w:tcPr>
            <w:tcW w:w="2552" w:type="dxa"/>
            <w:noWrap/>
            <w:vAlign w:val="center"/>
          </w:tcPr>
          <w:p>
            <w:pPr>
              <w:pStyle w:val="326"/>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26"/>
              <w:spacing w:line="560" w:lineRule="exact"/>
              <w:ind w:firstLine="200"/>
              <w:jc w:val="center"/>
              <w:rPr>
                <w:rFonts w:hAnsi="宋体"/>
                <w:sz w:val="24"/>
                <w:szCs w:val="24"/>
              </w:rPr>
            </w:pPr>
          </w:p>
        </w:tc>
        <w:tc>
          <w:tcPr>
            <w:tcW w:w="3402" w:type="dxa"/>
            <w:noWrap/>
            <w:vAlign w:val="center"/>
          </w:tcPr>
          <w:p>
            <w:pPr>
              <w:pStyle w:val="326"/>
              <w:spacing w:line="560" w:lineRule="exact"/>
              <w:ind w:firstLine="200"/>
              <w:jc w:val="center"/>
              <w:rPr>
                <w:rFonts w:hAnsi="宋体"/>
                <w:sz w:val="24"/>
                <w:szCs w:val="24"/>
              </w:rPr>
            </w:pPr>
          </w:p>
        </w:tc>
        <w:tc>
          <w:tcPr>
            <w:tcW w:w="2552" w:type="dxa"/>
            <w:noWrap/>
            <w:vAlign w:val="center"/>
          </w:tcPr>
          <w:p>
            <w:pPr>
              <w:pStyle w:val="326"/>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26"/>
              <w:spacing w:line="560" w:lineRule="exact"/>
              <w:ind w:firstLine="200"/>
              <w:jc w:val="center"/>
              <w:rPr>
                <w:rFonts w:hAnsi="宋体"/>
                <w:sz w:val="24"/>
                <w:szCs w:val="24"/>
              </w:rPr>
            </w:pPr>
          </w:p>
        </w:tc>
        <w:tc>
          <w:tcPr>
            <w:tcW w:w="3402" w:type="dxa"/>
            <w:noWrap/>
            <w:vAlign w:val="center"/>
          </w:tcPr>
          <w:p>
            <w:pPr>
              <w:pStyle w:val="326"/>
              <w:spacing w:line="560" w:lineRule="exact"/>
              <w:ind w:firstLine="200"/>
              <w:jc w:val="center"/>
              <w:rPr>
                <w:rFonts w:hAnsi="宋体"/>
                <w:sz w:val="24"/>
                <w:szCs w:val="24"/>
              </w:rPr>
            </w:pPr>
          </w:p>
        </w:tc>
        <w:tc>
          <w:tcPr>
            <w:tcW w:w="2552" w:type="dxa"/>
            <w:noWrap/>
            <w:vAlign w:val="center"/>
          </w:tcPr>
          <w:p>
            <w:pPr>
              <w:pStyle w:val="326"/>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ign w:val="center"/>
          </w:tcPr>
          <w:p>
            <w:pPr>
              <w:pStyle w:val="326"/>
              <w:spacing w:line="560" w:lineRule="exact"/>
              <w:ind w:firstLine="200"/>
              <w:jc w:val="center"/>
              <w:rPr>
                <w:rFonts w:hAnsi="宋体"/>
                <w:sz w:val="24"/>
                <w:szCs w:val="24"/>
              </w:rPr>
            </w:pPr>
            <w:r>
              <w:rPr>
                <w:rFonts w:hint="eastAsia" w:hAnsi="宋体"/>
                <w:sz w:val="24"/>
                <w:szCs w:val="24"/>
              </w:rPr>
              <w:t>总价</w:t>
            </w:r>
          </w:p>
        </w:tc>
        <w:tc>
          <w:tcPr>
            <w:tcW w:w="2552" w:type="dxa"/>
            <w:noWrap/>
            <w:vAlign w:val="center"/>
          </w:tcPr>
          <w:p>
            <w:pPr>
              <w:pStyle w:val="326"/>
              <w:spacing w:line="560" w:lineRule="exact"/>
              <w:ind w:firstLine="200"/>
              <w:jc w:val="center"/>
              <w:rPr>
                <w:rFonts w:hAnsi="宋体"/>
                <w:sz w:val="24"/>
                <w:szCs w:val="24"/>
              </w:rPr>
            </w:pPr>
          </w:p>
        </w:tc>
      </w:tr>
    </w:tbl>
    <w:p>
      <w:pPr>
        <w:spacing w:line="560" w:lineRule="exact"/>
        <w:ind w:firstLine="482" w:firstLineChars="200"/>
        <w:outlineLvl w:val="0"/>
        <w:rPr>
          <w:rFonts w:ascii="宋体" w:hAnsi="宋体"/>
          <w:b/>
          <w:sz w:val="24"/>
        </w:rPr>
      </w:pPr>
      <w:bookmarkStart w:id="406" w:name="_Toc14993"/>
      <w:bookmarkStart w:id="407" w:name="_Toc26916"/>
      <w:bookmarkStart w:id="408" w:name="_Toc30158"/>
      <w:bookmarkStart w:id="409" w:name="_Toc24056"/>
      <w:bookmarkStart w:id="410" w:name="_Toc30506"/>
      <w:bookmarkStart w:id="411" w:name="_Toc3654"/>
      <w:r>
        <w:rPr>
          <w:rFonts w:ascii="宋体" w:hAnsi="宋体"/>
          <w:b/>
          <w:sz w:val="24"/>
        </w:rPr>
        <w:t>1.4 付款方式和发票开具方式</w:t>
      </w:r>
      <w:bookmarkEnd w:id="406"/>
      <w:bookmarkEnd w:id="407"/>
      <w:bookmarkEnd w:id="408"/>
      <w:bookmarkEnd w:id="409"/>
      <w:bookmarkEnd w:id="410"/>
      <w:bookmarkEnd w:id="411"/>
    </w:p>
    <w:p>
      <w:pPr>
        <w:pStyle w:val="960"/>
        <w:spacing w:before="0" w:beforeAutospacing="0" w:after="0" w:afterAutospacing="0" w:line="360" w:lineRule="auto"/>
        <w:ind w:firstLine="480"/>
        <w:rPr>
          <w:rFonts w:cs="Times New Roman"/>
        </w:rPr>
      </w:pPr>
      <w:r>
        <w:rPr>
          <w:rFonts w:cs="Times New Roman"/>
        </w:rPr>
        <w:t>1.4.1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sz w:val="24"/>
        </w:rPr>
      </w:pPr>
      <w:r>
        <w:rPr>
          <w:rFonts w:ascii="宋体" w:hAnsi="宋体"/>
          <w:sz w:val="24"/>
        </w:rPr>
        <w:t xml:space="preserve">1.4.2 </w:t>
      </w:r>
      <w:r>
        <w:rPr>
          <w:rFonts w:hint="eastAsia" w:ascii="宋体" w:hAnsi="宋体"/>
          <w:sz w:val="24"/>
        </w:rPr>
        <w:t>合同预付款比例为合同金额的</w:t>
      </w:r>
      <w:r>
        <w:rPr>
          <w:rFonts w:hint="eastAsia" w:ascii="宋体" w:hAnsi="宋体"/>
          <w:sz w:val="24"/>
          <w:lang w:val="en-US" w:eastAsia="zh-CN"/>
        </w:rPr>
        <w:t>60</w:t>
      </w:r>
      <w:r>
        <w:rPr>
          <w:rFonts w:ascii="宋体" w:hAnsi="宋体"/>
          <w:sz w:val="24"/>
        </w:rPr>
        <w:t>％；项目分年安排预算的，每年预付款比例为项目年度计划支付资金额的</w:t>
      </w:r>
      <w:r>
        <w:rPr>
          <w:rFonts w:hint="eastAsia" w:ascii="宋体" w:hAnsi="宋体"/>
          <w:sz w:val="24"/>
          <w:lang w:val="en-US" w:eastAsia="zh-CN"/>
        </w:rPr>
        <w:t>60</w:t>
      </w:r>
      <w:r>
        <w:rPr>
          <w:rFonts w:ascii="宋体" w:hAnsi="宋体"/>
          <w:sz w:val="24"/>
        </w:rPr>
        <w:t>％；采购项目实施以人工投入为主的，预付款比例为合同金额的</w:t>
      </w:r>
      <w:r>
        <w:rPr>
          <w:rFonts w:hint="eastAsia" w:ascii="宋体" w:hAnsi="宋体"/>
          <w:sz w:val="24"/>
        </w:rPr>
        <w:t>30</w:t>
      </w:r>
      <w:r>
        <w:rPr>
          <w:rFonts w:ascii="宋体" w:hAnsi="宋体"/>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宋体" w:hAnsi="宋体"/>
          <w:sz w:val="24"/>
        </w:rPr>
        <w:t>政府采购工程以及与工程建设有关的货物、服务，采用招标方式采购的，预付款从其相关规定。乙方可登录政采云前台大厅选择金融服务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pacing w:line="560" w:lineRule="exact"/>
        <w:ind w:firstLine="480" w:firstLineChars="200"/>
        <w:outlineLvl w:val="0"/>
        <w:rPr>
          <w:rFonts w:ascii="宋体" w:hAnsi="宋体"/>
          <w:sz w:val="24"/>
        </w:rPr>
      </w:pPr>
      <w:bookmarkStart w:id="412" w:name="_Toc1341"/>
      <w:r>
        <w:rPr>
          <w:rFonts w:ascii="宋体" w:hAnsi="宋体"/>
          <w:sz w:val="24"/>
        </w:rPr>
        <w:t>1.4.</w:t>
      </w:r>
      <w:r>
        <w:rPr>
          <w:rFonts w:hint="eastAsia" w:ascii="宋体" w:hAnsi="宋体"/>
          <w:sz w:val="24"/>
        </w:rPr>
        <w:t>3</w:t>
      </w:r>
      <w:r>
        <w:rPr>
          <w:rFonts w:ascii="宋体" w:hAnsi="宋体"/>
          <w:sz w:val="24"/>
        </w:rPr>
        <w:t>资金支付的方式、时间和条件详见</w:t>
      </w:r>
      <w:r>
        <w:rPr>
          <w:rFonts w:hint="eastAsia" w:ascii="宋体" w:hAnsi="宋体"/>
          <w:b/>
          <w:i/>
          <w:sz w:val="24"/>
          <w:u w:val="single"/>
        </w:rPr>
        <w:t>合同专用条款</w:t>
      </w:r>
      <w:r>
        <w:rPr>
          <w:rFonts w:hint="eastAsia" w:ascii="宋体" w:hAnsi="宋体"/>
          <w:sz w:val="24"/>
        </w:rPr>
        <w:t>。</w:t>
      </w:r>
      <w:bookmarkEnd w:id="412"/>
    </w:p>
    <w:p>
      <w:pPr>
        <w:spacing w:line="560" w:lineRule="exact"/>
        <w:ind w:firstLine="480" w:firstLineChars="200"/>
        <w:outlineLvl w:val="0"/>
        <w:rPr>
          <w:rFonts w:ascii="宋体" w:hAnsi="宋体"/>
          <w:sz w:val="24"/>
        </w:rPr>
      </w:pPr>
      <w:bookmarkStart w:id="413" w:name="_Toc31517"/>
      <w:r>
        <w:rPr>
          <w:rFonts w:ascii="宋体" w:hAnsi="宋体"/>
          <w:sz w:val="24"/>
        </w:rPr>
        <w:t>1.4.</w:t>
      </w:r>
      <w:r>
        <w:rPr>
          <w:rFonts w:hint="eastAsia" w:ascii="宋体" w:hAnsi="宋体"/>
          <w:sz w:val="24"/>
        </w:rPr>
        <w:t>4乙方</w:t>
      </w:r>
      <w:r>
        <w:rPr>
          <w:rFonts w:ascii="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sz w:val="24"/>
        </w:rPr>
        <w:t>杭财采监〔</w:t>
      </w:r>
      <w:r>
        <w:rPr>
          <w:rFonts w:ascii="宋体" w:hAnsi="宋体"/>
          <w:sz w:val="24"/>
        </w:rPr>
        <w:t>2021〕17号）。</w:t>
      </w:r>
      <w:bookmarkEnd w:id="413"/>
    </w:p>
    <w:p>
      <w:pPr>
        <w:spacing w:line="560" w:lineRule="exact"/>
        <w:ind w:firstLine="482" w:firstLineChars="200"/>
        <w:outlineLvl w:val="0"/>
        <w:rPr>
          <w:rFonts w:ascii="宋体" w:hAnsi="宋体"/>
          <w:b/>
          <w:sz w:val="24"/>
        </w:rPr>
      </w:pPr>
      <w:bookmarkStart w:id="414" w:name="_Toc31421"/>
      <w:bookmarkStart w:id="415" w:name="_Toc8772"/>
      <w:bookmarkStart w:id="416" w:name="_Toc4760"/>
      <w:bookmarkStart w:id="417" w:name="_Toc3625"/>
      <w:bookmarkStart w:id="418" w:name="_Toc11108"/>
      <w:bookmarkStart w:id="419" w:name="_Toc7071"/>
      <w:r>
        <w:rPr>
          <w:rFonts w:ascii="宋体" w:hAnsi="宋体"/>
          <w:b/>
          <w:sz w:val="24"/>
        </w:rPr>
        <w:t>1.5 履行期限</w:t>
      </w:r>
      <w:r>
        <w:rPr>
          <w:rFonts w:hint="eastAsia" w:ascii="宋体" w:hAnsi="宋体"/>
          <w:b/>
          <w:sz w:val="24"/>
        </w:rPr>
        <w:t>、地点和方式</w:t>
      </w:r>
      <w:bookmarkEnd w:id="414"/>
      <w:bookmarkEnd w:id="415"/>
      <w:bookmarkEnd w:id="416"/>
      <w:bookmarkEnd w:id="417"/>
      <w:bookmarkEnd w:id="418"/>
      <w:bookmarkEnd w:id="419"/>
    </w:p>
    <w:p>
      <w:pPr>
        <w:spacing w:line="560" w:lineRule="exact"/>
        <w:ind w:firstLine="480" w:firstLineChars="200"/>
        <w:rPr>
          <w:rFonts w:ascii="宋体" w:hAnsi="宋体"/>
          <w:sz w:val="24"/>
          <w:u w:val="single"/>
        </w:rPr>
      </w:pPr>
      <w:r>
        <w:rPr>
          <w:rFonts w:ascii="宋体" w:hAnsi="宋体"/>
          <w:sz w:val="24"/>
        </w:rPr>
        <w:t xml:space="preserve">1.5.1 </w:t>
      </w:r>
      <w:r>
        <w:rPr>
          <w:rFonts w:hint="eastAsia" w:ascii="宋体" w:hAnsi="宋体"/>
          <w:sz w:val="24"/>
        </w:rPr>
        <w:t>履行期限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1.5.2 </w:t>
      </w:r>
      <w:r>
        <w:rPr>
          <w:rFonts w:hint="eastAsia" w:ascii="宋体" w:hAnsi="宋体"/>
          <w:sz w:val="24"/>
        </w:rPr>
        <w:t>履行地点</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1.5.3 </w:t>
      </w:r>
      <w:r>
        <w:rPr>
          <w:rFonts w:hint="eastAsia" w:ascii="宋体" w:hAnsi="宋体"/>
          <w:sz w:val="24"/>
        </w:rPr>
        <w:t>履行方式：</w:t>
      </w:r>
      <w:r>
        <w:rPr>
          <w:rFonts w:hint="eastAsia" w:ascii="宋体" w:hAnsi="宋体"/>
          <w:b/>
          <w:i/>
          <w:sz w:val="24"/>
          <w:u w:val="single"/>
        </w:rPr>
        <w:t>合同专用条款</w:t>
      </w:r>
      <w:r>
        <w:rPr>
          <w:rFonts w:hint="eastAsia" w:ascii="宋体" w:hAnsi="宋体"/>
          <w:sz w:val="24"/>
        </w:rPr>
        <w:t>。</w:t>
      </w:r>
    </w:p>
    <w:p>
      <w:pPr>
        <w:spacing w:line="560" w:lineRule="exact"/>
        <w:ind w:firstLine="482" w:firstLineChars="200"/>
        <w:outlineLvl w:val="0"/>
        <w:rPr>
          <w:rFonts w:ascii="宋体" w:hAnsi="宋体"/>
          <w:sz w:val="24"/>
          <w:u w:val="single"/>
        </w:rPr>
      </w:pPr>
      <w:bookmarkStart w:id="420" w:name="_Toc8586"/>
      <w:bookmarkStart w:id="421" w:name="_Toc24662"/>
      <w:bookmarkStart w:id="422" w:name="_Toc2375"/>
      <w:bookmarkStart w:id="423" w:name="_Toc5698"/>
      <w:bookmarkStart w:id="424" w:name="_Toc9255"/>
      <w:bookmarkStart w:id="425" w:name="_Toc3079"/>
      <w:r>
        <w:rPr>
          <w:rFonts w:ascii="宋体" w:hAnsi="宋体"/>
          <w:b/>
          <w:sz w:val="24"/>
        </w:rPr>
        <w:t xml:space="preserve">1.6 </w:t>
      </w:r>
      <w:r>
        <w:rPr>
          <w:rFonts w:hint="eastAsia" w:ascii="宋体" w:hAnsi="宋体"/>
          <w:b/>
          <w:sz w:val="24"/>
        </w:rPr>
        <w:t>违约责任</w:t>
      </w:r>
      <w:bookmarkEnd w:id="420"/>
      <w:bookmarkEnd w:id="421"/>
      <w:bookmarkEnd w:id="422"/>
      <w:bookmarkEnd w:id="423"/>
      <w:bookmarkEnd w:id="424"/>
      <w:bookmarkEnd w:id="425"/>
    </w:p>
    <w:p>
      <w:pPr>
        <w:spacing w:line="560" w:lineRule="exact"/>
        <w:ind w:firstLine="480" w:firstLineChars="200"/>
        <w:rPr>
          <w:rFonts w:ascii="宋体" w:hAnsi="宋体"/>
          <w:sz w:val="24"/>
        </w:rPr>
      </w:pPr>
      <w:r>
        <w:rPr>
          <w:rFonts w:ascii="宋体" w:hAnsi="宋体"/>
          <w:sz w:val="24"/>
        </w:rPr>
        <w:t>1.6.1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1.6.</w:t>
      </w:r>
      <w:r>
        <w:rPr>
          <w:rFonts w:hint="eastAsia" w:ascii="宋体" w:hAnsi="宋体"/>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sz w:val="24"/>
        </w:rPr>
      </w:pPr>
      <w:r>
        <w:rPr>
          <w:rFonts w:ascii="宋体" w:hAnsi="宋体"/>
          <w:sz w:val="24"/>
        </w:rPr>
        <w:t>1.6.</w:t>
      </w:r>
      <w:r>
        <w:rPr>
          <w:rFonts w:hint="eastAsia" w:ascii="宋体" w:hAnsi="宋体"/>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sz w:val="24"/>
        </w:rPr>
      </w:pPr>
      <w:r>
        <w:rPr>
          <w:rFonts w:ascii="宋体" w:hAnsi="宋体"/>
          <w:sz w:val="24"/>
        </w:rPr>
        <w:t>1.6.</w:t>
      </w:r>
      <w:r>
        <w:rPr>
          <w:rFonts w:hint="eastAsia" w:ascii="宋体" w:hAnsi="宋体"/>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sz w:val="24"/>
        </w:rPr>
      </w:pPr>
      <w:r>
        <w:rPr>
          <w:rFonts w:ascii="宋体" w:hAnsi="宋体"/>
          <w:sz w:val="24"/>
        </w:rPr>
        <w:t>1.6.</w:t>
      </w:r>
      <w:r>
        <w:rPr>
          <w:rFonts w:hint="eastAsia" w:ascii="宋体" w:hAnsi="宋体"/>
          <w:sz w:val="24"/>
        </w:rPr>
        <w:t>5如果出现采购监督管理部门在处理投诉事项期间，书面通知甲方暂停采购活动的情形，或者询问或质疑事项可能影响中标结果的，导致甲方中止履行合同的情形，均不视为甲方违约；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rPr>
      </w:pPr>
      <w:r>
        <w:rPr>
          <w:rFonts w:ascii="宋体" w:hAnsi="宋体"/>
          <w:sz w:val="24"/>
        </w:rPr>
        <w:t>1.6.</w:t>
      </w:r>
      <w:r>
        <w:rPr>
          <w:rFonts w:hint="eastAsia" w:ascii="宋体" w:hAnsi="宋体"/>
          <w:sz w:val="24"/>
        </w:rPr>
        <w:t>6</w:t>
      </w:r>
      <w:r>
        <w:rPr>
          <w:rFonts w:ascii="宋体" w:hAnsi="宋体"/>
          <w:sz w:val="24"/>
        </w:rPr>
        <w:t>违约责任</w:t>
      </w:r>
      <w:r>
        <w:rPr>
          <w:rFonts w:hint="eastAsia" w:ascii="宋体" w:hAnsi="宋体"/>
          <w:b/>
          <w:i/>
          <w:sz w:val="24"/>
          <w:u w:val="single"/>
        </w:rPr>
        <w:t>合同专用条款</w:t>
      </w:r>
      <w:r>
        <w:rPr>
          <w:rFonts w:hint="eastAsia" w:ascii="宋体" w:hAnsi="宋体"/>
          <w:sz w:val="24"/>
        </w:rPr>
        <w:t>另有约定的，从其约定。</w:t>
      </w:r>
    </w:p>
    <w:p>
      <w:pPr>
        <w:spacing w:line="560" w:lineRule="exact"/>
        <w:ind w:firstLine="482" w:firstLineChars="200"/>
        <w:outlineLvl w:val="0"/>
        <w:rPr>
          <w:rFonts w:ascii="宋体" w:hAnsi="宋体"/>
          <w:b/>
          <w:sz w:val="24"/>
        </w:rPr>
      </w:pPr>
      <w:bookmarkStart w:id="426" w:name="_Toc9497"/>
      <w:bookmarkStart w:id="427" w:name="_Toc30329"/>
      <w:bookmarkStart w:id="428" w:name="_Toc18683"/>
      <w:bookmarkStart w:id="429" w:name="_Toc32454"/>
      <w:bookmarkStart w:id="430" w:name="_Toc15131"/>
      <w:bookmarkStart w:id="431" w:name="_Toc26807"/>
      <w:r>
        <w:rPr>
          <w:rFonts w:ascii="宋体" w:hAnsi="宋体"/>
          <w:b/>
          <w:sz w:val="24"/>
        </w:rPr>
        <w:t xml:space="preserve">1.7 </w:t>
      </w:r>
      <w:r>
        <w:rPr>
          <w:rFonts w:hint="eastAsia" w:ascii="宋体" w:hAnsi="宋体"/>
          <w:b/>
          <w:sz w:val="24"/>
        </w:rPr>
        <w:t>合同</w:t>
      </w:r>
      <w:r>
        <w:rPr>
          <w:rFonts w:ascii="宋体" w:hAnsi="宋体"/>
          <w:b/>
          <w:sz w:val="24"/>
        </w:rPr>
        <w:t>争议的解决</w:t>
      </w:r>
      <w:bookmarkEnd w:id="426"/>
      <w:bookmarkEnd w:id="427"/>
      <w:bookmarkEnd w:id="428"/>
      <w:bookmarkEnd w:id="429"/>
      <w:bookmarkEnd w:id="430"/>
      <w:bookmarkEnd w:id="431"/>
    </w:p>
    <w:p>
      <w:pPr>
        <w:spacing w:line="560" w:lineRule="exact"/>
        <w:ind w:left="-61" w:leftChars="-29" w:right="-420" w:rightChars="-200" w:firstLine="240" w:firstLineChars="1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本合同履行过程中发生的任何争议，双方当事人均可通过和解或者调解解决；不愿和解、调解或者和解、调解不成的，可以选择以下第</w:t>
      </w:r>
      <w:r>
        <w:rPr>
          <w:rFonts w:ascii="宋体" w:hAnsi="宋体"/>
          <w:b/>
          <w:i/>
          <w:sz w:val="24"/>
          <w:u w:val="single"/>
        </w:rPr>
        <w:t xml:space="preserve"> 合同专用条款  </w:t>
      </w:r>
      <w:r>
        <w:rPr>
          <w:rFonts w:hint="eastAsia" w:ascii="宋体" w:hAnsi="宋体"/>
          <w:sz w:val="24"/>
        </w:rPr>
        <w:t>条款规定的方式解决：</w:t>
      </w:r>
    </w:p>
    <w:p>
      <w:pPr>
        <w:spacing w:line="560" w:lineRule="exact"/>
        <w:ind w:left="-420" w:leftChars="-200" w:right="-420" w:rightChars="-200" w:firstLine="600" w:firstLineChars="250"/>
        <w:rPr>
          <w:rFonts w:ascii="宋体" w:hAnsi="宋体"/>
          <w:sz w:val="24"/>
        </w:rPr>
      </w:pPr>
      <w:r>
        <w:rPr>
          <w:rFonts w:ascii="宋体" w:hAnsi="宋体"/>
          <w:sz w:val="24"/>
        </w:rPr>
        <w:t xml:space="preserve">1.7.1 </w:t>
      </w:r>
      <w:r>
        <w:rPr>
          <w:rFonts w:hint="eastAsia" w:ascii="宋体" w:hAnsi="宋体"/>
          <w:sz w:val="24"/>
        </w:rPr>
        <w:t>将争议提交</w:t>
      </w:r>
      <w:r>
        <w:rPr>
          <w:rFonts w:hint="eastAsia" w:ascii="宋体" w:hAnsi="宋体"/>
          <w:b/>
          <w:i/>
          <w:sz w:val="24"/>
          <w:u w:val="single"/>
        </w:rPr>
        <w:t>合同专用条款</w:t>
      </w:r>
      <w:r>
        <w:rPr>
          <w:rFonts w:hint="eastAsia" w:ascii="宋体" w:hAnsi="宋体"/>
          <w:sz w:val="24"/>
        </w:rPr>
        <w:t>仲裁委员会依申请仲裁时其现行有效的仲裁规则裁决；</w:t>
      </w:r>
    </w:p>
    <w:p>
      <w:pPr>
        <w:spacing w:line="560" w:lineRule="exact"/>
        <w:ind w:left="-420" w:leftChars="-200" w:right="-420" w:rightChars="-200" w:firstLine="600" w:firstLineChars="250"/>
        <w:rPr>
          <w:rFonts w:ascii="宋体" w:hAnsi="宋体"/>
          <w:sz w:val="24"/>
        </w:rPr>
      </w:pPr>
      <w:r>
        <w:rPr>
          <w:rFonts w:ascii="宋体" w:hAnsi="宋体"/>
          <w:sz w:val="24"/>
        </w:rPr>
        <w:t xml:space="preserve">1.7.2 </w:t>
      </w:r>
      <w:r>
        <w:rPr>
          <w:rFonts w:hint="eastAsia" w:ascii="宋体" w:hAnsi="宋体"/>
          <w:sz w:val="24"/>
        </w:rPr>
        <w:t>向</w:t>
      </w:r>
      <w:r>
        <w:rPr>
          <w:rFonts w:hint="eastAsia" w:ascii="宋体" w:hAnsi="宋体"/>
          <w:b/>
          <w:i/>
          <w:sz w:val="24"/>
          <w:u w:val="single"/>
        </w:rPr>
        <w:t>合同专用条款</w:t>
      </w:r>
      <w:r>
        <w:rPr>
          <w:rFonts w:hint="eastAsia" w:ascii="宋体" w:hAnsi="宋体"/>
          <w:sz w:val="24"/>
        </w:rPr>
        <w:t>人民法院起诉。</w:t>
      </w:r>
    </w:p>
    <w:p>
      <w:pPr>
        <w:spacing w:line="560" w:lineRule="exact"/>
        <w:ind w:firstLine="241" w:firstLineChars="100"/>
        <w:outlineLvl w:val="0"/>
        <w:rPr>
          <w:rFonts w:ascii="宋体" w:hAnsi="宋体"/>
          <w:b/>
          <w:sz w:val="24"/>
        </w:rPr>
      </w:pPr>
      <w:bookmarkStart w:id="432" w:name="_Toc15827"/>
      <w:bookmarkStart w:id="433" w:name="_Toc22665"/>
      <w:bookmarkStart w:id="434" w:name="_Toc12273"/>
      <w:bookmarkStart w:id="435" w:name="_Toc26227"/>
      <w:bookmarkStart w:id="436" w:name="_Toc23784"/>
      <w:bookmarkStart w:id="437" w:name="_Toc16417"/>
      <w:r>
        <w:rPr>
          <w:rFonts w:ascii="宋体" w:hAnsi="宋体"/>
          <w:b/>
          <w:sz w:val="24"/>
        </w:rPr>
        <w:t>1.8 合同生效</w:t>
      </w:r>
      <w:bookmarkEnd w:id="432"/>
      <w:bookmarkEnd w:id="433"/>
      <w:bookmarkEnd w:id="434"/>
      <w:bookmarkEnd w:id="435"/>
      <w:bookmarkEnd w:id="436"/>
      <w:bookmarkEnd w:id="437"/>
    </w:p>
    <w:p>
      <w:pPr>
        <w:spacing w:line="560" w:lineRule="exact"/>
        <w:ind w:firstLine="480" w:firstLineChars="200"/>
        <w:rPr>
          <w:rFonts w:ascii="宋体" w:hAnsi="宋体"/>
          <w:b/>
          <w:sz w:val="24"/>
        </w:rPr>
      </w:pPr>
      <w:r>
        <w:rPr>
          <w:rFonts w:ascii="宋体" w:hAnsi="宋体"/>
          <w:sz w:val="24"/>
        </w:rPr>
        <w:t>本合同自</w:t>
      </w:r>
      <w:r>
        <w:rPr>
          <w:rFonts w:hint="eastAsia" w:ascii="宋体" w:hAnsi="宋体"/>
          <w:sz w:val="24"/>
        </w:rPr>
        <w:t>双方当事人盖章或者签字时</w:t>
      </w:r>
      <w:r>
        <w:rPr>
          <w:rFonts w:ascii="宋体" w:hAnsi="宋体"/>
          <w:sz w:val="24"/>
        </w:rPr>
        <w:t>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w:t>
      </w:r>
    </w:p>
    <w:p>
      <w:pPr>
        <w:autoSpaceDE w:val="0"/>
        <w:autoSpaceDN w:val="0"/>
        <w:spacing w:line="560" w:lineRule="exact"/>
        <w:rPr>
          <w:rFonts w:ascii="宋体" w:hAnsi="宋体"/>
          <w:sz w:val="24"/>
          <w:lang w:val="zh-CN"/>
        </w:rPr>
      </w:pPr>
      <w:r>
        <w:rPr>
          <w:rFonts w:hint="eastAsia" w:ascii="宋体" w:hAnsi="宋体"/>
          <w:sz w:val="24"/>
          <w:lang w:val="zh-CN"/>
        </w:rPr>
        <w:t>法定代表人或法定代表人或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联系人：联系人：</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rPr>
      </w:pPr>
      <w:r>
        <w:rPr>
          <w:rFonts w:hint="eastAsia" w:ascii="宋体" w:hAnsi="宋体"/>
          <w:sz w:val="24"/>
          <w:lang w:val="zh-CN"/>
        </w:rPr>
        <w:t>电子邮箱：电子邮箱：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开户账号：开户账号：</w:t>
      </w:r>
    </w:p>
    <w:p>
      <w:pPr>
        <w:rPr>
          <w:rFonts w:ascii="宋体" w:hAnsi="宋体"/>
          <w:b/>
        </w:rPr>
      </w:pPr>
      <w:r>
        <w:rPr>
          <w:rFonts w:hint="eastAsia" w:ascii="宋体" w:hAnsi="宋体"/>
          <w:b/>
        </w:rPr>
        <w:br w:type="page"/>
      </w:r>
    </w:p>
    <w:p>
      <w:pPr>
        <w:autoSpaceDE w:val="0"/>
        <w:autoSpaceDN w:val="0"/>
        <w:spacing w:line="560" w:lineRule="exact"/>
        <w:jc w:val="center"/>
        <w:rPr>
          <w:rFonts w:ascii="宋体" w:hAnsi="宋体"/>
          <w:b/>
        </w:rPr>
      </w:pPr>
      <w:r>
        <w:rPr>
          <w:rFonts w:hint="eastAsia" w:ascii="宋体" w:hAnsi="宋体"/>
          <w:b/>
        </w:rPr>
        <w:t>第二部分合同一般条款</w:t>
      </w:r>
    </w:p>
    <w:p>
      <w:pPr>
        <w:snapToGrid w:val="0"/>
        <w:spacing w:line="360" w:lineRule="auto"/>
        <w:ind w:firstLine="482" w:firstLineChars="200"/>
        <w:outlineLvl w:val="0"/>
        <w:rPr>
          <w:rFonts w:ascii="宋体" w:hAnsi="宋体"/>
          <w:b/>
          <w:sz w:val="24"/>
        </w:rPr>
      </w:pPr>
      <w:bookmarkStart w:id="438" w:name="_Toc31297"/>
      <w:bookmarkStart w:id="439" w:name="_Toc25079"/>
      <w:bookmarkStart w:id="440" w:name="_Toc15759"/>
      <w:bookmarkStart w:id="441" w:name="_Toc14021"/>
      <w:bookmarkStart w:id="442" w:name="_Toc19680"/>
      <w:bookmarkStart w:id="443" w:name="_Toc5228"/>
      <w:r>
        <w:rPr>
          <w:rFonts w:ascii="宋体" w:hAnsi="宋体"/>
          <w:b/>
          <w:sz w:val="24"/>
        </w:rPr>
        <w:t>2.1 定义</w:t>
      </w:r>
      <w:bookmarkEnd w:id="438"/>
      <w:bookmarkEnd w:id="439"/>
      <w:bookmarkEnd w:id="440"/>
      <w:bookmarkEnd w:id="441"/>
      <w:bookmarkEnd w:id="442"/>
      <w:bookmarkEnd w:id="443"/>
    </w:p>
    <w:p>
      <w:pPr>
        <w:snapToGrid w:val="0"/>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napToGrid w:val="0"/>
        <w:spacing w:line="360" w:lineRule="auto"/>
        <w:ind w:firstLine="480" w:firstLineChars="20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pPr>
        <w:snapToGrid w:val="0"/>
        <w:spacing w:line="360" w:lineRule="auto"/>
        <w:ind w:firstLine="480" w:firstLineChars="200"/>
        <w:rPr>
          <w:rFonts w:ascii="宋体" w:hAnsi="宋体"/>
          <w:sz w:val="24"/>
        </w:rPr>
      </w:pPr>
      <w:r>
        <w:rPr>
          <w:rFonts w:ascii="宋体" w:hAnsi="宋体"/>
          <w:sz w:val="24"/>
        </w:rPr>
        <w:t>2.1.2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pPr>
        <w:snapToGrid w:val="0"/>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napToGrid w:val="0"/>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napToGrid w:val="0"/>
        <w:spacing w:line="360" w:lineRule="auto"/>
        <w:ind w:firstLine="480" w:firstLineChars="200"/>
        <w:rPr>
          <w:rFonts w:ascii="宋体" w:hAnsi="宋体"/>
          <w:sz w:val="24"/>
        </w:rPr>
      </w:pPr>
      <w:r>
        <w:rPr>
          <w:rFonts w:ascii="宋体" w:hAnsi="宋体"/>
          <w:sz w:val="24"/>
        </w:rPr>
        <w:t>2.1.5 “乙方”系指根据合同约定提供服务的中标供应商</w:t>
      </w:r>
      <w:r>
        <w:rPr>
          <w:rFonts w:hint="eastAsia" w:ascii="宋体" w:hAnsi="宋体"/>
          <w:sz w:val="24"/>
        </w:rPr>
        <w:t>；两个以上的自然人、法人或者其他组织组成一个联合体，以一个供应商的身份共同参加采购的，联合体各方均应为乙方或者与乙方相同地位的合同当事人，并就合同约定的事项对甲方承担连带责任。</w:t>
      </w:r>
    </w:p>
    <w:p>
      <w:pPr>
        <w:snapToGrid w:val="0"/>
        <w:spacing w:line="360" w:lineRule="auto"/>
        <w:ind w:firstLine="480" w:firstLineChars="200"/>
        <w:rPr>
          <w:rFonts w:ascii="宋体" w:hAnsi="宋体"/>
          <w:sz w:val="24"/>
        </w:rPr>
      </w:pPr>
      <w:r>
        <w:rPr>
          <w:rFonts w:ascii="宋体" w:hAnsi="宋体"/>
          <w:sz w:val="24"/>
        </w:rPr>
        <w:t>2.1.6 “现场”系指合同约定提供服务的地点。</w:t>
      </w:r>
    </w:p>
    <w:p>
      <w:pPr>
        <w:snapToGrid w:val="0"/>
        <w:spacing w:line="360" w:lineRule="auto"/>
        <w:ind w:firstLine="482" w:firstLineChars="200"/>
        <w:outlineLvl w:val="0"/>
        <w:rPr>
          <w:rFonts w:ascii="宋体" w:hAnsi="宋体"/>
          <w:b/>
          <w:sz w:val="24"/>
        </w:rPr>
      </w:pPr>
      <w:bookmarkStart w:id="444" w:name="_Toc23289"/>
      <w:bookmarkStart w:id="445" w:name="_Toc16752"/>
      <w:bookmarkStart w:id="446" w:name="_Toc27138"/>
      <w:bookmarkStart w:id="447" w:name="_Toc19539"/>
      <w:bookmarkStart w:id="448" w:name="_Toc31402"/>
      <w:bookmarkStart w:id="449" w:name="_Toc3769"/>
      <w:r>
        <w:rPr>
          <w:rFonts w:ascii="宋体" w:hAnsi="宋体"/>
          <w:b/>
          <w:sz w:val="24"/>
        </w:rPr>
        <w:t>2.2 技术规范</w:t>
      </w:r>
      <w:bookmarkEnd w:id="444"/>
      <w:bookmarkEnd w:id="445"/>
      <w:bookmarkEnd w:id="446"/>
      <w:bookmarkEnd w:id="447"/>
      <w:bookmarkEnd w:id="448"/>
      <w:bookmarkEnd w:id="449"/>
    </w:p>
    <w:p>
      <w:pPr>
        <w:snapToGrid w:val="0"/>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napToGrid w:val="0"/>
        <w:spacing w:line="360" w:lineRule="auto"/>
        <w:ind w:firstLine="482" w:firstLineChars="200"/>
        <w:outlineLvl w:val="0"/>
        <w:rPr>
          <w:rFonts w:ascii="宋体" w:hAnsi="宋体"/>
          <w:b/>
          <w:sz w:val="24"/>
        </w:rPr>
      </w:pPr>
      <w:bookmarkStart w:id="450" w:name="_Toc22470"/>
      <w:bookmarkStart w:id="451" w:name="_Toc13673"/>
      <w:bookmarkStart w:id="452" w:name="_Toc12412"/>
      <w:bookmarkStart w:id="453" w:name="_Toc9161"/>
      <w:bookmarkStart w:id="454" w:name="_Toc4133"/>
      <w:bookmarkStart w:id="455" w:name="_Toc27945"/>
      <w:r>
        <w:rPr>
          <w:rFonts w:ascii="宋体" w:hAnsi="宋体"/>
          <w:b/>
          <w:sz w:val="24"/>
        </w:rPr>
        <w:t>2.3 知识产权</w:t>
      </w:r>
      <w:bookmarkEnd w:id="450"/>
      <w:bookmarkEnd w:id="451"/>
      <w:bookmarkEnd w:id="452"/>
      <w:bookmarkEnd w:id="453"/>
      <w:bookmarkEnd w:id="454"/>
      <w:bookmarkEnd w:id="455"/>
    </w:p>
    <w:p>
      <w:pPr>
        <w:snapToGrid w:val="0"/>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napToGrid w:val="0"/>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napToGrid w:val="0"/>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napToGrid w:val="0"/>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napToGrid w:val="0"/>
        <w:spacing w:line="360" w:lineRule="auto"/>
        <w:ind w:firstLine="482" w:firstLineChars="200"/>
        <w:outlineLvl w:val="0"/>
        <w:rPr>
          <w:rFonts w:ascii="宋体" w:hAnsi="宋体"/>
          <w:b/>
          <w:sz w:val="24"/>
        </w:rPr>
      </w:pPr>
      <w:bookmarkStart w:id="456" w:name="_Toc15447"/>
      <w:bookmarkStart w:id="457" w:name="_Toc25615"/>
      <w:bookmarkStart w:id="458" w:name="_Toc31233"/>
      <w:bookmarkStart w:id="459" w:name="_Toc26555"/>
      <w:bookmarkStart w:id="460" w:name="_Toc32670"/>
      <w:bookmarkStart w:id="461" w:name="_Toc22011"/>
      <w:r>
        <w:rPr>
          <w:rFonts w:ascii="宋体" w:hAnsi="宋体"/>
          <w:b/>
          <w:sz w:val="24"/>
        </w:rPr>
        <w:t>2.5 结算方式和付款条件</w:t>
      </w:r>
      <w:bookmarkEnd w:id="456"/>
      <w:bookmarkEnd w:id="457"/>
      <w:bookmarkEnd w:id="458"/>
      <w:bookmarkEnd w:id="459"/>
      <w:bookmarkEnd w:id="460"/>
      <w:bookmarkEnd w:id="461"/>
    </w:p>
    <w:p>
      <w:pPr>
        <w:snapToGrid w:val="0"/>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napToGrid w:val="0"/>
        <w:spacing w:line="360" w:lineRule="auto"/>
        <w:ind w:firstLine="482" w:firstLineChars="200"/>
        <w:outlineLvl w:val="0"/>
        <w:rPr>
          <w:rFonts w:ascii="宋体" w:hAnsi="宋体"/>
          <w:b/>
          <w:sz w:val="24"/>
        </w:rPr>
      </w:pPr>
      <w:bookmarkStart w:id="462" w:name="_Toc30507"/>
      <w:bookmarkStart w:id="463" w:name="_Toc16163"/>
      <w:bookmarkStart w:id="464" w:name="_Toc13154"/>
      <w:bookmarkStart w:id="465" w:name="_Toc18990"/>
      <w:bookmarkStart w:id="466" w:name="_Toc29098"/>
      <w:bookmarkStart w:id="467" w:name="_Toc13467"/>
      <w:r>
        <w:rPr>
          <w:rFonts w:ascii="宋体" w:hAnsi="宋体"/>
          <w:b/>
          <w:sz w:val="24"/>
        </w:rPr>
        <w:t>2.6 技术资料和保密义务</w:t>
      </w:r>
      <w:bookmarkEnd w:id="462"/>
      <w:bookmarkEnd w:id="463"/>
      <w:bookmarkEnd w:id="464"/>
      <w:bookmarkEnd w:id="465"/>
      <w:bookmarkEnd w:id="466"/>
      <w:bookmarkEnd w:id="467"/>
    </w:p>
    <w:p>
      <w:pPr>
        <w:snapToGrid w:val="0"/>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napToGrid w:val="0"/>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napToGrid w:val="0"/>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napToGrid w:val="0"/>
        <w:spacing w:line="360" w:lineRule="auto"/>
        <w:ind w:firstLine="482" w:firstLineChars="200"/>
        <w:outlineLvl w:val="0"/>
        <w:rPr>
          <w:rFonts w:ascii="宋体" w:hAnsi="宋体"/>
          <w:b/>
          <w:sz w:val="24"/>
        </w:rPr>
      </w:pPr>
      <w:bookmarkStart w:id="468" w:name="_Toc22499"/>
      <w:bookmarkStart w:id="469" w:name="_Toc19069"/>
      <w:r>
        <w:rPr>
          <w:rFonts w:ascii="宋体" w:hAnsi="宋体"/>
          <w:b/>
          <w:sz w:val="24"/>
        </w:rPr>
        <w:t xml:space="preserve">2.7 </w:t>
      </w:r>
      <w:r>
        <w:rPr>
          <w:rFonts w:hint="eastAsia" w:ascii="宋体" w:hAnsi="宋体"/>
          <w:b/>
          <w:sz w:val="24"/>
        </w:rPr>
        <w:t>质量保证</w:t>
      </w:r>
      <w:bookmarkEnd w:id="468"/>
      <w:bookmarkEnd w:id="469"/>
    </w:p>
    <w:p>
      <w:pPr>
        <w:snapToGrid w:val="0"/>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napToGrid w:val="0"/>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ascii="宋体" w:hAnsi="宋体"/>
          <w:b/>
          <w:sz w:val="24"/>
        </w:rPr>
      </w:pPr>
      <w:bookmarkStart w:id="470" w:name="_Toc22267"/>
      <w:bookmarkStart w:id="471" w:name="_Toc17607"/>
      <w:r>
        <w:rPr>
          <w:rFonts w:ascii="宋体" w:hAnsi="宋体"/>
          <w:b/>
          <w:sz w:val="24"/>
        </w:rPr>
        <w:t xml:space="preserve">2.8 </w:t>
      </w:r>
      <w:r>
        <w:rPr>
          <w:rFonts w:hint="eastAsia" w:ascii="宋体" w:hAnsi="宋体"/>
          <w:b/>
          <w:sz w:val="24"/>
        </w:rPr>
        <w:t>延迟履行</w:t>
      </w:r>
      <w:bookmarkEnd w:id="470"/>
      <w:bookmarkEnd w:id="471"/>
    </w:p>
    <w:p>
      <w:pPr>
        <w:snapToGrid w:val="0"/>
        <w:spacing w:line="360" w:lineRule="auto"/>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napToGrid w:val="0"/>
        <w:spacing w:line="360" w:lineRule="auto"/>
        <w:ind w:firstLine="482" w:firstLineChars="200"/>
        <w:outlineLvl w:val="0"/>
        <w:rPr>
          <w:rFonts w:ascii="宋体" w:hAnsi="宋体"/>
          <w:b/>
          <w:sz w:val="24"/>
        </w:rPr>
      </w:pPr>
      <w:bookmarkStart w:id="472" w:name="_Toc31075"/>
      <w:bookmarkStart w:id="473" w:name="_Toc10611"/>
      <w:r>
        <w:rPr>
          <w:rFonts w:ascii="宋体" w:hAnsi="宋体"/>
          <w:b/>
          <w:sz w:val="24"/>
        </w:rPr>
        <w:t xml:space="preserve">2.9 </w:t>
      </w:r>
      <w:r>
        <w:rPr>
          <w:rFonts w:hint="eastAsia" w:ascii="宋体" w:hAnsi="宋体"/>
          <w:b/>
          <w:sz w:val="24"/>
        </w:rPr>
        <w:t>合同变更</w:t>
      </w:r>
      <w:bookmarkEnd w:id="472"/>
      <w:bookmarkEnd w:id="473"/>
    </w:p>
    <w:p>
      <w:pPr>
        <w:snapToGrid w:val="0"/>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napToGrid w:val="0"/>
        <w:spacing w:line="360" w:lineRule="auto"/>
        <w:ind w:firstLine="482" w:firstLineChars="200"/>
        <w:outlineLvl w:val="0"/>
        <w:rPr>
          <w:rFonts w:ascii="宋体" w:hAnsi="宋体"/>
          <w:b/>
          <w:sz w:val="24"/>
        </w:rPr>
      </w:pPr>
      <w:bookmarkStart w:id="474" w:name="_Toc23368"/>
      <w:bookmarkStart w:id="475" w:name="_Toc7147"/>
      <w:bookmarkStart w:id="476" w:name="_Toc10663"/>
      <w:bookmarkStart w:id="477" w:name="_Toc21830"/>
      <w:bookmarkStart w:id="478" w:name="_Toc42"/>
      <w:bookmarkStart w:id="479" w:name="_Toc26689"/>
      <w:r>
        <w:rPr>
          <w:rFonts w:ascii="宋体" w:hAnsi="宋体"/>
          <w:b/>
          <w:sz w:val="24"/>
        </w:rPr>
        <w:t>2.10 合同转让和分包</w:t>
      </w:r>
      <w:bookmarkEnd w:id="474"/>
      <w:bookmarkEnd w:id="475"/>
      <w:bookmarkEnd w:id="476"/>
      <w:bookmarkEnd w:id="477"/>
      <w:bookmarkEnd w:id="478"/>
      <w:bookmarkEnd w:id="479"/>
    </w:p>
    <w:p>
      <w:pPr>
        <w:snapToGrid w:val="0"/>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napToGrid w:val="0"/>
        <w:spacing w:line="360" w:lineRule="auto"/>
        <w:ind w:firstLine="482" w:firstLineChars="200"/>
        <w:outlineLvl w:val="0"/>
        <w:rPr>
          <w:rFonts w:ascii="宋体" w:hAnsi="宋体"/>
          <w:b/>
          <w:sz w:val="24"/>
        </w:rPr>
      </w:pPr>
      <w:bookmarkStart w:id="480" w:name="_Toc25571"/>
      <w:bookmarkStart w:id="481" w:name="_Toc4720"/>
      <w:bookmarkStart w:id="482" w:name="_Toc26633"/>
      <w:bookmarkStart w:id="483" w:name="_Toc14371"/>
      <w:bookmarkStart w:id="484" w:name="_Toc32494"/>
      <w:bookmarkStart w:id="485" w:name="_Toc7343"/>
      <w:r>
        <w:rPr>
          <w:rFonts w:ascii="宋体" w:hAnsi="宋体"/>
          <w:b/>
          <w:sz w:val="24"/>
        </w:rPr>
        <w:t>2.11 不可抗力</w:t>
      </w:r>
      <w:bookmarkEnd w:id="480"/>
      <w:bookmarkEnd w:id="481"/>
      <w:bookmarkEnd w:id="482"/>
      <w:bookmarkEnd w:id="483"/>
      <w:bookmarkEnd w:id="484"/>
      <w:bookmarkEnd w:id="485"/>
    </w:p>
    <w:p>
      <w:pPr>
        <w:snapToGrid w:val="0"/>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napToGrid w:val="0"/>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napToGrid w:val="0"/>
        <w:spacing w:line="360" w:lineRule="auto"/>
        <w:ind w:firstLine="482" w:firstLineChars="200"/>
        <w:outlineLvl w:val="0"/>
        <w:rPr>
          <w:rFonts w:ascii="宋体" w:hAnsi="宋体"/>
          <w:b/>
          <w:sz w:val="24"/>
        </w:rPr>
      </w:pPr>
      <w:bookmarkStart w:id="486" w:name="_Toc24465"/>
      <w:bookmarkStart w:id="487" w:name="_Toc25783"/>
      <w:bookmarkStart w:id="488" w:name="_Toc23854"/>
      <w:bookmarkStart w:id="489" w:name="_Toc3638"/>
      <w:bookmarkStart w:id="490" w:name="_Toc9466"/>
      <w:bookmarkStart w:id="491" w:name="_Toc14115"/>
      <w:r>
        <w:rPr>
          <w:rFonts w:ascii="宋体" w:hAnsi="宋体"/>
          <w:b/>
          <w:sz w:val="24"/>
        </w:rPr>
        <w:t>2.12 税费</w:t>
      </w:r>
      <w:bookmarkEnd w:id="486"/>
      <w:bookmarkEnd w:id="487"/>
      <w:bookmarkEnd w:id="488"/>
      <w:bookmarkEnd w:id="489"/>
      <w:bookmarkEnd w:id="490"/>
      <w:bookmarkEnd w:id="491"/>
    </w:p>
    <w:p>
      <w:pPr>
        <w:snapToGrid w:val="0"/>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napToGrid w:val="0"/>
        <w:spacing w:line="360" w:lineRule="auto"/>
        <w:ind w:firstLine="482" w:firstLineChars="200"/>
        <w:outlineLvl w:val="0"/>
        <w:rPr>
          <w:rFonts w:ascii="宋体" w:hAnsi="宋体"/>
          <w:b/>
          <w:sz w:val="24"/>
        </w:rPr>
      </w:pPr>
      <w:bookmarkStart w:id="492" w:name="_Toc30105"/>
      <w:bookmarkStart w:id="493" w:name="_Toc24896"/>
      <w:bookmarkStart w:id="494" w:name="_Toc14814"/>
      <w:bookmarkStart w:id="495" w:name="_Toc26883"/>
      <w:bookmarkStart w:id="496" w:name="_Toc7315"/>
      <w:bookmarkStart w:id="497" w:name="_Toc25525"/>
      <w:r>
        <w:rPr>
          <w:rFonts w:ascii="宋体" w:hAnsi="宋体"/>
          <w:b/>
          <w:sz w:val="24"/>
        </w:rPr>
        <w:t>2.13 乙方破产</w:t>
      </w:r>
      <w:bookmarkEnd w:id="492"/>
      <w:bookmarkEnd w:id="493"/>
      <w:bookmarkEnd w:id="494"/>
      <w:bookmarkEnd w:id="495"/>
      <w:bookmarkEnd w:id="496"/>
      <w:bookmarkEnd w:id="497"/>
    </w:p>
    <w:p>
      <w:pPr>
        <w:snapToGrid w:val="0"/>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napToGrid w:val="0"/>
        <w:spacing w:line="360" w:lineRule="auto"/>
        <w:ind w:firstLine="482" w:firstLineChars="200"/>
        <w:outlineLvl w:val="0"/>
        <w:rPr>
          <w:rFonts w:ascii="宋体" w:hAnsi="宋体"/>
          <w:b/>
          <w:sz w:val="24"/>
        </w:rPr>
      </w:pPr>
      <w:bookmarkStart w:id="498" w:name="_Toc1123"/>
      <w:bookmarkStart w:id="499" w:name="_Toc23323"/>
      <w:bookmarkStart w:id="500" w:name="_Toc2016"/>
      <w:bookmarkStart w:id="501" w:name="_Toc3628"/>
      <w:r>
        <w:rPr>
          <w:rFonts w:ascii="宋体" w:hAnsi="宋体"/>
          <w:b/>
          <w:sz w:val="24"/>
        </w:rPr>
        <w:t>2.14 合同中止、终止</w:t>
      </w:r>
      <w:bookmarkEnd w:id="498"/>
      <w:bookmarkEnd w:id="499"/>
      <w:bookmarkEnd w:id="500"/>
      <w:bookmarkEnd w:id="501"/>
    </w:p>
    <w:p>
      <w:pPr>
        <w:snapToGrid w:val="0"/>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napToGrid w:val="0"/>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宋体" w:hAnsi="宋体"/>
          <w:b/>
          <w:sz w:val="24"/>
        </w:rPr>
      </w:pPr>
      <w:bookmarkStart w:id="502" w:name="_Toc14525"/>
      <w:bookmarkStart w:id="503" w:name="_Toc32417"/>
      <w:bookmarkStart w:id="504" w:name="_Toc17363"/>
      <w:bookmarkStart w:id="505" w:name="_Toc1969"/>
      <w:r>
        <w:rPr>
          <w:rFonts w:ascii="宋体" w:hAnsi="宋体"/>
          <w:b/>
          <w:sz w:val="24"/>
        </w:rPr>
        <w:t>2.15 检验和验收</w:t>
      </w:r>
      <w:bookmarkEnd w:id="502"/>
      <w:bookmarkEnd w:id="503"/>
      <w:bookmarkEnd w:id="504"/>
      <w:bookmarkEnd w:id="505"/>
    </w:p>
    <w:p>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napToGrid w:val="0"/>
        <w:spacing w:line="360" w:lineRule="auto"/>
        <w:ind w:firstLine="482" w:firstLineChars="200"/>
        <w:outlineLvl w:val="0"/>
        <w:rPr>
          <w:rFonts w:ascii="宋体" w:hAnsi="宋体"/>
          <w:b/>
          <w:sz w:val="24"/>
        </w:rPr>
      </w:pPr>
      <w:bookmarkStart w:id="506" w:name="_Toc12867"/>
      <w:bookmarkStart w:id="507" w:name="_Toc31892"/>
      <w:bookmarkStart w:id="508" w:name="_Toc9808"/>
      <w:bookmarkStart w:id="509" w:name="_Toc12666"/>
      <w:bookmarkStart w:id="510" w:name="_Toc2308"/>
      <w:bookmarkStart w:id="511" w:name="_Toc25198"/>
      <w:r>
        <w:rPr>
          <w:rFonts w:ascii="宋体" w:hAnsi="宋体"/>
          <w:b/>
          <w:sz w:val="24"/>
        </w:rPr>
        <w:t>2.16 通知和送达</w:t>
      </w:r>
      <w:bookmarkEnd w:id="506"/>
      <w:bookmarkEnd w:id="507"/>
      <w:bookmarkEnd w:id="508"/>
      <w:bookmarkEnd w:id="509"/>
      <w:bookmarkEnd w:id="510"/>
      <w:bookmarkEnd w:id="511"/>
    </w:p>
    <w:p>
      <w:pPr>
        <w:snapToGrid w:val="0"/>
        <w:spacing w:line="360" w:lineRule="auto"/>
        <w:ind w:firstLine="480" w:firstLineChars="200"/>
        <w:rPr>
          <w:rFonts w:ascii="宋体" w:hAnsi="宋体"/>
          <w:sz w:val="24"/>
        </w:rPr>
      </w:pPr>
      <w:bookmarkStart w:id="512" w:name="_Toc27674"/>
      <w:bookmarkStart w:id="513" w:name="_Toc18401"/>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napToGrid w:val="0"/>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12"/>
      <w:bookmarkEnd w:id="513"/>
    </w:p>
    <w:p>
      <w:pPr>
        <w:snapToGrid w:val="0"/>
        <w:spacing w:line="360" w:lineRule="auto"/>
        <w:ind w:firstLine="482" w:firstLineChars="200"/>
        <w:outlineLvl w:val="0"/>
        <w:rPr>
          <w:rFonts w:ascii="宋体" w:hAnsi="宋体"/>
          <w:b/>
          <w:sz w:val="24"/>
        </w:rPr>
      </w:pPr>
      <w:bookmarkStart w:id="514" w:name="_Toc5063"/>
      <w:bookmarkStart w:id="515" w:name="_Toc2127"/>
      <w:bookmarkStart w:id="516" w:name="_Toc28906"/>
      <w:bookmarkStart w:id="517" w:name="_Toc12254"/>
      <w:bookmarkStart w:id="518" w:name="_Toc20808"/>
      <w:bookmarkStart w:id="519"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14"/>
      <w:bookmarkEnd w:id="515"/>
      <w:bookmarkEnd w:id="516"/>
      <w:bookmarkEnd w:id="517"/>
      <w:bookmarkEnd w:id="518"/>
      <w:bookmarkEnd w:id="519"/>
    </w:p>
    <w:p>
      <w:pPr>
        <w:snapToGrid w:val="0"/>
        <w:spacing w:line="360" w:lineRule="auto"/>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napToGrid w:val="0"/>
        <w:spacing w:line="360" w:lineRule="auto"/>
        <w:ind w:firstLine="482" w:firstLineChars="200"/>
        <w:outlineLvl w:val="0"/>
        <w:rPr>
          <w:rFonts w:ascii="宋体" w:hAnsi="宋体"/>
          <w:b/>
          <w:sz w:val="24"/>
        </w:rPr>
      </w:pPr>
      <w:bookmarkStart w:id="520" w:name="_Toc27403"/>
      <w:bookmarkStart w:id="521" w:name="_Toc22266"/>
      <w:bookmarkStart w:id="522" w:name="_Toc27127"/>
      <w:bookmarkStart w:id="523" w:name="_Toc1492"/>
      <w:bookmarkStart w:id="524" w:name="_Toc30096"/>
      <w:bookmarkStart w:id="525" w:name="_Toc29572"/>
      <w:r>
        <w:rPr>
          <w:rFonts w:ascii="宋体" w:hAnsi="宋体"/>
          <w:b/>
          <w:sz w:val="24"/>
        </w:rPr>
        <w:t>2.18 履约保证金</w:t>
      </w:r>
      <w:bookmarkEnd w:id="520"/>
      <w:bookmarkEnd w:id="521"/>
      <w:bookmarkEnd w:id="522"/>
      <w:bookmarkEnd w:id="523"/>
      <w:bookmarkEnd w:id="524"/>
      <w:bookmarkEnd w:id="525"/>
    </w:p>
    <w:p>
      <w:pPr>
        <w:pStyle w:val="960"/>
        <w:snapToGrid w:val="0"/>
        <w:spacing w:before="0" w:beforeAutospacing="0" w:after="0" w:afterAutospacing="0" w:line="360" w:lineRule="auto"/>
        <w:ind w:firstLine="420"/>
      </w:pPr>
      <w:r>
        <w:t xml:space="preserve">2.18.1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rPr>
          <w:rFonts w:hint="eastAsia"/>
          <w:lang w:val="en-US" w:eastAsia="zh-CN"/>
        </w:rPr>
        <w:t>0.1</w:t>
      </w:r>
      <w:r>
        <w:t>%的履约保证金；鼓励和支持乙方以银行、保险公司出具的保函形式提供履约保证</w:t>
      </w:r>
      <w:r>
        <w:rPr>
          <w:rFonts w:hint="eastAsia"/>
        </w:rPr>
        <w:t>，乙方以银行、保险公司出具保函形式提交履约保证金的，甲方不得拒收。</w:t>
      </w:r>
    </w:p>
    <w:p>
      <w:pPr>
        <w:snapToGrid w:val="0"/>
        <w:spacing w:line="360" w:lineRule="auto"/>
        <w:ind w:firstLine="480" w:firstLineChars="200"/>
        <w:rPr>
          <w:rFonts w:ascii="宋体" w:hAnsi="宋体"/>
          <w:sz w:val="24"/>
        </w:rPr>
      </w:pPr>
      <w:r>
        <w:rPr>
          <w:rFonts w:ascii="宋体" w:hAnsi="宋体"/>
          <w:sz w:val="24"/>
        </w:rPr>
        <w:t>2.18.</w:t>
      </w:r>
      <w:r>
        <w:rPr>
          <w:rFonts w:hint="eastAsia" w:ascii="宋体" w:hAnsi="宋体"/>
          <w:sz w:val="24"/>
        </w:rPr>
        <w:t>2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宋体" w:hAnsi="宋体"/>
        </w:rPr>
      </w:pPr>
      <w:r>
        <w:rPr>
          <w:rFonts w:ascii="宋体" w:hAnsi="宋体"/>
          <w:sz w:val="24"/>
        </w:rPr>
        <w:t>2.18.</w:t>
      </w:r>
      <w:r>
        <w:rPr>
          <w:rFonts w:hint="eastAsia" w:ascii="宋体" w:hAnsi="宋体"/>
          <w:sz w:val="24"/>
        </w:rPr>
        <w:t>3甲方</w:t>
      </w:r>
      <w:r>
        <w:rPr>
          <w:rFonts w:ascii="宋体" w:hAnsi="宋体"/>
          <w:sz w:val="24"/>
        </w:rPr>
        <w:t>在</w:t>
      </w:r>
      <w:r>
        <w:rPr>
          <w:rFonts w:hint="eastAsia" w:ascii="宋体" w:hAnsi="宋体"/>
          <w:sz w:val="24"/>
        </w:rPr>
        <w:t>乙方</w:t>
      </w:r>
      <w:r>
        <w:rPr>
          <w:rFonts w:ascii="宋体" w:hAnsi="宋体"/>
          <w:sz w:val="24"/>
        </w:rPr>
        <w:t>履行完合同约定义务事项后及时退还，延迟退还的，应当按照合同约定和法律规定承担相应的赔偿责任。</w:t>
      </w:r>
    </w:p>
    <w:p>
      <w:pPr>
        <w:snapToGrid w:val="0"/>
        <w:spacing w:line="360" w:lineRule="auto"/>
        <w:ind w:firstLine="482" w:firstLineChars="200"/>
        <w:rPr>
          <w:rFonts w:ascii="宋体" w:hAnsi="宋体"/>
          <w:sz w:val="24"/>
        </w:rPr>
      </w:pPr>
      <w:r>
        <w:rPr>
          <w:rFonts w:ascii="宋体" w:hAnsi="宋体"/>
          <w:b/>
          <w:bCs/>
          <w:sz w:val="24"/>
        </w:rPr>
        <w:t>2.19</w:t>
      </w:r>
      <w:r>
        <w:rPr>
          <w:rFonts w:ascii="宋体" w:hAnsi="宋体"/>
          <w:sz w:val="24"/>
        </w:rPr>
        <w:t>对于因甲方原因导致变更、中止或者终止采购合同的，甲方应当依照合同约定对供应商受到的损失予以赔偿或者补偿</w:t>
      </w:r>
      <w:r>
        <w:rPr>
          <w:rFonts w:hint="eastAsia" w:ascii="宋体" w:hAnsi="宋体"/>
          <w:sz w:val="24"/>
        </w:rPr>
        <w:t>。</w:t>
      </w:r>
    </w:p>
    <w:p>
      <w:pPr>
        <w:snapToGrid w:val="0"/>
        <w:spacing w:line="360" w:lineRule="auto"/>
        <w:ind w:firstLine="482" w:firstLineChars="200"/>
        <w:rPr>
          <w:rFonts w:ascii="宋体" w:hAnsi="宋体"/>
          <w:b/>
          <w:sz w:val="24"/>
        </w:rPr>
      </w:pPr>
      <w:r>
        <w:rPr>
          <w:rFonts w:ascii="宋体" w:hAnsi="宋体"/>
          <w:b/>
          <w:sz w:val="24"/>
        </w:rPr>
        <w:t>2.20合同份数</w:t>
      </w:r>
    </w:p>
    <w:p>
      <w:pPr>
        <w:snapToGrid w:val="0"/>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pStyle w:val="704"/>
        <w:spacing w:line="560" w:lineRule="exact"/>
        <w:ind w:firstLine="482"/>
        <w:jc w:val="center"/>
        <w:rPr>
          <w:rFonts w:ascii="宋体" w:hAnsi="宋体" w:cs="宋体"/>
          <w:b/>
          <w:szCs w:val="24"/>
        </w:rPr>
      </w:pPr>
      <w:bookmarkStart w:id="526" w:name="_Toc331685784"/>
      <w:bookmarkEnd w:id="526"/>
    </w:p>
    <w:p>
      <w:pPr>
        <w:pStyle w:val="704"/>
        <w:spacing w:line="560" w:lineRule="exact"/>
        <w:ind w:left="0" w:leftChars="0" w:firstLine="0" w:firstLineChars="0"/>
        <w:rPr>
          <w:rFonts w:ascii="宋体" w:hAnsi="宋体" w:cs="宋体"/>
          <w:b/>
          <w:szCs w:val="24"/>
        </w:rPr>
      </w:pPr>
    </w:p>
    <w:p>
      <w:pPr>
        <w:rPr>
          <w:rFonts w:ascii="宋体" w:hAnsi="宋体" w:cs="宋体"/>
          <w:b/>
        </w:rPr>
      </w:pPr>
      <w:r>
        <w:rPr>
          <w:rFonts w:hint="eastAsia" w:ascii="宋体" w:hAnsi="宋体" w:cs="宋体"/>
          <w:b/>
        </w:rPr>
        <w:br w:type="page"/>
      </w:r>
    </w:p>
    <w:p>
      <w:pPr>
        <w:pStyle w:val="704"/>
        <w:spacing w:line="560" w:lineRule="exact"/>
        <w:ind w:left="0" w:leftChars="0" w:firstLine="0" w:firstLineChars="0"/>
        <w:jc w:val="center"/>
        <w:rPr>
          <w:rFonts w:ascii="宋体" w:hAnsi="宋体" w:cs="宋体"/>
          <w:b/>
          <w:szCs w:val="24"/>
        </w:rPr>
      </w:pPr>
      <w:r>
        <w:rPr>
          <w:rFonts w:hint="eastAsia" w:ascii="宋体" w:hAnsi="宋体" w:cs="宋体"/>
          <w:b/>
          <w:szCs w:val="24"/>
        </w:rPr>
        <w:t>第三部分  合同专用条款</w:t>
      </w:r>
    </w:p>
    <w:p>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1"/>
        <w:tblW w:w="521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6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47" w:type="pct"/>
            <w:tcBorders>
              <w:left w:val="single" w:color="auto" w:sz="4" w:space="0"/>
            </w:tcBorders>
            <w:noWrap/>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53" w:type="pct"/>
            <w:noWrap/>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1.4.3</w:t>
            </w:r>
          </w:p>
        </w:tc>
        <w:tc>
          <w:tcPr>
            <w:tcW w:w="4553"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4"/>
                <w:szCs w:val="24"/>
              </w:rPr>
            </w:pPr>
            <w:r>
              <w:rPr>
                <w:rFonts w:hint="eastAsia" w:ascii="宋体" w:hAnsi="宋体" w:eastAsia="宋体" w:cs="宋体"/>
                <w:bCs/>
                <w:sz w:val="24"/>
                <w:szCs w:val="24"/>
              </w:rPr>
              <w:t>（1）业主单位按季付款，余款在当年合同履行完毕且无异议后一周内付清。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eastAsia="宋体" w:cs="宋体"/>
                <w:bCs/>
                <w:sz w:val="24"/>
                <w:szCs w:val="24"/>
              </w:rPr>
              <w:t>（2）中标单位的考核扣款应在季度付款中相应扣除。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 xml:space="preserve">1.5.1 </w:t>
            </w:r>
          </w:p>
        </w:tc>
        <w:tc>
          <w:tcPr>
            <w:tcW w:w="4553" w:type="pct"/>
            <w:noWrap/>
            <w:vAlign w:val="center"/>
          </w:tcPr>
          <w:p>
            <w:pPr>
              <w:snapToGrid w:val="0"/>
              <w:spacing w:line="480" w:lineRule="exact"/>
              <w:rPr>
                <w:rFonts w:hint="default" w:ascii="宋体" w:hAnsi="宋体" w:cs="宋体"/>
                <w:lang w:val="en-US"/>
              </w:rPr>
            </w:pPr>
            <w:r>
              <w:rPr>
                <w:rFonts w:hint="eastAsia" w:ascii="宋体" w:hAnsi="宋体" w:cs="宋体"/>
                <w:bCs/>
                <w:sz w:val="24"/>
                <w:lang w:eastAsia="zh-CN"/>
              </w:rPr>
              <w:t>合同签订后1年。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1.5.2</w:t>
            </w:r>
          </w:p>
        </w:tc>
        <w:tc>
          <w:tcPr>
            <w:tcW w:w="4553" w:type="pct"/>
            <w:noWrap/>
            <w:vAlign w:val="center"/>
          </w:tcPr>
          <w:p>
            <w:pPr>
              <w:spacing w:line="360" w:lineRule="auto"/>
              <w:rPr>
                <w:rFonts w:ascii="宋体" w:hAnsi="宋体" w:cs="宋体"/>
                <w:sz w:val="24"/>
              </w:rPr>
            </w:pPr>
            <w:r>
              <w:rPr>
                <w:rFonts w:hint="eastAsia" w:ascii="宋体" w:hAnsi="宋体" w:cs="宋体"/>
                <w:sz w:val="24"/>
                <w:szCs w:val="24"/>
                <w:lang w:val="en-US" w:eastAsia="zh-CN"/>
              </w:rPr>
              <w:t>桐庐县横村镇，具体地点听从采购人指挥。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 xml:space="preserve">1.5.3 </w:t>
            </w:r>
          </w:p>
        </w:tc>
        <w:tc>
          <w:tcPr>
            <w:tcW w:w="4553" w:type="pct"/>
            <w:noWrap/>
            <w:vAlign w:val="center"/>
          </w:tcPr>
          <w:p>
            <w:pPr>
              <w:spacing w:line="360" w:lineRule="auto"/>
              <w:rPr>
                <w:rFonts w:ascii="宋体" w:hAnsi="宋体" w:cs="宋体"/>
                <w:sz w:val="24"/>
              </w:rPr>
            </w:pPr>
            <w:r>
              <w:rPr>
                <w:rFonts w:hint="eastAsia" w:ascii="宋体" w:hAnsi="宋体" w:cs="宋体"/>
                <w:sz w:val="24"/>
              </w:rPr>
              <w:t>按项目服务要求提供服务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1.6.6</w:t>
            </w:r>
          </w:p>
        </w:tc>
        <w:tc>
          <w:tcPr>
            <w:tcW w:w="4553" w:type="pct"/>
            <w:noWrap/>
            <w:vAlign w:val="center"/>
          </w:tcPr>
          <w:p>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1．甲方无正当理由拒收接受服务的，甲方向乙方偿付合同款项百分之五作为违约金。</w:t>
            </w:r>
          </w:p>
          <w:p>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2．甲方无故逾期验收和办理款项支付手续的,甲方应按逾期付款总额每日万分之</w:t>
            </w:r>
          </w:p>
          <w:p>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五向乙方支付违约金。</w:t>
            </w:r>
          </w:p>
          <w:p>
            <w:pPr>
              <w:numPr>
                <w:ilvl w:val="0"/>
                <w:numId w:val="0"/>
              </w:numPr>
              <w:spacing w:line="360" w:lineRule="auto"/>
              <w:jc w:val="both"/>
              <w:rPr>
                <w:rFonts w:hint="eastAsia" w:ascii="Calibri" w:hAnsi="Calibri" w:eastAsia="宋体"/>
                <w:sz w:val="24"/>
                <w:lang w:val="en-US" w:eastAsia="zh-CN"/>
              </w:rPr>
            </w:pPr>
            <w:r>
              <w:rPr>
                <w:rFonts w:hint="eastAsia" w:ascii="宋体" w:hAnsi="宋体" w:eastAsia="宋体" w:cs="宋体"/>
                <w:b w:val="0"/>
                <w:bCs w:val="0"/>
                <w:color w:val="auto"/>
                <w:kern w:val="2"/>
                <w:sz w:val="24"/>
                <w:lang w:val="en-US" w:eastAsia="zh-CN"/>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1.7</w:t>
            </w:r>
          </w:p>
        </w:tc>
        <w:tc>
          <w:tcPr>
            <w:tcW w:w="4553" w:type="pct"/>
            <w:noWrap/>
            <w:vAlign w:val="center"/>
          </w:tcPr>
          <w:p>
            <w:pPr>
              <w:spacing w:line="360" w:lineRule="auto"/>
              <w:rPr>
                <w:rFonts w:ascii="宋体" w:hAnsi="宋体" w:cs="宋体"/>
                <w:sz w:val="24"/>
              </w:rPr>
            </w:pPr>
            <w:r>
              <w:rPr>
                <w:rFonts w:hint="eastAsia" w:ascii="宋体" w:hAnsi="宋体" w:cs="宋体"/>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1.7.1</w:t>
            </w:r>
          </w:p>
        </w:tc>
        <w:tc>
          <w:tcPr>
            <w:tcW w:w="4553" w:type="pct"/>
            <w:noWrap/>
            <w:vAlign w:val="center"/>
          </w:tcPr>
          <w:p>
            <w:pPr>
              <w:spacing w:line="360" w:lineRule="auto"/>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1.7.2</w:t>
            </w:r>
          </w:p>
        </w:tc>
        <w:tc>
          <w:tcPr>
            <w:tcW w:w="4553" w:type="pct"/>
            <w:noWrap/>
            <w:vAlign w:val="center"/>
          </w:tcPr>
          <w:p>
            <w:pPr>
              <w:spacing w:line="360" w:lineRule="auto"/>
              <w:rPr>
                <w:rFonts w:ascii="宋体" w:hAnsi="宋体" w:cs="宋体"/>
                <w:sz w:val="24"/>
              </w:rPr>
            </w:pPr>
            <w:r>
              <w:rPr>
                <w:rFonts w:hint="eastAsia" w:ascii="宋体" w:hAnsi="宋体" w:cs="宋体"/>
                <w:sz w:val="24"/>
              </w:rPr>
              <w:t>桐庐县人民法院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2.3.2</w:t>
            </w:r>
          </w:p>
        </w:tc>
        <w:tc>
          <w:tcPr>
            <w:tcW w:w="4553" w:type="pct"/>
            <w:noWrap/>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合同涉及技术成果的归属和收益采购人所有。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53" w:type="pct"/>
            <w:noWrap/>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详见1.4.3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53" w:type="pct"/>
            <w:noWrap/>
            <w:vAlign w:val="center"/>
          </w:tcPr>
          <w:p>
            <w:pPr>
              <w:spacing w:line="360" w:lineRule="auto"/>
              <w:rPr>
                <w:rFonts w:ascii="宋体" w:hAnsi="宋体" w:cs="宋体"/>
                <w:sz w:val="24"/>
              </w:rPr>
            </w:pPr>
            <w:r>
              <w:rPr>
                <w:rFonts w:hint="eastAsia" w:ascii="宋体" w:hAnsi="宋体"/>
                <w:sz w:val="24"/>
              </w:rPr>
              <w:t>因</w:t>
            </w:r>
            <w:r>
              <w:rPr>
                <w:rFonts w:ascii="宋体" w:hAnsi="宋体"/>
                <w:sz w:val="24"/>
              </w:rPr>
              <w:t>不可抗力致使合同有变更必要的，双方当事人应在</w:t>
            </w:r>
            <w:r>
              <w:rPr>
                <w:rFonts w:hint="eastAsia" w:ascii="宋体" w:hAnsi="宋体"/>
                <w:sz w:val="24"/>
              </w:rPr>
              <w:t>30天</w:t>
            </w:r>
            <w:r>
              <w:rPr>
                <w:rFonts w:ascii="宋体" w:hAnsi="宋体"/>
                <w:sz w:val="24"/>
              </w:rPr>
              <w:t>内以书面形式变更合同</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4553" w:type="pct"/>
            <w:noWrap/>
          </w:tcPr>
          <w:p>
            <w:pPr>
              <w:spacing w:line="360" w:lineRule="auto"/>
              <w:rPr>
                <w:rFonts w:ascii="宋体" w:hAnsi="宋体" w:cs="宋体"/>
                <w:sz w:val="24"/>
              </w:rPr>
            </w:pPr>
            <w:r>
              <w:rPr>
                <w:rFonts w:hint="eastAsia" w:ascii="宋体" w:hAnsi="宋体"/>
                <w:sz w:val="24"/>
              </w:rPr>
              <w:t>受不可抗力影响的一方在不可抗力发生后，应在</w:t>
            </w:r>
            <w:r>
              <w:rPr>
                <w:rFonts w:hint="eastAsia" w:ascii="宋体" w:hAnsi="宋体"/>
                <w:sz w:val="24"/>
                <w:u w:val="single"/>
              </w:rPr>
              <w:t>15</w:t>
            </w:r>
            <w:r>
              <w:rPr>
                <w:rFonts w:hint="eastAsia" w:ascii="宋体" w:hAnsi="宋体"/>
                <w:sz w:val="24"/>
              </w:rPr>
              <w:t>日内以书面形式通知对方当事人，并在</w:t>
            </w:r>
            <w:r>
              <w:rPr>
                <w:rFonts w:hint="eastAsia" w:ascii="宋体" w:hAnsi="宋体"/>
                <w:sz w:val="24"/>
                <w:u w:val="single"/>
              </w:rPr>
              <w:t>15</w:t>
            </w:r>
            <w:r>
              <w:rPr>
                <w:rFonts w:hint="eastAsia" w:ascii="宋体" w:hAnsi="宋体"/>
                <w:sz w:val="24"/>
              </w:rPr>
              <w:t>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53" w:type="pct"/>
            <w:noWrap/>
            <w:vAlign w:val="center"/>
          </w:tcPr>
          <w:p>
            <w:pPr>
              <w:spacing w:line="360" w:lineRule="auto"/>
              <w:rPr>
                <w:rFonts w:ascii="宋体" w:hAnsi="宋体" w:cs="宋体"/>
                <w:sz w:val="24"/>
              </w:rPr>
            </w:pPr>
            <w:r>
              <w:rPr>
                <w:rFonts w:hint="eastAsia" w:ascii="宋体" w:hAnsi="宋体" w:cs="宋体"/>
                <w:sz w:val="24"/>
              </w:rPr>
              <w:t>按相关标准进行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53" w:type="pct"/>
            <w:noWrap/>
            <w:vAlign w:val="center"/>
          </w:tcPr>
          <w:p>
            <w:pPr>
              <w:spacing w:line="360" w:lineRule="auto"/>
              <w:rPr>
                <w:rFonts w:ascii="宋体" w:hAnsi="宋体" w:cs="宋体"/>
                <w:sz w:val="24"/>
              </w:rPr>
            </w:pPr>
            <w:r>
              <w:rPr>
                <w:rFonts w:hint="eastAsia" w:ascii="宋体" w:hAnsi="宋体" w:cs="宋体"/>
                <w:sz w:val="24"/>
              </w:rPr>
              <w:t>按相关标准进行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47" w:type="pct"/>
            <w:tcBorders>
              <w:left w:val="single" w:color="auto" w:sz="4" w:space="0"/>
            </w:tcBorders>
            <w:noWrap/>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53" w:type="pct"/>
            <w:noWrap/>
            <w:vAlign w:val="center"/>
          </w:tcPr>
          <w:p>
            <w:pPr>
              <w:spacing w:before="156" w:line="360" w:lineRule="auto"/>
              <w:rPr>
                <w:rFonts w:hint="eastAsia" w:ascii="宋体" w:hAnsi="宋体" w:eastAsia="宋体" w:cs="宋体"/>
                <w:sz w:val="24"/>
                <w:lang w:eastAsia="zh-CN"/>
              </w:rPr>
            </w:pPr>
            <w:r>
              <w:rPr>
                <w:rFonts w:hint="eastAsia" w:ascii="宋体" w:hAnsi="宋体" w:cs="宋体"/>
                <w:sz w:val="24"/>
              </w:rPr>
              <w:t>本项目</w:t>
            </w:r>
            <w:r>
              <w:rPr>
                <w:rFonts w:hint="eastAsia" w:ascii="宋体" w:hAnsi="宋体" w:cs="宋体"/>
                <w:sz w:val="24"/>
                <w:lang w:eastAsia="zh-CN"/>
              </w:rPr>
              <w:t>不需要缴纳履约保证金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47" w:type="pct"/>
            <w:tcBorders>
              <w:left w:val="single" w:color="auto" w:sz="4" w:space="0"/>
            </w:tcBorders>
            <w:noWrap/>
          </w:tcPr>
          <w:p>
            <w:pPr>
              <w:spacing w:line="360" w:lineRule="auto"/>
              <w:rPr>
                <w:rFonts w:ascii="宋体" w:hAnsi="宋体" w:cs="宋体"/>
                <w:sz w:val="24"/>
              </w:rPr>
            </w:pPr>
            <w:r>
              <w:rPr>
                <w:rFonts w:hint="eastAsia" w:ascii="宋体" w:hAnsi="宋体" w:cs="宋体"/>
                <w:sz w:val="24"/>
              </w:rPr>
              <w:t>2.20</w:t>
            </w:r>
          </w:p>
        </w:tc>
        <w:tc>
          <w:tcPr>
            <w:tcW w:w="4553" w:type="pct"/>
            <w:noWrap/>
          </w:tcPr>
          <w:p>
            <w:pPr>
              <w:spacing w:line="360" w:lineRule="auto"/>
              <w:rPr>
                <w:rFonts w:ascii="宋体" w:hAnsi="宋体" w:cs="宋体"/>
                <w:sz w:val="24"/>
              </w:rPr>
            </w:pPr>
            <w:r>
              <w:rPr>
                <w:rFonts w:hint="eastAsia" w:ascii="宋体" w:hAnsi="宋体" w:cs="宋体"/>
                <w:sz w:val="24"/>
                <w:lang w:eastAsia="zh-CN"/>
              </w:rPr>
              <w:t>一式陆份</w:t>
            </w:r>
            <w:r>
              <w:rPr>
                <w:rFonts w:hint="eastAsia" w:ascii="宋体" w:hAnsi="宋体" w:cs="宋体"/>
                <w:sz w:val="24"/>
              </w:rPr>
              <w:t>，甲、乙双方各执</w:t>
            </w:r>
            <w:r>
              <w:rPr>
                <w:rFonts w:hint="eastAsia" w:ascii="宋体" w:hAnsi="宋体" w:cs="宋体"/>
                <w:sz w:val="24"/>
                <w:lang w:eastAsia="zh-CN"/>
              </w:rPr>
              <w:t>贰</w:t>
            </w:r>
            <w:r>
              <w:rPr>
                <w:rFonts w:hint="eastAsia" w:ascii="宋体" w:hAnsi="宋体" w:cs="宋体"/>
                <w:sz w:val="24"/>
              </w:rPr>
              <w:t>份</w:t>
            </w:r>
            <w:r>
              <w:rPr>
                <w:rFonts w:hint="eastAsia" w:ascii="宋体" w:hAnsi="宋体" w:cs="宋体"/>
                <w:sz w:val="24"/>
                <w:lang w:eastAsia="zh-CN"/>
              </w:rPr>
              <w:t>，其余贰份由招标代理公司移交监督管理部门保存</w:t>
            </w:r>
            <w:r>
              <w:rPr>
                <w:rFonts w:hint="eastAsia" w:ascii="宋体" w:hAnsi="宋体" w:cs="宋体"/>
                <w:sz w:val="24"/>
              </w:rPr>
              <w:t>。</w:t>
            </w:r>
          </w:p>
        </w:tc>
      </w:tr>
    </w:tbl>
    <w:p>
      <w:pPr>
        <w:spacing w:line="360" w:lineRule="auto"/>
        <w:outlineLvl w:val="0"/>
        <w:rPr>
          <w:rFonts w:cs="宋体" w:asciiTheme="minorEastAsia" w:hAnsiTheme="minorEastAsia" w:eastAsiaTheme="minorEastAsia"/>
          <w:b/>
          <w:sz w:val="36"/>
          <w:szCs w:val="20"/>
        </w:rPr>
        <w:sectPr>
          <w:headerReference r:id="rId10" w:type="first"/>
          <w:footerReference r:id="rId12" w:type="first"/>
          <w:headerReference r:id="rId9" w:type="default"/>
          <w:footerReference r:id="rId11" w:type="default"/>
          <w:pgSz w:w="11906" w:h="16838"/>
          <w:pgMar w:top="1440" w:right="1418" w:bottom="1440" w:left="1418" w:header="851" w:footer="992" w:gutter="0"/>
          <w:cols w:space="0" w:num="1"/>
          <w:titlePg/>
          <w:docGrid w:linePitch="312" w:charSpace="0"/>
        </w:sectPr>
      </w:pPr>
    </w:p>
    <w:p>
      <w:pPr>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86"/>
      <w:bookmarkEnd w:id="387"/>
      <w:r>
        <w:rPr>
          <w:rFonts w:hint="eastAsia" w:cs="宋体" w:asciiTheme="minorEastAsia" w:hAnsiTheme="minorEastAsia" w:eastAsiaTheme="minorEastAsia"/>
          <w:b/>
          <w:sz w:val="36"/>
          <w:szCs w:val="20"/>
        </w:rPr>
        <w:t>应提交的有关格式范例</w:t>
      </w:r>
    </w:p>
    <w:p>
      <w:pPr>
        <w:spacing w:line="360" w:lineRule="auto"/>
        <w:jc w:val="center"/>
        <w:outlineLvl w:val="0"/>
        <w:rPr>
          <w:rFonts w:cs="宋体" w:asciiTheme="minorEastAsia" w:hAnsiTheme="minorEastAsia" w:eastAsiaTheme="minorEastAsia"/>
          <w:b/>
          <w:kern w:val="0"/>
          <w:sz w:val="36"/>
          <w:szCs w:val="36"/>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cs="宋体" w:asciiTheme="minorEastAsia" w:hAnsiTheme="minorEastAsia" w:eastAsiaTheme="minorEastAsia"/>
          <w:snapToGrid w:val="0"/>
          <w:kern w:val="28"/>
          <w:sz w:val="24"/>
          <w:szCs w:val="20"/>
        </w:rPr>
        <w:t>联合协议（如果有）</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b/>
          <w:sz w:val="24"/>
        </w:rPr>
      </w:pPr>
    </w:p>
    <w:p>
      <w:pPr>
        <w:widowControl/>
        <w:spacing w:line="360" w:lineRule="auto"/>
        <w:ind w:left="150"/>
        <w:jc w:val="center"/>
        <w:rPr>
          <w:rFonts w:cs="宋体" w:asciiTheme="minorEastAsia" w:hAnsiTheme="minorEastAsia" w:eastAsiaTheme="minorEastAsia"/>
          <w:b/>
          <w:kern w:val="0"/>
          <w:sz w:val="32"/>
          <w:szCs w:val="32"/>
        </w:rPr>
      </w:pPr>
    </w:p>
    <w:p>
      <w:pPr>
        <w:pStyle w:val="35"/>
        <w:rPr>
          <w:rFonts w:asciiTheme="minorEastAsia" w:hAnsiTheme="minorEastAsia" w:eastAsiaTheme="minorEastAsia"/>
        </w:rPr>
      </w:pPr>
    </w:p>
    <w:p>
      <w:pPr>
        <w:widowControl/>
        <w:spacing w:line="360" w:lineRule="auto"/>
        <w:ind w:left="150"/>
        <w:jc w:val="center"/>
        <w:rPr>
          <w:rFonts w:cs="宋体" w:asciiTheme="minorEastAsia" w:hAnsiTheme="minorEastAsia" w:eastAsiaTheme="minorEastAsia"/>
          <w:b/>
          <w:kern w:val="0"/>
          <w:sz w:val="32"/>
          <w:szCs w:val="32"/>
        </w:rPr>
      </w:pPr>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spacing w:line="360" w:lineRule="auto"/>
        <w:ind w:right="420"/>
        <w:jc w:val="center"/>
        <w:rPr>
          <w:rFonts w:cs="宋体" w:asciiTheme="minorEastAsia" w:hAnsiTheme="minorEastAsia" w:eastAsiaTheme="minorEastAsia"/>
          <w:b/>
          <w:kern w:val="0"/>
          <w:sz w:val="36"/>
          <w:szCs w:val="36"/>
        </w:rPr>
        <w:sectPr>
          <w:pgSz w:w="11906" w:h="16838"/>
          <w:pgMar w:top="1440" w:right="1418" w:bottom="1440" w:left="1418" w:header="851" w:footer="992" w:gutter="0"/>
          <w:cols w:space="0" w:num="1"/>
          <w:titlePg/>
          <w:docGrid w:linePitch="312" w:charSpace="0"/>
        </w:sectPr>
      </w:pPr>
    </w:p>
    <w:p>
      <w:pPr>
        <w:spacing w:line="360" w:lineRule="auto"/>
        <w:ind w:right="420"/>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30"/>
          <w:szCs w:val="30"/>
        </w:rPr>
      </w:pPr>
      <w:r>
        <w:rPr>
          <w:rFonts w:cs="宋体" w:asciiTheme="minorEastAsia" w:hAnsiTheme="minorEastAsia" w:eastAsiaTheme="minorEastAsia"/>
          <w:b/>
          <w:kern w:val="0"/>
          <w:sz w:val="30"/>
          <w:szCs w:val="30"/>
        </w:rPr>
        <w:t>目录</w:t>
      </w:r>
    </w:p>
    <w:p>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w:t>
      </w:r>
      <w:r>
        <w:rPr>
          <w:rFonts w:hint="eastAsia" w:cs="宋体" w:asciiTheme="minorEastAsia" w:hAnsiTheme="minorEastAsia" w:eastAsiaTheme="minorEastAsia"/>
          <w:sz w:val="24"/>
        </w:rPr>
        <w:t>（页码）（2）授权委托书或法定代表人（单位负责人、自然人本人）身份证明……（页码）（3）分包意向协议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（4）符合性审查资料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（5）评标标准相应的商务技术资料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（6）商务技术偏离表</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jc w:val="center"/>
        <w:outlineLvl w:val="0"/>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pPr>
        <w:snapToGrid w:val="0"/>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2.2.6商务技术偏离表；</w:t>
      </w:r>
    </w:p>
    <w:p>
      <w:pPr>
        <w:snapToGrid w:val="0"/>
        <w:spacing w:line="276"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p>
    <w:p>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jc w:val="center"/>
        <w:rPr>
          <w:rFonts w:cs="宋体" w:asciiTheme="minorEastAsia" w:hAnsiTheme="minorEastAsia" w:eastAsiaTheme="minorEastAsia"/>
          <w:b/>
          <w:kern w:val="0"/>
          <w:sz w:val="32"/>
          <w:szCs w:val="32"/>
          <w:lang w:val="zh-CN"/>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kern w:val="0"/>
          <w:sz w:val="24"/>
          <w:lang w:val="zh-CN"/>
        </w:rPr>
      </w:pPr>
    </w:p>
    <w:p>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155"/>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155"/>
              <w:adjustRightInd w:val="0"/>
              <w:spacing w:line="360" w:lineRule="auto"/>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p>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w:t>
      </w:r>
    </w:p>
    <w:p>
      <w:pPr>
        <w:widowControl/>
        <w:spacing w:line="360" w:lineRule="auto"/>
        <w:ind w:firstLine="120" w:firstLineChars="50"/>
        <w:jc w:val="left"/>
        <w:rPr>
          <w:rFonts w:cs="宋体" w:asciiTheme="minorEastAsia" w:hAnsiTheme="minorEastAsia" w:eastAsiaTheme="minorEastAsia"/>
          <w:sz w:val="24"/>
        </w:rPr>
      </w:pPr>
      <w:bookmarkStart w:id="527"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bookmarkEnd w:id="527"/>
    <w:p>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pPr>
        <w:jc w:val="center"/>
        <w:rPr>
          <w:rFonts w:cs="宋体" w:asciiTheme="minorEastAsia" w:hAnsiTheme="minorEastAsia" w:eastAsiaTheme="minorEastAsia"/>
          <w:b/>
          <w:kern w:val="0"/>
          <w:sz w:val="32"/>
          <w:szCs w:val="32"/>
        </w:rPr>
      </w:pPr>
    </w:p>
    <w:tbl>
      <w:tblPr>
        <w:tblStyle w:val="71"/>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jc w:val="center"/>
              <w:rPr>
                <w:rFonts w:cs="宋体" w:asciiTheme="minorEastAsia" w:hAnsiTheme="minorEastAsia" w:eastAsiaTheme="minorEastAsia"/>
              </w:rPr>
            </w:pPr>
            <w:r>
              <w:rPr>
                <w:rFonts w:hint="eastAsia" w:cs="宋体"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pStyle w:val="2"/>
              <w:jc w:val="center"/>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pPr>
        <w:snapToGrid w:val="0"/>
        <w:spacing w:line="360" w:lineRule="auto"/>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六、商务技术偏离表</w:t>
      </w:r>
    </w:p>
    <w:tbl>
      <w:tblPr>
        <w:tblStyle w:val="7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ind w:firstLine="1911" w:firstLineChars="595"/>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jc w:val="center"/>
        <w:rPr>
          <w:rFonts w:cs="宋体" w:asciiTheme="minorEastAsia" w:hAnsiTheme="minorEastAsia" w:eastAsiaTheme="minorEastAsia"/>
          <w:b/>
          <w:bCs/>
          <w:sz w:val="24"/>
        </w:rPr>
        <w:sectPr>
          <w:pgSz w:w="11906" w:h="16838"/>
          <w:pgMar w:top="1440" w:right="1418" w:bottom="1440" w:left="1418" w:header="851" w:footer="992" w:gutter="0"/>
          <w:cols w:space="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（2）中小企业声明函………………………………………………………………（页码）</w:t>
      </w: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7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pPr>
              <w:spacing w:line="360" w:lineRule="auto"/>
              <w:jc w:val="center"/>
              <w:rPr>
                <w:rFonts w:cs="宋体" w:asciiTheme="minorEastAsia" w:hAnsiTheme="minorEastAsia" w:eastAsiaTheme="minorEastAsia"/>
                <w:sz w:val="24"/>
              </w:rPr>
            </w:pPr>
          </w:p>
        </w:tc>
      </w:tr>
    </w:tbl>
    <w:p>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pPr>
        <w:spacing w:line="360" w:lineRule="auto"/>
        <w:ind w:left="-2" w:leftChars="-1"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cs="宋体" w:asciiTheme="minorEastAsia" w:hAnsiTheme="minorEastAsia" w:eastAsiaTheme="minorEastAsia"/>
          <w:b/>
          <w:kern w:val="0"/>
          <w:sz w:val="24"/>
        </w:rPr>
      </w:pP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tabs>
          <w:tab w:val="left" w:pos="8085"/>
        </w:tabs>
        <w:spacing w:line="360" w:lineRule="auto"/>
        <w:ind w:firstLine="1285" w:firstLineChars="400"/>
        <w:jc w:val="left"/>
        <w:rPr>
          <w:rFonts w:cs="宋体" w:asciiTheme="minorEastAsia" w:hAnsiTheme="minorEastAsia" w:eastAsiaTheme="minorEastAsia"/>
          <w:b/>
          <w:sz w:val="32"/>
          <w:szCs w:val="32"/>
        </w:rPr>
        <w:sectPr>
          <w:headerReference r:id="rId18" w:type="first"/>
          <w:footerReference r:id="rId21" w:type="first"/>
          <w:headerReference r:id="rId17" w:type="default"/>
          <w:footerReference r:id="rId19" w:type="default"/>
          <w:footerReference r:id="rId20" w:type="even"/>
          <w:pgSz w:w="11906" w:h="16838"/>
          <w:pgMar w:top="1440" w:right="1418" w:bottom="1440" w:left="1418" w:header="851" w:footer="992" w:gutter="0"/>
          <w:cols w:space="0" w:num="1"/>
          <w:titlePg/>
          <w:docGrid w:linePitch="312" w:charSpace="0"/>
        </w:sectPr>
      </w:pPr>
    </w:p>
    <w:p>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pPr>
        <w:pStyle w:val="2"/>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pPr>
        <w:pStyle w:val="2"/>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cs="宋体" w:asciiTheme="minorEastAsia" w:hAnsiTheme="minorEastAsia" w:eastAsiaTheme="minorEastAsia"/>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528" w:name="_Toc465665161"/>
      <w:r>
        <w:rPr>
          <w:rFonts w:hint="eastAsia" w:cs="宋体" w:asciiTheme="minorEastAsia" w:hAnsiTheme="minorEastAsia" w:eastAsiaTheme="minorEastAsia"/>
        </w:rPr>
        <w:t>附件</w:t>
      </w:r>
      <w:bookmarkEnd w:id="528"/>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529" w:name="OLE_LINK13"/>
      <w:bookmarkStart w:id="530" w:name="OLE_LINK14"/>
      <w:r>
        <w:rPr>
          <w:rFonts w:hint="eastAsia" w:cs="宋体" w:asciiTheme="minorEastAsia" w:hAnsiTheme="minorEastAsia" w:eastAsiaTheme="minorEastAsia"/>
          <w:b/>
          <w:spacing w:val="6"/>
          <w:sz w:val="32"/>
          <w:szCs w:val="32"/>
        </w:rPr>
        <w:t>残疾人福利性单位声明函</w:t>
      </w:r>
    </w:p>
    <w:bookmarkEnd w:id="529"/>
    <w:bookmarkEnd w:id="530"/>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pPr>
        <w:snapToGrid w:val="0"/>
        <w:spacing w:line="360" w:lineRule="auto"/>
        <w:rPr>
          <w:rFonts w:cs="宋体" w:asciiTheme="minorEastAsia" w:hAnsiTheme="minorEastAsia" w:eastAsiaTheme="minorEastAsia"/>
          <w:sz w:val="24"/>
          <w:u w:val="dotted"/>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pPr>
        <w:spacing w:line="360" w:lineRule="auto"/>
        <w:rPr>
          <w:rFonts w:cs="宋体" w:asciiTheme="minorEastAsia" w:hAnsiTheme="minorEastAsia" w:eastAsiaTheme="minorEastAsia"/>
          <w:sz w:val="24"/>
          <w:u w:val="dotted"/>
        </w:rPr>
      </w:pP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pPr>
        <w:snapToGrid w:val="0"/>
        <w:spacing w:line="360" w:lineRule="auto"/>
        <w:ind w:firstLine="576"/>
        <w:rPr>
          <w:rFonts w:cs="宋体" w:asciiTheme="minorEastAsia" w:hAnsiTheme="minorEastAsia" w:eastAsiaTheme="minorEastAsia"/>
          <w:kern w:val="0"/>
          <w:sz w:val="24"/>
          <w:lang w:val="zh-CN"/>
        </w:rPr>
      </w:pPr>
      <w:bookmarkStart w:id="531"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531"/>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提供的全部货物由小微企业制造，其合同份额占到合同总金额%以上；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firstLine="3666"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2"/>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532" w:name="_Hlk101133173"/>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532"/>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ind w:firstLine="576"/>
        <w:rPr>
          <w:rFonts w:cs="宋体" w:asciiTheme="minorEastAsia" w:hAnsiTheme="minorEastAsia" w:eastAsiaTheme="minorEastAsia"/>
          <w:u w:val="single"/>
        </w:rPr>
      </w:pPr>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ind w:firstLine="576"/>
        <w:rPr>
          <w:rFonts w:cs="宋体" w:asciiTheme="minorEastAsia" w:hAnsiTheme="minorEastAsia" w:eastAsiaTheme="minorEastAsia"/>
          <w:kern w:val="0"/>
          <w:sz w:val="24"/>
          <w:lang w:val="zh-CN"/>
        </w:rPr>
      </w:pPr>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ind w:left="573" w:leftChars="273"/>
        <w:rPr>
          <w:rFonts w:cs="宋体" w:asciiTheme="minorEastAsia" w:hAnsiTheme="minorEastAsia" w:eastAsiaTheme="minorEastAsia"/>
          <w:kern w:val="0"/>
          <w:sz w:val="24"/>
          <w:lang w:val="zh-CN"/>
        </w:rPr>
      </w:pPr>
    </w:p>
    <w:p>
      <w:pPr>
        <w:snapToGrid w:val="0"/>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ind w:firstLine="576"/>
        <w:rPr>
          <w:rFonts w:cs="宋体" w:asciiTheme="minorEastAsia" w:hAnsiTheme="minorEastAsia" w:eastAsiaTheme="minorEastAsia"/>
          <w:kern w:val="0"/>
          <w:sz w:val="24"/>
          <w:lang w:val="zh-CN"/>
        </w:rPr>
      </w:pPr>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pPr>
        <w:snapToGrid w:val="0"/>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附件7：</w:t>
      </w:r>
      <w:r>
        <w:rPr>
          <w:rFonts w:hint="eastAsia" w:cs="宋体" w:asciiTheme="minorEastAsia" w:hAnsiTheme="minorEastAsia" w:eastAsiaTheme="minorEastAsia"/>
          <w:b/>
          <w:sz w:val="32"/>
          <w:szCs w:val="32"/>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中小企业声明函（服务）</w:t>
      </w:r>
    </w:p>
    <w:p>
      <w:pPr>
        <w:spacing w:line="360" w:lineRule="auto"/>
        <w:rPr>
          <w:rFonts w:cs="宋体" w:asciiTheme="minorEastAsia" w:hAnsiTheme="minorEastAsia" w:eastAsiaTheme="minorEastAsia"/>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cs="宋体" w:asciiTheme="minorEastAsia" w:hAnsiTheme="minorEastAsia" w:eastAsiaTheme="minorEastAsia"/>
          <w:bCs/>
          <w:sz w:val="24"/>
        </w:rPr>
      </w:pPr>
    </w:p>
    <w:sectPr>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9"/>
      <w:docPartObj>
        <w:docPartGallery w:val="autotext"/>
      </w:docPartObj>
    </w:sdtPr>
    <w:sdtContent>
      <w:p>
        <w:pPr>
          <w:pStyle w:val="47"/>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4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4"/>
      <w:docPartObj>
        <w:docPartGallery w:val="autotext"/>
      </w:docPartObj>
    </w:sdtPr>
    <w:sdtContent>
      <w:p>
        <w:pPr>
          <w:pStyle w:val="47"/>
          <w:jc w:val="center"/>
        </w:pPr>
        <w:r>
          <w:fldChar w:fldCharType="begin"/>
        </w:r>
        <w:r>
          <w:instrText xml:space="preserve"> PAGE   \* MERGEFORMAT </w:instrText>
        </w:r>
        <w:r>
          <w:fldChar w:fldCharType="separate"/>
        </w:r>
        <w:r>
          <w:rPr>
            <w:lang w:val="zh-CN"/>
          </w:rPr>
          <w:t>59</w:t>
        </w:r>
        <w:r>
          <w:rPr>
            <w:lang w:val="zh-CN"/>
          </w:rPr>
          <w:fldChar w:fldCharType="end"/>
        </w:r>
      </w:p>
    </w:sdtContent>
  </w:sdt>
  <w:p>
    <w:pPr>
      <w:pStyle w:val="47"/>
      <w:jc w:val="center"/>
      <w:rPr>
        <w:rFonts w:ascii="FangSong_GB2312" w:eastAsia="FangSong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7"/>
      <w:docPartObj>
        <w:docPartGallery w:val="autotext"/>
      </w:docPartObj>
    </w:sdtPr>
    <w:sdtContent>
      <w:p>
        <w:pPr>
          <w:pStyle w:val="47"/>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1"/>
      <w:docPartObj>
        <w:docPartGallery w:val="autotext"/>
      </w:docPartObj>
    </w:sdtPr>
    <w:sdtContent>
      <w:p>
        <w:pPr>
          <w:pStyle w:val="47"/>
          <w:jc w:val="center"/>
        </w:pPr>
        <w:r>
          <w:fldChar w:fldCharType="begin"/>
        </w:r>
        <w:r>
          <w:instrText xml:space="preserve"> PAGE   \* MERGEFORMAT </w:instrText>
        </w:r>
        <w:r>
          <w:fldChar w:fldCharType="separate"/>
        </w:r>
        <w:r>
          <w:rPr>
            <w:lang w:val="zh-CN"/>
          </w:rPr>
          <w:t>39</w:t>
        </w:r>
        <w:r>
          <w:rPr>
            <w:lang w:val="zh-CN"/>
          </w:rPr>
          <w:fldChar w:fldCharType="end"/>
        </w:r>
      </w:p>
    </w:sdtContent>
  </w:sdt>
  <w:p>
    <w:pPr>
      <w:jc w:val="cente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0"/>
      <w:docPartObj>
        <w:docPartGallery w:val="autotext"/>
      </w:docPartObj>
    </w:sdtPr>
    <w:sdtContent>
      <w:p>
        <w:pPr>
          <w:pStyle w:val="47"/>
          <w:jc w:val="center"/>
        </w:pPr>
        <w:r>
          <w:fldChar w:fldCharType="begin"/>
        </w:r>
        <w:r>
          <w:instrText xml:space="preserve"> PAGE   \* MERGEFORMAT </w:instrText>
        </w:r>
        <w:r>
          <w:fldChar w:fldCharType="separate"/>
        </w:r>
        <w:r>
          <w:rPr>
            <w:lang w:val="zh-CN"/>
          </w:rPr>
          <w:t>42</w:t>
        </w:r>
        <w:r>
          <w:rPr>
            <w:lang w:val="zh-CN"/>
          </w:rPr>
          <w:fldChar w:fldCharType="end"/>
        </w:r>
      </w:p>
    </w:sdtContent>
  </w:sdt>
  <w:p>
    <w:pPr>
      <w:tabs>
        <w:tab w:val="center" w:pos="4535"/>
      </w:tabs>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3"/>
      <w:docPartObj>
        <w:docPartGallery w:val="autotext"/>
      </w:docPartObj>
    </w:sdtPr>
    <w:sdtContent>
      <w:p>
        <w:pPr>
          <w:pStyle w:val="47"/>
          <w:jc w:val="center"/>
        </w:pPr>
        <w:r>
          <w:fldChar w:fldCharType="begin"/>
        </w:r>
        <w:r>
          <w:instrText xml:space="preserve"> PAGE   \* MERGEFORMAT </w:instrText>
        </w:r>
        <w:r>
          <w:fldChar w:fldCharType="separate"/>
        </w:r>
        <w:r>
          <w:rPr>
            <w:lang w:val="zh-CN"/>
          </w:rPr>
          <w:t>46</w:t>
        </w:r>
        <w:r>
          <w:rPr>
            <w:lang w:val="zh-CN"/>
          </w:rPr>
          <w:fldChar w:fldCharType="end"/>
        </w:r>
      </w:p>
    </w:sdtContent>
  </w:sdt>
  <w:p>
    <w:pPr>
      <w:jc w:val="cente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2"/>
      <w:docPartObj>
        <w:docPartGallery w:val="autotext"/>
      </w:docPartObj>
    </w:sdtPr>
    <w:sdtContent>
      <w:p>
        <w:pPr>
          <w:pStyle w:val="47"/>
          <w:jc w:val="center"/>
        </w:pPr>
        <w:r>
          <w:fldChar w:fldCharType="begin"/>
        </w:r>
        <w:r>
          <w:instrText xml:space="preserve"> PAGE   \* MERGEFORMAT </w:instrText>
        </w:r>
        <w:r>
          <w:fldChar w:fldCharType="separate"/>
        </w:r>
        <w:r>
          <w:rPr>
            <w:lang w:val="zh-CN"/>
          </w:rPr>
          <w:t>45</w:t>
        </w:r>
        <w:r>
          <w:rPr>
            <w:lang w:val="zh-CN"/>
          </w:rPr>
          <w:fldChar w:fldCharType="end"/>
        </w:r>
      </w:p>
    </w:sdtContent>
  </w:sdt>
  <w:p>
    <w:pPr>
      <w:jc w:val="cente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5"/>
      <w:docPartObj>
        <w:docPartGallery w:val="autotext"/>
      </w:docPartObj>
    </w:sdtPr>
    <w:sdtContent>
      <w:p>
        <w:pPr>
          <w:pStyle w:val="47"/>
          <w:jc w:val="center"/>
        </w:pPr>
        <w:r>
          <w:fldChar w:fldCharType="begin"/>
        </w:r>
        <w:r>
          <w:instrText xml:space="preserve"> PAGE   \* MERGEFORMAT </w:instrText>
        </w:r>
        <w:r>
          <w:fldChar w:fldCharType="separate"/>
        </w:r>
        <w:r>
          <w:rPr>
            <w:lang w:val="zh-CN"/>
          </w:rPr>
          <w:t>57</w:t>
        </w:r>
        <w:r>
          <w:rPr>
            <w:lang w:val="zh-CN"/>
          </w:rPr>
          <w:fldChar w:fldCharType="end"/>
        </w:r>
      </w:p>
    </w:sdtContent>
  </w:sdt>
  <w:p>
    <w:pPr>
      <w:pStyle w:val="47"/>
      <w:jc w:val="center"/>
      <w:rPr>
        <w:rFonts w:ascii="FangSong_GB2312" w:eastAsia="FangSong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right" w:y="1"/>
      <w:rPr>
        <w:rStyle w:val="81"/>
      </w:rPr>
    </w:pPr>
    <w:r>
      <w:fldChar w:fldCharType="begin"/>
    </w:r>
    <w:r>
      <w:rPr>
        <w:rStyle w:val="81"/>
      </w:rPr>
      <w:instrText xml:space="preserve">PAGE  </w:instrText>
    </w:r>
    <w:r>
      <w:fldChar w:fldCharType="end"/>
    </w:r>
  </w:p>
  <w:p>
    <w:pPr>
      <w:pStyle w:val="4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jc w:val="both"/>
      <w:rPr>
        <w:rFonts w:ascii="FangSong_GB2312" w:eastAsia="FangSong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rPr>
        <w:rFonts w:ascii="FangSong_GB2312" w:eastAsia="FangSong_GB2312"/>
        <w:b/>
        <w:i/>
        <w:u w:val="single"/>
      </w:rPr>
    </w:pPr>
  </w:p>
  <w:p>
    <w:pPr>
      <w:rPr>
        <w:rFonts w:ascii="FangSong_GB2312" w:eastAsia="FangSong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jc w:val="both"/>
      <w:rPr>
        <w:rFonts w:ascii="FangSong_GB2312" w:eastAsia="FangSong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jc w:val="both"/>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jNiZTMwNjYyN2I5ODJhZjc2YmIzYWIyZGFiN2QifQ=="/>
    <w:docVar w:name="KSO_WPS_MARK_KEY" w:val="c72676a3-fbb2-4052-9f65-62e6b3fa9d13"/>
  </w:docVars>
  <w:rsids>
    <w:rsidRoot w:val="00172A27"/>
    <w:rsid w:val="00000451"/>
    <w:rsid w:val="0000108B"/>
    <w:rsid w:val="0000133D"/>
    <w:rsid w:val="00001509"/>
    <w:rsid w:val="000031DB"/>
    <w:rsid w:val="000032B2"/>
    <w:rsid w:val="0000363B"/>
    <w:rsid w:val="0000546D"/>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C40"/>
    <w:rsid w:val="00050656"/>
    <w:rsid w:val="00050A19"/>
    <w:rsid w:val="000511B6"/>
    <w:rsid w:val="00051A5F"/>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831"/>
    <w:rsid w:val="00064278"/>
    <w:rsid w:val="000646CA"/>
    <w:rsid w:val="00064BF2"/>
    <w:rsid w:val="000665C4"/>
    <w:rsid w:val="00067821"/>
    <w:rsid w:val="0006785E"/>
    <w:rsid w:val="00067F92"/>
    <w:rsid w:val="00067FA7"/>
    <w:rsid w:val="0007000E"/>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11E5"/>
    <w:rsid w:val="000D19E8"/>
    <w:rsid w:val="000D1FA1"/>
    <w:rsid w:val="000D259A"/>
    <w:rsid w:val="000D2834"/>
    <w:rsid w:val="000D2CAC"/>
    <w:rsid w:val="000D34C8"/>
    <w:rsid w:val="000D34FD"/>
    <w:rsid w:val="000D3BE5"/>
    <w:rsid w:val="000D3C37"/>
    <w:rsid w:val="000D453A"/>
    <w:rsid w:val="000D4AFA"/>
    <w:rsid w:val="000D5155"/>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4A"/>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C0E"/>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EA7"/>
    <w:rsid w:val="001507F3"/>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6DA1"/>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62B"/>
    <w:rsid w:val="001A1F0E"/>
    <w:rsid w:val="001A3335"/>
    <w:rsid w:val="001A473A"/>
    <w:rsid w:val="001A4ED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33"/>
    <w:rsid w:val="001C6C5B"/>
    <w:rsid w:val="001C7399"/>
    <w:rsid w:val="001C7CE0"/>
    <w:rsid w:val="001D005B"/>
    <w:rsid w:val="001D00C1"/>
    <w:rsid w:val="001D0947"/>
    <w:rsid w:val="001D16F5"/>
    <w:rsid w:val="001D18FA"/>
    <w:rsid w:val="001D1970"/>
    <w:rsid w:val="001D1D55"/>
    <w:rsid w:val="001D21EF"/>
    <w:rsid w:val="001D29A4"/>
    <w:rsid w:val="001D2B73"/>
    <w:rsid w:val="001D2D03"/>
    <w:rsid w:val="001D3136"/>
    <w:rsid w:val="001D330D"/>
    <w:rsid w:val="001D4AB6"/>
    <w:rsid w:val="001D4AD3"/>
    <w:rsid w:val="001D5281"/>
    <w:rsid w:val="001E09E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E2B"/>
    <w:rsid w:val="0024415B"/>
    <w:rsid w:val="00245565"/>
    <w:rsid w:val="002458C1"/>
    <w:rsid w:val="00245E62"/>
    <w:rsid w:val="002460D0"/>
    <w:rsid w:val="00246357"/>
    <w:rsid w:val="00246F2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5A"/>
    <w:rsid w:val="00267A92"/>
    <w:rsid w:val="00267E43"/>
    <w:rsid w:val="00270282"/>
    <w:rsid w:val="00270780"/>
    <w:rsid w:val="00270CF6"/>
    <w:rsid w:val="00271097"/>
    <w:rsid w:val="00271C53"/>
    <w:rsid w:val="0027219C"/>
    <w:rsid w:val="0027244F"/>
    <w:rsid w:val="00273052"/>
    <w:rsid w:val="002739CE"/>
    <w:rsid w:val="00273C5F"/>
    <w:rsid w:val="002741D4"/>
    <w:rsid w:val="002743AC"/>
    <w:rsid w:val="0027499D"/>
    <w:rsid w:val="00274C46"/>
    <w:rsid w:val="002751CA"/>
    <w:rsid w:val="00275218"/>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9D"/>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2E8"/>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09"/>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B7E"/>
    <w:rsid w:val="002E5F3F"/>
    <w:rsid w:val="002E672A"/>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20"/>
    <w:rsid w:val="00313C9D"/>
    <w:rsid w:val="0031430C"/>
    <w:rsid w:val="00314919"/>
    <w:rsid w:val="00314C5A"/>
    <w:rsid w:val="00314E84"/>
    <w:rsid w:val="0031531A"/>
    <w:rsid w:val="00315394"/>
    <w:rsid w:val="00315D77"/>
    <w:rsid w:val="00315D8E"/>
    <w:rsid w:val="00316002"/>
    <w:rsid w:val="00316BA8"/>
    <w:rsid w:val="00316CDE"/>
    <w:rsid w:val="0031752D"/>
    <w:rsid w:val="00317709"/>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5C7"/>
    <w:rsid w:val="0034088F"/>
    <w:rsid w:val="00340B3E"/>
    <w:rsid w:val="003411F3"/>
    <w:rsid w:val="003413D2"/>
    <w:rsid w:val="00341525"/>
    <w:rsid w:val="0034257E"/>
    <w:rsid w:val="003429A1"/>
    <w:rsid w:val="003429FC"/>
    <w:rsid w:val="00343079"/>
    <w:rsid w:val="00343127"/>
    <w:rsid w:val="00343320"/>
    <w:rsid w:val="00343F75"/>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55F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9F"/>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C0A"/>
    <w:rsid w:val="00385B16"/>
    <w:rsid w:val="00385B2F"/>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1C03"/>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13"/>
    <w:rsid w:val="003D34C3"/>
    <w:rsid w:val="003D3D83"/>
    <w:rsid w:val="003D43A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33B"/>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1B6"/>
    <w:rsid w:val="00424446"/>
    <w:rsid w:val="00424867"/>
    <w:rsid w:val="00425269"/>
    <w:rsid w:val="00425341"/>
    <w:rsid w:val="004255FE"/>
    <w:rsid w:val="00425674"/>
    <w:rsid w:val="00425A82"/>
    <w:rsid w:val="00425C60"/>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6F91"/>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2FC6"/>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6F0"/>
    <w:rsid w:val="0049418F"/>
    <w:rsid w:val="0049570D"/>
    <w:rsid w:val="00495C48"/>
    <w:rsid w:val="00495DC6"/>
    <w:rsid w:val="00496CCE"/>
    <w:rsid w:val="004978C1"/>
    <w:rsid w:val="00497AAD"/>
    <w:rsid w:val="00497BD7"/>
    <w:rsid w:val="00497D1A"/>
    <w:rsid w:val="004A00C9"/>
    <w:rsid w:val="004A03D0"/>
    <w:rsid w:val="004A100F"/>
    <w:rsid w:val="004A1049"/>
    <w:rsid w:val="004A1AFA"/>
    <w:rsid w:val="004A1EA7"/>
    <w:rsid w:val="004A26F5"/>
    <w:rsid w:val="004A2EF8"/>
    <w:rsid w:val="004A2F48"/>
    <w:rsid w:val="004A3A21"/>
    <w:rsid w:val="004A407A"/>
    <w:rsid w:val="004A4E3B"/>
    <w:rsid w:val="004A5C8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71E"/>
    <w:rsid w:val="004C0BF0"/>
    <w:rsid w:val="004C0D40"/>
    <w:rsid w:val="004C114F"/>
    <w:rsid w:val="004C11A9"/>
    <w:rsid w:val="004C16A1"/>
    <w:rsid w:val="004C27CF"/>
    <w:rsid w:val="004C2CA7"/>
    <w:rsid w:val="004C3592"/>
    <w:rsid w:val="004C45C8"/>
    <w:rsid w:val="004C4F8F"/>
    <w:rsid w:val="004C5416"/>
    <w:rsid w:val="004C563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270"/>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1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434C"/>
    <w:rsid w:val="00504F49"/>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ECD"/>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BE9"/>
    <w:rsid w:val="00596CFA"/>
    <w:rsid w:val="00596EC6"/>
    <w:rsid w:val="005975CE"/>
    <w:rsid w:val="005A0088"/>
    <w:rsid w:val="005A04F6"/>
    <w:rsid w:val="005A14F0"/>
    <w:rsid w:val="005A1861"/>
    <w:rsid w:val="005A1A31"/>
    <w:rsid w:val="005A24D7"/>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EA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5F7CCD"/>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2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83E"/>
    <w:rsid w:val="006503A3"/>
    <w:rsid w:val="00650D19"/>
    <w:rsid w:val="00651C91"/>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6FEC"/>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08"/>
    <w:rsid w:val="0070415E"/>
    <w:rsid w:val="00704631"/>
    <w:rsid w:val="00704B79"/>
    <w:rsid w:val="00704E7D"/>
    <w:rsid w:val="00705060"/>
    <w:rsid w:val="00705351"/>
    <w:rsid w:val="00705619"/>
    <w:rsid w:val="00705E93"/>
    <w:rsid w:val="007062AF"/>
    <w:rsid w:val="007063C9"/>
    <w:rsid w:val="007069AE"/>
    <w:rsid w:val="007069D4"/>
    <w:rsid w:val="00706C5C"/>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6D9"/>
    <w:rsid w:val="007378FD"/>
    <w:rsid w:val="007403FE"/>
    <w:rsid w:val="007413EB"/>
    <w:rsid w:val="007413FB"/>
    <w:rsid w:val="00742D32"/>
    <w:rsid w:val="00742E9B"/>
    <w:rsid w:val="00743B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D3"/>
    <w:rsid w:val="007675DD"/>
    <w:rsid w:val="007702BF"/>
    <w:rsid w:val="007705F0"/>
    <w:rsid w:val="00771CAC"/>
    <w:rsid w:val="00772036"/>
    <w:rsid w:val="00772E5E"/>
    <w:rsid w:val="00773098"/>
    <w:rsid w:val="007737DA"/>
    <w:rsid w:val="007739A3"/>
    <w:rsid w:val="00773BD9"/>
    <w:rsid w:val="00773CB0"/>
    <w:rsid w:val="00773D71"/>
    <w:rsid w:val="00775526"/>
    <w:rsid w:val="00775651"/>
    <w:rsid w:val="00775C40"/>
    <w:rsid w:val="00775F3F"/>
    <w:rsid w:val="0077710B"/>
    <w:rsid w:val="0077765A"/>
    <w:rsid w:val="00780032"/>
    <w:rsid w:val="00780636"/>
    <w:rsid w:val="007808F1"/>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EE9"/>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29"/>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77"/>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24D"/>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F8F"/>
    <w:rsid w:val="0080042E"/>
    <w:rsid w:val="00800509"/>
    <w:rsid w:val="0080078E"/>
    <w:rsid w:val="00800B7F"/>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008"/>
    <w:rsid w:val="0087537D"/>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F8"/>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451B"/>
    <w:rsid w:val="008C5371"/>
    <w:rsid w:val="008C623D"/>
    <w:rsid w:val="008C65F4"/>
    <w:rsid w:val="008C6683"/>
    <w:rsid w:val="008C699C"/>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2C6"/>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D02"/>
    <w:rsid w:val="0090377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54B"/>
    <w:rsid w:val="00912850"/>
    <w:rsid w:val="009128B8"/>
    <w:rsid w:val="0091472C"/>
    <w:rsid w:val="00914DC9"/>
    <w:rsid w:val="00915351"/>
    <w:rsid w:val="00915679"/>
    <w:rsid w:val="009159C2"/>
    <w:rsid w:val="00915C01"/>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5A5B"/>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BC"/>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78C"/>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4DF"/>
    <w:rsid w:val="009E758E"/>
    <w:rsid w:val="009E7BFB"/>
    <w:rsid w:val="009E7D6B"/>
    <w:rsid w:val="009E7E81"/>
    <w:rsid w:val="009F020A"/>
    <w:rsid w:val="009F05AD"/>
    <w:rsid w:val="009F0659"/>
    <w:rsid w:val="009F08B2"/>
    <w:rsid w:val="009F1109"/>
    <w:rsid w:val="009F143E"/>
    <w:rsid w:val="009F1D81"/>
    <w:rsid w:val="009F1DE8"/>
    <w:rsid w:val="009F2186"/>
    <w:rsid w:val="009F227C"/>
    <w:rsid w:val="009F28DC"/>
    <w:rsid w:val="009F2EDB"/>
    <w:rsid w:val="009F33DC"/>
    <w:rsid w:val="009F42CC"/>
    <w:rsid w:val="009F4550"/>
    <w:rsid w:val="009F56C0"/>
    <w:rsid w:val="009F5C76"/>
    <w:rsid w:val="009F7B73"/>
    <w:rsid w:val="00A000C5"/>
    <w:rsid w:val="00A007B4"/>
    <w:rsid w:val="00A00930"/>
    <w:rsid w:val="00A00B5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6FE"/>
    <w:rsid w:val="00A40E2F"/>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A04"/>
    <w:rsid w:val="00A564DE"/>
    <w:rsid w:val="00A571B1"/>
    <w:rsid w:val="00A6054E"/>
    <w:rsid w:val="00A60799"/>
    <w:rsid w:val="00A61101"/>
    <w:rsid w:val="00A6170B"/>
    <w:rsid w:val="00A61991"/>
    <w:rsid w:val="00A61B7F"/>
    <w:rsid w:val="00A61B91"/>
    <w:rsid w:val="00A61C3A"/>
    <w:rsid w:val="00A61FE1"/>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37C"/>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0F6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9D3"/>
    <w:rsid w:val="00AE55E3"/>
    <w:rsid w:val="00AE5837"/>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61E"/>
    <w:rsid w:val="00B1767E"/>
    <w:rsid w:val="00B20760"/>
    <w:rsid w:val="00B2125C"/>
    <w:rsid w:val="00B21676"/>
    <w:rsid w:val="00B219E1"/>
    <w:rsid w:val="00B21ECF"/>
    <w:rsid w:val="00B22150"/>
    <w:rsid w:val="00B226DE"/>
    <w:rsid w:val="00B22FB5"/>
    <w:rsid w:val="00B241D5"/>
    <w:rsid w:val="00B24BE9"/>
    <w:rsid w:val="00B252E4"/>
    <w:rsid w:val="00B2551D"/>
    <w:rsid w:val="00B25F8C"/>
    <w:rsid w:val="00B260BE"/>
    <w:rsid w:val="00B26677"/>
    <w:rsid w:val="00B26A96"/>
    <w:rsid w:val="00B26DC0"/>
    <w:rsid w:val="00B274E3"/>
    <w:rsid w:val="00B2765C"/>
    <w:rsid w:val="00B27C4B"/>
    <w:rsid w:val="00B30563"/>
    <w:rsid w:val="00B3069E"/>
    <w:rsid w:val="00B30A76"/>
    <w:rsid w:val="00B31246"/>
    <w:rsid w:val="00B32295"/>
    <w:rsid w:val="00B33AB5"/>
    <w:rsid w:val="00B3412E"/>
    <w:rsid w:val="00B34271"/>
    <w:rsid w:val="00B343E0"/>
    <w:rsid w:val="00B35B6D"/>
    <w:rsid w:val="00B35D53"/>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1A86"/>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0F2"/>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57"/>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42C"/>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D03"/>
    <w:rsid w:val="00C25EA6"/>
    <w:rsid w:val="00C26164"/>
    <w:rsid w:val="00C261C1"/>
    <w:rsid w:val="00C26574"/>
    <w:rsid w:val="00C26DBF"/>
    <w:rsid w:val="00C27199"/>
    <w:rsid w:val="00C27204"/>
    <w:rsid w:val="00C27627"/>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99"/>
    <w:rsid w:val="00C379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3E9C"/>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243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32"/>
    <w:rsid w:val="00CB6A93"/>
    <w:rsid w:val="00CB6C79"/>
    <w:rsid w:val="00CB7150"/>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70DB"/>
    <w:rsid w:val="00CD7544"/>
    <w:rsid w:val="00CD78D4"/>
    <w:rsid w:val="00CD7C69"/>
    <w:rsid w:val="00CE0697"/>
    <w:rsid w:val="00CE14CB"/>
    <w:rsid w:val="00CE2E2E"/>
    <w:rsid w:val="00CE3A51"/>
    <w:rsid w:val="00CE41F9"/>
    <w:rsid w:val="00CE59F6"/>
    <w:rsid w:val="00CE66CD"/>
    <w:rsid w:val="00CE6BA9"/>
    <w:rsid w:val="00CE71C3"/>
    <w:rsid w:val="00CE727A"/>
    <w:rsid w:val="00CE7EBE"/>
    <w:rsid w:val="00CF004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1AF"/>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473"/>
    <w:rsid w:val="00D22B13"/>
    <w:rsid w:val="00D2371E"/>
    <w:rsid w:val="00D237E0"/>
    <w:rsid w:val="00D23A17"/>
    <w:rsid w:val="00D25676"/>
    <w:rsid w:val="00D2579F"/>
    <w:rsid w:val="00D2580E"/>
    <w:rsid w:val="00D265A7"/>
    <w:rsid w:val="00D266CD"/>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0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AB8"/>
    <w:rsid w:val="00D43CF3"/>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3B7"/>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52B"/>
    <w:rsid w:val="00DB6F96"/>
    <w:rsid w:val="00DB71B9"/>
    <w:rsid w:val="00DB7662"/>
    <w:rsid w:val="00DB7E46"/>
    <w:rsid w:val="00DC1395"/>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63F"/>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6FDA"/>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356F"/>
    <w:rsid w:val="00E03B42"/>
    <w:rsid w:val="00E03C10"/>
    <w:rsid w:val="00E03C5A"/>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589"/>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35EA"/>
    <w:rsid w:val="00E2449B"/>
    <w:rsid w:val="00E24A62"/>
    <w:rsid w:val="00E24F52"/>
    <w:rsid w:val="00E255CC"/>
    <w:rsid w:val="00E25636"/>
    <w:rsid w:val="00E25755"/>
    <w:rsid w:val="00E25F90"/>
    <w:rsid w:val="00E266DD"/>
    <w:rsid w:val="00E26D2E"/>
    <w:rsid w:val="00E279B2"/>
    <w:rsid w:val="00E3036E"/>
    <w:rsid w:val="00E303C0"/>
    <w:rsid w:val="00E3055B"/>
    <w:rsid w:val="00E30A9A"/>
    <w:rsid w:val="00E31687"/>
    <w:rsid w:val="00E31699"/>
    <w:rsid w:val="00E31761"/>
    <w:rsid w:val="00E31812"/>
    <w:rsid w:val="00E31889"/>
    <w:rsid w:val="00E31CE7"/>
    <w:rsid w:val="00E32ADD"/>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0FE3"/>
    <w:rsid w:val="00E4208F"/>
    <w:rsid w:val="00E42E1A"/>
    <w:rsid w:val="00E42E94"/>
    <w:rsid w:val="00E43006"/>
    <w:rsid w:val="00E4312A"/>
    <w:rsid w:val="00E4331B"/>
    <w:rsid w:val="00E43551"/>
    <w:rsid w:val="00E437BE"/>
    <w:rsid w:val="00E437FA"/>
    <w:rsid w:val="00E45A2C"/>
    <w:rsid w:val="00E46A6B"/>
    <w:rsid w:val="00E46A9C"/>
    <w:rsid w:val="00E47DB1"/>
    <w:rsid w:val="00E50BDD"/>
    <w:rsid w:val="00E510CF"/>
    <w:rsid w:val="00E513D7"/>
    <w:rsid w:val="00E519FE"/>
    <w:rsid w:val="00E5206C"/>
    <w:rsid w:val="00E52AAB"/>
    <w:rsid w:val="00E53CBA"/>
    <w:rsid w:val="00E5448E"/>
    <w:rsid w:val="00E54E0D"/>
    <w:rsid w:val="00E55247"/>
    <w:rsid w:val="00E558E5"/>
    <w:rsid w:val="00E55B3C"/>
    <w:rsid w:val="00E56795"/>
    <w:rsid w:val="00E5699C"/>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B30"/>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1E"/>
    <w:rsid w:val="00ED613A"/>
    <w:rsid w:val="00ED6514"/>
    <w:rsid w:val="00ED66B2"/>
    <w:rsid w:val="00ED71BA"/>
    <w:rsid w:val="00ED728F"/>
    <w:rsid w:val="00ED73A1"/>
    <w:rsid w:val="00ED7CA2"/>
    <w:rsid w:val="00EE04F9"/>
    <w:rsid w:val="00EE05E0"/>
    <w:rsid w:val="00EE13DA"/>
    <w:rsid w:val="00EE1595"/>
    <w:rsid w:val="00EE1E71"/>
    <w:rsid w:val="00EE1FB0"/>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327"/>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3B2"/>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CA8"/>
    <w:rsid w:val="00F62F92"/>
    <w:rsid w:val="00F630B4"/>
    <w:rsid w:val="00F635EF"/>
    <w:rsid w:val="00F63BF4"/>
    <w:rsid w:val="00F63C55"/>
    <w:rsid w:val="00F63C60"/>
    <w:rsid w:val="00F64161"/>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54A8"/>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631"/>
    <w:rsid w:val="00FE1852"/>
    <w:rsid w:val="00FE1963"/>
    <w:rsid w:val="00FE1981"/>
    <w:rsid w:val="00FE1BF1"/>
    <w:rsid w:val="00FE2E8A"/>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5BA4"/>
    <w:rsid w:val="011F6449"/>
    <w:rsid w:val="01236AFB"/>
    <w:rsid w:val="016959A7"/>
    <w:rsid w:val="019F7441"/>
    <w:rsid w:val="01B37585"/>
    <w:rsid w:val="01D2207D"/>
    <w:rsid w:val="01D55165"/>
    <w:rsid w:val="01DF6BF8"/>
    <w:rsid w:val="01EC2C57"/>
    <w:rsid w:val="024D4E7E"/>
    <w:rsid w:val="025D7143"/>
    <w:rsid w:val="026B2E25"/>
    <w:rsid w:val="02775E4F"/>
    <w:rsid w:val="02824D4D"/>
    <w:rsid w:val="02C329EA"/>
    <w:rsid w:val="02DC4B10"/>
    <w:rsid w:val="02DD76CE"/>
    <w:rsid w:val="02F36323"/>
    <w:rsid w:val="02F5619C"/>
    <w:rsid w:val="030176FB"/>
    <w:rsid w:val="0326446A"/>
    <w:rsid w:val="032D5555"/>
    <w:rsid w:val="034F46D6"/>
    <w:rsid w:val="036634D2"/>
    <w:rsid w:val="03CF6675"/>
    <w:rsid w:val="03DD35E4"/>
    <w:rsid w:val="03F4527E"/>
    <w:rsid w:val="04076900"/>
    <w:rsid w:val="04096F7B"/>
    <w:rsid w:val="041A5A3B"/>
    <w:rsid w:val="042311BA"/>
    <w:rsid w:val="042403D7"/>
    <w:rsid w:val="042B157A"/>
    <w:rsid w:val="044D3AE9"/>
    <w:rsid w:val="048F763B"/>
    <w:rsid w:val="049F330E"/>
    <w:rsid w:val="04A121F4"/>
    <w:rsid w:val="04AA775C"/>
    <w:rsid w:val="04AF1889"/>
    <w:rsid w:val="04F66F48"/>
    <w:rsid w:val="0521034B"/>
    <w:rsid w:val="05251E14"/>
    <w:rsid w:val="054F4E62"/>
    <w:rsid w:val="05943A92"/>
    <w:rsid w:val="05A16594"/>
    <w:rsid w:val="05A7762D"/>
    <w:rsid w:val="05B178CA"/>
    <w:rsid w:val="05BC17B6"/>
    <w:rsid w:val="060E5941"/>
    <w:rsid w:val="060F45F1"/>
    <w:rsid w:val="06110FAF"/>
    <w:rsid w:val="06147E59"/>
    <w:rsid w:val="06493CA7"/>
    <w:rsid w:val="065A6178"/>
    <w:rsid w:val="066F1CF3"/>
    <w:rsid w:val="068A59BD"/>
    <w:rsid w:val="06930BB8"/>
    <w:rsid w:val="06E96BF0"/>
    <w:rsid w:val="07147821"/>
    <w:rsid w:val="072034F0"/>
    <w:rsid w:val="07245D42"/>
    <w:rsid w:val="07264C62"/>
    <w:rsid w:val="074043CB"/>
    <w:rsid w:val="076E227F"/>
    <w:rsid w:val="07733110"/>
    <w:rsid w:val="0779354C"/>
    <w:rsid w:val="077E558A"/>
    <w:rsid w:val="07944A78"/>
    <w:rsid w:val="07AF269B"/>
    <w:rsid w:val="08061376"/>
    <w:rsid w:val="08161C67"/>
    <w:rsid w:val="0822060B"/>
    <w:rsid w:val="08452D77"/>
    <w:rsid w:val="086401F8"/>
    <w:rsid w:val="08751CAA"/>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A92330"/>
    <w:rsid w:val="09B06B87"/>
    <w:rsid w:val="09C13146"/>
    <w:rsid w:val="09DB0962"/>
    <w:rsid w:val="09E04166"/>
    <w:rsid w:val="0A1C0718"/>
    <w:rsid w:val="0A3E7710"/>
    <w:rsid w:val="0A4240F4"/>
    <w:rsid w:val="0A5B7E63"/>
    <w:rsid w:val="0AA374A5"/>
    <w:rsid w:val="0AAB7649"/>
    <w:rsid w:val="0ABC5606"/>
    <w:rsid w:val="0AC2232C"/>
    <w:rsid w:val="0AC4542D"/>
    <w:rsid w:val="0AC7549A"/>
    <w:rsid w:val="0AFF3D05"/>
    <w:rsid w:val="0B016BFE"/>
    <w:rsid w:val="0B1526A9"/>
    <w:rsid w:val="0B30404E"/>
    <w:rsid w:val="0B467917"/>
    <w:rsid w:val="0B4C6C14"/>
    <w:rsid w:val="0B631A88"/>
    <w:rsid w:val="0B683D45"/>
    <w:rsid w:val="0B696551"/>
    <w:rsid w:val="0B7F3F11"/>
    <w:rsid w:val="0B884417"/>
    <w:rsid w:val="0BC8771C"/>
    <w:rsid w:val="0BF6188C"/>
    <w:rsid w:val="0BF73C91"/>
    <w:rsid w:val="0C170175"/>
    <w:rsid w:val="0C571A41"/>
    <w:rsid w:val="0C5C1171"/>
    <w:rsid w:val="0C5E1CBC"/>
    <w:rsid w:val="0C615B50"/>
    <w:rsid w:val="0C7927C4"/>
    <w:rsid w:val="0C8445DA"/>
    <w:rsid w:val="0C87121B"/>
    <w:rsid w:val="0C8A677F"/>
    <w:rsid w:val="0CC007F7"/>
    <w:rsid w:val="0CFE707A"/>
    <w:rsid w:val="0D063BDA"/>
    <w:rsid w:val="0D08375F"/>
    <w:rsid w:val="0D184CFB"/>
    <w:rsid w:val="0D2F2DF1"/>
    <w:rsid w:val="0D4A7419"/>
    <w:rsid w:val="0D827401"/>
    <w:rsid w:val="0D84094E"/>
    <w:rsid w:val="0D8A00E9"/>
    <w:rsid w:val="0D8D589E"/>
    <w:rsid w:val="0DA01C73"/>
    <w:rsid w:val="0DD63300"/>
    <w:rsid w:val="0DF50604"/>
    <w:rsid w:val="0DF702FE"/>
    <w:rsid w:val="0E060E51"/>
    <w:rsid w:val="0E465D21"/>
    <w:rsid w:val="0E5604B2"/>
    <w:rsid w:val="0E6D5D79"/>
    <w:rsid w:val="0E8C7847"/>
    <w:rsid w:val="0E9D0089"/>
    <w:rsid w:val="0EB803EE"/>
    <w:rsid w:val="0ED65CAC"/>
    <w:rsid w:val="0EF94D4B"/>
    <w:rsid w:val="0F032819"/>
    <w:rsid w:val="0F462A38"/>
    <w:rsid w:val="0F4958DC"/>
    <w:rsid w:val="0F515DF7"/>
    <w:rsid w:val="0F596BA8"/>
    <w:rsid w:val="0F6248D2"/>
    <w:rsid w:val="0F693536"/>
    <w:rsid w:val="0F7B0511"/>
    <w:rsid w:val="0F7B76D9"/>
    <w:rsid w:val="0F816ACD"/>
    <w:rsid w:val="0F9832DB"/>
    <w:rsid w:val="0FBF3FD2"/>
    <w:rsid w:val="0FBF7FF3"/>
    <w:rsid w:val="0FD348E1"/>
    <w:rsid w:val="0FD4263C"/>
    <w:rsid w:val="0FDD588B"/>
    <w:rsid w:val="0FE6380F"/>
    <w:rsid w:val="10646583"/>
    <w:rsid w:val="106612B1"/>
    <w:rsid w:val="107D4B15"/>
    <w:rsid w:val="108A3C80"/>
    <w:rsid w:val="10C26171"/>
    <w:rsid w:val="10F33360"/>
    <w:rsid w:val="10FC16EA"/>
    <w:rsid w:val="110F1D40"/>
    <w:rsid w:val="11266F33"/>
    <w:rsid w:val="118963A1"/>
    <w:rsid w:val="11BD0491"/>
    <w:rsid w:val="11C6522A"/>
    <w:rsid w:val="11E104CC"/>
    <w:rsid w:val="11E20309"/>
    <w:rsid w:val="12255233"/>
    <w:rsid w:val="12530213"/>
    <w:rsid w:val="127723A9"/>
    <w:rsid w:val="1279351E"/>
    <w:rsid w:val="12862074"/>
    <w:rsid w:val="12883966"/>
    <w:rsid w:val="129E45B4"/>
    <w:rsid w:val="12D81596"/>
    <w:rsid w:val="13072A44"/>
    <w:rsid w:val="13191C2C"/>
    <w:rsid w:val="135B5DF4"/>
    <w:rsid w:val="135F4BE2"/>
    <w:rsid w:val="136452DF"/>
    <w:rsid w:val="13693592"/>
    <w:rsid w:val="139B1A0A"/>
    <w:rsid w:val="139C2222"/>
    <w:rsid w:val="139D25C7"/>
    <w:rsid w:val="13B62550"/>
    <w:rsid w:val="13BF3CE4"/>
    <w:rsid w:val="14097B94"/>
    <w:rsid w:val="140E11B4"/>
    <w:rsid w:val="141008D8"/>
    <w:rsid w:val="14125FE6"/>
    <w:rsid w:val="141A488D"/>
    <w:rsid w:val="146D271E"/>
    <w:rsid w:val="14982588"/>
    <w:rsid w:val="149A5AD9"/>
    <w:rsid w:val="14A7619D"/>
    <w:rsid w:val="14ED3D4F"/>
    <w:rsid w:val="150536C3"/>
    <w:rsid w:val="150C1963"/>
    <w:rsid w:val="151447A0"/>
    <w:rsid w:val="1534372C"/>
    <w:rsid w:val="153A7D3D"/>
    <w:rsid w:val="154A6454"/>
    <w:rsid w:val="15762120"/>
    <w:rsid w:val="168E50BE"/>
    <w:rsid w:val="16A8729C"/>
    <w:rsid w:val="16B234A2"/>
    <w:rsid w:val="16B33777"/>
    <w:rsid w:val="16BC70A7"/>
    <w:rsid w:val="16C6339E"/>
    <w:rsid w:val="16CB6312"/>
    <w:rsid w:val="17125CEF"/>
    <w:rsid w:val="172F2D79"/>
    <w:rsid w:val="17557BEF"/>
    <w:rsid w:val="179F0D3D"/>
    <w:rsid w:val="17B46DA6"/>
    <w:rsid w:val="17D349C1"/>
    <w:rsid w:val="17F26B38"/>
    <w:rsid w:val="17FA27F7"/>
    <w:rsid w:val="1830729E"/>
    <w:rsid w:val="183E3860"/>
    <w:rsid w:val="1870062C"/>
    <w:rsid w:val="18730A0F"/>
    <w:rsid w:val="18817102"/>
    <w:rsid w:val="18830A15"/>
    <w:rsid w:val="18852B28"/>
    <w:rsid w:val="188B5321"/>
    <w:rsid w:val="18B03A11"/>
    <w:rsid w:val="18B319A9"/>
    <w:rsid w:val="191E6BCD"/>
    <w:rsid w:val="196B7938"/>
    <w:rsid w:val="19932372"/>
    <w:rsid w:val="19A20DD5"/>
    <w:rsid w:val="19A47FAA"/>
    <w:rsid w:val="19AE03F1"/>
    <w:rsid w:val="1A071A03"/>
    <w:rsid w:val="1A1F16AE"/>
    <w:rsid w:val="1A3B5C77"/>
    <w:rsid w:val="1A674D30"/>
    <w:rsid w:val="1A984BAD"/>
    <w:rsid w:val="1AB8220E"/>
    <w:rsid w:val="1AC11F06"/>
    <w:rsid w:val="1AE4166C"/>
    <w:rsid w:val="1AF06CFB"/>
    <w:rsid w:val="1AF11B8D"/>
    <w:rsid w:val="1B022F94"/>
    <w:rsid w:val="1B102545"/>
    <w:rsid w:val="1B11359C"/>
    <w:rsid w:val="1B2A271F"/>
    <w:rsid w:val="1B2E0C1E"/>
    <w:rsid w:val="1B345D42"/>
    <w:rsid w:val="1B45447D"/>
    <w:rsid w:val="1B530544"/>
    <w:rsid w:val="1B6145F3"/>
    <w:rsid w:val="1B713184"/>
    <w:rsid w:val="1B732ED7"/>
    <w:rsid w:val="1BA209CF"/>
    <w:rsid w:val="1BB4777D"/>
    <w:rsid w:val="1BD75AB8"/>
    <w:rsid w:val="1BE16C86"/>
    <w:rsid w:val="1BED2887"/>
    <w:rsid w:val="1C0459C2"/>
    <w:rsid w:val="1C1B3B4A"/>
    <w:rsid w:val="1C33473D"/>
    <w:rsid w:val="1C6A3ED7"/>
    <w:rsid w:val="1C7A5C28"/>
    <w:rsid w:val="1C88086E"/>
    <w:rsid w:val="1CBD66FD"/>
    <w:rsid w:val="1CCB72A4"/>
    <w:rsid w:val="1D266CE1"/>
    <w:rsid w:val="1D2D73DF"/>
    <w:rsid w:val="1D3963AF"/>
    <w:rsid w:val="1D412E8A"/>
    <w:rsid w:val="1D6A673C"/>
    <w:rsid w:val="1D9247AE"/>
    <w:rsid w:val="1DB567EC"/>
    <w:rsid w:val="1DD925F6"/>
    <w:rsid w:val="1DEB4F9C"/>
    <w:rsid w:val="1DF51A98"/>
    <w:rsid w:val="1E0068A1"/>
    <w:rsid w:val="1E193E07"/>
    <w:rsid w:val="1E3073D1"/>
    <w:rsid w:val="1E3D060F"/>
    <w:rsid w:val="1E3F7D2E"/>
    <w:rsid w:val="1E4134E4"/>
    <w:rsid w:val="1E5062B3"/>
    <w:rsid w:val="1E523514"/>
    <w:rsid w:val="1E714A66"/>
    <w:rsid w:val="1E7E67F1"/>
    <w:rsid w:val="1E802593"/>
    <w:rsid w:val="1EA55954"/>
    <w:rsid w:val="1EA703CC"/>
    <w:rsid w:val="1EB7330C"/>
    <w:rsid w:val="1EC024D4"/>
    <w:rsid w:val="1ED85A70"/>
    <w:rsid w:val="1F0A0FF3"/>
    <w:rsid w:val="1F5771FF"/>
    <w:rsid w:val="1F611967"/>
    <w:rsid w:val="1FBC0EEE"/>
    <w:rsid w:val="1FC3402A"/>
    <w:rsid w:val="1FE868A9"/>
    <w:rsid w:val="20000B35"/>
    <w:rsid w:val="20034907"/>
    <w:rsid w:val="20173E4B"/>
    <w:rsid w:val="204E48BC"/>
    <w:rsid w:val="206F41B2"/>
    <w:rsid w:val="20825C88"/>
    <w:rsid w:val="208921B3"/>
    <w:rsid w:val="20973DEB"/>
    <w:rsid w:val="20B26522"/>
    <w:rsid w:val="20B44310"/>
    <w:rsid w:val="211116EB"/>
    <w:rsid w:val="215755ED"/>
    <w:rsid w:val="216133FC"/>
    <w:rsid w:val="21645399"/>
    <w:rsid w:val="21AD48BF"/>
    <w:rsid w:val="21C53505"/>
    <w:rsid w:val="21D56769"/>
    <w:rsid w:val="21E5189B"/>
    <w:rsid w:val="21E52EF3"/>
    <w:rsid w:val="21FB5D7B"/>
    <w:rsid w:val="220B1C3D"/>
    <w:rsid w:val="22164A42"/>
    <w:rsid w:val="221D1D20"/>
    <w:rsid w:val="2221328A"/>
    <w:rsid w:val="22334A87"/>
    <w:rsid w:val="22B002C2"/>
    <w:rsid w:val="22BE6801"/>
    <w:rsid w:val="22F73C42"/>
    <w:rsid w:val="22FD7598"/>
    <w:rsid w:val="230E380E"/>
    <w:rsid w:val="231436FB"/>
    <w:rsid w:val="231921B3"/>
    <w:rsid w:val="233500BF"/>
    <w:rsid w:val="23377FF7"/>
    <w:rsid w:val="234C4337"/>
    <w:rsid w:val="234D018A"/>
    <w:rsid w:val="236B425F"/>
    <w:rsid w:val="23827D58"/>
    <w:rsid w:val="23836192"/>
    <w:rsid w:val="23901F29"/>
    <w:rsid w:val="239B0E1A"/>
    <w:rsid w:val="239C0061"/>
    <w:rsid w:val="23B908A4"/>
    <w:rsid w:val="23E95BEF"/>
    <w:rsid w:val="23EB7FF4"/>
    <w:rsid w:val="23FD0064"/>
    <w:rsid w:val="245375B0"/>
    <w:rsid w:val="24642C0A"/>
    <w:rsid w:val="24B22173"/>
    <w:rsid w:val="24B95AD9"/>
    <w:rsid w:val="24BE24DA"/>
    <w:rsid w:val="24C85C3F"/>
    <w:rsid w:val="24CF5825"/>
    <w:rsid w:val="24D663E6"/>
    <w:rsid w:val="24D77F2B"/>
    <w:rsid w:val="24E72C1F"/>
    <w:rsid w:val="24F84776"/>
    <w:rsid w:val="251E1FFF"/>
    <w:rsid w:val="252512E3"/>
    <w:rsid w:val="25382DC5"/>
    <w:rsid w:val="2564005E"/>
    <w:rsid w:val="258B00E2"/>
    <w:rsid w:val="258C4EBE"/>
    <w:rsid w:val="2590022A"/>
    <w:rsid w:val="25A917A6"/>
    <w:rsid w:val="25BE27CC"/>
    <w:rsid w:val="25E116AE"/>
    <w:rsid w:val="25E4596E"/>
    <w:rsid w:val="25F74A5C"/>
    <w:rsid w:val="2628662C"/>
    <w:rsid w:val="262D45DE"/>
    <w:rsid w:val="26383433"/>
    <w:rsid w:val="26415CA9"/>
    <w:rsid w:val="264419D6"/>
    <w:rsid w:val="267B61AB"/>
    <w:rsid w:val="26A53EF9"/>
    <w:rsid w:val="26A94201"/>
    <w:rsid w:val="26AA5F44"/>
    <w:rsid w:val="26AC274F"/>
    <w:rsid w:val="26CA17A3"/>
    <w:rsid w:val="26EE7EFE"/>
    <w:rsid w:val="27044A29"/>
    <w:rsid w:val="271433BD"/>
    <w:rsid w:val="271D34C8"/>
    <w:rsid w:val="274D5177"/>
    <w:rsid w:val="276142BF"/>
    <w:rsid w:val="276703C3"/>
    <w:rsid w:val="27725098"/>
    <w:rsid w:val="27783712"/>
    <w:rsid w:val="27907362"/>
    <w:rsid w:val="279C3009"/>
    <w:rsid w:val="27B57AFE"/>
    <w:rsid w:val="27E014F2"/>
    <w:rsid w:val="27E6523A"/>
    <w:rsid w:val="27EF7920"/>
    <w:rsid w:val="27FC632B"/>
    <w:rsid w:val="282D51B1"/>
    <w:rsid w:val="28333E1D"/>
    <w:rsid w:val="28454BD6"/>
    <w:rsid w:val="28455253"/>
    <w:rsid w:val="28551971"/>
    <w:rsid w:val="285B1C53"/>
    <w:rsid w:val="287D3B77"/>
    <w:rsid w:val="28926C90"/>
    <w:rsid w:val="289F7086"/>
    <w:rsid w:val="28AF46FE"/>
    <w:rsid w:val="28C32028"/>
    <w:rsid w:val="28C7479F"/>
    <w:rsid w:val="28CC490F"/>
    <w:rsid w:val="28D10C1C"/>
    <w:rsid w:val="28DE40AA"/>
    <w:rsid w:val="29345E77"/>
    <w:rsid w:val="294C65AD"/>
    <w:rsid w:val="29542CFA"/>
    <w:rsid w:val="295F68EE"/>
    <w:rsid w:val="29806583"/>
    <w:rsid w:val="298B3C4C"/>
    <w:rsid w:val="299B2824"/>
    <w:rsid w:val="29AC3D81"/>
    <w:rsid w:val="29F15C38"/>
    <w:rsid w:val="29F26D24"/>
    <w:rsid w:val="29F82B12"/>
    <w:rsid w:val="2A007C29"/>
    <w:rsid w:val="2A15033F"/>
    <w:rsid w:val="2A1662C1"/>
    <w:rsid w:val="2A187669"/>
    <w:rsid w:val="2A1C7367"/>
    <w:rsid w:val="2A1D6A2D"/>
    <w:rsid w:val="2A2815FA"/>
    <w:rsid w:val="2A63048C"/>
    <w:rsid w:val="2A6D6092"/>
    <w:rsid w:val="2A7D76B4"/>
    <w:rsid w:val="2A8D1F07"/>
    <w:rsid w:val="2AAD3CB8"/>
    <w:rsid w:val="2AEF3F25"/>
    <w:rsid w:val="2B437463"/>
    <w:rsid w:val="2B7807EE"/>
    <w:rsid w:val="2BBE1B4A"/>
    <w:rsid w:val="2BBF00EC"/>
    <w:rsid w:val="2BC37CFD"/>
    <w:rsid w:val="2BD5237F"/>
    <w:rsid w:val="2BE536CE"/>
    <w:rsid w:val="2BE758D9"/>
    <w:rsid w:val="2C09049E"/>
    <w:rsid w:val="2C0A653C"/>
    <w:rsid w:val="2C191F85"/>
    <w:rsid w:val="2C1945BB"/>
    <w:rsid w:val="2C3D7F30"/>
    <w:rsid w:val="2C451DAB"/>
    <w:rsid w:val="2C7426D2"/>
    <w:rsid w:val="2C7A3CC3"/>
    <w:rsid w:val="2C841377"/>
    <w:rsid w:val="2C9F7BCD"/>
    <w:rsid w:val="2CE82D6F"/>
    <w:rsid w:val="2D343236"/>
    <w:rsid w:val="2DA3549B"/>
    <w:rsid w:val="2DA74F8B"/>
    <w:rsid w:val="2DC03B59"/>
    <w:rsid w:val="2DD15014"/>
    <w:rsid w:val="2DE71976"/>
    <w:rsid w:val="2DF72DE4"/>
    <w:rsid w:val="2E0220AF"/>
    <w:rsid w:val="2E0777D8"/>
    <w:rsid w:val="2E4B082A"/>
    <w:rsid w:val="2E5D4E86"/>
    <w:rsid w:val="2E5D790B"/>
    <w:rsid w:val="2E6B420B"/>
    <w:rsid w:val="2E9A3C18"/>
    <w:rsid w:val="2EBB0FEE"/>
    <w:rsid w:val="2EC63002"/>
    <w:rsid w:val="2F0A6B38"/>
    <w:rsid w:val="2F6D7037"/>
    <w:rsid w:val="2F946CCB"/>
    <w:rsid w:val="2FC75471"/>
    <w:rsid w:val="2FD25781"/>
    <w:rsid w:val="2FDE5E55"/>
    <w:rsid w:val="2FE63DAE"/>
    <w:rsid w:val="2FFD7934"/>
    <w:rsid w:val="30224BA5"/>
    <w:rsid w:val="304E16EE"/>
    <w:rsid w:val="30546081"/>
    <w:rsid w:val="30733ACD"/>
    <w:rsid w:val="30754DF6"/>
    <w:rsid w:val="307750E9"/>
    <w:rsid w:val="308C3862"/>
    <w:rsid w:val="309379D8"/>
    <w:rsid w:val="30970232"/>
    <w:rsid w:val="30A270F7"/>
    <w:rsid w:val="30DF1478"/>
    <w:rsid w:val="30EC586F"/>
    <w:rsid w:val="311F308B"/>
    <w:rsid w:val="31327262"/>
    <w:rsid w:val="31666F0B"/>
    <w:rsid w:val="319C6071"/>
    <w:rsid w:val="31A72DB0"/>
    <w:rsid w:val="31AC537E"/>
    <w:rsid w:val="31E3679B"/>
    <w:rsid w:val="31E53D94"/>
    <w:rsid w:val="31E732FD"/>
    <w:rsid w:val="32517576"/>
    <w:rsid w:val="32582CF8"/>
    <w:rsid w:val="32BE5C2C"/>
    <w:rsid w:val="32FB6478"/>
    <w:rsid w:val="33263B3F"/>
    <w:rsid w:val="336963EB"/>
    <w:rsid w:val="33784CD4"/>
    <w:rsid w:val="33816EEB"/>
    <w:rsid w:val="33C57F19"/>
    <w:rsid w:val="33EB55CD"/>
    <w:rsid w:val="33EC4C02"/>
    <w:rsid w:val="33FD7B69"/>
    <w:rsid w:val="340D2360"/>
    <w:rsid w:val="3410665D"/>
    <w:rsid w:val="34211214"/>
    <w:rsid w:val="342E63AB"/>
    <w:rsid w:val="34694A7D"/>
    <w:rsid w:val="347100A1"/>
    <w:rsid w:val="34950E68"/>
    <w:rsid w:val="34986E94"/>
    <w:rsid w:val="349D271D"/>
    <w:rsid w:val="34A0681D"/>
    <w:rsid w:val="34AF62C9"/>
    <w:rsid w:val="34C55706"/>
    <w:rsid w:val="34CB4388"/>
    <w:rsid w:val="34FA6E12"/>
    <w:rsid w:val="351D1FD7"/>
    <w:rsid w:val="3529272A"/>
    <w:rsid w:val="358D5588"/>
    <w:rsid w:val="35AD3EE9"/>
    <w:rsid w:val="35D73F34"/>
    <w:rsid w:val="36154A5C"/>
    <w:rsid w:val="363611DD"/>
    <w:rsid w:val="363A3B40"/>
    <w:rsid w:val="36401AD9"/>
    <w:rsid w:val="365302AE"/>
    <w:rsid w:val="36607A0A"/>
    <w:rsid w:val="366E227C"/>
    <w:rsid w:val="366F2E0D"/>
    <w:rsid w:val="367B6A5C"/>
    <w:rsid w:val="368D0A96"/>
    <w:rsid w:val="36A74ADA"/>
    <w:rsid w:val="36AD60D5"/>
    <w:rsid w:val="36B224F9"/>
    <w:rsid w:val="36E27034"/>
    <w:rsid w:val="36EC0CC9"/>
    <w:rsid w:val="37284B97"/>
    <w:rsid w:val="372E4027"/>
    <w:rsid w:val="373F410B"/>
    <w:rsid w:val="37495387"/>
    <w:rsid w:val="37730DDA"/>
    <w:rsid w:val="37841E99"/>
    <w:rsid w:val="37976071"/>
    <w:rsid w:val="37EE7094"/>
    <w:rsid w:val="38296C89"/>
    <w:rsid w:val="383002EB"/>
    <w:rsid w:val="38586797"/>
    <w:rsid w:val="385C2E16"/>
    <w:rsid w:val="38B37AA7"/>
    <w:rsid w:val="38BC0149"/>
    <w:rsid w:val="38D87D1C"/>
    <w:rsid w:val="39636459"/>
    <w:rsid w:val="396B7F6C"/>
    <w:rsid w:val="399B02E5"/>
    <w:rsid w:val="39A46823"/>
    <w:rsid w:val="39AD0063"/>
    <w:rsid w:val="39B417A9"/>
    <w:rsid w:val="39B60304"/>
    <w:rsid w:val="39C368B9"/>
    <w:rsid w:val="39FC5695"/>
    <w:rsid w:val="3A006D8E"/>
    <w:rsid w:val="3A3556CD"/>
    <w:rsid w:val="3A3651E5"/>
    <w:rsid w:val="3A744481"/>
    <w:rsid w:val="3A8C7BEF"/>
    <w:rsid w:val="3A906246"/>
    <w:rsid w:val="3AAF547F"/>
    <w:rsid w:val="3AF80E99"/>
    <w:rsid w:val="3AF93785"/>
    <w:rsid w:val="3B2349B7"/>
    <w:rsid w:val="3B3D42C0"/>
    <w:rsid w:val="3B616CFF"/>
    <w:rsid w:val="3B6259F6"/>
    <w:rsid w:val="3B976654"/>
    <w:rsid w:val="3BC01EFC"/>
    <w:rsid w:val="3BCA786A"/>
    <w:rsid w:val="3BD31E2F"/>
    <w:rsid w:val="3BDF7FE6"/>
    <w:rsid w:val="3BF15831"/>
    <w:rsid w:val="3C105946"/>
    <w:rsid w:val="3C154B1E"/>
    <w:rsid w:val="3C236125"/>
    <w:rsid w:val="3C471448"/>
    <w:rsid w:val="3C5F759A"/>
    <w:rsid w:val="3C650C6F"/>
    <w:rsid w:val="3C6C525A"/>
    <w:rsid w:val="3CA60B04"/>
    <w:rsid w:val="3CCE23CB"/>
    <w:rsid w:val="3CD17D17"/>
    <w:rsid w:val="3D3C7F39"/>
    <w:rsid w:val="3D440F09"/>
    <w:rsid w:val="3D4504A0"/>
    <w:rsid w:val="3D695DB9"/>
    <w:rsid w:val="3D8734BB"/>
    <w:rsid w:val="3D9A11D4"/>
    <w:rsid w:val="3DA16D89"/>
    <w:rsid w:val="3DA364BE"/>
    <w:rsid w:val="3DD13731"/>
    <w:rsid w:val="3DE041CB"/>
    <w:rsid w:val="3DF5589F"/>
    <w:rsid w:val="3E0D48F6"/>
    <w:rsid w:val="3E1868B4"/>
    <w:rsid w:val="3E377251"/>
    <w:rsid w:val="3E42664B"/>
    <w:rsid w:val="3E5A7334"/>
    <w:rsid w:val="3E792FCD"/>
    <w:rsid w:val="3E7B5D6B"/>
    <w:rsid w:val="3E843E66"/>
    <w:rsid w:val="3E8D1F7B"/>
    <w:rsid w:val="3E8F51FE"/>
    <w:rsid w:val="3E926F87"/>
    <w:rsid w:val="3E9A59DE"/>
    <w:rsid w:val="3EAF4836"/>
    <w:rsid w:val="3EC33DFA"/>
    <w:rsid w:val="3EC82FB3"/>
    <w:rsid w:val="3EDC58B7"/>
    <w:rsid w:val="3EFE69D5"/>
    <w:rsid w:val="3F060E16"/>
    <w:rsid w:val="3F1D1096"/>
    <w:rsid w:val="3F2F0234"/>
    <w:rsid w:val="3F3453F5"/>
    <w:rsid w:val="3F6363FE"/>
    <w:rsid w:val="3F756B8F"/>
    <w:rsid w:val="3F95482B"/>
    <w:rsid w:val="3FB83028"/>
    <w:rsid w:val="3FE73C89"/>
    <w:rsid w:val="3FFC6AA9"/>
    <w:rsid w:val="4019356B"/>
    <w:rsid w:val="40305CDD"/>
    <w:rsid w:val="4047615A"/>
    <w:rsid w:val="40592157"/>
    <w:rsid w:val="406E1CAE"/>
    <w:rsid w:val="40A0133A"/>
    <w:rsid w:val="40BF1232"/>
    <w:rsid w:val="40C31A53"/>
    <w:rsid w:val="40C7284E"/>
    <w:rsid w:val="40FF545D"/>
    <w:rsid w:val="410067C8"/>
    <w:rsid w:val="418F0D2A"/>
    <w:rsid w:val="41D01505"/>
    <w:rsid w:val="41DD6D76"/>
    <w:rsid w:val="422E7FD5"/>
    <w:rsid w:val="42474939"/>
    <w:rsid w:val="424C3C57"/>
    <w:rsid w:val="42613FF3"/>
    <w:rsid w:val="42660D96"/>
    <w:rsid w:val="427A45C5"/>
    <w:rsid w:val="428667D2"/>
    <w:rsid w:val="428D6AB0"/>
    <w:rsid w:val="42901043"/>
    <w:rsid w:val="429A6A15"/>
    <w:rsid w:val="42CD1CE0"/>
    <w:rsid w:val="42E1381E"/>
    <w:rsid w:val="42ED6459"/>
    <w:rsid w:val="42FE58DD"/>
    <w:rsid w:val="43174B3D"/>
    <w:rsid w:val="434B790E"/>
    <w:rsid w:val="4360274F"/>
    <w:rsid w:val="4397230F"/>
    <w:rsid w:val="43977AB6"/>
    <w:rsid w:val="439D67BD"/>
    <w:rsid w:val="43A3342B"/>
    <w:rsid w:val="43C77C27"/>
    <w:rsid w:val="43DE09EE"/>
    <w:rsid w:val="43F4658F"/>
    <w:rsid w:val="44002FAD"/>
    <w:rsid w:val="442944F4"/>
    <w:rsid w:val="44416362"/>
    <w:rsid w:val="449101DD"/>
    <w:rsid w:val="44A479C5"/>
    <w:rsid w:val="44DE1391"/>
    <w:rsid w:val="451B225C"/>
    <w:rsid w:val="452410C9"/>
    <w:rsid w:val="45317DFB"/>
    <w:rsid w:val="45356766"/>
    <w:rsid w:val="45497F02"/>
    <w:rsid w:val="4554062E"/>
    <w:rsid w:val="456D3CE4"/>
    <w:rsid w:val="4579042C"/>
    <w:rsid w:val="457F0571"/>
    <w:rsid w:val="45851176"/>
    <w:rsid w:val="45C63B94"/>
    <w:rsid w:val="45CC5137"/>
    <w:rsid w:val="460E7DA5"/>
    <w:rsid w:val="4629258A"/>
    <w:rsid w:val="4642004E"/>
    <w:rsid w:val="46422483"/>
    <w:rsid w:val="4659254A"/>
    <w:rsid w:val="465B0637"/>
    <w:rsid w:val="465E3F0D"/>
    <w:rsid w:val="466A16E6"/>
    <w:rsid w:val="46893F2B"/>
    <w:rsid w:val="46A57943"/>
    <w:rsid w:val="46AB5755"/>
    <w:rsid w:val="46C4686E"/>
    <w:rsid w:val="46CB1893"/>
    <w:rsid w:val="46DB4B23"/>
    <w:rsid w:val="47295AED"/>
    <w:rsid w:val="47380B78"/>
    <w:rsid w:val="477B778F"/>
    <w:rsid w:val="478203EC"/>
    <w:rsid w:val="47B025FA"/>
    <w:rsid w:val="4809698F"/>
    <w:rsid w:val="480E77C6"/>
    <w:rsid w:val="4811697D"/>
    <w:rsid w:val="48375B97"/>
    <w:rsid w:val="4853140F"/>
    <w:rsid w:val="485756B9"/>
    <w:rsid w:val="487A3E25"/>
    <w:rsid w:val="488B5503"/>
    <w:rsid w:val="48937E21"/>
    <w:rsid w:val="489A0361"/>
    <w:rsid w:val="48B819A3"/>
    <w:rsid w:val="48B94FF3"/>
    <w:rsid w:val="48CE566A"/>
    <w:rsid w:val="48E37AAB"/>
    <w:rsid w:val="48FD4B4C"/>
    <w:rsid w:val="490A68E0"/>
    <w:rsid w:val="491055FE"/>
    <w:rsid w:val="49441489"/>
    <w:rsid w:val="495F5B3E"/>
    <w:rsid w:val="496F77D7"/>
    <w:rsid w:val="497654FD"/>
    <w:rsid w:val="49A44E86"/>
    <w:rsid w:val="49B64211"/>
    <w:rsid w:val="49D85C1F"/>
    <w:rsid w:val="49F25388"/>
    <w:rsid w:val="49F6167F"/>
    <w:rsid w:val="49FD6207"/>
    <w:rsid w:val="4A064FA0"/>
    <w:rsid w:val="4A16615C"/>
    <w:rsid w:val="4A2B43F6"/>
    <w:rsid w:val="4A4424D7"/>
    <w:rsid w:val="4A6313CC"/>
    <w:rsid w:val="4AB82D0F"/>
    <w:rsid w:val="4AEB7664"/>
    <w:rsid w:val="4AFD7C19"/>
    <w:rsid w:val="4B0567D1"/>
    <w:rsid w:val="4B0E78A9"/>
    <w:rsid w:val="4B1B26BD"/>
    <w:rsid w:val="4B236AAE"/>
    <w:rsid w:val="4B306168"/>
    <w:rsid w:val="4B425E9C"/>
    <w:rsid w:val="4B555BCF"/>
    <w:rsid w:val="4B707271"/>
    <w:rsid w:val="4B7507FF"/>
    <w:rsid w:val="4B9739F7"/>
    <w:rsid w:val="4BE72211"/>
    <w:rsid w:val="4BEE2503"/>
    <w:rsid w:val="4C245A30"/>
    <w:rsid w:val="4C3A4F0D"/>
    <w:rsid w:val="4C6C1422"/>
    <w:rsid w:val="4C7D53DD"/>
    <w:rsid w:val="4CA71F8A"/>
    <w:rsid w:val="4CB45444"/>
    <w:rsid w:val="4CB6685F"/>
    <w:rsid w:val="4CC367FE"/>
    <w:rsid w:val="4D077F3C"/>
    <w:rsid w:val="4D0D7B68"/>
    <w:rsid w:val="4D123355"/>
    <w:rsid w:val="4D2A3B31"/>
    <w:rsid w:val="4D312C52"/>
    <w:rsid w:val="4D905305"/>
    <w:rsid w:val="4D964A72"/>
    <w:rsid w:val="4D9C1254"/>
    <w:rsid w:val="4DB23688"/>
    <w:rsid w:val="4DFA2A5E"/>
    <w:rsid w:val="4E0062C6"/>
    <w:rsid w:val="4E6342B9"/>
    <w:rsid w:val="4E793892"/>
    <w:rsid w:val="4E800872"/>
    <w:rsid w:val="4E8D55B7"/>
    <w:rsid w:val="4EC569ED"/>
    <w:rsid w:val="4ED50EA1"/>
    <w:rsid w:val="4EEA4880"/>
    <w:rsid w:val="4EEC050C"/>
    <w:rsid w:val="4EF63225"/>
    <w:rsid w:val="4F104EC3"/>
    <w:rsid w:val="4F18038A"/>
    <w:rsid w:val="4F2644BE"/>
    <w:rsid w:val="4F3D0F3C"/>
    <w:rsid w:val="4F47354A"/>
    <w:rsid w:val="4F662DF2"/>
    <w:rsid w:val="4F911C54"/>
    <w:rsid w:val="4FE625E0"/>
    <w:rsid w:val="5021480F"/>
    <w:rsid w:val="50615DCE"/>
    <w:rsid w:val="506509A4"/>
    <w:rsid w:val="50962ECB"/>
    <w:rsid w:val="50A42E38"/>
    <w:rsid w:val="50A4577F"/>
    <w:rsid w:val="50B250DE"/>
    <w:rsid w:val="50B73D1F"/>
    <w:rsid w:val="50BD5BC9"/>
    <w:rsid w:val="50C11EEE"/>
    <w:rsid w:val="50E97CFC"/>
    <w:rsid w:val="50FA4028"/>
    <w:rsid w:val="510D65B7"/>
    <w:rsid w:val="511157AB"/>
    <w:rsid w:val="511A0A84"/>
    <w:rsid w:val="511F2F07"/>
    <w:rsid w:val="512B5A23"/>
    <w:rsid w:val="5142540C"/>
    <w:rsid w:val="518832C8"/>
    <w:rsid w:val="518A4659"/>
    <w:rsid w:val="51A0432A"/>
    <w:rsid w:val="51A86090"/>
    <w:rsid w:val="51B7396D"/>
    <w:rsid w:val="51CC4711"/>
    <w:rsid w:val="51F7178E"/>
    <w:rsid w:val="51FF3797"/>
    <w:rsid w:val="52020133"/>
    <w:rsid w:val="52147599"/>
    <w:rsid w:val="522E4CC3"/>
    <w:rsid w:val="5244713B"/>
    <w:rsid w:val="52615633"/>
    <w:rsid w:val="5296022B"/>
    <w:rsid w:val="52977FD4"/>
    <w:rsid w:val="52A25790"/>
    <w:rsid w:val="52A96B6F"/>
    <w:rsid w:val="52AC2512"/>
    <w:rsid w:val="52B45975"/>
    <w:rsid w:val="52D94AA4"/>
    <w:rsid w:val="52EA3A62"/>
    <w:rsid w:val="52F50BB8"/>
    <w:rsid w:val="53097272"/>
    <w:rsid w:val="532742F5"/>
    <w:rsid w:val="53544462"/>
    <w:rsid w:val="536966BB"/>
    <w:rsid w:val="536B49B0"/>
    <w:rsid w:val="53794425"/>
    <w:rsid w:val="5397158E"/>
    <w:rsid w:val="54013861"/>
    <w:rsid w:val="54203CF6"/>
    <w:rsid w:val="54487265"/>
    <w:rsid w:val="544D6070"/>
    <w:rsid w:val="54605E1E"/>
    <w:rsid w:val="54790B80"/>
    <w:rsid w:val="54855F02"/>
    <w:rsid w:val="54B3506A"/>
    <w:rsid w:val="54CA0D16"/>
    <w:rsid w:val="54D9517B"/>
    <w:rsid w:val="54DD4057"/>
    <w:rsid w:val="54E7490F"/>
    <w:rsid w:val="550764A4"/>
    <w:rsid w:val="550B2BF6"/>
    <w:rsid w:val="55101466"/>
    <w:rsid w:val="55214EB5"/>
    <w:rsid w:val="55364EFD"/>
    <w:rsid w:val="555D4828"/>
    <w:rsid w:val="557A4C8B"/>
    <w:rsid w:val="558931E1"/>
    <w:rsid w:val="55923347"/>
    <w:rsid w:val="55925180"/>
    <w:rsid w:val="55983B1B"/>
    <w:rsid w:val="55A8376B"/>
    <w:rsid w:val="55DC29B6"/>
    <w:rsid w:val="55DD4241"/>
    <w:rsid w:val="561B0185"/>
    <w:rsid w:val="564725B8"/>
    <w:rsid w:val="56521E02"/>
    <w:rsid w:val="566B6D1E"/>
    <w:rsid w:val="566F6A65"/>
    <w:rsid w:val="56814847"/>
    <w:rsid w:val="56867584"/>
    <w:rsid w:val="56A417B8"/>
    <w:rsid w:val="56B04601"/>
    <w:rsid w:val="57032A2C"/>
    <w:rsid w:val="570F5219"/>
    <w:rsid w:val="571E59B2"/>
    <w:rsid w:val="57437223"/>
    <w:rsid w:val="575D12B5"/>
    <w:rsid w:val="57610A87"/>
    <w:rsid w:val="5772567E"/>
    <w:rsid w:val="577B1140"/>
    <w:rsid w:val="577B7F21"/>
    <w:rsid w:val="577F181B"/>
    <w:rsid w:val="5788576C"/>
    <w:rsid w:val="57921984"/>
    <w:rsid w:val="579737F0"/>
    <w:rsid w:val="57A429A4"/>
    <w:rsid w:val="57AB7B30"/>
    <w:rsid w:val="57AF5251"/>
    <w:rsid w:val="57B26373"/>
    <w:rsid w:val="57B63F04"/>
    <w:rsid w:val="57CD20C2"/>
    <w:rsid w:val="57D675AB"/>
    <w:rsid w:val="57D95FDD"/>
    <w:rsid w:val="57EF678B"/>
    <w:rsid w:val="58044C05"/>
    <w:rsid w:val="58210955"/>
    <w:rsid w:val="58917D2F"/>
    <w:rsid w:val="5894085C"/>
    <w:rsid w:val="58AE4F0C"/>
    <w:rsid w:val="58B02697"/>
    <w:rsid w:val="58B33F35"/>
    <w:rsid w:val="58B85899"/>
    <w:rsid w:val="58E363A9"/>
    <w:rsid w:val="59162E41"/>
    <w:rsid w:val="595E1678"/>
    <w:rsid w:val="596D5BD4"/>
    <w:rsid w:val="597E3DD8"/>
    <w:rsid w:val="59896FA9"/>
    <w:rsid w:val="59A26483"/>
    <w:rsid w:val="59A32035"/>
    <w:rsid w:val="59B85CA7"/>
    <w:rsid w:val="59F80043"/>
    <w:rsid w:val="5A09252F"/>
    <w:rsid w:val="5A0B2778"/>
    <w:rsid w:val="5A2A7C7B"/>
    <w:rsid w:val="5A2C0443"/>
    <w:rsid w:val="5A3E2560"/>
    <w:rsid w:val="5A445628"/>
    <w:rsid w:val="5A5D3B6E"/>
    <w:rsid w:val="5A637A76"/>
    <w:rsid w:val="5A6D33BA"/>
    <w:rsid w:val="5A792B1F"/>
    <w:rsid w:val="5A874767"/>
    <w:rsid w:val="5A937721"/>
    <w:rsid w:val="5A987886"/>
    <w:rsid w:val="5AAD6F28"/>
    <w:rsid w:val="5AD63A24"/>
    <w:rsid w:val="5ADE798F"/>
    <w:rsid w:val="5AF002EE"/>
    <w:rsid w:val="5B1909C7"/>
    <w:rsid w:val="5B2E1A1D"/>
    <w:rsid w:val="5B815DA7"/>
    <w:rsid w:val="5B843A1C"/>
    <w:rsid w:val="5B873E3F"/>
    <w:rsid w:val="5BCB3758"/>
    <w:rsid w:val="5BFB631F"/>
    <w:rsid w:val="5C02690E"/>
    <w:rsid w:val="5C196DA7"/>
    <w:rsid w:val="5C2A048C"/>
    <w:rsid w:val="5C2D0C63"/>
    <w:rsid w:val="5C80234E"/>
    <w:rsid w:val="5C8A680C"/>
    <w:rsid w:val="5C904CB9"/>
    <w:rsid w:val="5CA644DC"/>
    <w:rsid w:val="5CBE6B97"/>
    <w:rsid w:val="5CDE3C1A"/>
    <w:rsid w:val="5CFD5EAA"/>
    <w:rsid w:val="5D016F91"/>
    <w:rsid w:val="5D094A6B"/>
    <w:rsid w:val="5D0C4701"/>
    <w:rsid w:val="5D0F0395"/>
    <w:rsid w:val="5D221076"/>
    <w:rsid w:val="5D397964"/>
    <w:rsid w:val="5D5A391C"/>
    <w:rsid w:val="5D5F10C0"/>
    <w:rsid w:val="5D891B7B"/>
    <w:rsid w:val="5D997B9D"/>
    <w:rsid w:val="5DAD38EE"/>
    <w:rsid w:val="5E006862"/>
    <w:rsid w:val="5E0207B9"/>
    <w:rsid w:val="5E0B6773"/>
    <w:rsid w:val="5E1834A1"/>
    <w:rsid w:val="5E261785"/>
    <w:rsid w:val="5E266C2D"/>
    <w:rsid w:val="5E4A7017"/>
    <w:rsid w:val="5E552BBA"/>
    <w:rsid w:val="5E611C10"/>
    <w:rsid w:val="5E8545C5"/>
    <w:rsid w:val="5E9112E5"/>
    <w:rsid w:val="5ED25D4D"/>
    <w:rsid w:val="5EDF0F7C"/>
    <w:rsid w:val="5EFC7377"/>
    <w:rsid w:val="5F005345"/>
    <w:rsid w:val="5F04138D"/>
    <w:rsid w:val="5F06174D"/>
    <w:rsid w:val="5F13397F"/>
    <w:rsid w:val="5F3A3602"/>
    <w:rsid w:val="5F3C4C84"/>
    <w:rsid w:val="5F6277C6"/>
    <w:rsid w:val="5F6D0B1D"/>
    <w:rsid w:val="5F8D0B82"/>
    <w:rsid w:val="5FA42829"/>
    <w:rsid w:val="5FCC5339"/>
    <w:rsid w:val="5FDA6D66"/>
    <w:rsid w:val="5FE34A5B"/>
    <w:rsid w:val="5FFE1E36"/>
    <w:rsid w:val="60232584"/>
    <w:rsid w:val="607330CE"/>
    <w:rsid w:val="607C75A8"/>
    <w:rsid w:val="60825176"/>
    <w:rsid w:val="608F56D7"/>
    <w:rsid w:val="609F2AC4"/>
    <w:rsid w:val="60AF1486"/>
    <w:rsid w:val="60FA2EE8"/>
    <w:rsid w:val="61054A27"/>
    <w:rsid w:val="610712C2"/>
    <w:rsid w:val="610A52BC"/>
    <w:rsid w:val="611D2366"/>
    <w:rsid w:val="61421856"/>
    <w:rsid w:val="615227C4"/>
    <w:rsid w:val="61641C99"/>
    <w:rsid w:val="61654E3F"/>
    <w:rsid w:val="6182292A"/>
    <w:rsid w:val="619F7F92"/>
    <w:rsid w:val="61A82AA5"/>
    <w:rsid w:val="61E93A54"/>
    <w:rsid w:val="61F57638"/>
    <w:rsid w:val="61F94C26"/>
    <w:rsid w:val="61FA4982"/>
    <w:rsid w:val="62000E56"/>
    <w:rsid w:val="624F3E49"/>
    <w:rsid w:val="62507252"/>
    <w:rsid w:val="62632286"/>
    <w:rsid w:val="62760BE1"/>
    <w:rsid w:val="62885958"/>
    <w:rsid w:val="629552F2"/>
    <w:rsid w:val="62DE6052"/>
    <w:rsid w:val="62E47B0C"/>
    <w:rsid w:val="62F40B65"/>
    <w:rsid w:val="62FC2CFE"/>
    <w:rsid w:val="63024505"/>
    <w:rsid w:val="6315263E"/>
    <w:rsid w:val="632223E3"/>
    <w:rsid w:val="633D5518"/>
    <w:rsid w:val="635B1DB5"/>
    <w:rsid w:val="636724EC"/>
    <w:rsid w:val="63711FED"/>
    <w:rsid w:val="63880DDC"/>
    <w:rsid w:val="638D750D"/>
    <w:rsid w:val="63AC6CC0"/>
    <w:rsid w:val="63B15515"/>
    <w:rsid w:val="63BC0727"/>
    <w:rsid w:val="63BF738F"/>
    <w:rsid w:val="64055776"/>
    <w:rsid w:val="64240056"/>
    <w:rsid w:val="64364A68"/>
    <w:rsid w:val="643E143A"/>
    <w:rsid w:val="6472739A"/>
    <w:rsid w:val="64774C83"/>
    <w:rsid w:val="648B6EEF"/>
    <w:rsid w:val="64C158BF"/>
    <w:rsid w:val="64C70065"/>
    <w:rsid w:val="64CE2EAA"/>
    <w:rsid w:val="64E9731B"/>
    <w:rsid w:val="653C3090"/>
    <w:rsid w:val="656211BC"/>
    <w:rsid w:val="65767CBF"/>
    <w:rsid w:val="65854376"/>
    <w:rsid w:val="658767BE"/>
    <w:rsid w:val="65892531"/>
    <w:rsid w:val="65D93276"/>
    <w:rsid w:val="660C143C"/>
    <w:rsid w:val="66195831"/>
    <w:rsid w:val="662E75B1"/>
    <w:rsid w:val="66342C2E"/>
    <w:rsid w:val="663E784C"/>
    <w:rsid w:val="668B6A45"/>
    <w:rsid w:val="66B6356E"/>
    <w:rsid w:val="66CA0DC7"/>
    <w:rsid w:val="67157571"/>
    <w:rsid w:val="672F3F24"/>
    <w:rsid w:val="673E055F"/>
    <w:rsid w:val="67551CE3"/>
    <w:rsid w:val="679B231C"/>
    <w:rsid w:val="67A22552"/>
    <w:rsid w:val="67B22DCC"/>
    <w:rsid w:val="67BE71AA"/>
    <w:rsid w:val="67D90273"/>
    <w:rsid w:val="67DE5875"/>
    <w:rsid w:val="67E55852"/>
    <w:rsid w:val="67EB1AB4"/>
    <w:rsid w:val="67F87BB6"/>
    <w:rsid w:val="67FA1285"/>
    <w:rsid w:val="68507F81"/>
    <w:rsid w:val="68551F4F"/>
    <w:rsid w:val="686E384F"/>
    <w:rsid w:val="68774F7F"/>
    <w:rsid w:val="687C10C9"/>
    <w:rsid w:val="68840C16"/>
    <w:rsid w:val="68876EFB"/>
    <w:rsid w:val="68884654"/>
    <w:rsid w:val="689915C3"/>
    <w:rsid w:val="689F444F"/>
    <w:rsid w:val="68B96DBB"/>
    <w:rsid w:val="68CA2805"/>
    <w:rsid w:val="68E24AEE"/>
    <w:rsid w:val="68E937A3"/>
    <w:rsid w:val="693E15D3"/>
    <w:rsid w:val="69627681"/>
    <w:rsid w:val="6977531D"/>
    <w:rsid w:val="69822647"/>
    <w:rsid w:val="69BE2739"/>
    <w:rsid w:val="69C85C24"/>
    <w:rsid w:val="69CC2BFF"/>
    <w:rsid w:val="69FD55B8"/>
    <w:rsid w:val="6A0B1C62"/>
    <w:rsid w:val="6A2406C8"/>
    <w:rsid w:val="6A294057"/>
    <w:rsid w:val="6A4160F7"/>
    <w:rsid w:val="6A9E6E89"/>
    <w:rsid w:val="6ADE0BD1"/>
    <w:rsid w:val="6AE96859"/>
    <w:rsid w:val="6B147746"/>
    <w:rsid w:val="6B24787C"/>
    <w:rsid w:val="6B4A616F"/>
    <w:rsid w:val="6B573233"/>
    <w:rsid w:val="6B5B6274"/>
    <w:rsid w:val="6B601CFA"/>
    <w:rsid w:val="6B935D53"/>
    <w:rsid w:val="6B9F1A7E"/>
    <w:rsid w:val="6C196F71"/>
    <w:rsid w:val="6C226FCB"/>
    <w:rsid w:val="6C2A0FC0"/>
    <w:rsid w:val="6C31226F"/>
    <w:rsid w:val="6C552F0B"/>
    <w:rsid w:val="6C624D29"/>
    <w:rsid w:val="6C631E53"/>
    <w:rsid w:val="6C8C67B7"/>
    <w:rsid w:val="6C9D744C"/>
    <w:rsid w:val="6CAD4C26"/>
    <w:rsid w:val="6D167928"/>
    <w:rsid w:val="6D1D0745"/>
    <w:rsid w:val="6D26299B"/>
    <w:rsid w:val="6D4772EC"/>
    <w:rsid w:val="6D4C69DA"/>
    <w:rsid w:val="6D6249EE"/>
    <w:rsid w:val="6D714693"/>
    <w:rsid w:val="6D8A5754"/>
    <w:rsid w:val="6D9078AF"/>
    <w:rsid w:val="6DAA3FEF"/>
    <w:rsid w:val="6DC0172B"/>
    <w:rsid w:val="6DCB690C"/>
    <w:rsid w:val="6DD41A5B"/>
    <w:rsid w:val="6DE468C8"/>
    <w:rsid w:val="6DF43C2E"/>
    <w:rsid w:val="6DF51CA3"/>
    <w:rsid w:val="6E1E719C"/>
    <w:rsid w:val="6E8335BD"/>
    <w:rsid w:val="6E8E12EF"/>
    <w:rsid w:val="6E972936"/>
    <w:rsid w:val="6EA2087C"/>
    <w:rsid w:val="6EB65595"/>
    <w:rsid w:val="6ED446C5"/>
    <w:rsid w:val="6F1A6664"/>
    <w:rsid w:val="6F2A7D94"/>
    <w:rsid w:val="6F8331F1"/>
    <w:rsid w:val="6FAE1A09"/>
    <w:rsid w:val="6FD75BF8"/>
    <w:rsid w:val="707723D0"/>
    <w:rsid w:val="70783BE2"/>
    <w:rsid w:val="708466AB"/>
    <w:rsid w:val="70AA3C49"/>
    <w:rsid w:val="70DF1913"/>
    <w:rsid w:val="70F5661B"/>
    <w:rsid w:val="70FB773A"/>
    <w:rsid w:val="7100460E"/>
    <w:rsid w:val="71360107"/>
    <w:rsid w:val="713B688E"/>
    <w:rsid w:val="71D43752"/>
    <w:rsid w:val="71DB032D"/>
    <w:rsid w:val="71F1796A"/>
    <w:rsid w:val="72154626"/>
    <w:rsid w:val="72262B5D"/>
    <w:rsid w:val="72283FF7"/>
    <w:rsid w:val="722E7212"/>
    <w:rsid w:val="723A0474"/>
    <w:rsid w:val="724B4950"/>
    <w:rsid w:val="725923E4"/>
    <w:rsid w:val="726B7B33"/>
    <w:rsid w:val="72864BF7"/>
    <w:rsid w:val="729023FC"/>
    <w:rsid w:val="729130E1"/>
    <w:rsid w:val="72DE511D"/>
    <w:rsid w:val="732469F1"/>
    <w:rsid w:val="739F5A46"/>
    <w:rsid w:val="73C0646E"/>
    <w:rsid w:val="73F676A0"/>
    <w:rsid w:val="742222F5"/>
    <w:rsid w:val="74237BDB"/>
    <w:rsid w:val="74476126"/>
    <w:rsid w:val="745A0D15"/>
    <w:rsid w:val="74706664"/>
    <w:rsid w:val="747F3682"/>
    <w:rsid w:val="748C5DDE"/>
    <w:rsid w:val="74951ED7"/>
    <w:rsid w:val="749C4185"/>
    <w:rsid w:val="75067759"/>
    <w:rsid w:val="752E2E69"/>
    <w:rsid w:val="752E6DCD"/>
    <w:rsid w:val="7551380D"/>
    <w:rsid w:val="75523ECB"/>
    <w:rsid w:val="75600BE5"/>
    <w:rsid w:val="7564475C"/>
    <w:rsid w:val="757C7E77"/>
    <w:rsid w:val="7583797F"/>
    <w:rsid w:val="75970A0E"/>
    <w:rsid w:val="759E3629"/>
    <w:rsid w:val="75D20F1D"/>
    <w:rsid w:val="75DA2C18"/>
    <w:rsid w:val="75F54412"/>
    <w:rsid w:val="75F96FD3"/>
    <w:rsid w:val="761072A4"/>
    <w:rsid w:val="761D08E0"/>
    <w:rsid w:val="7621652A"/>
    <w:rsid w:val="762322A2"/>
    <w:rsid w:val="762D4ECF"/>
    <w:rsid w:val="765D347C"/>
    <w:rsid w:val="76826699"/>
    <w:rsid w:val="76C87133"/>
    <w:rsid w:val="76CD08D5"/>
    <w:rsid w:val="76DB4B92"/>
    <w:rsid w:val="77052AA4"/>
    <w:rsid w:val="77136511"/>
    <w:rsid w:val="77340A39"/>
    <w:rsid w:val="77351FD0"/>
    <w:rsid w:val="77472422"/>
    <w:rsid w:val="776E579F"/>
    <w:rsid w:val="777F31F2"/>
    <w:rsid w:val="778C1A27"/>
    <w:rsid w:val="77D1700D"/>
    <w:rsid w:val="77DD1CAC"/>
    <w:rsid w:val="77E87688"/>
    <w:rsid w:val="77EC04CC"/>
    <w:rsid w:val="782D11B6"/>
    <w:rsid w:val="78544995"/>
    <w:rsid w:val="78775729"/>
    <w:rsid w:val="78A42DB0"/>
    <w:rsid w:val="78A656AB"/>
    <w:rsid w:val="78B2245C"/>
    <w:rsid w:val="78E172CC"/>
    <w:rsid w:val="78EA1D1F"/>
    <w:rsid w:val="78FB12B4"/>
    <w:rsid w:val="7904172F"/>
    <w:rsid w:val="790F7E27"/>
    <w:rsid w:val="791B5115"/>
    <w:rsid w:val="791D56CF"/>
    <w:rsid w:val="79294073"/>
    <w:rsid w:val="792A231A"/>
    <w:rsid w:val="79316829"/>
    <w:rsid w:val="79440FF5"/>
    <w:rsid w:val="797E66A9"/>
    <w:rsid w:val="79823784"/>
    <w:rsid w:val="79935991"/>
    <w:rsid w:val="79A97383"/>
    <w:rsid w:val="79B73E5C"/>
    <w:rsid w:val="79DB7FFA"/>
    <w:rsid w:val="79DF2D87"/>
    <w:rsid w:val="79E27E8B"/>
    <w:rsid w:val="79EB1329"/>
    <w:rsid w:val="79F850CE"/>
    <w:rsid w:val="79FD443C"/>
    <w:rsid w:val="7A1D1975"/>
    <w:rsid w:val="7A28257D"/>
    <w:rsid w:val="7A340B5A"/>
    <w:rsid w:val="7A3E5150"/>
    <w:rsid w:val="7A3F7071"/>
    <w:rsid w:val="7A4670D6"/>
    <w:rsid w:val="7A534B63"/>
    <w:rsid w:val="7A5471AB"/>
    <w:rsid w:val="7A615382"/>
    <w:rsid w:val="7A67303B"/>
    <w:rsid w:val="7A960648"/>
    <w:rsid w:val="7AAB1D04"/>
    <w:rsid w:val="7AB61937"/>
    <w:rsid w:val="7ABA4368"/>
    <w:rsid w:val="7AD05746"/>
    <w:rsid w:val="7B014439"/>
    <w:rsid w:val="7B257FFD"/>
    <w:rsid w:val="7B343476"/>
    <w:rsid w:val="7B4D16C2"/>
    <w:rsid w:val="7B5A2978"/>
    <w:rsid w:val="7B5A7E4C"/>
    <w:rsid w:val="7B667AF9"/>
    <w:rsid w:val="7B7468F8"/>
    <w:rsid w:val="7BCA5401"/>
    <w:rsid w:val="7BEE0103"/>
    <w:rsid w:val="7C0A0FE4"/>
    <w:rsid w:val="7C254906"/>
    <w:rsid w:val="7C374CF9"/>
    <w:rsid w:val="7C590818"/>
    <w:rsid w:val="7C710688"/>
    <w:rsid w:val="7C7C10F6"/>
    <w:rsid w:val="7C853BEA"/>
    <w:rsid w:val="7C881368"/>
    <w:rsid w:val="7C9D7FDE"/>
    <w:rsid w:val="7CA4541E"/>
    <w:rsid w:val="7CE27788"/>
    <w:rsid w:val="7D0C32F1"/>
    <w:rsid w:val="7D0F408D"/>
    <w:rsid w:val="7D491C6C"/>
    <w:rsid w:val="7D5429C0"/>
    <w:rsid w:val="7D592A4D"/>
    <w:rsid w:val="7D6E6D43"/>
    <w:rsid w:val="7DB57A34"/>
    <w:rsid w:val="7DCF4ABD"/>
    <w:rsid w:val="7DE60973"/>
    <w:rsid w:val="7DE84174"/>
    <w:rsid w:val="7DEF0916"/>
    <w:rsid w:val="7E0C6649"/>
    <w:rsid w:val="7E1E5218"/>
    <w:rsid w:val="7E551467"/>
    <w:rsid w:val="7E9A4E1F"/>
    <w:rsid w:val="7EA7723A"/>
    <w:rsid w:val="7EC87E8B"/>
    <w:rsid w:val="7ED20D09"/>
    <w:rsid w:val="7ED6381B"/>
    <w:rsid w:val="7EE84089"/>
    <w:rsid w:val="7EF56FBB"/>
    <w:rsid w:val="7F0768EB"/>
    <w:rsid w:val="7F143BEC"/>
    <w:rsid w:val="7F715AF2"/>
    <w:rsid w:val="7F886E69"/>
    <w:rsid w:val="7FF50CD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8">
    <w:name w:val="Default Paragraph Font"/>
    <w:semiHidden/>
    <w:unhideWhenUsed/>
    <w:qFormat/>
    <w:uiPriority w:val="1"/>
  </w:style>
  <w:style w:type="table" w:default="1" w:styleId="7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ind w:left="420" w:leftChars="200"/>
    </w:pPr>
    <w:rPr>
      <w:rFonts w:eastAsia="宋体" w:cs="Times New Roman"/>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194"/>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8"/>
    <w:qFormat/>
    <w:uiPriority w:val="0"/>
    <w:pPr>
      <w:shd w:val="clear" w:color="auto" w:fill="000080"/>
    </w:pPr>
  </w:style>
  <w:style w:type="paragraph" w:styleId="22">
    <w:name w:val="annotation text"/>
    <w:basedOn w:val="1"/>
    <w:next w:val="23"/>
    <w:link w:val="350"/>
    <w:qFormat/>
    <w:uiPriority w:val="99"/>
    <w:pPr>
      <w:jc w:val="left"/>
    </w:pPr>
  </w:style>
  <w:style w:type="paragraph" w:customStyle="1" w:styleId="23">
    <w:name w:val="样式6"/>
    <w:basedOn w:val="24"/>
    <w:next w:val="26"/>
    <w:qFormat/>
    <w:uiPriority w:val="0"/>
    <w:pPr>
      <w:spacing w:line="460" w:lineRule="exact"/>
      <w:outlineLvl w:val="2"/>
    </w:pPr>
    <w:rPr>
      <w:rFonts w:ascii="FangSong_GB2312" w:hAnsi="宋体" w:eastAsia="FangSong_GB2312"/>
      <w:b/>
      <w:bCs/>
      <w:sz w:val="24"/>
      <w:szCs w:val="24"/>
    </w:rPr>
  </w:style>
  <w:style w:type="paragraph" w:styleId="24">
    <w:name w:val="Plain Text"/>
    <w:basedOn w:val="1"/>
    <w:next w:val="25"/>
    <w:link w:val="132"/>
    <w:qFormat/>
    <w:uiPriority w:val="0"/>
    <w:rPr>
      <w:rFonts w:ascii="宋体" w:hAnsi="Courier New" w:cs="Arial"/>
      <w:snapToGrid w:val="0"/>
      <w:szCs w:val="21"/>
    </w:rPr>
  </w:style>
  <w:style w:type="paragraph" w:styleId="25">
    <w:name w:val="Date"/>
    <w:basedOn w:val="1"/>
    <w:next w:val="1"/>
    <w:link w:val="187"/>
    <w:qFormat/>
    <w:uiPriority w:val="0"/>
    <w:pPr>
      <w:ind w:left="100" w:leftChars="2500"/>
    </w:pPr>
    <w:rPr>
      <w:rFonts w:ascii="宋体"/>
      <w:sz w:val="24"/>
      <w:szCs w:val="21"/>
      <w:lang w:val="zh-CN"/>
    </w:rPr>
  </w:style>
  <w:style w:type="paragraph" w:styleId="26">
    <w:name w:val="Body Text 2"/>
    <w:basedOn w:val="1"/>
    <w:next w:val="27"/>
    <w:link w:val="308"/>
    <w:qFormat/>
    <w:uiPriority w:val="0"/>
    <w:pPr>
      <w:spacing w:after="120" w:line="480" w:lineRule="auto"/>
    </w:pPr>
  </w:style>
  <w:style w:type="paragraph" w:customStyle="1" w:styleId="27">
    <w:name w:val="默认段落字体 Para Char"/>
    <w:basedOn w:val="1"/>
    <w:next w:val="28"/>
    <w:qFormat/>
    <w:uiPriority w:val="0"/>
    <w:rPr>
      <w:rFonts w:ascii="Tahoma" w:hAnsi="Tahoma"/>
      <w:sz w:val="24"/>
      <w:szCs w:val="20"/>
    </w:rPr>
  </w:style>
  <w:style w:type="paragraph" w:customStyle="1" w:styleId="28">
    <w:name w:val="Char Char Char Char Char Char Char Char Char Char Char Char Char Char Char Char"/>
    <w:basedOn w:val="1"/>
    <w:next w:val="29"/>
    <w:qFormat/>
    <w:uiPriority w:val="0"/>
  </w:style>
  <w:style w:type="paragraph" w:customStyle="1" w:styleId="29">
    <w:name w:val="列出段落1"/>
    <w:basedOn w:val="1"/>
    <w:next w:val="30"/>
    <w:qFormat/>
    <w:uiPriority w:val="0"/>
    <w:pPr>
      <w:adjustRightInd/>
      <w:spacing w:line="360" w:lineRule="auto"/>
      <w:ind w:firstLine="420" w:firstLineChars="200"/>
    </w:pPr>
    <w:rPr>
      <w:rFonts w:ascii="Calibri" w:hAnsi="Calibri"/>
      <w:sz w:val="24"/>
      <w:szCs w:val="22"/>
    </w:rPr>
  </w:style>
  <w:style w:type="paragraph" w:customStyle="1" w:styleId="30">
    <w:name w:val="Char"/>
    <w:basedOn w:val="1"/>
    <w:next w:val="31"/>
    <w:qFormat/>
    <w:uiPriority w:val="0"/>
    <w:rPr>
      <w:rFonts w:ascii="FangSong_GB2312" w:eastAsia="FangSong_GB2312"/>
      <w:b/>
      <w:sz w:val="32"/>
      <w:szCs w:val="32"/>
    </w:rPr>
  </w:style>
  <w:style w:type="paragraph" w:customStyle="1" w:styleId="31">
    <w:name w:val="p0"/>
    <w:basedOn w:val="1"/>
    <w:qFormat/>
    <w:uiPriority w:val="0"/>
    <w:pPr>
      <w:widowControl/>
      <w:adjustRightInd/>
    </w:pPr>
    <w:rPr>
      <w:kern w:val="0"/>
      <w:szCs w:val="21"/>
    </w:rPr>
  </w:style>
  <w:style w:type="paragraph" w:styleId="32">
    <w:name w:val="Salutation"/>
    <w:basedOn w:val="1"/>
    <w:next w:val="1"/>
    <w:link w:val="304"/>
    <w:qFormat/>
    <w:uiPriority w:val="0"/>
    <w:rPr>
      <w:rFonts w:ascii="FangSong_GB2312" w:eastAsia="FangSong_GB2312"/>
      <w:sz w:val="28"/>
      <w:szCs w:val="20"/>
    </w:rPr>
  </w:style>
  <w:style w:type="paragraph" w:styleId="33">
    <w:name w:val="Body Text 3"/>
    <w:basedOn w:val="1"/>
    <w:link w:val="336"/>
    <w:qFormat/>
    <w:uiPriority w:val="0"/>
    <w:pPr>
      <w:jc w:val="center"/>
    </w:pPr>
    <w:rPr>
      <w:szCs w:val="20"/>
    </w:rPr>
  </w:style>
  <w:style w:type="paragraph" w:styleId="34">
    <w:name w:val="List Bullet 3"/>
    <w:basedOn w:val="1"/>
    <w:unhideWhenUsed/>
    <w:qFormat/>
    <w:uiPriority w:val="0"/>
    <w:pPr>
      <w:snapToGrid w:val="0"/>
      <w:spacing w:line="360" w:lineRule="auto"/>
      <w:ind w:left="360" w:right="238" w:hanging="360"/>
      <w:contextualSpacing/>
    </w:pPr>
    <w:rPr>
      <w:sz w:val="24"/>
    </w:rPr>
  </w:style>
  <w:style w:type="paragraph" w:styleId="35">
    <w:name w:val="Body Text"/>
    <w:basedOn w:val="1"/>
    <w:link w:val="436"/>
    <w:qFormat/>
    <w:uiPriority w:val="0"/>
    <w:pPr>
      <w:autoSpaceDE w:val="0"/>
      <w:autoSpaceDN w:val="0"/>
      <w:spacing w:line="360" w:lineRule="auto"/>
    </w:pPr>
    <w:rPr>
      <w:rFonts w:ascii="宋体" w:hAnsi="Arial" w:cs="Arial"/>
      <w:snapToGrid w:val="0"/>
      <w:sz w:val="24"/>
      <w:szCs w:val="21"/>
      <w:lang w:val="zh-CN"/>
    </w:rPr>
  </w:style>
  <w:style w:type="paragraph" w:styleId="36">
    <w:name w:val="Body Text Indent"/>
    <w:basedOn w:val="1"/>
    <w:next w:val="1"/>
    <w:link w:val="271"/>
    <w:qFormat/>
    <w:uiPriority w:val="0"/>
    <w:pPr>
      <w:spacing w:line="480" w:lineRule="exact"/>
      <w:ind w:firstLine="480" w:firstLineChars="200"/>
    </w:pPr>
    <w:rPr>
      <w:rFonts w:ascii="宋体" w:hAnsi="宋体"/>
      <w:sz w:val="24"/>
    </w:rPr>
  </w:style>
  <w:style w:type="paragraph" w:styleId="3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8">
    <w:name w:val="List 2"/>
    <w:basedOn w:val="1"/>
    <w:qFormat/>
    <w:uiPriority w:val="0"/>
    <w:pPr>
      <w:adjustRightInd/>
      <w:spacing w:line="360" w:lineRule="auto"/>
      <w:ind w:left="100" w:leftChars="200" w:hanging="200" w:hangingChars="200"/>
    </w:pPr>
    <w:rPr>
      <w:rFonts w:eastAsia="微软雅黑"/>
    </w:rPr>
  </w:style>
  <w:style w:type="paragraph" w:styleId="39">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40">
    <w:name w:val="List Bullet 2"/>
    <w:basedOn w:val="1"/>
    <w:qFormat/>
    <w:uiPriority w:val="0"/>
    <w:pPr>
      <w:autoSpaceDE w:val="0"/>
      <w:autoSpaceDN w:val="0"/>
      <w:ind w:left="420"/>
      <w:jc w:val="left"/>
    </w:pPr>
    <w:rPr>
      <w:rFonts w:ascii="宋体" w:hAnsi="宋体"/>
      <w:color w:val="000000"/>
      <w:kern w:val="0"/>
      <w:sz w:val="24"/>
      <w:szCs w:val="20"/>
    </w:rPr>
  </w:style>
  <w:style w:type="paragraph" w:styleId="4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42">
    <w:name w:val="toc 5"/>
    <w:basedOn w:val="1"/>
    <w:next w:val="1"/>
    <w:qFormat/>
    <w:uiPriority w:val="0"/>
    <w:pPr>
      <w:ind w:left="1680" w:leftChars="800"/>
    </w:pPr>
  </w:style>
  <w:style w:type="paragraph" w:styleId="4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5">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6">
    <w:name w:val="endnote text"/>
    <w:basedOn w:val="1"/>
    <w:link w:val="932"/>
    <w:qFormat/>
    <w:uiPriority w:val="0"/>
    <w:rPr>
      <w:lang w:val="zh-CN"/>
    </w:rPr>
  </w:style>
  <w:style w:type="paragraph" w:styleId="47">
    <w:name w:val="footer"/>
    <w:basedOn w:val="1"/>
    <w:link w:val="389"/>
    <w:qFormat/>
    <w:uiPriority w:val="99"/>
    <w:pPr>
      <w:tabs>
        <w:tab w:val="center" w:pos="4153"/>
        <w:tab w:val="right" w:pos="8306"/>
      </w:tabs>
      <w:snapToGrid w:val="0"/>
      <w:jc w:val="left"/>
    </w:pPr>
    <w:rPr>
      <w:sz w:val="18"/>
      <w:szCs w:val="18"/>
    </w:rPr>
  </w:style>
  <w:style w:type="paragraph" w:styleId="48">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51"/>
    <w:qFormat/>
    <w:uiPriority w:val="0"/>
    <w:pPr>
      <w:spacing w:after="600" w:line="312" w:lineRule="atLeast"/>
      <w:jc w:val="center"/>
      <w:textAlignment w:val="baseline"/>
    </w:pPr>
    <w:rPr>
      <w:rFonts w:eastAsia="FangSong_GB2312"/>
      <w:kern w:val="0"/>
      <w:sz w:val="24"/>
      <w:szCs w:val="20"/>
    </w:rPr>
  </w:style>
  <w:style w:type="paragraph" w:styleId="50">
    <w:name w:val="toc 1"/>
    <w:basedOn w:val="1"/>
    <w:next w:val="1"/>
    <w:qFormat/>
    <w:uiPriority w:val="0"/>
  </w:style>
  <w:style w:type="paragraph" w:styleId="51">
    <w:name w:val="toc 4"/>
    <w:basedOn w:val="1"/>
    <w:next w:val="1"/>
    <w:qFormat/>
    <w:uiPriority w:val="0"/>
    <w:pPr>
      <w:ind w:left="1260" w:leftChars="600"/>
    </w:pPr>
  </w:style>
  <w:style w:type="paragraph" w:styleId="52">
    <w:name w:val="index heading"/>
    <w:basedOn w:val="1"/>
    <w:next w:val="53"/>
    <w:qFormat/>
    <w:uiPriority w:val="0"/>
    <w:pPr>
      <w:adjustRightInd/>
      <w:ind w:firstLine="200" w:firstLineChars="200"/>
    </w:pPr>
  </w:style>
  <w:style w:type="paragraph" w:styleId="53">
    <w:name w:val="index 1"/>
    <w:basedOn w:val="1"/>
    <w:next w:val="1"/>
    <w:qFormat/>
    <w:uiPriority w:val="0"/>
    <w:pPr>
      <w:adjustRightInd/>
      <w:spacing w:line="360" w:lineRule="auto"/>
      <w:ind w:firstLine="200" w:firstLineChars="200"/>
      <w:jc w:val="center"/>
    </w:pPr>
    <w:rPr>
      <w:sz w:val="24"/>
      <w:szCs w:val="20"/>
    </w:rPr>
  </w:style>
  <w:style w:type="paragraph" w:styleId="54">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qFormat/>
    <w:uiPriority w:val="0"/>
    <w:pPr>
      <w:tabs>
        <w:tab w:val="left" w:pos="902"/>
      </w:tabs>
      <w:adjustRightInd/>
      <w:spacing w:line="400" w:lineRule="exact"/>
      <w:ind w:left="902" w:hanging="420"/>
    </w:pPr>
    <w:rPr>
      <w:sz w:val="24"/>
      <w:szCs w:val="20"/>
    </w:rPr>
  </w:style>
  <w:style w:type="paragraph" w:styleId="56">
    <w:name w:val="List"/>
    <w:basedOn w:val="1"/>
    <w:qFormat/>
    <w:uiPriority w:val="0"/>
    <w:pPr>
      <w:ind w:left="200" w:hanging="200" w:hangingChars="200"/>
    </w:pPr>
  </w:style>
  <w:style w:type="paragraph" w:styleId="57">
    <w:name w:val="footnote text"/>
    <w:basedOn w:val="18"/>
    <w:link w:val="316"/>
    <w:qFormat/>
    <w:uiPriority w:val="0"/>
    <w:pPr>
      <w:adjustRightInd/>
      <w:snapToGrid/>
      <w:spacing w:before="60" w:after="60" w:line="300" w:lineRule="exact"/>
      <w:ind w:firstLine="0"/>
    </w:pPr>
    <w:rPr>
      <w:rFonts w:ascii="Calibri"/>
      <w:snapToGrid/>
      <w:color w:val="0000FF"/>
      <w:kern w:val="0"/>
      <w:sz w:val="21"/>
    </w:rPr>
  </w:style>
  <w:style w:type="paragraph" w:styleId="58">
    <w:name w:val="toc 6"/>
    <w:basedOn w:val="1"/>
    <w:next w:val="1"/>
    <w:qFormat/>
    <w:uiPriority w:val="0"/>
    <w:pPr>
      <w:ind w:left="2100" w:leftChars="1000"/>
    </w:pPr>
  </w:style>
  <w:style w:type="paragraph" w:styleId="59">
    <w:name w:val="List 5"/>
    <w:basedOn w:val="1"/>
    <w:qFormat/>
    <w:uiPriority w:val="0"/>
    <w:pPr>
      <w:adjustRightInd/>
      <w:ind w:left="100" w:leftChars="800" w:hanging="200" w:hangingChars="200"/>
    </w:pPr>
  </w:style>
  <w:style w:type="paragraph" w:styleId="60">
    <w:name w:val="Body Text Indent 3"/>
    <w:basedOn w:val="1"/>
    <w:link w:val="381"/>
    <w:qFormat/>
    <w:uiPriority w:val="0"/>
    <w:pPr>
      <w:spacing w:line="360" w:lineRule="auto"/>
      <w:ind w:firstLine="420"/>
    </w:pPr>
    <w:rPr>
      <w:sz w:val="24"/>
      <w:szCs w:val="20"/>
    </w:rPr>
  </w:style>
  <w:style w:type="paragraph" w:styleId="61">
    <w:name w:val="toc 2"/>
    <w:basedOn w:val="1"/>
    <w:next w:val="1"/>
    <w:qFormat/>
    <w:uiPriority w:val="0"/>
    <w:pPr>
      <w:ind w:left="420" w:leftChars="200"/>
    </w:pPr>
  </w:style>
  <w:style w:type="paragraph" w:styleId="62">
    <w:name w:val="toc 9"/>
    <w:basedOn w:val="1"/>
    <w:next w:val="1"/>
    <w:qFormat/>
    <w:uiPriority w:val="0"/>
    <w:pPr>
      <w:ind w:left="3360" w:leftChars="1600"/>
    </w:pPr>
  </w:style>
  <w:style w:type="paragraph" w:styleId="63">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next w:val="65"/>
    <w:qFormat/>
    <w:uiPriority w:val="99"/>
    <w:pPr>
      <w:widowControl/>
      <w:spacing w:before="100" w:beforeAutospacing="1" w:after="100" w:afterAutospacing="1"/>
      <w:jc w:val="left"/>
    </w:pPr>
    <w:rPr>
      <w:rFonts w:ascii="宋体" w:hAnsi="宋体"/>
      <w:kern w:val="0"/>
      <w:sz w:val="24"/>
    </w:rPr>
  </w:style>
  <w:style w:type="paragraph" w:customStyle="1" w:styleId="65">
    <w:name w:val="Char Char Char"/>
    <w:basedOn w:val="1"/>
    <w:next w:val="66"/>
    <w:qFormat/>
    <w:uiPriority w:val="0"/>
    <w:rPr>
      <w:rFonts w:ascii="Tahoma" w:hAnsi="Tahoma"/>
      <w:sz w:val="24"/>
      <w:szCs w:val="20"/>
    </w:rPr>
  </w:style>
  <w:style w:type="paragraph" w:customStyle="1" w:styleId="66">
    <w:name w:val="正文2"/>
    <w:basedOn w:val="1"/>
    <w:next w:val="22"/>
    <w:link w:val="137"/>
    <w:qFormat/>
    <w:uiPriority w:val="0"/>
    <w:pPr>
      <w:spacing w:before="156" w:line="360" w:lineRule="auto"/>
      <w:ind w:firstLine="510" w:firstLineChars="200"/>
    </w:pPr>
    <w:rPr>
      <w:sz w:val="24"/>
      <w:szCs w:val="20"/>
    </w:rPr>
  </w:style>
  <w:style w:type="paragraph" w:styleId="67">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8">
    <w:name w:val="annotation subject"/>
    <w:basedOn w:val="22"/>
    <w:next w:val="22"/>
    <w:link w:val="103"/>
    <w:qFormat/>
    <w:uiPriority w:val="0"/>
    <w:rPr>
      <w:b/>
      <w:bCs/>
    </w:rPr>
  </w:style>
  <w:style w:type="paragraph" w:styleId="69">
    <w:name w:val="Body Text First Indent"/>
    <w:basedOn w:val="35"/>
    <w:next w:val="1"/>
    <w:link w:val="327"/>
    <w:qFormat/>
    <w:uiPriority w:val="0"/>
    <w:pPr>
      <w:ind w:firstLine="420"/>
    </w:pPr>
    <w:rPr>
      <w:rFonts w:hAnsi="Calibri" w:cs="Times New Roman"/>
      <w:snapToGrid/>
      <w:szCs w:val="20"/>
    </w:rPr>
  </w:style>
  <w:style w:type="paragraph" w:styleId="70">
    <w:name w:val="Body Text First Indent 2"/>
    <w:basedOn w:val="36"/>
    <w:link w:val="128"/>
    <w:qFormat/>
    <w:uiPriority w:val="0"/>
    <w:pPr>
      <w:adjustRightInd/>
      <w:spacing w:after="120" w:line="240" w:lineRule="auto"/>
      <w:ind w:left="420" w:leftChars="200" w:firstLine="210"/>
    </w:pPr>
    <w:rPr>
      <w:sz w:val="21"/>
    </w:rPr>
  </w:style>
  <w:style w:type="table" w:styleId="72">
    <w:name w:val="Table Grid"/>
    <w:basedOn w:val="7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3">
    <w:name w:val="Table Theme"/>
    <w:basedOn w:val="7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Elegant"/>
    <w:basedOn w:val="7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5">
    <w:name w:val="Table Grid 5"/>
    <w:basedOn w:val="7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6">
    <w:name w:val="Table Grid 8"/>
    <w:basedOn w:val="71"/>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7">
    <w:name w:val="Table Professional"/>
    <w:basedOn w:val="7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9">
    <w:name w:val="Strong"/>
    <w:qFormat/>
    <w:uiPriority w:val="22"/>
    <w:rPr>
      <w:b/>
      <w:bCs/>
    </w:rPr>
  </w:style>
  <w:style w:type="character" w:styleId="80">
    <w:name w:val="endnote reference"/>
    <w:qFormat/>
    <w:uiPriority w:val="0"/>
    <w:rPr>
      <w:vertAlign w:val="superscript"/>
    </w:rPr>
  </w:style>
  <w:style w:type="character" w:styleId="81">
    <w:name w:val="page number"/>
    <w:basedOn w:val="78"/>
    <w:qFormat/>
    <w:uiPriority w:val="0"/>
    <w:rPr>
      <w:rFonts w:ascii="Arial" w:hAnsi="Arial" w:eastAsia="黑体" w:cs="Arial"/>
      <w:snapToGrid w:val="0"/>
      <w:kern w:val="0"/>
      <w:szCs w:val="21"/>
    </w:rPr>
  </w:style>
  <w:style w:type="character" w:styleId="82">
    <w:name w:val="FollowedHyperlink"/>
    <w:qFormat/>
    <w:uiPriority w:val="99"/>
    <w:rPr>
      <w:rFonts w:ascii="Arial" w:hAnsi="Arial" w:eastAsia="黑体" w:cs="Arial"/>
      <w:snapToGrid w:val="0"/>
      <w:color w:val="000000"/>
      <w:kern w:val="0"/>
      <w:sz w:val="18"/>
      <w:szCs w:val="18"/>
      <w:u w:val="none"/>
    </w:rPr>
  </w:style>
  <w:style w:type="character" w:styleId="83">
    <w:name w:val="Emphasis"/>
    <w:qFormat/>
    <w:uiPriority w:val="20"/>
    <w:rPr>
      <w:color w:val="CC0033"/>
    </w:rPr>
  </w:style>
  <w:style w:type="character" w:styleId="84">
    <w:name w:val="line number"/>
    <w:basedOn w:val="78"/>
    <w:qFormat/>
    <w:uiPriority w:val="0"/>
    <w:rPr>
      <w:rFonts w:ascii="Arial" w:hAnsi="Arial" w:eastAsia="黑体" w:cs="Arial"/>
      <w:snapToGrid w:val="0"/>
      <w:kern w:val="0"/>
      <w:szCs w:val="21"/>
    </w:rPr>
  </w:style>
  <w:style w:type="character" w:styleId="85">
    <w:name w:val="Hyperlink"/>
    <w:qFormat/>
    <w:uiPriority w:val="99"/>
    <w:rPr>
      <w:rFonts w:ascii="Arial" w:hAnsi="Arial" w:eastAsia="黑体" w:cs="Arial"/>
      <w:snapToGrid w:val="0"/>
      <w:color w:val="000000"/>
      <w:kern w:val="0"/>
      <w:sz w:val="18"/>
      <w:szCs w:val="18"/>
      <w:u w:val="none"/>
    </w:rPr>
  </w:style>
  <w:style w:type="character" w:styleId="86">
    <w:name w:val="HTML Code"/>
    <w:qFormat/>
    <w:uiPriority w:val="0"/>
    <w:rPr>
      <w:rFonts w:ascii="黑体" w:hAnsi="Courier New" w:eastAsia="黑体" w:cs="楷体_GB2312"/>
      <w:sz w:val="20"/>
      <w:szCs w:val="20"/>
    </w:rPr>
  </w:style>
  <w:style w:type="character" w:styleId="87">
    <w:name w:val="annotation reference"/>
    <w:qFormat/>
    <w:uiPriority w:val="99"/>
    <w:rPr>
      <w:sz w:val="21"/>
      <w:szCs w:val="21"/>
    </w:rPr>
  </w:style>
  <w:style w:type="paragraph" w:customStyle="1" w:styleId="88">
    <w:name w:val="正文文本首行缩进 2"/>
    <w:basedOn w:val="36"/>
    <w:qFormat/>
    <w:uiPriority w:val="0"/>
    <w:pPr>
      <w:ind w:firstLine="420" w:firstLineChars="200"/>
    </w:p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FangSong_GB2312" w:hAnsi="FangSong_GB2312" w:eastAsia="FangSong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8"/>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FangSong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FangSong_GB2312" w:hAnsi="微软雅黑" w:eastAsia="FangSong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FangSong_GB2312" w:hAnsi="宋体" w:eastAsia="FangSong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FangSong_GB2312" w:eastAsia="FangSong_GB2312"/>
      <w:b/>
      <w:bCs/>
      <w:kern w:val="2"/>
      <w:sz w:val="24"/>
      <w:szCs w:val="24"/>
      <w:lang w:val="zh-CN" w:eastAsia="zh-CN" w:bidi="ar-SA"/>
    </w:rPr>
  </w:style>
  <w:style w:type="character" w:customStyle="1" w:styleId="128">
    <w:name w:val="正文首行缩进 2 Char"/>
    <w:link w:val="70"/>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8"/>
    <w:qFormat/>
    <w:uiPriority w:val="0"/>
    <w:rPr>
      <w:rFonts w:ascii="Arial" w:hAnsi="Arial" w:eastAsia="黑体" w:cs="Arial"/>
      <w:snapToGrid w:val="0"/>
      <w:kern w:val="0"/>
      <w:szCs w:val="21"/>
    </w:rPr>
  </w:style>
  <w:style w:type="character" w:customStyle="1" w:styleId="132">
    <w:name w:val="纯文本 Char"/>
    <w:link w:val="2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FangSong_GB2312" w:hAnsi="仿宋" w:eastAsia="FangSong_GB2312"/>
      <w:kern w:val="2"/>
      <w:sz w:val="24"/>
      <w:szCs w:val="24"/>
    </w:rPr>
  </w:style>
  <w:style w:type="character" w:customStyle="1" w:styleId="135">
    <w:name w:val="样式4 Char"/>
    <w:qFormat/>
    <w:uiPriority w:val="0"/>
    <w:rPr>
      <w:rFonts w:ascii="FangSong_GB2312" w:hAnsi="仿宋" w:eastAsia="FangSong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66"/>
    <w:qFormat/>
    <w:uiPriority w:val="0"/>
    <w:rPr>
      <w:rFonts w:eastAsia="宋体"/>
      <w:kern w:val="2"/>
      <w:sz w:val="24"/>
      <w:lang w:val="en-US" w:eastAsia="zh-CN" w:bidi="ar-SA"/>
    </w:rPr>
  </w:style>
  <w:style w:type="character" w:customStyle="1" w:styleId="138">
    <w:name w:val="Char Char24"/>
    <w:qFormat/>
    <w:uiPriority w:val="6"/>
    <w:rPr>
      <w:kern w:val="1"/>
      <w:sz w:val="21"/>
    </w:rPr>
  </w:style>
  <w:style w:type="character" w:customStyle="1" w:styleId="139">
    <w:name w:val="副标题 Char"/>
    <w:link w:val="54"/>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FangSong_GB2312" w:hAnsi="仿宋" w:eastAsia="FangSong_GB2312"/>
      <w:b/>
      <w:kern w:val="2"/>
      <w:sz w:val="24"/>
      <w:szCs w:val="24"/>
    </w:rPr>
  </w:style>
  <w:style w:type="character" w:customStyle="1" w:styleId="148">
    <w:name w:val="font12gray1"/>
    <w:qFormat/>
    <w:uiPriority w:val="0"/>
    <w:rPr>
      <w:rFonts w:ascii="FangSong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FangSong_GB2312" w:eastAsia="FangSong_GB2312" w:cs="FangSong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FangSong_GB2312" w:hAnsi="FangSong_GB2312" w:eastAsia="FangSong_GB2312"/>
      <w:kern w:val="2"/>
      <w:sz w:val="24"/>
      <w:lang w:bidi="ar-SA"/>
    </w:rPr>
  </w:style>
  <w:style w:type="character" w:customStyle="1" w:styleId="159">
    <w:name w:val="正文 项目 Char"/>
    <w:qFormat/>
    <w:uiPriority w:val="0"/>
    <w:rPr>
      <w:rFonts w:ascii="FangSong_GB2312" w:hAnsi="FangSong_GB2312" w:eastAsia="FangSong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FangSong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FangSong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FangSong_GB2312" w:hAnsi="Times New Roman" w:eastAsia="FangSong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FangSong_GB2312" w:hAnsi="仿宋" w:eastAsia="FangSong_GB2312" w:cs="FangSong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25"/>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16"/>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FangSong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8"/>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FangSong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FangSong_GB2312" w:eastAsia="微软雅黑"/>
      <w:b/>
      <w:kern w:val="2"/>
      <w:sz w:val="32"/>
      <w:szCs w:val="32"/>
      <w:lang w:val="en-US" w:eastAsia="zh-CN" w:bidi="ar-SA"/>
    </w:rPr>
  </w:style>
  <w:style w:type="character" w:customStyle="1" w:styleId="208">
    <w:name w:val="文档结构图 Char1"/>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8"/>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FangSong_GB2312" w:hAnsi="仿宋" w:eastAsia="FangSong_GB2312" w:cs="FangSong_GB2312"/>
      <w:sz w:val="32"/>
      <w:szCs w:val="30"/>
      <w:lang w:val="zh-CN"/>
    </w:rPr>
  </w:style>
  <w:style w:type="character" w:customStyle="1" w:styleId="225">
    <w:name w:val="HTML 地址 Char"/>
    <w:link w:val="4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FangSong_GB2312" w:eastAsia="FangSong_GB2312"/>
      <w:b/>
      <w:bCs/>
      <w:kern w:val="2"/>
      <w:sz w:val="24"/>
      <w:szCs w:val="24"/>
      <w:lang w:val="zh-CN" w:eastAsia="zh-CN" w:bidi="ar-SA"/>
    </w:rPr>
  </w:style>
  <w:style w:type="character" w:customStyle="1" w:styleId="235">
    <w:name w:val="题注 Char"/>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FangSong_GB2312" w:eastAsia="FangSong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FangSong_GB2312" w:eastAsia="FangSong_GB2312" w:cs="FangSong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FangSong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FangSong_GB2312" w:eastAsia="FangSong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FangSong_GB2312" w:hAnsi="FangSong_GB2312" w:eastAsia="FangSong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FangSong_GB2312" w:eastAsia="FangSong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36"/>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0"/>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7"/>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FangSong_GB2312" w:eastAsia="微软雅黑"/>
      <w:b/>
      <w:kern w:val="2"/>
      <w:sz w:val="23"/>
      <w:szCs w:val="23"/>
      <w:lang w:val="en-US" w:eastAsia="zh-CN" w:bidi="ar-SA"/>
    </w:rPr>
  </w:style>
  <w:style w:type="character" w:customStyle="1" w:styleId="296">
    <w:name w:val="样式8 Char"/>
    <w:qFormat/>
    <w:uiPriority w:val="0"/>
    <w:rPr>
      <w:rFonts w:ascii="FangSong_GB2312" w:hAnsi="宋体" w:eastAsia="FangSong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FangSong_GB2312" w:eastAsia="FangSong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32"/>
    <w:qFormat/>
    <w:uiPriority w:val="0"/>
    <w:rPr>
      <w:rFonts w:ascii="FangSong_GB2312" w:eastAsia="FangSong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3"/>
    <w:qFormat/>
    <w:uiPriority w:val="0"/>
    <w:rPr>
      <w:rFonts w:ascii="黑体" w:hAnsi="Courier New" w:eastAsia="黑体"/>
    </w:rPr>
  </w:style>
  <w:style w:type="character" w:customStyle="1" w:styleId="308">
    <w:name w:val="正文文本 2 Char1"/>
    <w:link w:val="26"/>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8"/>
    <w:qFormat/>
    <w:uiPriority w:val="0"/>
    <w:rPr>
      <w:b/>
      <w:bCs/>
      <w:kern w:val="2"/>
      <w:sz w:val="24"/>
      <w:szCs w:val="24"/>
    </w:rPr>
  </w:style>
  <w:style w:type="character" w:customStyle="1" w:styleId="314">
    <w:name w:val="正文文本缩进 2 Char"/>
    <w:link w:val="45"/>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7"/>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9"/>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5"/>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33"/>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FangSong_GB2312" w:eastAsia="FangSong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FangSong_GB2312" w:hAnsi="Courier New" w:eastAsia="FangSong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2"/>
    <w:qFormat/>
    <w:uiPriority w:val="0"/>
    <w:rPr>
      <w:kern w:val="2"/>
      <w:sz w:val="21"/>
      <w:szCs w:val="24"/>
    </w:rPr>
  </w:style>
  <w:style w:type="character" w:customStyle="1" w:styleId="351">
    <w:name w:val="签名 Char"/>
    <w:link w:val="49"/>
    <w:qFormat/>
    <w:uiPriority w:val="0"/>
    <w:rPr>
      <w:rFonts w:eastAsia="FangSong_GB2312"/>
      <w:sz w:val="24"/>
    </w:rPr>
  </w:style>
  <w:style w:type="character" w:customStyle="1" w:styleId="352">
    <w:name w:val="hui3"/>
    <w:qFormat/>
    <w:uiPriority w:val="0"/>
    <w:rPr>
      <w:color w:val="333333"/>
    </w:rPr>
  </w:style>
  <w:style w:type="character" w:customStyle="1" w:styleId="353">
    <w:name w:val="Char Char17"/>
    <w:qFormat/>
    <w:uiPriority w:val="6"/>
    <w:rPr>
      <w:rFonts w:eastAsia="FangSong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FangSong_GB2312" w:eastAsia="FangSong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FangSong_GB2312" w:eastAsia="FangSong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9"/>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FangSong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60"/>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FangSong_GB2312" w:eastAsia="FangSong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7"/>
    <w:qFormat/>
    <w:locked/>
    <w:uiPriority w:val="99"/>
    <w:rPr>
      <w:kern w:val="2"/>
      <w:sz w:val="18"/>
      <w:szCs w:val="18"/>
    </w:rPr>
  </w:style>
  <w:style w:type="character" w:customStyle="1" w:styleId="390">
    <w:name w:val="Char Char36"/>
    <w:qFormat/>
    <w:uiPriority w:val="6"/>
    <w:rPr>
      <w:rFonts w:ascii="FangSong_GB2312" w:hAnsi="FangSong_GB2312" w:eastAsia="FangSong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8"/>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FangSong_GB2312" w:eastAsia="FangSong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FangSong_GB2312" w:eastAsia="FangSong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8"/>
    <w:qFormat/>
    <w:uiPriority w:val="0"/>
    <w:rPr>
      <w:rFonts w:ascii="Arial" w:hAnsi="Arial" w:eastAsia="黑体" w:cs="Arial"/>
      <w:snapToGrid w:val="0"/>
      <w:kern w:val="0"/>
      <w:szCs w:val="21"/>
    </w:rPr>
  </w:style>
  <w:style w:type="character" w:customStyle="1" w:styleId="428">
    <w:name w:val="pt9"/>
    <w:qFormat/>
    <w:uiPriority w:val="0"/>
    <w:rPr>
      <w:rFonts w:ascii="FangSong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8"/>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35"/>
    <w:qFormat/>
    <w:uiPriority w:val="0"/>
    <w:rPr>
      <w:rFonts w:ascii="宋体" w:hAnsi="Arial" w:eastAsia="宋体" w:cs="Arial"/>
      <w:snapToGrid w:val="0"/>
      <w:kern w:val="2"/>
      <w:sz w:val="24"/>
      <w:szCs w:val="21"/>
      <w:lang w:val="zh-CN" w:eastAsia="zh-CN" w:bidi="ar-SA"/>
    </w:rPr>
  </w:style>
  <w:style w:type="character" w:customStyle="1" w:styleId="437">
    <w:name w:val="gray6"/>
    <w:basedOn w:val="78"/>
    <w:qFormat/>
    <w:uiPriority w:val="0"/>
    <w:rPr>
      <w:rFonts w:ascii="Arial" w:hAnsi="Arial" w:eastAsia="黑体" w:cs="Arial"/>
      <w:snapToGrid w:val="0"/>
      <w:kern w:val="0"/>
      <w:szCs w:val="21"/>
    </w:rPr>
  </w:style>
  <w:style w:type="character" w:customStyle="1" w:styleId="438">
    <w:name w:val="hui"/>
    <w:basedOn w:val="78"/>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6"/>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35"/>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FangSong_GB2312" w:eastAsia="FangSong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outlineLvl w:val="5"/>
    </w:pPr>
  </w:style>
  <w:style w:type="paragraph" w:customStyle="1" w:styleId="480">
    <w:name w:val="5级标题"/>
    <w:basedOn w:val="48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FangSong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3"/>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FangSong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FangSong_GB2312" w:eastAsia="FangSong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FangSong_GB2312" w:eastAsia="FangSong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FangSong_GB2312" w:eastAsia="FangSong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FangSong_GB2312" w:eastAsia="FangSong_GB2312"/>
      <w:b/>
      <w:sz w:val="32"/>
      <w:szCs w:val="32"/>
    </w:rPr>
  </w:style>
  <w:style w:type="paragraph" w:customStyle="1" w:styleId="508">
    <w:name w:val="Char2 Char Char Char1"/>
    <w:basedOn w:val="1"/>
    <w:qFormat/>
    <w:uiPriority w:val="6"/>
    <w:rPr>
      <w:rFonts w:ascii="FangSong_GB2312" w:eastAsia="FangSong_GB2312"/>
      <w:b/>
      <w:sz w:val="32"/>
      <w:szCs w:val="32"/>
    </w:rPr>
  </w:style>
  <w:style w:type="paragraph" w:customStyle="1" w:styleId="509">
    <w:name w:val="默认段落样式"/>
    <w:basedOn w:val="66"/>
    <w:qFormat/>
    <w:uiPriority w:val="0"/>
    <w:pPr>
      <w:spacing w:before="0"/>
      <w:ind w:firstLine="480"/>
      <w:outlineLvl w:val="2"/>
    </w:pPr>
    <w:rPr>
      <w:rFonts w:ascii="FangSong_GB2312" w:hAnsi="宋体" w:eastAsia="FangSong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1"/>
    <w:pPr>
      <w:adjustRightInd/>
      <w:ind w:firstLine="420" w:firstLineChars="200"/>
    </w:pPr>
    <w:rPr>
      <w:rFonts w:eastAsia="FangSong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FangSong_GB2312" w:eastAsia="FangSong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FangSong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FangSong_GB2312" w:eastAsia="FangSong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FangSong_GB2312" w:eastAsia="FangSong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FangSong_GB2312" w:hAnsi="仿宋" w:eastAsia="FangSong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FangSong_GB2312" w:eastAsia="FangSong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FangSong_GB2312" w:eastAsia="FangSong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2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FangSong_GB2312" w:eastAsia="FangSong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FangSong_GB2312" w:eastAsia="FangSong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4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FangSong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FangSong_GB2312" w:eastAsia="FangSong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FangSong_GB2312" w:eastAsia="FangSong_GB2312"/>
      <w:b/>
      <w:sz w:val="32"/>
      <w:szCs w:val="32"/>
    </w:rPr>
  </w:style>
  <w:style w:type="paragraph" w:customStyle="1" w:styleId="704">
    <w:name w:val="正文缩进1"/>
    <w:basedOn w:val="1"/>
    <w:next w:val="3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FangSong_GB2312" w:eastAsia="FangSong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4">
    <w:name w:val="4"/>
    <w:basedOn w:val="1"/>
    <w:next w:val="45"/>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FangSong_GB2312" w:eastAsia="FangSong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FangSong_GB2312" w:eastAsia="FangSong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3">
    <w:name w:val="_Style 5"/>
    <w:basedOn w:val="1"/>
    <w:qFormat/>
    <w:uiPriority w:val="34"/>
    <w:pPr>
      <w:adjustRightInd/>
      <w:ind w:firstLine="420" w:firstLineChars="200"/>
    </w:pPr>
    <w:rPr>
      <w:rFonts w:eastAsia="FangSong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4"/>
    <w:next w:val="60"/>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FangSong_GB2312" w:eastAsia="FangSong_GB2312"/>
      <w:b/>
      <w:sz w:val="32"/>
      <w:szCs w:val="32"/>
    </w:rPr>
  </w:style>
  <w:style w:type="paragraph" w:customStyle="1" w:styleId="794">
    <w:name w:val="五级条标题"/>
    <w:basedOn w:val="795"/>
    <w:next w:val="642"/>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7"/>
    <w:next w:val="642"/>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FangSong_GB2312" w:eastAsia="FangSong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FangSong_GB2312" w:eastAsia="FangSong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2"/>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5"/>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FangSong_GB2312"/>
      <w:sz w:val="24"/>
      <w:szCs w:val="20"/>
    </w:rPr>
  </w:style>
  <w:style w:type="paragraph" w:customStyle="1" w:styleId="840">
    <w:name w:val="正文1"/>
    <w:basedOn w:val="43"/>
    <w:qFormat/>
    <w:uiPriority w:val="0"/>
    <w:pPr>
      <w:ind w:left="0" w:leftChars="0" w:firstLine="480" w:firstLineChars="200"/>
    </w:pPr>
    <w:rPr>
      <w:rFonts w:ascii="FangSong_GB2312" w:hAnsi="Courier New" w:eastAsia="FangSong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43"/>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FangSong_GB2312"/>
      <w:sz w:val="28"/>
    </w:rPr>
  </w:style>
  <w:style w:type="paragraph" w:customStyle="1" w:styleId="893">
    <w:name w:val="表格 内容"/>
    <w:basedOn w:val="731"/>
    <w:qFormat/>
    <w:uiPriority w:val="0"/>
    <w:rPr>
      <w:b w:val="0"/>
      <w:sz w:val="20"/>
    </w:rPr>
  </w:style>
  <w:style w:type="paragraph" w:customStyle="1" w:styleId="894">
    <w:name w:val="正文首行缩进1"/>
    <w:basedOn w:val="3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FangSong_GB2312"/>
      <w:sz w:val="28"/>
    </w:rPr>
  </w:style>
  <w:style w:type="paragraph" w:customStyle="1" w:styleId="906">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7">
    <w:name w:val="_Style 8"/>
    <w:basedOn w:val="1"/>
    <w:qFormat/>
    <w:uiPriority w:val="34"/>
    <w:pPr>
      <w:adjustRightInd/>
      <w:ind w:firstLine="420" w:firstLineChars="200"/>
    </w:pPr>
    <w:rPr>
      <w:rFonts w:eastAsia="FangSong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FangSong_GB2312"/>
      <w:sz w:val="28"/>
    </w:rPr>
  </w:style>
  <w:style w:type="paragraph" w:customStyle="1" w:styleId="914">
    <w:name w:val="正文 图"/>
    <w:basedOn w:val="449"/>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6"/>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7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7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7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7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7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7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6"/>
    <w:qFormat/>
    <w:uiPriority w:val="0"/>
    <w:rPr>
      <w:kern w:val="2"/>
      <w:sz w:val="21"/>
      <w:szCs w:val="24"/>
      <w:lang w:val="zh-CN"/>
    </w:rPr>
  </w:style>
  <w:style w:type="character" w:customStyle="1" w:styleId="933">
    <w:name w:val="无间隔 Char"/>
    <w:link w:val="488"/>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8"/>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link w:val="965"/>
    <w:qFormat/>
    <w:uiPriority w:val="0"/>
    <w:rPr>
      <w:rFonts w:ascii="Tahoma" w:hAnsi="Tahoma"/>
      <w:kern w:val="2"/>
      <w:sz w:val="24"/>
      <w:szCs w:val="24"/>
    </w:rPr>
  </w:style>
  <w:style w:type="paragraph" w:customStyle="1" w:styleId="965">
    <w:name w:val="UserStyle_13"/>
    <w:basedOn w:val="1"/>
    <w:link w:val="964"/>
    <w:qFormat/>
    <w:uiPriority w:val="0"/>
    <w:pPr>
      <w:widowControl/>
      <w:adjustRightInd/>
      <w:spacing w:line="360" w:lineRule="auto"/>
      <w:ind w:firstLine="200" w:firstLineChars="200"/>
    </w:pPr>
    <w:rPr>
      <w:rFonts w:ascii="Tahoma" w:hAnsi="Tahoma"/>
      <w:sz w:val="24"/>
    </w:rPr>
  </w:style>
  <w:style w:type="paragraph" w:customStyle="1" w:styleId="966">
    <w:name w:val="表格01"/>
    <w:basedOn w:val="1"/>
    <w:qFormat/>
    <w:uiPriority w:val="0"/>
    <w:pPr>
      <w:spacing w:line="360" w:lineRule="auto"/>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19646-3B08-4489-83AC-2A8DF2E281E6}">
  <ds:schemaRefs/>
</ds:datastoreItem>
</file>

<file path=docProps/app.xml><?xml version="1.0" encoding="utf-8"?>
<Properties xmlns="http://schemas.openxmlformats.org/officeDocument/2006/extended-properties" xmlns:vt="http://schemas.openxmlformats.org/officeDocument/2006/docPropsVTypes">
  <Template>Normal</Template>
  <Pages>68</Pages>
  <Words>32641</Words>
  <Characters>34486</Characters>
  <Lines>33</Lines>
  <Paragraphs>62</Paragraphs>
  <TotalTime>27</TotalTime>
  <ScaleCrop>false</ScaleCrop>
  <LinksUpToDate>false</LinksUpToDate>
  <CharactersWithSpaces>35995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2023-03-01T00:22:00Z</dcterms:created>
  <dc:creator>Administrator.20180320-173244</dc:creator>
  <cp:lastModifiedBy>悲觀主义者</cp:lastModifiedBy>
  <cp:lastPrinted>2024-04-28T02:24:00Z</cp:lastPrinted>
  <dcterms:modified xsi:type="dcterms:W3CDTF">2024-06-13T12:00:27Z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0BF50D72D84847A698B31D2238573635_13</vt:lpwstr>
  </property>
</Properties>
</file>