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宋体"/>
          <w:b/>
          <w:sz w:val="24"/>
        </w:rPr>
      </w:pPr>
    </w:p>
    <w:p>
      <w:pPr>
        <w:adjustRightInd/>
        <w:spacing w:line="360" w:lineRule="auto"/>
        <w:jc w:val="center"/>
        <w:rPr>
          <w:rFonts w:ascii="仿宋" w:hAnsi="仿宋" w:eastAsia="仿宋" w:cs="宋体"/>
          <w:b/>
          <w:sz w:val="48"/>
          <w:szCs w:val="48"/>
        </w:rPr>
      </w:pPr>
    </w:p>
    <w:p>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2024年安吉校区小额维修工程项目</w:t>
      </w:r>
    </w:p>
    <w:p>
      <w:pPr>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p>
    <w:p>
      <w:pPr>
        <w:snapToGrid w:val="0"/>
        <w:spacing w:line="360" w:lineRule="auto"/>
        <w:jc w:val="center"/>
        <w:rPr>
          <w:rFonts w:ascii="仿宋" w:hAnsi="仿宋" w:eastAsia="仿宋" w:cs="仿宋"/>
          <w:color w:val="auto"/>
          <w:sz w:val="32"/>
          <w:szCs w:val="30"/>
          <w:highlight w:val="none"/>
        </w:rPr>
      </w:pPr>
    </w:p>
    <w:p>
      <w:pPr>
        <w:pStyle w:val="19"/>
        <w:ind w:firstLine="480"/>
        <w:rPr>
          <w:color w:val="auto"/>
          <w:highlight w:val="none"/>
        </w:rPr>
      </w:pPr>
    </w:p>
    <w:p>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 xml:space="preserve">编号: </w:t>
      </w:r>
      <w:r>
        <w:rPr>
          <w:rFonts w:hint="eastAsia" w:ascii="仿宋" w:hAnsi="仿宋" w:eastAsia="仿宋" w:cs="仿宋"/>
          <w:color w:val="auto"/>
          <w:sz w:val="32"/>
          <w:szCs w:val="30"/>
          <w:highlight w:val="none"/>
          <w:lang w:eastAsia="zh-CN"/>
        </w:rPr>
        <w:t>ZJHY-KJDX2024005</w:t>
      </w:r>
    </w:p>
    <w:p>
      <w:pPr>
        <w:rPr>
          <w:color w:val="auto"/>
          <w:highlight w:val="none"/>
        </w:rPr>
      </w:pPr>
    </w:p>
    <w:p>
      <w:pPr>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采购人：浙江科技学院</w:t>
      </w:r>
    </w:p>
    <w:p>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二〇二四年五月</w:t>
      </w:r>
      <w:r>
        <w:rPr>
          <w:rFonts w:hint="eastAsia" w:ascii="仿宋" w:hAnsi="仿宋" w:eastAsia="仿宋" w:cs="宋体"/>
          <w:color w:val="auto"/>
          <w:sz w:val="24"/>
          <w:highlight w:val="none"/>
        </w:rPr>
        <w:br w:type="page"/>
      </w:r>
      <w:bookmarkStart w:id="0" w:name="_Hlt67893495"/>
      <w:bookmarkEnd w:id="0"/>
    </w:p>
    <w:p>
      <w:pPr>
        <w:spacing w:line="360" w:lineRule="auto"/>
        <w:jc w:val="center"/>
        <w:rPr>
          <w:rFonts w:ascii="仿宋" w:hAnsi="仿宋" w:eastAsia="仿宋" w:cs="宋体"/>
          <w:color w:val="auto"/>
          <w:sz w:val="24"/>
          <w:highlight w:val="none"/>
        </w:rPr>
      </w:pPr>
    </w:p>
    <w:p>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pPr>
        <w:spacing w:line="360" w:lineRule="auto"/>
        <w:rPr>
          <w:rFonts w:ascii="仿宋" w:hAnsi="仿宋" w:eastAsia="仿宋" w:cs="宋体"/>
          <w:color w:val="auto"/>
          <w:sz w:val="32"/>
          <w:szCs w:val="32"/>
          <w:highlight w:val="none"/>
        </w:rPr>
      </w:pPr>
    </w:p>
    <w:p>
      <w:pPr>
        <w:spacing w:line="360" w:lineRule="auto"/>
        <w:rPr>
          <w:rFonts w:ascii="仿宋" w:hAnsi="仿宋" w:eastAsia="仿宋" w:cs="宋体"/>
          <w:color w:val="auto"/>
          <w:sz w:val="32"/>
          <w:szCs w:val="32"/>
          <w:highlight w:val="none"/>
        </w:rPr>
      </w:pP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pPr>
        <w:spacing w:line="360" w:lineRule="auto"/>
        <w:ind w:firstLine="1280" w:firstLineChars="400"/>
        <w:rPr>
          <w:rFonts w:ascii="仿宋" w:hAnsi="仿宋" w:eastAsia="仿宋" w:cs="宋体"/>
          <w:color w:val="auto"/>
          <w:sz w:val="32"/>
          <w:szCs w:val="32"/>
          <w:highlight w:val="none"/>
        </w:rPr>
      </w:pPr>
    </w:p>
    <w:p>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pPr>
        <w:spacing w:line="360" w:lineRule="auto"/>
        <w:ind w:firstLine="549" w:firstLineChars="229"/>
        <w:rPr>
          <w:rFonts w:ascii="仿宋" w:hAnsi="仿宋" w:eastAsia="仿宋" w:cs="宋体"/>
          <w:color w:val="auto"/>
          <w:sz w:val="24"/>
          <w:highlight w:val="none"/>
        </w:rPr>
      </w:pPr>
    </w:p>
    <w:bookmarkEnd w:id="2"/>
    <w:p>
      <w:pPr>
        <w:widowControl/>
        <w:adjustRightInd/>
        <w:jc w:val="left"/>
        <w:rPr>
          <w:rFonts w:ascii="仿宋" w:hAnsi="仿宋" w:eastAsia="仿宋" w:cs="宋体"/>
          <w:color w:val="auto"/>
          <w:sz w:val="24"/>
          <w:highlight w:val="none"/>
        </w:rPr>
      </w:pPr>
      <w:bookmarkStart w:id="3" w:name="_Hlt74728647"/>
      <w:bookmarkEnd w:id="3"/>
      <w:bookmarkStart w:id="4" w:name="_Hlt74729822"/>
      <w:bookmarkEnd w:id="4"/>
      <w:bookmarkStart w:id="5" w:name="_Hlt74707423"/>
      <w:bookmarkEnd w:id="5"/>
      <w:bookmarkStart w:id="6" w:name="_Hlt74649545"/>
      <w:bookmarkEnd w:id="6"/>
      <w:bookmarkStart w:id="7" w:name="_Toc91899870"/>
      <w:bookmarkStart w:id="8" w:name="_Toc91899871"/>
      <w:r>
        <w:rPr>
          <w:rFonts w:ascii="仿宋" w:hAnsi="仿宋" w:eastAsia="仿宋" w:cs="宋体"/>
          <w:color w:val="auto"/>
          <w:sz w:val="24"/>
          <w:highlight w:val="none"/>
        </w:rPr>
        <w:br w:type="page"/>
      </w: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2024年安吉校区小额维修工程项目</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18"/>
          <w:rFonts w:hint="eastAsia" w:ascii="仿宋" w:hAnsi="仿宋" w:eastAsia="仿宋" w:cs="宋体"/>
          <w:snapToGrid/>
          <w:color w:val="auto"/>
          <w:kern w:val="2"/>
          <w:sz w:val="24"/>
          <w:szCs w:val="24"/>
          <w:highlight w:val="none"/>
        </w:rPr>
        <w:t>https://www.zcygov.cn/）获取（下载）采购文件，并于</w:t>
      </w:r>
      <w:r>
        <w:rPr>
          <w:rStyle w:val="18"/>
          <w:rFonts w:hint="eastAsia" w:ascii="仿宋" w:hAnsi="仿宋" w:eastAsia="仿宋" w:cs="宋体"/>
          <w:snapToGrid/>
          <w:color w:val="auto"/>
          <w:kern w:val="2"/>
          <w:sz w:val="24"/>
          <w:szCs w:val="24"/>
          <w:highlight w:val="none"/>
          <w:u w:val="single"/>
          <w:lang w:eastAsia="zh-CN"/>
        </w:rPr>
        <w:t>2024年 6 月 17 日13点30分</w:t>
      </w:r>
      <w:r>
        <w:rPr>
          <w:rStyle w:val="18"/>
          <w:rFonts w:hint="eastAsia" w:ascii="仿宋" w:hAnsi="仿宋" w:eastAsia="仿宋" w:cs="宋体"/>
          <w:snapToGrid/>
          <w:color w:val="auto"/>
          <w:kern w:val="2"/>
          <w:sz w:val="24"/>
          <w:szCs w:val="24"/>
          <w:highlight w:val="none"/>
          <w:u w:val="single"/>
        </w:rPr>
        <w:t>00秒</w:t>
      </w:r>
      <w:r>
        <w:rPr>
          <w:rStyle w:val="18"/>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ZJHY-KJDX2024005</w:t>
      </w:r>
      <w:r>
        <w:rPr>
          <w:rFonts w:hint="eastAsia" w:ascii="仿宋" w:hAnsi="仿宋" w:eastAsia="仿宋" w:cs="宋体"/>
          <w:color w:val="auto"/>
          <w:szCs w:val="21"/>
          <w:highlight w:val="none"/>
        </w:rPr>
        <w:t xml:space="preserve"> </w:t>
      </w:r>
    </w:p>
    <w:p>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2024年安吉校区小额维修工程项目</w:t>
      </w:r>
    </w:p>
    <w:p>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eastAsia="zh-CN"/>
        </w:rPr>
        <w:t>100万元</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最高限价： </w:t>
      </w:r>
      <w:r>
        <w:rPr>
          <w:rFonts w:ascii="仿宋" w:hAnsi="仿宋" w:eastAsia="仿宋" w:cs="宋体"/>
          <w:b/>
          <w:color w:val="auto"/>
          <w:szCs w:val="21"/>
          <w:highlight w:val="none"/>
        </w:rPr>
        <w:t xml:space="preserve"> </w:t>
      </w:r>
      <w:r>
        <w:rPr>
          <w:rFonts w:hint="eastAsia" w:ascii="仿宋" w:hAnsi="仿宋" w:eastAsia="仿宋" w:cs="宋体"/>
          <w:b/>
          <w:color w:val="auto"/>
          <w:szCs w:val="21"/>
          <w:highlight w:val="none"/>
          <w:lang w:val="en-US" w:eastAsia="zh-CN"/>
        </w:rPr>
        <w:t>/</w:t>
      </w:r>
      <w:r>
        <w:rPr>
          <w:rFonts w:ascii="仿宋" w:hAnsi="仿宋" w:eastAsia="仿宋" w:cs="宋体"/>
          <w:b/>
          <w:color w:val="auto"/>
          <w:szCs w:val="21"/>
          <w:highlight w:val="none"/>
        </w:rPr>
        <w:t xml:space="preserve">  </w:t>
      </w:r>
      <w:r>
        <w:rPr>
          <w:rFonts w:hint="eastAsia" w:ascii="仿宋" w:hAnsi="仿宋" w:eastAsia="仿宋" w:cs="宋体"/>
          <w:b/>
          <w:color w:val="auto"/>
          <w:szCs w:val="21"/>
          <w:highlight w:val="none"/>
          <w:lang w:eastAsia="zh-CN"/>
        </w:rPr>
        <w:t>万</w:t>
      </w:r>
      <w:r>
        <w:rPr>
          <w:rFonts w:hint="eastAsia" w:ascii="仿宋" w:hAnsi="仿宋" w:eastAsia="仿宋" w:cs="宋体"/>
          <w:b/>
          <w:color w:val="auto"/>
          <w:szCs w:val="21"/>
          <w:highlight w:val="none"/>
        </w:rPr>
        <w:t>元</w:t>
      </w:r>
      <w:bookmarkStart w:id="413" w:name="_GoBack"/>
      <w:bookmarkEnd w:id="413"/>
    </w:p>
    <w:p>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2024年安吉校区小额维修工程项目</w:t>
      </w:r>
      <w:r>
        <w:rPr>
          <w:rFonts w:hint="eastAsia" w:ascii="仿宋" w:hAnsi="仿宋" w:eastAsia="仿宋" w:cs="宋体"/>
          <w:bCs/>
          <w:snapToGrid w:val="0"/>
          <w:color w:val="auto"/>
          <w:szCs w:val="21"/>
          <w:highlight w:val="none"/>
        </w:rPr>
        <w:t>，项目位于浙江科技大学</w:t>
      </w:r>
      <w:r>
        <w:rPr>
          <w:rFonts w:hint="eastAsia" w:ascii="仿宋" w:hAnsi="仿宋" w:eastAsia="仿宋" w:cs="宋体"/>
          <w:bCs/>
          <w:snapToGrid w:val="0"/>
          <w:color w:val="auto"/>
          <w:szCs w:val="21"/>
          <w:highlight w:val="none"/>
          <w:lang w:val="en-US" w:eastAsia="zh-CN"/>
        </w:rPr>
        <w:t>安吉</w:t>
      </w:r>
      <w:r>
        <w:rPr>
          <w:rFonts w:hint="eastAsia" w:ascii="仿宋" w:hAnsi="仿宋" w:eastAsia="仿宋" w:cs="宋体"/>
          <w:bCs/>
          <w:snapToGrid w:val="0"/>
          <w:color w:val="auto"/>
          <w:szCs w:val="21"/>
          <w:highlight w:val="none"/>
        </w:rPr>
        <w:t>校区内，主要内容包括：本项目拟采购1家供应商负责安吉校区20万</w:t>
      </w:r>
      <w:r>
        <w:rPr>
          <w:rFonts w:hint="eastAsia" w:ascii="仿宋" w:hAnsi="仿宋" w:eastAsia="仿宋" w:cs="宋体"/>
          <w:bCs/>
          <w:snapToGrid w:val="0"/>
          <w:color w:val="auto"/>
          <w:szCs w:val="21"/>
          <w:highlight w:val="none"/>
          <w:lang w:eastAsia="zh-CN"/>
        </w:rPr>
        <w:t>（</w:t>
      </w:r>
      <w:r>
        <w:rPr>
          <w:rFonts w:hint="eastAsia" w:ascii="仿宋" w:hAnsi="仿宋" w:eastAsia="仿宋" w:cs="宋体"/>
          <w:bCs/>
          <w:snapToGrid w:val="0"/>
          <w:color w:val="auto"/>
          <w:szCs w:val="21"/>
          <w:highlight w:val="none"/>
          <w:lang w:val="en-US" w:eastAsia="zh-CN"/>
        </w:rPr>
        <w:t>含）</w:t>
      </w:r>
      <w:r>
        <w:rPr>
          <w:rFonts w:hint="eastAsia" w:ascii="仿宋" w:hAnsi="仿宋" w:eastAsia="仿宋" w:cs="宋体"/>
          <w:bCs/>
          <w:snapToGrid w:val="0"/>
          <w:color w:val="auto"/>
          <w:szCs w:val="21"/>
          <w:highlight w:val="none"/>
        </w:rPr>
        <w:t>以内小额维修工程施工，主要包括：屋面室内及玻璃幕墙渗水补漏修复、步道修筑、墙体涂料粉刷、钢化玻璃更换、室内装潢等。详见采购文件第三部分采购需求。</w:t>
      </w:r>
    </w:p>
    <w:p>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一年</w:t>
      </w:r>
      <w:r>
        <w:rPr>
          <w:rFonts w:hint="eastAsia" w:ascii="仿宋" w:hAnsi="仿宋" w:eastAsia="仿宋" w:cs="宋体"/>
          <w:b/>
          <w:color w:val="auto"/>
          <w:sz w:val="21"/>
          <w:szCs w:val="21"/>
          <w:highlight w:val="none"/>
        </w:rPr>
        <w:t>。</w:t>
      </w:r>
    </w:p>
    <w:p>
      <w:pPr>
        <w:pStyle w:val="3"/>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pPr>
        <w:pStyle w:val="3"/>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rPr>
        <w:t>供应商具有建设行政主管部门核发有效期内的建筑工程施工总承包叁级及以上资质，且具有有效期内的《安全生产许可证》；</w:t>
      </w:r>
      <w:r>
        <w:rPr>
          <w:rFonts w:ascii="仿宋" w:hAnsi="仿宋" w:eastAsia="仿宋" w:cs="宋体"/>
          <w:b/>
          <w:bCs/>
          <w:color w:val="auto"/>
          <w:szCs w:val="21"/>
          <w:highlight w:val="none"/>
          <w:u w:val="single"/>
        </w:rPr>
        <w:t xml:space="preserve"> </w:t>
      </w:r>
    </w:p>
    <w:p>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rPr>
        <w:t>2024年 6 月 17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2024年 6 月 17 日13点30分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2024年 6 月 17 日13点30分</w:t>
      </w:r>
      <w:r>
        <w:rPr>
          <w:rFonts w:hint="eastAsia" w:ascii="仿宋" w:hAnsi="仿宋" w:eastAsia="仿宋" w:cs="宋体"/>
          <w:color w:val="auto"/>
          <w:szCs w:val="21"/>
          <w:highlight w:val="none"/>
          <w:u w:val="single"/>
        </w:rPr>
        <w:t>00秒</w:t>
      </w:r>
    </w:p>
    <w:p>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称：浙江科技学院</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 姚老师</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 xml:space="preserve"> 0572-5661669</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址：杭州市上城区四季青街道新业路市民之家G03办公室 </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：朱女士、王女士</w:t>
      </w:r>
    </w:p>
    <w:p>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监督投诉电话：电话：0571-85252453</w:t>
      </w:r>
    </w:p>
    <w:p>
      <w:pPr>
        <w:spacing w:line="360" w:lineRule="auto"/>
        <w:ind w:firstLine="480"/>
        <w:rPr>
          <w:rFonts w:ascii="仿宋" w:hAnsi="仿宋" w:eastAsia="仿宋" w:cs="宋体"/>
          <w:color w:val="auto"/>
          <w:szCs w:val="21"/>
          <w:highlight w:val="none"/>
        </w:rPr>
      </w:pPr>
    </w:p>
    <w:p>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pPr>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4"/>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2024年安吉校区小额维修工程项目</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pPr>
              <w:pStyle w:val="19"/>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pPr>
              <w:pStyle w:val="19"/>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pPr>
              <w:spacing w:line="360" w:lineRule="auto"/>
              <w:rPr>
                <w:rFonts w:ascii="仿宋" w:hAnsi="仿宋" w:eastAsia="仿宋" w:cs="宋体"/>
                <w:color w:val="auto"/>
                <w:sz w:val="24"/>
                <w:szCs w:val="20"/>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r>
              <w:rPr>
                <w:rFonts w:hint="eastAsia" w:ascii="仿宋" w:hAnsi="仿宋" w:eastAsia="仿宋" w:cs="宋体"/>
                <w:color w:val="auto"/>
                <w:sz w:val="24"/>
                <w:szCs w:val="20"/>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pPr>
              <w:snapToGrid w:val="0"/>
              <w:spacing w:line="360" w:lineRule="auto"/>
              <w:jc w:val="center"/>
              <w:rPr>
                <w:rFonts w:ascii="仿宋" w:hAnsi="仿宋" w:eastAsia="仿宋" w:cs="宋体"/>
                <w:b/>
                <w:color w:val="auto"/>
                <w:sz w:val="24"/>
                <w:highlight w:val="none"/>
              </w:rPr>
            </w:pPr>
          </w:p>
        </w:tc>
        <w:tc>
          <w:tcPr>
            <w:tcW w:w="6927"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pPr>
              <w:pStyle w:val="8"/>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pPr>
              <w:pStyle w:val="8"/>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pPr>
              <w:pStyle w:val="8"/>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14</w:t>
            </w:r>
          </w:p>
        </w:tc>
        <w:tc>
          <w:tcPr>
            <w:tcW w:w="2093" w:type="dxa"/>
            <w:vAlign w:val="center"/>
          </w:tcPr>
          <w:p>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w:t>
            </w:r>
          </w:p>
          <w:p>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3.4.1 采购人优先采购被认定为首台套产品和“制造精品”的自主创新产品。</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spacing w:line="360" w:lineRule="auto"/>
        <w:ind w:firstLine="210" w:firstLineChars="1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3.4.3 </w:t>
      </w:r>
      <w:r>
        <w:rPr>
          <w:rFonts w:hint="eastAsia" w:ascii="仿宋" w:hAnsi="仿宋" w:eastAsia="仿宋" w:cs="宋体"/>
          <w:color w:val="auto"/>
          <w:szCs w:val="21"/>
          <w:highlight w:val="none"/>
        </w:rPr>
        <w:t>采购人应当贯彻落实知识产权保护相关法律法规，应当采购使用正版软件。</w:t>
      </w:r>
    </w:p>
    <w:p>
      <w:pPr>
        <w:spacing w:line="360" w:lineRule="auto"/>
        <w:ind w:firstLine="210" w:firstLineChars="100"/>
        <w:jc w:val="left"/>
        <w:rPr>
          <w:rFonts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pPr>
        <w:pStyle w:val="3"/>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pPr>
        <w:pStyle w:val="8"/>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pPr>
        <w:pStyle w:val="8"/>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pPr>
        <w:pStyle w:val="20"/>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pPr>
        <w:pStyle w:val="21"/>
        <w:spacing w:before="0"/>
        <w:ind w:firstLine="420"/>
        <w:jc w:val="left"/>
        <w:rPr>
          <w:rFonts w:ascii="仿宋" w:hAnsi="仿宋" w:eastAsia="仿宋" w:cs="宋体"/>
          <w:color w:val="auto"/>
          <w:sz w:val="21"/>
          <w:szCs w:val="21"/>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pPr>
        <w:pStyle w:val="8"/>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pPr>
        <w:pStyle w:val="4"/>
        <w:jc w:val="left"/>
        <w:rPr>
          <w:rFonts w:ascii="仿宋" w:hAnsi="仿宋" w:eastAsia="仿宋" w:cs="宋体"/>
          <w:color w:val="auto"/>
          <w:sz w:val="21"/>
          <w:highlight w:val="none"/>
          <w:lang w:val="en-US"/>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pPr>
        <w:pStyle w:val="3"/>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hint="eastAsia" w:ascii="仿宋" w:hAnsi="仿宋" w:eastAsia="仿宋" w:cs="宋体"/>
          <w:b/>
          <w:color w:val="auto"/>
          <w:szCs w:val="21"/>
          <w:highlight w:val="none"/>
        </w:rPr>
        <w:t>资格文件</w:t>
      </w:r>
      <w:r>
        <w:rPr>
          <w:rFonts w:hint="eastAsia" w:ascii="仿宋" w:hAnsi="仿宋" w:eastAsia="仿宋" w:cs="宋体"/>
          <w:color w:val="auto"/>
          <w:szCs w:val="21"/>
          <w:highlight w:val="none"/>
        </w:rPr>
        <w:t>：</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pPr>
        <w:spacing w:line="360" w:lineRule="auto"/>
        <w:ind w:firstLine="420" w:firstLineChars="200"/>
        <w:jc w:val="left"/>
        <w:rPr>
          <w:rFonts w:ascii="仿宋" w:hAnsi="仿宋" w:eastAsia="仿宋" w:cs="宋体"/>
          <w:color w:val="auto"/>
          <w:szCs w:val="21"/>
          <w:highlight w:val="none"/>
          <w:u w:val="single"/>
          <w:lang w:val="zh-CN"/>
        </w:rPr>
      </w:pPr>
      <w:r>
        <w:rPr>
          <w:rFonts w:hint="eastAsia" w:ascii="仿宋" w:hAnsi="仿宋" w:eastAsia="仿宋" w:cs="宋体"/>
          <w:color w:val="auto"/>
          <w:kern w:val="0"/>
          <w:szCs w:val="21"/>
          <w:highlight w:val="none"/>
          <w:lang w:val="zh-CN"/>
        </w:rPr>
        <w:t>11.</w:t>
      </w:r>
      <w:r>
        <w:rPr>
          <w:rFonts w:hint="eastAsia" w:ascii="仿宋" w:hAnsi="仿宋" w:eastAsia="仿宋" w:cs="宋体"/>
          <w:color w:val="auto"/>
          <w:kern w:val="0"/>
          <w:szCs w:val="21"/>
          <w:highlight w:val="none"/>
        </w:rPr>
        <w:t>3</w:t>
      </w:r>
      <w:r>
        <w:rPr>
          <w:rFonts w:hint="eastAsia" w:ascii="仿宋" w:hAnsi="仿宋" w:eastAsia="仿宋" w:cs="宋体"/>
          <w:b/>
          <w:color w:val="auto"/>
          <w:szCs w:val="21"/>
          <w:highlight w:val="none"/>
        </w:rPr>
        <w:t>报价文件：</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w:t>
      </w:r>
      <w:r>
        <w:rPr>
          <w:rFonts w:hint="eastAsia" w:ascii="仿宋" w:hAnsi="仿宋" w:eastAsia="仿宋" w:cs="宋体"/>
          <w:color w:val="auto"/>
          <w:szCs w:val="21"/>
          <w:highlight w:val="none"/>
          <w:lang w:val="en-US" w:eastAsia="zh-CN"/>
        </w:rPr>
        <w:t>2</w:t>
      </w:r>
      <w:r>
        <w:rPr>
          <w:rFonts w:ascii="仿宋" w:hAnsi="仿宋" w:eastAsia="仿宋" w:cs="宋体"/>
          <w:color w:val="auto"/>
          <w:szCs w:val="21"/>
          <w:highlight w:val="none"/>
        </w:rPr>
        <w:t xml:space="preserve">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供应商应对响应文件中材料的真实性、合法性负责。</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pPr>
        <w:pStyle w:val="8"/>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pPr>
        <w:pStyle w:val="8"/>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pPr>
        <w:pStyle w:val="8"/>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pPr>
        <w:pStyle w:val="8"/>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pPr>
        <w:pStyle w:val="8"/>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pPr>
        <w:pStyle w:val="7"/>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pPr>
        <w:pStyle w:val="22"/>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pPr>
        <w:pStyle w:val="22"/>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pPr>
        <w:pStyle w:val="22"/>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pPr>
        <w:pStyle w:val="21"/>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pPr>
        <w:pStyle w:val="21"/>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pPr>
        <w:pStyle w:val="21"/>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pPr>
        <w:pStyle w:val="21"/>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pPr>
        <w:pStyle w:val="21"/>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pPr>
        <w:pStyle w:val="7"/>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7"/>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pPr>
        <w:pStyle w:val="21"/>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pPr>
        <w:pStyle w:val="21"/>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pPr>
        <w:pStyle w:val="21"/>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rPr>
          <w:color w:val="auto"/>
          <w:highlight w:val="none"/>
        </w:rPr>
      </w:pPr>
    </w:p>
    <w:p>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pPr>
        <w:pStyle w:val="7"/>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pPr>
        <w:tabs>
          <w:tab w:val="left" w:pos="0"/>
        </w:tabs>
        <w:spacing w:line="360" w:lineRule="auto"/>
        <w:ind w:firstLine="480"/>
        <w:rPr>
          <w:rFonts w:ascii="仿宋" w:hAnsi="仿宋" w:eastAsia="仿宋" w:cs="宋体"/>
          <w:color w:val="auto"/>
          <w:sz w:val="18"/>
          <w:szCs w:val="18"/>
          <w:highlight w:val="none"/>
        </w:rPr>
      </w:pPr>
    </w:p>
    <w:bookmarkEnd w:id="11"/>
    <w:bookmarkEnd w:id="15"/>
    <w:p>
      <w:pPr>
        <w:adjustRightInd/>
        <w:spacing w:line="360" w:lineRule="auto"/>
        <w:jc w:val="center"/>
        <w:outlineLvl w:val="0"/>
        <w:rPr>
          <w:rFonts w:ascii="仿宋" w:hAnsi="仿宋" w:eastAsia="仿宋" w:cs="仿宋_GB2312"/>
          <w:b/>
          <w:color w:val="auto"/>
          <w:sz w:val="36"/>
          <w:szCs w:val="20"/>
          <w:highlight w:val="none"/>
        </w:rPr>
      </w:pPr>
      <w:bookmarkStart w:id="16" w:name="_Hlt68073093"/>
      <w:bookmarkEnd w:id="16"/>
      <w:bookmarkStart w:id="17" w:name="_Hlt75236011"/>
      <w:bookmarkEnd w:id="17"/>
      <w:bookmarkStart w:id="18" w:name="_Hlt74714665"/>
      <w:bookmarkEnd w:id="18"/>
      <w:bookmarkStart w:id="19" w:name="_Hlt68403820"/>
      <w:bookmarkEnd w:id="19"/>
      <w:bookmarkStart w:id="20" w:name="_Hlt74729768"/>
      <w:bookmarkEnd w:id="20"/>
      <w:bookmarkStart w:id="21" w:name="_Hlt74730295"/>
      <w:bookmarkEnd w:id="21"/>
      <w:bookmarkStart w:id="22" w:name="_Hlt68072998"/>
      <w:bookmarkEnd w:id="22"/>
      <w:bookmarkStart w:id="23" w:name="_Hlt68072990"/>
      <w:bookmarkEnd w:id="23"/>
      <w:bookmarkStart w:id="24" w:name="_Hlt74707468"/>
      <w:bookmarkEnd w:id="24"/>
      <w:bookmarkStart w:id="25" w:name="_Hlt68057669"/>
      <w:bookmarkEnd w:id="25"/>
      <w:bookmarkStart w:id="26" w:name="_Hlt75236101"/>
      <w:bookmarkEnd w:id="26"/>
      <w:bookmarkStart w:id="27" w:name="_Hlt75236290"/>
      <w:bookmarkEnd w:id="27"/>
      <w:r>
        <w:rPr>
          <w:rFonts w:hint="eastAsia" w:ascii="仿宋" w:hAnsi="仿宋" w:eastAsia="仿宋" w:cs="仿宋_GB2312"/>
          <w:b/>
          <w:color w:val="auto"/>
          <w:sz w:val="36"/>
          <w:szCs w:val="20"/>
          <w:highlight w:val="none"/>
        </w:rPr>
        <w:t>第三部分 采购需求</w:t>
      </w:r>
    </w:p>
    <w:p>
      <w:pPr>
        <w:keepNext w:val="0"/>
        <w:keepLines w:val="0"/>
        <w:pageBreakBefore w:val="0"/>
        <w:kinsoku/>
        <w:wordWrap/>
        <w:overflowPunct/>
        <w:topLinePunct w:val="0"/>
        <w:autoSpaceDE/>
        <w:autoSpaceDN/>
        <w:bidi w:val="0"/>
        <w:snapToGrid/>
        <w:spacing w:line="440" w:lineRule="exact"/>
        <w:jc w:val="left"/>
        <w:textAlignment w:val="auto"/>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2024年安吉校区小额维修工程项目</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eastAsia="zh-CN"/>
        </w:rPr>
        <w:t>100万元</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color w:val="auto"/>
          <w:sz w:val="24"/>
          <w:highlight w:val="none"/>
        </w:rPr>
      </w:pPr>
      <w:r>
        <w:rPr>
          <w:rFonts w:hint="eastAsia" w:ascii="仿宋" w:hAnsi="仿宋" w:eastAsia="仿宋" w:cs="宋体"/>
          <w:b/>
          <w:color w:val="auto"/>
          <w:sz w:val="24"/>
          <w:highlight w:val="none"/>
        </w:rPr>
        <w:t>最高限价：</w:t>
      </w:r>
      <w:r>
        <w:rPr>
          <w:rFonts w:hint="eastAsia" w:ascii="仿宋" w:hAnsi="仿宋" w:eastAsia="仿宋" w:cs="宋体"/>
          <w:b/>
          <w:color w:val="auto"/>
          <w:sz w:val="24"/>
          <w:highlight w:val="none"/>
          <w:lang w:val="en-US" w:eastAsia="zh-CN"/>
        </w:rPr>
        <w:t>/</w:t>
      </w:r>
      <w:r>
        <w:rPr>
          <w:rFonts w:hint="eastAsia" w:ascii="仿宋" w:hAnsi="仿宋" w:eastAsia="仿宋" w:cs="宋体"/>
          <w:b/>
          <w:color w:val="auto"/>
          <w:sz w:val="24"/>
          <w:highlight w:val="none"/>
        </w:rPr>
        <w:t xml:space="preserve"> </w:t>
      </w:r>
      <w:r>
        <w:rPr>
          <w:rFonts w:hint="eastAsia" w:ascii="仿宋" w:hAnsi="仿宋" w:eastAsia="仿宋" w:cs="宋体"/>
          <w:b/>
          <w:color w:val="auto"/>
          <w:sz w:val="24"/>
          <w:highlight w:val="none"/>
          <w:lang w:eastAsia="zh-CN"/>
        </w:rPr>
        <w:t>万</w:t>
      </w:r>
      <w:r>
        <w:rPr>
          <w:rFonts w:hint="eastAsia" w:ascii="仿宋" w:hAnsi="仿宋" w:eastAsia="仿宋" w:cs="宋体"/>
          <w:b/>
          <w:color w:val="auto"/>
          <w:sz w:val="24"/>
          <w:highlight w:val="none"/>
        </w:rPr>
        <w:t>元</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2024年安吉校区小额维修工程项目</w:t>
      </w:r>
      <w:r>
        <w:rPr>
          <w:rFonts w:hint="eastAsia" w:ascii="仿宋" w:hAnsi="仿宋" w:eastAsia="仿宋" w:cs="宋体"/>
          <w:bCs/>
          <w:snapToGrid w:val="0"/>
          <w:color w:val="auto"/>
          <w:sz w:val="24"/>
          <w:highlight w:val="none"/>
        </w:rPr>
        <w:t>，项目位于浙江科技大学</w:t>
      </w:r>
      <w:r>
        <w:rPr>
          <w:rFonts w:hint="eastAsia" w:ascii="仿宋" w:hAnsi="仿宋" w:eastAsia="仿宋" w:cs="宋体"/>
          <w:bCs/>
          <w:snapToGrid w:val="0"/>
          <w:color w:val="auto"/>
          <w:sz w:val="24"/>
          <w:highlight w:val="none"/>
          <w:lang w:val="en-US" w:eastAsia="zh-CN"/>
        </w:rPr>
        <w:t>安吉</w:t>
      </w:r>
      <w:r>
        <w:rPr>
          <w:rFonts w:hint="eastAsia" w:ascii="仿宋" w:hAnsi="仿宋" w:eastAsia="仿宋" w:cs="宋体"/>
          <w:bCs/>
          <w:snapToGrid w:val="0"/>
          <w:color w:val="auto"/>
          <w:sz w:val="24"/>
          <w:highlight w:val="none"/>
        </w:rPr>
        <w:t>校区内，主要内容包括：本项目拟采购1家供应商负责安吉校区20万</w:t>
      </w:r>
      <w:r>
        <w:rPr>
          <w:rFonts w:hint="eastAsia" w:ascii="仿宋" w:hAnsi="仿宋" w:eastAsia="仿宋" w:cs="宋体"/>
          <w:bCs/>
          <w:snapToGrid w:val="0"/>
          <w:color w:val="auto"/>
          <w:sz w:val="24"/>
          <w:highlight w:val="none"/>
          <w:lang w:eastAsia="zh-CN"/>
        </w:rPr>
        <w:t>（</w:t>
      </w:r>
      <w:r>
        <w:rPr>
          <w:rFonts w:hint="eastAsia" w:ascii="仿宋" w:hAnsi="仿宋" w:eastAsia="仿宋" w:cs="宋体"/>
          <w:bCs/>
          <w:snapToGrid w:val="0"/>
          <w:color w:val="auto"/>
          <w:sz w:val="24"/>
          <w:highlight w:val="none"/>
          <w:lang w:val="en-US" w:eastAsia="zh-CN"/>
        </w:rPr>
        <w:t>含）</w:t>
      </w:r>
      <w:r>
        <w:rPr>
          <w:rFonts w:hint="eastAsia" w:ascii="仿宋" w:hAnsi="仿宋" w:eastAsia="仿宋" w:cs="宋体"/>
          <w:bCs/>
          <w:snapToGrid w:val="0"/>
          <w:color w:val="auto"/>
          <w:sz w:val="24"/>
          <w:highlight w:val="none"/>
        </w:rPr>
        <w:t>以内小额维修工程施工，主要包括：屋面室内及玻璃幕墙渗水补漏修复、步道修筑、墙体涂料粉刷、钢化玻璃更换、室内装潢等。</w:t>
      </w:r>
    </w:p>
    <w:p>
      <w:pPr>
        <w:pStyle w:val="3"/>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一年</w:t>
      </w:r>
      <w:r>
        <w:rPr>
          <w:rFonts w:hint="eastAsia" w:ascii="仿宋" w:hAnsi="仿宋" w:eastAsia="仿宋" w:cs="宋体"/>
          <w:b/>
          <w:color w:val="auto"/>
          <w:sz w:val="24"/>
          <w:szCs w:val="24"/>
          <w:highlight w:val="none"/>
        </w:rPr>
        <w:t>。</w:t>
      </w:r>
    </w:p>
    <w:p>
      <w:pPr>
        <w:pStyle w:val="3"/>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宋体"/>
          <w:b/>
          <w:color w:val="auto"/>
          <w:sz w:val="24"/>
          <w:szCs w:val="24"/>
          <w:highlight w:val="none"/>
        </w:rPr>
      </w:pPr>
    </w:p>
    <w:p>
      <w:pPr>
        <w:keepNext w:val="0"/>
        <w:keepLines w:val="0"/>
        <w:pageBreakBefore w:val="0"/>
        <w:kinsoku/>
        <w:wordWrap/>
        <w:overflowPunct/>
        <w:topLinePunct w:val="0"/>
        <w:autoSpaceDE/>
        <w:autoSpaceDN/>
        <w:bidi w:val="0"/>
        <w:snapToGrid/>
        <w:spacing w:line="440" w:lineRule="exact"/>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二</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val="en-US" w:eastAsia="zh-CN"/>
        </w:rPr>
        <w:t>项目</w:t>
      </w:r>
      <w:r>
        <w:rPr>
          <w:rFonts w:hint="eastAsia" w:ascii="仿宋" w:hAnsi="仿宋" w:eastAsia="仿宋" w:cs="仿宋"/>
          <w:b/>
          <w:bCs/>
          <w:color w:val="auto"/>
          <w:sz w:val="24"/>
          <w:highlight w:val="none"/>
        </w:rPr>
        <w:t>要求</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报价说明</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1、本项目以</w:t>
      </w:r>
      <w:r>
        <w:rPr>
          <w:rFonts w:hint="eastAsia" w:ascii="仿宋" w:hAnsi="仿宋" w:eastAsia="仿宋" w:cs="仿宋"/>
          <w:color w:val="auto"/>
          <w:sz w:val="24"/>
          <w:highlight w:val="none"/>
          <w:lang w:val="en-US" w:eastAsia="zh-CN"/>
        </w:rPr>
        <w:t>折扣率</w:t>
      </w:r>
      <w:r>
        <w:rPr>
          <w:rFonts w:hint="eastAsia" w:ascii="仿宋" w:hAnsi="仿宋" w:eastAsia="仿宋" w:cs="仿宋"/>
          <w:color w:val="auto"/>
          <w:sz w:val="24"/>
          <w:highlight w:val="none"/>
        </w:rPr>
        <w:t>（%）报价。</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2、供应商参照工料单价法计算工程款总价，由采购人委托的审计单位进行审计，在审计后的工程款总价基础上填报折扣（%）；成交后，按承诺的折扣（%）结算。</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3、工程款结算依据</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（1）《建设工程工程量清单计价规范》（GB50500—2013）。</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（2）《房屋建筑与装饰工程工程量计算规范》（GB50854—2013）。</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（3）《通用安装工程工程量计算规范》（GB50856—2013）。</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（4）《市政工程工程量计算规范》（GB50857—2013）。</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（5）《园林绿化工程工程量计算规范》（GB50858—2013）。</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（6）《浙江省建设工程计价规则》（2018版）。</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（7）《杭州市建设工程工程量清单计价实施细则》（2018年修订）</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（8）《关于颁发浙江省建设工程计价依据（2018版）的通知》（浙建建﹝2018﹞61号）</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（9）《关于印发《杭州市建设工程工程量清单计价实施细则》（2018年修订）的通知》（杭建市发（2018）578号）。</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（10）《浙江省建筑工程预算定额（2018版）》、《浙江省安装工程预算定额（2018版）》、《浙江省市政工程预算定额（2018版）》、《浙江省建设工程施工取费定额（2018版）》。</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（11）《杭州造价信息》（正刊）（施工当月最新一期）、《浙江省造价信息》（施工当月最新一期最新一期），无价材料参考市场价格。</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人工价格按照省住建厅《关于进一步规范人工市场信息价发布管理的通知》（建建发[2011]124号）、《关于杭州市建设工程人工信息价发布和使用规定的通知》（杭建造价投资办[2013]20号）文件精神计入。人工信息价按最新一季度杭州市建设工程人工信息价核算。</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（13）工程类别：按三类工程，市区一般工程</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4、供应商采购的设备和材料，品牌、式样、规格须经采购人确认，其价格一律在结算时交审计单位审计后为准。若材料按相关规定必须有检测资料的，则检测费由供应商承担，考虑在报价因素中。</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材料单价依次按施工期间杭州市建设工程信息、浙江省造价信息（合同工期内各期材料信息价格的平均值，先参照杭州市信息价，如没有则参照浙江省信息价，以上信息价均为正刊）计算；信息刊物上都没有的主要材料由审计询价、采购人签证确认。</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5、管理费、利润按浙江省建设工程计价规范（2018版）的各专业费率中值计算。</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6、组织措施费按浙江省建设工程计价规范（2018版）的各专业费率中值计算。</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7、如有其他项目费用，则以采购人书面签证的为准。</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8、所有工程量按实际计取，最终以审计单位的审计结果为准。</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9、不论采购结果如何，供应商均应自行承担所有与磋商有关的全部费用。</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10、按上述规则编制的结算价经审计后乘以中标折扣计算出的价格作为采购人应付的工程款。</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其它费用</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（1）招标人不提供住宿及材料堆放仓库，中标人需自行解决，相关费用自理。</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（2）拆除项目的工程，可按定额计取拆除及建筑垃圾清运费。</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（3）不含拆除项目的工程，不计取建筑垃圾清运费。</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（4）根据实际产生的措施项目，按定额规定计取。</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（5）施工中应切实做好原有财产的保护，不另行计取保护费，若由于施工单位造成的损坏，应无条件修复，无法修复的应按原价赔偿。</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（6）施工用水用电费按结算价的1%计取,由施工方直接支付给学校相关部门。</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（7）施工单位须及时清运施工垃圾，切实做到工完场清，服从学校管理，否则招标人按合同约定扣取垃圾清运费。</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（8）施工人员应严格按照专业操作技术规程进行安全施工，在施工中造成的一切人身安全责任事故均由施工方负责。</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（9）不能达到要求质量等级的，施工单位应无条件整改，直至质量达到合格标准，并按合同约定扣取质量处罚金。</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（10）招标人外送审计的项目，审计费用的计取按照《浙江省物价局关于进一步完善工程造价咨询服务收费的通知》浙价服〔2009〕84号执行。</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（11）超过约定工期的，按合同约定扣取处罚金。</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p>
    <w:p>
      <w:pPr>
        <w:keepNext w:val="0"/>
        <w:keepLines w:val="0"/>
        <w:pageBreakBefore w:val="0"/>
        <w:kinsoku/>
        <w:wordWrap/>
        <w:overflowPunct/>
        <w:topLinePunct w:val="0"/>
        <w:autoSpaceDE/>
        <w:autoSpaceDN/>
        <w:bidi w:val="0"/>
        <w:snapToGrid/>
        <w:spacing w:line="440" w:lineRule="exact"/>
        <w:ind w:left="210" w:leftChars="100"/>
        <w:jc w:val="left"/>
        <w:textAlignment w:val="auto"/>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lang w:val="en-US" w:eastAsia="zh-CN"/>
        </w:rPr>
        <w:t>三</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rPr>
        <w:t xml:space="preserve">工程主要材料（设备）要求  </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6.1、材料选择</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本工程使用的原材料必须符合设计要求和施工规范的规定。</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实际施工过程中，甲方将严格检查验收进场原材料的合格证及质保书，如发现实样与质保书不符，应立即取样进行复查，对不合格的材料严禁用于本工程。</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ISO质量认证，并符合环保要求，严禁选择不合设计要求的低档材料进行投标报价及组织施工实施。</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6.2、主要材料（设备）的要求</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（1）投标时需注明选用材料（设备）品牌，未注明品牌的，中标后采购人可在采购文件推荐品牌中指定任何一个品牌，且结算单价不变，成交人不得有任何异议，相关风险由成交人承担。</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6.3、材料的质量保证</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（3）成交人必须对所承包工程的质量负全部责任，其责任不因其他材料生产商提供的保证书而减轻或更改。</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Cs w:val="21"/>
          <w:highlight w:val="none"/>
          <w:u w:val="single"/>
        </w:rPr>
      </w:pPr>
      <w:r>
        <w:rPr>
          <w:rFonts w:hint="eastAsia" w:ascii="仿宋" w:hAnsi="仿宋" w:eastAsia="仿宋" w:cs="仿宋"/>
          <w:color w:val="auto"/>
          <w:sz w:val="24"/>
          <w:highlight w:val="none"/>
          <w:u w:val="single"/>
        </w:rPr>
        <w:t>6.4本项目各项由磋商供应商提供的材料，必须是符合国家现行质量标准和环保要求的材料，相关材料采用中档以上材质、品牌，在采购前报采购人确认。</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▲6.5绿色建材要求：按《关于扩大政府采购支持绿色建材促进建筑品质提升政策实施范围的通知》（财库〔2022〕35号）执行。</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u w:val="single"/>
        </w:rPr>
      </w:pPr>
    </w:p>
    <w:p>
      <w:pPr>
        <w:keepNext w:val="0"/>
        <w:keepLines w:val="0"/>
        <w:pageBreakBefore w:val="0"/>
        <w:kinsoku/>
        <w:wordWrap/>
        <w:overflowPunct/>
        <w:topLinePunct w:val="0"/>
        <w:autoSpaceDE/>
        <w:autoSpaceDN/>
        <w:bidi w:val="0"/>
        <w:snapToGrid/>
        <w:spacing w:line="440" w:lineRule="exact"/>
        <w:ind w:left="210" w:leftChars="100"/>
        <w:jc w:val="left"/>
        <w:textAlignment w:val="auto"/>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lang w:val="en-US" w:eastAsia="zh-CN"/>
        </w:rPr>
        <w:t>四</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rPr>
        <w:t>工程管理的要求</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7.1、本工程发包范围内的工程项目，未经采购人同意一律不得分包。一经发现立即取消承包资格，作违约处理，并承担由此引起的一切经济损失。</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7.2、成交人应严格按已确认施工技术方案组织施工，并无条件地接受采购人代表对施工质量的监督和管理。</w:t>
      </w:r>
    </w:p>
    <w:p>
      <w:pPr>
        <w:keepNext w:val="0"/>
        <w:keepLines w:val="0"/>
        <w:pageBreakBefore w:val="0"/>
        <w:kinsoku/>
        <w:wordWrap/>
        <w:overflowPunct/>
        <w:topLinePunct w:val="0"/>
        <w:autoSpaceDE/>
        <w:autoSpaceDN/>
        <w:bidi w:val="0"/>
        <w:snapToGrid/>
        <w:spacing w:line="440" w:lineRule="exact"/>
        <w:ind w:firstLine="420"/>
        <w:jc w:val="left"/>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7.3、成交人在工程施工全过程中要认真做好产品保护。因失窃或失火造成的损失均由承包方负责，凡由此而损及采购人利益时，采购人将向中标施工单位索赔。</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五</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其他</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1、施工单位必须严格遵守学院各类规章制度及相关部门的管理，按照国家的施工规范及安全要求组织施工，任何违反安全要求产生的损失均由施工单位承担。</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2、施工单位要熟悉学院小额工程审批实施的内容及要求，未经审批的项目不得擅自施工。小额工程项目中涉及的范围主要为学院公共区域的日常维修及改造工程，小额工程的管理根据学院相关管理要求执行。</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3、施工单位须提供所有施工项目的</w:t>
      </w:r>
      <w:r>
        <w:rPr>
          <w:rFonts w:hint="eastAsia" w:ascii="仿宋" w:hAnsi="仿宋" w:eastAsia="仿宋" w:cs="仿宋"/>
          <w:b w:val="0"/>
          <w:bCs w:val="0"/>
          <w:color w:val="auto"/>
          <w:sz w:val="24"/>
          <w:highlight w:val="none"/>
          <w:lang w:val="en-US" w:eastAsia="zh-CN"/>
        </w:rPr>
        <w:t>维修方案和报价</w:t>
      </w:r>
      <w:r>
        <w:rPr>
          <w:rFonts w:hint="eastAsia" w:ascii="仿宋" w:hAnsi="仿宋" w:eastAsia="仿宋" w:cs="仿宋"/>
          <w:b w:val="0"/>
          <w:bCs w:val="0"/>
          <w:color w:val="auto"/>
          <w:sz w:val="24"/>
          <w:highlight w:val="none"/>
        </w:rPr>
        <w:t>。</w:t>
      </w:r>
    </w:p>
    <w:p>
      <w:pPr>
        <w:keepNext w:val="0"/>
        <w:keepLines w:val="0"/>
        <w:pageBreakBefore w:val="0"/>
        <w:kinsoku/>
        <w:wordWrap/>
        <w:overflowPunct/>
        <w:topLinePunct w:val="0"/>
        <w:autoSpaceDE/>
        <w:autoSpaceDN/>
        <w:bidi w:val="0"/>
        <w:snapToGrid/>
        <w:spacing w:line="440" w:lineRule="exact"/>
        <w:ind w:firstLine="480" w:firstLineChars="200"/>
        <w:textAlignment w:val="auto"/>
        <w:rPr>
          <w:rFonts w:hint="eastAsia" w:ascii="仿宋" w:hAnsi="仿宋" w:eastAsia="仿宋" w:cs="仿宋"/>
          <w:b/>
          <w:color w:val="auto"/>
          <w:sz w:val="24"/>
          <w:highlight w:val="none"/>
        </w:rPr>
      </w:pPr>
      <w:r>
        <w:rPr>
          <w:rFonts w:hint="eastAsia" w:ascii="仿宋" w:hAnsi="仿宋" w:eastAsia="仿宋" w:cs="仿宋"/>
          <w:color w:val="auto"/>
          <w:sz w:val="24"/>
          <w:highlight w:val="none"/>
        </w:rPr>
        <w:t>4、如施工单位不服从管理、不能满足学院要求的，学院有权停止发包。</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rPr>
      </w:pPr>
      <w:bookmarkStart w:id="28" w:name="_Hlk102132672"/>
      <w:r>
        <w:rPr>
          <w:rFonts w:hint="eastAsia" w:ascii="仿宋" w:hAnsi="仿宋" w:eastAsia="仿宋" w:cs="仿宋"/>
          <w:b/>
          <w:bCs/>
          <w:color w:val="auto"/>
          <w:sz w:val="24"/>
          <w:highlight w:val="none"/>
        </w:rPr>
        <w:t>5、拟派项目负责人及项目班组成员必须为施工单位在职人员，需提供社保缴纳证明。</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6、项目施工周期内项目负责人到位率必须大于90%，关键施工节点项目负责人必须到场，否则按</w:t>
      </w:r>
      <w:r>
        <w:rPr>
          <w:rFonts w:hint="eastAsia" w:ascii="仿宋" w:hAnsi="仿宋" w:eastAsia="仿宋" w:cs="仿宋"/>
          <w:b/>
          <w:color w:val="auto"/>
          <w:sz w:val="24"/>
          <w:highlight w:val="none"/>
        </w:rPr>
        <w:t>合同约定进行处罚。其余时间按招标人要求到场。</w:t>
      </w:r>
    </w:p>
    <w:bookmarkEnd w:id="28"/>
    <w:p>
      <w:pPr>
        <w:pStyle w:val="19"/>
        <w:keepNext w:val="0"/>
        <w:keepLines w:val="0"/>
        <w:pageBreakBefore w:val="0"/>
        <w:kinsoku/>
        <w:wordWrap/>
        <w:overflowPunct/>
        <w:topLinePunct w:val="0"/>
        <w:autoSpaceDE/>
        <w:autoSpaceDN/>
        <w:bidi w:val="0"/>
        <w:snapToGrid/>
        <w:spacing w:line="440" w:lineRule="exact"/>
        <w:ind w:firstLine="480"/>
        <w:textAlignment w:val="auto"/>
        <w:rPr>
          <w:color w:val="auto"/>
          <w:highlight w:val="none"/>
        </w:rPr>
      </w:pPr>
    </w:p>
    <w:p>
      <w:pPr>
        <w:keepNext w:val="0"/>
        <w:keepLines w:val="0"/>
        <w:pageBreakBefore w:val="0"/>
        <w:kinsoku/>
        <w:wordWrap/>
        <w:overflowPunct/>
        <w:topLinePunct w:val="0"/>
        <w:autoSpaceDE/>
        <w:autoSpaceDN/>
        <w:bidi w:val="0"/>
        <w:snapToGrid/>
        <w:spacing w:line="440" w:lineRule="exact"/>
        <w:jc w:val="left"/>
        <w:textAlignment w:val="auto"/>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lang w:val="en-US" w:eastAsia="zh-CN"/>
        </w:rPr>
        <w:t>三</w:t>
      </w:r>
      <w:r>
        <w:rPr>
          <w:rFonts w:hint="eastAsia" w:ascii="仿宋" w:hAnsi="仿宋" w:eastAsia="仿宋" w:cs="仿宋_GB2312"/>
          <w:b/>
          <w:bCs/>
          <w:color w:val="auto"/>
          <w:sz w:val="24"/>
          <w:highlight w:val="none"/>
        </w:rPr>
        <w:t>、其他要求</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1</w:t>
      </w:r>
      <w:r>
        <w:rPr>
          <w:rFonts w:hint="eastAsia" w:ascii="仿宋" w:hAnsi="仿宋" w:eastAsia="仿宋" w:cs="宋体"/>
          <w:b/>
          <w:bCs/>
          <w:color w:val="auto"/>
          <w:sz w:val="24"/>
          <w:highlight w:val="none"/>
          <w:u w:val="single"/>
        </w:rPr>
        <w:t>）拟派项目经理具有建筑工程专业贰级及以上建造师注册证书；（响应文件中提供相应证书复印件）。</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pPr>
        <w:pStyle w:val="19"/>
        <w:keepNext w:val="0"/>
        <w:keepLines w:val="0"/>
        <w:pageBreakBefore w:val="0"/>
        <w:kinsoku/>
        <w:wordWrap/>
        <w:overflowPunct/>
        <w:topLinePunct w:val="0"/>
        <w:autoSpaceDE/>
        <w:autoSpaceDN/>
        <w:bidi w:val="0"/>
        <w:snapToGrid/>
        <w:spacing w:line="440" w:lineRule="exact"/>
        <w:ind w:firstLine="480"/>
        <w:textAlignment w:val="auto"/>
        <w:rPr>
          <w:color w:val="auto"/>
          <w:highlight w:val="none"/>
        </w:rPr>
      </w:pPr>
    </w:p>
    <w:p>
      <w:pPr>
        <w:pStyle w:val="19"/>
        <w:keepNext w:val="0"/>
        <w:keepLines w:val="0"/>
        <w:pageBreakBefore w:val="0"/>
        <w:kinsoku/>
        <w:wordWrap/>
        <w:overflowPunct/>
        <w:topLinePunct w:val="0"/>
        <w:autoSpaceDE/>
        <w:autoSpaceDN/>
        <w:bidi w:val="0"/>
        <w:snapToGrid/>
        <w:spacing w:line="440" w:lineRule="exact"/>
        <w:ind w:firstLine="480"/>
        <w:textAlignment w:val="auto"/>
        <w:rPr>
          <w:color w:val="auto"/>
          <w:highlight w:val="none"/>
        </w:rPr>
      </w:pPr>
    </w:p>
    <w:p>
      <w:pPr>
        <w:keepNext w:val="0"/>
        <w:keepLines w:val="0"/>
        <w:pageBreakBefore w:val="0"/>
        <w:kinsoku/>
        <w:wordWrap/>
        <w:overflowPunct/>
        <w:topLinePunct w:val="0"/>
        <w:autoSpaceDE/>
        <w:autoSpaceDN/>
        <w:bidi w:val="0"/>
        <w:snapToGrid/>
        <w:spacing w:line="440" w:lineRule="exact"/>
        <w:ind w:firstLine="482" w:firstLineChars="200"/>
        <w:textAlignment w:val="auto"/>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pPr>
        <w:rPr>
          <w:rFonts w:ascii="仿宋" w:hAnsi="仿宋" w:eastAsia="仿宋"/>
          <w:color w:val="auto"/>
          <w:highlight w:val="none"/>
        </w:rPr>
      </w:pPr>
      <w:r>
        <w:rPr>
          <w:rFonts w:ascii="仿宋" w:hAnsi="仿宋" w:eastAsia="仿宋"/>
          <w:color w:val="auto"/>
          <w:highlight w:val="none"/>
        </w:rPr>
        <w:br w:type="page"/>
      </w:r>
    </w:p>
    <w:p>
      <w:pPr>
        <w:rPr>
          <w:rFonts w:ascii="仿宋" w:hAnsi="仿宋" w:eastAsia="仿宋"/>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29" w:name="_Toc184313276"/>
      <w:bookmarkEnd w:id="29"/>
      <w:bookmarkStart w:id="30" w:name="_Toc184310273"/>
      <w:bookmarkEnd w:id="30"/>
      <w:bookmarkStart w:id="31" w:name="_Toc184310326"/>
      <w:bookmarkEnd w:id="31"/>
      <w:bookmarkStart w:id="32" w:name="_Toc184313245"/>
      <w:bookmarkEnd w:id="32"/>
      <w:bookmarkStart w:id="33" w:name="_Toc184312118"/>
      <w:bookmarkEnd w:id="33"/>
      <w:bookmarkStart w:id="34" w:name="_Toc184314411"/>
      <w:bookmarkEnd w:id="34"/>
      <w:bookmarkStart w:id="35" w:name="_Toc184312124"/>
      <w:bookmarkEnd w:id="35"/>
      <w:bookmarkStart w:id="36" w:name="_Toc184314474"/>
      <w:bookmarkEnd w:id="36"/>
      <w:bookmarkStart w:id="37" w:name="_Toc184313253"/>
      <w:bookmarkEnd w:id="37"/>
      <w:bookmarkStart w:id="38" w:name="_Toc184312104"/>
      <w:bookmarkEnd w:id="38"/>
      <w:bookmarkStart w:id="39" w:name="_Toc184310333"/>
      <w:bookmarkEnd w:id="39"/>
      <w:bookmarkStart w:id="40" w:name="_Toc184313248"/>
      <w:bookmarkEnd w:id="40"/>
      <w:bookmarkStart w:id="41" w:name="_Toc184312116"/>
      <w:bookmarkEnd w:id="41"/>
      <w:bookmarkStart w:id="42" w:name="_Toc184312138"/>
      <w:bookmarkEnd w:id="42"/>
      <w:bookmarkStart w:id="43" w:name="_Toc184314437"/>
      <w:bookmarkEnd w:id="43"/>
      <w:bookmarkStart w:id="44" w:name="_Toc184308087"/>
      <w:bookmarkEnd w:id="44"/>
      <w:bookmarkStart w:id="45" w:name="_Toc184313299"/>
      <w:bookmarkEnd w:id="45"/>
      <w:bookmarkStart w:id="46" w:name="_Toc184313273"/>
      <w:bookmarkEnd w:id="46"/>
      <w:bookmarkStart w:id="47" w:name="_Toc184312126"/>
      <w:bookmarkEnd w:id="47"/>
      <w:bookmarkStart w:id="48" w:name="_Toc184314451"/>
      <w:bookmarkEnd w:id="48"/>
      <w:bookmarkStart w:id="49" w:name="_Toc184308084"/>
      <w:bookmarkEnd w:id="49"/>
      <w:bookmarkStart w:id="50" w:name="_Toc184313267"/>
      <w:bookmarkEnd w:id="50"/>
      <w:bookmarkStart w:id="51" w:name="_Toc184310300"/>
      <w:bookmarkEnd w:id="51"/>
      <w:bookmarkStart w:id="52" w:name="_Toc184312097"/>
      <w:bookmarkEnd w:id="52"/>
      <w:bookmarkStart w:id="53" w:name="_Toc184308056"/>
      <w:bookmarkEnd w:id="53"/>
      <w:bookmarkStart w:id="54" w:name="_Toc184314419"/>
      <w:bookmarkEnd w:id="54"/>
      <w:bookmarkStart w:id="55" w:name="_Toc184308088"/>
      <w:bookmarkEnd w:id="55"/>
      <w:bookmarkStart w:id="56" w:name="_Toc184308047"/>
      <w:bookmarkEnd w:id="56"/>
      <w:bookmarkStart w:id="57" w:name="_Toc184312102"/>
      <w:bookmarkEnd w:id="57"/>
      <w:bookmarkStart w:id="58" w:name="_Toc184312125"/>
      <w:bookmarkEnd w:id="58"/>
      <w:bookmarkStart w:id="59" w:name="_Toc184313284"/>
      <w:bookmarkEnd w:id="59"/>
      <w:bookmarkStart w:id="60" w:name="_Toc184314438"/>
      <w:bookmarkEnd w:id="60"/>
      <w:bookmarkStart w:id="61" w:name="_Toc184308101"/>
      <w:bookmarkEnd w:id="61"/>
      <w:bookmarkStart w:id="62" w:name="_Toc184312131"/>
      <w:bookmarkEnd w:id="62"/>
      <w:bookmarkStart w:id="63" w:name="_Toc184313295"/>
      <w:bookmarkEnd w:id="63"/>
      <w:bookmarkStart w:id="64" w:name="_Toc184314463"/>
      <w:bookmarkEnd w:id="64"/>
      <w:bookmarkStart w:id="65" w:name="_Toc184314412"/>
      <w:bookmarkEnd w:id="65"/>
      <w:bookmarkStart w:id="66" w:name="_Toc184314472"/>
      <w:bookmarkEnd w:id="66"/>
      <w:bookmarkStart w:id="67" w:name="_Toc184308061"/>
      <w:bookmarkEnd w:id="67"/>
      <w:bookmarkStart w:id="68" w:name="_Toc184312127"/>
      <w:bookmarkEnd w:id="68"/>
      <w:bookmarkStart w:id="69" w:name="_Toc184313282"/>
      <w:bookmarkEnd w:id="69"/>
      <w:bookmarkStart w:id="70" w:name="_Toc184310277"/>
      <w:bookmarkEnd w:id="70"/>
      <w:bookmarkStart w:id="71" w:name="_Toc184313287"/>
      <w:bookmarkEnd w:id="71"/>
      <w:bookmarkStart w:id="72" w:name="_Toc184312139"/>
      <w:bookmarkEnd w:id="72"/>
      <w:bookmarkStart w:id="73" w:name="_Toc184312098"/>
      <w:bookmarkEnd w:id="73"/>
      <w:bookmarkStart w:id="74" w:name="_Toc184310338"/>
      <w:bookmarkEnd w:id="74"/>
      <w:bookmarkStart w:id="75" w:name="_Toc184314464"/>
      <w:bookmarkEnd w:id="75"/>
      <w:bookmarkStart w:id="76" w:name="_Toc184312100"/>
      <w:bookmarkEnd w:id="76"/>
      <w:bookmarkStart w:id="77" w:name="_Toc184308060"/>
      <w:bookmarkEnd w:id="77"/>
      <w:bookmarkStart w:id="78" w:name="_Toc184312103"/>
      <w:bookmarkEnd w:id="78"/>
      <w:bookmarkStart w:id="79" w:name="_Toc184313261"/>
      <w:bookmarkEnd w:id="79"/>
      <w:bookmarkStart w:id="80" w:name="_Toc184308066"/>
      <w:bookmarkEnd w:id="80"/>
      <w:bookmarkStart w:id="81" w:name="_Toc184312106"/>
      <w:bookmarkEnd w:id="81"/>
      <w:bookmarkStart w:id="82" w:name="_Toc184312101"/>
      <w:bookmarkEnd w:id="82"/>
      <w:bookmarkStart w:id="83" w:name="_Toc184310308"/>
      <w:bookmarkEnd w:id="83"/>
      <w:bookmarkStart w:id="84" w:name="_Toc184314475"/>
      <w:bookmarkEnd w:id="84"/>
      <w:bookmarkStart w:id="85" w:name="_Toc184308090"/>
      <w:bookmarkEnd w:id="85"/>
      <w:bookmarkStart w:id="86" w:name="_Toc184310336"/>
      <w:bookmarkEnd w:id="86"/>
      <w:bookmarkStart w:id="87" w:name="_Toc184312133"/>
      <w:bookmarkEnd w:id="87"/>
      <w:bookmarkStart w:id="88" w:name="_Toc184313241"/>
      <w:bookmarkEnd w:id="88"/>
      <w:bookmarkStart w:id="89" w:name="_Toc184308081"/>
      <w:bookmarkEnd w:id="89"/>
      <w:bookmarkStart w:id="90" w:name="_Toc184313269"/>
      <w:bookmarkEnd w:id="90"/>
      <w:bookmarkStart w:id="91" w:name="_Toc184313278"/>
      <w:bookmarkEnd w:id="91"/>
      <w:bookmarkStart w:id="92" w:name="_Toc184314448"/>
      <w:bookmarkEnd w:id="92"/>
      <w:bookmarkStart w:id="93" w:name="_Toc184314471"/>
      <w:bookmarkEnd w:id="93"/>
      <w:bookmarkStart w:id="94" w:name="_Toc184314436"/>
      <w:bookmarkEnd w:id="94"/>
      <w:bookmarkStart w:id="95" w:name="_Toc184308082"/>
      <w:bookmarkEnd w:id="95"/>
      <w:bookmarkStart w:id="96" w:name="_Toc184313302"/>
      <w:bookmarkEnd w:id="96"/>
      <w:bookmarkStart w:id="97" w:name="_Toc184313297"/>
      <w:bookmarkEnd w:id="97"/>
      <w:bookmarkStart w:id="98" w:name="_Toc184308070"/>
      <w:bookmarkEnd w:id="98"/>
      <w:bookmarkStart w:id="99" w:name="_Toc184308068"/>
      <w:bookmarkEnd w:id="99"/>
      <w:bookmarkStart w:id="100" w:name="_Toc184308049"/>
      <w:bookmarkEnd w:id="100"/>
      <w:bookmarkStart w:id="101" w:name="_Toc184314453"/>
      <w:bookmarkEnd w:id="101"/>
      <w:bookmarkStart w:id="102" w:name="_Toc184308076"/>
      <w:bookmarkEnd w:id="102"/>
      <w:bookmarkStart w:id="103" w:name="_Toc184310324"/>
      <w:bookmarkEnd w:id="103"/>
      <w:bookmarkStart w:id="104" w:name="_Toc184313251"/>
      <w:bookmarkEnd w:id="104"/>
      <w:bookmarkStart w:id="105" w:name="_Toc184310297"/>
      <w:bookmarkEnd w:id="105"/>
      <w:bookmarkStart w:id="106" w:name="_Toc184310288"/>
      <w:bookmarkEnd w:id="106"/>
      <w:bookmarkStart w:id="107" w:name="_Toc184314413"/>
      <w:bookmarkEnd w:id="107"/>
      <w:bookmarkStart w:id="108" w:name="_Toc184313285"/>
      <w:bookmarkEnd w:id="108"/>
      <w:bookmarkStart w:id="109" w:name="_Toc184310340"/>
      <w:bookmarkEnd w:id="109"/>
      <w:bookmarkStart w:id="110" w:name="_Toc184310321"/>
      <w:bookmarkEnd w:id="110"/>
      <w:bookmarkStart w:id="111" w:name="_Toc184314482"/>
      <w:bookmarkEnd w:id="111"/>
      <w:bookmarkStart w:id="112" w:name="_Toc184313270"/>
      <w:bookmarkEnd w:id="112"/>
      <w:bookmarkStart w:id="113" w:name="_Toc184313246"/>
      <w:bookmarkEnd w:id="113"/>
      <w:bookmarkStart w:id="114" w:name="_Toc184310290"/>
      <w:bookmarkEnd w:id="114"/>
      <w:bookmarkStart w:id="115" w:name="_Toc184313286"/>
      <w:bookmarkEnd w:id="115"/>
      <w:bookmarkStart w:id="116" w:name="_Toc184313298"/>
      <w:bookmarkEnd w:id="116"/>
      <w:bookmarkStart w:id="117" w:name="_Toc184314469"/>
      <w:bookmarkEnd w:id="117"/>
      <w:bookmarkStart w:id="118" w:name="_Toc184312086"/>
      <w:bookmarkEnd w:id="118"/>
      <w:bookmarkStart w:id="119" w:name="_Toc184310343"/>
      <w:bookmarkEnd w:id="119"/>
      <w:bookmarkStart w:id="120" w:name="_Toc184310330"/>
      <w:bookmarkEnd w:id="120"/>
      <w:bookmarkStart w:id="121" w:name="_Toc184313283"/>
      <w:bookmarkEnd w:id="121"/>
      <w:bookmarkStart w:id="122" w:name="_Toc184313268"/>
      <w:bookmarkEnd w:id="122"/>
      <w:bookmarkStart w:id="123" w:name="_Toc184308072"/>
      <w:bookmarkEnd w:id="123"/>
      <w:bookmarkStart w:id="124" w:name="_Toc184310327"/>
      <w:bookmarkEnd w:id="124"/>
      <w:bookmarkStart w:id="125" w:name="_Toc184310301"/>
      <w:bookmarkEnd w:id="125"/>
      <w:bookmarkStart w:id="126" w:name="_Toc184312120"/>
      <w:bookmarkEnd w:id="126"/>
      <w:bookmarkStart w:id="127" w:name="_Toc184314455"/>
      <w:bookmarkEnd w:id="127"/>
      <w:bookmarkStart w:id="128" w:name="_Toc184310337"/>
      <w:bookmarkEnd w:id="128"/>
      <w:bookmarkStart w:id="129" w:name="_Toc184313289"/>
      <w:bookmarkEnd w:id="129"/>
      <w:bookmarkStart w:id="130" w:name="_Toc184308085"/>
      <w:bookmarkEnd w:id="130"/>
      <w:bookmarkStart w:id="131" w:name="_Toc184314467"/>
      <w:bookmarkEnd w:id="131"/>
      <w:bookmarkStart w:id="132" w:name="_Toc184308036"/>
      <w:bookmarkEnd w:id="132"/>
      <w:bookmarkStart w:id="133" w:name="_Toc184310295"/>
      <w:bookmarkEnd w:id="133"/>
      <w:bookmarkStart w:id="134" w:name="_Toc184313259"/>
      <w:bookmarkEnd w:id="134"/>
      <w:bookmarkStart w:id="135" w:name="_Toc184312096"/>
      <w:bookmarkEnd w:id="135"/>
      <w:bookmarkStart w:id="136" w:name="_Toc184312081"/>
      <w:bookmarkEnd w:id="136"/>
      <w:bookmarkStart w:id="137" w:name="_Toc184308051"/>
      <w:bookmarkEnd w:id="137"/>
      <w:bookmarkStart w:id="138" w:name="_Toc184308077"/>
      <w:bookmarkEnd w:id="138"/>
      <w:bookmarkStart w:id="139" w:name="_Toc184308069"/>
      <w:bookmarkEnd w:id="139"/>
      <w:bookmarkStart w:id="140" w:name="_Toc184314477"/>
      <w:bookmarkEnd w:id="140"/>
      <w:bookmarkStart w:id="141" w:name="_Toc184314427"/>
      <w:bookmarkEnd w:id="141"/>
      <w:bookmarkStart w:id="142" w:name="_Toc184314468"/>
      <w:bookmarkEnd w:id="142"/>
      <w:bookmarkStart w:id="143" w:name="_Toc184308062"/>
      <w:bookmarkEnd w:id="143"/>
      <w:bookmarkStart w:id="144" w:name="_Toc184314476"/>
      <w:bookmarkEnd w:id="144"/>
      <w:bookmarkStart w:id="145" w:name="_Toc184310328"/>
      <w:bookmarkEnd w:id="145"/>
      <w:bookmarkStart w:id="146" w:name="_Toc184312122"/>
      <w:bookmarkEnd w:id="146"/>
      <w:bookmarkStart w:id="147" w:name="_Toc184308038"/>
      <w:bookmarkEnd w:id="147"/>
      <w:bookmarkStart w:id="148" w:name="_Toc184313266"/>
      <w:bookmarkEnd w:id="148"/>
      <w:bookmarkStart w:id="149" w:name="_Toc184314457"/>
      <w:bookmarkEnd w:id="149"/>
      <w:bookmarkStart w:id="150" w:name="_Toc184314443"/>
      <w:bookmarkEnd w:id="150"/>
      <w:bookmarkStart w:id="151" w:name="_Toc184308104"/>
      <w:bookmarkEnd w:id="151"/>
      <w:bookmarkStart w:id="152" w:name="_Toc184312107"/>
      <w:bookmarkEnd w:id="152"/>
      <w:bookmarkStart w:id="153" w:name="_Toc184312078"/>
      <w:bookmarkEnd w:id="153"/>
      <w:bookmarkStart w:id="154" w:name="_Toc184310278"/>
      <w:bookmarkEnd w:id="154"/>
      <w:bookmarkStart w:id="155" w:name="_Toc184308083"/>
      <w:bookmarkEnd w:id="155"/>
      <w:bookmarkStart w:id="156" w:name="_Toc184312105"/>
      <w:bookmarkEnd w:id="156"/>
      <w:bookmarkStart w:id="157" w:name="_Toc184313238"/>
      <w:bookmarkEnd w:id="157"/>
      <w:bookmarkStart w:id="158" w:name="_Toc184308059"/>
      <w:bookmarkEnd w:id="158"/>
      <w:bookmarkStart w:id="159" w:name="_Toc184310339"/>
      <w:bookmarkEnd w:id="159"/>
      <w:bookmarkStart w:id="160" w:name="_Toc184310315"/>
      <w:bookmarkEnd w:id="160"/>
      <w:bookmarkStart w:id="161" w:name="_Toc184308093"/>
      <w:bookmarkEnd w:id="161"/>
      <w:bookmarkStart w:id="162" w:name="_Toc184314432"/>
      <w:bookmarkEnd w:id="162"/>
      <w:bookmarkStart w:id="163" w:name="_Toc184310331"/>
      <w:bookmarkEnd w:id="163"/>
      <w:bookmarkStart w:id="164" w:name="_Toc184313263"/>
      <w:bookmarkEnd w:id="164"/>
      <w:bookmarkStart w:id="165" w:name="_Toc184314479"/>
      <w:bookmarkEnd w:id="165"/>
      <w:bookmarkStart w:id="166" w:name="_Toc184312113"/>
      <w:bookmarkEnd w:id="166"/>
      <w:bookmarkStart w:id="167" w:name="_Toc184312115"/>
      <w:bookmarkEnd w:id="167"/>
      <w:bookmarkStart w:id="168" w:name="_Toc184308097"/>
      <w:bookmarkEnd w:id="168"/>
      <w:bookmarkStart w:id="169" w:name="_Toc184310318"/>
      <w:bookmarkEnd w:id="169"/>
      <w:bookmarkStart w:id="170" w:name="_Toc184308053"/>
      <w:bookmarkEnd w:id="170"/>
      <w:bookmarkStart w:id="171" w:name="_Toc184314480"/>
      <w:bookmarkEnd w:id="171"/>
      <w:bookmarkStart w:id="172" w:name="_Toc184308054"/>
      <w:bookmarkEnd w:id="172"/>
      <w:bookmarkStart w:id="173" w:name="_Toc184308092"/>
      <w:bookmarkEnd w:id="173"/>
      <w:bookmarkStart w:id="174" w:name="_Toc184308052"/>
      <w:bookmarkEnd w:id="174"/>
      <w:bookmarkStart w:id="175" w:name="_Toc184314431"/>
      <w:bookmarkEnd w:id="175"/>
      <w:bookmarkStart w:id="176" w:name="_Toc184313303"/>
      <w:bookmarkEnd w:id="176"/>
      <w:bookmarkStart w:id="177" w:name="_Toc184312093"/>
      <w:bookmarkEnd w:id="177"/>
      <w:bookmarkStart w:id="178" w:name="_Toc184308096"/>
      <w:bookmarkEnd w:id="178"/>
      <w:bookmarkStart w:id="179" w:name="_Toc184312123"/>
      <w:bookmarkEnd w:id="179"/>
      <w:bookmarkStart w:id="180" w:name="_Toc184313244"/>
      <w:bookmarkEnd w:id="180"/>
      <w:bookmarkStart w:id="181" w:name="_Toc184308080"/>
      <w:bookmarkEnd w:id="181"/>
      <w:bookmarkStart w:id="182" w:name="_Toc184310281"/>
      <w:bookmarkEnd w:id="182"/>
      <w:bookmarkStart w:id="183" w:name="_Toc184313239"/>
      <w:bookmarkEnd w:id="183"/>
      <w:bookmarkStart w:id="184" w:name="_Toc184310276"/>
      <w:bookmarkEnd w:id="184"/>
      <w:bookmarkStart w:id="185" w:name="_Toc184313294"/>
      <w:bookmarkEnd w:id="185"/>
      <w:bookmarkStart w:id="186" w:name="_Toc184313309"/>
      <w:bookmarkEnd w:id="186"/>
      <w:bookmarkStart w:id="187" w:name="_Toc184312135"/>
      <w:bookmarkEnd w:id="187"/>
      <w:bookmarkStart w:id="188" w:name="_Toc184312132"/>
      <w:bookmarkEnd w:id="188"/>
      <w:bookmarkStart w:id="189" w:name="_Toc184312082"/>
      <w:bookmarkEnd w:id="189"/>
      <w:bookmarkStart w:id="190" w:name="_Toc184310293"/>
      <w:bookmarkEnd w:id="190"/>
      <w:bookmarkStart w:id="191" w:name="_Toc184314449"/>
      <w:bookmarkEnd w:id="191"/>
      <w:bookmarkStart w:id="192" w:name="_Toc184313271"/>
      <w:bookmarkEnd w:id="192"/>
      <w:bookmarkStart w:id="193" w:name="_Toc184314418"/>
      <w:bookmarkEnd w:id="193"/>
      <w:bookmarkStart w:id="194" w:name="_Toc184314460"/>
      <w:bookmarkEnd w:id="194"/>
      <w:bookmarkStart w:id="195" w:name="_Toc184310305"/>
      <w:bookmarkEnd w:id="195"/>
      <w:bookmarkStart w:id="196" w:name="_Toc184314465"/>
      <w:bookmarkEnd w:id="196"/>
      <w:bookmarkStart w:id="197" w:name="_Toc184310335"/>
      <w:bookmarkEnd w:id="197"/>
      <w:bookmarkStart w:id="198" w:name="_Toc184313277"/>
      <w:bookmarkEnd w:id="198"/>
      <w:bookmarkStart w:id="199" w:name="_Toc184314442"/>
      <w:bookmarkEnd w:id="199"/>
      <w:bookmarkStart w:id="200" w:name="_Toc184313247"/>
      <w:bookmarkEnd w:id="200"/>
      <w:bookmarkStart w:id="201" w:name="_Toc184313288"/>
      <w:bookmarkEnd w:id="201"/>
      <w:bookmarkStart w:id="202" w:name="_Toc184312092"/>
      <w:bookmarkEnd w:id="202"/>
      <w:bookmarkStart w:id="203" w:name="_Toc184314435"/>
      <w:bookmarkEnd w:id="203"/>
      <w:bookmarkStart w:id="204" w:name="_Toc184312099"/>
      <w:bookmarkEnd w:id="204"/>
      <w:bookmarkStart w:id="205" w:name="_Toc184312089"/>
      <w:bookmarkEnd w:id="205"/>
      <w:bookmarkStart w:id="206" w:name="_Toc184310334"/>
      <w:bookmarkEnd w:id="206"/>
      <w:bookmarkStart w:id="207" w:name="_Toc184308098"/>
      <w:bookmarkEnd w:id="207"/>
      <w:bookmarkStart w:id="208" w:name="_Toc184310286"/>
      <w:bookmarkEnd w:id="208"/>
      <w:bookmarkStart w:id="209" w:name="_Toc184310303"/>
      <w:bookmarkEnd w:id="209"/>
      <w:bookmarkStart w:id="210" w:name="_Toc184314445"/>
      <w:bookmarkEnd w:id="210"/>
      <w:bookmarkStart w:id="211" w:name="_Toc184314452"/>
      <w:bookmarkEnd w:id="211"/>
      <w:bookmarkStart w:id="212" w:name="_Toc184308086"/>
      <w:bookmarkEnd w:id="212"/>
      <w:bookmarkStart w:id="213" w:name="_Toc184312128"/>
      <w:bookmarkEnd w:id="213"/>
      <w:bookmarkStart w:id="214" w:name="_Toc184308103"/>
      <w:bookmarkEnd w:id="214"/>
      <w:bookmarkStart w:id="215" w:name="_Toc184314454"/>
      <w:bookmarkEnd w:id="215"/>
      <w:bookmarkStart w:id="216" w:name="_Toc184310294"/>
      <w:bookmarkEnd w:id="216"/>
      <w:bookmarkStart w:id="217" w:name="_Toc184308075"/>
      <w:bookmarkEnd w:id="217"/>
      <w:bookmarkStart w:id="218" w:name="_Toc184312075"/>
      <w:bookmarkEnd w:id="218"/>
      <w:bookmarkStart w:id="219" w:name="_Toc184308091"/>
      <w:bookmarkEnd w:id="219"/>
      <w:bookmarkStart w:id="220" w:name="_Toc184314422"/>
      <w:bookmarkEnd w:id="220"/>
      <w:bookmarkStart w:id="221" w:name="_Toc184313258"/>
      <w:bookmarkEnd w:id="221"/>
      <w:bookmarkStart w:id="222" w:name="_Toc184310284"/>
      <w:bookmarkEnd w:id="222"/>
      <w:bookmarkStart w:id="223" w:name="_Toc184313265"/>
      <w:bookmarkEnd w:id="223"/>
      <w:bookmarkStart w:id="224" w:name="_Toc184312073"/>
      <w:bookmarkEnd w:id="224"/>
      <w:bookmarkStart w:id="225" w:name="_Toc184310332"/>
      <w:bookmarkEnd w:id="225"/>
      <w:bookmarkStart w:id="226" w:name="_Toc184308079"/>
      <w:bookmarkEnd w:id="226"/>
      <w:bookmarkStart w:id="227" w:name="_Toc184310302"/>
      <w:bookmarkEnd w:id="227"/>
      <w:bookmarkStart w:id="228" w:name="_Toc184312077"/>
      <w:bookmarkEnd w:id="228"/>
      <w:bookmarkStart w:id="229" w:name="_Toc184308043"/>
      <w:bookmarkEnd w:id="229"/>
      <w:bookmarkStart w:id="230" w:name="_Toc184308094"/>
      <w:bookmarkEnd w:id="230"/>
      <w:bookmarkStart w:id="231" w:name="_Toc184313254"/>
      <w:bookmarkEnd w:id="231"/>
      <w:bookmarkStart w:id="232" w:name="_Toc184313293"/>
      <w:bookmarkEnd w:id="232"/>
      <w:bookmarkStart w:id="233" w:name="_Toc184312070"/>
      <w:bookmarkEnd w:id="233"/>
      <w:bookmarkStart w:id="234" w:name="_Toc184314410"/>
      <w:bookmarkEnd w:id="234"/>
      <w:bookmarkStart w:id="235" w:name="_Toc184312114"/>
      <w:bookmarkEnd w:id="235"/>
      <w:bookmarkStart w:id="236" w:name="_Toc184314458"/>
      <w:bookmarkEnd w:id="236"/>
      <w:bookmarkStart w:id="237" w:name="_Toc184313256"/>
      <w:bookmarkEnd w:id="237"/>
      <w:bookmarkStart w:id="238" w:name="_Toc184310280"/>
      <w:bookmarkEnd w:id="238"/>
      <w:bookmarkStart w:id="239" w:name="_Toc184313264"/>
      <w:bookmarkEnd w:id="239"/>
      <w:bookmarkStart w:id="240" w:name="_Toc184312072"/>
      <w:bookmarkEnd w:id="240"/>
      <w:bookmarkStart w:id="241" w:name="_Toc184313305"/>
      <w:bookmarkEnd w:id="241"/>
      <w:bookmarkStart w:id="242" w:name="_Toc184313296"/>
      <w:bookmarkEnd w:id="242"/>
      <w:bookmarkStart w:id="243" w:name="_Toc184308058"/>
      <w:bookmarkEnd w:id="243"/>
      <w:bookmarkStart w:id="244" w:name="_Toc184310285"/>
      <w:bookmarkEnd w:id="244"/>
      <w:bookmarkStart w:id="245" w:name="_Toc184314473"/>
      <w:bookmarkEnd w:id="245"/>
      <w:bookmarkStart w:id="246" w:name="_Toc184314421"/>
      <w:bookmarkEnd w:id="246"/>
      <w:bookmarkStart w:id="247" w:name="_Toc184314429"/>
      <w:bookmarkEnd w:id="247"/>
      <w:bookmarkStart w:id="248" w:name="_Toc184310298"/>
      <w:bookmarkEnd w:id="248"/>
      <w:bookmarkStart w:id="249" w:name="_Toc184313308"/>
      <w:bookmarkEnd w:id="249"/>
      <w:bookmarkStart w:id="250" w:name="_Toc184313274"/>
      <w:bookmarkEnd w:id="250"/>
      <w:bookmarkStart w:id="251" w:name="_Toc184312068"/>
      <w:bookmarkEnd w:id="251"/>
      <w:bookmarkStart w:id="252" w:name="_Toc184314428"/>
      <w:bookmarkEnd w:id="252"/>
      <w:bookmarkStart w:id="253" w:name="_Toc184308044"/>
      <w:bookmarkEnd w:id="253"/>
      <w:bookmarkStart w:id="254" w:name="_Toc184310299"/>
      <w:bookmarkEnd w:id="254"/>
      <w:bookmarkStart w:id="255" w:name="_Toc184308042"/>
      <w:bookmarkEnd w:id="255"/>
      <w:bookmarkStart w:id="256" w:name="_Toc184312069"/>
      <w:bookmarkEnd w:id="256"/>
      <w:bookmarkStart w:id="257" w:name="_Toc184313280"/>
      <w:bookmarkEnd w:id="257"/>
      <w:bookmarkStart w:id="258" w:name="_Toc184312067"/>
      <w:bookmarkEnd w:id="258"/>
      <w:bookmarkStart w:id="259" w:name="_Toc184314424"/>
      <w:bookmarkEnd w:id="259"/>
      <w:bookmarkStart w:id="260" w:name="_Toc184310307"/>
      <w:bookmarkEnd w:id="260"/>
      <w:bookmarkStart w:id="261" w:name="_Toc184313249"/>
      <w:bookmarkEnd w:id="261"/>
      <w:bookmarkStart w:id="262" w:name="_Toc184310316"/>
      <w:bookmarkEnd w:id="262"/>
      <w:bookmarkStart w:id="263" w:name="_Toc184314466"/>
      <w:bookmarkEnd w:id="263"/>
      <w:bookmarkStart w:id="264" w:name="_Toc184314470"/>
      <w:bookmarkEnd w:id="264"/>
      <w:bookmarkStart w:id="265" w:name="_Toc184312094"/>
      <w:bookmarkEnd w:id="265"/>
      <w:bookmarkStart w:id="266" w:name="_Toc184308064"/>
      <w:bookmarkEnd w:id="266"/>
      <w:bookmarkStart w:id="267" w:name="_Toc184310317"/>
      <w:bookmarkEnd w:id="267"/>
      <w:bookmarkStart w:id="268" w:name="_Toc184314462"/>
      <w:bookmarkEnd w:id="268"/>
      <w:bookmarkStart w:id="269" w:name="_Toc184312129"/>
      <w:bookmarkEnd w:id="269"/>
      <w:bookmarkStart w:id="270" w:name="_Toc184308108"/>
      <w:bookmarkEnd w:id="270"/>
      <w:bookmarkStart w:id="271" w:name="_Toc184312087"/>
      <w:bookmarkEnd w:id="271"/>
      <w:bookmarkStart w:id="272" w:name="_Toc184314446"/>
      <w:bookmarkEnd w:id="272"/>
      <w:bookmarkStart w:id="273" w:name="_Toc184312095"/>
      <w:bookmarkEnd w:id="273"/>
      <w:bookmarkStart w:id="274" w:name="_Toc184314423"/>
      <w:bookmarkEnd w:id="274"/>
      <w:bookmarkStart w:id="275" w:name="_Toc184310283"/>
      <w:bookmarkEnd w:id="275"/>
      <w:bookmarkStart w:id="276" w:name="_Toc184310312"/>
      <w:bookmarkEnd w:id="276"/>
      <w:bookmarkStart w:id="277" w:name="_Toc184313310"/>
      <w:bookmarkEnd w:id="277"/>
      <w:bookmarkStart w:id="278" w:name="_Toc184308078"/>
      <w:bookmarkEnd w:id="278"/>
      <w:bookmarkStart w:id="279" w:name="_Toc184312134"/>
      <w:bookmarkEnd w:id="279"/>
      <w:bookmarkStart w:id="280" w:name="_Toc184308106"/>
      <w:bookmarkEnd w:id="280"/>
      <w:bookmarkStart w:id="281" w:name="_Toc184310319"/>
      <w:bookmarkEnd w:id="281"/>
      <w:bookmarkStart w:id="282" w:name="_Toc184308040"/>
      <w:bookmarkEnd w:id="282"/>
      <w:bookmarkStart w:id="283" w:name="_Toc184310291"/>
      <w:bookmarkEnd w:id="283"/>
      <w:bookmarkStart w:id="284" w:name="_Toc184312091"/>
      <w:bookmarkEnd w:id="284"/>
      <w:bookmarkStart w:id="285" w:name="_Toc184312137"/>
      <w:bookmarkEnd w:id="285"/>
      <w:bookmarkStart w:id="286" w:name="_Toc184314417"/>
      <w:bookmarkEnd w:id="286"/>
      <w:bookmarkStart w:id="287" w:name="_Toc184308100"/>
      <w:bookmarkEnd w:id="287"/>
      <w:bookmarkStart w:id="288" w:name="_Toc184308037"/>
      <w:bookmarkEnd w:id="288"/>
      <w:bookmarkStart w:id="289" w:name="_Toc184308063"/>
      <w:bookmarkEnd w:id="289"/>
      <w:bookmarkStart w:id="290" w:name="_Toc184312119"/>
      <w:bookmarkEnd w:id="290"/>
      <w:bookmarkStart w:id="291" w:name="_Toc184308095"/>
      <w:bookmarkEnd w:id="291"/>
      <w:bookmarkStart w:id="292" w:name="_Toc184312084"/>
      <w:bookmarkEnd w:id="292"/>
      <w:bookmarkStart w:id="293" w:name="_Toc184310309"/>
      <w:bookmarkEnd w:id="293"/>
      <w:bookmarkStart w:id="294" w:name="_Toc184308099"/>
      <w:bookmarkEnd w:id="294"/>
      <w:bookmarkStart w:id="295" w:name="_Toc184308045"/>
      <w:bookmarkEnd w:id="295"/>
      <w:bookmarkStart w:id="296" w:name="_Toc184310287"/>
      <w:bookmarkEnd w:id="296"/>
      <w:bookmarkStart w:id="297" w:name="_Toc184312083"/>
      <w:bookmarkEnd w:id="297"/>
      <w:bookmarkStart w:id="298" w:name="_Toc184308050"/>
      <w:bookmarkEnd w:id="298"/>
      <w:bookmarkStart w:id="299" w:name="_Toc184313242"/>
      <w:bookmarkEnd w:id="299"/>
      <w:bookmarkStart w:id="300" w:name="_Toc184308089"/>
      <w:bookmarkEnd w:id="300"/>
      <w:bookmarkStart w:id="301" w:name="_Toc184314444"/>
      <w:bookmarkEnd w:id="301"/>
      <w:bookmarkStart w:id="302" w:name="_Toc184314461"/>
      <w:bookmarkEnd w:id="302"/>
      <w:bookmarkStart w:id="303" w:name="_Toc184308039"/>
      <w:bookmarkEnd w:id="303"/>
      <w:bookmarkStart w:id="304" w:name="_Toc184313300"/>
      <w:bookmarkEnd w:id="304"/>
      <w:bookmarkStart w:id="305" w:name="_Toc184313307"/>
      <w:bookmarkEnd w:id="305"/>
      <w:bookmarkStart w:id="306" w:name="_Toc184313301"/>
      <w:bookmarkEnd w:id="306"/>
      <w:bookmarkStart w:id="307" w:name="_Toc184308102"/>
      <w:bookmarkEnd w:id="307"/>
      <w:bookmarkStart w:id="308" w:name="_Toc184312111"/>
      <w:bookmarkEnd w:id="308"/>
      <w:bookmarkStart w:id="309" w:name="_Toc184312085"/>
      <w:bookmarkEnd w:id="309"/>
      <w:bookmarkStart w:id="310" w:name="_Toc184314447"/>
      <w:bookmarkEnd w:id="310"/>
      <w:bookmarkStart w:id="311" w:name="_Toc184314434"/>
      <w:bookmarkEnd w:id="311"/>
      <w:bookmarkStart w:id="312" w:name="_Toc184313240"/>
      <w:bookmarkEnd w:id="312"/>
      <w:bookmarkStart w:id="313" w:name="_Toc184313281"/>
      <w:bookmarkEnd w:id="313"/>
      <w:bookmarkStart w:id="314" w:name="_Toc184310323"/>
      <w:bookmarkEnd w:id="314"/>
      <w:bookmarkStart w:id="315" w:name="_Toc184310344"/>
      <w:bookmarkEnd w:id="315"/>
      <w:bookmarkStart w:id="316" w:name="_Toc184312079"/>
      <w:bookmarkEnd w:id="316"/>
      <w:bookmarkStart w:id="317" w:name="_Toc184312088"/>
      <w:bookmarkEnd w:id="317"/>
      <w:bookmarkStart w:id="318" w:name="_Toc184313272"/>
      <w:bookmarkEnd w:id="318"/>
      <w:bookmarkStart w:id="319" w:name="_Toc184308057"/>
      <w:bookmarkEnd w:id="319"/>
      <w:bookmarkStart w:id="320" w:name="_Toc184312121"/>
      <w:bookmarkEnd w:id="320"/>
      <w:bookmarkStart w:id="321" w:name="_Toc184314430"/>
      <w:bookmarkEnd w:id="321"/>
      <w:bookmarkStart w:id="322" w:name="_Toc184312108"/>
      <w:bookmarkEnd w:id="322"/>
      <w:bookmarkStart w:id="323" w:name="_Toc184313306"/>
      <w:bookmarkEnd w:id="323"/>
      <w:bookmarkStart w:id="324" w:name="_Toc184310329"/>
      <w:bookmarkEnd w:id="324"/>
      <w:bookmarkStart w:id="325" w:name="_Toc184310313"/>
      <w:bookmarkEnd w:id="325"/>
      <w:bookmarkStart w:id="326" w:name="_Toc184313257"/>
      <w:bookmarkEnd w:id="326"/>
      <w:bookmarkStart w:id="327" w:name="_Toc184314425"/>
      <w:bookmarkEnd w:id="327"/>
      <w:bookmarkStart w:id="328" w:name="_Toc184312109"/>
      <w:bookmarkEnd w:id="328"/>
      <w:bookmarkStart w:id="329" w:name="_Toc184314414"/>
      <w:bookmarkEnd w:id="329"/>
      <w:bookmarkStart w:id="330" w:name="_Toc184312080"/>
      <w:bookmarkEnd w:id="330"/>
      <w:bookmarkStart w:id="331" w:name="_Toc184313243"/>
      <w:bookmarkEnd w:id="331"/>
      <w:bookmarkStart w:id="332" w:name="_Toc184314433"/>
      <w:bookmarkEnd w:id="332"/>
      <w:bookmarkStart w:id="333" w:name="_Toc184312112"/>
      <w:bookmarkEnd w:id="333"/>
      <w:bookmarkStart w:id="334" w:name="_Toc184312136"/>
      <w:bookmarkEnd w:id="334"/>
      <w:bookmarkStart w:id="335" w:name="_Toc184308071"/>
      <w:bookmarkEnd w:id="335"/>
      <w:bookmarkStart w:id="336" w:name="_Toc184312130"/>
      <w:bookmarkEnd w:id="336"/>
      <w:bookmarkStart w:id="337" w:name="_Toc184308073"/>
      <w:bookmarkEnd w:id="337"/>
      <w:bookmarkStart w:id="338" w:name="_Toc184313255"/>
      <w:bookmarkEnd w:id="338"/>
      <w:bookmarkStart w:id="339" w:name="_Toc184310320"/>
      <w:bookmarkEnd w:id="339"/>
      <w:bookmarkStart w:id="340" w:name="_Toc184313292"/>
      <w:bookmarkEnd w:id="340"/>
      <w:bookmarkStart w:id="341" w:name="_Toc184312110"/>
      <w:bookmarkEnd w:id="341"/>
      <w:bookmarkStart w:id="342" w:name="_Toc184308046"/>
      <w:bookmarkEnd w:id="342"/>
      <w:bookmarkStart w:id="343" w:name="_Toc184310310"/>
      <w:bookmarkEnd w:id="343"/>
      <w:bookmarkStart w:id="344" w:name="_Toc184314478"/>
      <w:bookmarkEnd w:id="344"/>
      <w:bookmarkStart w:id="345" w:name="_Toc184310292"/>
      <w:bookmarkEnd w:id="345"/>
      <w:bookmarkStart w:id="346" w:name="_Toc184310282"/>
      <w:bookmarkEnd w:id="346"/>
      <w:bookmarkStart w:id="347" w:name="_Toc184308107"/>
      <w:bookmarkEnd w:id="347"/>
      <w:bookmarkStart w:id="348" w:name="_Toc184314416"/>
      <w:bookmarkEnd w:id="348"/>
      <w:bookmarkStart w:id="349" w:name="_Toc184313279"/>
      <w:bookmarkEnd w:id="349"/>
      <w:bookmarkStart w:id="350" w:name="_Toc184310296"/>
      <w:bookmarkEnd w:id="350"/>
      <w:bookmarkStart w:id="351" w:name="_Toc184312090"/>
      <w:bookmarkEnd w:id="351"/>
      <w:bookmarkStart w:id="352" w:name="_Toc184310304"/>
      <w:bookmarkEnd w:id="352"/>
      <w:bookmarkStart w:id="353" w:name="_Toc184314459"/>
      <w:bookmarkEnd w:id="353"/>
      <w:bookmarkStart w:id="354" w:name="_Toc184313252"/>
      <w:bookmarkEnd w:id="354"/>
      <w:bookmarkStart w:id="355" w:name="_Toc184313304"/>
      <w:bookmarkEnd w:id="355"/>
      <w:bookmarkStart w:id="356" w:name="_Toc184313260"/>
      <w:bookmarkEnd w:id="356"/>
      <w:bookmarkStart w:id="357" w:name="_Toc184312074"/>
      <w:bookmarkEnd w:id="357"/>
      <w:bookmarkStart w:id="358" w:name="_Toc184310274"/>
      <w:bookmarkEnd w:id="358"/>
      <w:bookmarkStart w:id="359" w:name="_Toc184310314"/>
      <w:bookmarkEnd w:id="359"/>
      <w:bookmarkStart w:id="360" w:name="_Toc184310311"/>
      <w:bookmarkEnd w:id="360"/>
      <w:bookmarkStart w:id="361" w:name="_Toc184310325"/>
      <w:bookmarkEnd w:id="361"/>
      <w:bookmarkStart w:id="362" w:name="_Toc184314441"/>
      <w:bookmarkEnd w:id="362"/>
      <w:bookmarkStart w:id="363" w:name="_Toc184308067"/>
      <w:bookmarkEnd w:id="363"/>
      <w:bookmarkStart w:id="364" w:name="_Toc184314440"/>
      <w:bookmarkEnd w:id="364"/>
      <w:bookmarkStart w:id="365" w:name="_Toc184310322"/>
      <w:bookmarkEnd w:id="365"/>
      <w:bookmarkStart w:id="366" w:name="_Toc184314426"/>
      <w:bookmarkEnd w:id="366"/>
      <w:bookmarkStart w:id="367" w:name="_Toc184314456"/>
      <w:bookmarkEnd w:id="367"/>
      <w:bookmarkStart w:id="368" w:name="_Toc184313291"/>
      <w:bookmarkEnd w:id="368"/>
      <w:bookmarkStart w:id="369" w:name="_Toc184314415"/>
      <w:bookmarkEnd w:id="369"/>
      <w:bookmarkStart w:id="370" w:name="_Toc184310289"/>
      <w:bookmarkEnd w:id="370"/>
      <w:bookmarkStart w:id="371" w:name="_Toc184308055"/>
      <w:bookmarkEnd w:id="371"/>
      <w:bookmarkStart w:id="372" w:name="_Toc184314439"/>
      <w:bookmarkEnd w:id="372"/>
      <w:bookmarkStart w:id="373" w:name="_Toc184313262"/>
      <w:bookmarkEnd w:id="373"/>
      <w:bookmarkStart w:id="374" w:name="_Toc184310306"/>
      <w:bookmarkEnd w:id="374"/>
      <w:bookmarkStart w:id="375" w:name="_Toc184312117"/>
      <w:bookmarkEnd w:id="375"/>
      <w:bookmarkStart w:id="376" w:name="_Toc184308041"/>
      <w:bookmarkEnd w:id="376"/>
      <w:bookmarkStart w:id="377" w:name="_Toc184308065"/>
      <w:bookmarkEnd w:id="377"/>
      <w:bookmarkStart w:id="378" w:name="_Toc184314420"/>
      <w:bookmarkEnd w:id="378"/>
      <w:bookmarkStart w:id="379" w:name="_Toc184308074"/>
      <w:bookmarkEnd w:id="379"/>
      <w:bookmarkStart w:id="380" w:name="_Toc184310275"/>
      <w:bookmarkEnd w:id="380"/>
      <w:bookmarkStart w:id="381" w:name="_Toc184314481"/>
      <w:bookmarkEnd w:id="381"/>
      <w:bookmarkStart w:id="382" w:name="_Toc184310272"/>
      <w:bookmarkEnd w:id="382"/>
      <w:bookmarkStart w:id="383" w:name="_Toc184313250"/>
      <w:bookmarkEnd w:id="383"/>
      <w:bookmarkStart w:id="384" w:name="_Toc184314450"/>
      <w:bookmarkEnd w:id="384"/>
      <w:bookmarkStart w:id="385" w:name="_Toc184308048"/>
      <w:bookmarkEnd w:id="385"/>
      <w:bookmarkStart w:id="386" w:name="_Toc184312076"/>
      <w:bookmarkEnd w:id="386"/>
      <w:bookmarkStart w:id="387" w:name="_Toc184312071"/>
      <w:bookmarkEnd w:id="387"/>
      <w:bookmarkStart w:id="388" w:name="_Toc184313275"/>
      <w:bookmarkEnd w:id="388"/>
      <w:bookmarkStart w:id="389" w:name="_Toc184308105"/>
      <w:bookmarkEnd w:id="389"/>
      <w:bookmarkStart w:id="390" w:name="_Toc184310342"/>
      <w:bookmarkEnd w:id="390"/>
      <w:bookmarkStart w:id="391" w:name="_Toc184310279"/>
      <w:bookmarkEnd w:id="391"/>
      <w:bookmarkStart w:id="392" w:name="_Toc184313290"/>
      <w:bookmarkEnd w:id="392"/>
      <w:bookmarkStart w:id="393" w:name="_Toc184310341"/>
      <w:bookmarkEnd w:id="393"/>
      <w:r>
        <w:rPr>
          <w:rFonts w:hint="eastAsia" w:ascii="仿宋" w:hAnsi="仿宋" w:eastAsia="仿宋" w:cs="仿宋_GB2312"/>
          <w:b/>
          <w:color w:val="auto"/>
          <w:sz w:val="36"/>
          <w:szCs w:val="20"/>
          <w:highlight w:val="none"/>
        </w:rPr>
        <w:t xml:space="preserve"> 评审办法</w:t>
      </w: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2021</w:t>
            </w:r>
            <w:r>
              <w:rPr>
                <w:rFonts w:hint="eastAsia" w:ascii="仿宋" w:hAnsi="仿宋" w:eastAsia="仿宋" w:cs="宋体"/>
                <w:snapToGrid w:val="0"/>
                <w:color w:val="auto"/>
                <w:kern w:val="0"/>
                <w:szCs w:val="21"/>
                <w:highlight w:val="none"/>
              </w:rPr>
              <w:t>年1月1日起至今（以合同签订时间为准）承担过类似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w:t>
            </w:r>
            <w:r>
              <w:rPr>
                <w:rFonts w:hint="eastAsia" w:ascii="仿宋" w:hAnsi="仿宋" w:eastAsia="仿宋" w:cs="宋体"/>
                <w:b/>
                <w:bCs/>
                <w:snapToGrid w:val="0"/>
                <w:color w:val="auto"/>
                <w:kern w:val="0"/>
                <w:szCs w:val="21"/>
                <w:highlight w:val="none"/>
                <w:lang w:val="en-US" w:eastAsia="zh-CN"/>
              </w:rPr>
              <w:t>1.5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；（提供施工合同，否则不得分）</w:t>
            </w:r>
          </w:p>
          <w:p>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指：服务期1年及以上的与本项目实施内容相似的工程，如年度零星改造、维修、修缮等。</w:t>
            </w:r>
          </w:p>
          <w:p>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注：同一业主单位提供多个业绩的不重复计分。</w:t>
            </w:r>
          </w:p>
        </w:tc>
        <w:tc>
          <w:tcPr>
            <w:tcW w:w="680" w:type="dxa"/>
            <w:vAlign w:val="center"/>
          </w:tcPr>
          <w:p>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1.5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eastAsia" w:ascii="仿宋" w:hAnsi="仿宋" w:eastAsia="仿宋" w:cs="宋体"/>
                <w:snapToGrid w:val="0"/>
                <w:color w:val="auto"/>
                <w:kern w:val="0"/>
                <w:szCs w:val="21"/>
                <w:highlight w:val="none"/>
                <w:lang w:val="en-US" w:eastAsia="zh-CN"/>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4.5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拟派项目经理自2021年1月1日以来（以合同签订时间为准）承担过类似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业绩的，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。（提供施工合同</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p>
            <w:pPr>
              <w:snapToGrid w:val="0"/>
              <w:spacing w:line="276" w:lineRule="auto"/>
              <w:jc w:val="left"/>
              <w:outlineLvl w:val="1"/>
              <w:rPr>
                <w:rFonts w:hint="eastAsia"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类似</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指：服务期1年及以上的与本项目实施内容相似的工程，如年度零星改造、维修、修缮等。</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w:t>
            </w:r>
            <w:r>
              <w:rPr>
                <w:rFonts w:hint="eastAsia" w:ascii="仿宋" w:hAnsi="仿宋" w:eastAsia="仿宋" w:cs="宋体"/>
                <w:snapToGrid w:val="0"/>
                <w:color w:val="auto"/>
                <w:kern w:val="0"/>
                <w:szCs w:val="21"/>
                <w:highlight w:val="none"/>
                <w:lang w:val="en-US" w:eastAsia="zh-CN"/>
              </w:rPr>
              <w:t>中</w:t>
            </w:r>
            <w:r>
              <w:rPr>
                <w:rFonts w:hint="eastAsia" w:ascii="仿宋" w:hAnsi="仿宋" w:eastAsia="仿宋" w:cs="宋体"/>
                <w:snapToGrid w:val="0"/>
                <w:color w:val="auto"/>
                <w:kern w:val="0"/>
                <w:szCs w:val="21"/>
                <w:highlight w:val="none"/>
              </w:rPr>
              <w:t>级及以上工程师职称的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r>
              <w:rPr>
                <w:rFonts w:hint="eastAsia" w:ascii="仿宋" w:hAnsi="仿宋" w:eastAsia="仿宋" w:cs="宋体"/>
                <w:snapToGrid w:val="0"/>
                <w:color w:val="auto"/>
                <w:kern w:val="0"/>
                <w:szCs w:val="21"/>
                <w:highlight w:val="none"/>
                <w:lang w:val="en-US" w:eastAsia="zh-CN"/>
              </w:rPr>
              <w:t>没有不得分</w:t>
            </w:r>
            <w:r>
              <w:rPr>
                <w:rFonts w:hint="eastAsia" w:ascii="仿宋" w:hAnsi="仿宋" w:eastAsia="仿宋" w:cs="宋体"/>
                <w:snapToGrid w:val="0"/>
                <w:color w:val="auto"/>
                <w:kern w:val="0"/>
                <w:szCs w:val="21"/>
                <w:highlight w:val="none"/>
              </w:rPr>
              <w:t>。（同时提供职称证书和人员在本单位缴纳的社保证明，否则不得分）</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3</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pPr>
              <w:snapToGrid w:val="0"/>
              <w:spacing w:line="276" w:lineRule="auto"/>
              <w:jc w:val="center"/>
              <w:outlineLvl w:val="1"/>
              <w:rPr>
                <w:rFonts w:ascii="仿宋" w:hAnsi="仿宋" w:eastAsia="仿宋"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项目经理及主要管理人员的到位率，承诺到位率均达到90%以上</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。（同时提供承诺书和人员在本单位缴纳的社保证明，否则不得分）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5</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pPr>
              <w:snapToGrid w:val="0"/>
              <w:spacing w:line="276" w:lineRule="auto"/>
              <w:jc w:val="center"/>
              <w:outlineLvl w:val="1"/>
              <w:rPr>
                <w:rFonts w:ascii="仿宋" w:hAnsi="仿宋" w:eastAsia="仿宋"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6</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hint="eastAsia" w:ascii="仿宋" w:hAnsi="仿宋" w:eastAsia="仿宋" w:cs="宋体"/>
                <w:snapToGrid w:val="0"/>
                <w:color w:val="auto"/>
                <w:kern w:val="0"/>
                <w:szCs w:val="21"/>
                <w:highlight w:val="none"/>
                <w:lang w:val="en-US" w:eastAsia="zh-CN"/>
              </w:rPr>
              <w:t>提供的</w:t>
            </w:r>
            <w:r>
              <w:rPr>
                <w:rFonts w:hint="eastAsia" w:ascii="仿宋" w:hAnsi="仿宋" w:eastAsia="仿宋" w:cs="宋体"/>
                <w:snapToGrid w:val="0"/>
                <w:color w:val="auto"/>
                <w:kern w:val="0"/>
                <w:szCs w:val="21"/>
                <w:highlight w:val="none"/>
              </w:rPr>
              <w:t>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0.5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pStyle w:val="11"/>
              <w:spacing w:line="276" w:lineRule="auto"/>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lang w:val="en-US" w:eastAsia="zh-CN"/>
              </w:rPr>
              <w:t>提供的</w:t>
            </w:r>
            <w:r>
              <w:rPr>
                <w:rFonts w:hint="eastAsia" w:ascii="仿宋" w:hAnsi="仿宋" w:eastAsia="仿宋" w:cs="宋体"/>
                <w:snapToGrid w:val="0"/>
                <w:color w:val="auto"/>
                <w:kern w:val="0"/>
                <w:szCs w:val="21"/>
                <w:highlight w:val="none"/>
              </w:rPr>
              <w:t>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0.5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7</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8</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④没有该项内容的不得分</w:t>
            </w:r>
            <w:r>
              <w:rPr>
                <w:rFonts w:hint="eastAsia" w:ascii="仿宋" w:hAnsi="仿宋" w:eastAsia="仿宋" w:cs="宋体"/>
                <w:snapToGrid w:val="0"/>
                <w:color w:val="auto"/>
                <w:kern w:val="0"/>
                <w:szCs w:val="21"/>
                <w:highlight w:val="none"/>
                <w:lang w:eastAsia="zh-CN"/>
              </w:rPr>
              <w:t>。</w:t>
            </w:r>
            <w:r>
              <w:rPr>
                <w:rFonts w:hint="eastAsia" w:ascii="仿宋" w:hAnsi="仿宋" w:eastAsia="仿宋" w:cs="宋体"/>
                <w:snapToGrid w:val="0"/>
                <w:color w:val="auto"/>
                <w:kern w:val="0"/>
                <w:szCs w:val="21"/>
                <w:highlight w:val="none"/>
              </w:rPr>
              <w:t xml:space="preserve"> </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eastAsia"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9</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③进度计划制定及进度控制措施存在不足的得2分；</w:t>
            </w:r>
          </w:p>
          <w:p>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10</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11</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ascii="仿宋" w:hAnsi="仿宋" w:eastAsia="仿宋" w:cs="宋体"/>
                <w:b/>
                <w:bCs/>
                <w:snapToGrid w:val="0"/>
                <w:color w:val="auto"/>
                <w:kern w:val="0"/>
                <w:szCs w:val="21"/>
                <w:highlight w:val="none"/>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③方案欠合理、实质性措施缺乏的得2分；</w:t>
            </w:r>
          </w:p>
          <w:p>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r>
              <w:rPr>
                <w:rFonts w:hint="eastAsia" w:ascii="仿宋" w:hAnsi="仿宋" w:eastAsia="仿宋" w:cs="宋体"/>
                <w:snapToGrid w:val="0"/>
                <w:color w:val="auto"/>
                <w:kern w:val="0"/>
                <w:szCs w:val="21"/>
                <w:highlight w:val="none"/>
                <w:lang w:eastAsia="zh-CN"/>
              </w:rPr>
              <w:t>。</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12</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13</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成品保护措施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14</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特点、难点的分析及针对性的施工方案与措施：</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特点、难点分析基本到位，施工方案与措施基本完善的得4分；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w:t>
            </w:r>
            <w:r>
              <w:rPr>
                <w:rFonts w:hint="eastAsia" w:ascii="仿宋" w:hAnsi="仿宋" w:eastAsia="仿宋" w:cs="宋体"/>
                <w:snapToGrid w:val="0"/>
                <w:color w:val="auto"/>
                <w:kern w:val="0"/>
                <w:szCs w:val="21"/>
                <w:highlight w:val="none"/>
                <w:lang w:val="en-US" w:eastAsia="zh-CN"/>
              </w:rPr>
              <w:t>项目</w:t>
            </w:r>
            <w:r>
              <w:rPr>
                <w:rFonts w:hint="eastAsia" w:ascii="仿宋" w:hAnsi="仿宋" w:eastAsia="仿宋" w:cs="宋体"/>
                <w:snapToGrid w:val="0"/>
                <w:color w:val="auto"/>
                <w:kern w:val="0"/>
                <w:szCs w:val="21"/>
                <w:highlight w:val="none"/>
              </w:rPr>
              <w:t>特点、难点分析存在不足，施工方案与措施不够完善的得2分；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工程特点、难点的分析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pPr>
              <w:snapToGrid w:val="0"/>
              <w:spacing w:before="240" w:beforeLines="100" w:line="276" w:lineRule="auto"/>
              <w:jc w:val="center"/>
              <w:outlineLvl w:val="1"/>
              <w:rPr>
                <w:rFonts w:hint="default" w:ascii="仿宋" w:hAnsi="仿宋" w:eastAsia="仿宋" w:cs="宋体"/>
                <w:snapToGrid w:val="0"/>
                <w:color w:val="auto"/>
                <w:kern w:val="0"/>
                <w:szCs w:val="21"/>
                <w:highlight w:val="none"/>
                <w:lang w:val="en-US" w:eastAsia="zh-CN"/>
              </w:rPr>
            </w:pPr>
            <w:r>
              <w:rPr>
                <w:rFonts w:hint="eastAsia" w:ascii="仿宋" w:hAnsi="仿宋" w:eastAsia="仿宋" w:cs="宋体"/>
                <w:snapToGrid w:val="0"/>
                <w:color w:val="auto"/>
                <w:kern w:val="0"/>
                <w:szCs w:val="21"/>
                <w:highlight w:val="none"/>
                <w:lang w:val="en-US" w:eastAsia="zh-CN"/>
              </w:rPr>
              <w:t>15</w:t>
            </w:r>
          </w:p>
        </w:tc>
        <w:tc>
          <w:tcPr>
            <w:tcW w:w="6408" w:type="dxa"/>
            <w:vAlign w:val="center"/>
          </w:tcPr>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①提供工程交付使用后的保修服务和其它服务承诺切实可靠，得</w:t>
            </w:r>
            <w:r>
              <w:rPr>
                <w:rFonts w:ascii="仿宋" w:hAnsi="仿宋" w:eastAsia="仿宋" w:cs="宋体"/>
                <w:snapToGrid w:val="0"/>
                <w:color w:val="auto"/>
                <w:kern w:val="0"/>
                <w:szCs w:val="21"/>
                <w:highlight w:val="none"/>
              </w:rPr>
              <w:t>6</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ascii="仿宋" w:hAnsi="仿宋" w:eastAsia="仿宋" w:cs="宋体"/>
                <w:snapToGrid w:val="0"/>
                <w:color w:val="auto"/>
                <w:kern w:val="0"/>
                <w:szCs w:val="21"/>
                <w:highlight w:val="none"/>
              </w:rPr>
              <w:t>4</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6</w:t>
            </w:r>
          </w:p>
        </w:tc>
        <w:tc>
          <w:tcPr>
            <w:tcW w:w="879"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pPr>
              <w:pStyle w:val="19"/>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pPr>
        <w:snapToGrid w:val="0"/>
        <w:spacing w:line="360" w:lineRule="auto"/>
        <w:rPr>
          <w:rFonts w:ascii="仿宋" w:hAnsi="仿宋" w:eastAsia="仿宋" w:cs="宋体"/>
          <w:color w:val="auto"/>
          <w:sz w:val="20"/>
          <w:szCs w:val="20"/>
          <w:highlight w:val="none"/>
          <w:shd w:val="clear" w:color="auto" w:fill="FFFFFF"/>
        </w:rPr>
      </w:pPr>
    </w:p>
    <w:p>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pPr>
        <w:pStyle w:val="19"/>
        <w:ind w:firstLine="420"/>
        <w:rPr>
          <w:color w:val="auto"/>
          <w:sz w:val="21"/>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pPr>
        <w:pStyle w:val="19"/>
        <w:ind w:firstLine="480"/>
        <w:rPr>
          <w:color w:val="auto"/>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pPr>
        <w:pStyle w:val="19"/>
        <w:ind w:firstLine="480"/>
        <w:rPr>
          <w:color w:val="auto"/>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pPr>
        <w:pStyle w:val="21"/>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pPr>
        <w:pStyle w:val="21"/>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22" w:firstLineChars="200"/>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w:t>
      </w:r>
      <w:r>
        <w:rPr>
          <w:rFonts w:hint="eastAsia" w:ascii="仿宋" w:hAnsi="仿宋" w:eastAsia="仿宋" w:cs="宋体"/>
          <w:b/>
          <w:bCs/>
          <w:color w:val="auto"/>
          <w:kern w:val="0"/>
          <w:szCs w:val="21"/>
          <w:highlight w:val="none"/>
        </w:rPr>
        <w:t>推荐3名成交候选供应商</w:t>
      </w:r>
      <w:r>
        <w:rPr>
          <w:rFonts w:hint="eastAsia" w:ascii="仿宋" w:hAnsi="仿宋" w:eastAsia="仿宋" w:cs="宋体"/>
          <w:color w:val="auto"/>
          <w:kern w:val="0"/>
          <w:szCs w:val="21"/>
          <w:highlight w:val="none"/>
        </w:rPr>
        <w:t>。</w:t>
      </w:r>
    </w:p>
    <w:p>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pPr>
        <w:spacing w:line="360" w:lineRule="auto"/>
        <w:ind w:firstLine="411" w:firstLineChars="196"/>
        <w:rPr>
          <w:rFonts w:hint="eastAsia" w:ascii="仿宋" w:hAnsi="仿宋" w:eastAsia="仿宋" w:cs="宋体"/>
          <w:color w:val="auto"/>
          <w:kern w:val="0"/>
          <w:szCs w:val="21"/>
          <w:highlight w:val="none"/>
        </w:rPr>
      </w:pPr>
    </w:p>
    <w:p>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pPr>
        <w:pStyle w:val="21"/>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7"/>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4.2.7最后报价超过采购文件中规定最高限价的;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4.2.12供应商仅提交备份响应文件，未在电子交易平台传输递交响应文件的，响应文件无效；</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4.2.13 响应文件不满足采购文件的其它实质性要求的；</w:t>
      </w:r>
    </w:p>
    <w:p>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4.2.14法律、法规、规章（适用本市的）及省级以上规范性文件（适用本市的）规定的其他无效情形。</w:t>
      </w:r>
    </w:p>
    <w:p>
      <w:pPr>
        <w:pStyle w:val="7"/>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pPr>
        <w:pStyle w:val="7"/>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pPr>
        <w:pStyle w:val="7"/>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pPr>
        <w:pStyle w:val="19"/>
        <w:ind w:firstLine="480"/>
        <w:rPr>
          <w:color w:val="auto"/>
          <w:highlight w:val="none"/>
        </w:rPr>
      </w:pPr>
      <w:r>
        <w:rPr>
          <w:color w:val="auto"/>
          <w:highlight w:val="none"/>
        </w:rPr>
        <w:br w:type="page"/>
      </w:r>
    </w:p>
    <w:p>
      <w:pPr>
        <w:pStyle w:val="7"/>
        <w:snapToGrid w:val="0"/>
        <w:spacing w:line="360" w:lineRule="auto"/>
        <w:rPr>
          <w:rFonts w:ascii="仿宋" w:hAnsi="仿宋" w:eastAsia="仿宋" w:cs="宋体"/>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bookmarkStart w:id="394" w:name="_Toc86217003"/>
      <w:r>
        <w:rPr>
          <w:rFonts w:hint="eastAsia" w:ascii="仿宋" w:hAnsi="仿宋" w:eastAsia="仿宋" w:cs="仿宋_GB2312"/>
          <w:b/>
          <w:color w:val="auto"/>
          <w:sz w:val="36"/>
          <w:szCs w:val="20"/>
          <w:highlight w:val="none"/>
        </w:rPr>
        <w:t>第五部分 拟签订的合同文本</w:t>
      </w:r>
    </w:p>
    <w:p>
      <w:pPr>
        <w:pStyle w:val="13"/>
        <w:spacing w:line="360" w:lineRule="auto"/>
        <w:ind w:left="0" w:leftChars="0" w:firstLine="0" w:firstLineChars="0"/>
        <w:rPr>
          <w:rFonts w:ascii="仿宋" w:hAnsi="仿宋" w:eastAsia="仿宋" w:cs="仿宋"/>
          <w:color w:val="auto"/>
          <w:highlight w:val="none"/>
        </w:rPr>
      </w:pPr>
    </w:p>
    <w:p>
      <w:pPr>
        <w:pStyle w:val="12"/>
        <w:ind w:firstLine="482"/>
        <w:rPr>
          <w:rFonts w:hint="eastAsia" w:ascii="仿宋" w:hAnsi="仿宋" w:eastAsia="仿宋"/>
          <w:b/>
          <w:color w:val="auto"/>
          <w:szCs w:val="28"/>
          <w:highlight w:val="none"/>
        </w:rPr>
      </w:pPr>
      <w:r>
        <w:rPr>
          <w:rFonts w:hint="eastAsia" w:ascii="仿宋" w:hAnsi="仿宋" w:eastAsia="仿宋"/>
          <w:b/>
          <w:color w:val="auto"/>
          <w:szCs w:val="28"/>
          <w:highlight w:val="none"/>
        </w:rPr>
        <w:t>合同编号：</w:t>
      </w:r>
    </w:p>
    <w:p>
      <w:pPr>
        <w:pStyle w:val="12"/>
        <w:ind w:firstLine="482"/>
        <w:rPr>
          <w:rFonts w:hint="eastAsia" w:ascii="仿宋" w:hAnsi="仿宋" w:eastAsia="仿宋"/>
          <w:b/>
          <w:color w:val="auto"/>
          <w:szCs w:val="28"/>
          <w:highlight w:val="none"/>
        </w:rPr>
      </w:pPr>
    </w:p>
    <w:p>
      <w:pPr>
        <w:pStyle w:val="12"/>
        <w:ind w:firstLine="482"/>
        <w:rPr>
          <w:rFonts w:hint="eastAsia" w:ascii="仿宋" w:hAnsi="仿宋" w:eastAsia="仿宋"/>
          <w:b/>
          <w:color w:val="auto"/>
          <w:szCs w:val="28"/>
          <w:highlight w:val="none"/>
        </w:rPr>
      </w:pPr>
    </w:p>
    <w:p>
      <w:pPr>
        <w:pStyle w:val="12"/>
        <w:ind w:firstLine="320"/>
        <w:jc w:val="center"/>
        <w:rPr>
          <w:rFonts w:ascii="仿宋" w:hAnsi="仿宋" w:eastAsia="仿宋"/>
          <w:color w:val="auto"/>
          <w:sz w:val="16"/>
          <w:highlight w:val="none"/>
        </w:rPr>
      </w:pPr>
    </w:p>
    <w:p>
      <w:pPr>
        <w:pStyle w:val="12"/>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pPr>
        <w:pStyle w:val="12"/>
        <w:ind w:firstLine="964"/>
        <w:jc w:val="center"/>
        <w:rPr>
          <w:rFonts w:ascii="仿宋" w:hAnsi="仿宋" w:eastAsia="仿宋"/>
          <w:b/>
          <w:color w:val="auto"/>
          <w:sz w:val="48"/>
          <w:highlight w:val="none"/>
        </w:rPr>
      </w:pPr>
    </w:p>
    <w:p>
      <w:pPr>
        <w:pStyle w:val="12"/>
        <w:ind w:firstLine="800"/>
        <w:jc w:val="center"/>
        <w:rPr>
          <w:rFonts w:ascii="仿宋" w:hAnsi="仿宋" w:eastAsia="仿宋"/>
          <w:color w:val="auto"/>
          <w:sz w:val="40"/>
          <w:highlight w:val="none"/>
        </w:rPr>
      </w:pPr>
    </w:p>
    <w:p>
      <w:pPr>
        <w:pStyle w:val="12"/>
        <w:ind w:firstLine="560"/>
        <w:jc w:val="center"/>
        <w:rPr>
          <w:rFonts w:ascii="仿宋" w:hAnsi="仿宋" w:eastAsia="仿宋"/>
          <w:color w:val="auto"/>
          <w:sz w:val="28"/>
          <w:highlight w:val="none"/>
        </w:rPr>
      </w:pPr>
    </w:p>
    <w:p>
      <w:pPr>
        <w:pStyle w:val="12"/>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2024年安吉校区小额维修工程项目</w:t>
      </w:r>
      <w:r>
        <w:rPr>
          <w:rFonts w:ascii="仿宋" w:hAnsi="仿宋" w:eastAsia="仿宋"/>
          <w:color w:val="auto"/>
          <w:sz w:val="28"/>
          <w:highlight w:val="none"/>
          <w:u w:val="single"/>
        </w:rPr>
        <w:t xml:space="preserve">  </w:t>
      </w:r>
    </w:p>
    <w:p>
      <w:pPr>
        <w:pStyle w:val="12"/>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pPr>
        <w:pStyle w:val="12"/>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浙江科技学院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pPr>
        <w:pStyle w:val="12"/>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pPr>
        <w:pStyle w:val="3"/>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pPr>
        <w:pStyle w:val="3"/>
        <w:ind w:firstLine="562"/>
        <w:jc w:val="center"/>
        <w:rPr>
          <w:rFonts w:ascii="仿宋" w:hAnsi="仿宋" w:eastAsia="仿宋"/>
          <w:b/>
          <w:color w:val="auto"/>
          <w:highlight w:val="none"/>
          <w:u w:val="single"/>
        </w:rPr>
      </w:pPr>
    </w:p>
    <w:p>
      <w:pPr>
        <w:pStyle w:val="3"/>
        <w:ind w:firstLine="0"/>
        <w:rPr>
          <w:rFonts w:ascii="仿宋" w:hAnsi="仿宋" w:eastAsia="仿宋"/>
          <w:color w:val="auto"/>
          <w:highlight w:val="none"/>
        </w:rPr>
      </w:pPr>
    </w:p>
    <w:p>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pPr>
        <w:adjustRightInd w:val="0"/>
        <w:snapToGrid w:val="0"/>
        <w:spacing w:line="360" w:lineRule="auto"/>
        <w:ind w:firstLine="420" w:firstLineChars="200"/>
        <w:jc w:val="left"/>
        <w:rPr>
          <w:rFonts w:hint="eastAsia" w:ascii="仿宋" w:hAnsi="仿宋" w:eastAsia="仿宋" w:cs="仿宋"/>
          <w:color w:val="auto"/>
          <w:highlight w:val="none"/>
        </w:rPr>
      </w:pPr>
      <w:bookmarkStart w:id="395" w:name="_Toc23595"/>
      <w:bookmarkStart w:id="396" w:name="_Toc14652"/>
      <w:bookmarkStart w:id="397" w:name="_Toc370283432"/>
      <w:bookmarkStart w:id="398" w:name="_Toc307577919"/>
      <w:bookmarkStart w:id="399" w:name="_Toc28188"/>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甲方（发包人）：</w:t>
      </w:r>
      <w:r>
        <w:rPr>
          <w:rFonts w:hint="eastAsia" w:ascii="仿宋" w:hAnsi="仿宋" w:eastAsia="仿宋" w:cs="仿宋"/>
          <w:color w:val="auto"/>
          <w:highlight w:val="none"/>
          <w:u w:val="single"/>
        </w:rPr>
        <w:t>浙江科技学院</w:t>
      </w:r>
    </w:p>
    <w:p>
      <w:pPr>
        <w:adjustRightInd w:val="0"/>
        <w:snapToGrid w:val="0"/>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乙方（承包人）： </w:t>
      </w:r>
      <w:r>
        <w:rPr>
          <w:rFonts w:hint="eastAsia" w:ascii="仿宋" w:hAnsi="仿宋" w:eastAsia="仿宋" w:cs="仿宋"/>
          <w:color w:val="auto"/>
          <w:highlight w:val="none"/>
          <w:u w:val="single"/>
        </w:rPr>
        <w:t xml:space="preserve">                          </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签约时间：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pPr>
        <w:adjustRightInd w:val="0"/>
        <w:snapToGrid w:val="0"/>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 xml:space="preserve">签约地点： </w:t>
      </w:r>
      <w:r>
        <w:rPr>
          <w:rFonts w:hint="eastAsia" w:ascii="仿宋" w:hAnsi="仿宋" w:eastAsia="仿宋" w:cs="仿宋"/>
          <w:color w:val="auto"/>
          <w:highlight w:val="none"/>
          <w:u w:val="single"/>
        </w:rPr>
        <w:t xml:space="preserve">   浙江科技学院安吉校区      </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乙方项目负责人：</w:t>
      </w:r>
      <w:r>
        <w:rPr>
          <w:rFonts w:hint="eastAsia" w:ascii="仿宋" w:hAnsi="仿宋" w:eastAsia="仿宋" w:cs="仿宋"/>
          <w:color w:val="auto"/>
          <w:highlight w:val="none"/>
          <w:u w:val="single"/>
        </w:rPr>
        <w:t xml:space="preserve">                </w:t>
      </w:r>
    </w:p>
    <w:p>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依照《中华人民共和国民法典》、《中华人民共和国建筑法》及其他有关法律、行政法规、遵循平等、自愿、公平和诚实信用的原则，甲乙双方经友好协商，达成如下协议以兹共同遵守：</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下列文件均为本协议不可分割部分：</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下列文件均为本协议不可分割部分：</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（1）成交通知书</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（2）甲方的采购文件</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（3）乙方的响应文件</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上述文件中的表述有冲突之处，以上述文件顺序列前的文件表述为准。上述文件中的表述与本协议有冲突之处，以本协议为准。</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甲方授予乙方为</w:t>
      </w:r>
      <w:r>
        <w:rPr>
          <w:rFonts w:hint="eastAsia" w:ascii="仿宋" w:hAnsi="仿宋" w:eastAsia="仿宋" w:cs="仿宋"/>
          <w:color w:val="auto"/>
          <w:highlight w:val="none"/>
          <w:u w:val="single"/>
          <w:lang w:eastAsia="zh-CN"/>
        </w:rPr>
        <w:t>2024年安吉校区小额维修工程项目</w:t>
      </w:r>
      <w:r>
        <w:rPr>
          <w:rFonts w:hint="eastAsia" w:ascii="仿宋" w:hAnsi="仿宋" w:eastAsia="仿宋" w:cs="仿宋"/>
          <w:color w:val="auto"/>
          <w:highlight w:val="none"/>
        </w:rPr>
        <w:t>。</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乙方保证按照采购文件的有关规定及投标文件中的承诺提供合格的施工和服务。</w:t>
      </w:r>
    </w:p>
    <w:p>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第一条 工程施工项目服务范围</w:t>
      </w:r>
    </w:p>
    <w:p>
      <w:pPr>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1.工程施工项目范围：</w:t>
      </w:r>
      <w:r>
        <w:rPr>
          <w:rFonts w:hint="eastAsia" w:ascii="仿宋" w:hAnsi="仿宋" w:eastAsia="仿宋" w:cs="仿宋"/>
          <w:color w:val="auto"/>
          <w:highlight w:val="none"/>
          <w:u w:val="single"/>
        </w:rPr>
        <w:t>甲方下达的20万</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含）</w:t>
      </w:r>
      <w:r>
        <w:rPr>
          <w:rFonts w:hint="eastAsia" w:ascii="仿宋" w:hAnsi="仿宋" w:eastAsia="仿宋" w:cs="仿宋"/>
          <w:color w:val="auto"/>
          <w:highlight w:val="none"/>
          <w:u w:val="single"/>
        </w:rPr>
        <w:t>以内的小额维修项目。</w:t>
      </w:r>
    </w:p>
    <w:p>
      <w:pPr>
        <w:spacing w:line="360" w:lineRule="auto"/>
        <w:ind w:firstLine="420" w:firstLineChars="200"/>
        <w:jc w:val="left"/>
        <w:rPr>
          <w:rFonts w:hint="eastAsia" w:ascii="仿宋" w:hAnsi="仿宋" w:eastAsia="仿宋" w:cs="仿宋"/>
          <w:color w:val="auto"/>
          <w:highlight w:val="none"/>
          <w:u w:val="single"/>
        </w:rPr>
      </w:pPr>
      <w:r>
        <w:rPr>
          <w:rFonts w:hint="eastAsia" w:ascii="仿宋" w:hAnsi="仿宋" w:eastAsia="仿宋" w:cs="仿宋"/>
          <w:color w:val="auto"/>
          <w:highlight w:val="none"/>
        </w:rPr>
        <w:t>2.服务期：</w:t>
      </w:r>
      <w:r>
        <w:rPr>
          <w:rFonts w:hint="eastAsia" w:ascii="仿宋" w:hAnsi="仿宋" w:eastAsia="仿宋" w:cs="仿宋"/>
          <w:color w:val="auto"/>
          <w:highlight w:val="none"/>
          <w:u w:val="single"/>
          <w:lang w:eastAsia="zh-CN"/>
        </w:rPr>
        <w:t>一年</w:t>
      </w:r>
      <w:r>
        <w:rPr>
          <w:rFonts w:hint="eastAsia" w:ascii="仿宋" w:hAnsi="仿宋" w:eastAsia="仿宋" w:cs="仿宋"/>
          <w:color w:val="auto"/>
          <w:highlight w:val="none"/>
          <w:u w:val="single"/>
        </w:rPr>
        <w:t>。</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3.政府采购另有规定的部分工程项目，不列入本次服务范围。</w:t>
      </w:r>
    </w:p>
    <w:p>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第二条 中标折扣率</w:t>
      </w:r>
    </w:p>
    <w:p>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1.按实施工，在经审计后的结算价基础上报折扣：成交折扣为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。本项目预算资金为人民币1</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0万元；工程结算累计结算至预算资金限额或服务期满后，合同履行完毕；</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参照工料单价法计算工程款总价，由</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委托的审计单位进行审计，在审计后的工程款总价基础上填报折扣（%）；成交后，按承诺的折扣（%）结算。</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、工程款结算依据</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（1）《建设工程工程量清单计价规范》（GB50500—2013）。</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（2）《房屋建筑与装饰工程工程量计算规范》（GB50854—2013）。</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（3）《通用安装工程工程量计算规范》（GB50856—2013）。</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（4）《市政工程工程量计算规范》（GB50857—2013）。</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（5）《园林绿化工程工程量计算规范》（GB50858—2013）。</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（6）《浙江省建设工程计价规则》（2018版）。</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（7）《杭州市建设工程工程量清单计价实施细则》（2018年修订）</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（8）《关于颁发浙江省建设工程计价依据（2018版）的通知》（浙建建﹝2018﹞61号）</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（9）《关于印发《杭州市建设工程工程量清单计价实施细则》（2018年修订）的通知》（杭建市发（2018）578号）。</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（10）《浙江省建筑工程预算定额（2018版）》、《浙江省安装工程预算定额（2018版）》、《浙江省市政工程预算定额（2018版）》、《浙江省建设工程施工取费定额（2018版）》。</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（11）《杭州造价信息》（正刊）（施工当月最新一期）、《浙江省造价信息》（施工当月最新一期最新一期），无价材料参考市场价格。</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人工价格按照省住建厅《关于进一步规范人工市场信息价发布管理的通知》（建建发[2011]124号）、《关于杭州市建设工程人工信息价发布和使用规定的通知》（杭建造价投资办[2013]20号）文件精神计入。人工信息价按最新一季度杭州市建设工程人工信息价核算。</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（13）工程类别：按三类工程，市区一般工程</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采购的设备和材料，品牌、式样、规格须经</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确认，其价格一律在结算时交审计单位审计后为准。若材料按相关规定必须有检测资料的，则检测费由</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承担，考虑在报价因素中。</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主要材料单价依次按施工期间杭州市建设工程信息、浙江省造价信息（合同工期内各期材料信息价格的平均值，先参照杭州市信息价，如没有则参照浙江省信息价，以上信息价均为正刊）计算；信息刊物上都没有的主要材料由审计询价、</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签证确认。</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5、管理费、利润按浙江省建设工程计价规范（2018版）的各专业费率中值计算。</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6、组织措施费按浙江省建设工程计价规范（2018版）的各专业费率中值计算。</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7、如有其他项目费用，则以</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书面签证的为准。</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8、所有工程量按实际计取，最终以审计单位的审计结果为准。</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9、不论采购结果如何，</w:t>
      </w:r>
      <w:r>
        <w:rPr>
          <w:rFonts w:hint="eastAsia" w:ascii="仿宋" w:hAnsi="仿宋" w:eastAsia="仿宋" w:cs="仿宋"/>
          <w:color w:val="auto"/>
          <w:sz w:val="21"/>
          <w:szCs w:val="21"/>
          <w:highlight w:val="none"/>
          <w:lang w:eastAsia="zh-CN"/>
        </w:rPr>
        <w:t>乙方</w:t>
      </w:r>
      <w:r>
        <w:rPr>
          <w:rFonts w:hint="eastAsia" w:ascii="仿宋" w:hAnsi="仿宋" w:eastAsia="仿宋" w:cs="仿宋"/>
          <w:color w:val="auto"/>
          <w:sz w:val="21"/>
          <w:szCs w:val="21"/>
          <w:highlight w:val="none"/>
        </w:rPr>
        <w:t>均应自行承担所有与磋商有关的全部费用。</w:t>
      </w:r>
    </w:p>
    <w:p>
      <w:pPr>
        <w:keepNext w:val="0"/>
        <w:keepLines w:val="0"/>
        <w:pageBreakBefore w:val="0"/>
        <w:kinsoku/>
        <w:wordWrap/>
        <w:overflowPunct/>
        <w:topLinePunct w:val="0"/>
        <w:autoSpaceDE/>
        <w:autoSpaceDN/>
        <w:bidi w:val="0"/>
        <w:snapToGrid/>
        <w:spacing w:line="4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10、按上述规则编制的结算价经审计后乘以中标折扣计算出的价格作为</w:t>
      </w:r>
      <w:r>
        <w:rPr>
          <w:rFonts w:hint="eastAsia" w:ascii="仿宋" w:hAnsi="仿宋" w:eastAsia="仿宋" w:cs="仿宋"/>
          <w:color w:val="auto"/>
          <w:sz w:val="21"/>
          <w:szCs w:val="21"/>
          <w:highlight w:val="none"/>
          <w:lang w:eastAsia="zh-CN"/>
        </w:rPr>
        <w:t>甲方</w:t>
      </w:r>
      <w:r>
        <w:rPr>
          <w:rFonts w:hint="eastAsia" w:ascii="仿宋" w:hAnsi="仿宋" w:eastAsia="仿宋" w:cs="仿宋"/>
          <w:color w:val="auto"/>
          <w:sz w:val="21"/>
          <w:szCs w:val="21"/>
          <w:highlight w:val="none"/>
        </w:rPr>
        <w:t>应付的工程款。</w:t>
      </w:r>
    </w:p>
    <w:p>
      <w:pPr>
        <w:adjustRightInd w:val="0"/>
        <w:snapToGrid w:val="0"/>
        <w:spacing w:line="360" w:lineRule="auto"/>
        <w:ind w:firstLine="420" w:firstLineChars="200"/>
        <w:jc w:val="left"/>
        <w:rPr>
          <w:rFonts w:hint="eastAsia" w:ascii="仿宋" w:hAnsi="仿宋" w:eastAsia="仿宋" w:cs="仿宋"/>
          <w:color w:val="auto"/>
          <w:sz w:val="21"/>
          <w:szCs w:val="21"/>
          <w:highlight w:val="none"/>
        </w:rPr>
      </w:pPr>
    </w:p>
    <w:p>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第三条、工程付款方式：</w:t>
      </w:r>
    </w:p>
    <w:p>
      <w:pPr>
        <w:spacing w:line="360" w:lineRule="auto"/>
        <w:ind w:firstLine="420" w:firstLineChars="200"/>
        <w:rPr>
          <w:rFonts w:hint="eastAsia" w:ascii="仿宋" w:hAnsi="仿宋" w:eastAsia="仿宋" w:cs="仿宋"/>
          <w:color w:val="auto"/>
          <w:szCs w:val="21"/>
          <w:highlight w:val="none"/>
        </w:rPr>
      </w:pPr>
      <w:bookmarkStart w:id="400" w:name="_Hlk102131120"/>
      <w:r>
        <w:rPr>
          <w:rFonts w:hint="eastAsia" w:ascii="仿宋" w:hAnsi="仿宋" w:eastAsia="仿宋" w:cs="仿宋"/>
          <w:color w:val="auto"/>
          <w:highlight w:val="none"/>
        </w:rPr>
        <w:t>单项工程验收合格并完成结算审计，且乙方缴纳结算价（按中标折扣打折后）1.5%的质保金后，甲方按打折后的结算价向乙方一次性付清工程款。</w:t>
      </w:r>
      <w:r>
        <w:rPr>
          <w:rFonts w:hint="eastAsia" w:ascii="仿宋" w:hAnsi="仿宋" w:eastAsia="仿宋" w:cs="仿宋"/>
          <w:bCs/>
          <w:color w:val="auto"/>
          <w:szCs w:val="21"/>
          <w:highlight w:val="none"/>
        </w:rPr>
        <w:t>质量保修期满后，经甲方认定质量保修符合要求,将质保金返还乙方（无息）。</w:t>
      </w:r>
    </w:p>
    <w:bookmarkEnd w:id="400"/>
    <w:p>
      <w:pPr>
        <w:adjustRightInd w:val="0"/>
        <w:snapToGrid w:val="0"/>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第四条 工程实施要求</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1.工程施工项目竣工验收后提供工程结算书及相关资料统一送业主确认后办理结算手续。</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承建单位必须按项目要求按期施工；必须严格执行施工、安全技术操作规程、安全生产与环境保护等规定；必须做好施工现场垃圾清除工作，废渣必须运至甲方指定地点。必须提供经验收合格的竣工文件一式四份。</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3.工程保修期：按《中华人民共和国建筑法》、《建设工程质量管理条例》和《房屋建筑工程质量保修办法》执行。</w:t>
      </w:r>
    </w:p>
    <w:p>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4.承建单位除项目负责人外可另设一名项目联系人，该项目联系人和项目负责人在合同期内必须是固定的，承建单位如需变更，必须经招标人同意。</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5.乙方不得推诿并在12小时内响应接受甲方委托。 </w:t>
      </w:r>
    </w:p>
    <w:p>
      <w:pPr>
        <w:adjustRightInd w:val="0"/>
        <w:snapToGrid w:val="0"/>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6.有关安全生产和消防的约定：1、在施工期间，乙方必须严格遵守《建筑安装工程安全技术规程》，《建筑安装工人安全操作规程》，《中华人民共和国消防条例》和其他相关法律法规；2、在施工生产过程中，乙方违反有关安全操作规程、消防条例，导致设备、人员、消防等安全事故的，乙方承担由此造成的安全和经济责任。</w:t>
      </w:r>
    </w:p>
    <w:p>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第五条  工程量变更</w:t>
      </w:r>
    </w:p>
    <w:p>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1.甲方发出的需求变更联系单，属合同的内容。乙方必须接受并实施。</w:t>
      </w:r>
    </w:p>
    <w:p>
      <w:pPr>
        <w:spacing w:line="360" w:lineRule="auto"/>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2.乙方在施工过程中如发现需求上的错误或不合理的情况，必须及时通知甲方，并按照甲方认可签字的设计变更联系单进行施工。乙方不得擅自修改设计图纸。</w:t>
      </w:r>
    </w:p>
    <w:p>
      <w:pPr>
        <w:spacing w:line="360" w:lineRule="auto"/>
        <w:ind w:firstLine="430" w:firstLineChars="205"/>
        <w:rPr>
          <w:rFonts w:hint="eastAsia" w:ascii="仿宋" w:hAnsi="仿宋" w:eastAsia="仿宋" w:cs="仿宋"/>
          <w:b/>
          <w:color w:val="auto"/>
          <w:highlight w:val="none"/>
        </w:rPr>
      </w:pPr>
      <w:r>
        <w:rPr>
          <w:rFonts w:hint="eastAsia" w:ascii="仿宋" w:hAnsi="仿宋" w:eastAsia="仿宋" w:cs="仿宋"/>
          <w:color w:val="auto"/>
          <w:highlight w:val="none"/>
        </w:rPr>
        <w:t>3.如为施工方便而提出要求改变设计的，必须征得甲方同意，其增加费用，甲方不予支付。</w:t>
      </w:r>
    </w:p>
    <w:p>
      <w:pPr>
        <w:spacing w:line="360" w:lineRule="auto"/>
        <w:ind w:firstLine="432" w:firstLineChars="205"/>
        <w:rPr>
          <w:rFonts w:hint="eastAsia" w:ascii="仿宋" w:hAnsi="仿宋" w:eastAsia="仿宋" w:cs="仿宋"/>
          <w:b/>
          <w:color w:val="auto"/>
          <w:highlight w:val="none"/>
        </w:rPr>
      </w:pPr>
      <w:r>
        <w:rPr>
          <w:rFonts w:hint="eastAsia" w:ascii="仿宋" w:hAnsi="仿宋" w:eastAsia="仿宋" w:cs="仿宋"/>
          <w:b/>
          <w:color w:val="auto"/>
          <w:highlight w:val="none"/>
        </w:rPr>
        <w:t xml:space="preserve">第六条  工程变更价的确定  </w:t>
      </w:r>
    </w:p>
    <w:p>
      <w:pPr>
        <w:spacing w:line="360" w:lineRule="auto"/>
        <w:ind w:firstLine="430" w:firstLineChars="205"/>
        <w:rPr>
          <w:rFonts w:hint="eastAsia" w:ascii="仿宋" w:hAnsi="仿宋" w:eastAsia="仿宋" w:cs="仿宋"/>
          <w:color w:val="auto"/>
          <w:highlight w:val="none"/>
        </w:rPr>
      </w:pPr>
      <w:r>
        <w:rPr>
          <w:rFonts w:hint="eastAsia" w:ascii="仿宋" w:hAnsi="仿宋" w:eastAsia="仿宋" w:cs="仿宋"/>
          <w:color w:val="auto"/>
          <w:highlight w:val="none"/>
        </w:rPr>
        <w:t>由乙方根据标准定额、市场信息价做出预算，并经甲方审核后，作为结算依据。</w:t>
      </w:r>
    </w:p>
    <w:p>
      <w:pPr>
        <w:spacing w:line="360" w:lineRule="auto"/>
        <w:ind w:firstLine="432" w:firstLineChars="205"/>
        <w:rPr>
          <w:rFonts w:hint="eastAsia" w:ascii="仿宋" w:hAnsi="仿宋" w:eastAsia="仿宋" w:cs="仿宋"/>
          <w:b/>
          <w:color w:val="auto"/>
          <w:highlight w:val="none"/>
        </w:rPr>
      </w:pPr>
      <w:bookmarkStart w:id="401" w:name="_Hlk102131310"/>
      <w:r>
        <w:rPr>
          <w:rFonts w:hint="eastAsia" w:ascii="仿宋" w:hAnsi="仿宋" w:eastAsia="仿宋" w:cs="仿宋"/>
          <w:b/>
          <w:color w:val="auto"/>
          <w:highlight w:val="none"/>
        </w:rPr>
        <w:t>第七条  工程验收</w:t>
      </w:r>
    </w:p>
    <w:p>
      <w:pPr>
        <w:spacing w:line="360" w:lineRule="auto"/>
        <w:ind w:firstLine="430" w:firstLineChars="205"/>
        <w:rPr>
          <w:rFonts w:hint="eastAsia" w:ascii="仿宋" w:hAnsi="仿宋" w:eastAsia="仿宋" w:cs="仿宋"/>
          <w:color w:val="auto"/>
          <w:highlight w:val="none"/>
        </w:rPr>
      </w:pPr>
      <w:r>
        <w:rPr>
          <w:rFonts w:hint="eastAsia" w:ascii="仿宋" w:hAnsi="仿宋" w:eastAsia="仿宋" w:cs="仿宋"/>
          <w:color w:val="auto"/>
          <w:highlight w:val="none"/>
        </w:rPr>
        <w:t>乙方申请竣工验时必须提供所需的所有相关资料，提供齐全后甲方才予以验收。</w:t>
      </w:r>
      <w:bookmarkEnd w:id="401"/>
    </w:p>
    <w:p>
      <w:pPr>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第八条  考核管理</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1、乙方有以下情形之一的，除按施工具体项目合同规定要求处置外，并扣罚其10%履约保证金及对其委托代理人进行约谈，以书面形式通知施工单位。</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（1）收到某个工程执行通知书，在七个工作日内未进场施工（特殊情况如材料定制等经甲方同意除外），故意拖延进场施工时间的。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（2）不接受甲方现场管理人员的管理，不遵守学校相关管理规定的，有威胁、辱骂等情况及施工垃圾处理不及时和不安全文明施工的。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（3）隐蔽工程未经验收就进行下一步工序的，或隐蔽工程经验收需整改但未整改到位或未再次验收就施工的，未造成后果的。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（4）工程竣工验收必须乙方进行自验，后提交竣工验收申请书由甲方进行初验。对竣工验收不合格整改态度消极、应付的。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（5）材料以次充好、使用假冒品牌的。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（6）材料及工序未经建设单位验收就施工并造成返工的，工程竣工验收质量不合格的，保修期内维修、保养不及时等情况的。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（7）因乙方原因工期超出合同规定15%以上未到25%的。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（8）乙方送审资料在竣工验收后超过7个工作日未提供的。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2、乙方有以下情形之一的，除按施工具体项目合同规定要求处置外并扣罚其40%履约保证金，以书面形式通知施工单位。</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（1）合同期限内二次被约谈的，因在建项目对建设单位造成重大影响的。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w:t>
      </w:r>
      <w:bookmarkStart w:id="402" w:name="_Hlk101778216"/>
      <w:r>
        <w:rPr>
          <w:rFonts w:hint="eastAsia" w:ascii="仿宋" w:hAnsi="仿宋" w:eastAsia="仿宋" w:cs="仿宋"/>
          <w:color w:val="auto"/>
          <w:highlight w:val="none"/>
        </w:rPr>
        <w:t>保修期内同一位置经两次维修后仍出现质量问题的。</w:t>
      </w:r>
      <w:bookmarkEnd w:id="402"/>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（3）因乙方原因工期超出合同规定25%以上未到35%的。</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3、乙方有以下情形之一的，除按施工具体项目合同规定要求处置外并列入黑名单。</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（1）合同期限内三次被约谈的，或因在建项目对甲方造成恶劣影响的。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（2）按采购文件要求在规定期限内未缴纳履约保证金。</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（3）在签订施工合同前，乙方须提供有法人代表签字的全权代理人授权委托书，代理人必须实事求是，若弄虚作假并经查实的。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（4）乙方送审资料在竣工验收后超过6个月未提供的。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（5）隐蔽工程未经验收就进行下一步工序的，或隐蔽工程经验收需整改但未整改到位或未再次验收就施工的，造成隐患或后果的。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（6）因施工单位原因工期超出约定工期35%以上的。</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（7）采用不正当的手段行贿甲方工作人员。</w:t>
      </w:r>
    </w:p>
    <w:p>
      <w:pPr>
        <w:spacing w:line="360" w:lineRule="auto"/>
        <w:ind w:firstLine="422" w:firstLineChars="200"/>
        <w:jc w:val="left"/>
        <w:rPr>
          <w:rFonts w:hint="eastAsia" w:ascii="仿宋" w:hAnsi="仿宋" w:eastAsia="仿宋" w:cs="仿宋"/>
          <w:b/>
          <w:color w:val="auto"/>
          <w:highlight w:val="none"/>
        </w:rPr>
      </w:pPr>
      <w:r>
        <w:rPr>
          <w:rFonts w:hint="eastAsia" w:ascii="仿宋" w:hAnsi="仿宋" w:eastAsia="仿宋" w:cs="仿宋"/>
          <w:b/>
          <w:color w:val="auto"/>
          <w:highlight w:val="none"/>
        </w:rPr>
        <w:t>第九条  特别说明</w:t>
      </w:r>
    </w:p>
    <w:p>
      <w:pPr>
        <w:spacing w:line="360" w:lineRule="auto"/>
        <w:ind w:firstLine="315" w:firstLineChars="150"/>
        <w:rPr>
          <w:rFonts w:hint="eastAsia" w:ascii="仿宋" w:hAnsi="仿宋" w:eastAsia="仿宋" w:cs="仿宋"/>
          <w:color w:val="auto"/>
          <w:highlight w:val="none"/>
        </w:rPr>
      </w:pPr>
      <w:r>
        <w:rPr>
          <w:rFonts w:hint="eastAsia" w:ascii="仿宋" w:hAnsi="仿宋" w:eastAsia="仿宋" w:cs="仿宋"/>
          <w:color w:val="auto"/>
          <w:highlight w:val="none"/>
        </w:rPr>
        <w:t>1、乙方在本合同签订后</w:t>
      </w:r>
      <w:r>
        <w:rPr>
          <w:rFonts w:hint="eastAsia" w:ascii="仿宋" w:hAnsi="仿宋" w:eastAsia="仿宋" w:cs="仿宋"/>
          <w:color w:val="auto"/>
          <w:szCs w:val="21"/>
          <w:highlight w:val="none"/>
        </w:rPr>
        <w:t>5个工作日内</w:t>
      </w:r>
      <w:r>
        <w:rPr>
          <w:rFonts w:hint="eastAsia" w:ascii="仿宋" w:hAnsi="仿宋" w:eastAsia="仿宋" w:cs="仿宋"/>
          <w:color w:val="auto"/>
          <w:highlight w:val="none"/>
        </w:rPr>
        <w:t>，需向甲方提交履约担保，履约担保的形式：采用</w:t>
      </w:r>
      <w:r>
        <w:rPr>
          <w:rFonts w:hint="eastAsia" w:ascii="仿宋" w:hAnsi="仿宋" w:eastAsia="仿宋" w:cs="仿宋"/>
          <w:color w:val="auto"/>
          <w:szCs w:val="21"/>
          <w:highlight w:val="none"/>
        </w:rPr>
        <w:t>转账、银行或保险公司出具的见索即付保函</w:t>
      </w:r>
      <w:r>
        <w:rPr>
          <w:rFonts w:hint="eastAsia" w:ascii="仿宋" w:hAnsi="仿宋" w:eastAsia="仿宋" w:cs="仿宋"/>
          <w:color w:val="auto"/>
          <w:highlight w:val="none"/>
        </w:rPr>
        <w:t>。履约担保的金额：</w:t>
      </w:r>
      <w:r>
        <w:rPr>
          <w:rFonts w:hint="eastAsia" w:ascii="仿宋" w:hAnsi="仿宋" w:eastAsia="仿宋" w:cs="仿宋"/>
          <w:color w:val="auto"/>
          <w:highlight w:val="none"/>
          <w:lang w:val="en-US" w:eastAsia="zh-CN"/>
        </w:rPr>
        <w:t>壹</w:t>
      </w:r>
      <w:r>
        <w:rPr>
          <w:rFonts w:hint="eastAsia" w:ascii="仿宋" w:hAnsi="仿宋" w:eastAsia="仿宋" w:cs="仿宋"/>
          <w:color w:val="auto"/>
          <w:highlight w:val="none"/>
        </w:rPr>
        <w:t>万元，</w:t>
      </w:r>
      <w:bookmarkStart w:id="403" w:name="_Hlk101778161"/>
      <w:r>
        <w:rPr>
          <w:rFonts w:hint="eastAsia" w:ascii="仿宋" w:hAnsi="仿宋" w:eastAsia="仿宋" w:cs="仿宋"/>
          <w:color w:val="auto"/>
          <w:szCs w:val="21"/>
          <w:highlight w:val="none"/>
        </w:rPr>
        <w:t>履约保函在合同服务期内最后一个工程竣工验收合格前保持有效。待最后一个工程竣工验收合格后，按合同核实履约情况，扣除违约款后（如有）无息退还。</w:t>
      </w:r>
      <w:bookmarkEnd w:id="403"/>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2、乙方应严格遵守国家相应的安全操作规程。施工过程中若发生人员伤亡和其他责任事故，应由乙方自行承担一切费用。</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3、乙方在施工期间必须对所有上岗施工人员购买“意外伤害保险，并向甲方提供相应的证明材料。</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4、乙方必须接受甲方或甲方委派的项目负责人的监督管理。</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5、乙方必须具有固定的施工人员、机械设备及安全防护设施。合同期内项目负责人及施工人员原则上不得变更。项目施工周期内项目负责人到位率不低于90%，不足90%，按1000元/天从工程款中扣罚。关键施工节点项目负责人必须到场，如不到，按5000元/次从工程款中扣罚。如遇特殊情况需变更相关人员，须经甲方认可，否则视作未到场进行处罚。 </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6、施工单位应完成和提交的工程资料：隐检报告、工程量清单、相应的签证、竣工图、结算书等；同时提供上述资料的电子版本；超额的审计费按相关规定由施工单位支付。</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7、施工场地的垃圾堆放到学校指定地点，定期清理，严禁乱扔乱倒，如有学校其它部门投诉，将作罚款等严肃处理，人员及车辆进出学校必须严格遵守学校规章制度。</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8、承包人应做好安全文明施工措施，不能影响学生正常上课，确保师生安全，若由于施工措施不到位而造成师生安全，一切责任均由承包人承担。</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9、施工单位人员及车辆进出学校必须严格服从学校相关规定。</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10、工程质量及材料质量、安全施工和文明施工承诺：保证本次招标内容中所包含的“工程质量及材料质量、安全施工和文明施工”等项内容无条件达到采购文件和业主期望的要求。</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11、用水用电费按结算审计价的1%计取或单独装表按实计量，用水用电费由施工方在结算审计后直接支付给学校。</w:t>
      </w:r>
    </w:p>
    <w:p>
      <w:pPr>
        <w:autoSpaceDE w:val="0"/>
        <w:autoSpaceDN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12、招标人外送审计的项目，审计费用按照《浙江省物价局关于进一步完善工程造价咨询服务收费的通知》浙价服〔2009〕84号文件执行。</w:t>
      </w:r>
    </w:p>
    <w:p>
      <w:pPr>
        <w:autoSpaceDE w:val="0"/>
        <w:autoSpaceDN w:val="0"/>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13、由于承包人原因在学校内造成民事或刑事案件的，学校将严肃处理，并移交给当地派出所，招标人将有权单方面终止合同。</w:t>
      </w:r>
    </w:p>
    <w:p>
      <w:pPr>
        <w:spacing w:line="360" w:lineRule="auto"/>
        <w:ind w:firstLine="422" w:firstLineChars="200"/>
        <w:jc w:val="left"/>
        <w:rPr>
          <w:rFonts w:hint="eastAsia" w:ascii="仿宋" w:hAnsi="仿宋" w:eastAsia="仿宋" w:cs="仿宋"/>
          <w:color w:val="auto"/>
          <w:highlight w:val="none"/>
        </w:rPr>
      </w:pPr>
      <w:r>
        <w:rPr>
          <w:rFonts w:hint="eastAsia" w:ascii="仿宋" w:hAnsi="仿宋" w:eastAsia="仿宋" w:cs="仿宋"/>
          <w:b/>
          <w:color w:val="auto"/>
          <w:highlight w:val="none"/>
        </w:rPr>
        <w:t>第十条</w:t>
      </w:r>
      <w:r>
        <w:rPr>
          <w:rFonts w:hint="eastAsia" w:ascii="仿宋" w:hAnsi="仿宋" w:eastAsia="仿宋" w:cs="仿宋"/>
          <w:color w:val="auto"/>
          <w:highlight w:val="none"/>
        </w:rPr>
        <w:t xml:space="preserve"> 本协议经双方签字盖章后生效，协议有效期为   年  月  日起至   年  月  日止。</w:t>
      </w:r>
    </w:p>
    <w:p>
      <w:pPr>
        <w:spacing w:line="360" w:lineRule="auto"/>
        <w:ind w:firstLine="422" w:firstLineChars="200"/>
        <w:jc w:val="left"/>
        <w:rPr>
          <w:rFonts w:hint="eastAsia" w:ascii="仿宋" w:hAnsi="仿宋" w:eastAsia="仿宋" w:cs="仿宋"/>
          <w:color w:val="auto"/>
          <w:highlight w:val="none"/>
        </w:rPr>
      </w:pPr>
      <w:r>
        <w:rPr>
          <w:rFonts w:hint="eastAsia" w:ascii="仿宋" w:hAnsi="仿宋" w:eastAsia="仿宋" w:cs="仿宋"/>
          <w:b/>
          <w:color w:val="auto"/>
          <w:highlight w:val="none"/>
        </w:rPr>
        <w:t>第十一条</w:t>
      </w:r>
      <w:r>
        <w:rPr>
          <w:rFonts w:hint="eastAsia" w:ascii="仿宋" w:hAnsi="仿宋" w:eastAsia="仿宋" w:cs="仿宋"/>
          <w:color w:val="auto"/>
          <w:highlight w:val="none"/>
        </w:rPr>
        <w:t xml:space="preserve">  本协议有效期内，双方均不得随意变更或解除协议。协议如有未尽事宜，须经双方共同协商，作出补充规定与本协议具有同等效力。</w:t>
      </w:r>
    </w:p>
    <w:p>
      <w:pPr>
        <w:pStyle w:val="8"/>
        <w:snapToGrid w:val="0"/>
        <w:spacing w:line="360" w:lineRule="auto"/>
        <w:ind w:firstLine="422" w:firstLineChars="200"/>
        <w:rPr>
          <w:rFonts w:hint="eastAsia" w:ascii="仿宋" w:hAnsi="仿宋" w:eastAsia="仿宋" w:cs="仿宋"/>
          <w:color w:val="auto"/>
          <w:highlight w:val="none"/>
        </w:rPr>
      </w:pPr>
      <w:r>
        <w:rPr>
          <w:rFonts w:hint="eastAsia" w:ascii="仿宋" w:hAnsi="仿宋" w:eastAsia="仿宋" w:cs="仿宋"/>
          <w:b/>
          <w:color w:val="auto"/>
          <w:highlight w:val="none"/>
        </w:rPr>
        <w:t>第十二条</w:t>
      </w:r>
      <w:r>
        <w:rPr>
          <w:rFonts w:hint="eastAsia" w:ascii="仿宋" w:hAnsi="仿宋" w:eastAsia="仿宋" w:cs="仿宋"/>
          <w:color w:val="auto"/>
          <w:highlight w:val="none"/>
        </w:rPr>
        <w:t xml:space="preserve">  本协议一式捌份，甲方肆份，乙方肆份。</w:t>
      </w:r>
    </w:p>
    <w:p>
      <w:pPr>
        <w:pStyle w:val="8"/>
        <w:snapToGrid w:val="0"/>
        <w:spacing w:line="360" w:lineRule="auto"/>
        <w:ind w:firstLine="420" w:firstLineChars="200"/>
        <w:rPr>
          <w:rFonts w:hint="eastAsia" w:ascii="仿宋" w:hAnsi="仿宋" w:eastAsia="仿宋" w:cs="仿宋"/>
          <w:color w:val="auto"/>
          <w:highlight w:val="none"/>
        </w:rPr>
      </w:pPr>
    </w:p>
    <w:p>
      <w:pPr>
        <w:pStyle w:val="8"/>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 xml:space="preserve">甲方（盖章）：                        乙方（盖章）： </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地址：                               地址： </w:t>
      </w:r>
    </w:p>
    <w:p>
      <w:pPr>
        <w:pStyle w:val="8"/>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法定代表人：                         法定代表人：</w:t>
      </w:r>
    </w:p>
    <w:p>
      <w:pPr>
        <w:pStyle w:val="8"/>
        <w:snapToGrid w:val="0"/>
        <w:spacing w:line="360" w:lineRule="auto"/>
        <w:ind w:firstLine="420" w:firstLineChars="200"/>
        <w:rPr>
          <w:rFonts w:hint="eastAsia" w:ascii="仿宋" w:hAnsi="仿宋" w:eastAsia="仿宋" w:cs="仿宋"/>
          <w:color w:val="auto"/>
          <w:kern w:val="2"/>
          <w:highlight w:val="none"/>
          <w:lang w:val="en-US" w:eastAsia="zh-CN"/>
        </w:rPr>
      </w:pPr>
      <w:r>
        <w:rPr>
          <w:rFonts w:hint="eastAsia" w:ascii="仿宋" w:hAnsi="仿宋" w:eastAsia="仿宋" w:cs="仿宋"/>
          <w:color w:val="auto"/>
          <w:kern w:val="2"/>
          <w:highlight w:val="none"/>
          <w:lang w:val="en-US" w:eastAsia="zh-CN"/>
        </w:rPr>
        <w:t xml:space="preserve">委托代理人：                         委托代理人：                                           </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电话：                               电话：</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开户银行： </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帐  号：                             帐  号：</w:t>
      </w:r>
    </w:p>
    <w:p>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时  间：    年  月  日               时  间：    年   月   日</w:t>
      </w:r>
    </w:p>
    <w:p>
      <w:pPr>
        <w:rPr>
          <w:rFonts w:ascii="仿宋" w:hAnsi="仿宋" w:eastAsia="仿宋"/>
          <w:color w:val="auto"/>
          <w:highlight w:val="none"/>
        </w:rPr>
      </w:pPr>
      <w:r>
        <w:rPr>
          <w:rFonts w:ascii="仿宋" w:hAnsi="仿宋" w:eastAsia="仿宋"/>
          <w:color w:val="auto"/>
          <w:highlight w:val="none"/>
        </w:rPr>
        <w:br w:type="page"/>
      </w:r>
    </w:p>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 w:val="24"/>
          <w:highlight w:val="none"/>
        </w:rPr>
        <w:t>附件1：</w:t>
      </w:r>
      <w:r>
        <w:rPr>
          <w:rFonts w:hint="eastAsia" w:ascii="仿宋" w:hAnsi="仿宋" w:eastAsia="仿宋" w:cs="仿宋"/>
          <w:color w:val="auto"/>
          <w:szCs w:val="21"/>
          <w:highlight w:val="none"/>
        </w:rPr>
        <w:t xml:space="preserve">    </w:t>
      </w:r>
    </w:p>
    <w:p>
      <w:pPr>
        <w:spacing w:before="120" w:beforeLines="50" w:after="120" w:afterLines="50" w:line="440" w:lineRule="exac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工程质量保修书</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发包人（全称）：</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 xml:space="preserve"> </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承包人（全称）：</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 xml:space="preserve"> </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发包人和承包人根据《中华人民共和国建筑法》和《建设工程质量管理条例》，经协商一致就</w:t>
      </w:r>
      <w:r>
        <w:rPr>
          <w:rFonts w:hint="eastAsia" w:ascii="仿宋" w:hAnsi="仿宋" w:eastAsia="仿宋" w:cs="仿宋"/>
          <w:b/>
          <w:bCs/>
          <w:color w:val="auto"/>
          <w:szCs w:val="21"/>
          <w:highlight w:val="none"/>
          <w:u w:val="single"/>
        </w:rPr>
        <w:t xml:space="preserve">                        </w:t>
      </w:r>
      <w:r>
        <w:rPr>
          <w:rFonts w:hint="eastAsia" w:ascii="仿宋" w:hAnsi="仿宋" w:eastAsia="仿宋" w:cs="仿宋"/>
          <w:color w:val="auto"/>
          <w:szCs w:val="21"/>
          <w:highlight w:val="none"/>
        </w:rPr>
        <w:t>（工程全称）签订工程质量保修书。</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一、工程质量保修范围和内容</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承包人在质量保修期内，按照有关法律规定和合同约定，承担工程质量保修责任。</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w:t>
      </w:r>
    </w:p>
    <w:p>
      <w:pPr>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w:t>
      </w:r>
      <w:r>
        <w:rPr>
          <w:rFonts w:hint="eastAsia" w:ascii="仿宋" w:hAnsi="仿宋" w:eastAsia="仿宋" w:cs="仿宋"/>
          <w:color w:val="auto"/>
          <w:szCs w:val="21"/>
          <w:highlight w:val="none"/>
        </w:rPr>
        <w:t>二、质量保修期</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根据《建设工程质量管理条例》及有关规定，工程的质量保修期如下：</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1．地基基础工程和主体结构工程为设计文件规定的</w:t>
      </w:r>
      <w:r>
        <w:rPr>
          <w:rFonts w:hint="eastAsia" w:ascii="仿宋" w:hAnsi="仿宋" w:eastAsia="仿宋" w:cs="仿宋"/>
          <w:b/>
          <w:color w:val="auto"/>
          <w:szCs w:val="21"/>
          <w:highlight w:val="none"/>
          <w:u w:val="single"/>
        </w:rPr>
        <w:t>工程合理使用年限</w:t>
      </w:r>
      <w:r>
        <w:rPr>
          <w:rFonts w:hint="eastAsia" w:ascii="仿宋" w:hAnsi="仿宋" w:eastAsia="仿宋" w:cs="仿宋"/>
          <w:color w:val="auto"/>
          <w:szCs w:val="21"/>
          <w:highlight w:val="none"/>
        </w:rPr>
        <w:t>；</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2．屋面防水工程、有防水要求的卫生间、房间和外墙面的防渗漏为</w:t>
      </w:r>
      <w:r>
        <w:rPr>
          <w:rFonts w:hint="eastAsia" w:ascii="仿宋" w:hAnsi="仿宋" w:eastAsia="仿宋" w:cs="仿宋"/>
          <w:b/>
          <w:bCs/>
          <w:color w:val="auto"/>
          <w:szCs w:val="21"/>
          <w:highlight w:val="none"/>
          <w:u w:val="single"/>
        </w:rPr>
        <w:t xml:space="preserve"> 伍 </w:t>
      </w:r>
      <w:r>
        <w:rPr>
          <w:rFonts w:hint="eastAsia" w:ascii="仿宋" w:hAnsi="仿宋" w:eastAsia="仿宋" w:cs="仿宋"/>
          <w:color w:val="auto"/>
          <w:szCs w:val="21"/>
          <w:highlight w:val="none"/>
        </w:rPr>
        <w:t>年；</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3．装饰装修工程为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年；</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4．电气管线、给排水管道、设备安装工程为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年；</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5．供热与供冷系统为</w:t>
      </w:r>
      <w:r>
        <w:rPr>
          <w:rFonts w:hint="eastAsia" w:ascii="仿宋" w:hAnsi="仿宋" w:eastAsia="仿宋" w:cs="仿宋"/>
          <w:b/>
          <w:bCs/>
          <w:color w:val="auto"/>
          <w:szCs w:val="21"/>
          <w:highlight w:val="none"/>
          <w:u w:val="single"/>
        </w:rPr>
        <w:t xml:space="preserve">  贰  </w:t>
      </w:r>
      <w:r>
        <w:rPr>
          <w:rFonts w:hint="eastAsia" w:ascii="仿宋" w:hAnsi="仿宋" w:eastAsia="仿宋" w:cs="仿宋"/>
          <w:color w:val="auto"/>
          <w:szCs w:val="21"/>
          <w:highlight w:val="none"/>
        </w:rPr>
        <w:t>个采暖期、供冷期；</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6．住宅小区内的给排水设施、道路等配套工程为</w:t>
      </w:r>
      <w:r>
        <w:rPr>
          <w:rFonts w:hint="eastAsia" w:ascii="仿宋" w:hAnsi="仿宋" w:eastAsia="仿宋" w:cs="仿宋"/>
          <w:color w:val="auto"/>
          <w:szCs w:val="21"/>
          <w:highlight w:val="none"/>
          <w:u w:val="single"/>
        </w:rPr>
        <w:t xml:space="preserve"> </w:t>
      </w:r>
      <w:r>
        <w:rPr>
          <w:rFonts w:hint="eastAsia" w:ascii="仿宋" w:hAnsi="仿宋" w:eastAsia="仿宋" w:cs="仿宋"/>
          <w:b/>
          <w:bCs/>
          <w:color w:val="auto"/>
          <w:szCs w:val="21"/>
          <w:highlight w:val="none"/>
          <w:u w:val="single"/>
        </w:rPr>
        <w:t xml:space="preserve">贰 </w:t>
      </w:r>
      <w:r>
        <w:rPr>
          <w:rFonts w:hint="eastAsia" w:ascii="仿宋" w:hAnsi="仿宋" w:eastAsia="仿宋" w:cs="仿宋"/>
          <w:color w:val="auto"/>
          <w:szCs w:val="21"/>
          <w:highlight w:val="none"/>
        </w:rPr>
        <w:t>年；</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7．其他项目保修期限约定如下：</w:t>
      </w:r>
      <w:r>
        <w:rPr>
          <w:rFonts w:hint="eastAsia" w:ascii="仿宋" w:hAnsi="仿宋" w:eastAsia="仿宋" w:cs="仿宋"/>
          <w:b/>
          <w:bCs/>
          <w:color w:val="auto"/>
          <w:szCs w:val="21"/>
          <w:highlight w:val="none"/>
          <w:u w:val="single"/>
        </w:rPr>
        <w:t xml:space="preserve">   贰年    </w:t>
      </w:r>
      <w:r>
        <w:rPr>
          <w:rFonts w:hint="eastAsia" w:ascii="仿宋" w:hAnsi="仿宋" w:eastAsia="仿宋" w:cs="仿宋"/>
          <w:color w:val="auto"/>
          <w:szCs w:val="21"/>
          <w:highlight w:val="none"/>
        </w:rPr>
        <w:t>。</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质量保修期自工程竣工验收合格之日起计算。</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三、缺陷责任期</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工程缺陷责任期为</w:t>
      </w:r>
      <w:r>
        <w:rPr>
          <w:rFonts w:hint="eastAsia" w:ascii="仿宋" w:hAnsi="仿宋" w:eastAsia="仿宋" w:cs="仿宋"/>
          <w:b/>
          <w:bCs/>
          <w:color w:val="auto"/>
          <w:szCs w:val="21"/>
          <w:highlight w:val="none"/>
          <w:u w:val="single"/>
        </w:rPr>
        <w:t xml:space="preserve"> 24 </w:t>
      </w:r>
      <w:r>
        <w:rPr>
          <w:rFonts w:hint="eastAsia" w:ascii="仿宋" w:hAnsi="仿宋" w:eastAsia="仿宋" w:cs="仿宋"/>
          <w:color w:val="auto"/>
          <w:szCs w:val="21"/>
          <w:highlight w:val="none"/>
        </w:rPr>
        <w:t>个月，缺陷责任期自工程实际竣工之日起计算。单位工程先于全部工程进行验收，单位工程缺陷责任期自单位工程验收合格之日起算。</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缺陷责任期终止后，发包人应退还剩余的质量保证金。</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四、质量保修责任</w:t>
      </w:r>
    </w:p>
    <w:p>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1．属于保修范围、内容的项目，承包人应当在接到保修通知之日起7天内派人保修。承包人不在约定期限内派人保修的，发包人可以委托他人修理。</w:t>
      </w:r>
    </w:p>
    <w:p>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2．发生紧急事故需抢修的，承包人在接到事故通知后，应当立即到达事故现场抢修。</w:t>
      </w:r>
    </w:p>
    <w:p>
      <w:pPr>
        <w:spacing w:line="360" w:lineRule="auto"/>
        <w:ind w:left="105" w:leftChars="50" w:firstLine="430" w:firstLineChars="205"/>
        <w:rPr>
          <w:rFonts w:hint="eastAsia" w:ascii="仿宋" w:hAnsi="仿宋" w:eastAsia="仿宋" w:cs="仿宋"/>
          <w:color w:val="auto"/>
          <w:szCs w:val="21"/>
          <w:highlight w:val="none"/>
        </w:rPr>
      </w:pPr>
      <w:r>
        <w:rPr>
          <w:rFonts w:hint="eastAsia" w:ascii="仿宋" w:hAnsi="仿宋" w:eastAsia="仿宋" w:cs="仿宋"/>
          <w:color w:val="auto"/>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05" w:firstLineChars="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4．质量保修完成后，由发包人组织验收。</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五、保修费用</w:t>
      </w:r>
    </w:p>
    <w:p>
      <w:pPr>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　　保修费用由造成质量缺陷的责任方承担。</w:t>
      </w:r>
    </w:p>
    <w:p>
      <w:pPr>
        <w:spacing w:line="360" w:lineRule="auto"/>
        <w:ind w:firstLine="422"/>
        <w:jc w:val="lef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    六</w:t>
      </w:r>
      <w:r>
        <w:rPr>
          <w:rFonts w:hint="eastAsia" w:ascii="仿宋" w:hAnsi="仿宋" w:eastAsia="仿宋" w:cs="仿宋"/>
          <w:color w:val="auto"/>
          <w:szCs w:val="21"/>
          <w:highlight w:val="none"/>
        </w:rPr>
        <w:t>、双方约定的其他工程质量保修事项：</w:t>
      </w:r>
      <w:r>
        <w:rPr>
          <w:rFonts w:hint="eastAsia" w:ascii="仿宋" w:hAnsi="仿宋" w:eastAsia="仿宋" w:cs="仿宋"/>
          <w:b/>
          <w:bCs/>
          <w:color w:val="auto"/>
          <w:szCs w:val="21"/>
          <w:highlight w:val="none"/>
          <w:u w:val="single"/>
        </w:rPr>
        <w:t>工程质保金为工程结算价的1.5%</w:t>
      </w:r>
      <w:r>
        <w:rPr>
          <w:rFonts w:hint="eastAsia" w:ascii="仿宋" w:hAnsi="仿宋" w:eastAsia="仿宋" w:cs="仿宋"/>
          <w:color w:val="auto"/>
          <w:szCs w:val="21"/>
          <w:highlight w:val="none"/>
        </w:rPr>
        <w:t>。</w:t>
      </w:r>
    </w:p>
    <w:p>
      <w:pPr>
        <w:spacing w:line="360" w:lineRule="auto"/>
        <w:ind w:firstLine="399" w:firstLineChars="190"/>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工程质量保修书由发包人、承包人在工程竣工验收前共同签署，作为施工合同附件，其有效期限至保修期满。</w:t>
      </w:r>
    </w:p>
    <w:p>
      <w:pPr>
        <w:spacing w:line="360" w:lineRule="auto"/>
        <w:ind w:firstLine="199" w:firstLineChars="95"/>
        <w:rPr>
          <w:rFonts w:hint="eastAsia" w:ascii="仿宋" w:hAnsi="仿宋" w:eastAsia="仿宋" w:cs="仿宋"/>
          <w:color w:val="auto"/>
          <w:szCs w:val="21"/>
          <w:highlight w:val="none"/>
        </w:rPr>
      </w:pPr>
    </w:p>
    <w:p>
      <w:pPr>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发包人(公章)：                                       承包人(公章)：</w:t>
      </w:r>
    </w:p>
    <w:p>
      <w:pPr>
        <w:ind w:firstLine="420"/>
        <w:rPr>
          <w:rFonts w:hint="eastAsia" w:ascii="仿宋" w:hAnsi="仿宋" w:eastAsia="仿宋" w:cs="仿宋"/>
          <w:color w:val="auto"/>
          <w:szCs w:val="21"/>
          <w:highlight w:val="none"/>
        </w:rPr>
      </w:pPr>
    </w:p>
    <w:p>
      <w:pPr>
        <w:ind w:firstLine="420"/>
        <w:rPr>
          <w:rFonts w:hint="eastAsia" w:ascii="仿宋" w:hAnsi="仿宋" w:eastAsia="仿宋" w:cs="仿宋"/>
          <w:color w:val="auto"/>
          <w:szCs w:val="21"/>
          <w:highlight w:val="none"/>
        </w:rPr>
      </w:pPr>
    </w:p>
    <w:p>
      <w:pPr>
        <w:ind w:firstLine="420"/>
        <w:rPr>
          <w:rFonts w:hint="eastAsia" w:ascii="仿宋" w:hAnsi="仿宋" w:eastAsia="仿宋" w:cs="仿宋"/>
          <w:color w:val="auto"/>
          <w:highlight w:val="none"/>
        </w:rPr>
      </w:pPr>
      <w:r>
        <w:rPr>
          <w:rFonts w:hint="eastAsia" w:ascii="仿宋" w:hAnsi="仿宋" w:eastAsia="仿宋" w:cs="仿宋"/>
          <w:color w:val="auto"/>
          <w:highlight w:val="none"/>
        </w:rPr>
        <w:t>年    月    日                                     年    月    日</w:t>
      </w:r>
    </w:p>
    <w:p>
      <w:pPr>
        <w:ind w:firstLine="420"/>
        <w:rPr>
          <w:rFonts w:hint="eastAsia" w:ascii="仿宋" w:hAnsi="仿宋" w:eastAsia="仿宋" w:cs="仿宋"/>
          <w:color w:val="auto"/>
          <w:highlight w:val="none"/>
        </w:rPr>
      </w:pPr>
    </w:p>
    <w:p>
      <w:pPr>
        <w:ind w:firstLine="420"/>
        <w:rPr>
          <w:rFonts w:hint="eastAsia" w:ascii="仿宋" w:hAnsi="仿宋" w:eastAsia="仿宋" w:cs="仿宋"/>
          <w:color w:val="auto"/>
          <w:highlight w:val="none"/>
        </w:rPr>
      </w:pPr>
    </w:p>
    <w:p>
      <w:pPr>
        <w:ind w:firstLine="420"/>
        <w:rPr>
          <w:rFonts w:hint="eastAsia" w:ascii="仿宋" w:hAnsi="仿宋" w:eastAsia="仿宋" w:cs="仿宋"/>
          <w:color w:val="auto"/>
          <w:highlight w:val="none"/>
        </w:rPr>
      </w:pPr>
    </w:p>
    <w:p>
      <w:pPr>
        <w:rPr>
          <w:rFonts w:hint="eastAsia" w:ascii="仿宋" w:hAnsi="仿宋" w:eastAsia="仿宋" w:cs="仿宋"/>
          <w:color w:val="auto"/>
          <w:highlight w:val="none"/>
        </w:rPr>
      </w:pPr>
      <w:r>
        <w:rPr>
          <w:rFonts w:hint="eastAsia" w:ascii="仿宋" w:hAnsi="仿宋" w:eastAsia="仿宋" w:cs="仿宋"/>
          <w:color w:val="auto"/>
          <w:highlight w:val="none"/>
        </w:rPr>
        <w:br w:type="page"/>
      </w:r>
    </w:p>
    <w:p>
      <w:pPr>
        <w:autoSpaceDE w:val="0"/>
        <w:autoSpaceDN w:val="0"/>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附件2：</w:t>
      </w:r>
    </w:p>
    <w:p>
      <w:pPr>
        <w:tabs>
          <w:tab w:val="left" w:pos="540"/>
        </w:tabs>
        <w:topLinePunct/>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廉政协议</w:t>
      </w:r>
    </w:p>
    <w:p>
      <w:pPr>
        <w:topLinePunct/>
        <w:ind w:firstLine="643"/>
        <w:jc w:val="center"/>
        <w:rPr>
          <w:rFonts w:hint="eastAsia" w:ascii="仿宋" w:hAnsi="仿宋" w:eastAsia="仿宋" w:cs="仿宋"/>
          <w:b/>
          <w:color w:val="auto"/>
          <w:sz w:val="32"/>
          <w:highlight w:val="none"/>
        </w:rPr>
      </w:pP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第一条</w:t>
      </w:r>
      <w:r>
        <w:rPr>
          <w:rFonts w:hint="eastAsia" w:ascii="仿宋" w:hAnsi="仿宋" w:eastAsia="仿宋" w:cs="仿宋"/>
          <w:color w:val="auto"/>
          <w:szCs w:val="21"/>
          <w:highlight w:val="none"/>
        </w:rPr>
        <w:t>：根据国家建设部、监察部《关于在工程建设中深入开展反对腐败和反不正当竞争的通知》精神和党风廉政建设的有关规定，为进一步规范工程建设中的经济活动管理，经双方协商一致，制订以下廉政协议。</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第二条</w:t>
      </w:r>
      <w:r>
        <w:rPr>
          <w:rFonts w:hint="eastAsia" w:ascii="仿宋" w:hAnsi="仿宋" w:eastAsia="仿宋" w:cs="仿宋"/>
          <w:color w:val="auto"/>
          <w:szCs w:val="21"/>
          <w:highlight w:val="none"/>
        </w:rPr>
        <w:t>：廉政协议（以下简称本合同）由委托代理人（以下简称甲方）与承包方（以下简称乙方）共同签订。</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第三条</w:t>
      </w:r>
      <w:r>
        <w:rPr>
          <w:rFonts w:hint="eastAsia" w:ascii="仿宋" w:hAnsi="仿宋" w:eastAsia="仿宋" w:cs="仿宋"/>
          <w:color w:val="auto"/>
          <w:szCs w:val="21"/>
          <w:highlight w:val="none"/>
        </w:rPr>
        <w:t>：甲乙双方负责履行本合同并接受监督。</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第四条</w:t>
      </w:r>
      <w:r>
        <w:rPr>
          <w:rFonts w:hint="eastAsia" w:ascii="仿宋" w:hAnsi="仿宋" w:eastAsia="仿宋" w:cs="仿宋"/>
          <w:color w:val="auto"/>
          <w:szCs w:val="21"/>
          <w:highlight w:val="none"/>
        </w:rPr>
        <w:t>：甲乙双方的权利和义务</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一、甲乙双方应严格遵守党和国家法规、党风廉政建设及《反不正当竞争法》的各项规定。</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二、甲乙双方严格执行所签订的经济合同各项条款，自觉按合同办事，严禁因违法违纪、违反工程建设管理的各项规章制度而损害国家和集体利益。</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三、甲、乙双方人员洽谈业务时，必须选择在办公场所或甲方确定的其它公共场所由二人以上共同进行，严禁私下商谈串通。</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第五条  </w:t>
      </w:r>
      <w:r>
        <w:rPr>
          <w:rFonts w:hint="eastAsia" w:ascii="仿宋" w:hAnsi="仿宋" w:eastAsia="仿宋" w:cs="仿宋"/>
          <w:color w:val="auto"/>
          <w:szCs w:val="21"/>
          <w:highlight w:val="none"/>
        </w:rPr>
        <w:t>甲方的权利和义务</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一、甲方人员不得以任何形式向乙方索要回扣；对无法拒收的，应及时上交甲方办公室。</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二、甲方人员不得以任何形式接受乙方给予的礼金、礼品和有价证券，不得在乙方报销应由个人支付的任何费用。</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三、甲方人员不得参加由乙方或乙方个人提供的宴请、旅游和娱乐活动。</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四、甲方人员不得向乙方介绍家属或亲友从事与甲方工程有关的材料设备供应、工程分包等经济活动。</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第六条</w:t>
      </w:r>
      <w:r>
        <w:rPr>
          <w:rFonts w:hint="eastAsia" w:ascii="仿宋" w:hAnsi="仿宋" w:eastAsia="仿宋" w:cs="仿宋"/>
          <w:color w:val="auto"/>
          <w:szCs w:val="21"/>
          <w:highlight w:val="none"/>
        </w:rPr>
        <w:t>：乙方的权利和义务</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一、乙方人员不得以任何形式向甲方人员赠送礼金、礼品和有价证券。项目结束后，也不得进行上述赠送。</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二、乙方不准以任何名义为甲方人员报销应由甲方人员个人支付的费用。</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三、乙方人员不得以任何形式邀请甲方人员参加宴会、旅游和娱乐活动等。</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第七条</w:t>
      </w:r>
      <w:r>
        <w:rPr>
          <w:rFonts w:hint="eastAsia" w:ascii="仿宋" w:hAnsi="仿宋" w:eastAsia="仿宋" w:cs="仿宋"/>
          <w:color w:val="auto"/>
          <w:szCs w:val="21"/>
          <w:highlight w:val="none"/>
        </w:rPr>
        <w:t>：违约责任</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一、甲方人员若违反本合同，其主管部门将对违法、违纪、违规人员严肃查处。因此而给乙方造成的损失，甲方按有关规定予以赔偿。</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二、甲方主管部门如发现乙方人员违反本合同规定，有权终止其经济合同，由此而造成的损失由乙方负责赔偿；并将乙方列入不良行为名单登记入册。同时，有义务向政府主管部门提供其不良记录情况。</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三、乙方人员若违反本合同，其主管部门应对违法违纪人员严肃查处，因此而给甲方造成的损失，乙方按有关规定予以赔偿。</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四、如乙方发现甲方人员有违反本合同的行为，应及时向甲方纪检监察部门举报。甲方不得以任何借口报复乙方。</w:t>
      </w:r>
    </w:p>
    <w:p>
      <w:pPr>
        <w:pStyle w:val="30"/>
        <w:spacing w:line="360" w:lineRule="auto"/>
        <w:ind w:firstLine="422"/>
        <w:rPr>
          <w:rFonts w:hint="eastAsia" w:ascii="仿宋" w:hAnsi="仿宋" w:eastAsia="仿宋" w:cs="仿宋"/>
          <w:color w:val="auto"/>
          <w:spacing w:val="-20"/>
          <w:szCs w:val="21"/>
          <w:highlight w:val="none"/>
        </w:rPr>
      </w:pPr>
      <w:r>
        <w:rPr>
          <w:rFonts w:hint="eastAsia" w:ascii="仿宋" w:hAnsi="仿宋" w:eastAsia="仿宋" w:cs="仿宋"/>
          <w:b/>
          <w:color w:val="auto"/>
          <w:szCs w:val="21"/>
          <w:highlight w:val="none"/>
        </w:rPr>
        <w:t>第八条</w:t>
      </w:r>
      <w:r>
        <w:rPr>
          <w:rFonts w:hint="eastAsia" w:ascii="仿宋" w:hAnsi="仿宋" w:eastAsia="仿宋" w:cs="仿宋"/>
          <w:color w:val="auto"/>
          <w:szCs w:val="21"/>
          <w:highlight w:val="none"/>
        </w:rPr>
        <w:t>：甲乙双方必须将“廉政协议”贯穿于所签订的经济合同实施的全过程，及时布置、认真检查、严格考核。</w:t>
      </w:r>
    </w:p>
    <w:p>
      <w:pPr>
        <w:pStyle w:val="30"/>
        <w:spacing w:line="360" w:lineRule="auto"/>
        <w:ind w:firstLine="422"/>
        <w:rPr>
          <w:rFonts w:hint="eastAsia" w:ascii="仿宋" w:hAnsi="仿宋" w:eastAsia="仿宋" w:cs="仿宋"/>
          <w:color w:val="auto"/>
          <w:spacing w:val="-20"/>
          <w:szCs w:val="21"/>
          <w:highlight w:val="none"/>
        </w:rPr>
      </w:pPr>
      <w:r>
        <w:rPr>
          <w:rFonts w:hint="eastAsia" w:ascii="仿宋" w:hAnsi="仿宋" w:eastAsia="仿宋" w:cs="仿宋"/>
          <w:b/>
          <w:color w:val="auto"/>
          <w:szCs w:val="21"/>
          <w:highlight w:val="none"/>
        </w:rPr>
        <w:t>第九条</w:t>
      </w:r>
      <w:r>
        <w:rPr>
          <w:rFonts w:hint="eastAsia" w:ascii="仿宋" w:hAnsi="仿宋" w:eastAsia="仿宋" w:cs="仿宋"/>
          <w:color w:val="auto"/>
          <w:szCs w:val="21"/>
          <w:highlight w:val="none"/>
        </w:rPr>
        <w:t>：本合同在甲乙双方签订重大经济合同的同时签订。</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第十条</w:t>
      </w:r>
      <w:r>
        <w:rPr>
          <w:rFonts w:hint="eastAsia" w:ascii="仿宋" w:hAnsi="仿宋" w:eastAsia="仿宋" w:cs="仿宋"/>
          <w:color w:val="auto"/>
          <w:szCs w:val="21"/>
          <w:highlight w:val="none"/>
        </w:rPr>
        <w:t>：本合同作为本次所签订的合同附件，经合同双方共同签署后立即生效。</w:t>
      </w:r>
    </w:p>
    <w:p>
      <w:pPr>
        <w:pStyle w:val="30"/>
        <w:spacing w:line="360" w:lineRule="auto"/>
        <w:ind w:firstLine="422"/>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第十一条：</w:t>
      </w:r>
      <w:r>
        <w:rPr>
          <w:rFonts w:hint="eastAsia" w:ascii="仿宋" w:hAnsi="仿宋" w:eastAsia="仿宋" w:cs="仿宋"/>
          <w:color w:val="auto"/>
          <w:szCs w:val="21"/>
          <w:highlight w:val="none"/>
        </w:rPr>
        <w:t>本合同一式拾份，甲方陆份，乙方肆份。</w:t>
      </w:r>
    </w:p>
    <w:p>
      <w:pPr>
        <w:topLinePunct/>
        <w:spacing w:line="360" w:lineRule="auto"/>
        <w:ind w:firstLine="640"/>
        <w:rPr>
          <w:rFonts w:hint="eastAsia" w:ascii="仿宋" w:hAnsi="仿宋" w:eastAsia="仿宋" w:cs="仿宋"/>
          <w:color w:val="auto"/>
          <w:szCs w:val="21"/>
          <w:highlight w:val="none"/>
        </w:rPr>
      </w:pP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甲方（盖章）                    乙方（盖章）</w:t>
      </w:r>
    </w:p>
    <w:p>
      <w:pPr>
        <w:pStyle w:val="30"/>
        <w:spacing w:line="360" w:lineRule="auto"/>
        <w:ind w:firstLine="420"/>
        <w:rPr>
          <w:rFonts w:hint="eastAsia" w:ascii="仿宋" w:hAnsi="仿宋" w:eastAsia="仿宋" w:cs="仿宋"/>
          <w:color w:val="auto"/>
          <w:szCs w:val="21"/>
          <w:highlight w:val="none"/>
        </w:rPr>
      </w:pP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甲方法定代表人 ：               乙方法定代表人：</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或                              或</w:t>
      </w: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甲方委托代理人：                乙方委托代理人：</w:t>
      </w:r>
    </w:p>
    <w:p>
      <w:pPr>
        <w:pStyle w:val="30"/>
        <w:spacing w:line="360" w:lineRule="auto"/>
        <w:ind w:firstLine="420"/>
        <w:rPr>
          <w:rFonts w:hint="eastAsia" w:ascii="仿宋" w:hAnsi="仿宋" w:eastAsia="仿宋" w:cs="仿宋"/>
          <w:color w:val="auto"/>
          <w:szCs w:val="21"/>
          <w:highlight w:val="none"/>
        </w:rPr>
      </w:pPr>
    </w:p>
    <w:p>
      <w:pPr>
        <w:pStyle w:val="30"/>
        <w:spacing w:line="360" w:lineRule="auto"/>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rPr>
        <w:t>年   月   日                    年   月   日</w:t>
      </w:r>
    </w:p>
    <w:p>
      <w:pPr>
        <w:pStyle w:val="30"/>
        <w:spacing w:line="360" w:lineRule="auto"/>
        <w:ind w:firstLine="422"/>
        <w:rPr>
          <w:rFonts w:hint="eastAsia" w:ascii="仿宋" w:hAnsi="仿宋" w:eastAsia="仿宋" w:cs="仿宋"/>
          <w:b/>
          <w:bCs/>
          <w:color w:val="auto"/>
          <w:szCs w:val="21"/>
          <w:highlight w:val="none"/>
        </w:rPr>
      </w:pPr>
    </w:p>
    <w:p>
      <w:pPr>
        <w:spacing w:line="400" w:lineRule="exact"/>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签约地点：</w:t>
      </w:r>
    </w:p>
    <w:p>
      <w:pPr>
        <w:ind w:firstLine="420"/>
        <w:rPr>
          <w:rFonts w:hint="eastAsia" w:ascii="仿宋" w:hAnsi="仿宋" w:eastAsia="仿宋" w:cs="仿宋"/>
          <w:color w:val="auto"/>
          <w:highlight w:val="none"/>
        </w:rPr>
      </w:pPr>
    </w:p>
    <w:bookmarkEnd w:id="395"/>
    <w:bookmarkEnd w:id="396"/>
    <w:bookmarkEnd w:id="397"/>
    <w:bookmarkEnd w:id="398"/>
    <w:bookmarkEnd w:id="399"/>
    <w:p>
      <w:pPr>
        <w:widowControl/>
        <w:adjustRightInd/>
        <w:jc w:val="left"/>
        <w:rPr>
          <w:rFonts w:ascii="仿宋" w:hAnsi="仿宋" w:eastAsia="仿宋"/>
          <w:color w:val="auto"/>
          <w:highlight w:val="none"/>
        </w:rPr>
      </w:pPr>
      <w:r>
        <w:rPr>
          <w:rFonts w:ascii="仿宋" w:hAnsi="仿宋" w:eastAsia="仿宋"/>
          <w:color w:val="auto"/>
          <w:highlight w:val="none"/>
        </w:rPr>
        <w:br w:type="page"/>
      </w:r>
    </w:p>
    <w:p>
      <w:pPr>
        <w:jc w:val="left"/>
        <w:rPr>
          <w:rFonts w:ascii="仿宋" w:hAnsi="仿宋" w:eastAsia="仿宋"/>
          <w:color w:val="auto"/>
          <w:highlight w:val="none"/>
        </w:rPr>
      </w:pPr>
    </w:p>
    <w:p>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hint="eastAsia" w:ascii="仿宋" w:hAnsi="仿宋" w:eastAsia="仿宋"/>
          <w:b/>
          <w:bCs/>
          <w:color w:val="auto"/>
          <w:highlight w:val="none"/>
          <w:lang w:val="en-US" w:eastAsia="zh-CN"/>
        </w:rPr>
        <w:t>3</w:t>
      </w:r>
      <w:r>
        <w:rPr>
          <w:rFonts w:hint="eastAsia" w:ascii="仿宋" w:hAnsi="仿宋" w:eastAsia="仿宋"/>
          <w:b/>
          <w:bCs/>
          <w:color w:val="auto"/>
          <w:highlight w:val="none"/>
        </w:rPr>
        <w:t>：履约承诺书</w:t>
      </w:r>
    </w:p>
    <w:p>
      <w:pPr>
        <w:ind w:firstLine="420"/>
        <w:jc w:val="left"/>
        <w:rPr>
          <w:rFonts w:ascii="仿宋" w:hAnsi="仿宋" w:eastAsia="仿宋"/>
          <w:color w:val="auto"/>
          <w:highlight w:val="none"/>
        </w:rPr>
      </w:pPr>
    </w:p>
    <w:p>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浙江科技学院</w:t>
      </w:r>
      <w:r>
        <w:rPr>
          <w:rFonts w:hint="eastAsia" w:ascii="仿宋" w:hAnsi="仿宋" w:eastAsia="仿宋"/>
          <w:color w:val="auto"/>
          <w:sz w:val="24"/>
          <w:highlight w:val="none"/>
        </w:rPr>
        <w:t>：</w:t>
      </w:r>
    </w:p>
    <w:p>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pPr>
        <w:pStyle w:val="24"/>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pPr>
        <w:spacing w:line="360" w:lineRule="auto"/>
        <w:ind w:firstLine="3000" w:firstLineChars="1250"/>
        <w:rPr>
          <w:rFonts w:ascii="仿宋" w:hAnsi="仿宋" w:eastAsia="仿宋"/>
          <w:color w:val="auto"/>
          <w:sz w:val="24"/>
          <w:highlight w:val="none"/>
        </w:rPr>
      </w:pPr>
    </w:p>
    <w:p>
      <w:pPr>
        <w:spacing w:line="360" w:lineRule="auto"/>
        <w:ind w:firstLine="3000" w:firstLineChars="1250"/>
        <w:rPr>
          <w:rFonts w:ascii="仿宋" w:hAnsi="仿宋" w:eastAsia="仿宋"/>
          <w:color w:val="auto"/>
          <w:sz w:val="24"/>
          <w:highlight w:val="none"/>
        </w:rPr>
      </w:pPr>
    </w:p>
    <w:p>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pPr>
        <w:ind w:firstLine="420"/>
        <w:jc w:val="left"/>
        <w:rPr>
          <w:rFonts w:ascii="仿宋" w:hAnsi="仿宋" w:eastAsia="仿宋"/>
          <w:color w:val="auto"/>
          <w:highlight w:val="none"/>
        </w:rPr>
      </w:pPr>
    </w:p>
    <w:p>
      <w:pPr>
        <w:widowControl/>
        <w:adjustRightInd/>
        <w:jc w:val="left"/>
        <w:rPr>
          <w:color w:val="auto"/>
          <w:highlight w:val="none"/>
        </w:rPr>
      </w:pPr>
      <w:r>
        <w:rPr>
          <w:color w:val="auto"/>
          <w:highlight w:val="none"/>
        </w:rPr>
        <w:br w:type="page"/>
      </w:r>
    </w:p>
    <w:p>
      <w:pPr>
        <w:rPr>
          <w:color w:val="auto"/>
          <w:highlight w:val="none"/>
        </w:rPr>
      </w:pPr>
    </w:p>
    <w:p>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394"/>
      <w:r>
        <w:rPr>
          <w:rFonts w:hint="eastAsia" w:ascii="仿宋" w:hAnsi="仿宋" w:eastAsia="仿宋" w:cs="仿宋_GB2312"/>
          <w:b/>
          <w:color w:val="auto"/>
          <w:sz w:val="36"/>
          <w:szCs w:val="20"/>
          <w:highlight w:val="none"/>
        </w:rPr>
        <w:t>应提交的有关格式范例</w:t>
      </w:r>
    </w:p>
    <w:p>
      <w:pPr>
        <w:rPr>
          <w:color w:val="auto"/>
          <w:highlight w:val="none"/>
        </w:rPr>
      </w:pPr>
    </w:p>
    <w:p>
      <w:pPr>
        <w:pStyle w:val="19"/>
        <w:ind w:firstLine="480"/>
        <w:rPr>
          <w:color w:val="auto"/>
          <w:highlight w:val="none"/>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spacing w:line="360" w:lineRule="auto"/>
        <w:jc w:val="center"/>
        <w:rPr>
          <w:rFonts w:ascii="仿宋" w:hAnsi="仿宋" w:eastAsia="仿宋" w:cs="仿宋"/>
          <w:b/>
          <w:color w:val="auto"/>
          <w:kern w:val="0"/>
          <w:sz w:val="36"/>
          <w:szCs w:val="36"/>
          <w:highlight w:val="none"/>
        </w:rPr>
      </w:pP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pPr>
        <w:snapToGrid w:val="0"/>
        <w:spacing w:line="360" w:lineRule="auto"/>
        <w:ind w:firstLine="480" w:firstLineChars="200"/>
        <w:rPr>
          <w:rFonts w:ascii="仿宋" w:hAnsi="仿宋" w:eastAsia="仿宋" w:cs="宋体"/>
          <w:color w:val="auto"/>
          <w:sz w:val="24"/>
          <w:highlight w:val="none"/>
        </w:rPr>
      </w:pPr>
    </w:p>
    <w:p>
      <w:pPr>
        <w:spacing w:line="360" w:lineRule="auto"/>
        <w:ind w:firstLine="480" w:firstLineChars="200"/>
        <w:rPr>
          <w:rFonts w:ascii="仿宋" w:hAnsi="仿宋" w:eastAsia="仿宋" w:cs="宋体"/>
          <w:color w:val="auto"/>
          <w:sz w:val="24"/>
          <w:highlight w:val="none"/>
        </w:rPr>
      </w:pPr>
    </w:p>
    <w:p>
      <w:pPr>
        <w:snapToGrid w:val="0"/>
        <w:spacing w:line="360" w:lineRule="auto"/>
        <w:ind w:right="480"/>
        <w:jc w:val="cente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rPr>
          <w:rFonts w:ascii="仿宋" w:hAnsi="仿宋" w:eastAsia="仿宋" w:cs="宋体"/>
          <w:color w:val="auto"/>
          <w:kern w:val="0"/>
          <w:sz w:val="24"/>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left"/>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rPr>
        <w:t>浙江科技学院、浙江华耀建设咨询有限公司：</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ZJHY-KJDX2024005</w:t>
      </w:r>
      <w:r>
        <w:rPr>
          <w:rFonts w:hint="eastAsia" w:ascii="仿宋" w:hAnsi="仿宋" w:eastAsia="仿宋" w:cs="宋体"/>
          <w:color w:val="auto"/>
          <w:sz w:val="24"/>
          <w:highlight w:val="none"/>
        </w:rPr>
        <w:t>】政府采购活动，郑重承诺：</w:t>
      </w:r>
    </w:p>
    <w:p>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pPr>
        <w:pStyle w:val="19"/>
        <w:ind w:firstLine="480"/>
        <w:rPr>
          <w:color w:val="auto"/>
          <w:highlight w:val="none"/>
        </w:rPr>
      </w:pPr>
    </w:p>
    <w:p>
      <w:pPr>
        <w:pStyle w:val="19"/>
        <w:ind w:firstLine="480"/>
        <w:rPr>
          <w:color w:val="auto"/>
          <w:highlight w:val="none"/>
        </w:rPr>
      </w:pPr>
    </w:p>
    <w:p>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pPr>
        <w:pStyle w:val="19"/>
        <w:ind w:firstLine="480"/>
        <w:rPr>
          <w:color w:val="auto"/>
          <w:highlight w:val="none"/>
          <w:lang w:val="zh-CN"/>
        </w:rPr>
      </w:pPr>
    </w:p>
    <w:p>
      <w:pPr>
        <w:widowControl/>
        <w:adjustRightInd/>
        <w:jc w:val="left"/>
        <w:rPr>
          <w:rFonts w:eastAsia="等线"/>
          <w:color w:val="auto"/>
          <w:sz w:val="24"/>
          <w:szCs w:val="21"/>
          <w:highlight w:val="none"/>
          <w:lang w:val="zh-CN"/>
        </w:rPr>
      </w:pPr>
      <w:r>
        <w:rPr>
          <w:color w:val="auto"/>
          <w:highlight w:val="none"/>
          <w:lang w:val="zh-CN"/>
        </w:rPr>
        <w:br w:type="page"/>
      </w:r>
    </w:p>
    <w:p>
      <w:pPr>
        <w:pStyle w:val="19"/>
        <w:ind w:firstLine="480"/>
        <w:rPr>
          <w:color w:val="auto"/>
          <w:highlight w:val="none"/>
          <w:lang w:val="zh-CN"/>
        </w:rPr>
      </w:pPr>
    </w:p>
    <w:p>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pPr>
        <w:widowControl/>
        <w:spacing w:line="360" w:lineRule="auto"/>
        <w:ind w:firstLine="480"/>
        <w:jc w:val="left"/>
        <w:rPr>
          <w:rFonts w:ascii="仿宋" w:hAnsi="仿宋" w:eastAsia="仿宋" w:cs="宋体"/>
          <w:color w:val="auto"/>
          <w:sz w:val="24"/>
          <w:highlight w:val="none"/>
        </w:rPr>
      </w:pPr>
    </w:p>
    <w:p>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pPr>
        <w:snapToGrid w:val="0"/>
        <w:spacing w:before="50" w:after="50" w:line="360" w:lineRule="auto"/>
        <w:jc w:val="center"/>
        <w:rPr>
          <w:rFonts w:ascii="仿宋" w:hAnsi="仿宋" w:eastAsia="仿宋" w:cs="宋体"/>
          <w:color w:val="auto"/>
          <w:sz w:val="24"/>
          <w:highlight w:val="none"/>
        </w:rPr>
      </w:pPr>
    </w:p>
    <w:p>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pPr>
        <w:widowControl/>
        <w:spacing w:line="360" w:lineRule="auto"/>
        <w:ind w:left="150"/>
        <w:jc w:val="center"/>
        <w:rPr>
          <w:rFonts w:ascii="仿宋" w:hAnsi="仿宋" w:eastAsia="仿宋" w:cs="宋体"/>
          <w:b/>
          <w:color w:val="auto"/>
          <w:kern w:val="0"/>
          <w:sz w:val="32"/>
          <w:szCs w:val="32"/>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pPr>
        <w:rPr>
          <w:rFonts w:ascii="仿宋" w:hAnsi="仿宋" w:eastAsia="仿宋" w:cs="宋体"/>
          <w:color w:val="auto"/>
          <w:highlight w:val="none"/>
        </w:rPr>
      </w:pPr>
    </w:p>
    <w:p>
      <w:pPr>
        <w:widowControl/>
        <w:adjustRightInd/>
        <w:jc w:val="left"/>
        <w:rPr>
          <w:color w:val="auto"/>
          <w:highlight w:val="none"/>
        </w:rPr>
      </w:pPr>
      <w:r>
        <w:rPr>
          <w:color w:val="auto"/>
          <w:highlight w:val="none"/>
        </w:rPr>
        <w:br w:type="page"/>
      </w:r>
    </w:p>
    <w:p>
      <w:pPr>
        <w:rPr>
          <w:color w:val="auto"/>
          <w:highlight w:val="none"/>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pPr>
        <w:widowControl/>
        <w:adjustRightInd/>
        <w:jc w:val="left"/>
        <w:rPr>
          <w:color w:val="auto"/>
          <w:highlight w:val="none"/>
        </w:rPr>
      </w:pPr>
      <w:r>
        <w:rPr>
          <w:color w:val="auto"/>
          <w:highlight w:val="none"/>
        </w:rPr>
        <w:br w:type="page"/>
      </w:r>
    </w:p>
    <w:p>
      <w:pPr>
        <w:rPr>
          <w:color w:val="auto"/>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浙江科技学院、浙江华耀建设咨询有限公司：</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】采购的有关活动，并对此项目提交响应文件及报价。为此：</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3、我方承诺除商务技术偏离表列出的偏离外，我方响应采购文件的全部要求。对响应文件中材料的真实性、合法性负责。</w:t>
      </w:r>
    </w:p>
    <w:p>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pPr>
        <w:pStyle w:val="19"/>
        <w:ind w:firstLine="480"/>
        <w:rPr>
          <w:color w:val="auto"/>
          <w:highlight w:val="none"/>
        </w:rPr>
      </w:pPr>
    </w:p>
    <w:p>
      <w:pPr>
        <w:pStyle w:val="19"/>
        <w:ind w:firstLine="480"/>
        <w:rPr>
          <w:color w:val="auto"/>
          <w:highlight w:val="none"/>
        </w:rPr>
      </w:pPr>
    </w:p>
    <w:p>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pPr>
        <w:pStyle w:val="19"/>
        <w:ind w:firstLine="480"/>
        <w:rPr>
          <w:color w:val="auto"/>
          <w:highlight w:val="none"/>
        </w:rPr>
      </w:pPr>
    </w:p>
    <w:p>
      <w:pPr>
        <w:snapToGrid w:val="0"/>
        <w:spacing w:line="360" w:lineRule="auto"/>
        <w:ind w:left="420" w:leftChars="200" w:firstLine="4200" w:firstLineChars="1750"/>
        <w:rPr>
          <w:rFonts w:ascii="仿宋" w:hAnsi="仿宋" w:eastAsia="仿宋" w:cs="宋体"/>
          <w:color w:val="auto"/>
          <w:kern w:val="0"/>
          <w:sz w:val="24"/>
          <w:highlight w:val="none"/>
          <w:u w:val="singl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snapToGrid w:val="0"/>
        <w:spacing w:line="360" w:lineRule="auto"/>
        <w:jc w:val="center"/>
        <w:rPr>
          <w:rFonts w:ascii="仿宋" w:hAnsi="仿宋" w:eastAsia="仿宋" w:cs="宋体"/>
          <w:b/>
          <w:color w:val="auto"/>
          <w:kern w:val="0"/>
          <w:sz w:val="32"/>
          <w:szCs w:val="32"/>
          <w:highlight w:val="none"/>
        </w:rPr>
      </w:pPr>
    </w:p>
    <w:p>
      <w:pPr>
        <w:snapToGrid w:val="0"/>
        <w:spacing w:line="360" w:lineRule="auto"/>
        <w:rPr>
          <w:rFonts w:ascii="仿宋" w:hAnsi="仿宋" w:eastAsia="仿宋" w:cs="宋体"/>
          <w:color w:val="auto"/>
          <w:sz w:val="24"/>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pPr>
        <w:snapToGrid w:val="0"/>
        <w:spacing w:line="360" w:lineRule="auto"/>
        <w:rPr>
          <w:rFonts w:ascii="仿宋" w:hAnsi="仿宋" w:eastAsia="仿宋" w:cs="宋体"/>
          <w:color w:val="auto"/>
          <w:sz w:val="24"/>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pPr>
        <w:pStyle w:val="19"/>
        <w:ind w:firstLine="480"/>
        <w:rPr>
          <w:color w:val="auto"/>
          <w:highlight w:val="none"/>
          <w:lang w:val="zh-CN"/>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sz w:val="24"/>
          <w:highlight w:val="none"/>
        </w:rPr>
      </w:pPr>
    </w:p>
    <w:p>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pPr>
        <w:rPr>
          <w:rFonts w:ascii="仿宋" w:hAnsi="仿宋" w:eastAsia="仿宋" w:cs="宋体"/>
          <w:color w:val="auto"/>
          <w:highlight w:val="none"/>
        </w:rPr>
      </w:pPr>
    </w:p>
    <w:p>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pPr>
        <w:snapToGrid w:val="0"/>
        <w:jc w:val="center"/>
        <w:rPr>
          <w:rFonts w:ascii="仿宋" w:hAnsi="仿宋" w:eastAsia="仿宋" w:cs="宋体"/>
          <w:b/>
          <w:bCs/>
          <w:color w:val="auto"/>
          <w:sz w:val="32"/>
          <w:szCs w:val="32"/>
          <w:highlight w:val="none"/>
          <w:lang w:val="zh-CN"/>
        </w:rPr>
      </w:pPr>
    </w:p>
    <w:p>
      <w:pPr>
        <w:snapToGrid w:val="0"/>
        <w:jc w:val="center"/>
        <w:rPr>
          <w:rFonts w:ascii="仿宋" w:hAnsi="仿宋" w:eastAsia="仿宋" w:cs="宋体"/>
          <w:b/>
          <w:bCs/>
          <w:color w:val="auto"/>
          <w:sz w:val="32"/>
          <w:szCs w:val="32"/>
          <w:highlight w:val="none"/>
          <w:lang w:val="zh-CN"/>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pPr>
        <w:pStyle w:val="25"/>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4"/>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25"/>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pPr>
              <w:pStyle w:val="25"/>
              <w:adjustRightInd w:val="0"/>
              <w:spacing w:line="360" w:lineRule="auto"/>
              <w:rPr>
                <w:rFonts w:ascii="仿宋" w:hAnsi="仿宋" w:eastAsia="仿宋" w:cs="宋体"/>
                <w:bCs/>
                <w:color w:val="auto"/>
                <w:sz w:val="24"/>
                <w:highlight w:val="none"/>
              </w:rPr>
            </w:pPr>
          </w:p>
        </w:tc>
      </w:tr>
    </w:tbl>
    <w:p>
      <w:pPr>
        <w:snapToGrid w:val="0"/>
        <w:spacing w:line="360" w:lineRule="auto"/>
        <w:ind w:firstLine="576"/>
        <w:jc w:val="center"/>
        <w:rPr>
          <w:rFonts w:ascii="仿宋" w:hAnsi="仿宋" w:eastAsia="仿宋" w:cs="宋体"/>
          <w:color w:val="auto"/>
          <w:kern w:val="0"/>
          <w:sz w:val="24"/>
          <w:highlight w:val="none"/>
          <w:lang w:val="zh-CN"/>
        </w:rPr>
      </w:pPr>
    </w:p>
    <w:p>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pPr>
        <w:widowControl/>
        <w:spacing w:line="360" w:lineRule="auto"/>
        <w:ind w:firstLine="120" w:firstLineChars="50"/>
        <w:jc w:val="left"/>
        <w:rPr>
          <w:rFonts w:ascii="仿宋" w:hAnsi="仿宋" w:eastAsia="仿宋" w:cs="宋体"/>
          <w:color w:val="auto"/>
          <w:sz w:val="24"/>
          <w:highlight w:val="none"/>
        </w:rPr>
      </w:pPr>
      <w:bookmarkStart w:id="404"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404"/>
    <w:p>
      <w:pPr>
        <w:snapToGrid w:val="0"/>
        <w:spacing w:line="360" w:lineRule="auto"/>
        <w:rPr>
          <w:rFonts w:ascii="仿宋" w:hAnsi="仿宋" w:eastAsia="仿宋" w:cs="宋体"/>
          <w:color w:val="auto"/>
          <w:kern w:val="0"/>
          <w:sz w:val="24"/>
          <w:highlight w:val="none"/>
        </w:rPr>
      </w:pPr>
    </w:p>
    <w:p>
      <w:pPr>
        <w:pStyle w:val="19"/>
        <w:ind w:firstLine="480"/>
        <w:rPr>
          <w:color w:val="auto"/>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pPr>
        <w:jc w:val="center"/>
        <w:rPr>
          <w:rFonts w:ascii="仿宋" w:hAnsi="仿宋" w:eastAsia="仿宋" w:cs="宋体"/>
          <w:b/>
          <w:color w:val="auto"/>
          <w:kern w:val="0"/>
          <w:sz w:val="32"/>
          <w:szCs w:val="32"/>
          <w:highlight w:val="none"/>
        </w:rPr>
      </w:pPr>
    </w:p>
    <w:tbl>
      <w:tblPr>
        <w:tblStyle w:val="1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4991"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实质性要求</w:t>
            </w:r>
          </w:p>
        </w:tc>
        <w:tc>
          <w:tcPr>
            <w:tcW w:w="2551"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需要提供的符合性审查资料</w:t>
            </w:r>
          </w:p>
        </w:tc>
        <w:tc>
          <w:tcPr>
            <w:tcW w:w="1418" w:type="dxa"/>
            <w:vAlign w:val="center"/>
          </w:tcPr>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响应文件中的</w:t>
            </w:r>
          </w:p>
          <w:p>
            <w:pPr>
              <w:snapToGrid w:val="0"/>
              <w:spacing w:line="240" w:lineRule="atLeast"/>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响应文件按照采购文件要求签署、盖章。</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需要使用电子签名或者签字盖章的响应文件的组成部分</w:t>
            </w:r>
          </w:p>
        </w:tc>
        <w:tc>
          <w:tcPr>
            <w:tcW w:w="1418"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见响应文件</w:t>
            </w:r>
          </w:p>
          <w:p>
            <w:pPr>
              <w:rPr>
                <w:rFonts w:ascii="仿宋" w:hAnsi="仿宋" w:eastAsia="仿宋" w:cs="宋体"/>
                <w:color w:val="auto"/>
                <w:highlight w:val="none"/>
              </w:rPr>
            </w:pPr>
            <w:r>
              <w:rPr>
                <w:rFonts w:hint="eastAsia" w:ascii="仿宋" w:hAnsi="仿宋" w:eastAsia="仿宋" w:cs="宋体"/>
                <w:color w:val="auto"/>
                <w:sz w:val="24"/>
                <w:highlight w:val="none"/>
              </w:rPr>
              <w:t>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节能产品认证证书（本项目拟采购的产品不属于政府强制采购的节能产品品目清单范围的，无需提供）</w:t>
            </w:r>
          </w:p>
        </w:tc>
        <w:tc>
          <w:tcPr>
            <w:tcW w:w="1418"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见响应文件</w:t>
            </w:r>
          </w:p>
          <w:p>
            <w:pPr>
              <w:pStyle w:val="2"/>
              <w:jc w:val="both"/>
              <w:rPr>
                <w:rFonts w:ascii="仿宋" w:eastAsia="仿宋" w:cs="宋体"/>
                <w:color w:val="auto"/>
                <w:highlight w:val="none"/>
                <w:lang w:val="en-US"/>
              </w:rPr>
            </w:pPr>
            <w:r>
              <w:rPr>
                <w:rFonts w:hint="eastAsia" w:ascii="仿宋" w:eastAsia="仿宋" w:cs="宋体"/>
                <w:b w:val="0"/>
                <w:bCs w:val="0"/>
                <w:color w:val="auto"/>
                <w:sz w:val="24"/>
                <w:szCs w:val="24"/>
                <w:highlight w:val="none"/>
                <w:lang w:val="en-US"/>
              </w:rPr>
              <w:t>第</w:t>
            </w:r>
            <w:r>
              <w:rPr>
                <w:rFonts w:hint="eastAsia" w:ascii="仿宋" w:eastAsia="仿宋" w:cs="宋体"/>
                <w:b w:val="0"/>
                <w:bCs w:val="0"/>
                <w:color w:val="auto"/>
                <w:sz w:val="24"/>
                <w:szCs w:val="24"/>
                <w:highlight w:val="none"/>
                <w:u w:val="single"/>
                <w:lang w:val="en-US"/>
              </w:rPr>
              <w:t xml:space="preserve"> </w:t>
            </w:r>
            <w:r>
              <w:rPr>
                <w:rFonts w:ascii="仿宋" w:eastAsia="仿宋" w:cs="宋体"/>
                <w:b w:val="0"/>
                <w:bCs w:val="0"/>
                <w:color w:val="auto"/>
                <w:sz w:val="24"/>
                <w:szCs w:val="24"/>
                <w:highlight w:val="none"/>
                <w:u w:val="single"/>
                <w:lang w:val="en-US"/>
              </w:rPr>
              <w:t xml:space="preserve">  </w:t>
            </w:r>
            <w:r>
              <w:rPr>
                <w:rFonts w:hint="eastAsia" w:ascii="仿宋" w:eastAsia="仿宋" w:cs="宋体"/>
                <w:b w:val="0"/>
                <w:bCs w:val="0"/>
                <w:color w:val="auto"/>
                <w:sz w:val="24"/>
                <w:szCs w:val="24"/>
                <w:highlight w:val="none"/>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响应文件中承诺的响应文件有效期不少于采购文件中载明的响应文件有效期。</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响应函</w:t>
            </w:r>
          </w:p>
        </w:tc>
        <w:tc>
          <w:tcPr>
            <w:tcW w:w="1418" w:type="dxa"/>
            <w:vAlign w:val="center"/>
          </w:tcPr>
          <w:p>
            <w:pPr>
              <w:rPr>
                <w:rFonts w:ascii="仿宋" w:hAnsi="仿宋" w:eastAsia="仿宋" w:cs="宋体"/>
                <w:color w:val="auto"/>
                <w:highlight w:val="none"/>
              </w:rPr>
            </w:pPr>
            <w:r>
              <w:rPr>
                <w:rFonts w:hint="eastAsia" w:ascii="仿宋" w:hAnsi="仿宋" w:eastAsia="仿宋" w:cs="宋体"/>
                <w:color w:val="auto"/>
                <w:sz w:val="24"/>
                <w:highlight w:val="none"/>
              </w:rPr>
              <w:t>见响应文件第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4991" w:type="dxa"/>
            <w:vAlign w:val="center"/>
          </w:tcPr>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响应文件满足采购文件的其它实质性要求。</w:t>
            </w:r>
          </w:p>
        </w:tc>
        <w:tc>
          <w:tcPr>
            <w:tcW w:w="2551" w:type="dxa"/>
            <w:vAlign w:val="center"/>
          </w:tcPr>
          <w:p>
            <w:pPr>
              <w:rPr>
                <w:rFonts w:ascii="仿宋" w:hAnsi="仿宋" w:eastAsia="仿宋" w:cs="宋体"/>
                <w:color w:val="auto"/>
                <w:sz w:val="24"/>
                <w:highlight w:val="none"/>
              </w:rPr>
            </w:pPr>
            <w:r>
              <w:rPr>
                <w:rFonts w:hint="eastAsia" w:ascii="仿宋" w:hAnsi="仿宋" w:eastAsia="仿宋" w:cs="宋体"/>
                <w:color w:val="auto"/>
                <w:kern w:val="0"/>
                <w:sz w:val="24"/>
                <w:highlight w:val="none"/>
              </w:rPr>
              <w:t>采购文件其它实质性要求相应的材料（“▲” 系指实质性要求条款，采购文件无其它实质性要求的，无需提供）</w:t>
            </w:r>
          </w:p>
        </w:tc>
        <w:tc>
          <w:tcPr>
            <w:tcW w:w="1418" w:type="dxa"/>
            <w:vAlign w:val="center"/>
          </w:tcPr>
          <w:p>
            <w:pPr>
              <w:rPr>
                <w:rFonts w:ascii="仿宋" w:hAnsi="仿宋" w:eastAsia="仿宋" w:cs="宋体"/>
                <w:color w:val="auto"/>
                <w:highlight w:val="none"/>
              </w:rPr>
            </w:pPr>
            <w:r>
              <w:rPr>
                <w:rFonts w:hint="eastAsia" w:ascii="仿宋" w:hAnsi="仿宋" w:eastAsia="仿宋" w:cs="宋体"/>
                <w:color w:val="auto"/>
                <w:sz w:val="24"/>
                <w:highlight w:val="none"/>
              </w:rPr>
              <w:t>见响应文件第</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页</w:t>
            </w:r>
          </w:p>
        </w:tc>
      </w:tr>
    </w:tbl>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widowControl/>
        <w:tabs>
          <w:tab w:val="center" w:pos="4755"/>
          <w:tab w:val="right" w:pos="9070"/>
        </w:tabs>
        <w:spacing w:line="276" w:lineRule="auto"/>
        <w:jc w:val="left"/>
        <w:rPr>
          <w:rFonts w:ascii="仿宋" w:hAnsi="仿宋" w:eastAsia="仿宋" w:cs="Arial"/>
          <w:b/>
          <w:color w:val="auto"/>
          <w:sz w:val="32"/>
          <w:szCs w:val="32"/>
          <w:highlight w:val="none"/>
        </w:rPr>
      </w:pPr>
    </w:p>
    <w:p>
      <w:pPr>
        <w:widowControl/>
        <w:tabs>
          <w:tab w:val="center" w:pos="4755"/>
          <w:tab w:val="right" w:pos="9070"/>
        </w:tabs>
        <w:spacing w:line="276" w:lineRule="auto"/>
        <w:jc w:val="center"/>
        <w:rPr>
          <w:rFonts w:ascii="仿宋" w:hAnsi="仿宋" w:eastAsia="仿宋" w:cs="Arial"/>
          <w:color w:val="auto"/>
          <w:szCs w:val="21"/>
          <w:highlight w:val="none"/>
        </w:rPr>
      </w:pPr>
    </w:p>
    <w:p>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pPr>
              <w:pStyle w:val="27"/>
              <w:spacing w:line="276" w:lineRule="auto"/>
              <w:jc w:val="center"/>
              <w:rPr>
                <w:rFonts w:ascii="仿宋" w:hAnsi="仿宋" w:eastAsia="仿宋" w:cs="Arial"/>
                <w:color w:val="auto"/>
                <w:highlight w:val="none"/>
              </w:rPr>
            </w:pPr>
          </w:p>
        </w:tc>
        <w:tc>
          <w:tcPr>
            <w:tcW w:w="945"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pPr>
              <w:pStyle w:val="27"/>
              <w:spacing w:line="276" w:lineRule="auto"/>
              <w:jc w:val="center"/>
              <w:rPr>
                <w:rFonts w:ascii="仿宋" w:hAnsi="仿宋" w:eastAsia="仿宋" w:cs="Arial"/>
                <w:color w:val="auto"/>
                <w:highlight w:val="none"/>
              </w:rPr>
            </w:pPr>
          </w:p>
        </w:tc>
        <w:tc>
          <w:tcPr>
            <w:tcW w:w="2025"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pPr>
              <w:pStyle w:val="27"/>
              <w:spacing w:line="276" w:lineRule="auto"/>
              <w:jc w:val="center"/>
              <w:rPr>
                <w:rFonts w:ascii="仿宋" w:hAnsi="仿宋" w:eastAsia="仿宋" w:cs="Arial"/>
                <w:color w:val="auto"/>
                <w:highlight w:val="none"/>
              </w:rPr>
            </w:pPr>
          </w:p>
        </w:tc>
        <w:tc>
          <w:tcPr>
            <w:tcW w:w="3321" w:type="dxa"/>
            <w:gridSpan w:val="3"/>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tc>
        <w:tc>
          <w:tcPr>
            <w:tcW w:w="8646" w:type="dxa"/>
            <w:gridSpan w:val="7"/>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pPr>
              <w:pStyle w:val="27"/>
              <w:spacing w:line="276" w:lineRule="auto"/>
              <w:jc w:val="center"/>
              <w:rPr>
                <w:rFonts w:ascii="仿宋" w:hAnsi="仿宋" w:eastAsia="仿宋" w:cs="Arial"/>
                <w:color w:val="auto"/>
                <w:highlight w:val="none"/>
              </w:rPr>
            </w:pPr>
          </w:p>
        </w:tc>
      </w:tr>
    </w:tbl>
    <w:p>
      <w:pPr>
        <w:widowControl/>
        <w:tabs>
          <w:tab w:val="center" w:pos="4755"/>
          <w:tab w:val="right" w:pos="9070"/>
        </w:tabs>
        <w:spacing w:line="276" w:lineRule="auto"/>
        <w:jc w:val="left"/>
        <w:rPr>
          <w:rFonts w:ascii="仿宋" w:hAnsi="仿宋" w:eastAsia="仿宋" w:cs="Arial"/>
          <w:color w:val="auto"/>
          <w:szCs w:val="21"/>
          <w:highlight w:val="none"/>
        </w:rPr>
      </w:pPr>
    </w:p>
    <w:p>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pPr>
        <w:widowControl/>
        <w:tabs>
          <w:tab w:val="center" w:pos="4755"/>
          <w:tab w:val="right" w:pos="9070"/>
        </w:tabs>
        <w:spacing w:line="276" w:lineRule="auto"/>
        <w:jc w:val="center"/>
        <w:rPr>
          <w:rFonts w:ascii="仿宋" w:hAnsi="仿宋" w:eastAsia="仿宋" w:cs="Arial"/>
          <w:color w:val="auto"/>
          <w:szCs w:val="21"/>
          <w:highlight w:val="none"/>
        </w:rPr>
      </w:pPr>
    </w:p>
    <w:p>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pPr>
              <w:pStyle w:val="27"/>
              <w:spacing w:line="276" w:lineRule="auto"/>
              <w:jc w:val="center"/>
              <w:rPr>
                <w:rFonts w:ascii="仿宋" w:hAnsi="仿宋" w:eastAsia="仿宋" w:cs="Arial"/>
                <w:color w:val="auto"/>
                <w:highlight w:val="none"/>
              </w:rPr>
            </w:pPr>
          </w:p>
        </w:tc>
        <w:tc>
          <w:tcPr>
            <w:tcW w:w="945"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pPr>
              <w:pStyle w:val="27"/>
              <w:spacing w:line="276" w:lineRule="auto"/>
              <w:jc w:val="center"/>
              <w:rPr>
                <w:rFonts w:ascii="仿宋" w:hAnsi="仿宋" w:eastAsia="仿宋" w:cs="Arial"/>
                <w:color w:val="auto"/>
                <w:highlight w:val="none"/>
              </w:rPr>
            </w:pPr>
          </w:p>
        </w:tc>
        <w:tc>
          <w:tcPr>
            <w:tcW w:w="2025"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pPr>
              <w:pStyle w:val="27"/>
              <w:spacing w:line="276" w:lineRule="auto"/>
              <w:jc w:val="center"/>
              <w:rPr>
                <w:rFonts w:ascii="仿宋" w:hAnsi="仿宋" w:eastAsia="仿宋" w:cs="Arial"/>
                <w:color w:val="auto"/>
                <w:highlight w:val="none"/>
              </w:rPr>
            </w:pPr>
          </w:p>
        </w:tc>
        <w:tc>
          <w:tcPr>
            <w:tcW w:w="891"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pPr>
              <w:pStyle w:val="27"/>
              <w:spacing w:line="276" w:lineRule="auto"/>
              <w:jc w:val="center"/>
              <w:rPr>
                <w:rFonts w:ascii="仿宋" w:hAnsi="仿宋" w:eastAsia="仿宋" w:cs="Arial"/>
                <w:color w:val="auto"/>
                <w:highlight w:val="none"/>
              </w:rPr>
            </w:pPr>
          </w:p>
        </w:tc>
        <w:tc>
          <w:tcPr>
            <w:tcW w:w="3321" w:type="dxa"/>
            <w:gridSpan w:val="3"/>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p>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pPr>
              <w:pStyle w:val="27"/>
              <w:spacing w:line="276" w:lineRule="auto"/>
              <w:rPr>
                <w:rFonts w:ascii="仿宋" w:hAnsi="仿宋" w:eastAsia="仿宋" w:cs="Arial"/>
                <w:color w:val="auto"/>
                <w:highlight w:val="none"/>
              </w:rPr>
            </w:pPr>
          </w:p>
        </w:tc>
        <w:tc>
          <w:tcPr>
            <w:tcW w:w="8646" w:type="dxa"/>
            <w:gridSpan w:val="7"/>
            <w:vAlign w:val="center"/>
          </w:tcPr>
          <w:p>
            <w:pPr>
              <w:pStyle w:val="27"/>
              <w:spacing w:line="276"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pPr>
              <w:pStyle w:val="27"/>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pPr>
              <w:pStyle w:val="27"/>
              <w:spacing w:line="276" w:lineRule="auto"/>
              <w:jc w:val="center"/>
              <w:rPr>
                <w:rFonts w:ascii="仿宋" w:hAnsi="仿宋" w:eastAsia="仿宋" w:cs="Arial"/>
                <w:color w:val="auto"/>
                <w:highlight w:val="none"/>
              </w:rPr>
            </w:pPr>
          </w:p>
        </w:tc>
      </w:tr>
    </w:tbl>
    <w:p>
      <w:pPr>
        <w:widowControl/>
        <w:tabs>
          <w:tab w:val="center" w:pos="4755"/>
          <w:tab w:val="right" w:pos="9070"/>
        </w:tabs>
        <w:spacing w:line="276" w:lineRule="auto"/>
        <w:jc w:val="left"/>
        <w:rPr>
          <w:rFonts w:ascii="仿宋" w:hAnsi="仿宋" w:eastAsia="仿宋" w:cs="Arial"/>
          <w:b/>
          <w:color w:val="auto"/>
          <w:sz w:val="32"/>
          <w:szCs w:val="32"/>
          <w:highlight w:val="none"/>
        </w:rPr>
      </w:pPr>
    </w:p>
    <w:p>
      <w:pPr>
        <w:pStyle w:val="19"/>
        <w:ind w:firstLine="480"/>
        <w:rPr>
          <w:color w:val="auto"/>
          <w:highlight w:val="none"/>
        </w:rPr>
      </w:pPr>
      <w:r>
        <w:rPr>
          <w:color w:val="auto"/>
          <w:highlight w:val="none"/>
        </w:rPr>
        <w:br w:type="page"/>
      </w:r>
    </w:p>
    <w:p>
      <w:pPr>
        <w:widowControl/>
        <w:tabs>
          <w:tab w:val="center" w:pos="4755"/>
          <w:tab w:val="right" w:pos="9070"/>
        </w:tabs>
        <w:spacing w:line="276" w:lineRule="auto"/>
        <w:jc w:val="left"/>
        <w:rPr>
          <w:rFonts w:ascii="仿宋" w:hAnsi="仿宋" w:eastAsia="仿宋" w:cs="Arial"/>
          <w:b/>
          <w:color w:val="auto"/>
          <w:sz w:val="32"/>
          <w:szCs w:val="32"/>
          <w:highlight w:val="none"/>
        </w:rPr>
      </w:pPr>
    </w:p>
    <w:p>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pPr>
              <w:pStyle w:val="27"/>
              <w:jc w:val="center"/>
              <w:rPr>
                <w:rFonts w:ascii="仿宋" w:hAnsi="仿宋" w:eastAsia="仿宋" w:cs="Arial"/>
                <w:color w:val="auto"/>
                <w:highlight w:val="none"/>
              </w:rPr>
            </w:pPr>
            <w:r>
              <w:rPr>
                <w:rFonts w:ascii="仿宋" w:hAnsi="仿宋" w:eastAsia="仿宋" w:cs="Arial"/>
                <w:color w:val="auto"/>
                <w:highlight w:val="none"/>
              </w:rPr>
              <w:t>到位率承诺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8"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909" w:type="dxa"/>
            <w:vAlign w:val="center"/>
          </w:tcPr>
          <w:p>
            <w:pPr>
              <w:pStyle w:val="27"/>
              <w:spacing w:line="360" w:lineRule="auto"/>
              <w:jc w:val="center"/>
              <w:rPr>
                <w:rFonts w:ascii="仿宋" w:hAnsi="仿宋" w:eastAsia="仿宋" w:cs="Arial"/>
                <w:color w:val="auto"/>
                <w:highlight w:val="none"/>
              </w:rPr>
            </w:pPr>
          </w:p>
        </w:tc>
        <w:tc>
          <w:tcPr>
            <w:tcW w:w="1478" w:type="dxa"/>
            <w:vAlign w:val="center"/>
          </w:tcPr>
          <w:p>
            <w:pPr>
              <w:pStyle w:val="27"/>
              <w:spacing w:line="360" w:lineRule="auto"/>
              <w:jc w:val="center"/>
              <w:rPr>
                <w:rFonts w:ascii="仿宋" w:hAnsi="仿宋" w:eastAsia="仿宋" w:cs="Arial"/>
                <w:color w:val="auto"/>
                <w:highlight w:val="none"/>
              </w:rPr>
            </w:pPr>
          </w:p>
        </w:tc>
        <w:tc>
          <w:tcPr>
            <w:tcW w:w="1849" w:type="dxa"/>
            <w:vAlign w:val="center"/>
          </w:tcPr>
          <w:p>
            <w:pPr>
              <w:pStyle w:val="27"/>
              <w:spacing w:line="360" w:lineRule="auto"/>
              <w:jc w:val="center"/>
              <w:rPr>
                <w:rFonts w:ascii="仿宋" w:hAnsi="仿宋" w:eastAsia="仿宋" w:cs="Arial"/>
                <w:color w:val="auto"/>
                <w:highlight w:val="none"/>
              </w:rPr>
            </w:pPr>
          </w:p>
        </w:tc>
        <w:tc>
          <w:tcPr>
            <w:tcW w:w="1417" w:type="dxa"/>
            <w:vAlign w:val="center"/>
          </w:tcPr>
          <w:p>
            <w:pPr>
              <w:pStyle w:val="27"/>
              <w:spacing w:line="360" w:lineRule="auto"/>
              <w:jc w:val="center"/>
              <w:rPr>
                <w:rFonts w:ascii="仿宋" w:hAnsi="仿宋" w:eastAsia="仿宋" w:cs="Arial"/>
                <w:color w:val="auto"/>
                <w:highlight w:val="none"/>
              </w:rPr>
            </w:pPr>
          </w:p>
        </w:tc>
      </w:tr>
    </w:tbl>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pPr>
        <w:ind w:firstLine="482"/>
        <w:jc w:val="center"/>
        <w:rPr>
          <w:rFonts w:ascii="仿宋" w:hAnsi="仿宋" w:eastAsia="仿宋" w:cs="Arial"/>
          <w:b/>
          <w:color w:val="auto"/>
          <w:sz w:val="24"/>
          <w:highlight w:val="none"/>
        </w:rPr>
      </w:pPr>
    </w:p>
    <w:p>
      <w:pPr>
        <w:ind w:firstLine="482"/>
        <w:jc w:val="center"/>
        <w:rPr>
          <w:rFonts w:ascii="仿宋" w:hAnsi="仿宋" w:eastAsia="仿宋" w:cs="Arial"/>
          <w:b/>
          <w:color w:val="auto"/>
          <w:sz w:val="24"/>
          <w:highlight w:val="none"/>
        </w:rPr>
      </w:pPr>
    </w:p>
    <w:p>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pPr>
        <w:ind w:firstLine="420"/>
        <w:jc w:val="left"/>
        <w:rPr>
          <w:rFonts w:ascii="仿宋" w:hAnsi="仿宋" w:eastAsia="仿宋"/>
          <w:color w:val="auto"/>
          <w:highlight w:val="none"/>
        </w:rPr>
      </w:pPr>
    </w:p>
    <w:p>
      <w:pPr>
        <w:spacing w:line="360" w:lineRule="auto"/>
        <w:ind w:firstLine="422"/>
        <w:jc w:val="left"/>
        <w:rPr>
          <w:rFonts w:ascii="仿宋" w:hAnsi="仿宋" w:eastAsia="仿宋" w:cs="Arial"/>
          <w:b/>
          <w:color w:val="auto"/>
          <w:szCs w:val="21"/>
          <w:highlight w:val="none"/>
          <w:u w:val="single"/>
        </w:rPr>
      </w:pPr>
    </w:p>
    <w:p>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rPr>
        <w:t>浙江科技学院</w:t>
      </w:r>
      <w:r>
        <w:rPr>
          <w:rFonts w:ascii="仿宋" w:hAnsi="仿宋" w:eastAsia="仿宋" w:cs="Arial"/>
          <w:b/>
          <w:color w:val="auto"/>
          <w:sz w:val="28"/>
          <w:szCs w:val="28"/>
          <w:highlight w:val="none"/>
          <w:u w:val="single"/>
        </w:rPr>
        <w:t>：</w:t>
      </w:r>
    </w:p>
    <w:p>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2024年安吉校区小额维修工程项目</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pPr>
        <w:spacing w:line="480" w:lineRule="auto"/>
        <w:ind w:firstLine="480"/>
        <w:jc w:val="left"/>
        <w:rPr>
          <w:rFonts w:ascii="仿宋" w:hAnsi="仿宋" w:eastAsia="仿宋"/>
          <w:color w:val="auto"/>
          <w:sz w:val="28"/>
          <w:szCs w:val="28"/>
          <w:highlight w:val="none"/>
        </w:rPr>
      </w:pPr>
    </w:p>
    <w:p>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pPr>
        <w:spacing w:line="500" w:lineRule="exact"/>
        <w:jc w:val="center"/>
        <w:rPr>
          <w:rFonts w:ascii="仿宋" w:hAnsi="仿宋" w:eastAsia="仿宋" w:cs="微软雅黑"/>
          <w:b/>
          <w:color w:val="auto"/>
          <w:sz w:val="28"/>
          <w:highlight w:val="none"/>
        </w:rPr>
      </w:pPr>
    </w:p>
    <w:p>
      <w:pPr>
        <w:pStyle w:val="19"/>
        <w:ind w:firstLine="480"/>
        <w:rPr>
          <w:rFonts w:ascii="仿宋" w:hAnsi="仿宋" w:eastAsia="仿宋"/>
          <w:color w:val="auto"/>
          <w:highlight w:val="none"/>
        </w:rPr>
      </w:pP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pPr>
        <w:snapToGrid w:val="0"/>
        <w:spacing w:line="360" w:lineRule="auto"/>
        <w:rPr>
          <w:rFonts w:ascii="仿宋" w:hAnsi="仿宋" w:eastAsia="仿宋" w:cs="仿宋"/>
          <w:color w:val="auto"/>
          <w:sz w:val="24"/>
          <w:highlight w:val="none"/>
        </w:rPr>
      </w:pPr>
    </w:p>
    <w:p>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浙江科技学院、浙江华耀建设咨询有限公司：</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2024年安吉校区小额维修工程项目</w:t>
      </w:r>
      <w:r>
        <w:rPr>
          <w:rFonts w:hint="eastAsia" w:ascii="仿宋" w:hAnsi="仿宋" w:eastAsia="仿宋" w:cs="宋体"/>
          <w:color w:val="auto"/>
          <w:kern w:val="0"/>
          <w:sz w:val="24"/>
          <w:highlight w:val="none"/>
          <w:lang w:val="zh-CN"/>
        </w:rPr>
        <w:t>项目采购要求参加磋商响应。在这次磋商响应过程中和中标后，我们郑重承诺：</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w:t>
      </w:r>
      <w:r>
        <w:rPr>
          <w:rFonts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lang w:val="zh-CN"/>
        </w:rPr>
        <w:t>（财库〔</w:t>
      </w:r>
      <w:r>
        <w:rPr>
          <w:rFonts w:ascii="仿宋" w:hAnsi="仿宋" w:eastAsia="仿宋" w:cs="宋体"/>
          <w:color w:val="auto"/>
          <w:kern w:val="0"/>
          <w:sz w:val="24"/>
          <w:highlight w:val="none"/>
          <w:lang w:val="zh-CN"/>
        </w:rPr>
        <w:t>2020〕31号</w:t>
      </w:r>
      <w:r>
        <w:rPr>
          <w:rFonts w:hint="eastAsia" w:ascii="仿宋" w:hAnsi="仿宋" w:eastAsia="仿宋" w:cs="宋体"/>
          <w:color w:val="auto"/>
          <w:kern w:val="0"/>
          <w:sz w:val="24"/>
          <w:highlight w:val="none"/>
          <w:lang w:val="zh-CN"/>
        </w:rPr>
        <w:t>）</w:t>
      </w:r>
      <w:r>
        <w:rPr>
          <w:rFonts w:ascii="仿宋" w:hAnsi="仿宋" w:eastAsia="仿宋" w:cs="宋体"/>
          <w:color w:val="auto"/>
          <w:kern w:val="0"/>
          <w:sz w:val="24"/>
          <w:highlight w:val="none"/>
          <w:lang w:val="zh-CN"/>
        </w:rPr>
        <w:t>规定，为落实绿色建材采购要求，我方后续施工所投入使用的建筑材料承诺满足《绿色建筑和绿色建材政府采购基本要求（试行）》等有关规定。</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pPr>
        <w:pStyle w:val="19"/>
        <w:ind w:firstLine="480"/>
        <w:rPr>
          <w:color w:val="auto"/>
          <w:highlight w:val="none"/>
          <w:lang w:val="zh-CN"/>
        </w:rPr>
      </w:pPr>
    </w:p>
    <w:p>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pPr>
        <w:widowControl/>
        <w:adjustRightInd/>
        <w:jc w:val="left"/>
        <w:rPr>
          <w:rFonts w:eastAsia="等线"/>
          <w:color w:val="auto"/>
          <w:sz w:val="24"/>
          <w:szCs w:val="21"/>
          <w:highlight w:val="none"/>
          <w:lang w:val="zh-CN"/>
        </w:rPr>
      </w:pPr>
      <w:r>
        <w:rPr>
          <w:color w:val="auto"/>
          <w:highlight w:val="none"/>
          <w:lang w:val="zh-CN"/>
        </w:rPr>
        <w:br w:type="page"/>
      </w:r>
    </w:p>
    <w:p>
      <w:pPr>
        <w:pStyle w:val="19"/>
        <w:ind w:firstLine="480"/>
        <w:rPr>
          <w:color w:val="auto"/>
          <w:highlight w:val="none"/>
        </w:rPr>
      </w:pPr>
    </w:p>
    <w:p>
      <w:pPr>
        <w:jc w:val="center"/>
        <w:rPr>
          <w:rFonts w:ascii="仿宋" w:hAnsi="仿宋" w:eastAsia="仿宋" w:cs="宋体"/>
          <w:b/>
          <w:color w:val="auto"/>
          <w:kern w:val="0"/>
          <w:sz w:val="32"/>
          <w:szCs w:val="32"/>
          <w:highlight w:val="none"/>
        </w:rPr>
      </w:pPr>
    </w:p>
    <w:p>
      <w:pPr>
        <w:jc w:val="center"/>
        <w:rPr>
          <w:rFonts w:ascii="仿宋" w:hAnsi="仿宋" w:eastAsia="仿宋" w:cs="宋体"/>
          <w:b/>
          <w:color w:val="auto"/>
          <w:kern w:val="0"/>
          <w:sz w:val="32"/>
          <w:szCs w:val="32"/>
          <w:highlight w:val="none"/>
        </w:rPr>
      </w:pPr>
    </w:p>
    <w:p>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pPr>
        <w:pStyle w:val="19"/>
        <w:ind w:firstLine="480"/>
        <w:rPr>
          <w:color w:val="auto"/>
          <w:highlight w:val="none"/>
        </w:rPr>
      </w:pPr>
    </w:p>
    <w:tbl>
      <w:tblPr>
        <w:tblStyle w:val="1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pPr>
              <w:jc w:val="center"/>
              <w:rPr>
                <w:rFonts w:ascii="仿宋" w:hAnsi="仿宋" w:eastAsia="仿宋" w:cs="宋体"/>
                <w:b/>
                <w:color w:val="auto"/>
                <w:kern w:val="0"/>
                <w:sz w:val="32"/>
                <w:szCs w:val="32"/>
                <w:highlight w:val="none"/>
              </w:rPr>
            </w:pPr>
          </w:p>
        </w:tc>
        <w:tc>
          <w:tcPr>
            <w:tcW w:w="3546" w:type="dxa"/>
          </w:tcPr>
          <w:p>
            <w:pPr>
              <w:jc w:val="center"/>
              <w:rPr>
                <w:rFonts w:ascii="仿宋" w:hAnsi="仿宋" w:eastAsia="仿宋" w:cs="宋体"/>
                <w:b/>
                <w:color w:val="auto"/>
                <w:kern w:val="0"/>
                <w:sz w:val="32"/>
                <w:szCs w:val="32"/>
                <w:highlight w:val="none"/>
              </w:rPr>
            </w:pPr>
          </w:p>
        </w:tc>
        <w:tc>
          <w:tcPr>
            <w:tcW w:w="1276" w:type="dxa"/>
          </w:tcPr>
          <w:p>
            <w:pPr>
              <w:jc w:val="center"/>
              <w:rPr>
                <w:rFonts w:ascii="仿宋" w:hAnsi="仿宋" w:eastAsia="仿宋" w:cs="宋体"/>
                <w:b/>
                <w:color w:val="auto"/>
                <w:kern w:val="0"/>
                <w:sz w:val="32"/>
                <w:szCs w:val="32"/>
                <w:highlight w:val="none"/>
              </w:rPr>
            </w:pPr>
          </w:p>
        </w:tc>
      </w:tr>
    </w:tbl>
    <w:p>
      <w:pPr>
        <w:jc w:val="left"/>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供应商保证：除商务技术偏离表列出的偏离外，供应商响应采购文件的全部要求</w:t>
      </w:r>
    </w:p>
    <w:p>
      <w:pPr>
        <w:jc w:val="center"/>
        <w:rPr>
          <w:rFonts w:ascii="仿宋" w:hAnsi="仿宋" w:eastAsia="仿宋" w:cs="宋体"/>
          <w:b/>
          <w:color w:val="auto"/>
          <w:kern w:val="0"/>
          <w:sz w:val="32"/>
          <w:szCs w:val="32"/>
          <w:highlight w:val="non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pPr>
        <w:snapToGrid w:val="0"/>
        <w:spacing w:line="360" w:lineRule="auto"/>
        <w:rPr>
          <w:rFonts w:ascii="仿宋" w:hAnsi="仿宋" w:eastAsia="仿宋" w:cs="宋体"/>
          <w:color w:val="auto"/>
          <w:sz w:val="24"/>
          <w:highlight w:val="none"/>
        </w:rPr>
      </w:pP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jc w:val="left"/>
        <w:rPr>
          <w:rFonts w:ascii="仿宋" w:hAnsi="仿宋" w:eastAsia="仿宋" w:cs="宋体"/>
          <w:color w:val="auto"/>
          <w:kern w:val="0"/>
          <w:sz w:val="24"/>
          <w:highlight w:val="none"/>
          <w:lang w:val="zh-CN"/>
        </w:rPr>
      </w:pPr>
    </w:p>
    <w:p>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pPr>
        <w:spacing w:line="360" w:lineRule="auto"/>
        <w:jc w:val="center"/>
        <w:rPr>
          <w:rFonts w:ascii="仿宋" w:hAnsi="仿宋" w:eastAsia="仿宋" w:cs="宋体"/>
          <w:b/>
          <w:bCs/>
          <w:color w:val="auto"/>
          <w:sz w:val="24"/>
          <w:highlight w:val="none"/>
        </w:rPr>
      </w:pPr>
    </w:p>
    <w:p>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pPr>
        <w:pStyle w:val="19"/>
        <w:ind w:firstLine="480"/>
        <w:rPr>
          <w:color w:val="auto"/>
          <w:highlight w:val="none"/>
          <w:lang w:val="zh-CN"/>
        </w:rPr>
      </w:pPr>
    </w:p>
    <w:p>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pPr>
        <w:spacing w:line="360" w:lineRule="auto"/>
        <w:jc w:val="center"/>
        <w:rPr>
          <w:rFonts w:ascii="仿宋" w:hAnsi="仿宋" w:eastAsia="仿宋" w:cs="仿宋"/>
          <w:b/>
          <w:color w:val="auto"/>
          <w:kern w:val="0"/>
          <w:sz w:val="36"/>
          <w:szCs w:val="36"/>
          <w:highlight w:val="none"/>
        </w:rPr>
      </w:pP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（3）中小企业声明函………………………………………………………………（页码）</w:t>
      </w: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snapToGrid w:val="0"/>
        <w:spacing w:line="360" w:lineRule="auto"/>
        <w:ind w:right="480"/>
        <w:jc w:val="center"/>
        <w:rPr>
          <w:rFonts w:ascii="仿宋" w:hAnsi="仿宋" w:eastAsia="仿宋" w:cs="宋体"/>
          <w:b/>
          <w:color w:val="auto"/>
          <w:kern w:val="0"/>
          <w:sz w:val="32"/>
          <w:szCs w:val="32"/>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rPr>
        <w:t>浙江科技学院、浙江华耀建设咨询有限公司</w:t>
      </w:r>
      <w:r>
        <w:rPr>
          <w:rFonts w:hint="eastAsia" w:ascii="仿宋" w:hAnsi="仿宋" w:eastAsia="仿宋" w:cs="宋体"/>
          <w:color w:val="auto"/>
          <w:kern w:val="0"/>
          <w:sz w:val="24"/>
          <w:highlight w:val="none"/>
          <w:lang w:val="zh-CN"/>
        </w:rPr>
        <w:t>：</w:t>
      </w:r>
    </w:p>
    <w:p>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4"/>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5"/>
        <w:gridCol w:w="2428"/>
        <w:gridCol w:w="2318"/>
        <w:gridCol w:w="1633"/>
        <w:gridCol w:w="1803"/>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726" w:type="pct"/>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816" w:type="pct"/>
            <w:vAlign w:val="center"/>
          </w:tcPr>
          <w:p>
            <w:pPr>
              <w:spacing w:line="360" w:lineRule="auto"/>
              <w:jc w:val="center"/>
              <w:rPr>
                <w:rFonts w:hint="eastAsia" w:ascii="仿宋" w:hAnsi="仿宋" w:eastAsia="仿宋" w:cs="宋体"/>
                <w:b/>
                <w:color w:val="auto"/>
                <w:kern w:val="2"/>
                <w:sz w:val="24"/>
                <w:szCs w:val="24"/>
                <w:highlight w:val="none"/>
                <w:lang w:val="en-US" w:eastAsia="zh-CN" w:bidi="ar-SA"/>
              </w:rPr>
            </w:pPr>
            <w:r>
              <w:rPr>
                <w:rFonts w:hint="eastAsia" w:ascii="仿宋" w:hAnsi="仿宋" w:eastAsia="仿宋" w:cs="宋体"/>
                <w:b/>
                <w:color w:val="auto"/>
                <w:sz w:val="24"/>
                <w:highlight w:val="none"/>
              </w:rPr>
              <w:t>合同履约期限</w:t>
            </w:r>
          </w:p>
        </w:tc>
        <w:tc>
          <w:tcPr>
            <w:tcW w:w="779" w:type="pct"/>
            <w:vAlign w:val="center"/>
          </w:tcPr>
          <w:p>
            <w:pPr>
              <w:snapToGrid w:val="0"/>
              <w:spacing w:line="360" w:lineRule="auto"/>
              <w:jc w:val="center"/>
              <w:rPr>
                <w:rFonts w:ascii="仿宋" w:hAnsi="仿宋" w:eastAsia="仿宋" w:cs="仿宋"/>
                <w:b/>
                <w:color w:val="auto"/>
                <w:sz w:val="24"/>
                <w:highlight w:val="none"/>
                <w:lang w:val="en-GB"/>
              </w:rPr>
            </w:pPr>
            <w:r>
              <w:rPr>
                <w:rFonts w:hint="eastAsia" w:ascii="仿宋" w:hAnsi="仿宋" w:eastAsia="仿宋" w:cs="仿宋"/>
                <w:b/>
                <w:color w:val="auto"/>
                <w:sz w:val="24"/>
                <w:highlight w:val="none"/>
                <w:lang w:val="en-GB"/>
              </w:rPr>
              <w:t>投标报价</w:t>
            </w:r>
          </w:p>
          <w:p>
            <w:pPr>
              <w:spacing w:line="360" w:lineRule="auto"/>
              <w:jc w:val="center"/>
              <w:rPr>
                <w:rFonts w:hint="eastAsia" w:ascii="仿宋" w:hAnsi="仿宋" w:eastAsia="仿宋" w:cs="宋体"/>
                <w:b/>
                <w:color w:val="auto"/>
                <w:sz w:val="24"/>
                <w:highlight w:val="none"/>
              </w:rPr>
            </w:pPr>
            <w:r>
              <w:rPr>
                <w:rFonts w:hint="eastAsia" w:ascii="仿宋" w:hAnsi="仿宋" w:eastAsia="仿宋" w:cs="仿宋"/>
                <w:b/>
                <w:color w:val="auto"/>
                <w:sz w:val="24"/>
                <w:highlight w:val="none"/>
                <w:lang w:val="en-GB"/>
              </w:rPr>
              <w:t>（折扣率（实收部分））</w:t>
            </w:r>
          </w:p>
        </w:tc>
        <w:tc>
          <w:tcPr>
            <w:tcW w:w="549" w:type="pct"/>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606" w:type="pct"/>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521" w:type="pct"/>
            <w:vAlign w:val="center"/>
          </w:tcPr>
          <w:p>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1726" w:type="pct"/>
            <w:vAlign w:val="center"/>
          </w:tcPr>
          <w:p>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lang w:eastAsia="zh-CN"/>
              </w:rPr>
              <w:t>2024年安吉校区小额维修工程项目</w:t>
            </w:r>
          </w:p>
        </w:tc>
        <w:tc>
          <w:tcPr>
            <w:tcW w:w="816" w:type="pct"/>
            <w:vAlign w:val="center"/>
          </w:tcPr>
          <w:p>
            <w:pPr>
              <w:snapToGrid w:val="0"/>
              <w:spacing w:line="360" w:lineRule="auto"/>
              <w:jc w:val="center"/>
              <w:rPr>
                <w:rFonts w:hint="eastAsia" w:ascii="仿宋" w:hAnsi="仿宋" w:eastAsia="仿宋" w:cs="宋体"/>
                <w:color w:val="auto"/>
                <w:kern w:val="2"/>
                <w:sz w:val="24"/>
                <w:szCs w:val="24"/>
                <w:highlight w:val="none"/>
                <w:lang w:val="en-US" w:eastAsia="zh-CN" w:bidi="ar-SA"/>
              </w:rPr>
            </w:pPr>
            <w:r>
              <w:rPr>
                <w:rFonts w:hint="eastAsia" w:ascii="仿宋" w:hAnsi="仿宋" w:eastAsia="仿宋" w:cs="宋体"/>
                <w:b/>
                <w:color w:val="auto"/>
                <w:sz w:val="24"/>
                <w:highlight w:val="none"/>
                <w:lang w:eastAsia="zh-CN"/>
              </w:rPr>
              <w:t>一年</w:t>
            </w:r>
          </w:p>
        </w:tc>
        <w:tc>
          <w:tcPr>
            <w:tcW w:w="779" w:type="pct"/>
            <w:vAlign w:val="center"/>
          </w:tcPr>
          <w:p>
            <w:pPr>
              <w:snapToGrid w:val="0"/>
              <w:spacing w:line="360" w:lineRule="auto"/>
              <w:jc w:val="center"/>
              <w:rPr>
                <w:rFonts w:hint="eastAsia" w:ascii="仿宋" w:hAnsi="仿宋" w:eastAsia="仿宋" w:cs="宋体"/>
                <w:b/>
                <w:color w:val="auto"/>
                <w:sz w:val="24"/>
                <w:highlight w:val="none"/>
              </w:rPr>
            </w:pPr>
            <w:r>
              <w:rPr>
                <w:rFonts w:hint="eastAsia" w:ascii="宋体" w:hAnsi="宋体"/>
                <w:b/>
                <w:bCs/>
                <w:color w:val="auto"/>
                <w:sz w:val="24"/>
                <w:highlight w:val="none"/>
                <w:u w:val="single"/>
                <w:lang w:val="zh-CN"/>
              </w:rPr>
              <w:t xml:space="preserve">        </w:t>
            </w:r>
            <w:r>
              <w:rPr>
                <w:rFonts w:hint="eastAsia" w:ascii="宋体" w:hAnsi="宋体"/>
                <w:b/>
                <w:bCs/>
                <w:color w:val="auto"/>
                <w:sz w:val="24"/>
                <w:highlight w:val="none"/>
                <w:lang w:val="zh-CN"/>
              </w:rPr>
              <w:t>％</w:t>
            </w:r>
          </w:p>
        </w:tc>
        <w:tc>
          <w:tcPr>
            <w:tcW w:w="549" w:type="pct"/>
            <w:vAlign w:val="center"/>
          </w:tcPr>
          <w:p>
            <w:pPr>
              <w:spacing w:line="360" w:lineRule="auto"/>
              <w:jc w:val="center"/>
              <w:rPr>
                <w:rFonts w:ascii="仿宋" w:hAnsi="仿宋" w:eastAsia="仿宋" w:cs="宋体"/>
                <w:color w:val="auto"/>
                <w:sz w:val="24"/>
                <w:highlight w:val="none"/>
              </w:rPr>
            </w:pPr>
          </w:p>
        </w:tc>
        <w:tc>
          <w:tcPr>
            <w:tcW w:w="606" w:type="pct"/>
            <w:vAlign w:val="center"/>
          </w:tcPr>
          <w:p>
            <w:pPr>
              <w:spacing w:line="360" w:lineRule="auto"/>
              <w:jc w:val="center"/>
              <w:rPr>
                <w:rFonts w:ascii="仿宋" w:hAnsi="仿宋" w:eastAsia="仿宋" w:cs="宋体"/>
                <w:color w:val="auto"/>
                <w:sz w:val="24"/>
                <w:highlight w:val="none"/>
              </w:rPr>
            </w:pPr>
          </w:p>
        </w:tc>
        <w:tc>
          <w:tcPr>
            <w:tcW w:w="521" w:type="pct"/>
            <w:vAlign w:val="center"/>
          </w:tcPr>
          <w:p>
            <w:pPr>
              <w:spacing w:line="360" w:lineRule="auto"/>
              <w:jc w:val="center"/>
              <w:rPr>
                <w:rFonts w:ascii="仿宋" w:hAnsi="仿宋" w:eastAsia="仿宋" w:cs="宋体"/>
                <w:color w:val="auto"/>
                <w:sz w:val="24"/>
                <w:highlight w:val="none"/>
              </w:rPr>
            </w:pPr>
          </w:p>
        </w:tc>
      </w:tr>
    </w:tbl>
    <w:p>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pPr>
        <w:spacing w:line="360" w:lineRule="auto"/>
        <w:ind w:left="-2" w:leftChars="-1" w:firstLine="480" w:firstLineChars="2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1、供应商需按本表格式填写</w:t>
      </w:r>
      <w:r>
        <w:rPr>
          <w:rFonts w:hint="eastAsia" w:ascii="仿宋" w:hAnsi="仿宋" w:eastAsia="仿宋" w:cs="宋体"/>
          <w:b/>
          <w:color w:val="auto"/>
          <w:kern w:val="0"/>
          <w:sz w:val="24"/>
          <w:highlight w:val="none"/>
          <w:lang w:val="zh-CN"/>
        </w:rPr>
        <w:t>，</w:t>
      </w:r>
      <w:r>
        <w:rPr>
          <w:rFonts w:hint="eastAsia" w:ascii="仿宋" w:hAnsi="仿宋" w:eastAsia="仿宋" w:cs="宋体"/>
          <w:b/>
          <w:color w:val="auto"/>
          <w:kern w:val="0"/>
          <w:sz w:val="24"/>
          <w:highlight w:val="none"/>
        </w:rPr>
        <w:t>否则视为</w:t>
      </w:r>
      <w:r>
        <w:rPr>
          <w:rFonts w:hint="eastAsia" w:ascii="仿宋" w:hAnsi="仿宋" w:eastAsia="仿宋" w:cs="宋体"/>
          <w:b/>
          <w:color w:val="auto"/>
          <w:sz w:val="24"/>
          <w:highlight w:val="none"/>
        </w:rPr>
        <w:t>响应文件含有采购人不能接受的附加条件，响应文件无效</w:t>
      </w:r>
      <w:r>
        <w:rPr>
          <w:rFonts w:hint="eastAsia" w:ascii="仿宋" w:hAnsi="仿宋" w:eastAsia="仿宋" w:cs="宋体"/>
          <w:b/>
          <w:color w:val="auto"/>
          <w:kern w:val="0"/>
          <w:sz w:val="24"/>
          <w:highlight w:val="none"/>
          <w:lang w:val="zh-CN"/>
        </w:rPr>
        <w:t>；</w:t>
      </w:r>
      <w:r>
        <w:rPr>
          <w:rFonts w:hint="eastAsia" w:ascii="仿宋" w:hAnsi="仿宋" w:eastAsia="仿宋" w:cs="宋体"/>
          <w:color w:val="auto"/>
          <w:kern w:val="0"/>
          <w:sz w:val="24"/>
          <w:highlight w:val="none"/>
          <w:lang w:val="zh-CN"/>
        </w:rPr>
        <w:t>。</w:t>
      </w:r>
    </w:p>
    <w:p>
      <w:pPr>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2、有关本项目实施所涉及的一切费用均计入报价。</w:t>
      </w:r>
      <w:r>
        <w:rPr>
          <w:rFonts w:hint="eastAsia" w:ascii="仿宋" w:hAnsi="仿宋" w:eastAsia="仿宋" w:cs="宋体"/>
          <w:color w:val="auto"/>
          <w:kern w:val="0"/>
          <w:sz w:val="24"/>
          <w:highlight w:val="none"/>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仿宋" w:hAnsi="仿宋" w:eastAsia="仿宋" w:cs="宋体"/>
          <w:b/>
          <w:color w:val="auto"/>
          <w:kern w:val="0"/>
          <w:sz w:val="24"/>
          <w:highlight w:val="none"/>
          <w:lang w:val="zh-CN"/>
        </w:rPr>
        <w:t>采购内容未包含在《报价单》名称栏中，供应商不能作出合理解释的，</w:t>
      </w:r>
      <w:r>
        <w:rPr>
          <w:rFonts w:hint="eastAsia" w:ascii="仿宋" w:hAnsi="仿宋" w:eastAsia="仿宋" w:cs="宋体"/>
          <w:b/>
          <w:color w:val="auto"/>
          <w:kern w:val="0"/>
          <w:sz w:val="24"/>
          <w:highlight w:val="none"/>
        </w:rPr>
        <w:t>视为</w:t>
      </w:r>
      <w:r>
        <w:rPr>
          <w:rFonts w:hint="eastAsia" w:ascii="仿宋" w:hAnsi="仿宋" w:eastAsia="仿宋" w:cs="宋体"/>
          <w:b/>
          <w:color w:val="auto"/>
          <w:sz w:val="24"/>
          <w:highlight w:val="none"/>
        </w:rPr>
        <w:t>响应文件含有采购人不能接受的附加条件的，响应文件无效。</w:t>
      </w:r>
    </w:p>
    <w:p>
      <w:pPr>
        <w:snapToGrid w:val="0"/>
        <w:spacing w:line="360" w:lineRule="auto"/>
        <w:ind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pPr>
        <w:snapToGrid w:val="0"/>
        <w:spacing w:line="360" w:lineRule="auto"/>
        <w:ind w:firstLine="480" w:firstLineChars="200"/>
        <w:jc w:val="left"/>
        <w:rPr>
          <w:rFonts w:hint="eastAsia" w:ascii="仿宋" w:hAnsi="仿宋" w:eastAsia="仿宋" w:cs="宋体"/>
          <w:color w:val="auto"/>
          <w:kern w:val="0"/>
          <w:sz w:val="24"/>
          <w:highlight w:val="none"/>
          <w:lang w:val="zh-CN"/>
        </w:rPr>
      </w:pPr>
      <w:r>
        <w:rPr>
          <w:rFonts w:ascii="仿宋" w:hAnsi="仿宋" w:eastAsia="仿宋" w:cs="宋体"/>
          <w:color w:val="auto"/>
          <w:kern w:val="0"/>
          <w:sz w:val="24"/>
          <w:szCs w:val="22"/>
          <w:highlight w:val="none"/>
          <w:lang w:val="zh-CN"/>
        </w:rPr>
        <w:t>4</w:t>
      </w:r>
      <w:r>
        <w:rPr>
          <w:rFonts w:hint="eastAsia" w:ascii="仿宋" w:hAnsi="仿宋" w:eastAsia="仿宋" w:cs="宋体"/>
          <w:color w:val="auto"/>
          <w:kern w:val="0"/>
          <w:sz w:val="24"/>
          <w:szCs w:val="22"/>
          <w:highlight w:val="none"/>
          <w:lang w:val="zh-CN"/>
        </w:rPr>
        <w:t>、</w:t>
      </w:r>
      <w:r>
        <w:rPr>
          <w:rFonts w:hint="eastAsia" w:ascii="仿宋" w:hAnsi="仿宋" w:eastAsia="仿宋" w:cs="宋体"/>
          <w:color w:val="auto"/>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pStyle w:val="19"/>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szCs w:val="21"/>
          <w:highlight w:val="none"/>
          <w:lang w:val="en-US" w:eastAsia="zh-CN" w:bidi="ar-SA"/>
        </w:rPr>
        <w:t>5</w:t>
      </w:r>
      <w:r>
        <w:rPr>
          <w:rFonts w:hint="eastAsia" w:ascii="仿宋" w:hAnsi="仿宋" w:eastAsia="仿宋" w:cs="宋体"/>
          <w:b/>
          <w:bCs/>
          <w:color w:val="auto"/>
          <w:kern w:val="0"/>
          <w:sz w:val="24"/>
          <w:szCs w:val="21"/>
          <w:highlight w:val="none"/>
          <w:lang w:val="zh-CN" w:eastAsia="zh-CN" w:bidi="ar-SA"/>
        </w:rPr>
        <w:t>、</w:t>
      </w:r>
      <w:r>
        <w:rPr>
          <w:rFonts w:hint="eastAsia" w:ascii="仿宋" w:hAnsi="仿宋" w:eastAsia="仿宋" w:cs="宋体"/>
          <w:b/>
          <w:bCs/>
          <w:color w:val="auto"/>
          <w:kern w:val="0"/>
          <w:sz w:val="24"/>
          <w:highlight w:val="none"/>
          <w:lang w:val="en-US" w:eastAsia="zh-CN"/>
        </w:rPr>
        <w:t>备注：本项目按实施工，投标人进行折扣率报价，如投标人优惠10%，则投标折扣率为90%，以此类推。</w:t>
      </w:r>
    </w:p>
    <w:p>
      <w:pPr>
        <w:pStyle w:val="19"/>
        <w:rPr>
          <w:rFonts w:hint="eastAsia" w:ascii="仿宋" w:hAnsi="仿宋" w:eastAsia="仿宋" w:cs="宋体"/>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采购人确认的最终审定价×折扣率=结算价</w:t>
      </w:r>
      <w:r>
        <w:rPr>
          <w:rFonts w:hint="eastAsia" w:ascii="仿宋" w:hAnsi="仿宋" w:eastAsia="仿宋" w:cs="宋体"/>
          <w:color w:val="auto"/>
          <w:kern w:val="0"/>
          <w:sz w:val="24"/>
          <w:highlight w:val="none"/>
          <w:lang w:val="en-US" w:eastAsia="zh-CN"/>
        </w:rPr>
        <w:t>。</w:t>
      </w:r>
    </w:p>
    <w:p>
      <w:pPr>
        <w:pStyle w:val="19"/>
        <w:rPr>
          <w:rFonts w:hint="eastAsia" w:ascii="仿宋" w:hAnsi="仿宋" w:eastAsia="仿宋" w:cs="宋体"/>
          <w:color w:val="auto"/>
          <w:kern w:val="0"/>
          <w:sz w:val="24"/>
          <w:highlight w:val="none"/>
          <w:lang w:val="en-US" w:eastAsia="zh-CN"/>
        </w:rPr>
      </w:pPr>
    </w:p>
    <w:p>
      <w:pPr>
        <w:pStyle w:val="19"/>
        <w:rPr>
          <w:rFonts w:hint="eastAsia" w:ascii="仿宋" w:hAnsi="仿宋" w:eastAsia="仿宋" w:cs="宋体"/>
          <w:color w:val="auto"/>
          <w:kern w:val="0"/>
          <w:sz w:val="24"/>
          <w:highlight w:val="none"/>
          <w:lang w:val="en-US" w:eastAsia="zh-CN"/>
        </w:rPr>
      </w:pPr>
    </w:p>
    <w:p>
      <w:pPr>
        <w:spacing w:line="360" w:lineRule="auto"/>
        <w:ind w:firstLine="482" w:firstLineChars="200"/>
        <w:rPr>
          <w:rFonts w:ascii="仿宋" w:hAnsi="仿宋" w:eastAsia="仿宋" w:cs="宋体"/>
          <w:b/>
          <w:color w:val="auto"/>
          <w:kern w:val="0"/>
          <w:sz w:val="24"/>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pPr>
        <w:pStyle w:val="29"/>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pPr>
        <w:snapToGrid w:val="0"/>
        <w:spacing w:before="120" w:after="120"/>
        <w:rPr>
          <w:rFonts w:ascii="仿宋" w:hAnsi="仿宋" w:eastAsia="仿宋"/>
          <w:color w:val="auto"/>
          <w:highlight w:val="none"/>
        </w:rPr>
      </w:pPr>
    </w:p>
    <w:p>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pPr>
        <w:widowControl/>
        <w:adjustRightInd/>
        <w:jc w:val="left"/>
        <w:rPr>
          <w:rFonts w:ascii="仿宋" w:hAnsi="仿宋" w:eastAsia="仿宋" w:cs="宋体"/>
          <w:b/>
          <w:color w:val="auto"/>
          <w:sz w:val="32"/>
          <w:szCs w:val="32"/>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pStyle w:val="19"/>
        <w:ind w:firstLine="480"/>
        <w:rPr>
          <w:color w:val="auto"/>
          <w:highlight w:val="none"/>
        </w:rPr>
      </w:pP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p>
    <w:p>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pPr>
        <w:widowControl/>
        <w:adjustRightInd/>
        <w:jc w:val="left"/>
        <w:rPr>
          <w:rFonts w:ascii="仿宋" w:hAnsi="仿宋" w:eastAsia="仿宋" w:cs="宋体"/>
          <w:color w:val="auto"/>
          <w:sz w:val="24"/>
          <w:highlight w:val="none"/>
        </w:rPr>
      </w:pPr>
    </w:p>
    <w:p>
      <w:pPr>
        <w:pStyle w:val="13"/>
        <w:ind w:firstLine="480"/>
        <w:rPr>
          <w:rFonts w:ascii="仿宋" w:hAnsi="仿宋" w:eastAsia="仿宋" w:cs="宋体"/>
          <w:color w:val="auto"/>
          <w:sz w:val="24"/>
          <w:highlight w:val="none"/>
        </w:rPr>
      </w:pPr>
    </w:p>
    <w:p>
      <w:pPr>
        <w:pStyle w:val="29"/>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lang w:val="en-US" w:eastAsia="zh-CN"/>
        </w:rPr>
        <w:t>三</w:t>
      </w:r>
      <w:r>
        <w:rPr>
          <w:rFonts w:hint="eastAsia" w:ascii="仿宋" w:hAnsi="仿宋" w:eastAsia="仿宋" w:cs="宋体"/>
          <w:color w:val="auto"/>
          <w:kern w:val="2"/>
          <w:sz w:val="32"/>
          <w:szCs w:val="32"/>
          <w:highlight w:val="none"/>
        </w:rPr>
        <w:t>、</w:t>
      </w:r>
      <w:r>
        <w:rPr>
          <w:rFonts w:hint="eastAsia" w:ascii="仿宋" w:hAnsi="仿宋" w:eastAsia="仿宋" w:cs="宋体"/>
          <w:color w:val="auto"/>
          <w:sz w:val="32"/>
          <w:szCs w:val="32"/>
          <w:highlight w:val="none"/>
        </w:rPr>
        <w:t>中小企业声明函</w:t>
      </w:r>
      <w:bookmarkStart w:id="405" w:name="_Hlk101259491"/>
      <w:r>
        <w:rPr>
          <w:rFonts w:hint="eastAsia" w:ascii="仿宋" w:hAnsi="仿宋" w:eastAsia="仿宋" w:cs="宋体"/>
          <w:color w:val="auto"/>
          <w:sz w:val="32"/>
          <w:szCs w:val="32"/>
          <w:highlight w:val="none"/>
        </w:rPr>
        <w:t>（如果有）</w:t>
      </w:r>
      <w:bookmarkEnd w:id="405"/>
    </w:p>
    <w:p>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pPr>
        <w:widowControl/>
        <w:adjustRightInd/>
        <w:jc w:val="left"/>
        <w:rPr>
          <w:rFonts w:eastAsia="等线"/>
          <w:color w:val="auto"/>
          <w:sz w:val="24"/>
          <w:szCs w:val="21"/>
          <w:highlight w:val="none"/>
        </w:rPr>
      </w:pPr>
      <w:r>
        <w:rPr>
          <w:color w:val="auto"/>
          <w:highlight w:val="none"/>
        </w:rPr>
        <w:br w:type="page"/>
      </w:r>
    </w:p>
    <w:p>
      <w:pPr>
        <w:pStyle w:val="19"/>
        <w:ind w:firstLine="480"/>
        <w:rPr>
          <w:color w:val="auto"/>
          <w:highlight w:val="none"/>
        </w:rPr>
      </w:pPr>
    </w:p>
    <w:p>
      <w:pPr>
        <w:jc w:val="center"/>
        <w:outlineLvl w:val="2"/>
        <w:rPr>
          <w:rFonts w:ascii="仿宋" w:hAnsi="仿宋" w:eastAsia="仿宋" w:cs="宋体"/>
          <w:b/>
          <w:color w:val="auto"/>
          <w:spacing w:val="6"/>
          <w:sz w:val="36"/>
          <w:szCs w:val="36"/>
          <w:highlight w:val="none"/>
        </w:rPr>
      </w:pPr>
      <w:bookmarkStart w:id="406"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406"/>
    </w:p>
    <w:p>
      <w:pPr>
        <w:pStyle w:val="19"/>
        <w:ind w:firstLine="480"/>
        <w:rPr>
          <w:color w:val="auto"/>
          <w:highlight w:val="none"/>
        </w:rPr>
      </w:pPr>
    </w:p>
    <w:p>
      <w:pPr>
        <w:pStyle w:val="19"/>
        <w:ind w:firstLine="480"/>
        <w:rPr>
          <w:color w:val="auto"/>
          <w:highlight w:val="none"/>
        </w:rPr>
      </w:pPr>
    </w:p>
    <w:p>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pPr>
        <w:spacing w:line="360" w:lineRule="auto"/>
        <w:rPr>
          <w:rFonts w:ascii="仿宋" w:hAnsi="仿宋" w:eastAsia="仿宋" w:cs="宋体"/>
          <w:b/>
          <w:color w:val="auto"/>
          <w:spacing w:val="6"/>
          <w:sz w:val="30"/>
          <w:szCs w:val="30"/>
          <w:highlight w:val="none"/>
        </w:rPr>
      </w:pP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pPr>
        <w:spacing w:line="360" w:lineRule="auto"/>
        <w:ind w:firstLine="480" w:firstLineChars="200"/>
        <w:rPr>
          <w:rFonts w:ascii="仿宋" w:hAnsi="仿宋" w:eastAsia="仿宋" w:cs="宋体"/>
          <w:color w:val="auto"/>
          <w:sz w:val="24"/>
          <w:highlight w:val="none"/>
        </w:rPr>
      </w:pPr>
    </w:p>
    <w:p>
      <w:pPr>
        <w:spacing w:line="360" w:lineRule="auto"/>
        <w:ind w:firstLine="480" w:firstLineChars="200"/>
        <w:rPr>
          <w:rFonts w:ascii="仿宋" w:hAnsi="仿宋" w:eastAsia="仿宋" w:cs="宋体"/>
          <w:color w:val="auto"/>
          <w:sz w:val="24"/>
          <w:highlight w:val="none"/>
        </w:rPr>
      </w:pPr>
    </w:p>
    <w:p>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pPr>
        <w:spacing w:line="360" w:lineRule="auto"/>
        <w:ind w:firstLine="480" w:firstLineChars="200"/>
        <w:rPr>
          <w:rFonts w:ascii="仿宋" w:hAnsi="仿宋" w:eastAsia="仿宋" w:cs="宋体"/>
          <w:color w:val="auto"/>
          <w:sz w:val="24"/>
          <w:highlight w:val="none"/>
        </w:rPr>
      </w:pPr>
    </w:p>
    <w:p>
      <w:pPr>
        <w:spacing w:line="360" w:lineRule="auto"/>
        <w:ind w:firstLine="420" w:firstLineChars="200"/>
        <w:rPr>
          <w:rFonts w:ascii="仿宋" w:hAnsi="仿宋" w:eastAsia="仿宋" w:cs="宋体"/>
          <w:color w:val="auto"/>
          <w:highlight w:val="none"/>
        </w:rPr>
      </w:pPr>
    </w:p>
    <w:p>
      <w:pPr>
        <w:spacing w:line="360" w:lineRule="auto"/>
        <w:ind w:firstLine="420" w:firstLineChars="200"/>
        <w:rPr>
          <w:rFonts w:ascii="仿宋" w:hAnsi="仿宋" w:eastAsia="仿宋" w:cs="宋体"/>
          <w:color w:val="auto"/>
          <w:highlight w:val="none"/>
        </w:rPr>
      </w:pPr>
    </w:p>
    <w:p>
      <w:pPr>
        <w:spacing w:line="360" w:lineRule="auto"/>
        <w:rPr>
          <w:rFonts w:ascii="仿宋" w:hAnsi="仿宋" w:eastAsia="仿宋" w:cs="宋体"/>
          <w:b/>
          <w:color w:val="auto"/>
          <w:sz w:val="24"/>
          <w:highlight w:val="none"/>
        </w:rPr>
      </w:pPr>
    </w:p>
    <w:p>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pPr>
        <w:spacing w:line="360" w:lineRule="auto"/>
        <w:rPr>
          <w:rFonts w:ascii="仿宋" w:hAnsi="仿宋" w:eastAsia="仿宋" w:cs="宋体"/>
          <w:b/>
          <w:color w:val="auto"/>
          <w:sz w:val="24"/>
          <w:highlight w:val="none"/>
        </w:rPr>
      </w:pPr>
    </w:p>
    <w:p>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pPr>
        <w:snapToGrid w:val="0"/>
        <w:spacing w:line="276" w:lineRule="auto"/>
        <w:rPr>
          <w:rFonts w:ascii="仿宋" w:hAnsi="仿宋" w:eastAsia="仿宋" w:cs="宋体"/>
          <w:color w:val="auto"/>
          <w:sz w:val="24"/>
          <w:highlight w:val="none"/>
        </w:rPr>
      </w:pP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pPr>
        <w:rPr>
          <w:color w:val="auto"/>
          <w:highlight w:val="none"/>
        </w:rPr>
      </w:pP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pPr>
        <w:rPr>
          <w:color w:val="auto"/>
          <w:highlight w:val="none"/>
        </w:rPr>
      </w:pPr>
    </w:p>
    <w:p>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spacing w:line="360" w:lineRule="auto"/>
        <w:jc w:val="left"/>
        <w:rPr>
          <w:rFonts w:ascii="仿宋" w:hAnsi="仿宋" w:eastAsia="仿宋" w:cs="宋体"/>
          <w:b/>
          <w:color w:val="auto"/>
          <w:spacing w:val="6"/>
          <w:sz w:val="32"/>
          <w:szCs w:val="32"/>
          <w:highlight w:val="none"/>
        </w:rPr>
      </w:pPr>
    </w:p>
    <w:p>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pPr>
        <w:spacing w:line="360" w:lineRule="auto"/>
        <w:jc w:val="center"/>
        <w:rPr>
          <w:rFonts w:ascii="仿宋" w:hAnsi="仿宋" w:eastAsia="仿宋" w:cs="宋体"/>
          <w:b/>
          <w:color w:val="auto"/>
          <w:sz w:val="24"/>
          <w:highlight w:val="none"/>
        </w:rPr>
      </w:pPr>
    </w:p>
    <w:p>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pPr>
        <w:spacing w:line="360" w:lineRule="auto"/>
        <w:rPr>
          <w:rFonts w:ascii="仿宋" w:hAnsi="仿宋" w:eastAsia="仿宋" w:cs="宋体"/>
          <w:color w:val="auto"/>
          <w:sz w:val="24"/>
          <w:highlight w:val="none"/>
          <w:u w:val="dotted"/>
        </w:rPr>
      </w:pPr>
    </w:p>
    <w:p>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pPr>
        <w:spacing w:line="360" w:lineRule="auto"/>
        <w:rPr>
          <w:rFonts w:ascii="仿宋" w:hAnsi="仿宋" w:eastAsia="仿宋" w:cs="宋体"/>
          <w:color w:val="auto"/>
          <w:sz w:val="24"/>
          <w:highlight w:val="none"/>
          <w:u w:val="dotted"/>
        </w:rPr>
      </w:pPr>
    </w:p>
    <w:p>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pPr>
        <w:spacing w:line="360" w:lineRule="auto"/>
        <w:rPr>
          <w:rFonts w:ascii="仿宋" w:hAnsi="仿宋" w:eastAsia="仿宋" w:cs="宋体"/>
          <w:color w:val="auto"/>
          <w:sz w:val="24"/>
          <w:highlight w:val="none"/>
          <w:u w:val="dotted"/>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pPr>
        <w:spacing w:line="360" w:lineRule="auto"/>
        <w:rPr>
          <w:rFonts w:ascii="仿宋" w:hAnsi="仿宋" w:eastAsia="仿宋" w:cs="宋体"/>
          <w:color w:val="auto"/>
          <w:sz w:val="24"/>
          <w:highlight w:val="none"/>
          <w:u w:val="single"/>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pPr>
        <w:spacing w:line="360" w:lineRule="auto"/>
        <w:rPr>
          <w:rFonts w:ascii="仿宋" w:hAnsi="仿宋" w:eastAsia="仿宋" w:cs="宋体"/>
          <w:b/>
          <w:color w:val="auto"/>
          <w:sz w:val="24"/>
          <w:highlight w:val="none"/>
        </w:rPr>
      </w:pPr>
    </w:p>
    <w:p>
      <w:pPr>
        <w:spacing w:line="360" w:lineRule="auto"/>
        <w:rPr>
          <w:rFonts w:ascii="仿宋" w:hAnsi="仿宋" w:eastAsia="仿宋" w:cs="宋体"/>
          <w:b/>
          <w:color w:val="auto"/>
          <w:sz w:val="24"/>
          <w:highlight w:val="none"/>
        </w:rPr>
      </w:pPr>
    </w:p>
    <w:p>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pPr>
        <w:spacing w:line="360" w:lineRule="auto"/>
        <w:rPr>
          <w:rFonts w:ascii="仿宋" w:hAnsi="仿宋" w:eastAsia="仿宋" w:cs="宋体"/>
          <w:color w:val="auto"/>
          <w:sz w:val="24"/>
          <w:highlight w:val="none"/>
          <w:u w:val="single"/>
        </w:rPr>
      </w:pPr>
    </w:p>
    <w:p>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rPr>
        <w:t>浙江科技学院、浙江华耀建设咨询有限公司</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pPr>
        <w:spacing w:line="360" w:lineRule="auto"/>
        <w:ind w:firstLine="494"/>
        <w:rPr>
          <w:rFonts w:ascii="仿宋" w:hAnsi="仿宋" w:eastAsia="仿宋" w:cs="宋体"/>
          <w:color w:val="auto"/>
          <w:sz w:val="24"/>
          <w:highlight w:val="none"/>
        </w:rPr>
      </w:pPr>
    </w:p>
    <w:p>
      <w:pPr>
        <w:spacing w:line="360" w:lineRule="auto"/>
        <w:ind w:firstLine="494"/>
        <w:rPr>
          <w:rFonts w:ascii="仿宋" w:hAnsi="仿宋" w:eastAsia="仿宋" w:cs="宋体"/>
          <w:color w:val="auto"/>
          <w:sz w:val="24"/>
          <w:highlight w:val="none"/>
        </w:rPr>
      </w:pPr>
    </w:p>
    <w:p>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autoSpaceDE w:val="0"/>
        <w:autoSpaceDN w:val="0"/>
        <w:jc w:val="center"/>
        <w:rPr>
          <w:rFonts w:ascii="仿宋" w:hAnsi="仿宋" w:eastAsia="仿宋" w:cs="宋体"/>
          <w:b/>
          <w:color w:val="auto"/>
          <w:spacing w:val="6"/>
          <w:sz w:val="32"/>
          <w:szCs w:val="32"/>
          <w:highlight w:val="none"/>
        </w:rPr>
      </w:pP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pPr>
        <w:snapToGrid w:val="0"/>
        <w:spacing w:line="276" w:lineRule="auto"/>
        <w:ind w:firstLine="576"/>
        <w:rPr>
          <w:rFonts w:ascii="仿宋" w:hAnsi="仿宋" w:eastAsia="仿宋" w:cs="宋体"/>
          <w:color w:val="auto"/>
          <w:kern w:val="0"/>
          <w:sz w:val="24"/>
          <w:highlight w:val="none"/>
          <w:lang w:val="zh-CN"/>
        </w:rPr>
      </w:pPr>
      <w:bookmarkStart w:id="407"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407"/>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2、中小企业合同金额达到%，其中小微企业合同金额达到%</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lang w:eastAsia="zh-CN"/>
        </w:rPr>
        <w:t>2024年安吉校区小额维修工程项目</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ZJHY-KJDX2024005</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pPr>
        <w:ind w:firstLine="708" w:firstLineChars="295"/>
        <w:rPr>
          <w:color w:val="auto"/>
          <w:highlight w:val="none"/>
        </w:rPr>
      </w:pPr>
      <w:r>
        <w:rPr>
          <w:rFonts w:hint="eastAsia" w:ascii="仿宋" w:hAnsi="仿宋" w:eastAsia="仿宋" w:cs="宋体"/>
          <w:color w:val="auto"/>
          <w:kern w:val="0"/>
          <w:sz w:val="24"/>
          <w:highlight w:val="none"/>
        </w:rPr>
        <w:t>……</w:t>
      </w: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408" w:name="_Hlk101133173"/>
      <w:r>
        <w:rPr>
          <w:rFonts w:hint="eastAsia" w:ascii="仿宋" w:hAnsi="仿宋" w:eastAsia="仿宋" w:cs="宋体"/>
          <w:color w:val="auto"/>
          <w:sz w:val="24"/>
          <w:highlight w:val="none"/>
        </w:rPr>
        <w:t>中小企业合同金额达到%，其中小微企业合同金额达到%</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408"/>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pPr>
        <w:rPr>
          <w:color w:val="auto"/>
          <w:highlight w:val="none"/>
        </w:rPr>
      </w:pPr>
    </w:p>
    <w:p>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pPr>
        <w:rPr>
          <w:color w:val="auto"/>
          <w:highlight w:val="none"/>
        </w:rPr>
      </w:pPr>
    </w:p>
    <w:p>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pPr>
        <w:spacing w:line="276" w:lineRule="auto"/>
        <w:rPr>
          <w:color w:val="auto"/>
          <w:highlight w:val="none"/>
        </w:rPr>
      </w:pPr>
    </w:p>
    <w:p>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pPr>
        <w:spacing w:line="360" w:lineRule="auto"/>
        <w:jc w:val="center"/>
        <w:rPr>
          <w:rFonts w:ascii="仿宋" w:hAnsi="仿宋" w:eastAsia="仿宋" w:cs="宋体"/>
          <w:color w:val="auto"/>
          <w:sz w:val="24"/>
          <w:highlight w:val="none"/>
          <w:u w:val="single"/>
        </w:rPr>
      </w:pPr>
    </w:p>
    <w:p>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rPr>
        <w:t xml:space="preserve">浙江科技学院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2024年安吉校区小额维修工程项目</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（中型企业、小型企业、微型企业） </w:t>
      </w: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（中型企业、小型企业、微型企业） </w:t>
      </w: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pPr>
        <w:spacing w:line="360" w:lineRule="auto"/>
        <w:ind w:firstLine="480" w:firstLineChars="200"/>
        <w:rPr>
          <w:rFonts w:ascii="仿宋" w:hAnsi="仿宋" w:eastAsia="仿宋" w:cs="宋体"/>
          <w:color w:val="auto"/>
          <w:sz w:val="24"/>
          <w:highlight w:val="none"/>
        </w:rPr>
      </w:pPr>
    </w:p>
    <w:p>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pPr>
        <w:pStyle w:val="4"/>
        <w:pBdr>
          <w:bottom w:val="single" w:color="auto" w:sz="4" w:space="1"/>
        </w:pBdr>
        <w:rPr>
          <w:color w:val="auto"/>
          <w:sz w:val="21"/>
          <w:szCs w:val="18"/>
          <w:highlight w:val="none"/>
        </w:rPr>
      </w:pPr>
    </w:p>
    <w:p>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1、填写要求：</w:t>
      </w:r>
      <w:r>
        <w:rPr>
          <w:rFonts w:hint="eastAsia" w:ascii="仿宋" w:hAnsi="仿宋" w:eastAsia="仿宋" w:cs="宋体"/>
          <w:b/>
          <w:bCs/>
          <w:color w:val="auto"/>
          <w:sz w:val="24"/>
          <w:highlight w:val="none"/>
          <w:u w:val="single"/>
        </w:rPr>
        <w:t>①“标的名称”、“采购文件中明确的所属行业”依据招标文件第二部分投标人须知前附表中“采购标的及其对应的中小企业划分标准所属行业”的指引，逐一填写，不得缺漏；</w:t>
      </w:r>
      <w:r>
        <w:rPr>
          <w:rFonts w:hint="eastAsia" w:ascii="仿宋" w:hAnsi="仿宋" w:eastAsia="仿宋" w:cs="宋体"/>
          <w:color w:val="auto"/>
          <w:sz w:val="24"/>
          <w:highlight w:val="none"/>
        </w:rPr>
        <w:t>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ascii="仿宋" w:hAnsi="仿宋" w:eastAsia="仿宋" w:cs="宋体"/>
          <w:sz w:val="24"/>
        </w:rPr>
      </w:pPr>
      <w:r>
        <w:rPr>
          <w:rFonts w:hint="eastAsia" w:ascii="仿宋" w:hAnsi="仿宋" w:eastAsia="仿宋"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spacing w:line="360" w:lineRule="auto"/>
        <w:jc w:val="center"/>
        <w:rPr>
          <w:rFonts w:ascii="仿宋" w:hAnsi="仿宋" w:eastAsia="仿宋" w:cs="宋体"/>
          <w:b/>
          <w:sz w:val="32"/>
          <w:szCs w:val="32"/>
        </w:rPr>
      </w:pPr>
    </w:p>
    <w:p>
      <w:pPr>
        <w:spacing w:line="360" w:lineRule="auto"/>
        <w:jc w:val="center"/>
        <w:rPr>
          <w:rFonts w:ascii="仿宋" w:hAnsi="仿宋" w:eastAsia="仿宋" w:cs="宋体"/>
          <w:b/>
          <w:sz w:val="32"/>
          <w:szCs w:val="32"/>
        </w:rPr>
      </w:pPr>
    </w:p>
    <w:p>
      <w:pPr>
        <w:spacing w:line="360" w:lineRule="auto"/>
        <w:jc w:val="center"/>
        <w:rPr>
          <w:rFonts w:ascii="仿宋" w:hAnsi="仿宋" w:eastAsia="仿宋" w:cs="宋体"/>
          <w:b/>
          <w:sz w:val="32"/>
          <w:szCs w:val="32"/>
        </w:rPr>
      </w:pPr>
    </w:p>
    <w:p>
      <w:pPr>
        <w:spacing w:line="360" w:lineRule="auto"/>
        <w:jc w:val="center"/>
        <w:rPr>
          <w:rFonts w:ascii="仿宋" w:hAnsi="仿宋" w:eastAsia="仿宋" w:cs="宋体"/>
          <w:b/>
          <w:sz w:val="32"/>
          <w:szCs w:val="32"/>
        </w:rPr>
      </w:pPr>
    </w:p>
    <w:p>
      <w:pPr>
        <w:spacing w:line="360" w:lineRule="auto"/>
        <w:jc w:val="center"/>
        <w:rPr>
          <w:rFonts w:ascii="仿宋" w:hAnsi="仿宋" w:eastAsia="仿宋" w:cs="宋体"/>
          <w:b/>
          <w:sz w:val="32"/>
          <w:szCs w:val="32"/>
        </w:rPr>
      </w:pPr>
    </w:p>
    <w:p>
      <w:pPr>
        <w:pStyle w:val="19"/>
        <w:ind w:firstLine="480"/>
      </w:pPr>
    </w:p>
    <w:p>
      <w:pPr>
        <w:pStyle w:val="19"/>
        <w:ind w:firstLine="480"/>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7"/>
      </w:rPr>
    </w:pPr>
    <w:r>
      <w:fldChar w:fldCharType="begin"/>
    </w:r>
    <w:r>
      <w:rPr>
        <w:rStyle w:val="17"/>
      </w:rPr>
      <w:instrText xml:space="preserve">PAGE  </w:instrText>
    </w:r>
    <w:r>
      <w:fldChar w:fldCharType="end"/>
    </w:r>
  </w:p>
  <w:p>
    <w:pPr>
      <w:pStyle w:val="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409" w:name="_Toc131845147"/>
    <w:bookmarkStart w:id="410" w:name="_Toc36110187"/>
    <w:bookmarkStart w:id="411" w:name="_Toc164085800"/>
    <w:bookmarkStart w:id="412" w:name="_Toc91899912"/>
    <w:r>
      <w:rPr>
        <w:rFonts w:hint="eastAsia" w:ascii="仿宋_GB2312" w:eastAsia="仿宋_GB2312"/>
        <w:kern w:val="0"/>
        <w:szCs w:val="21"/>
      </w:rPr>
      <w:t xml:space="preserve"> 页</w:t>
    </w:r>
    <w:bookmarkEnd w:id="409"/>
    <w:bookmarkEnd w:id="410"/>
    <w:bookmarkEnd w:id="411"/>
    <w:bookmarkEnd w:id="412"/>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dit="readOnly" w:formatting="1" w:enforcement="1" w:cryptProviderType="rsaFull" w:cryptAlgorithmClass="hash" w:cryptAlgorithmType="typeAny" w:cryptAlgorithmSid="4" w:cryptSpinCount="0" w:hash="TikBMQ5HxGU/0V9Fc/WSiQ1Rwww=" w:salt="e0RUdJOlncbgz6x6hkdWP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yMDUwY2MxMWViYTM5MDQ2MmIzOTM1YmJlNjBjZDIifQ=="/>
  </w:docVars>
  <w:rsids>
    <w:rsidRoot w:val="005765F9"/>
    <w:rsid w:val="00014036"/>
    <w:rsid w:val="00022852"/>
    <w:rsid w:val="0005340B"/>
    <w:rsid w:val="00110294"/>
    <w:rsid w:val="001F3D6F"/>
    <w:rsid w:val="00225F54"/>
    <w:rsid w:val="002E5F08"/>
    <w:rsid w:val="003C3A4C"/>
    <w:rsid w:val="005765F9"/>
    <w:rsid w:val="005C5F3D"/>
    <w:rsid w:val="007F0D53"/>
    <w:rsid w:val="00826917"/>
    <w:rsid w:val="008364C5"/>
    <w:rsid w:val="00905460"/>
    <w:rsid w:val="0092274E"/>
    <w:rsid w:val="009624FF"/>
    <w:rsid w:val="00A3277B"/>
    <w:rsid w:val="00AC548A"/>
    <w:rsid w:val="00B73D39"/>
    <w:rsid w:val="00B8078C"/>
    <w:rsid w:val="00BE3002"/>
    <w:rsid w:val="00DE1339"/>
    <w:rsid w:val="00E147BE"/>
    <w:rsid w:val="00E83801"/>
    <w:rsid w:val="00EB7FBB"/>
    <w:rsid w:val="00FE1E5B"/>
    <w:rsid w:val="010A29DC"/>
    <w:rsid w:val="014F03EF"/>
    <w:rsid w:val="0197630E"/>
    <w:rsid w:val="01B768CE"/>
    <w:rsid w:val="01EF3980"/>
    <w:rsid w:val="02FC0103"/>
    <w:rsid w:val="030D6FA9"/>
    <w:rsid w:val="03101E00"/>
    <w:rsid w:val="03802AE2"/>
    <w:rsid w:val="040354C1"/>
    <w:rsid w:val="063061C2"/>
    <w:rsid w:val="06344057"/>
    <w:rsid w:val="06C47189"/>
    <w:rsid w:val="0727313F"/>
    <w:rsid w:val="07E8026A"/>
    <w:rsid w:val="080425AC"/>
    <w:rsid w:val="083D71F3"/>
    <w:rsid w:val="08B80F70"/>
    <w:rsid w:val="09385C0D"/>
    <w:rsid w:val="09A339CE"/>
    <w:rsid w:val="09D65B51"/>
    <w:rsid w:val="0C4274CE"/>
    <w:rsid w:val="0CC04897"/>
    <w:rsid w:val="0CC53C5B"/>
    <w:rsid w:val="0CE42333"/>
    <w:rsid w:val="0D166FB7"/>
    <w:rsid w:val="0D340C31"/>
    <w:rsid w:val="0D3861DB"/>
    <w:rsid w:val="0D8E6743"/>
    <w:rsid w:val="0DA47749"/>
    <w:rsid w:val="0E121122"/>
    <w:rsid w:val="0ED63EFE"/>
    <w:rsid w:val="101A42BE"/>
    <w:rsid w:val="10394744"/>
    <w:rsid w:val="10A36062"/>
    <w:rsid w:val="10B5751E"/>
    <w:rsid w:val="10DB62AB"/>
    <w:rsid w:val="11733C86"/>
    <w:rsid w:val="11C95F9C"/>
    <w:rsid w:val="12466A5C"/>
    <w:rsid w:val="12DB5F87"/>
    <w:rsid w:val="140861C9"/>
    <w:rsid w:val="15D46CBD"/>
    <w:rsid w:val="16500A3A"/>
    <w:rsid w:val="16970417"/>
    <w:rsid w:val="17884B7F"/>
    <w:rsid w:val="184E0FA9"/>
    <w:rsid w:val="189864C6"/>
    <w:rsid w:val="198B3B37"/>
    <w:rsid w:val="19A60971"/>
    <w:rsid w:val="1A092FC9"/>
    <w:rsid w:val="1A220B7E"/>
    <w:rsid w:val="1A9B5FFB"/>
    <w:rsid w:val="1B001029"/>
    <w:rsid w:val="1B8F4D19"/>
    <w:rsid w:val="1BF9712D"/>
    <w:rsid w:val="1C362480"/>
    <w:rsid w:val="1C3E30E2"/>
    <w:rsid w:val="1CE65C54"/>
    <w:rsid w:val="1CF85987"/>
    <w:rsid w:val="1EFF4DAB"/>
    <w:rsid w:val="1FB262C1"/>
    <w:rsid w:val="206155F1"/>
    <w:rsid w:val="21531EF1"/>
    <w:rsid w:val="21555156"/>
    <w:rsid w:val="21570ECE"/>
    <w:rsid w:val="223B259E"/>
    <w:rsid w:val="239161EE"/>
    <w:rsid w:val="24661642"/>
    <w:rsid w:val="25755DC7"/>
    <w:rsid w:val="267E0CAB"/>
    <w:rsid w:val="27E2170E"/>
    <w:rsid w:val="286946EB"/>
    <w:rsid w:val="28BE1833"/>
    <w:rsid w:val="2A2658E2"/>
    <w:rsid w:val="2B1C4F36"/>
    <w:rsid w:val="2C5A3F68"/>
    <w:rsid w:val="2D947006"/>
    <w:rsid w:val="2DD9710F"/>
    <w:rsid w:val="2E6E34C0"/>
    <w:rsid w:val="2F47449B"/>
    <w:rsid w:val="2F494717"/>
    <w:rsid w:val="2F792957"/>
    <w:rsid w:val="328C0BF4"/>
    <w:rsid w:val="328F49B3"/>
    <w:rsid w:val="337771AE"/>
    <w:rsid w:val="33792F26"/>
    <w:rsid w:val="33CB74FA"/>
    <w:rsid w:val="33D62126"/>
    <w:rsid w:val="375872F6"/>
    <w:rsid w:val="3814146F"/>
    <w:rsid w:val="385304B5"/>
    <w:rsid w:val="385C6444"/>
    <w:rsid w:val="38D20DDA"/>
    <w:rsid w:val="3A571074"/>
    <w:rsid w:val="3AC70A1B"/>
    <w:rsid w:val="3BFA35D6"/>
    <w:rsid w:val="3CCF5BD5"/>
    <w:rsid w:val="3D34119E"/>
    <w:rsid w:val="3F4C5993"/>
    <w:rsid w:val="3F6C4BD8"/>
    <w:rsid w:val="40994C08"/>
    <w:rsid w:val="40C15F0C"/>
    <w:rsid w:val="41831414"/>
    <w:rsid w:val="41EF0857"/>
    <w:rsid w:val="423A4B81"/>
    <w:rsid w:val="42DE0FF8"/>
    <w:rsid w:val="432A5E53"/>
    <w:rsid w:val="43320115"/>
    <w:rsid w:val="43821B3D"/>
    <w:rsid w:val="43876DE9"/>
    <w:rsid w:val="43896BE3"/>
    <w:rsid w:val="475950F1"/>
    <w:rsid w:val="49042E3A"/>
    <w:rsid w:val="49137521"/>
    <w:rsid w:val="49584F34"/>
    <w:rsid w:val="49BE56DF"/>
    <w:rsid w:val="49F70BF1"/>
    <w:rsid w:val="4A1B12FF"/>
    <w:rsid w:val="4A9401EE"/>
    <w:rsid w:val="4BA95F1B"/>
    <w:rsid w:val="4CC21042"/>
    <w:rsid w:val="4D3C7046"/>
    <w:rsid w:val="4E017477"/>
    <w:rsid w:val="4E3C4E24"/>
    <w:rsid w:val="4EE8179E"/>
    <w:rsid w:val="4F3B1580"/>
    <w:rsid w:val="50CC6933"/>
    <w:rsid w:val="51431DF8"/>
    <w:rsid w:val="51842D6A"/>
    <w:rsid w:val="51B11685"/>
    <w:rsid w:val="53281E1B"/>
    <w:rsid w:val="53CC6C4A"/>
    <w:rsid w:val="53DC50DF"/>
    <w:rsid w:val="562763BA"/>
    <w:rsid w:val="564C5E20"/>
    <w:rsid w:val="574511ED"/>
    <w:rsid w:val="579E445A"/>
    <w:rsid w:val="580469B3"/>
    <w:rsid w:val="586F3DF2"/>
    <w:rsid w:val="58871392"/>
    <w:rsid w:val="588B70D4"/>
    <w:rsid w:val="58FB62CC"/>
    <w:rsid w:val="5980475F"/>
    <w:rsid w:val="599124C8"/>
    <w:rsid w:val="59FD190B"/>
    <w:rsid w:val="5AA75D1B"/>
    <w:rsid w:val="5ADA1C4D"/>
    <w:rsid w:val="5AEB5B70"/>
    <w:rsid w:val="5B81031A"/>
    <w:rsid w:val="5C3D545C"/>
    <w:rsid w:val="5E33542B"/>
    <w:rsid w:val="5E421FE3"/>
    <w:rsid w:val="5EF305C4"/>
    <w:rsid w:val="5F180F96"/>
    <w:rsid w:val="6008100A"/>
    <w:rsid w:val="60912DAE"/>
    <w:rsid w:val="6115578D"/>
    <w:rsid w:val="6192502F"/>
    <w:rsid w:val="629372B1"/>
    <w:rsid w:val="62B428B2"/>
    <w:rsid w:val="638906B4"/>
    <w:rsid w:val="63A27C22"/>
    <w:rsid w:val="6416019A"/>
    <w:rsid w:val="64DD2A65"/>
    <w:rsid w:val="659D7510"/>
    <w:rsid w:val="67AC3E18"/>
    <w:rsid w:val="688F22C8"/>
    <w:rsid w:val="69110F2F"/>
    <w:rsid w:val="695A7FC8"/>
    <w:rsid w:val="6A386990"/>
    <w:rsid w:val="6A537326"/>
    <w:rsid w:val="6A6D1975"/>
    <w:rsid w:val="6AD62431"/>
    <w:rsid w:val="6B2667E8"/>
    <w:rsid w:val="6B7862B6"/>
    <w:rsid w:val="6CD66567"/>
    <w:rsid w:val="6E2E60E0"/>
    <w:rsid w:val="6F6124E5"/>
    <w:rsid w:val="6F811C91"/>
    <w:rsid w:val="6FEA072C"/>
    <w:rsid w:val="70052E70"/>
    <w:rsid w:val="718030F6"/>
    <w:rsid w:val="71C07997"/>
    <w:rsid w:val="724C4D86"/>
    <w:rsid w:val="72F01BB6"/>
    <w:rsid w:val="737022F4"/>
    <w:rsid w:val="739E5AB6"/>
    <w:rsid w:val="74EB1041"/>
    <w:rsid w:val="771922FB"/>
    <w:rsid w:val="782338B6"/>
    <w:rsid w:val="78D36201"/>
    <w:rsid w:val="7A1563A6"/>
    <w:rsid w:val="7A682979"/>
    <w:rsid w:val="7B4909FD"/>
    <w:rsid w:val="7B5D1DB2"/>
    <w:rsid w:val="7D80447E"/>
    <w:rsid w:val="7DA41F1A"/>
    <w:rsid w:val="7DC16157"/>
    <w:rsid w:val="7E374B3D"/>
    <w:rsid w:val="7EB46AB3"/>
    <w:rsid w:val="7F5E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widowControl/>
      <w:snapToGrid w:val="0"/>
      <w:spacing w:line="480" w:lineRule="exact"/>
      <w:ind w:firstLine="567"/>
    </w:pPr>
    <w:rPr>
      <w:rFonts w:ascii="宋体"/>
      <w:snapToGrid w:val="0"/>
      <w:color w:val="000000"/>
      <w:kern w:val="28"/>
      <w:sz w:val="28"/>
      <w:szCs w:val="20"/>
    </w:rPr>
  </w:style>
  <w:style w:type="paragraph" w:styleId="4">
    <w:name w:val="Body Text"/>
    <w:basedOn w:val="1"/>
    <w:next w:val="5"/>
    <w:autoRedefine/>
    <w:qFormat/>
    <w:uiPriority w:val="0"/>
    <w:pPr>
      <w:autoSpaceDE w:val="0"/>
      <w:autoSpaceDN w:val="0"/>
      <w:spacing w:line="360" w:lineRule="auto"/>
    </w:pPr>
    <w:rPr>
      <w:rFonts w:ascii="宋体" w:hAnsi="Arial" w:cs="Arial"/>
      <w:snapToGrid w:val="0"/>
      <w:sz w:val="24"/>
      <w:szCs w:val="21"/>
      <w:lang w:val="zh-CN"/>
    </w:rPr>
  </w:style>
  <w:style w:type="paragraph" w:styleId="5">
    <w:name w:val="Body Text First Indent"/>
    <w:basedOn w:val="4"/>
    <w:next w:val="6"/>
    <w:autoRedefine/>
    <w:qFormat/>
    <w:uiPriority w:val="0"/>
    <w:pPr>
      <w:ind w:firstLine="420"/>
    </w:pPr>
    <w:rPr>
      <w:rFonts w:hAnsi="Calibri" w:cs="Times New Roman"/>
      <w:snapToGrid/>
      <w:szCs w:val="20"/>
    </w:rPr>
  </w:style>
  <w:style w:type="paragraph" w:styleId="6">
    <w:name w:val="toc 6"/>
    <w:basedOn w:val="1"/>
    <w:next w:val="1"/>
    <w:autoRedefine/>
    <w:qFormat/>
    <w:uiPriority w:val="0"/>
    <w:pPr>
      <w:ind w:left="2100" w:leftChars="1000"/>
    </w:pPr>
  </w:style>
  <w:style w:type="paragraph" w:styleId="7">
    <w:name w:val="Body Text Indent"/>
    <w:basedOn w:val="1"/>
    <w:next w:val="1"/>
    <w:autoRedefine/>
    <w:qFormat/>
    <w:uiPriority w:val="0"/>
    <w:pPr>
      <w:spacing w:line="480" w:lineRule="exact"/>
      <w:ind w:firstLine="480" w:firstLineChars="200"/>
    </w:pPr>
    <w:rPr>
      <w:rFonts w:ascii="宋体" w:hAnsi="宋体"/>
      <w:sz w:val="24"/>
    </w:rPr>
  </w:style>
  <w:style w:type="paragraph" w:styleId="8">
    <w:name w:val="Plain Text"/>
    <w:basedOn w:val="1"/>
    <w:autoRedefine/>
    <w:qFormat/>
    <w:uiPriority w:val="0"/>
    <w:rPr>
      <w:rFonts w:ascii="宋体" w:hAnsi="Courier New" w:cs="Arial"/>
      <w:snapToGrid w:val="0"/>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style>
  <w:style w:type="paragraph" w:styleId="12">
    <w:name w:val="Normal (Web)"/>
    <w:basedOn w:val="1"/>
    <w:qFormat/>
    <w:uiPriority w:val="99"/>
    <w:pPr>
      <w:widowControl/>
      <w:spacing w:before="100" w:beforeAutospacing="1" w:after="100" w:afterAutospacing="1"/>
      <w:jc w:val="left"/>
    </w:pPr>
    <w:rPr>
      <w:rFonts w:ascii="宋体" w:hAnsi="宋体"/>
      <w:kern w:val="0"/>
      <w:sz w:val="24"/>
    </w:rPr>
  </w:style>
  <w:style w:type="paragraph" w:styleId="13">
    <w:name w:val="Body Text First Indent 2"/>
    <w:basedOn w:val="7"/>
    <w:autoRedefine/>
    <w:qFormat/>
    <w:uiPriority w:val="0"/>
    <w:pPr>
      <w:adjustRightInd/>
      <w:spacing w:after="120" w:line="240" w:lineRule="auto"/>
      <w:ind w:left="420" w:leftChars="200" w:firstLine="210"/>
    </w:pPr>
    <w:rPr>
      <w:sz w:val="21"/>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rPr>
      <w:rFonts w:ascii="Arial" w:hAnsi="Arial" w:eastAsia="黑体" w:cs="Arial"/>
      <w:snapToGrid w:val="0"/>
      <w:kern w:val="0"/>
      <w:szCs w:val="21"/>
    </w:rPr>
  </w:style>
  <w:style w:type="character" w:styleId="18">
    <w:name w:val="Hyperlink"/>
    <w:autoRedefine/>
    <w:qFormat/>
    <w:uiPriority w:val="99"/>
    <w:rPr>
      <w:rFonts w:ascii="Arial" w:hAnsi="Arial" w:eastAsia="黑体" w:cs="Arial"/>
      <w:snapToGrid w:val="0"/>
      <w:color w:val="000000"/>
      <w:kern w:val="0"/>
      <w:sz w:val="18"/>
      <w:szCs w:val="18"/>
      <w:u w:val="none"/>
    </w:rPr>
  </w:style>
  <w:style w:type="paragraph" w:customStyle="1" w:styleId="19">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20">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1">
    <w:name w:val="正文2"/>
    <w:basedOn w:val="1"/>
    <w:autoRedefine/>
    <w:qFormat/>
    <w:uiPriority w:val="0"/>
    <w:pPr>
      <w:spacing w:before="156" w:line="360" w:lineRule="auto"/>
      <w:ind w:firstLine="510" w:firstLineChars="200"/>
    </w:pPr>
    <w:rPr>
      <w:sz w:val="24"/>
      <w:szCs w:val="20"/>
    </w:rPr>
  </w:style>
  <w:style w:type="paragraph" w:customStyle="1" w:styleId="22">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3">
    <w:name w:val="htd01"/>
    <w:autoRedefine/>
    <w:qFormat/>
    <w:uiPriority w:val="0"/>
    <w:rPr>
      <w:spacing w:val="240"/>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5">
    <w:name w:val="纯文本_0_0"/>
    <w:basedOn w:val="26"/>
    <w:autoRedefine/>
    <w:qFormat/>
    <w:uiPriority w:val="0"/>
    <w:rPr>
      <w:rFonts w:ascii="宋体" w:hAnsi="Courier New"/>
      <w:szCs w:val="21"/>
    </w:rPr>
  </w:style>
  <w:style w:type="paragraph" w:customStyle="1" w:styleId="2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样式 表内正文 + 五号 行距: 单倍行距"/>
    <w:basedOn w:val="28"/>
    <w:autoRedefine/>
    <w:qFormat/>
    <w:uiPriority w:val="0"/>
    <w:pPr>
      <w:spacing w:line="240" w:lineRule="auto"/>
      <w:ind w:firstLine="0" w:firstLineChars="0"/>
    </w:pPr>
    <w:rPr>
      <w:rFonts w:ascii="Arial" w:hAnsi="Arial" w:cs="宋体"/>
      <w:sz w:val="21"/>
    </w:rPr>
  </w:style>
  <w:style w:type="paragraph" w:customStyle="1" w:styleId="28">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29">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0">
    <w:name w:val="样式 正文文本"/>
    <w:basedOn w:val="1"/>
    <w:autoRedefine/>
    <w:qFormat/>
    <w:uiPriority w:val="0"/>
    <w:pPr>
      <w:adjustRightInd w:val="0"/>
      <w:snapToGrid w:val="0"/>
      <w:spacing w:line="400" w:lineRule="exact"/>
      <w:ind w:firstLine="200" w:firstLineChars="200"/>
    </w:pPr>
    <w:rPr>
      <w:rFonts w:ascii="Arial" w:hAnsi="Arial" w:cs="宋体"/>
      <w:color w:val="00000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72</Pages>
  <Words>39249</Words>
  <Characters>41262</Characters>
  <Lines>533</Lines>
  <Paragraphs>150</Paragraphs>
  <TotalTime>6</TotalTime>
  <ScaleCrop>false</ScaleCrop>
  <LinksUpToDate>false</LinksUpToDate>
  <CharactersWithSpaces>44004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2024-06-05T07:05:43Z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A3A33F3F1D2F4268846D87893FE9C370_13</vt:lpwstr>
  </property>
</Properties>
</file>