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b/>
          <w:sz w:val="52"/>
          <w:szCs w:val="52"/>
        </w:rPr>
      </w:pPr>
    </w:p>
    <w:p>
      <w:pPr>
        <w:adjustRightInd/>
        <w:spacing w:line="360" w:lineRule="auto"/>
        <w:jc w:val="center"/>
        <w:rPr>
          <w:rFonts w:hint="eastAsia" w:ascii="宋体" w:hAnsi="宋体" w:eastAsia="宋体" w:cs="宋体"/>
          <w:b/>
          <w:sz w:val="52"/>
          <w:szCs w:val="52"/>
          <w:lang w:eastAsia="zh-CN"/>
        </w:rPr>
      </w:pPr>
      <w:r>
        <w:rPr>
          <w:rFonts w:hint="eastAsia" w:ascii="宋体" w:hAnsi="宋体" w:cs="宋体"/>
          <w:b/>
          <w:sz w:val="44"/>
          <w:szCs w:val="44"/>
          <w:lang w:eastAsia="zh-CN"/>
        </w:rPr>
        <w:t>2025年钱塘区公路路况、桥梁检测项目</w:t>
      </w:r>
    </w:p>
    <w:p>
      <w:pPr>
        <w:adjustRightInd/>
        <w:spacing w:line="360" w:lineRule="auto"/>
        <w:jc w:val="center"/>
        <w:rPr>
          <w:rFonts w:hint="eastAsia" w:ascii="宋体" w:hAnsi="宋体" w:cs="宋体"/>
          <w:b/>
          <w:sz w:val="52"/>
          <w:szCs w:val="52"/>
        </w:rPr>
      </w:pPr>
    </w:p>
    <w:p>
      <w:pPr>
        <w:adjustRightInd/>
        <w:spacing w:line="360" w:lineRule="auto"/>
        <w:jc w:val="center"/>
        <w:rPr>
          <w:rFonts w:hint="eastAsia" w:ascii="宋体" w:hAnsi="宋体" w:cs="宋体"/>
          <w:b/>
          <w:sz w:val="52"/>
          <w:szCs w:val="52"/>
        </w:rPr>
      </w:pPr>
      <w:r>
        <w:rPr>
          <w:rFonts w:hint="eastAsia" w:ascii="宋体" w:hAnsi="宋体" w:cs="宋体"/>
          <w:b/>
          <w:sz w:val="52"/>
          <w:szCs w:val="52"/>
        </w:rPr>
        <w:t>招标文件</w:t>
      </w:r>
    </w:p>
    <w:p>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（电子招投标）</w:t>
      </w:r>
    </w:p>
    <w:p>
      <w:pPr>
        <w:adjustRightInd/>
        <w:spacing w:line="360" w:lineRule="auto"/>
        <w:jc w:val="center"/>
        <w:rPr>
          <w:rFonts w:hint="eastAsia" w:ascii="宋体" w:hAnsi="宋体" w:cs="宋体"/>
          <w:b/>
          <w:color w:val="FF0000"/>
          <w:sz w:val="44"/>
          <w:szCs w:val="44"/>
          <w:highlight w:val="none"/>
        </w:rPr>
      </w:pPr>
      <w:r>
        <w:rPr>
          <w:rFonts w:hint="eastAsia" w:ascii="宋体" w:hAnsi="宋体" w:cs="宋体"/>
          <w:b/>
          <w:color w:val="auto"/>
          <w:sz w:val="44"/>
          <w:szCs w:val="44"/>
          <w:highlight w:val="none"/>
        </w:rPr>
        <w:t>项目编号:</w:t>
      </w:r>
      <w:r>
        <w:rPr>
          <w:rFonts w:hint="eastAsia" w:ascii="宋体" w:hAnsi="宋体" w:cs="宋体"/>
          <w:b/>
          <w:color w:val="auto"/>
          <w:sz w:val="44"/>
          <w:szCs w:val="44"/>
          <w:highlight w:val="none"/>
          <w:lang w:eastAsia="zh-CN"/>
        </w:rPr>
        <w:t>QTCG-GK-2024-307</w:t>
      </w:r>
      <w:r>
        <w:rPr>
          <w:rFonts w:hint="eastAsia" w:ascii="宋体" w:hAnsi="宋体" w:cs="宋体"/>
          <w:b/>
          <w:color w:val="FF0000"/>
          <w:sz w:val="44"/>
          <w:szCs w:val="44"/>
          <w:highlight w:val="none"/>
        </w:rPr>
        <w:t xml:space="preserve">  </w:t>
      </w:r>
    </w:p>
    <w:p>
      <w:pPr>
        <w:spacing w:line="360" w:lineRule="auto"/>
        <w:jc w:val="center"/>
        <w:rPr>
          <w:rFonts w:hint="eastAsia" w:ascii="宋体" w:hAnsi="宋体" w:cs="宋体"/>
          <w:b/>
          <w:sz w:val="44"/>
          <w:szCs w:val="44"/>
        </w:rPr>
      </w:pPr>
    </w:p>
    <w:p>
      <w:pPr>
        <w:pStyle w:val="6"/>
        <w:rPr>
          <w:rFonts w:hint="eastAsia" w:hAnsi="宋体" w:cs="宋体"/>
          <w:lang w:val="en-US"/>
        </w:rPr>
      </w:pPr>
    </w:p>
    <w:p>
      <w:pPr>
        <w:pStyle w:val="14"/>
        <w:rPr>
          <w:rFonts w:hint="eastAsia" w:hAnsi="宋体" w:cs="宋体"/>
          <w:lang w:val="en-US"/>
        </w:rPr>
      </w:pPr>
    </w:p>
    <w:p>
      <w:pPr>
        <w:pStyle w:val="12"/>
        <w:rPr>
          <w:rFonts w:hint="eastAsia" w:hAnsi="宋体" w:cs="宋体"/>
          <w:lang w:val="en-US"/>
        </w:rPr>
      </w:pPr>
    </w:p>
    <w:p>
      <w:pPr>
        <w:rPr>
          <w:rFonts w:hint="eastAsia" w:hAnsi="宋体" w:cs="宋体"/>
          <w:lang w:val="en-US"/>
        </w:rPr>
      </w:pPr>
    </w:p>
    <w:p>
      <w:pPr>
        <w:pStyle w:val="3"/>
        <w:rPr>
          <w:rFonts w:hint="eastAsia"/>
          <w:lang w:val="en-US"/>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pStyle w:val="5"/>
        <w:rPr>
          <w:rFonts w:hint="eastAsia" w:hAnsi="宋体" w:cs="宋体"/>
          <w:sz w:val="24"/>
        </w:rPr>
      </w:pPr>
    </w:p>
    <w:p>
      <w:pPr>
        <w:rPr>
          <w:rFonts w:hint="eastAsia" w:ascii="宋体" w:hAnsi="宋体" w:cs="宋体"/>
        </w:rPr>
      </w:pPr>
    </w:p>
    <w:p>
      <w:pPr>
        <w:spacing w:line="360" w:lineRule="auto"/>
        <w:rPr>
          <w:rFonts w:hint="eastAsia" w:ascii="宋体" w:hAnsi="宋体" w:cs="宋体"/>
          <w:b/>
          <w:sz w:val="32"/>
          <w:szCs w:val="32"/>
        </w:rPr>
      </w:pPr>
    </w:p>
    <w:p>
      <w:pPr>
        <w:spacing w:line="360" w:lineRule="auto"/>
        <w:jc w:val="center"/>
        <w:rPr>
          <w:rFonts w:hint="eastAsia" w:ascii="宋体" w:hAnsi="宋体" w:cs="宋体"/>
          <w:b/>
          <w:sz w:val="32"/>
          <w:szCs w:val="32"/>
        </w:rPr>
      </w:pPr>
      <w:r>
        <w:rPr>
          <w:rFonts w:hint="eastAsia" w:ascii="宋体" w:hAnsi="宋体" w:cs="宋体"/>
          <w:b/>
          <w:kern w:val="0"/>
          <w:sz w:val="32"/>
          <w:szCs w:val="32"/>
        </w:rPr>
        <w:t>采购单位：</w:t>
      </w:r>
      <w:r>
        <w:rPr>
          <w:rFonts w:hint="eastAsia" w:ascii="宋体" w:hAnsi="宋体" w:cs="宋体"/>
          <w:b/>
          <w:sz w:val="32"/>
          <w:szCs w:val="32"/>
          <w:lang w:eastAsia="zh-CN"/>
        </w:rPr>
        <w:t>杭州市钱塘区交通运输局</w:t>
      </w:r>
      <w:r>
        <w:rPr>
          <w:rFonts w:hint="eastAsia" w:ascii="宋体" w:hAnsi="宋体" w:cs="宋体"/>
          <w:b/>
          <w:sz w:val="32"/>
          <w:szCs w:val="32"/>
        </w:rPr>
        <w:t xml:space="preserve"> </w:t>
      </w:r>
    </w:p>
    <w:p>
      <w:pPr>
        <w:snapToGrid w:val="0"/>
        <w:spacing w:line="360" w:lineRule="auto"/>
        <w:jc w:val="center"/>
        <w:rPr>
          <w:rFonts w:hint="eastAsia" w:ascii="宋体" w:hAnsi="宋体" w:eastAsia="宋体" w:cs="宋体"/>
          <w:b/>
          <w:kern w:val="0"/>
          <w:sz w:val="32"/>
          <w:szCs w:val="32"/>
          <w:lang w:eastAsia="zh-CN"/>
        </w:rPr>
      </w:pPr>
      <w:r>
        <w:rPr>
          <w:rFonts w:hint="eastAsia" w:ascii="宋体" w:hAnsi="宋体" w:cs="宋体"/>
          <w:b/>
          <w:kern w:val="0"/>
          <w:sz w:val="32"/>
          <w:szCs w:val="32"/>
        </w:rPr>
        <w:t>采购代理机构：</w:t>
      </w:r>
      <w:r>
        <w:rPr>
          <w:rFonts w:hint="eastAsia" w:ascii="宋体" w:hAnsi="宋体" w:cs="宋体"/>
          <w:b/>
          <w:kern w:val="0"/>
          <w:sz w:val="32"/>
          <w:szCs w:val="32"/>
          <w:lang w:eastAsia="zh-CN"/>
        </w:rPr>
        <w:t>五洲工程顾问集团有限公司</w:t>
      </w:r>
    </w:p>
    <w:p>
      <w:pPr>
        <w:spacing w:line="360" w:lineRule="auto"/>
        <w:jc w:val="center"/>
        <w:rPr>
          <w:rFonts w:hint="eastAsia" w:ascii="宋体" w:hAnsi="宋体" w:cs="宋体"/>
          <w:sz w:val="52"/>
          <w:szCs w:val="52"/>
        </w:rPr>
      </w:pPr>
      <w:r>
        <w:rPr>
          <w:rFonts w:hint="eastAsia" w:ascii="宋体" w:hAnsi="宋体" w:cs="宋体"/>
          <w:b/>
          <w:bCs/>
          <w:sz w:val="32"/>
          <w:szCs w:val="32"/>
          <w:lang w:eastAsia="zh-CN"/>
        </w:rPr>
        <w:t>二〇二四</w:t>
      </w:r>
      <w:r>
        <w:rPr>
          <w:rFonts w:hint="eastAsia" w:ascii="宋体" w:hAnsi="宋体" w:cs="宋体"/>
          <w:b/>
          <w:bCs/>
          <w:sz w:val="32"/>
          <w:szCs w:val="32"/>
          <w:highlight w:val="none"/>
          <w:lang w:eastAsia="zh-CN"/>
        </w:rPr>
        <w:t>年</w:t>
      </w:r>
      <w:r>
        <w:rPr>
          <w:rFonts w:hint="eastAsia" w:ascii="宋体" w:hAnsi="宋体" w:cs="宋体"/>
          <w:b/>
          <w:bCs/>
          <w:sz w:val="32"/>
          <w:szCs w:val="32"/>
          <w:highlight w:val="none"/>
          <w:lang w:val="en-US" w:eastAsia="zh-CN"/>
        </w:rPr>
        <w:t>十二</w:t>
      </w:r>
      <w:r>
        <w:rPr>
          <w:rFonts w:hint="eastAsia" w:ascii="宋体" w:hAnsi="宋体" w:cs="宋体"/>
          <w:b/>
          <w:bCs/>
          <w:sz w:val="32"/>
          <w:szCs w:val="32"/>
          <w:highlight w:val="none"/>
        </w:rPr>
        <w:t>月</w:t>
      </w:r>
      <w:bookmarkStart w:id="0" w:name="_Hlt67893495"/>
      <w:bookmarkEnd w:id="0"/>
    </w:p>
    <w:p>
      <w:pPr>
        <w:spacing w:line="360" w:lineRule="auto"/>
        <w:jc w:val="center"/>
        <w:rPr>
          <w:rFonts w:hint="eastAsia" w:ascii="宋体" w:hAnsi="宋体" w:cs="宋体"/>
          <w:b/>
          <w:sz w:val="52"/>
          <w:szCs w:val="52"/>
        </w:rPr>
      </w:pPr>
    </w:p>
    <w:p>
      <w:pPr>
        <w:pStyle w:val="13"/>
        <w:rPr>
          <w:rFonts w:hint="eastAsia" w:ascii="宋体" w:hAnsi="宋体" w:cs="宋体"/>
        </w:rPr>
      </w:pPr>
    </w:p>
    <w:p>
      <w:pPr>
        <w:spacing w:line="360" w:lineRule="auto"/>
        <w:jc w:val="center"/>
        <w:rPr>
          <w:rFonts w:hint="eastAsia" w:ascii="宋体" w:hAnsi="宋体" w:cs="宋体"/>
          <w:b/>
          <w:sz w:val="52"/>
          <w:szCs w:val="52"/>
        </w:rPr>
      </w:pPr>
      <w:r>
        <w:rPr>
          <w:rFonts w:hint="eastAsia" w:ascii="宋体" w:hAnsi="宋体" w:cs="宋体"/>
          <w:b/>
          <w:sz w:val="52"/>
          <w:szCs w:val="52"/>
        </w:rPr>
        <w:t>目  录</w:t>
      </w:r>
    </w:p>
    <w:p>
      <w:pPr>
        <w:spacing w:line="360" w:lineRule="auto"/>
        <w:rPr>
          <w:rFonts w:hint="eastAsia" w:ascii="宋体" w:hAnsi="宋体" w:cs="宋体"/>
          <w:sz w:val="32"/>
          <w:szCs w:val="32"/>
        </w:rPr>
      </w:pP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pPr>
        <w:spacing w:line="360" w:lineRule="auto"/>
        <w:ind w:firstLine="1281"/>
        <w:rPr>
          <w:rFonts w:hint="eastAsia" w:ascii="宋体" w:hAnsi="宋体" w:cs="宋体"/>
          <w:sz w:val="32"/>
          <w:szCs w:val="32"/>
        </w:rPr>
      </w:pPr>
      <w:r>
        <w:rPr>
          <w:rFonts w:hint="eastAsia" w:ascii="宋体" w:hAnsi="宋体" w:cs="宋体"/>
          <w:sz w:val="32"/>
          <w:szCs w:val="32"/>
        </w:rPr>
        <w:t>第二部分  投标人须知</w:t>
      </w:r>
    </w:p>
    <w:p>
      <w:pPr>
        <w:spacing w:line="360" w:lineRule="auto"/>
        <w:ind w:firstLine="1281"/>
        <w:rPr>
          <w:rFonts w:hint="eastAsia" w:ascii="宋体" w:hAnsi="宋体" w:cs="宋体"/>
          <w:sz w:val="32"/>
          <w:szCs w:val="32"/>
        </w:rPr>
      </w:pPr>
      <w:r>
        <w:rPr>
          <w:rFonts w:hint="eastAsia" w:ascii="宋体" w:hAnsi="宋体" w:cs="宋体"/>
          <w:sz w:val="32"/>
          <w:szCs w:val="32"/>
        </w:rPr>
        <w:t>第三部分  采购需求</w:t>
      </w:r>
    </w:p>
    <w:p>
      <w:pPr>
        <w:spacing w:line="360" w:lineRule="auto"/>
        <w:ind w:firstLine="1281"/>
        <w:rPr>
          <w:rFonts w:hint="eastAsia" w:ascii="宋体" w:hAnsi="宋体" w:cs="宋体"/>
          <w:sz w:val="32"/>
          <w:szCs w:val="32"/>
        </w:rPr>
      </w:pPr>
      <w:r>
        <w:rPr>
          <w:rFonts w:hint="eastAsia" w:ascii="宋体" w:hAnsi="宋体" w:cs="宋体"/>
          <w:sz w:val="32"/>
          <w:szCs w:val="32"/>
        </w:rPr>
        <w:t>第四部分  评标办法</w:t>
      </w:r>
    </w:p>
    <w:p>
      <w:pPr>
        <w:spacing w:line="360" w:lineRule="auto"/>
        <w:ind w:firstLine="1281"/>
        <w:rPr>
          <w:rFonts w:hint="eastAsia" w:ascii="宋体" w:hAnsi="宋体" w:cs="宋体"/>
          <w:sz w:val="32"/>
          <w:szCs w:val="32"/>
        </w:rPr>
      </w:pPr>
      <w:r>
        <w:rPr>
          <w:rFonts w:hint="eastAsia" w:ascii="宋体" w:hAnsi="宋体" w:cs="宋体"/>
          <w:sz w:val="32"/>
          <w:szCs w:val="32"/>
        </w:rPr>
        <w:t>第五部分  拟签订的合同文本</w:t>
      </w:r>
    </w:p>
    <w:p>
      <w:pPr>
        <w:spacing w:line="360" w:lineRule="auto"/>
        <w:ind w:firstLine="1281"/>
        <w:rPr>
          <w:rFonts w:hint="eastAsia"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hint="eastAsia" w:ascii="宋体" w:hAnsi="宋体" w:cs="宋体"/>
          <w:sz w:val="24"/>
        </w:rPr>
      </w:pPr>
      <w:bookmarkStart w:id="1" w:name="_Hlt91233176"/>
      <w:bookmarkEnd w:id="1"/>
      <w:bookmarkStart w:id="2" w:name="_Toc91899869"/>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rPr>
          <w:rFonts w:hint="eastAsia" w:ascii="宋体" w:hAnsi="宋体" w:cs="宋体"/>
          <w:sz w:val="24"/>
        </w:rPr>
      </w:pPr>
    </w:p>
    <w:p>
      <w:pPr>
        <w:spacing w:line="360" w:lineRule="auto"/>
        <w:jc w:val="center"/>
        <w:outlineLvl w:val="0"/>
        <w:rPr>
          <w:rFonts w:hint="eastAsia" w:ascii="宋体" w:hAnsi="宋体" w:cs="宋体"/>
          <w:b/>
          <w:sz w:val="36"/>
          <w:szCs w:val="36"/>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36"/>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u w:val="single"/>
        </w:rPr>
      </w:pPr>
      <w:r>
        <w:rPr>
          <w:rFonts w:hint="eastAsia" w:ascii="宋体" w:hAnsi="宋体" w:cs="宋体"/>
          <w:sz w:val="24"/>
          <w:lang w:eastAsia="zh-CN"/>
        </w:rPr>
        <w:t>2025年钱塘区公路路况、桥梁检测项目</w:t>
      </w:r>
      <w:r>
        <w:rPr>
          <w:rFonts w:hint="eastAsia" w:ascii="宋体" w:hAnsi="宋体" w:cs="宋体"/>
          <w:sz w:val="24"/>
        </w:rPr>
        <w:t>招标项目的潜在投标人应在政采云平台（https://www.zcygov.cn/）获取</w:t>
      </w:r>
      <w:r>
        <w:rPr>
          <w:rFonts w:hint="eastAsia" w:ascii="宋体" w:hAnsi="宋体" w:cs="宋体"/>
          <w:sz w:val="24"/>
          <w:highlight w:val="none"/>
        </w:rPr>
        <w:t>（下载）招标文件，并于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 xml:space="preserve"> 1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17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9 点30分</w:t>
      </w:r>
      <w:r>
        <w:rPr>
          <w:rFonts w:hint="eastAsia" w:ascii="宋体" w:hAnsi="宋体" w:cs="宋体"/>
          <w:bCs/>
          <w:color w:val="auto"/>
          <w:sz w:val="24"/>
          <w:highlight w:val="none"/>
          <w:u w:val="single"/>
        </w:rPr>
        <w:t>00秒</w:t>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hint="eastAsia" w:ascii="宋体" w:hAnsi="宋体" w:cs="宋体"/>
          <w:b/>
          <w:sz w:val="24"/>
          <w:highlight w:val="none"/>
        </w:rPr>
      </w:pPr>
      <w:r>
        <w:rPr>
          <w:rFonts w:hint="eastAsia" w:ascii="宋体" w:hAnsi="宋体" w:cs="宋体"/>
          <w:b/>
          <w:sz w:val="24"/>
          <w:highlight w:val="none"/>
        </w:rPr>
        <w:t>一、项目基本情况</w:t>
      </w:r>
    </w:p>
    <w:p>
      <w:pPr>
        <w:pStyle w:val="5"/>
        <w:snapToGrid/>
        <w:spacing w:line="360" w:lineRule="auto"/>
        <w:ind w:firstLine="480"/>
        <w:rPr>
          <w:rFonts w:hint="eastAsia" w:hAnsi="宋体" w:cs="宋体"/>
          <w:b/>
          <w:color w:val="FF0000"/>
          <w:sz w:val="24"/>
          <w:highlight w:val="none"/>
        </w:rPr>
      </w:pPr>
      <w:r>
        <w:rPr>
          <w:rFonts w:hint="eastAsia" w:hAnsi="宋体" w:cs="宋体"/>
          <w:b/>
          <w:color w:val="auto"/>
          <w:sz w:val="24"/>
          <w:highlight w:val="none"/>
        </w:rPr>
        <w:t>项目编号：</w:t>
      </w:r>
      <w:r>
        <w:rPr>
          <w:rFonts w:hint="eastAsia" w:hAnsi="宋体" w:cs="宋体"/>
          <w:color w:val="auto"/>
          <w:sz w:val="24"/>
          <w:highlight w:val="none"/>
          <w:lang w:eastAsia="zh-CN"/>
        </w:rPr>
        <w:t>QTCG-GK-2024-307</w:t>
      </w:r>
      <w:r>
        <w:rPr>
          <w:rFonts w:hint="eastAsia" w:hAnsi="宋体" w:cs="宋体"/>
          <w:color w:val="FF0000"/>
          <w:sz w:val="24"/>
          <w:highlight w:val="none"/>
          <w:lang w:eastAsia="zh-CN"/>
        </w:rPr>
        <w:t xml:space="preserve"> </w:t>
      </w:r>
    </w:p>
    <w:p>
      <w:pPr>
        <w:pStyle w:val="5"/>
        <w:snapToGrid/>
        <w:spacing w:line="360" w:lineRule="auto"/>
        <w:ind w:firstLine="480"/>
        <w:rPr>
          <w:rFonts w:hint="eastAsia" w:hAnsi="宋体" w:cs="宋体"/>
          <w:color w:val="auto"/>
          <w:sz w:val="24"/>
          <w:lang w:eastAsia="zh-CN"/>
        </w:rPr>
      </w:pPr>
      <w:r>
        <w:rPr>
          <w:rFonts w:hint="eastAsia" w:hAnsi="宋体" w:cs="宋体"/>
          <w:b/>
          <w:color w:val="auto"/>
          <w:sz w:val="24"/>
        </w:rPr>
        <w:t>项目名称：</w:t>
      </w:r>
      <w:r>
        <w:rPr>
          <w:rFonts w:hint="eastAsia" w:hAnsi="宋体" w:cs="宋体"/>
          <w:color w:val="auto"/>
          <w:sz w:val="24"/>
          <w:lang w:eastAsia="zh-CN"/>
        </w:rPr>
        <w:t>2025年钱塘区公路路况、桥梁检测项目</w:t>
      </w:r>
    </w:p>
    <w:p>
      <w:pPr>
        <w:pStyle w:val="5"/>
        <w:snapToGrid/>
        <w:spacing w:line="360" w:lineRule="auto"/>
        <w:ind w:firstLine="480"/>
        <w:rPr>
          <w:rFonts w:hint="default" w:hAnsi="宋体" w:eastAsia="宋体" w:cs="宋体"/>
          <w:b/>
          <w:color w:val="auto"/>
          <w:sz w:val="24"/>
          <w:lang w:val="en-US" w:eastAsia="zh-CN"/>
        </w:rPr>
      </w:pPr>
      <w:r>
        <w:rPr>
          <w:rFonts w:hint="eastAsia" w:hAnsi="宋体" w:cs="宋体"/>
          <w:b/>
          <w:color w:val="auto"/>
          <w:sz w:val="24"/>
        </w:rPr>
        <w:t>预算金额（元）：</w:t>
      </w:r>
      <w:r>
        <w:rPr>
          <w:rFonts w:hint="eastAsia" w:hAnsi="宋体" w:cs="宋体"/>
          <w:bCs/>
          <w:snapToGrid/>
          <w:color w:val="auto"/>
          <w:kern w:val="2"/>
          <w:sz w:val="24"/>
          <w:szCs w:val="24"/>
          <w:lang w:val="en-US" w:eastAsia="zh-CN"/>
        </w:rPr>
        <w:t>1086000</w:t>
      </w:r>
    </w:p>
    <w:p>
      <w:pPr>
        <w:pStyle w:val="5"/>
        <w:snapToGrid/>
        <w:spacing w:line="360" w:lineRule="auto"/>
        <w:ind w:firstLine="480"/>
        <w:rPr>
          <w:rFonts w:hint="default" w:hAnsi="宋体" w:eastAsia="宋体" w:cs="宋体"/>
          <w:color w:val="auto"/>
          <w:sz w:val="24"/>
          <w:lang w:val="en-US" w:eastAsia="zh-CN"/>
        </w:rPr>
      </w:pPr>
      <w:r>
        <w:rPr>
          <w:rFonts w:hint="eastAsia" w:hAnsi="宋体" w:cs="宋体"/>
          <w:b/>
          <w:color w:val="auto"/>
          <w:sz w:val="24"/>
        </w:rPr>
        <w:t>最高限价（元）：</w:t>
      </w:r>
      <w:r>
        <w:rPr>
          <w:rFonts w:hint="eastAsia" w:hAnsi="宋体" w:cs="宋体"/>
          <w:bCs/>
          <w:snapToGrid/>
          <w:color w:val="auto"/>
          <w:kern w:val="2"/>
          <w:sz w:val="24"/>
          <w:szCs w:val="24"/>
          <w:lang w:val="en-US" w:eastAsia="zh-CN"/>
        </w:rPr>
        <w:t>1086000</w:t>
      </w:r>
    </w:p>
    <w:p>
      <w:pPr>
        <w:pStyle w:val="5"/>
        <w:snapToGrid/>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szCs w:val="24"/>
          <w:highlight w:val="none"/>
        </w:rPr>
        <w:t>采购需求：</w:t>
      </w:r>
      <w:r>
        <w:rPr>
          <w:rFonts w:hint="eastAsia" w:hAnsi="宋体" w:cs="宋体"/>
          <w:b/>
          <w:color w:val="auto"/>
          <w:sz w:val="24"/>
          <w:szCs w:val="24"/>
          <w:highlight w:val="none"/>
          <w:lang w:eastAsia="zh-CN"/>
        </w:rPr>
        <w:t>2025年钱塘区公路路况、桥梁检测项目。</w:t>
      </w:r>
      <w:r>
        <w:rPr>
          <w:rFonts w:hint="eastAsia" w:hAnsi="宋体" w:cs="宋体"/>
          <w:b/>
          <w:color w:val="auto"/>
          <w:sz w:val="24"/>
          <w:szCs w:val="24"/>
          <w:highlight w:val="none"/>
        </w:rPr>
        <w:t>主要内容：详见招标文件第三部分采购需求。</w:t>
      </w:r>
    </w:p>
    <w:p>
      <w:pPr>
        <w:pStyle w:val="20"/>
        <w:spacing w:before="0"/>
        <w:ind w:firstLine="482"/>
        <w:outlineLvl w:val="2"/>
        <w:rPr>
          <w:rFonts w:hint="eastAsia" w:ascii="宋体" w:hAnsi="宋体" w:eastAsia="宋体" w:cs="宋体"/>
          <w:b/>
          <w:bCs/>
          <w:color w:val="auto"/>
          <w:highlight w:val="none"/>
          <w:lang w:eastAsia="zh-CN"/>
        </w:rPr>
      </w:pPr>
      <w:r>
        <w:rPr>
          <w:rFonts w:hint="eastAsia" w:ascii="宋体" w:hAnsi="宋体" w:cs="宋体"/>
          <w:b/>
          <w:color w:val="auto"/>
          <w:highlight w:val="none"/>
        </w:rPr>
        <w:t>合同履约期限：</w:t>
      </w:r>
      <w:r>
        <w:rPr>
          <w:rFonts w:hint="eastAsia" w:ascii="宋体" w:hAnsi="宋体" w:cs="宋体"/>
          <w:bCs/>
          <w:color w:val="auto"/>
          <w:highlight w:val="none"/>
          <w:lang w:eastAsia="zh-CN"/>
        </w:rPr>
        <w:t>一年。路况检测要求合同签订后</w:t>
      </w:r>
      <w:r>
        <w:rPr>
          <w:rFonts w:hint="eastAsia" w:ascii="宋体" w:hAnsi="宋体" w:cs="宋体"/>
          <w:bCs/>
          <w:color w:val="auto"/>
          <w:highlight w:val="none"/>
          <w:lang w:val="en-US" w:eastAsia="zh-CN"/>
        </w:rPr>
        <w:t>4</w:t>
      </w:r>
      <w:r>
        <w:rPr>
          <w:rFonts w:hint="eastAsia" w:ascii="宋体" w:hAnsi="宋体" w:cs="宋体"/>
          <w:bCs/>
          <w:color w:val="auto"/>
          <w:highlight w:val="none"/>
          <w:lang w:eastAsia="zh-CN"/>
        </w:rPr>
        <w:t>个月内完成，桥梁经常性检查为期1年。</w:t>
      </w:r>
    </w:p>
    <w:p>
      <w:pPr>
        <w:pStyle w:val="5"/>
        <w:snapToGrid/>
        <w:spacing w:line="360" w:lineRule="auto"/>
        <w:ind w:firstLine="480"/>
        <w:rPr>
          <w:rFonts w:hint="eastAsia" w:hAnsi="宋体" w:cs="宋体"/>
          <w:b/>
          <w:color w:val="auto"/>
          <w:sz w:val="24"/>
          <w:highlight w:val="none"/>
        </w:rPr>
      </w:pPr>
      <w:r>
        <w:rPr>
          <w:rFonts w:hint="eastAsia" w:hAnsi="宋体" w:cs="宋体"/>
          <w:b/>
          <w:color w:val="auto"/>
          <w:sz w:val="24"/>
          <w:highlight w:val="none"/>
        </w:rPr>
        <w:t>本项目接受联合体投标：</w:t>
      </w:r>
      <w:r>
        <w:rPr>
          <w:rFonts w:hint="eastAsia" w:hAnsi="宋体" w:cs="宋体"/>
          <w:vanish/>
          <w:color w:val="auto"/>
          <w:kern w:val="0"/>
          <w:sz w:val="24"/>
          <w:highlight w:val="none"/>
        </w:rPr>
        <w:t>&lt;</w:t>
      </w:r>
      <w:r>
        <w:rPr>
          <w:rFonts w:hint="eastAsia" w:hAnsi="宋体" w:cs="宋体"/>
          <w:color w:val="auto"/>
          <w:kern w:val="0"/>
          <w:sz w:val="24"/>
          <w:highlight w:val="none"/>
        </w:rPr>
        <w:sym w:font="Wingdings" w:char="00FE"/>
      </w:r>
      <w:r>
        <w:rPr>
          <w:rFonts w:hint="eastAsia" w:hAnsi="宋体" w:cs="宋体"/>
          <w:vanish/>
          <w:color w:val="auto"/>
          <w:kern w:val="0"/>
          <w:sz w:val="24"/>
          <w:highlight w:val="none"/>
        </w:rPr>
        <w:t>&gt;&lt;&gt;</w:t>
      </w:r>
      <w:r>
        <w:rPr>
          <w:rFonts w:hint="eastAsia" w:hAnsi="宋体" w:cs="宋体"/>
          <w:b/>
          <w:color w:val="auto"/>
          <w:sz w:val="24"/>
          <w:highlight w:val="none"/>
        </w:rPr>
        <w:t>是，</w:t>
      </w:r>
      <w:r>
        <w:rPr>
          <w:rFonts w:hint="eastAsia" w:hAnsi="宋体" w:cs="宋体"/>
          <w:color w:val="auto"/>
          <w:kern w:val="0"/>
          <w:sz w:val="24"/>
          <w:highlight w:val="none"/>
        </w:rPr>
        <w:sym w:font="Wingdings" w:char="00A8"/>
      </w:r>
      <w:r>
        <w:rPr>
          <w:rFonts w:hint="eastAsia" w:hAnsi="宋体" w:cs="宋体"/>
          <w:vanish/>
          <w:color w:val="auto"/>
          <w:kern w:val="0"/>
          <w:sz w:val="24"/>
          <w:highlight w:val="none"/>
        </w:rPr>
        <w:t>&gt;&lt;&gt;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hint="eastAsia" w:ascii="宋体" w:hAnsi="宋体" w:cs="宋体"/>
          <w:b/>
          <w:sz w:val="24"/>
        </w:rPr>
      </w:pPr>
      <w:r>
        <w:rPr>
          <w:rFonts w:hint="eastAsia" w:ascii="宋体" w:hAnsi="宋体" w:cs="宋体"/>
          <w:b/>
          <w:sz w:val="24"/>
        </w:rPr>
        <w:t>二、申请人的资格要求：</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cs="宋体"/>
          <w:snapToGrid w:val="0"/>
          <w:color w:val="000000"/>
          <w:kern w:val="28"/>
          <w:sz w:val="24"/>
          <w:szCs w:val="20"/>
        </w:rPr>
      </w:pPr>
      <w:r>
        <w:rPr>
          <w:rFonts w:hint="eastAsia" w:ascii="宋体" w:hAnsi="宋体" w:cs="宋体"/>
          <w:snapToGrid w:val="0"/>
          <w:kern w:val="28"/>
          <w:sz w:val="24"/>
          <w:szCs w:val="20"/>
        </w:rPr>
        <w:t xml:space="preserve">    2.</w:t>
      </w:r>
      <w:r>
        <w:rPr>
          <w:rFonts w:hint="eastAsia" w:ascii="宋体" w:hAnsi="宋体" w:cs="宋体"/>
          <w:snapToGrid w:val="0"/>
          <w:color w:val="000000"/>
          <w:kern w:val="28"/>
          <w:sz w:val="24"/>
          <w:szCs w:val="20"/>
        </w:rPr>
        <w:t>落实政府采购政策需满足的资格要求：</w:t>
      </w:r>
    </w:p>
    <w:p>
      <w:pPr>
        <w:spacing w:line="360" w:lineRule="auto"/>
        <w:ind w:firstLine="480" w:firstLineChars="200"/>
        <w:rPr>
          <w:rFonts w:hint="eastAsia" w:ascii="宋体" w:hAnsi="宋体" w:cs="宋体"/>
          <w:color w:val="000000"/>
          <w:sz w:val="24"/>
          <w:highlight w:val="none"/>
        </w:rPr>
      </w:pPr>
      <w:r>
        <w:rPr>
          <w:rFonts w:hint="eastAsia" w:ascii="宋体" w:hAnsi="宋体" w:cs="宋体"/>
          <w:vanish/>
          <w:color w:val="000000"/>
          <w:kern w:val="0"/>
          <w:sz w:val="24"/>
          <w:highlight w:val="none"/>
        </w:rPr>
        <w:t>&lt;</w:t>
      </w:r>
      <w:r>
        <w:rPr>
          <w:rFonts w:hint="eastAsia" w:ascii="宋体" w:hAnsi="宋体" w:cs="宋体"/>
          <w:color w:val="000000"/>
          <w:kern w:val="0"/>
          <w:sz w:val="24"/>
          <w:highlight w:val="none"/>
        </w:rPr>
        <w:t>☐</w:t>
      </w:r>
      <w:r>
        <w:rPr>
          <w:rFonts w:hint="eastAsia" w:ascii="宋体" w:hAnsi="宋体" w:cs="宋体"/>
          <w:vanish/>
          <w:color w:val="000000"/>
          <w:kern w:val="0"/>
          <w:sz w:val="24"/>
          <w:highlight w:val="none"/>
        </w:rPr>
        <w:t>&gt;&lt;&gt;</w:t>
      </w:r>
      <w:r>
        <w:rPr>
          <w:rFonts w:hint="eastAsia" w:ascii="宋体" w:hAnsi="宋体" w:cs="宋体"/>
          <w:color w:val="000000"/>
          <w:sz w:val="24"/>
          <w:highlight w:val="none"/>
        </w:rPr>
        <w:t>无；</w:t>
      </w:r>
    </w:p>
    <w:p>
      <w:pPr>
        <w:spacing w:line="360" w:lineRule="auto"/>
        <w:ind w:firstLine="480" w:firstLineChars="200"/>
        <w:rPr>
          <w:rFonts w:hint="eastAsia" w:ascii="宋体" w:hAnsi="宋体" w:cs="宋体"/>
          <w:color w:val="000000"/>
          <w:sz w:val="24"/>
          <w:highlight w:val="none"/>
        </w:rPr>
      </w:pPr>
      <w:r>
        <w:rPr>
          <w:rFonts w:hint="eastAsia" w:ascii="宋体" w:hAnsi="宋体" w:cs="宋体"/>
          <w:vanish/>
          <w:color w:val="000000"/>
          <w:kern w:val="0"/>
          <w:sz w:val="24"/>
          <w:highlight w:val="none"/>
        </w:rPr>
        <w:t>&lt;</w:t>
      </w:r>
      <w:r>
        <w:rPr>
          <w:rFonts w:hint="eastAsia" w:ascii="宋体" w:hAnsi="宋体" w:cs="宋体"/>
          <w:color w:val="000000"/>
          <w:kern w:val="0"/>
          <w:sz w:val="24"/>
          <w:highlight w:val="none"/>
        </w:rPr>
        <w:sym w:font="Wingdings" w:char="F0FE"/>
      </w:r>
      <w:r>
        <w:rPr>
          <w:rFonts w:hint="eastAsia" w:ascii="宋体" w:hAnsi="宋体" w:cs="宋体"/>
          <w:vanish/>
          <w:color w:val="000000"/>
          <w:kern w:val="0"/>
          <w:sz w:val="24"/>
          <w:highlight w:val="none"/>
        </w:rPr>
        <w:t>&gt;&lt;&gt;</w:t>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pPr>
        <w:spacing w:line="360" w:lineRule="auto"/>
        <w:ind w:firstLine="897" w:firstLineChars="374"/>
        <w:rPr>
          <w:rFonts w:hint="eastAsia" w:ascii="宋体" w:hAnsi="宋体" w:cs="宋体"/>
          <w:color w:val="FF0000"/>
          <w:sz w:val="24"/>
          <w:u w:val="single"/>
        </w:rPr>
      </w:pPr>
      <w:r>
        <w:rPr>
          <w:rFonts w:hint="eastAsia" w:ascii="宋体" w:hAnsi="宋体" w:cs="宋体"/>
          <w:vanish/>
          <w:color w:val="000000"/>
          <w:kern w:val="0"/>
          <w:sz w:val="24"/>
        </w:rPr>
        <w:t>&lt;</w:t>
      </w:r>
      <w:r>
        <w:rPr>
          <w:rFonts w:hint="eastAsia" w:ascii="宋体" w:hAnsi="宋体" w:cs="宋体"/>
          <w:color w:val="000000"/>
          <w:kern w:val="0"/>
          <w:sz w:val="24"/>
        </w:rPr>
        <w:sym w:font="Wingdings" w:char="00A8"/>
      </w:r>
      <w:r>
        <w:rPr>
          <w:rFonts w:hint="eastAsia" w:ascii="宋体" w:hAnsi="宋体" w:cs="宋体"/>
          <w:vanish/>
          <w:color w:val="000000"/>
          <w:kern w:val="0"/>
          <w:sz w:val="24"/>
        </w:rPr>
        <w:t>&gt;&lt;&gt;</w:t>
      </w:r>
      <w:r>
        <w:rPr>
          <w:rFonts w:hint="eastAsia" w:ascii="宋体" w:hAnsi="宋体" w:cs="宋体"/>
          <w:color w:val="000000"/>
          <w:sz w:val="24"/>
        </w:rPr>
        <w:t>货物全部由符合政策要求的中小企业制造，提供中小企业声明函；</w:t>
      </w:r>
    </w:p>
    <w:p>
      <w:pPr>
        <w:spacing w:line="360" w:lineRule="auto"/>
        <w:ind w:firstLine="897" w:firstLineChars="374"/>
        <w:rPr>
          <w:rFonts w:hint="eastAsia" w:ascii="宋体" w:hAnsi="宋体" w:cs="宋体"/>
          <w:color w:val="000000"/>
          <w:sz w:val="24"/>
        </w:rPr>
      </w:pPr>
      <w:r>
        <w:rPr>
          <w:rFonts w:hint="eastAsia" w:ascii="宋体" w:hAnsi="宋体" w:cs="宋体"/>
          <w:vanish/>
          <w:color w:val="000000"/>
          <w:kern w:val="0"/>
          <w:sz w:val="24"/>
        </w:rPr>
        <w:t>&lt;</w:t>
      </w:r>
      <w:r>
        <w:rPr>
          <w:rFonts w:hint="eastAsia" w:ascii="宋体" w:hAnsi="宋体" w:cs="宋体"/>
          <w:color w:val="000000"/>
          <w:kern w:val="0"/>
          <w:sz w:val="24"/>
        </w:rPr>
        <w:t>☐</w:t>
      </w:r>
      <w:r>
        <w:rPr>
          <w:rFonts w:hint="eastAsia" w:ascii="宋体" w:hAnsi="宋体" w:cs="宋体"/>
          <w:vanish/>
          <w:color w:val="000000"/>
          <w:kern w:val="0"/>
          <w:sz w:val="24"/>
        </w:rPr>
        <w:t>&gt;&lt;&gt;</w:t>
      </w:r>
      <w:r>
        <w:rPr>
          <w:rFonts w:hint="eastAsia" w:ascii="宋体" w:hAnsi="宋体" w:cs="宋体"/>
          <w:color w:val="000000"/>
          <w:sz w:val="24"/>
        </w:rPr>
        <w:t>货物全部由符合政策要求的小微企业制造，提供中小企业声明函；</w:t>
      </w:r>
    </w:p>
    <w:p>
      <w:pPr>
        <w:spacing w:line="360" w:lineRule="auto"/>
        <w:ind w:firstLine="897" w:firstLineChars="374"/>
        <w:rPr>
          <w:rFonts w:hint="eastAsia" w:ascii="宋体" w:hAnsi="宋体" w:cs="宋体"/>
          <w:color w:val="000000"/>
          <w:sz w:val="24"/>
        </w:rPr>
      </w:pPr>
      <w:r>
        <w:rPr>
          <w:rFonts w:hint="eastAsia" w:ascii="宋体" w:hAnsi="宋体" w:cs="宋体"/>
          <w:vanish/>
          <w:color w:val="000000"/>
          <w:kern w:val="0"/>
          <w:sz w:val="24"/>
        </w:rPr>
        <w:t>&lt;</w:t>
      </w:r>
      <w:r>
        <w:rPr>
          <w:rFonts w:hint="eastAsia" w:ascii="宋体" w:hAnsi="宋体" w:cs="宋体"/>
          <w:color w:val="000000"/>
          <w:kern w:val="0"/>
          <w:sz w:val="24"/>
        </w:rPr>
        <w:sym w:font="Wingdings" w:char="00FE"/>
      </w:r>
      <w:r>
        <w:rPr>
          <w:rFonts w:hint="eastAsia" w:ascii="宋体" w:hAnsi="宋体" w:cs="宋体"/>
          <w:vanish/>
          <w:color w:val="000000"/>
          <w:kern w:val="0"/>
          <w:sz w:val="24"/>
        </w:rPr>
        <w:t>&gt;&lt;&gt;</w:t>
      </w:r>
      <w:r>
        <w:rPr>
          <w:rFonts w:hint="eastAsia" w:ascii="宋体" w:hAnsi="宋体" w:cs="宋体"/>
          <w:color w:val="000000"/>
          <w:sz w:val="24"/>
        </w:rPr>
        <w:t>服务全部由符合政策要求的中小企业承接，提供中小企业声明函；</w:t>
      </w:r>
    </w:p>
    <w:p>
      <w:pPr>
        <w:spacing w:line="360" w:lineRule="auto"/>
        <w:ind w:firstLine="897" w:firstLineChars="374"/>
        <w:rPr>
          <w:rFonts w:hint="eastAsia" w:ascii="宋体" w:hAnsi="宋体" w:cs="宋体"/>
          <w:sz w:val="24"/>
        </w:rPr>
      </w:pPr>
      <w:r>
        <w:rPr>
          <w:rFonts w:hint="eastAsia" w:ascii="宋体" w:hAnsi="宋体" w:cs="宋体"/>
          <w:vanish/>
          <w:kern w:val="0"/>
          <w:sz w:val="24"/>
        </w:rPr>
        <w:t>&lt;</w:t>
      </w:r>
      <w:r>
        <w:rPr>
          <w:rFonts w:hint="eastAsia" w:ascii="宋体" w:hAnsi="宋体" w:cs="宋体"/>
          <w:kern w:val="0"/>
          <w:sz w:val="24"/>
        </w:rPr>
        <w:t>☐</w:t>
      </w:r>
      <w:r>
        <w:rPr>
          <w:rFonts w:hint="eastAsia" w:ascii="宋体" w:hAnsi="宋体" w:cs="宋体"/>
          <w:vanish/>
          <w:kern w:val="0"/>
          <w:sz w:val="24"/>
        </w:rPr>
        <w:t>&gt;&lt;&gt;</w:t>
      </w:r>
      <w:r>
        <w:rPr>
          <w:rFonts w:hint="eastAsia" w:ascii="宋体" w:hAnsi="宋体" w:cs="宋体"/>
          <w:sz w:val="24"/>
        </w:rPr>
        <w:t>服务全部由符合政策要求的小微企业承接，提供中小企业声明函；</w:t>
      </w:r>
    </w:p>
    <w:p>
      <w:pPr>
        <w:spacing w:line="360" w:lineRule="auto"/>
        <w:ind w:firstLine="480" w:firstLineChars="200"/>
        <w:rPr>
          <w:rFonts w:hint="eastAsia" w:ascii="宋体" w:hAnsi="宋体" w:cs="宋体"/>
          <w:sz w:val="24"/>
        </w:rPr>
      </w:pPr>
      <w:r>
        <w:rPr>
          <w:rFonts w:hint="eastAsia" w:ascii="宋体" w:hAnsi="宋体" w:cs="宋体"/>
          <w:vanish/>
          <w:kern w:val="0"/>
          <w:sz w:val="24"/>
        </w:rPr>
        <w:t>&lt;</w:t>
      </w:r>
      <w:r>
        <w:rPr>
          <w:rFonts w:hint="eastAsia" w:ascii="宋体" w:hAnsi="宋体" w:cs="宋体"/>
          <w:kern w:val="0"/>
          <w:sz w:val="24"/>
        </w:rPr>
        <w:t>☐</w:t>
      </w:r>
      <w:r>
        <w:rPr>
          <w:rFonts w:hint="eastAsia" w:ascii="宋体" w:hAnsi="宋体" w:cs="宋体"/>
          <w:vanish/>
          <w:kern w:val="0"/>
          <w:sz w:val="24"/>
        </w:rPr>
        <w:t>&gt;&lt;&gt;</w:t>
      </w:r>
      <w:r>
        <w:rPr>
          <w:rFonts w:hint="eastAsia" w:ascii="宋体" w:hAnsi="宋体" w:cs="宋体"/>
          <w:sz w:val="24"/>
        </w:rPr>
        <w:t>要求以联合体形式参加，提供联合协议和中小企业声明函，联合协议中中小企业合同金额应当达到 %，小微企业合同金额应当达到 %;</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vanish/>
          <w:kern w:val="0"/>
          <w:sz w:val="24"/>
        </w:rPr>
        <w:t>&lt;</w:t>
      </w:r>
      <w:r>
        <w:rPr>
          <w:rFonts w:hint="eastAsia" w:ascii="宋体" w:hAnsi="宋体" w:cs="宋体"/>
          <w:kern w:val="0"/>
          <w:sz w:val="24"/>
        </w:rPr>
        <w:t>☐</w:t>
      </w:r>
      <w:r>
        <w:rPr>
          <w:rFonts w:hint="eastAsia" w:ascii="宋体" w:hAnsi="宋体" w:cs="宋体"/>
          <w:vanish/>
          <w:kern w:val="0"/>
          <w:sz w:val="24"/>
        </w:rPr>
        <w:t>&gt;&lt;&gt;</w:t>
      </w:r>
      <w:r>
        <w:rPr>
          <w:rFonts w:hint="eastAsia" w:ascii="宋体" w:hAnsi="宋体" w:cs="宋体"/>
          <w:sz w:val="24"/>
        </w:rPr>
        <w:t>要求合同分包，提供分包意向协议和中小企业声明函，分包意向协议中中小企业合同金额应当达到达到 % ，小微企业合同金额应当达到 %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r>
        <w:rPr>
          <w:rFonts w:hint="eastAsia" w:ascii="宋体" w:hAnsi="宋体" w:cs="宋体"/>
          <w:color w:val="auto"/>
          <w:sz w:val="24"/>
        </w:rPr>
        <w:t>投标人需具备交通行政主管部门颁发的公路工程试验检测综合</w:t>
      </w:r>
      <w:r>
        <w:rPr>
          <w:rFonts w:hint="eastAsia" w:ascii="宋体" w:hAnsi="宋体" w:cs="宋体"/>
          <w:color w:val="auto"/>
          <w:sz w:val="24"/>
          <w:highlight w:val="none"/>
          <w:lang w:eastAsia="zh-CN"/>
        </w:rPr>
        <w:t>乙</w:t>
      </w:r>
      <w:r>
        <w:rPr>
          <w:rFonts w:hint="eastAsia" w:ascii="宋体" w:hAnsi="宋体" w:cs="宋体"/>
          <w:color w:val="auto"/>
          <w:sz w:val="24"/>
          <w:highlight w:val="none"/>
        </w:rPr>
        <w:t>级</w:t>
      </w:r>
      <w:r>
        <w:rPr>
          <w:rFonts w:hint="eastAsia" w:ascii="宋体" w:hAnsi="宋体" w:cs="宋体"/>
          <w:color w:val="auto"/>
          <w:sz w:val="24"/>
          <w:highlight w:val="none"/>
          <w:lang w:eastAsia="zh-CN"/>
        </w:rPr>
        <w:t>及以上</w:t>
      </w:r>
      <w:r>
        <w:rPr>
          <w:rFonts w:hint="eastAsia" w:ascii="宋体" w:hAnsi="宋体" w:cs="宋体"/>
          <w:color w:val="auto"/>
          <w:sz w:val="24"/>
          <w:highlight w:val="none"/>
        </w:rPr>
        <w:t>资质</w:t>
      </w:r>
      <w:r>
        <w:rPr>
          <w:rFonts w:hint="eastAsia" w:ascii="宋体" w:hAnsi="宋体" w:cs="宋体"/>
          <w:color w:val="auto"/>
          <w:sz w:val="24"/>
        </w:rPr>
        <w:t>，同时具备国家质量技术监督部门颁发的省部级以上计量认证（CMA）合格证书。（以上要求的各证书必须在有效期内）。；</w:t>
      </w:r>
    </w:p>
    <w:p>
      <w:pPr>
        <w:spacing w:line="360" w:lineRule="auto"/>
        <w:ind w:firstLine="480" w:firstLineChars="200"/>
        <w:rPr>
          <w:rFonts w:hint="eastAsia"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sz w:val="24"/>
        </w:rPr>
      </w:pPr>
      <w:r>
        <w:rPr>
          <w:rFonts w:hint="eastAsia" w:ascii="宋体" w:hAnsi="宋体" w:cs="宋体"/>
          <w:b/>
          <w:sz w:val="24"/>
        </w:rPr>
        <w:t>三、获取招标文件</w:t>
      </w:r>
    </w:p>
    <w:p>
      <w:pPr>
        <w:spacing w:line="360" w:lineRule="auto"/>
        <w:ind w:firstLine="482" w:firstLineChars="200"/>
        <w:rPr>
          <w:rFonts w:hint="eastAsia" w:ascii="宋体" w:hAnsi="宋体" w:cs="宋体"/>
          <w:sz w:val="24"/>
          <w:highlight w:val="none"/>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 xml:space="preserve"> 1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17 </w:t>
      </w:r>
      <w:r>
        <w:rPr>
          <w:rFonts w:hint="eastAsia" w:ascii="宋体" w:hAnsi="宋体" w:cs="宋体"/>
          <w:color w:val="auto"/>
          <w:sz w:val="24"/>
          <w:highlight w:val="none"/>
          <w:u w:val="single"/>
        </w:rPr>
        <w:t>日</w:t>
      </w:r>
      <w:r>
        <w:rPr>
          <w:rFonts w:hint="eastAsia" w:ascii="宋体" w:hAnsi="宋体" w:cs="宋体"/>
          <w:color w:val="000000"/>
          <w:sz w:val="24"/>
          <w:highlight w:val="none"/>
        </w:rPr>
        <w:t>，</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hint="eastAsia"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hint="eastAsia" w:ascii="宋体" w:hAnsi="宋体" w:cs="宋体"/>
          <w:color w:val="auto"/>
          <w:sz w:val="24"/>
          <w:highlight w:val="none"/>
        </w:rPr>
      </w:pPr>
      <w:r>
        <w:rPr>
          <w:rFonts w:hint="eastAsia" w:ascii="宋体" w:hAnsi="宋体" w:cs="宋体"/>
          <w:b/>
          <w:sz w:val="24"/>
          <w:highlight w:val="none"/>
        </w:rPr>
        <w:t>提交投标文件截止时间：</w:t>
      </w:r>
      <w:bookmarkStart w:id="430" w:name="_GoBack"/>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 xml:space="preserve"> 1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17 </w:t>
      </w:r>
      <w:r>
        <w:rPr>
          <w:rFonts w:hint="eastAsia" w:ascii="宋体" w:hAnsi="宋体" w:cs="宋体"/>
          <w:color w:val="auto"/>
          <w:sz w:val="24"/>
          <w:highlight w:val="none"/>
          <w:u w:val="single"/>
        </w:rPr>
        <w:t>日9 点30分</w:t>
      </w:r>
      <w:r>
        <w:rPr>
          <w:rFonts w:hint="eastAsia" w:ascii="宋体" w:hAnsi="宋体" w:cs="宋体"/>
          <w:color w:val="auto"/>
          <w:sz w:val="24"/>
          <w:highlight w:val="none"/>
        </w:rPr>
        <w:t>（北京时间）</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 xml:space="preserve">  1 </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 xml:space="preserve">17 </w:t>
      </w:r>
      <w:r>
        <w:rPr>
          <w:rFonts w:hint="eastAsia" w:ascii="宋体" w:hAnsi="宋体" w:cs="宋体"/>
          <w:color w:val="auto"/>
          <w:sz w:val="24"/>
          <w:highlight w:val="none"/>
          <w:u w:val="single"/>
        </w:rPr>
        <w:t>日9点30分</w:t>
      </w:r>
    </w:p>
    <w:bookmarkEnd w:id="430"/>
    <w:p>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hint="eastAsia" w:ascii="宋体" w:hAnsi="宋体" w:cs="宋体"/>
          <w:sz w:val="24"/>
        </w:rPr>
      </w:pPr>
      <w:r>
        <w:rPr>
          <w:rFonts w:hint="eastAsia" w:ascii="宋体" w:hAnsi="宋体" w:cs="宋体"/>
          <w:b/>
          <w:sz w:val="24"/>
          <w:lang w:val="en-US" w:eastAsia="zh-CN"/>
        </w:rPr>
        <w:t>五</w:t>
      </w:r>
      <w:r>
        <w:rPr>
          <w:rFonts w:hint="eastAsia" w:ascii="宋体" w:hAnsi="宋体" w:cs="宋体"/>
          <w:b/>
          <w:sz w:val="24"/>
        </w:rPr>
        <w:t>、公告期限</w:t>
      </w:r>
    </w:p>
    <w:p>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pPr>
        <w:spacing w:line="360" w:lineRule="auto"/>
        <w:rPr>
          <w:rFonts w:hint="eastAsia" w:ascii="宋体" w:hAnsi="宋体" w:cs="宋体"/>
          <w:b/>
          <w:sz w:val="24"/>
        </w:rPr>
      </w:pPr>
      <w:r>
        <w:rPr>
          <w:rFonts w:hint="eastAsia" w:ascii="宋体" w:hAnsi="宋体" w:cs="宋体"/>
          <w:b/>
          <w:sz w:val="24"/>
          <w:lang w:val="en-US" w:eastAsia="zh-CN"/>
        </w:rPr>
        <w:t>六</w:t>
      </w:r>
      <w:r>
        <w:rPr>
          <w:rFonts w:hint="eastAsia" w:ascii="宋体" w:hAnsi="宋体" w:cs="宋体"/>
          <w:b/>
          <w:sz w:val="24"/>
        </w:rPr>
        <w:t>、其他补充事宜</w:t>
      </w:r>
    </w:p>
    <w:p>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hint="eastAsia" w:ascii="宋体" w:hAnsi="宋体" w:cs="宋体"/>
          <w:sz w:val="24"/>
        </w:rPr>
      </w:pPr>
      <w:r>
        <w:rPr>
          <w:rFonts w:hint="eastAsia" w:ascii="宋体" w:hAnsi="宋体" w:cs="宋体"/>
          <w:sz w:val="24"/>
        </w:rPr>
        <w:t>（3）钱塘区政府采购支持中小企业信用融资：</w:t>
      </w:r>
    </w:p>
    <w:p>
      <w:pPr>
        <w:spacing w:line="360" w:lineRule="auto"/>
        <w:ind w:firstLine="480" w:firstLineChars="200"/>
        <w:rPr>
          <w:rFonts w:hint="eastAsia" w:ascii="宋体" w:hAnsi="宋体" w:cs="宋体"/>
          <w:sz w:val="24"/>
        </w:rPr>
      </w:pPr>
      <w:r>
        <w:rPr>
          <w:rFonts w:hint="eastAsia" w:ascii="宋体" w:hAnsi="宋体" w:cs="宋体"/>
          <w:sz w:val="24"/>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pacing w:line="360" w:lineRule="auto"/>
        <w:ind w:firstLine="480" w:firstLineChars="200"/>
        <w:rPr>
          <w:rFonts w:hint="eastAsia" w:ascii="宋体" w:hAnsi="宋体" w:cs="宋体"/>
          <w:sz w:val="24"/>
        </w:rPr>
      </w:pPr>
      <w:r>
        <w:rPr>
          <w:rFonts w:hint="eastAsia" w:ascii="宋体" w:hAnsi="宋体" w:cs="宋体"/>
          <w:sz w:val="24"/>
        </w:rPr>
        <w:t>A.适用对象：在浙江“政采云”平台注册入库，并取得钱塘区政府采购合同的中小企业供应商。</w:t>
      </w:r>
    </w:p>
    <w:p>
      <w:pPr>
        <w:spacing w:line="360" w:lineRule="auto"/>
        <w:ind w:firstLine="480" w:firstLineChars="200"/>
        <w:rPr>
          <w:rFonts w:hint="eastAsia" w:ascii="宋体" w:hAnsi="宋体" w:cs="宋体"/>
          <w:sz w:val="24"/>
        </w:rPr>
      </w:pPr>
      <w:r>
        <w:rPr>
          <w:rFonts w:hint="eastAsia" w:ascii="宋体" w:hAnsi="宋体" w:cs="宋体"/>
          <w:sz w:val="24"/>
        </w:rPr>
        <w:t>B.相关信息获取方式：具体合作银行及联系方式详见采购文件。登陆杭州钱塘新区管理委员会官网（http://qt.hangzhou.gov.cn） “公告公示”专栏，可查看信用融资政策文件及各相关银行服务方案。</w:t>
      </w:r>
    </w:p>
    <w:p>
      <w:pPr>
        <w:spacing w:line="360" w:lineRule="auto"/>
        <w:ind w:firstLine="480" w:firstLineChars="200"/>
        <w:rPr>
          <w:rFonts w:hint="eastAsia" w:ascii="宋体" w:hAnsi="宋体" w:cs="宋体"/>
          <w:sz w:val="24"/>
        </w:rPr>
      </w:pPr>
      <w:r>
        <w:rPr>
          <w:rFonts w:hint="eastAsia" w:ascii="宋体" w:hAnsi="宋体" w:cs="宋体"/>
          <w:sz w:val="24"/>
        </w:rPr>
        <w:t>C.申请方式和步骤：①供应商若有融资意向，需先与钱塘新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pPr>
        <w:spacing w:line="360" w:lineRule="auto"/>
        <w:ind w:firstLine="480" w:firstLineChars="200"/>
        <w:rPr>
          <w:rFonts w:hint="eastAsia"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宋体" w:hAnsi="宋体" w:cs="宋体"/>
          <w:sz w:val="24"/>
        </w:rPr>
      </w:pPr>
      <w:r>
        <w:rPr>
          <w:rFonts w:hint="eastAsia" w:ascii="宋体" w:hAnsi="宋体" w:cs="宋体"/>
          <w:sz w:val="24"/>
        </w:rPr>
        <w:t>（5）本项目招标文件公告期限与招标公告的公告期限一致。</w:t>
      </w:r>
    </w:p>
    <w:p>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pPr>
        <w:adjustRightInd/>
        <w:spacing w:line="360" w:lineRule="auto"/>
        <w:rPr>
          <w:rFonts w:hint="eastAsia" w:ascii="宋体" w:hAnsi="宋体" w:cs="宋体"/>
          <w:sz w:val="24"/>
        </w:rPr>
      </w:pPr>
      <w:r>
        <w:rPr>
          <w:rFonts w:hint="eastAsia" w:ascii="宋体" w:hAnsi="宋体" w:cs="宋体"/>
          <w:sz w:val="24"/>
        </w:rPr>
        <w:t xml:space="preserve">    1.采购人信息</w:t>
      </w:r>
    </w:p>
    <w:p>
      <w:pPr>
        <w:adjustRightInd/>
        <w:spacing w:line="360" w:lineRule="auto"/>
        <w:rPr>
          <w:rFonts w:hint="eastAsia" w:ascii="宋体" w:hAnsi="宋体" w:cs="宋体"/>
          <w:color w:val="000000"/>
          <w:sz w:val="24"/>
        </w:rPr>
      </w:pPr>
      <w:r>
        <w:rPr>
          <w:rFonts w:hint="eastAsia" w:ascii="宋体" w:hAnsi="宋体" w:cs="宋体"/>
          <w:sz w:val="24"/>
        </w:rPr>
        <w:t xml:space="preserve">    </w:t>
      </w:r>
      <w:r>
        <w:rPr>
          <w:rFonts w:hint="eastAsia" w:ascii="宋体" w:hAnsi="宋体" w:cs="宋体"/>
          <w:color w:val="000000"/>
          <w:sz w:val="24"/>
        </w:rPr>
        <w:t>名    称：</w:t>
      </w:r>
      <w:r>
        <w:rPr>
          <w:rFonts w:hint="eastAsia" w:ascii="宋体" w:hAnsi="宋体" w:cs="宋体"/>
          <w:color w:val="000000"/>
          <w:sz w:val="24"/>
          <w:lang w:eastAsia="zh-CN"/>
        </w:rPr>
        <w:t>杭州市钱塘区交通运输局</w:t>
      </w:r>
      <w:r>
        <w:rPr>
          <w:rFonts w:hint="eastAsia" w:ascii="宋体" w:hAnsi="宋体" w:cs="宋体"/>
          <w:color w:val="000000"/>
          <w:sz w:val="24"/>
        </w:rPr>
        <w:t xml:space="preserve"> </w:t>
      </w:r>
    </w:p>
    <w:p>
      <w:pPr>
        <w:adjustRightInd/>
        <w:spacing w:line="360" w:lineRule="auto"/>
        <w:ind w:firstLine="48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lang w:val="en-US" w:eastAsia="zh-CN"/>
        </w:rPr>
        <w:t xml:space="preserve">杭州钱塘区义蓬街道金星村十组32号 </w:t>
      </w:r>
      <w:r>
        <w:rPr>
          <w:rFonts w:hint="eastAsia" w:ascii="宋体" w:hAnsi="宋体" w:cs="宋体"/>
          <w:color w:val="000000"/>
          <w:sz w:val="24"/>
        </w:rPr>
        <w:t xml:space="preserve">    </w:t>
      </w:r>
    </w:p>
    <w:p>
      <w:pPr>
        <w:adjustRightInd/>
        <w:spacing w:line="360" w:lineRule="auto"/>
        <w:ind w:firstLine="480"/>
        <w:rPr>
          <w:rFonts w:hint="eastAsia" w:ascii="宋体" w:hAnsi="宋体" w:cs="宋体"/>
          <w:color w:val="000000"/>
          <w:sz w:val="24"/>
        </w:rPr>
      </w:pPr>
      <w:r>
        <w:rPr>
          <w:rFonts w:hint="eastAsia" w:ascii="宋体" w:hAnsi="宋体" w:cs="宋体"/>
          <w:color w:val="000000"/>
          <w:sz w:val="24"/>
        </w:rPr>
        <w:t>传    真： /</w:t>
      </w:r>
    </w:p>
    <w:p>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rPr>
        <w:t>项目联系人（询</w:t>
      </w:r>
      <w:r>
        <w:rPr>
          <w:rFonts w:hint="eastAsia" w:ascii="宋体" w:hAnsi="宋体" w:cs="宋体"/>
          <w:color w:val="000000"/>
          <w:sz w:val="24"/>
          <w:highlight w:val="none"/>
        </w:rPr>
        <w:t>问）：</w:t>
      </w:r>
      <w:r>
        <w:rPr>
          <w:rFonts w:hint="eastAsia" w:ascii="宋体" w:hAnsi="宋体" w:cs="宋体"/>
          <w:color w:val="000000"/>
          <w:sz w:val="24"/>
          <w:highlight w:val="none"/>
          <w:lang w:val="en-US" w:eastAsia="zh-CN"/>
        </w:rPr>
        <w:t>沈</w:t>
      </w:r>
      <w:r>
        <w:rPr>
          <w:rFonts w:hint="eastAsia" w:ascii="宋体" w:hAnsi="宋体" w:cs="宋体"/>
          <w:color w:val="000000"/>
          <w:sz w:val="24"/>
          <w:highlight w:val="none"/>
          <w:lang w:eastAsia="zh-CN"/>
        </w:rPr>
        <w:t>工</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w:t>
      </w:r>
    </w:p>
    <w:p>
      <w:pPr>
        <w:adjustRightInd/>
        <w:spacing w:line="360" w:lineRule="auto"/>
        <w:ind w:firstLine="48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项目联系方式（询问）：</w:t>
      </w:r>
      <w:r>
        <w:rPr>
          <w:rFonts w:hint="eastAsia" w:ascii="宋体" w:hAnsi="宋体" w:cs="宋体"/>
          <w:color w:val="000000"/>
          <w:sz w:val="24"/>
          <w:highlight w:val="none"/>
          <w:lang w:val="en-US" w:eastAsia="zh-CN"/>
        </w:rPr>
        <w:t>15168307773</w:t>
      </w:r>
    </w:p>
    <w:p>
      <w:pPr>
        <w:adjustRightInd/>
        <w:spacing w:line="360" w:lineRule="auto"/>
        <w:ind w:firstLine="48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质疑联系人：</w:t>
      </w:r>
      <w:r>
        <w:rPr>
          <w:rFonts w:hint="eastAsia" w:ascii="宋体" w:hAnsi="宋体" w:cs="宋体"/>
          <w:color w:val="000000"/>
          <w:sz w:val="24"/>
          <w:highlight w:val="none"/>
          <w:lang w:val="en-US" w:eastAsia="zh-CN"/>
        </w:rPr>
        <w:t>顾</w:t>
      </w:r>
      <w:r>
        <w:rPr>
          <w:rFonts w:hint="eastAsia" w:ascii="宋体" w:hAnsi="宋体" w:cs="宋体"/>
          <w:color w:val="000000"/>
          <w:sz w:val="24"/>
          <w:highlight w:val="none"/>
        </w:rPr>
        <w:t>工</w:t>
      </w:r>
    </w:p>
    <w:p>
      <w:pPr>
        <w:adjustRightInd/>
        <w:spacing w:line="360" w:lineRule="auto"/>
        <w:ind w:firstLine="48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质疑联系方式</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0571-82984358</w:t>
      </w:r>
    </w:p>
    <w:p>
      <w:pPr>
        <w:adjustRightInd/>
        <w:spacing w:line="360" w:lineRule="auto"/>
        <w:rPr>
          <w:rFonts w:hint="eastAsia" w:ascii="宋体" w:hAnsi="宋体" w:cs="宋体"/>
          <w:sz w:val="24"/>
        </w:rPr>
      </w:pPr>
      <w:r>
        <w:rPr>
          <w:rFonts w:hint="eastAsia" w:ascii="宋体" w:hAnsi="宋体" w:cs="宋体"/>
          <w:sz w:val="24"/>
        </w:rPr>
        <w:t xml:space="preserve">    2.采购代理机构信息            </w:t>
      </w:r>
    </w:p>
    <w:p>
      <w:pPr>
        <w:adjustRightInd/>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 xml:space="preserve"> 五洲工程顾问集团有限公司</w:t>
      </w:r>
    </w:p>
    <w:p>
      <w:pPr>
        <w:adjustRightInd/>
        <w:spacing w:line="360" w:lineRule="auto"/>
        <w:ind w:firstLine="480" w:firstLineChars="20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val="en-US" w:eastAsia="zh-CN"/>
        </w:rPr>
        <w:t xml:space="preserve"> 杭州市滨江区乳泉路825号荟鼎智创中心10号楼5层</w:t>
      </w:r>
    </w:p>
    <w:p>
      <w:pPr>
        <w:adjustRightInd/>
        <w:spacing w:line="360" w:lineRule="auto"/>
        <w:rPr>
          <w:rFonts w:hint="eastAsia" w:ascii="宋体" w:hAnsi="宋体" w:cs="宋体"/>
          <w:sz w:val="24"/>
        </w:rPr>
      </w:pPr>
      <w:r>
        <w:rPr>
          <w:rFonts w:hint="eastAsia" w:ascii="宋体" w:hAnsi="宋体" w:cs="宋体"/>
          <w:sz w:val="24"/>
        </w:rPr>
        <w:t xml:space="preserve">    传    真：/</w:t>
      </w:r>
    </w:p>
    <w:p>
      <w:pPr>
        <w:adjustRightInd/>
        <w:spacing w:line="360" w:lineRule="auto"/>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color w:val="auto"/>
          <w:sz w:val="24"/>
          <w:lang w:val="en-US" w:eastAsia="zh-CN"/>
        </w:rPr>
        <w:t>李工</w:t>
      </w:r>
      <w:r>
        <w:rPr>
          <w:rFonts w:hint="eastAsia" w:ascii="宋体" w:hAnsi="宋体" w:cs="宋体"/>
          <w:color w:val="auto"/>
          <w:sz w:val="24"/>
        </w:rPr>
        <w:t xml:space="preserve"> </w:t>
      </w:r>
      <w:r>
        <w:rPr>
          <w:rFonts w:hint="eastAsia" w:ascii="宋体" w:hAnsi="宋体" w:cs="宋体"/>
          <w:sz w:val="24"/>
          <w:lang w:val="en-US" w:eastAsia="zh-CN"/>
        </w:rPr>
        <w:t xml:space="preserve"> </w:t>
      </w:r>
    </w:p>
    <w:p>
      <w:pPr>
        <w:adjustRightInd/>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color w:val="auto"/>
          <w:sz w:val="24"/>
          <w:lang w:val="en-US" w:eastAsia="zh-CN"/>
        </w:rPr>
        <w:t>15990026362</w:t>
      </w:r>
      <w:r>
        <w:rPr>
          <w:rFonts w:hint="eastAsia" w:ascii="宋体" w:hAnsi="宋体" w:cs="宋体"/>
          <w:sz w:val="24"/>
          <w:lang w:val="en-US" w:eastAsia="zh-CN"/>
        </w:rPr>
        <w:t xml:space="preserve"> </w:t>
      </w:r>
    </w:p>
    <w:p>
      <w:pPr>
        <w:adjustRightInd/>
        <w:spacing w:line="360" w:lineRule="auto"/>
        <w:rPr>
          <w:rFonts w:hint="eastAsia" w:ascii="宋体" w:hAnsi="宋体" w:eastAsia="宋体" w:cs="宋体"/>
          <w:sz w:val="24"/>
          <w:lang w:eastAsia="zh-CN"/>
        </w:rPr>
      </w:pPr>
      <w:r>
        <w:rPr>
          <w:rFonts w:hint="eastAsia" w:ascii="宋体" w:hAnsi="宋体" w:cs="宋体"/>
          <w:sz w:val="24"/>
        </w:rPr>
        <w:t xml:space="preserve">    质疑联系人：</w:t>
      </w:r>
      <w:r>
        <w:rPr>
          <w:rFonts w:hint="eastAsia" w:ascii="宋体" w:hAnsi="宋体" w:cs="宋体"/>
          <w:sz w:val="24"/>
          <w:lang w:val="en-US" w:eastAsia="zh-CN"/>
        </w:rPr>
        <w:t>张少华</w:t>
      </w:r>
    </w:p>
    <w:p>
      <w:pPr>
        <w:adjustRightInd/>
        <w:spacing w:line="360" w:lineRule="auto"/>
        <w:rPr>
          <w:rFonts w:hint="eastAsia" w:ascii="宋体" w:hAnsi="宋体" w:eastAsia="宋体" w:cs="宋体"/>
          <w:sz w:val="24"/>
          <w:lang w:eastAsia="zh-CN"/>
        </w:rPr>
      </w:pPr>
      <w:r>
        <w:rPr>
          <w:rFonts w:hint="eastAsia" w:ascii="宋体" w:hAnsi="宋体" w:cs="宋体"/>
          <w:sz w:val="24"/>
        </w:rPr>
        <w:t xml:space="preserve">    质疑联系方式：13588475917</w:t>
      </w:r>
    </w:p>
    <w:p>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3.同级政府采购监督管理部门</w:t>
      </w:r>
    </w:p>
    <w:p>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名 称：杭州市钱塘区财政局、浙江省政府采购行政裁决服务中心（杭州）</w:t>
      </w:r>
    </w:p>
    <w:p>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传 真：</w:t>
      </w:r>
    </w:p>
    <w:p>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联 系 人：朱女士、王女士</w:t>
      </w:r>
    </w:p>
    <w:p>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监督投诉电话：0571-87227671,0571-87800218</w:t>
      </w:r>
    </w:p>
    <w:p>
      <w:pPr>
        <w:adjustRightInd/>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adjustRightInd/>
        <w:spacing w:line="360" w:lineRule="auto"/>
        <w:ind w:firstLine="480" w:firstLineChars="200"/>
        <w:jc w:val="center"/>
        <w:rPr>
          <w:rFonts w:hint="eastAsia" w:hAnsi="宋体" w:cs="宋体"/>
          <w:b/>
          <w:sz w:val="36"/>
          <w:szCs w:val="36"/>
          <w:lang w:val="en-US"/>
        </w:rPr>
      </w:pPr>
      <w:r>
        <w:rPr>
          <w:rFonts w:hint="eastAsia" w:ascii="宋体" w:hAnsi="宋体" w:cs="宋体"/>
          <w:sz w:val="24"/>
        </w:rPr>
        <w:t>CA问题联系电话（人工）：汇信CA 400-888-4636；天谷CA 400-087-8198。</w:t>
      </w:r>
      <w:r>
        <w:rPr>
          <w:rFonts w:hint="eastAsia" w:hAnsi="宋体" w:cs="宋体"/>
          <w:b/>
          <w:sz w:val="36"/>
          <w:szCs w:val="36"/>
          <w:lang w:val="en-US"/>
        </w:rPr>
        <w:br w:type="page"/>
      </w:r>
      <w:r>
        <w:rPr>
          <w:rFonts w:hint="eastAsia" w:hAnsi="宋体" w:cs="宋体"/>
          <w:b/>
          <w:sz w:val="36"/>
          <w:szCs w:val="36"/>
          <w:lang w:val="en-US"/>
        </w:rPr>
        <w:t>第二部分</w:t>
      </w:r>
      <w:bookmarkEnd w:id="8"/>
      <w:r>
        <w:rPr>
          <w:rFonts w:hint="eastAsia" w:hAnsi="宋体" w:cs="宋体"/>
          <w:b/>
          <w:sz w:val="36"/>
          <w:szCs w:val="36"/>
          <w:lang w:val="en-US"/>
        </w:rPr>
        <w:t xml:space="preserve">  投标人须知</w:t>
      </w:r>
      <w:bookmarkEnd w:id="9"/>
    </w:p>
    <w:p>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1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cs="宋体"/>
                <w:b/>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b/>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400" w:lineRule="exact"/>
              <w:jc w:val="center"/>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400" w:lineRule="exact"/>
              <w:rPr>
                <w:rFonts w:hint="eastAsia" w:ascii="宋体" w:hAnsi="宋体" w:cs="宋体"/>
                <w:b/>
                <w:sz w:val="24"/>
                <w:szCs w:val="24"/>
              </w:rPr>
            </w:pPr>
            <w:r>
              <w:rPr>
                <w:rFonts w:hint="eastAsia" w:ascii="宋体" w:hAnsi="宋体" w:eastAsia="宋体" w:cs="宋体"/>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b/>
                <w:sz w:val="24"/>
              </w:rPr>
            </w:pPr>
            <w:r>
              <w:rPr>
                <w:rFonts w:hint="eastAsia" w:ascii="宋体" w:hAnsi="宋体" w:cs="宋体"/>
                <w:b/>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1"/>
              </w:numPr>
              <w:snapToGrid w:val="0"/>
              <w:spacing w:line="360" w:lineRule="auto"/>
              <w:rPr>
                <w:rFonts w:hint="eastAsia" w:ascii="宋体" w:hAnsi="宋体" w:cs="宋体"/>
                <w:sz w:val="24"/>
                <w:szCs w:val="24"/>
                <w:u w:val="single"/>
              </w:rPr>
            </w:pPr>
            <w:r>
              <w:rPr>
                <w:rFonts w:hint="eastAsia" w:ascii="宋体" w:hAnsi="宋体" w:cs="宋体"/>
                <w:sz w:val="24"/>
                <w:szCs w:val="24"/>
              </w:rPr>
              <w:t>标的：</w:t>
            </w:r>
            <w:r>
              <w:rPr>
                <w:rFonts w:hint="eastAsia" w:ascii="宋体" w:hAnsi="宋体" w:cs="宋体"/>
                <w:sz w:val="24"/>
                <w:szCs w:val="24"/>
                <w:lang w:eastAsia="zh-CN"/>
              </w:rPr>
              <w:t>2025年钱塘区公路路况、桥梁检测项目</w:t>
            </w:r>
            <w:r>
              <w:rPr>
                <w:rFonts w:hint="eastAsia" w:ascii="宋体" w:hAnsi="宋体" w:cs="宋体"/>
                <w:sz w:val="24"/>
                <w:szCs w:val="24"/>
              </w:rPr>
              <w:t>，所属行业：</w:t>
            </w:r>
            <w:r>
              <w:rPr>
                <w:rFonts w:hint="eastAsia" w:ascii="宋体" w:hAnsi="宋体" w:cs="宋体"/>
                <w:sz w:val="24"/>
                <w:szCs w:val="24"/>
                <w:u w:val="single"/>
              </w:rPr>
              <w:t>其他未列明行业</w:t>
            </w:r>
          </w:p>
          <w:p>
            <w:pPr>
              <w:snapToGrid w:val="0"/>
              <w:spacing w:line="360" w:lineRule="auto"/>
              <w:rPr>
                <w:rFonts w:hint="eastAsia" w:ascii="宋体" w:hAnsi="宋体" w:cs="宋体"/>
                <w:b/>
                <w:sz w:val="24"/>
                <w:szCs w:val="24"/>
              </w:rPr>
            </w:pPr>
            <w:r>
              <w:rPr>
                <w:rFonts w:hint="eastAsia" w:ascii="宋体" w:hAnsi="宋体" w:cs="宋体"/>
                <w:sz w:val="24"/>
                <w:szCs w:val="24"/>
              </w:rPr>
              <w:t>注意：根据其他未列明行业划型标准，从业人员300人以下的为中小微型企业。其中，从业人员100人及以上的为中型企业；从业人员10人及以上的为小型企业；从业人员10人以下的为微型企业。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b/>
                <w:sz w:val="24"/>
              </w:rPr>
            </w:pPr>
            <w:r>
              <w:rPr>
                <w:rFonts w:hint="eastAsia" w:ascii="宋体" w:hAnsi="宋体" w:cs="宋体"/>
                <w:b/>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kern w:val="0"/>
                <w:sz w:val="24"/>
              </w:rPr>
            </w:pPr>
            <w:r>
              <w:rPr>
                <w:rFonts w:hint="eastAsia" w:ascii="宋体" w:hAnsi="宋体" w:cs="宋体"/>
                <w:color w:val="000000"/>
                <w:kern w:val="0"/>
                <w:sz w:val="24"/>
              </w:rPr>
              <w:sym w:font="Wingdings" w:char="F0FE"/>
            </w:r>
            <w:r>
              <w:rPr>
                <w:rFonts w:hint="eastAsia" w:ascii="宋体" w:hAnsi="宋体" w:cs="宋体"/>
                <w:kern w:val="0"/>
                <w:sz w:val="24"/>
              </w:rPr>
              <w:t>本项目不允许采购进口产品。</w:t>
            </w:r>
          </w:p>
          <w:p>
            <w:pPr>
              <w:spacing w:line="360" w:lineRule="auto"/>
              <w:rPr>
                <w:rFonts w:hint="eastAsia" w:ascii="宋体" w:hAnsi="宋体" w:cs="宋体"/>
              </w:rPr>
            </w:pPr>
            <w:r>
              <w:rPr>
                <w:rFonts w:hint="eastAsia" w:ascii="宋体" w:hAnsi="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b/>
                <w:sz w:val="24"/>
              </w:rPr>
            </w:pPr>
            <w:r>
              <w:rPr>
                <w:rFonts w:hint="eastAsia" w:ascii="宋体" w:hAnsi="宋体" w:cs="宋体"/>
                <w:b/>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hint="eastAsia"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B同意大型企业向小微企业、中型企业向小微企业、小微企业向小微企业合理分包。</w:t>
            </w:r>
          </w:p>
          <w:p>
            <w:pPr>
              <w:spacing w:line="360" w:lineRule="auto"/>
              <w:rPr>
                <w:rFonts w:hint="eastAsia" w:ascii="宋体" w:hAnsi="宋体" w:cs="宋体"/>
              </w:rPr>
            </w:pPr>
            <w:r>
              <w:rPr>
                <w:rFonts w:hint="eastAsia" w:ascii="宋体" w:hAnsi="宋体" w:cs="宋体"/>
                <w:kern w:val="0"/>
                <w:sz w:val="24"/>
              </w:rPr>
              <w:t>☐ C</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b/>
                <w:sz w:val="24"/>
              </w:rPr>
            </w:pPr>
            <w:r>
              <w:rPr>
                <w:rFonts w:hint="eastAsia" w:ascii="宋体" w:hAnsi="宋体" w:cs="宋体"/>
                <w:b/>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color w:val="000000"/>
                <w:kern w:val="0"/>
                <w:sz w:val="24"/>
              </w:rPr>
            </w:pPr>
            <w:r>
              <w:rPr>
                <w:rFonts w:hint="eastAsia" w:ascii="宋体" w:hAnsi="宋体" w:cs="宋体"/>
                <w:color w:val="000000"/>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kern w:val="0"/>
                <w:sz w:val="24"/>
              </w:rPr>
            </w:pP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b/>
                <w:sz w:val="24"/>
              </w:rPr>
            </w:pPr>
            <w:r>
              <w:rPr>
                <w:rFonts w:hint="eastAsia" w:ascii="宋体" w:hAnsi="宋体" w:cs="宋体"/>
                <w:b/>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color w:val="000000"/>
                <w:kern w:val="0"/>
                <w:sz w:val="24"/>
              </w:rPr>
              <w:sym w:font="Wingdings" w:char="00FE"/>
            </w:r>
            <w:r>
              <w:rPr>
                <w:rFonts w:hint="eastAsia" w:ascii="宋体" w:hAnsi="宋体" w:cs="宋体"/>
                <w:kern w:val="0"/>
                <w:sz w:val="24"/>
              </w:rPr>
              <w:t>A</w:t>
            </w:r>
            <w:r>
              <w:rPr>
                <w:rFonts w:hint="eastAsia" w:ascii="宋体" w:hAnsi="宋体" w:cs="宋体"/>
                <w:sz w:val="24"/>
              </w:rPr>
              <w:t>不要求提供。</w:t>
            </w:r>
          </w:p>
          <w:p>
            <w:pPr>
              <w:spacing w:line="360" w:lineRule="auto"/>
              <w:rPr>
                <w:rFonts w:hint="eastAsia" w:ascii="宋体" w:hAnsi="宋体" w:cs="宋体"/>
                <w:kern w:val="0"/>
                <w:sz w:val="24"/>
              </w:rPr>
            </w:pPr>
            <w:r>
              <w:rPr>
                <w:rFonts w:hint="eastAsia" w:ascii="宋体" w:hAnsi="宋体" w:cs="宋体"/>
                <w:color w:val="000000"/>
                <w:kern w:val="0"/>
                <w:sz w:val="24"/>
              </w:rPr>
              <w:sym w:font="Wingdings" w:char="00A8"/>
            </w:r>
            <w:r>
              <w:rPr>
                <w:rFonts w:hint="eastAsia" w:ascii="宋体" w:hAnsi="宋体" w:cs="宋体"/>
                <w:kern w:val="0"/>
                <w:sz w:val="24"/>
              </w:rPr>
              <w:t>B要求提供，</w:t>
            </w:r>
          </w:p>
          <w:p>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按照招标文件清单要求</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（4）是否需要随样品提交检测报告：☐否；☐是，检测机构的要求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kern w:val="0"/>
                <w:sz w:val="24"/>
              </w:rPr>
              <w:t>点：；联系人</w:t>
            </w:r>
            <w:r>
              <w:rPr>
                <w:rFonts w:hint="eastAsia" w:ascii="宋体" w:hAnsi="宋体" w:cs="宋体"/>
                <w:sz w:val="24"/>
              </w:rPr>
              <w:t>：  ，</w:t>
            </w:r>
            <w:r>
              <w:rPr>
                <w:rFonts w:hint="eastAsia" w:ascii="宋体" w:hAnsi="宋体" w:cs="宋体"/>
                <w:kern w:val="28"/>
                <w:sz w:val="24"/>
              </w:rPr>
              <w:t>联系电话：</w:t>
            </w:r>
            <w:r>
              <w:rPr>
                <w:rFonts w:hint="eastAsia" w:ascii="宋体" w:hAnsi="宋体" w:cs="宋体"/>
                <w:sz w:val="24"/>
              </w:rPr>
              <w:t xml:space="preserve">  。请投标人在上述时间内提供样品并按规定位置安装完毕。超过截止时间的，采购人或采购代理机构将不予接收，并将清场并封闭样品现场。</w:t>
            </w:r>
          </w:p>
          <w:p>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cs="宋体"/>
                <w:kern w:val="0"/>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4" w:hRule="atLeast"/>
        </w:trPr>
        <w:tc>
          <w:tcPr>
            <w:tcW w:w="629"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b/>
                <w:sz w:val="24"/>
              </w:rPr>
            </w:pPr>
            <w:r>
              <w:rPr>
                <w:rFonts w:hint="eastAsia" w:ascii="宋体" w:hAnsi="宋体" w:cs="宋体"/>
                <w:b/>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color w:val="000000"/>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kern w:val="0"/>
                <w:sz w:val="24"/>
              </w:rPr>
            </w:pPr>
            <w:r>
              <w:rPr>
                <w:rFonts w:hint="eastAsia" w:ascii="宋体" w:hAnsi="宋体" w:cs="宋体"/>
                <w:kern w:val="0"/>
                <w:sz w:val="24"/>
              </w:rPr>
              <w:t>☐B组织。</w:t>
            </w:r>
          </w:p>
          <w:p>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cs="宋体"/>
                <w:kern w:val="0"/>
                <w:sz w:val="24"/>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b/>
                <w:sz w:val="24"/>
              </w:rPr>
            </w:pPr>
            <w:r>
              <w:rPr>
                <w:rFonts w:hint="eastAsia" w:ascii="宋体" w:hAnsi="宋体" w:cs="宋体"/>
                <w:b/>
                <w:sz w:val="24"/>
              </w:rPr>
              <w:t>8</w:t>
            </w:r>
          </w:p>
        </w:tc>
        <w:tc>
          <w:tcPr>
            <w:tcW w:w="1843" w:type="dxa"/>
            <w:vMerge w:val="restar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（1）资格证明文件：见招标文件第二部分11.1。</w:t>
            </w:r>
          </w:p>
          <w:p>
            <w:pPr>
              <w:spacing w:line="360" w:lineRule="auto"/>
              <w:rPr>
                <w:rFonts w:hint="eastAsia" w:ascii="宋体" w:hAnsi="宋体" w:cs="宋体"/>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b/>
                <w:sz w:val="24"/>
              </w:rPr>
            </w:pPr>
          </w:p>
        </w:tc>
        <w:tc>
          <w:tcPr>
            <w:tcW w:w="1843" w:type="dxa"/>
            <w:vMerge w:val="continue"/>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kern w:val="0"/>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b/>
                <w:sz w:val="24"/>
              </w:rPr>
            </w:pPr>
            <w:r>
              <w:rPr>
                <w:rFonts w:hint="eastAsia" w:ascii="宋体" w:hAnsi="宋体" w:cs="宋体"/>
                <w:b/>
                <w:sz w:val="24"/>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hint="eastAsia" w:ascii="宋体" w:hAnsi="宋体" w:cs="宋体"/>
                <w:sz w:val="24"/>
              </w:rPr>
            </w:pPr>
            <w:r>
              <w:rPr>
                <w:rFonts w:hint="eastAsia" w:ascii="宋体" w:hAnsi="宋体" w:cs="宋体"/>
                <w:color w:val="000000"/>
                <w:kern w:val="0"/>
                <w:sz w:val="24"/>
              </w:rPr>
              <w:sym w:font="Wingdings" w:char="F0FE"/>
            </w:r>
            <w:r>
              <w:rPr>
                <w:rFonts w:hint="eastAsia" w:ascii="宋体" w:hAnsi="宋体" w:cs="宋体"/>
                <w:kern w:val="0"/>
                <w:sz w:val="24"/>
              </w:rPr>
              <w:t>A无</w:t>
            </w:r>
          </w:p>
          <w:p>
            <w:pPr>
              <w:pStyle w:val="6"/>
              <w:rPr>
                <w:rFonts w:hint="eastAsia" w:hAnsi="宋体" w:cs="宋体"/>
                <w:kern w:val="0"/>
                <w:szCs w:val="24"/>
              </w:rPr>
            </w:pPr>
            <w:r>
              <w:rPr>
                <w:rFonts w:hint="eastAsia" w:hAnsi="宋体" w:cs="宋体"/>
                <w:kern w:val="0"/>
                <w:szCs w:val="24"/>
                <w:lang w:val="en-US"/>
              </w:rPr>
              <w:t>☐</w:t>
            </w:r>
            <w:r>
              <w:rPr>
                <w:rFonts w:hint="eastAsia" w:hAnsi="宋体" w:cs="宋体"/>
                <w:kern w:val="0"/>
                <w:szCs w:val="24"/>
              </w:rPr>
              <w:t>B</w:t>
            </w:r>
            <w:r>
              <w:rPr>
                <w:rFonts w:hint="eastAsia" w:hAnsi="宋体" w:cs="宋体"/>
                <w:kern w:val="0"/>
                <w:szCs w:val="24"/>
                <w:lang w:val="en-US"/>
              </w:rPr>
              <w:t xml:space="preserve"> 政府</w:t>
            </w:r>
            <w:r>
              <w:rPr>
                <w:rFonts w:hint="eastAsia" w:hAnsi="宋体" w:cs="宋体"/>
                <w:szCs w:val="24"/>
                <w:lang w:val="en-US"/>
              </w:rPr>
              <w:t>强制采购节能产品</w:t>
            </w:r>
            <w:r>
              <w:rPr>
                <w:rFonts w:hint="eastAsia" w:hAnsi="宋体" w:cs="宋体"/>
                <w:kern w:val="0"/>
                <w:szCs w:val="24"/>
              </w:rPr>
              <w:t>：</w:t>
            </w:r>
          </w:p>
          <w:p>
            <w:pPr>
              <w:pStyle w:val="6"/>
              <w:ind w:firstLine="480" w:firstLineChars="200"/>
              <w:rPr>
                <w:rFonts w:hint="eastAsia" w:hAnsi="宋体" w:cs="宋体"/>
                <w:szCs w:val="24"/>
                <w:u w:val="single"/>
                <w:lang w:val="en-US"/>
              </w:rPr>
            </w:pPr>
            <w:r>
              <w:rPr>
                <w:rFonts w:hint="eastAsia" w:hAnsi="宋体" w:cs="宋体"/>
                <w:szCs w:val="24"/>
              </w:rPr>
              <w:t>（</w:t>
            </w:r>
            <w:r>
              <w:rPr>
                <w:rFonts w:hint="eastAsia" w:hAnsi="宋体" w:cs="宋体"/>
                <w:szCs w:val="24"/>
                <w:lang w:val="en-US"/>
              </w:rPr>
              <w:t>1</w:t>
            </w:r>
            <w:r>
              <w:rPr>
                <w:rFonts w:hint="eastAsia" w:hAnsi="宋体" w:cs="宋体"/>
                <w:szCs w:val="24"/>
              </w:rPr>
              <w:t>）</w:t>
            </w:r>
            <w:r>
              <w:rPr>
                <w:rFonts w:hint="eastAsia" w:hAnsi="宋体" w:cs="宋体"/>
                <w:szCs w:val="24"/>
                <w:lang w:val="en-US"/>
              </w:rPr>
              <w:t>；</w:t>
            </w:r>
          </w:p>
          <w:p>
            <w:pPr>
              <w:pStyle w:val="6"/>
              <w:ind w:firstLine="480" w:firstLineChars="200"/>
              <w:rPr>
                <w:rFonts w:hint="eastAsia" w:hAnsi="宋体" w:cs="宋体"/>
                <w:szCs w:val="24"/>
                <w:lang w:val="en-US"/>
              </w:rPr>
            </w:pPr>
            <w:r>
              <w:rPr>
                <w:rFonts w:hint="eastAsia" w:hAnsi="宋体" w:cs="宋体"/>
                <w:szCs w:val="24"/>
                <w:lang w:val="en-US"/>
              </w:rPr>
              <w:t>（2）……</w:t>
            </w:r>
          </w:p>
          <w:p>
            <w:pPr>
              <w:pStyle w:val="6"/>
              <w:rPr>
                <w:rFonts w:hint="eastAsia" w:hAnsi="宋体" w:cs="宋体"/>
                <w:kern w:val="0"/>
                <w:szCs w:val="24"/>
              </w:rPr>
            </w:pPr>
            <w:r>
              <w:rPr>
                <w:rFonts w:hint="eastAsia" w:hAnsi="宋体" w:cs="宋体"/>
                <w:kern w:val="0"/>
                <w:szCs w:val="24"/>
                <w:lang w:val="en-US"/>
              </w:rPr>
              <w:t xml:space="preserve">☐C </w:t>
            </w:r>
            <w:r>
              <w:rPr>
                <w:rFonts w:hint="eastAsia" w:hAnsi="宋体" w:cs="宋体"/>
                <w:szCs w:val="24"/>
                <w:lang w:val="en-US"/>
              </w:rPr>
              <w:t>政府优先采购节能产品</w:t>
            </w:r>
            <w:r>
              <w:rPr>
                <w:rFonts w:hint="eastAsia" w:hAnsi="宋体" w:cs="宋体"/>
                <w:kern w:val="0"/>
                <w:szCs w:val="24"/>
              </w:rPr>
              <w:t>：</w:t>
            </w:r>
          </w:p>
          <w:p>
            <w:pPr>
              <w:pStyle w:val="6"/>
              <w:ind w:firstLine="480" w:firstLineChars="200"/>
              <w:rPr>
                <w:rFonts w:hint="eastAsia" w:hAnsi="宋体" w:cs="宋体"/>
                <w:szCs w:val="24"/>
                <w:u w:val="single"/>
                <w:lang w:val="en-US"/>
              </w:rPr>
            </w:pPr>
            <w:r>
              <w:rPr>
                <w:rFonts w:hint="eastAsia" w:hAnsi="宋体" w:cs="宋体"/>
                <w:kern w:val="0"/>
                <w:szCs w:val="24"/>
                <w:lang w:val="en-US"/>
              </w:rPr>
              <w:t>（1）</w:t>
            </w:r>
            <w:r>
              <w:rPr>
                <w:rFonts w:hint="eastAsia" w:hAnsi="宋体" w:cs="宋体"/>
                <w:szCs w:val="24"/>
                <w:lang w:val="en-US"/>
              </w:rPr>
              <w:t>；</w:t>
            </w:r>
          </w:p>
          <w:p>
            <w:pPr>
              <w:pStyle w:val="6"/>
              <w:ind w:firstLine="480" w:firstLineChars="200"/>
              <w:rPr>
                <w:rFonts w:hint="eastAsia" w:hAnsi="宋体" w:cs="宋体"/>
                <w:szCs w:val="24"/>
                <w:lang w:val="en-US"/>
              </w:rPr>
            </w:pPr>
            <w:r>
              <w:rPr>
                <w:rFonts w:hint="eastAsia" w:hAnsi="宋体" w:cs="宋体"/>
                <w:szCs w:val="24"/>
                <w:lang w:val="en-US"/>
              </w:rPr>
              <w:t>（2）……</w:t>
            </w:r>
          </w:p>
          <w:p>
            <w:pPr>
              <w:pStyle w:val="6"/>
              <w:rPr>
                <w:rFonts w:hint="eastAsia" w:hAnsi="宋体" w:cs="宋体"/>
                <w:kern w:val="0"/>
                <w:szCs w:val="24"/>
              </w:rPr>
            </w:pPr>
            <w:r>
              <w:rPr>
                <w:rFonts w:hint="eastAsia" w:hAnsi="宋体" w:cs="宋体"/>
                <w:kern w:val="0"/>
                <w:szCs w:val="24"/>
                <w:lang w:val="en-US"/>
              </w:rPr>
              <w:t xml:space="preserve">☐D </w:t>
            </w:r>
            <w:r>
              <w:rPr>
                <w:rFonts w:hint="eastAsia" w:hAnsi="宋体" w:cs="宋体"/>
                <w:szCs w:val="24"/>
                <w:lang w:val="en-US"/>
              </w:rPr>
              <w:t>政府优先采购环境标志产品</w:t>
            </w:r>
            <w:r>
              <w:rPr>
                <w:rFonts w:hint="eastAsia" w:hAnsi="宋体" w:cs="宋体"/>
                <w:kern w:val="0"/>
                <w:szCs w:val="24"/>
              </w:rPr>
              <w:t>：</w:t>
            </w:r>
          </w:p>
          <w:p>
            <w:pPr>
              <w:pStyle w:val="6"/>
              <w:ind w:firstLine="480" w:firstLineChars="200"/>
              <w:rPr>
                <w:rFonts w:hint="eastAsia" w:hAnsi="宋体" w:cs="宋体"/>
                <w:szCs w:val="24"/>
                <w:u w:val="single"/>
                <w:lang w:val="en-US"/>
              </w:rPr>
            </w:pPr>
            <w:r>
              <w:rPr>
                <w:rFonts w:hint="eastAsia" w:hAnsi="宋体" w:cs="宋体"/>
                <w:kern w:val="0"/>
                <w:szCs w:val="24"/>
                <w:lang w:val="en-US"/>
              </w:rPr>
              <w:t>（1）</w:t>
            </w:r>
            <w:r>
              <w:rPr>
                <w:rFonts w:hint="eastAsia" w:hAnsi="宋体" w:cs="宋体"/>
                <w:szCs w:val="24"/>
                <w:lang w:val="en-US"/>
              </w:rPr>
              <w:t>；</w:t>
            </w:r>
          </w:p>
          <w:p>
            <w:pPr>
              <w:pStyle w:val="6"/>
              <w:ind w:firstLine="480" w:firstLineChars="200"/>
              <w:rPr>
                <w:rFonts w:hint="eastAsia" w:hAnsi="宋体" w:cs="宋体"/>
              </w:rPr>
            </w:pPr>
            <w:r>
              <w:rPr>
                <w:rFonts w:hint="eastAsia" w:hAnsi="宋体" w:cs="宋体"/>
                <w:szCs w:val="24"/>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djustRightInd/>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投标报价包含完成本采购文件所述的全部项目实施内容所需的全部费用，包括工资、奖金、福利、社会五险、人身意外险、服装、装备、培训、住宿、交通工具、税金、高温补贴等完成本项目所需要的所有费用均计入报价。《开标一览表》是报价的唯一载体。</w:t>
            </w:r>
          </w:p>
          <w:p>
            <w:pPr>
              <w:adjustRightInd/>
              <w:spacing w:line="360" w:lineRule="auto"/>
              <w:ind w:firstLine="480" w:firstLineChars="20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adjustRightInd/>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pPr>
              <w:adjustRightInd/>
              <w:spacing w:line="360" w:lineRule="auto"/>
              <w:ind w:firstLine="472" w:firstLineChars="196"/>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adjustRightInd/>
              <w:spacing w:line="360" w:lineRule="auto"/>
              <w:ind w:firstLine="477" w:firstLineChars="198"/>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adjustRightInd/>
              <w:spacing w:line="360" w:lineRule="auto"/>
              <w:ind w:firstLine="477" w:firstLineChars="198"/>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pPr>
              <w:adjustRightInd/>
              <w:spacing w:line="360" w:lineRule="auto"/>
              <w:ind w:firstLine="477" w:firstLineChars="198"/>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宋体" w:hAnsi="宋体" w:cs="宋体"/>
                <w:sz w:val="24"/>
              </w:rPr>
            </w:pPr>
            <w:r>
              <w:rPr>
                <w:rFonts w:hint="eastAsia" w:ascii="宋体" w:hAnsi="宋体" w:cs="宋体"/>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center"/>
          </w:tcPr>
          <w:p>
            <w:pPr>
              <w:spacing w:line="360" w:lineRule="auto"/>
              <w:ind w:firstLine="420" w:firstLineChars="200"/>
              <w:jc w:val="center"/>
              <w:rPr>
                <w:rFonts w:hint="eastAsia" w:ascii="宋体" w:hAnsi="宋体" w:cs="宋体"/>
              </w:rPr>
            </w:pPr>
          </w:p>
        </w:tc>
        <w:tc>
          <w:tcPr>
            <w:tcW w:w="1843" w:type="dxa"/>
            <w:vMerge w:val="continue"/>
            <w:tcBorders>
              <w:left w:val="single" w:color="000000" w:sz="2" w:space="0"/>
              <w:right w:val="single" w:color="000000" w:sz="8" w:space="0"/>
            </w:tcBorders>
            <w:noWrap w:val="0"/>
            <w:vAlign w:val="center"/>
          </w:tcPr>
          <w:p>
            <w:pPr>
              <w:spacing w:line="360" w:lineRule="auto"/>
              <w:ind w:firstLine="420" w:firstLineChars="200"/>
              <w:rPr>
                <w:rFonts w:hint="eastAsia"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8"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9"/>
              <w:snapToGrid w:val="0"/>
              <w:spacing w:line="300" w:lineRule="auto"/>
              <w:ind w:firstLine="480" w:firstLineChars="200"/>
              <w:rPr>
                <w:rFonts w:hint="eastAsia" w:hAnsi="宋体" w:cs="宋体"/>
                <w:color w:val="000000"/>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lang w:eastAsia="zh-CN"/>
              </w:rPr>
              <w:t>不收取</w:t>
            </w:r>
            <w:r>
              <w:rPr>
                <w:rStyle w:val="21"/>
                <w:rFonts w:hint="default" w:ascii="宋体" w:hAnsi="宋体" w:eastAsia="宋体" w:cs="宋体"/>
                <w:color w:val="auto"/>
              </w:rPr>
              <w:t>，</w:t>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lang w:eastAsia="zh-CN"/>
              </w:rPr>
              <w:t>/</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color w:val="000000"/>
                <w:sz w:val="24"/>
              </w:rPr>
            </w:pPr>
            <w:r>
              <w:rPr>
                <w:rFonts w:hint="eastAsia" w:ascii="宋体" w:hAnsi="宋体" w:cs="宋体"/>
                <w:b/>
                <w:sz w:val="24"/>
              </w:rPr>
              <w:t>投标费用</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9"/>
              <w:snapToGrid w:val="0"/>
              <w:spacing w:line="300" w:lineRule="auto"/>
              <w:ind w:firstLine="480" w:firstLineChars="200"/>
              <w:rPr>
                <w:rFonts w:hint="eastAsia" w:hAnsi="宋体" w:cs="宋体"/>
                <w:color w:val="auto"/>
                <w:sz w:val="24"/>
              </w:rPr>
            </w:pPr>
            <w:r>
              <w:rPr>
                <w:rFonts w:hint="eastAsia" w:hAnsi="宋体" w:cs="宋体"/>
                <w:color w:val="auto"/>
                <w:sz w:val="24"/>
              </w:rPr>
              <w:t>投标人需自行承担涉及投标的一切费用；</w:t>
            </w:r>
          </w:p>
          <w:p>
            <w:pPr>
              <w:pStyle w:val="9"/>
              <w:snapToGrid w:val="0"/>
              <w:spacing w:line="300" w:lineRule="auto"/>
              <w:ind w:firstLine="480" w:firstLineChars="200"/>
              <w:rPr>
                <w:rFonts w:hint="eastAsia" w:hAnsi="宋体" w:cs="宋体"/>
                <w:sz w:val="24"/>
              </w:rPr>
            </w:pPr>
            <w:r>
              <w:rPr>
                <w:rFonts w:hint="eastAsia" w:hAnsi="宋体" w:cs="宋体"/>
                <w:sz w:val="24"/>
              </w:rPr>
              <w:t>本项目的采购代理费由中标人支付。采购代理费计费标准：按发改价格[2011]534号文件</w:t>
            </w:r>
            <w:r>
              <w:rPr>
                <w:rFonts w:hint="eastAsia" w:hAnsi="宋体" w:cs="宋体"/>
                <w:sz w:val="24"/>
                <w:lang w:val="en-US" w:eastAsia="zh-CN"/>
              </w:rPr>
              <w:t>标准的</w:t>
            </w:r>
            <w:r>
              <w:rPr>
                <w:rFonts w:hint="eastAsia" w:ascii="宋体" w:hAnsi="宋体" w:cs="宋体"/>
                <w:color w:val="auto"/>
                <w:sz w:val="24"/>
              </w:rPr>
              <w:t>八折</w:t>
            </w:r>
            <w:r>
              <w:rPr>
                <w:rFonts w:hint="eastAsia" w:hAnsi="宋体" w:cs="宋体"/>
                <w:sz w:val="24"/>
                <w:lang w:val="en-US" w:eastAsia="zh-CN"/>
              </w:rPr>
              <w:t>计取</w:t>
            </w:r>
            <w:r>
              <w:rPr>
                <w:rFonts w:hint="eastAsia" w:hAnsi="宋体" w:cs="宋体"/>
                <w:sz w:val="24"/>
                <w:lang w:eastAsia="zh-CN"/>
              </w:rPr>
              <w:t>，</w:t>
            </w:r>
            <w:r>
              <w:rPr>
                <w:rFonts w:hint="eastAsia" w:hAnsi="宋体" w:cs="宋体"/>
                <w:sz w:val="24"/>
                <w:lang w:val="en-US" w:eastAsia="zh-CN"/>
              </w:rPr>
              <w:t>不足3000按3000元计取。</w:t>
            </w:r>
            <w:r>
              <w:rPr>
                <w:rFonts w:hint="eastAsia" w:hAnsi="宋体" w:cs="宋体"/>
                <w:sz w:val="24"/>
              </w:rPr>
              <w:t>在领取中标通知书时由中标人一次性向采购代理机构付清</w:t>
            </w:r>
            <w:r>
              <w:rPr>
                <w:rFonts w:hint="eastAsia"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14</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400" w:lineRule="exact"/>
              <w:jc w:val="center"/>
              <w:rPr>
                <w:rFonts w:hint="eastAsia" w:ascii="宋体" w:hAnsi="宋体" w:cs="宋体"/>
                <w:b/>
                <w:sz w:val="24"/>
              </w:rPr>
            </w:pPr>
            <w:r>
              <w:rPr>
                <w:rFonts w:hint="eastAsia" w:ascii="宋体" w:hAnsi="宋体" w:cs="宋体"/>
                <w:b/>
                <w:sz w:val="24"/>
              </w:rPr>
              <w:t>联合体投标说明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9"/>
              <w:snapToGrid w:val="0"/>
              <w:spacing w:line="300" w:lineRule="auto"/>
              <w:ind w:firstLine="480" w:firstLineChars="200"/>
              <w:rPr>
                <w:rFonts w:hint="eastAsia" w:hAnsi="宋体" w:cs="宋体"/>
                <w:sz w:val="24"/>
              </w:rPr>
            </w:pPr>
            <w:r>
              <w:rPr>
                <w:rFonts w:hint="eastAsia" w:hAnsi="宋体" w:cs="宋体"/>
                <w:sz w:val="24"/>
              </w:rPr>
              <w:t>以联合体形式投标的，提供联合协议，格式见采购文件第六部分。供应商不以联合体形式投标的，则无需提供。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center"/>
          </w:tcPr>
          <w:p>
            <w:pPr>
              <w:snapToGrid w:val="0"/>
              <w:spacing w:line="360" w:lineRule="auto"/>
              <w:jc w:val="center"/>
              <w:rPr>
                <w:rFonts w:hint="eastAsia" w:ascii="宋体" w:hAnsi="宋体" w:cs="宋体"/>
                <w:color w:val="000000"/>
                <w:sz w:val="24"/>
              </w:rPr>
            </w:pPr>
          </w:p>
        </w:tc>
        <w:tc>
          <w:tcPr>
            <w:tcW w:w="1843" w:type="dxa"/>
            <w:vMerge w:val="continue"/>
            <w:tcBorders>
              <w:left w:val="single" w:color="000000" w:sz="2" w:space="0"/>
              <w:right w:val="single" w:color="000000" w:sz="8" w:space="0"/>
            </w:tcBorders>
            <w:noWrap w:val="0"/>
            <w:vAlign w:val="center"/>
          </w:tcPr>
          <w:p>
            <w:pPr>
              <w:snapToGrid w:val="0"/>
              <w:spacing w:line="400" w:lineRule="exact"/>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9"/>
              <w:snapToGrid w:val="0"/>
              <w:spacing w:line="400" w:lineRule="exact"/>
              <w:rPr>
                <w:rFonts w:hint="eastAsia" w:hAnsi="宋体" w:cs="宋体"/>
                <w:kern w:val="28"/>
                <w:sz w:val="24"/>
                <w:szCs w:val="24"/>
              </w:rPr>
            </w:pPr>
            <w:r>
              <w:rPr>
                <w:rFonts w:hint="eastAsia" w:hAnsi="宋体" w:cs="宋体"/>
                <w:kern w:val="28"/>
                <w:sz w:val="24"/>
                <w:szCs w:val="24"/>
              </w:rPr>
              <w:t>业绩证明材料</w:t>
            </w:r>
          </w:p>
          <w:p>
            <w:pPr>
              <w:pStyle w:val="9"/>
              <w:snapToGrid w:val="0"/>
              <w:spacing w:line="400" w:lineRule="exact"/>
              <w:rPr>
                <w:rFonts w:hint="eastAsia" w:hAnsi="宋体" w:cs="宋体"/>
                <w:kern w:val="28"/>
                <w:sz w:val="24"/>
                <w:szCs w:val="24"/>
              </w:rPr>
            </w:pPr>
            <w:r>
              <w:rPr>
                <w:rFonts w:hint="eastAsia" w:hAnsi="宋体" w:cs="宋体"/>
                <w:kern w:val="28"/>
                <w:sz w:val="24"/>
                <w:szCs w:val="24"/>
              </w:rPr>
              <w:sym w:font="Wingdings" w:char="00FE"/>
            </w:r>
            <w:r>
              <w:rPr>
                <w:rFonts w:hint="eastAsia" w:hAnsi="宋体" w:cs="宋体"/>
                <w:kern w:val="28"/>
                <w:sz w:val="24"/>
                <w:szCs w:val="24"/>
              </w:rPr>
              <w:t>联合体投标的，按联合体协议约定的分工内容出具相应的业绩证明材料。承担相同工作的各方或工作内容存在部 分相同的，业绩数量以提供材料较少的一方为准。</w:t>
            </w:r>
          </w:p>
          <w:p>
            <w:pPr>
              <w:pStyle w:val="9"/>
              <w:snapToGrid w:val="0"/>
              <w:spacing w:line="400" w:lineRule="exact"/>
              <w:rPr>
                <w:rFonts w:hint="eastAsia" w:hAnsi="宋体" w:cs="宋体"/>
                <w:kern w:val="28"/>
                <w:sz w:val="24"/>
                <w:szCs w:val="24"/>
              </w:rPr>
            </w:pPr>
            <w:r>
              <w:rPr>
                <w:rFonts w:hint="eastAsia" w:hAnsi="宋体" w:cs="宋体"/>
                <w:kern w:val="28"/>
                <w:sz w:val="24"/>
                <w:szCs w:val="24"/>
              </w:rPr>
              <w:sym w:font="Wingdings" w:char="00A8"/>
            </w:r>
            <w:r>
              <w:rPr>
                <w:rFonts w:hint="eastAsia" w:hAnsi="宋体" w:cs="宋体"/>
                <w:kern w:val="28"/>
                <w:sz w:val="24"/>
                <w:szCs w:val="24"/>
              </w:rPr>
              <w:t>联合体投标的，由联合体牵头方出具相应的业绩证明材料。</w:t>
            </w:r>
          </w:p>
          <w:p>
            <w:pPr>
              <w:pStyle w:val="9"/>
              <w:snapToGrid w:val="0"/>
              <w:spacing w:line="400" w:lineRule="exact"/>
              <w:rPr>
                <w:rFonts w:hint="eastAsia" w:hAnsi="宋体" w:cs="宋体"/>
                <w:sz w:val="24"/>
              </w:rPr>
            </w:pPr>
            <w:r>
              <w:rPr>
                <w:rFonts w:hint="eastAsia" w:hAnsi="宋体" w:cs="宋体"/>
                <w:kern w:val="28"/>
                <w:sz w:val="24"/>
                <w:szCs w:val="24"/>
              </w:rPr>
              <w:t>☐其他规定：</w:t>
            </w:r>
            <w:r>
              <w:rPr>
                <w:rFonts w:hint="eastAsia" w:hAnsi="宋体" w:cs="宋体"/>
                <w:kern w:val="28"/>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cs="宋体"/>
                <w:color w:val="000000"/>
                <w:sz w:val="24"/>
              </w:rPr>
            </w:pPr>
          </w:p>
        </w:tc>
        <w:tc>
          <w:tcPr>
            <w:tcW w:w="1843" w:type="dxa"/>
            <w:vMerge w:val="continue"/>
            <w:tcBorders>
              <w:left w:val="single" w:color="000000" w:sz="2" w:space="0"/>
              <w:bottom w:val="single" w:color="000000" w:sz="8" w:space="0"/>
              <w:right w:val="single" w:color="000000" w:sz="8" w:space="0"/>
            </w:tcBorders>
            <w:noWrap w:val="0"/>
            <w:vAlign w:val="center"/>
          </w:tcPr>
          <w:p>
            <w:pPr>
              <w:snapToGrid w:val="0"/>
              <w:spacing w:line="400" w:lineRule="exact"/>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9"/>
              <w:snapToGrid w:val="0"/>
              <w:spacing w:line="400" w:lineRule="exact"/>
              <w:rPr>
                <w:rFonts w:hint="eastAsia" w:hAnsi="宋体" w:cs="宋体"/>
                <w:kern w:val="28"/>
                <w:sz w:val="24"/>
                <w:szCs w:val="24"/>
              </w:rPr>
            </w:pPr>
            <w:r>
              <w:rPr>
                <w:rFonts w:hint="eastAsia" w:hAnsi="宋体" w:cs="宋体"/>
                <w:kern w:val="28"/>
                <w:sz w:val="24"/>
                <w:szCs w:val="24"/>
              </w:rPr>
              <w:t>其他资信证明材料</w:t>
            </w:r>
          </w:p>
          <w:p>
            <w:pPr>
              <w:pStyle w:val="9"/>
              <w:snapToGrid w:val="0"/>
              <w:spacing w:line="400" w:lineRule="exact"/>
              <w:rPr>
                <w:rFonts w:hint="eastAsia" w:hAnsi="宋体" w:cs="宋体"/>
                <w:kern w:val="28"/>
                <w:sz w:val="24"/>
                <w:szCs w:val="24"/>
              </w:rPr>
            </w:pPr>
            <w:r>
              <w:rPr>
                <w:rFonts w:hint="eastAsia" w:hAnsi="宋体" w:cs="宋体"/>
                <w:kern w:val="28"/>
                <w:sz w:val="24"/>
                <w:szCs w:val="24"/>
              </w:rPr>
              <w:t>☐联合体投标的，联合体各方均需按招标文件第四部分评标标准要求提供资信证明文件，否则视为不符合相关要求。</w:t>
            </w:r>
          </w:p>
          <w:p>
            <w:pPr>
              <w:pStyle w:val="9"/>
              <w:snapToGrid w:val="0"/>
              <w:spacing w:line="400" w:lineRule="exact"/>
              <w:rPr>
                <w:rFonts w:hint="eastAsia" w:hAnsi="宋体" w:cs="宋体"/>
                <w:kern w:val="28"/>
                <w:sz w:val="24"/>
                <w:szCs w:val="24"/>
              </w:rPr>
            </w:pPr>
            <w:r>
              <w:rPr>
                <w:rFonts w:hint="eastAsia" w:hAnsi="宋体" w:cs="宋体"/>
                <w:kern w:val="28"/>
                <w:sz w:val="24"/>
                <w:szCs w:val="24"/>
              </w:rPr>
              <w:sym w:font="Wingdings" w:char="00FE"/>
            </w:r>
            <w:r>
              <w:rPr>
                <w:rFonts w:hint="eastAsia" w:hAnsi="宋体" w:cs="宋体"/>
                <w:kern w:val="28"/>
                <w:sz w:val="24"/>
                <w:szCs w:val="24"/>
              </w:rPr>
              <w:t>联合体投标的，联合体牵头方或者联合体成员根据分工按招标文件第四部分评标标准要求提供资信证明文件的，视为符合了相关要求。</w:t>
            </w:r>
          </w:p>
          <w:p>
            <w:pPr>
              <w:pStyle w:val="9"/>
              <w:snapToGrid w:val="0"/>
              <w:spacing w:line="400" w:lineRule="exact"/>
              <w:rPr>
                <w:rFonts w:hint="eastAsia" w:hAnsi="宋体" w:cs="宋体"/>
                <w:kern w:val="28"/>
                <w:sz w:val="24"/>
                <w:szCs w:val="24"/>
              </w:rPr>
            </w:pPr>
            <w:r>
              <w:rPr>
                <w:rFonts w:hint="eastAsia" w:hAnsi="宋体" w:cs="宋体"/>
                <w:kern w:val="28"/>
                <w:sz w:val="24"/>
                <w:szCs w:val="24"/>
              </w:rPr>
              <w:t>☐其他规定：</w:t>
            </w:r>
            <w:r>
              <w:rPr>
                <w:rFonts w:hint="eastAsia" w:hAnsi="宋体" w:cs="宋体"/>
                <w:kern w:val="28"/>
                <w:sz w:val="24"/>
                <w:szCs w:val="24"/>
                <w:u w:val="single"/>
              </w:rPr>
              <w:t xml:space="preserve">                 </w:t>
            </w:r>
          </w:p>
        </w:tc>
      </w:tr>
    </w:tbl>
    <w:p>
      <w:pPr>
        <w:snapToGrid w:val="0"/>
        <w:spacing w:line="360" w:lineRule="auto"/>
        <w:jc w:val="center"/>
        <w:rPr>
          <w:rFonts w:hint="eastAsia" w:ascii="宋体" w:hAnsi="宋体" w:cs="宋体"/>
          <w:b/>
          <w:sz w:val="32"/>
          <w:szCs w:val="20"/>
        </w:rPr>
      </w:pPr>
    </w:p>
    <w:bookmarkEnd w:id="10"/>
    <w:p>
      <w:pPr>
        <w:adjustRightInd/>
        <w:spacing w:line="360" w:lineRule="auto"/>
        <w:jc w:val="center"/>
        <w:outlineLvl w:val="0"/>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r>
        <w:rPr>
          <w:rFonts w:hint="eastAsia" w:ascii="宋体" w:hAnsi="宋体" w:cs="宋体"/>
          <w:b/>
          <w:sz w:val="32"/>
          <w:szCs w:val="20"/>
        </w:rPr>
        <w:t>一、总则</w:t>
      </w:r>
    </w:p>
    <w:p>
      <w:pPr>
        <w:snapToGrid w:val="0"/>
        <w:spacing w:line="360" w:lineRule="auto"/>
        <w:jc w:val="left"/>
        <w:outlineLvl w:val="1"/>
        <w:rPr>
          <w:rFonts w:hint="eastAsia" w:ascii="宋体" w:hAnsi="宋体" w:cs="宋体"/>
          <w:b/>
          <w:sz w:val="24"/>
        </w:rPr>
      </w:pPr>
      <w:r>
        <w:rPr>
          <w:rFonts w:hint="eastAsia" w:ascii="宋体" w:hAnsi="宋体" w:cs="宋体"/>
          <w:b/>
          <w:sz w:val="24"/>
        </w:rPr>
        <w:t>1.适用范围</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napToGrid w:val="0"/>
        <w:spacing w:line="360" w:lineRule="auto"/>
        <w:jc w:val="left"/>
        <w:rPr>
          <w:rFonts w:hint="eastAsia" w:ascii="宋体" w:hAnsi="宋体" w:cs="宋体"/>
          <w:sz w:val="24"/>
        </w:rPr>
      </w:pPr>
      <w:r>
        <w:rPr>
          <w:rFonts w:hint="eastAsia" w:ascii="宋体" w:hAnsi="宋体" w:cs="宋体"/>
          <w:b/>
          <w:sz w:val="24"/>
        </w:rPr>
        <w:t>2.定义</w:t>
      </w:r>
    </w:p>
    <w:p>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hint="eastAsia"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hint="eastAsia" w:ascii="宋体" w:hAnsi="宋体" w:cs="宋体"/>
          <w:sz w:val="24"/>
        </w:rPr>
      </w:pPr>
      <w:r>
        <w:rPr>
          <w:rFonts w:hint="eastAsia" w:ascii="宋体" w:hAnsi="宋体" w:cs="宋体"/>
          <w:sz w:val="24"/>
        </w:rPr>
        <w:t>2.7 “▲”系指实质性要求条款，“★”系产品采购项目中单一产品或核心产品，“</w:t>
      </w:r>
      <w:r>
        <w:rPr>
          <w:rFonts w:hint="eastAsia" w:ascii="宋体" w:hAnsi="宋体" w:cs="宋体"/>
          <w:vanish/>
          <w:kern w:val="0"/>
          <w:sz w:val="24"/>
        </w:rPr>
        <w:t>&lt;</w:t>
      </w:r>
      <w:r>
        <w:rPr>
          <w:rFonts w:hint="eastAsia" w:ascii="宋体" w:hAnsi="宋体" w:cs="宋体"/>
          <w:color w:val="000000"/>
          <w:kern w:val="0"/>
          <w:sz w:val="24"/>
        </w:rPr>
        <w:sym w:font="Wingdings" w:char="F0FE"/>
      </w:r>
      <w:r>
        <w:rPr>
          <w:rFonts w:hint="eastAsia" w:ascii="宋体" w:hAnsi="宋体" w:cs="宋体"/>
          <w:vanish/>
          <w:kern w:val="0"/>
          <w:sz w:val="24"/>
        </w:rPr>
        <w:t>&gt;&lt;&gt;</w:t>
      </w:r>
      <w:r>
        <w:rPr>
          <w:rFonts w:hint="eastAsia" w:ascii="宋体" w:hAnsi="宋体" w:cs="宋体"/>
          <w:sz w:val="24"/>
        </w:rPr>
        <w:t>”系指适用本项目的要求，“</w:t>
      </w:r>
      <w:r>
        <w:rPr>
          <w:rFonts w:hint="eastAsia" w:ascii="宋体" w:hAnsi="宋体" w:cs="宋体"/>
          <w:vanish/>
          <w:kern w:val="0"/>
          <w:sz w:val="24"/>
        </w:rPr>
        <w:t>&lt;</w:t>
      </w:r>
      <w:r>
        <w:rPr>
          <w:rFonts w:hint="eastAsia" w:ascii="宋体" w:hAnsi="宋体" w:cs="宋体"/>
          <w:kern w:val="0"/>
          <w:sz w:val="24"/>
        </w:rPr>
        <w:t>☐</w:t>
      </w:r>
      <w:r>
        <w:rPr>
          <w:rFonts w:hint="eastAsia" w:ascii="宋体" w:hAnsi="宋体" w:cs="宋体"/>
          <w:vanish/>
          <w:kern w:val="0"/>
          <w:sz w:val="24"/>
        </w:rPr>
        <w:t>&gt;</w:t>
      </w:r>
      <w:r>
        <w:rPr>
          <w:rFonts w:hint="eastAsia" w:ascii="宋体" w:hAnsi="宋体" w:cs="宋体"/>
          <w:sz w:val="24"/>
        </w:rPr>
        <w:t>”系指不适用本项目的要求。</w:t>
      </w:r>
    </w:p>
    <w:p>
      <w:pPr>
        <w:spacing w:line="360" w:lineRule="auto"/>
        <w:rPr>
          <w:rFonts w:hint="eastAsia" w:ascii="宋体" w:hAnsi="宋体" w:cs="宋体"/>
          <w:sz w:val="24"/>
        </w:rPr>
      </w:pPr>
      <w:r>
        <w:rPr>
          <w:rFonts w:hint="eastAsia" w:ascii="宋体" w:hAnsi="宋体" w:cs="宋体"/>
          <w:b/>
          <w:sz w:val="24"/>
        </w:rPr>
        <w:t>3.采购项目需要落实的政府采购政策</w:t>
      </w:r>
    </w:p>
    <w:p>
      <w:pPr>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宋体" w:hAnsi="宋体" w:cs="宋体"/>
          <w:sz w:val="24"/>
        </w:rPr>
      </w:pPr>
      <w:r>
        <w:rPr>
          <w:rFonts w:hint="eastAsia" w:ascii="宋体" w:hAnsi="宋体" w:cs="宋体"/>
          <w:sz w:val="24"/>
        </w:rPr>
        <w:t>3.2 支持绿色发展</w:t>
      </w:r>
    </w:p>
    <w:p>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宋体" w:hAnsi="宋体" w:cs="宋体"/>
          <w:sz w:val="24"/>
        </w:rPr>
      </w:pPr>
      <w:r>
        <w:rPr>
          <w:rFonts w:hint="eastAsia" w:ascii="宋体" w:hAnsi="宋体" w:cs="宋体"/>
          <w:sz w:val="24"/>
        </w:rPr>
        <w:t>3.3支持中小企业发展</w:t>
      </w:r>
    </w:p>
    <w:p>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cs="宋体"/>
          <w:b/>
          <w:sz w:val="24"/>
        </w:rPr>
      </w:pPr>
      <w:r>
        <w:rPr>
          <w:rFonts w:hint="eastAsia" w:ascii="宋体" w:hAnsi="宋体" w:cs="宋体"/>
          <w:sz w:val="24"/>
        </w:rPr>
        <w:t>3.5中小企业信用融资：</w:t>
      </w:r>
      <w:r>
        <w:rPr>
          <w:rFonts w:hint="eastAsia" w:ascii="宋体" w:hAnsi="宋体" w:cs="宋体"/>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4.2供应商质疑</w:t>
      </w:r>
    </w:p>
    <w:p>
      <w:pPr>
        <w:pStyle w:val="9"/>
        <w:spacing w:line="360" w:lineRule="auto"/>
        <w:ind w:firstLine="480" w:firstLineChars="200"/>
        <w:rPr>
          <w:rFonts w:hint="eastAsia"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9"/>
        <w:spacing w:line="360" w:lineRule="auto"/>
        <w:ind w:firstLine="480" w:firstLineChars="200"/>
        <w:rPr>
          <w:rFonts w:hint="eastAsia"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9"/>
        <w:spacing w:line="360" w:lineRule="auto"/>
        <w:ind w:firstLine="480" w:firstLineChars="200"/>
        <w:rPr>
          <w:rFonts w:hint="eastAsia"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9"/>
        <w:spacing w:line="360" w:lineRule="auto"/>
        <w:ind w:firstLine="480" w:firstLineChars="200"/>
        <w:rPr>
          <w:rFonts w:hint="eastAsia" w:hAnsi="宋体" w:cs="宋体"/>
          <w:sz w:val="24"/>
        </w:rPr>
      </w:pPr>
      <w:r>
        <w:rPr>
          <w:rFonts w:hint="eastAsia" w:hAnsi="宋体" w:cs="宋体"/>
          <w:sz w:val="24"/>
        </w:rPr>
        <w:t>4.2.2.3对采购结果提出质疑的，质疑期限自采购结果公告期限届满之日起计算。</w:t>
      </w:r>
    </w:p>
    <w:p>
      <w:pPr>
        <w:pStyle w:val="9"/>
        <w:spacing w:line="360" w:lineRule="auto"/>
        <w:ind w:firstLine="480" w:firstLineChars="200"/>
        <w:rPr>
          <w:rFonts w:hint="eastAsia"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4.2.3.1供应商的姓名或者名称、地址、邮编、联系人及联系电话；</w:t>
      </w:r>
    </w:p>
    <w:p>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4.2.3.2质疑项目的名称、编号；</w:t>
      </w:r>
    </w:p>
    <w:p>
      <w:pPr>
        <w:pStyle w:val="5"/>
        <w:adjustRightInd/>
        <w:snapToGrid/>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4.2.3.3具体、明确的质疑事项和与质疑事项相关的请求；</w:t>
      </w:r>
    </w:p>
    <w:p>
      <w:pPr>
        <w:pStyle w:val="5"/>
        <w:adjustRightInd/>
        <w:snapToGrid/>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4.2.3.4事实依据；</w:t>
      </w:r>
    </w:p>
    <w:p>
      <w:pPr>
        <w:pStyle w:val="5"/>
        <w:adjustRightInd/>
        <w:snapToGrid/>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4.2.3.5必要的法律依据；</w:t>
      </w:r>
    </w:p>
    <w:p>
      <w:pPr>
        <w:pStyle w:val="5"/>
        <w:adjustRightInd/>
        <w:snapToGrid/>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4.2.3.6提出质疑的日期。</w:t>
      </w:r>
    </w:p>
    <w:p>
      <w:pPr>
        <w:pStyle w:val="22"/>
        <w:shd w:val="clear" w:color="auto" w:fill="FFFFFF"/>
        <w:spacing w:before="0" w:beforeAutospacing="0" w:after="0" w:afterAutospacing="0" w:line="360" w:lineRule="auto"/>
        <w:ind w:firstLine="480" w:firstLineChars="200"/>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22"/>
        <w:shd w:val="clear" w:color="auto" w:fill="FFFFFF"/>
        <w:spacing w:before="0" w:beforeAutospacing="0" w:after="0" w:afterAutospacing="0" w:line="360" w:lineRule="auto"/>
        <w:ind w:firstLine="480" w:firstLineChars="200"/>
        <w:rPr>
          <w:rFonts w:hint="eastAsia"/>
        </w:rPr>
      </w:pPr>
      <w:r>
        <w:rPr>
          <w:rFonts w:hint="eastAsia"/>
        </w:rPr>
        <w:t>质疑函范本及制作说明详见附件2。</w:t>
      </w:r>
    </w:p>
    <w:p>
      <w:pPr>
        <w:pStyle w:val="22"/>
        <w:shd w:val="clear" w:color="auto" w:fill="FFFFFF"/>
        <w:snapToGrid w:val="0"/>
        <w:spacing w:after="240" w:afterAutospacing="0" w:line="360" w:lineRule="auto"/>
        <w:ind w:firstLine="518" w:firstLineChars="216"/>
        <w:contextualSpacing/>
        <w:rPr>
          <w:rFonts w:hint="eastAsia"/>
        </w:rPr>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2"/>
        <w:shd w:val="clear" w:color="auto" w:fill="FFFFFF"/>
        <w:snapToGrid w:val="0"/>
        <w:spacing w:after="240" w:afterAutospacing="0" w:line="360" w:lineRule="auto"/>
        <w:ind w:firstLine="518" w:firstLineChars="216"/>
        <w:contextualSpacing/>
        <w:rPr>
          <w:rFonts w:hint="eastAsia"/>
        </w:rPr>
      </w:pPr>
      <w:r>
        <w:rPr>
          <w:rFonts w:hint="eastAsia"/>
          <w:lang w:val="zh-CN"/>
        </w:rPr>
        <w:t>4.2</w:t>
      </w:r>
      <w:r>
        <w:rPr>
          <w:rFonts w:hint="eastAsia"/>
        </w:rPr>
        <w:t>.5询问或者质疑事项可能影响采购结果的，采购人应当暂停签订合同，已经签订合同的，应当中止履行合同。</w:t>
      </w:r>
    </w:p>
    <w:p>
      <w:pPr>
        <w:pStyle w:val="22"/>
        <w:shd w:val="clear" w:color="auto" w:fill="FFFFFF"/>
        <w:snapToGrid w:val="0"/>
        <w:spacing w:after="240" w:afterAutospacing="0" w:line="360" w:lineRule="auto"/>
        <w:ind w:firstLine="480" w:firstLineChars="200"/>
        <w:contextualSpacing/>
        <w:rPr>
          <w:rFonts w:hint="eastAsia"/>
        </w:rPr>
      </w:pPr>
      <w:r>
        <w:rPr>
          <w:rFonts w:hint="eastAsia"/>
        </w:rPr>
        <w:t>4.3供应商投诉</w:t>
      </w:r>
    </w:p>
    <w:p>
      <w:pPr>
        <w:pStyle w:val="22"/>
        <w:shd w:val="clear" w:color="auto" w:fill="FFFFFF"/>
        <w:snapToGrid w:val="0"/>
        <w:spacing w:after="240" w:afterAutospacing="0" w:line="360" w:lineRule="auto"/>
        <w:ind w:firstLine="480" w:firstLineChars="200"/>
        <w:contextualSpacing/>
        <w:rPr>
          <w:rFonts w:hint="eastAsia"/>
        </w:rPr>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22"/>
        <w:shd w:val="clear" w:color="auto" w:fill="FFFFFF"/>
        <w:snapToGrid w:val="0"/>
        <w:spacing w:after="240" w:afterAutospacing="0" w:line="360" w:lineRule="auto"/>
        <w:ind w:firstLine="480" w:firstLineChars="200"/>
        <w:contextualSpacing/>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22"/>
        <w:shd w:val="clear" w:color="auto" w:fill="FFFFFF"/>
        <w:snapToGrid w:val="0"/>
        <w:spacing w:after="240" w:afterAutospacing="0" w:line="360" w:lineRule="auto"/>
        <w:ind w:firstLine="480" w:firstLineChars="200"/>
        <w:contextualSpacing/>
        <w:rPr>
          <w:rFonts w:hint="eastAsia"/>
        </w:rPr>
      </w:pPr>
      <w:r>
        <w:rPr>
          <w:rFonts w:hint="eastAsia"/>
        </w:rPr>
        <w:t>4.3.3供应商投诉应当有明确的请求和必要的证明材料。</w:t>
      </w:r>
    </w:p>
    <w:p>
      <w:pPr>
        <w:pStyle w:val="22"/>
        <w:shd w:val="clear" w:color="auto" w:fill="FFFFFF"/>
        <w:snapToGrid w:val="0"/>
        <w:spacing w:after="240" w:afterAutospacing="0" w:line="360" w:lineRule="auto"/>
        <w:ind w:firstLine="480" w:firstLineChars="200"/>
        <w:contextualSpacing/>
        <w:rPr>
          <w:rFonts w:hint="eastAsia"/>
        </w:rPr>
      </w:pPr>
      <w:r>
        <w:rPr>
          <w:rFonts w:hint="eastAsia"/>
        </w:rPr>
        <w:t>4.3.5 以联合体形式参加政府采购活动的，其投诉应当由组成联合体的所有供应商共同提出。</w:t>
      </w:r>
    </w:p>
    <w:p>
      <w:pPr>
        <w:pStyle w:val="22"/>
        <w:shd w:val="clear" w:color="auto" w:fill="FFFFFF"/>
        <w:snapToGrid w:val="0"/>
        <w:spacing w:after="240" w:afterAutospacing="0" w:line="360" w:lineRule="auto"/>
        <w:ind w:firstLine="480" w:firstLineChars="200"/>
        <w:contextualSpacing/>
        <w:rPr>
          <w:rFonts w:hint="eastAsia"/>
        </w:rPr>
      </w:pPr>
      <w:r>
        <w:rPr>
          <w:rFonts w:hint="eastAsia"/>
        </w:rPr>
        <w:t>投诉书范本及制作说明详见附件3。</w:t>
      </w:r>
    </w:p>
    <w:p>
      <w:pPr>
        <w:pStyle w:val="22"/>
        <w:shd w:val="clear" w:color="auto" w:fill="FFFFFF"/>
        <w:snapToGrid w:val="0"/>
        <w:spacing w:after="240" w:afterAutospacing="0" w:line="360" w:lineRule="auto"/>
        <w:ind w:firstLine="480" w:firstLineChars="200"/>
        <w:contextualSpacing/>
        <w:rPr>
          <w:rFonts w:hint="eastAsia"/>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二、招标文件的构成、澄清、修改</w:t>
      </w:r>
    </w:p>
    <w:p>
      <w:pPr>
        <w:pStyle w:val="9"/>
        <w:spacing w:line="360" w:lineRule="auto"/>
        <w:rPr>
          <w:rFonts w:hint="eastAsia" w:hAnsi="宋体" w:cs="宋体"/>
          <w:b/>
          <w:sz w:val="24"/>
          <w:szCs w:val="24"/>
        </w:rPr>
      </w:pPr>
      <w:r>
        <w:rPr>
          <w:rFonts w:hint="eastAsia" w:hAnsi="宋体" w:cs="宋体"/>
          <w:b/>
          <w:sz w:val="24"/>
          <w:szCs w:val="24"/>
        </w:rPr>
        <w:t>5．招标文件的构成</w:t>
      </w:r>
    </w:p>
    <w:p>
      <w:pPr>
        <w:pStyle w:val="9"/>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pPr>
        <w:pStyle w:val="9"/>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pPr>
        <w:pStyle w:val="9"/>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pPr>
        <w:pStyle w:val="9"/>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pPr>
        <w:pStyle w:val="9"/>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pPr>
        <w:pStyle w:val="9"/>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pPr>
        <w:pStyle w:val="9"/>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9"/>
        <w:spacing w:line="360" w:lineRule="auto"/>
        <w:rPr>
          <w:rFonts w:hint="eastAsia" w:hAnsi="宋体" w:cs="宋体"/>
          <w:b/>
          <w:sz w:val="24"/>
          <w:szCs w:val="24"/>
        </w:rPr>
      </w:pPr>
      <w:r>
        <w:rPr>
          <w:rFonts w:hint="eastAsia" w:hAnsi="宋体" w:cs="宋体"/>
          <w:b/>
          <w:sz w:val="24"/>
          <w:szCs w:val="24"/>
        </w:rPr>
        <w:t>6. 招标文件的澄清、修改</w:t>
      </w:r>
    </w:p>
    <w:p>
      <w:pPr>
        <w:pStyle w:val="20"/>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6.1已获取招标文件的潜在投标人，若有问题需要澄清，应于投标截止时间前，以书面形式向采购机构提出。</w:t>
      </w:r>
    </w:p>
    <w:p>
      <w:pPr>
        <w:pStyle w:val="20"/>
        <w:snapToGrid w:val="0"/>
        <w:spacing w:before="0"/>
        <w:ind w:firstLine="480"/>
        <w:rPr>
          <w:rFonts w:hint="eastAsia"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hint="eastAsia" w:hAnsi="宋体" w:cs="宋体"/>
          <w:sz w:val="18"/>
          <w:szCs w:val="18"/>
          <w:lang w:val="en-US"/>
        </w:rPr>
      </w:pPr>
    </w:p>
    <w:p>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pPr>
        <w:pStyle w:val="9"/>
        <w:spacing w:line="360" w:lineRule="auto"/>
        <w:rPr>
          <w:rFonts w:hint="eastAsia" w:hAnsi="宋体" w:cs="宋体"/>
          <w:b/>
          <w:sz w:val="24"/>
          <w:szCs w:val="24"/>
        </w:rPr>
      </w:pPr>
      <w:r>
        <w:rPr>
          <w:rFonts w:hint="eastAsia" w:hAnsi="宋体" w:cs="宋体"/>
          <w:b/>
          <w:sz w:val="24"/>
          <w:szCs w:val="24"/>
        </w:rPr>
        <w:t>7. 招标文件的获取</w:t>
      </w:r>
    </w:p>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9"/>
        <w:spacing w:line="360" w:lineRule="auto"/>
        <w:rPr>
          <w:rFonts w:hint="eastAsia" w:hAnsi="宋体" w:cs="宋体"/>
          <w:b/>
          <w:sz w:val="24"/>
          <w:szCs w:val="24"/>
        </w:rPr>
      </w:pPr>
      <w:r>
        <w:rPr>
          <w:rFonts w:hint="eastAsia" w:hAnsi="宋体" w:cs="宋体"/>
          <w:b/>
          <w:sz w:val="24"/>
          <w:szCs w:val="24"/>
        </w:rPr>
        <w:t>8.开标前答疑会或现场考察</w:t>
      </w:r>
    </w:p>
    <w:p>
      <w:pPr>
        <w:pStyle w:val="9"/>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9"/>
        <w:spacing w:line="360" w:lineRule="auto"/>
        <w:rPr>
          <w:rFonts w:hint="eastAsia"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pPr>
        <w:pStyle w:val="9"/>
        <w:spacing w:line="360" w:lineRule="auto"/>
        <w:rPr>
          <w:rFonts w:hint="eastAsia"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pPr>
        <w:pStyle w:val="9"/>
        <w:spacing w:line="360" w:lineRule="auto"/>
        <w:rPr>
          <w:rFonts w:hint="eastAsia"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11.1.1</w:t>
      </w:r>
      <w:r>
        <w:rPr>
          <w:rFonts w:hint="eastAsia" w:ascii="宋体" w:hAnsi="宋体" w:cs="宋体"/>
          <w:color w:val="auto"/>
          <w:sz w:val="24"/>
        </w:rPr>
        <w:t>符合参加政府采购活动应当具备的一般条件的承诺函；</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11.1.2</w:t>
      </w:r>
      <w:r>
        <w:rPr>
          <w:rFonts w:hint="eastAsia" w:ascii="宋体" w:hAnsi="宋体" w:cs="宋体"/>
          <w:bCs/>
          <w:color w:val="auto"/>
          <w:sz w:val="24"/>
        </w:rPr>
        <w:t>联合协议；（如果有）</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11.1.3落实政府采购政策需满足的资格要求；</w:t>
      </w:r>
      <w:r>
        <w:rPr>
          <w:rFonts w:hint="eastAsia" w:ascii="宋体" w:hAnsi="宋体" w:cs="宋体"/>
          <w:bCs/>
          <w:color w:val="auto"/>
          <w:sz w:val="24"/>
        </w:rPr>
        <w:t>（本项目专门面向中小企业）</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11.1.4本项目的特定资格要求。</w:t>
      </w:r>
    </w:p>
    <w:p>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11.2</w:t>
      </w:r>
      <w:r>
        <w:rPr>
          <w:rFonts w:hint="eastAsia" w:ascii="宋体" w:hAnsi="宋体" w:cs="宋体"/>
          <w:color w:val="auto"/>
          <w:sz w:val="24"/>
        </w:rPr>
        <w:t>.1投标函；</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11.2.3联合协议；</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11.2.4分包意向协议</w:t>
      </w:r>
      <w:r>
        <w:rPr>
          <w:rFonts w:hint="eastAsia" w:ascii="宋体" w:hAnsi="宋体" w:cs="宋体"/>
          <w:bCs/>
          <w:color w:val="auto"/>
          <w:sz w:val="24"/>
        </w:rPr>
        <w:t>（如果有）</w:t>
      </w:r>
      <w:r>
        <w:rPr>
          <w:rFonts w:hint="eastAsia" w:ascii="宋体" w:hAnsi="宋体" w:cs="宋体"/>
          <w:color w:val="auto"/>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11.2.5符合性审查资料；</w:t>
      </w:r>
    </w:p>
    <w:p>
      <w:pPr>
        <w:snapToGrid w:val="0"/>
        <w:spacing w:line="360" w:lineRule="auto"/>
        <w:ind w:firstLine="960" w:firstLineChars="400"/>
        <w:rPr>
          <w:rFonts w:hint="eastAsia" w:ascii="宋体" w:hAnsi="宋体" w:cs="宋体"/>
          <w:sz w:val="24"/>
        </w:rPr>
      </w:pPr>
      <w:r>
        <w:rPr>
          <w:rFonts w:hint="eastAsia" w:ascii="宋体" w:hAnsi="宋体" w:cs="宋体"/>
          <w:sz w:val="24"/>
        </w:rPr>
        <w:t>11.2.6评标标准相应的商务技术资料；</w:t>
      </w:r>
    </w:p>
    <w:p>
      <w:pPr>
        <w:snapToGrid w:val="0"/>
        <w:spacing w:line="360" w:lineRule="auto"/>
        <w:ind w:firstLine="960" w:firstLineChars="400"/>
        <w:rPr>
          <w:rFonts w:hint="eastAsia"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pPr>
        <w:spacing w:line="360" w:lineRule="auto"/>
        <w:ind w:firstLine="472" w:firstLineChars="196"/>
        <w:rPr>
          <w:rFonts w:hint="eastAsia"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472" w:firstLineChars="196"/>
        <w:rPr>
          <w:rFonts w:hint="eastAsia" w:ascii="宋体" w:hAnsi="宋体" w:cs="宋体"/>
          <w:b/>
          <w:sz w:val="24"/>
          <w:szCs w:val="21"/>
        </w:rPr>
      </w:pPr>
      <w:r>
        <w:rPr>
          <w:rFonts w:hint="eastAsia" w:ascii="宋体" w:hAnsi="宋体" w:cs="宋体"/>
          <w:b/>
          <w:sz w:val="24"/>
        </w:rPr>
        <w:t>投标人提供虚假材料投标的，投标无效。</w:t>
      </w:r>
    </w:p>
    <w:p>
      <w:pPr>
        <w:pStyle w:val="20"/>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sz w:val="24"/>
        </w:rPr>
      </w:pPr>
      <w:r>
        <w:rPr>
          <w:rFonts w:hint="eastAsia" w:ascii="宋体" w:hAnsi="宋体" w:cs="宋体"/>
          <w:b/>
          <w:sz w:val="24"/>
        </w:rPr>
        <w:t>13.投标文件的签署、盖章</w:t>
      </w:r>
    </w:p>
    <w:p>
      <w:pPr>
        <w:pStyle w:val="20"/>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20"/>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20"/>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pPr>
        <w:pStyle w:val="20"/>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pPr>
        <w:pStyle w:val="2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0"/>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0"/>
        <w:spacing w:before="0"/>
        <w:ind w:firstLine="480"/>
        <w:rPr>
          <w:rFonts w:hint="eastAsia"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9"/>
        <w:spacing w:line="360" w:lineRule="auto"/>
        <w:rPr>
          <w:rFonts w:hint="eastAsia" w:hAnsi="宋体" w:cs="宋体"/>
          <w:b/>
          <w:sz w:val="24"/>
          <w:szCs w:val="24"/>
        </w:rPr>
      </w:pPr>
      <w:r>
        <w:rPr>
          <w:rFonts w:hint="eastAsia" w:hAnsi="宋体" w:cs="宋体"/>
          <w:b/>
          <w:sz w:val="24"/>
          <w:szCs w:val="24"/>
        </w:rPr>
        <w:t>15.备份投标文件</w:t>
      </w:r>
    </w:p>
    <w:p>
      <w:pPr>
        <w:pStyle w:val="9"/>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9"/>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9"/>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9"/>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9"/>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20"/>
        <w:spacing w:before="0"/>
        <w:ind w:firstLine="0" w:firstLineChars="0"/>
        <w:rPr>
          <w:rFonts w:hint="eastAsia" w:ascii="宋体" w:hAnsi="宋体" w:cs="宋体"/>
          <w:b/>
          <w:szCs w:val="24"/>
        </w:rPr>
      </w:pPr>
      <w:r>
        <w:rPr>
          <w:rFonts w:hint="eastAsia" w:ascii="宋体" w:hAnsi="宋体" w:cs="宋体"/>
          <w:b/>
          <w:szCs w:val="24"/>
        </w:rPr>
        <w:t>16.投标文件的无效处理</w:t>
      </w:r>
    </w:p>
    <w:p>
      <w:pPr>
        <w:pStyle w:val="7"/>
        <w:spacing w:line="360" w:lineRule="auto"/>
        <w:ind w:firstLine="360" w:firstLineChars="150"/>
        <w:rPr>
          <w:rFonts w:hint="eastAsia"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pPr>
        <w:pStyle w:val="20"/>
        <w:spacing w:before="0"/>
        <w:ind w:firstLine="0" w:firstLineChars="0"/>
        <w:rPr>
          <w:rFonts w:hint="eastAsia" w:ascii="宋体" w:hAnsi="宋体" w:cs="宋体"/>
          <w:b/>
          <w:szCs w:val="24"/>
        </w:rPr>
      </w:pPr>
      <w:r>
        <w:rPr>
          <w:rFonts w:hint="eastAsia" w:ascii="宋体" w:hAnsi="宋体" w:cs="宋体"/>
          <w:b/>
          <w:szCs w:val="24"/>
        </w:rPr>
        <w:t>17.投标有效期</w:t>
      </w:r>
    </w:p>
    <w:p>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20"/>
        <w:spacing w:before="0"/>
        <w:ind w:firstLine="480"/>
        <w:rPr>
          <w:rFonts w:hint="eastAsia" w:ascii="宋体" w:hAnsi="宋体" w:cs="宋体"/>
        </w:rPr>
      </w:pPr>
      <w:r>
        <w:rPr>
          <w:rFonts w:hint="eastAsia" w:ascii="宋体" w:hAnsi="宋体" w:cs="宋体"/>
        </w:rPr>
        <w:t>17.2投标文件合格投递后，自投标截止日期起，在投标有效期内有效。</w:t>
      </w:r>
    </w:p>
    <w:p>
      <w:pPr>
        <w:pStyle w:val="20"/>
        <w:spacing w:before="0"/>
        <w:ind w:firstLine="480"/>
        <w:rPr>
          <w:rFonts w:hint="eastAsia"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20"/>
        <w:spacing w:before="0"/>
        <w:ind w:firstLine="480"/>
        <w:rPr>
          <w:rFonts w:hint="eastAsia" w:ascii="宋体" w:hAnsi="宋体" w:cs="宋体"/>
        </w:rPr>
      </w:pPr>
    </w:p>
    <w:p>
      <w:pPr>
        <w:pStyle w:val="20"/>
        <w:spacing w:before="0"/>
        <w:ind w:firstLine="0" w:firstLineChars="0"/>
        <w:jc w:val="center"/>
        <w:rPr>
          <w:rFonts w:hint="eastAsia" w:ascii="宋体" w:hAnsi="宋体" w:cs="宋体"/>
          <w:b/>
          <w:sz w:val="32"/>
        </w:rPr>
      </w:pPr>
      <w:r>
        <w:rPr>
          <w:rFonts w:hint="eastAsia" w:ascii="宋体" w:hAnsi="宋体" w:cs="宋体"/>
          <w:b/>
          <w:sz w:val="32"/>
        </w:rPr>
        <w:t>四、开标、资格审查与信用信息查询</w:t>
      </w:r>
    </w:p>
    <w:p>
      <w:pPr>
        <w:pStyle w:val="23"/>
        <w:spacing w:before="0" w:line="360" w:lineRule="auto"/>
        <w:ind w:left="0" w:firstLine="0"/>
        <w:contextualSpacing/>
        <w:rPr>
          <w:rFonts w:hint="eastAsia" w:ascii="宋体" w:hAnsi="宋体" w:cs="宋体"/>
          <w:sz w:val="24"/>
        </w:rPr>
      </w:pPr>
      <w:r>
        <w:rPr>
          <w:rFonts w:hint="eastAsia" w:ascii="宋体" w:hAnsi="宋体" w:cs="宋体"/>
          <w:b/>
          <w:sz w:val="24"/>
          <w:szCs w:val="24"/>
        </w:rPr>
        <w:t>18.开标</w:t>
      </w:r>
    </w:p>
    <w:p>
      <w:pPr>
        <w:pStyle w:val="23"/>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3"/>
        <w:adjustRightInd/>
        <w:spacing w:before="0" w:line="360" w:lineRule="auto"/>
        <w:ind w:left="0" w:firstLine="240" w:firstLineChars="100"/>
        <w:rPr>
          <w:rFonts w:hint="eastAsia"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3"/>
        <w:adjustRightInd/>
        <w:spacing w:before="0" w:line="360" w:lineRule="auto"/>
        <w:ind w:left="0" w:firstLine="240" w:firstLineChars="100"/>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adjustRightInd/>
        <w:spacing w:line="360" w:lineRule="auto"/>
        <w:jc w:val="left"/>
        <w:rPr>
          <w:rFonts w:hint="eastAsia" w:ascii="宋体" w:hAnsi="宋体" w:cs="宋体"/>
          <w:b/>
          <w:sz w:val="24"/>
          <w:szCs w:val="20"/>
        </w:rPr>
      </w:pPr>
      <w:r>
        <w:rPr>
          <w:rFonts w:hint="eastAsia" w:ascii="宋体" w:hAnsi="宋体" w:cs="宋体"/>
          <w:b/>
          <w:sz w:val="24"/>
          <w:szCs w:val="20"/>
        </w:rPr>
        <w:t>19、资格审查</w:t>
      </w:r>
    </w:p>
    <w:p>
      <w:pPr>
        <w:pStyle w:val="20"/>
        <w:adjustRightInd/>
        <w:spacing w:before="0"/>
        <w:ind w:firstLine="480"/>
        <w:rPr>
          <w:rFonts w:hint="eastAsia" w:ascii="宋体" w:hAnsi="宋体" w:cs="宋体"/>
          <w:kern w:val="0"/>
          <w:szCs w:val="24"/>
        </w:rPr>
      </w:pPr>
      <w:r>
        <w:rPr>
          <w:rFonts w:hint="eastAsia" w:ascii="宋体" w:hAnsi="宋体" w:cs="宋体"/>
          <w:kern w:val="0"/>
          <w:szCs w:val="24"/>
        </w:rPr>
        <w:t>19.1开标后，采购人或采购机构将依法对投标人的资格进行审查。</w:t>
      </w:r>
    </w:p>
    <w:p>
      <w:pPr>
        <w:adjustRightInd/>
        <w:spacing w:line="360" w:lineRule="auto"/>
        <w:ind w:firstLine="480" w:firstLineChars="200"/>
        <w:rPr>
          <w:rFonts w:hint="eastAsia"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20"/>
        <w:adjustRightInd/>
        <w:spacing w:before="0"/>
        <w:ind w:firstLine="480"/>
        <w:rPr>
          <w:rFonts w:hint="eastAsia"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20"/>
        <w:adjustRightInd/>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20"/>
        <w:adjustRightInd/>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20"/>
        <w:adjustRightInd/>
        <w:spacing w:before="0"/>
        <w:ind w:firstLine="0" w:firstLineChars="0"/>
        <w:rPr>
          <w:rFonts w:hint="eastAsia" w:ascii="宋体" w:hAnsi="宋体" w:cs="宋体"/>
          <w:b/>
          <w:szCs w:val="24"/>
        </w:rPr>
      </w:pPr>
      <w:r>
        <w:rPr>
          <w:rFonts w:hint="eastAsia" w:ascii="宋体" w:hAnsi="宋体" w:cs="宋体"/>
          <w:b/>
          <w:szCs w:val="24"/>
        </w:rPr>
        <w:t>20、信用信息查询</w:t>
      </w:r>
    </w:p>
    <w:p>
      <w:pPr>
        <w:pStyle w:val="20"/>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20.1信用信息查询渠道及截止时间：采购机构将通过“信用中国”网站(www.creditchina.gov.cn)、中国政府采购网(www.ccgp.gov.cn)等渠道查询投标人投标截止时间当天的信用记录。</w:t>
      </w:r>
    </w:p>
    <w:p>
      <w:pPr>
        <w:pStyle w:val="20"/>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20"/>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20"/>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20"/>
        <w:spacing w:before="0"/>
        <w:ind w:firstLine="0" w:firstLineChars="0"/>
        <w:rPr>
          <w:rFonts w:hint="eastAsia" w:ascii="宋体" w:hAnsi="宋体" w:cs="宋体"/>
          <w:kern w:val="0"/>
          <w:szCs w:val="24"/>
        </w:rPr>
      </w:pPr>
    </w:p>
    <w:p>
      <w:pPr>
        <w:numPr>
          <w:ilvl w:val="0"/>
          <w:numId w:val="2"/>
        </w:num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评标</w:t>
      </w:r>
    </w:p>
    <w:p>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hint="eastAsia" w:ascii="宋体" w:hAnsi="宋体" w:cs="宋体"/>
          <w:b/>
          <w:sz w:val="24"/>
        </w:rPr>
      </w:pPr>
    </w:p>
    <w:p>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六、定标</w:t>
      </w:r>
    </w:p>
    <w:p>
      <w:pPr>
        <w:pStyle w:val="7"/>
        <w:spacing w:line="360" w:lineRule="auto"/>
        <w:ind w:left="479" w:hanging="479" w:hangingChars="199"/>
        <w:rPr>
          <w:rFonts w:hint="eastAsia" w:cs="宋体"/>
          <w:b/>
        </w:rPr>
      </w:pPr>
      <w:r>
        <w:rPr>
          <w:rFonts w:hint="eastAsia" w:cs="宋体"/>
          <w:b/>
        </w:rPr>
        <w:t>22. 确定中标供应商</w:t>
      </w:r>
    </w:p>
    <w:p>
      <w:pPr>
        <w:pStyle w:val="20"/>
        <w:snapToGrid w:val="0"/>
        <w:spacing w:before="0"/>
        <w:ind w:firstLine="480"/>
        <w:rPr>
          <w:rFonts w:hint="eastAsia"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20"/>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pStyle w:val="6"/>
        <w:rPr>
          <w:rFonts w:hint="default" w:eastAsia="宋体"/>
          <w:lang w:val="en-US" w:eastAsia="zh-CN"/>
        </w:rPr>
      </w:pPr>
      <w:r>
        <w:rPr>
          <w:rFonts w:hint="eastAsia" w:hAnsi="宋体" w:cs="宋体"/>
          <w:sz w:val="24"/>
          <w:lang w:val="en-US" w:eastAsia="zh-CN"/>
        </w:rPr>
        <w:t>23.4由于中标、成交供应商原因导致重新采购的，应当承担支付代理费和专家评审费等费用在内的赔偿责任。</w:t>
      </w:r>
    </w:p>
    <w:p>
      <w:pPr>
        <w:snapToGrid w:val="0"/>
        <w:spacing w:line="360" w:lineRule="auto"/>
        <w:jc w:val="center"/>
        <w:rPr>
          <w:rFonts w:hint="eastAsia" w:ascii="宋体" w:hAnsi="宋体" w:cs="宋体"/>
          <w:b/>
          <w:sz w:val="32"/>
        </w:rPr>
      </w:pPr>
      <w:r>
        <w:rPr>
          <w:rFonts w:hint="eastAsia" w:ascii="宋体" w:hAnsi="宋体" w:cs="宋体"/>
          <w:b/>
          <w:sz w:val="32"/>
        </w:rPr>
        <w:t>七、合同授予</w:t>
      </w:r>
    </w:p>
    <w:p>
      <w:pPr>
        <w:pStyle w:val="7"/>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pPr>
        <w:pStyle w:val="7"/>
        <w:spacing w:line="360" w:lineRule="auto"/>
        <w:ind w:left="479" w:hanging="479" w:hangingChars="199"/>
        <w:rPr>
          <w:rFonts w:hint="eastAsia" w:cs="宋体"/>
          <w:b/>
        </w:rPr>
      </w:pPr>
      <w:r>
        <w:rPr>
          <w:rFonts w:hint="eastAsia" w:cs="宋体"/>
          <w:b/>
        </w:rPr>
        <w:t>25. 合同的签订</w:t>
      </w:r>
    </w:p>
    <w:p>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采购人与中标人应当通过电子交易平台在中标通知书发出之日起十日内，按照招标文件确定的事项签订政府采购合同，并在合同签订之日起2个工作日内依法发布合同公告。</w:t>
      </w:r>
    </w:p>
    <w:p>
      <w:pPr>
        <w:pStyle w:val="20"/>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0"/>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20"/>
        <w:adjustRightInd/>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20"/>
        <w:adjustRightInd/>
        <w:spacing w:before="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7"/>
        <w:adjustRightInd/>
        <w:spacing w:line="360" w:lineRule="auto"/>
        <w:ind w:left="479" w:hanging="479" w:hangingChars="199"/>
        <w:rPr>
          <w:rFonts w:hint="eastAsia" w:cs="宋体"/>
          <w:b/>
        </w:rPr>
      </w:pPr>
      <w:r>
        <w:rPr>
          <w:rFonts w:hint="eastAsia" w:cs="宋体"/>
          <w:b/>
        </w:rPr>
        <w:t>26. 履约保证金</w:t>
      </w:r>
    </w:p>
    <w:p>
      <w:pPr>
        <w:tabs>
          <w:tab w:val="left" w:pos="0"/>
        </w:tabs>
        <w:adjustRightInd/>
        <w:spacing w:line="360" w:lineRule="auto"/>
        <w:ind w:firstLine="482"/>
        <w:rPr>
          <w:rFonts w:hint="eastAsia" w:ascii="宋体" w:hAnsi="宋体" w:cs="宋体"/>
          <w:b/>
          <w:sz w:val="24"/>
        </w:rPr>
      </w:pPr>
      <w:r>
        <w:rPr>
          <w:rFonts w:hint="eastAsia" w:ascii="宋体" w:hAnsi="宋体" w:cs="宋体"/>
          <w:bCs/>
          <w:sz w:val="24"/>
        </w:rPr>
        <w:t>杭州市政府采购网公布的供应商履约评价为满分的免收履约保证金。确需收取履约保证金的，履约保证金的数额不得超过政府采购合同金额的1%。鼓励和支持供应商以银行、保险公司出具的电子保函形式提供履约保证金</w:t>
      </w:r>
      <w:r>
        <w:rPr>
          <w:rFonts w:hint="eastAsia" w:ascii="宋体" w:hAnsi="宋体" w:cs="宋体"/>
          <w:b/>
          <w:sz w:val="24"/>
        </w:rPr>
        <w:t>。采购人不得拒收履约保函。</w:t>
      </w:r>
    </w:p>
    <w:p>
      <w:pPr>
        <w:tabs>
          <w:tab w:val="left" w:pos="0"/>
        </w:tabs>
        <w:adjustRightInd/>
        <w:spacing w:line="360" w:lineRule="auto"/>
        <w:ind w:firstLine="482"/>
        <w:rPr>
          <w:rFonts w:hint="eastAsia" w:ascii="宋体" w:hAnsi="宋体" w:cs="宋体"/>
          <w:sz w:val="24"/>
          <w:szCs w:val="20"/>
        </w:rPr>
      </w:pPr>
      <w:r>
        <w:rPr>
          <w:rFonts w:hint="eastAsia" w:ascii="宋体" w:hAnsi="宋体" w:cs="宋体"/>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sz w:val="24"/>
          <w:szCs w:val="20"/>
          <w:lang w:eastAsia="zh-CN"/>
        </w:rPr>
        <w:t>95763</w:t>
      </w:r>
      <w:r>
        <w:rPr>
          <w:rFonts w:hint="eastAsia" w:ascii="宋体" w:hAnsi="宋体" w:cs="宋体"/>
          <w:sz w:val="24"/>
          <w:szCs w:val="20"/>
        </w:rPr>
        <w:t>。</w:t>
      </w:r>
    </w:p>
    <w:p>
      <w:pPr>
        <w:snapToGrid w:val="0"/>
        <w:spacing w:line="360" w:lineRule="auto"/>
        <w:jc w:val="center"/>
        <w:rPr>
          <w:rFonts w:hint="eastAsia" w:ascii="宋体" w:hAnsi="宋体" w:cs="宋体"/>
          <w:b/>
          <w:sz w:val="24"/>
        </w:rPr>
      </w:pPr>
      <w:r>
        <w:rPr>
          <w:rFonts w:hint="eastAsia" w:ascii="宋体" w:hAnsi="宋体" w:cs="宋体"/>
          <w:b/>
          <w:sz w:val="32"/>
        </w:rPr>
        <w:t>八、电子交易活动的中止</w:t>
      </w:r>
    </w:p>
    <w:p>
      <w:pPr>
        <w:pStyle w:val="20"/>
        <w:snapToGrid w:val="0"/>
        <w:spacing w:before="0"/>
        <w:ind w:firstLine="0" w:firstLineChars="0"/>
        <w:rPr>
          <w:rFonts w:hint="eastAsia"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20"/>
        <w:snapToGrid w:val="0"/>
        <w:spacing w:before="0"/>
        <w:ind w:firstLine="480"/>
        <w:rPr>
          <w:rFonts w:hint="eastAsia" w:ascii="宋体" w:hAnsi="宋体" w:cs="宋体"/>
        </w:rPr>
      </w:pPr>
      <w:r>
        <w:rPr>
          <w:rFonts w:hint="eastAsia" w:ascii="宋体" w:hAnsi="宋体" w:cs="宋体"/>
        </w:rPr>
        <w:t xml:space="preserve">27.1电子交易平台发生故障而无法登录访问的； </w:t>
      </w:r>
    </w:p>
    <w:p>
      <w:pPr>
        <w:pStyle w:val="20"/>
        <w:snapToGrid w:val="0"/>
        <w:spacing w:before="0"/>
        <w:ind w:firstLine="480"/>
        <w:rPr>
          <w:rFonts w:hint="eastAsia" w:ascii="宋体" w:hAnsi="宋体" w:cs="宋体"/>
        </w:rPr>
      </w:pPr>
      <w:r>
        <w:rPr>
          <w:rFonts w:hint="eastAsia" w:ascii="宋体" w:hAnsi="宋体" w:cs="宋体"/>
        </w:rPr>
        <w:t>27.2电子交易平台应用或数据库出现错误，不能进行正常操作的；</w:t>
      </w:r>
    </w:p>
    <w:p>
      <w:pPr>
        <w:pStyle w:val="20"/>
        <w:snapToGrid w:val="0"/>
        <w:spacing w:before="0"/>
        <w:ind w:firstLine="480"/>
        <w:rPr>
          <w:rFonts w:hint="eastAsia" w:ascii="宋体" w:hAnsi="宋体" w:cs="宋体"/>
        </w:rPr>
      </w:pPr>
      <w:r>
        <w:rPr>
          <w:rFonts w:hint="eastAsia" w:ascii="宋体" w:hAnsi="宋体" w:cs="宋体"/>
        </w:rPr>
        <w:t>27.3电子交易平台发现严重安全漏洞，有潜在泄密危险的；</w:t>
      </w:r>
    </w:p>
    <w:p>
      <w:pPr>
        <w:pStyle w:val="20"/>
        <w:snapToGrid w:val="0"/>
        <w:spacing w:before="0"/>
        <w:ind w:firstLine="480"/>
        <w:rPr>
          <w:rFonts w:hint="eastAsia" w:ascii="宋体" w:hAnsi="宋体" w:cs="宋体"/>
        </w:rPr>
      </w:pPr>
      <w:r>
        <w:rPr>
          <w:rFonts w:hint="eastAsia" w:ascii="宋体" w:hAnsi="宋体" w:cs="宋体"/>
        </w:rPr>
        <w:t xml:space="preserve">27.4病毒发作导致不能进行正常操作的； </w:t>
      </w:r>
    </w:p>
    <w:p>
      <w:pPr>
        <w:pStyle w:val="20"/>
        <w:snapToGrid w:val="0"/>
        <w:spacing w:before="0"/>
        <w:ind w:firstLine="480"/>
        <w:rPr>
          <w:rFonts w:hint="eastAsia" w:ascii="宋体" w:hAnsi="宋体" w:cs="宋体"/>
        </w:rPr>
      </w:pPr>
      <w:r>
        <w:rPr>
          <w:rFonts w:hint="eastAsia" w:ascii="宋体" w:hAnsi="宋体" w:cs="宋体"/>
        </w:rPr>
        <w:t>27.5其他无法保证电子交易的公平、公正和安全的情况。</w:t>
      </w:r>
    </w:p>
    <w:p>
      <w:pPr>
        <w:pStyle w:val="20"/>
        <w:snapToGrid w:val="0"/>
        <w:spacing w:before="0"/>
        <w:ind w:firstLine="0" w:firstLineChars="0"/>
        <w:rPr>
          <w:rFonts w:hint="eastAsia"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hint="eastAsia" w:ascii="宋体" w:hAnsi="宋体" w:cs="宋体"/>
          <w:b/>
          <w:sz w:val="32"/>
        </w:rPr>
      </w:pPr>
      <w:r>
        <w:rPr>
          <w:rFonts w:hint="eastAsia" w:ascii="宋体" w:hAnsi="宋体" w:cs="宋体"/>
          <w:b/>
          <w:sz w:val="32"/>
        </w:rPr>
        <w:t>九、验收</w:t>
      </w:r>
    </w:p>
    <w:p>
      <w:pPr>
        <w:pStyle w:val="7"/>
        <w:adjustRightInd/>
        <w:spacing w:line="360" w:lineRule="auto"/>
        <w:ind w:firstLine="0" w:firstLineChars="0"/>
        <w:rPr>
          <w:rFonts w:hint="eastAsia" w:cs="宋体"/>
          <w:b/>
        </w:rPr>
      </w:pPr>
      <w:r>
        <w:rPr>
          <w:rFonts w:hint="eastAsia" w:cs="宋体"/>
          <w:b/>
        </w:rPr>
        <w:t>29.验收</w:t>
      </w:r>
    </w:p>
    <w:p>
      <w:pPr>
        <w:tabs>
          <w:tab w:val="left" w:pos="0"/>
        </w:tabs>
        <w:adjustRightInd/>
        <w:spacing w:line="360" w:lineRule="auto"/>
        <w:ind w:firstLine="480"/>
        <w:rPr>
          <w:rFonts w:hint="eastAsia"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spacing w:line="360" w:lineRule="auto"/>
        <w:ind w:firstLine="480"/>
        <w:rPr>
          <w:rFonts w:hint="eastAsia"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adjustRightInd/>
        <w:spacing w:line="360" w:lineRule="auto"/>
        <w:ind w:firstLine="480"/>
        <w:rPr>
          <w:rFonts w:hint="eastAsia"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spacing w:line="360" w:lineRule="auto"/>
        <w:ind w:firstLine="480"/>
        <w:rPr>
          <w:rFonts w:hint="eastAsia"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4" w:name="_Hlt68072990"/>
      <w:bookmarkEnd w:id="14"/>
      <w:bookmarkStart w:id="15" w:name="_Hlt68073093"/>
      <w:bookmarkEnd w:id="15"/>
      <w:bookmarkStart w:id="16" w:name="_Hlt74730295"/>
      <w:bookmarkEnd w:id="16"/>
      <w:bookmarkStart w:id="17" w:name="_Hlt74729768"/>
      <w:bookmarkEnd w:id="17"/>
      <w:bookmarkStart w:id="18" w:name="_Hlt68057669"/>
      <w:bookmarkEnd w:id="18"/>
      <w:bookmarkStart w:id="19" w:name="_Hlt74714665"/>
      <w:bookmarkEnd w:id="19"/>
      <w:bookmarkStart w:id="20" w:name="_Hlt75236011"/>
      <w:bookmarkEnd w:id="20"/>
      <w:bookmarkStart w:id="21" w:name="_Hlt74707468"/>
      <w:bookmarkEnd w:id="21"/>
      <w:bookmarkStart w:id="22" w:name="_Hlt75236101"/>
      <w:bookmarkEnd w:id="22"/>
      <w:bookmarkStart w:id="23" w:name="_Hlt68072998"/>
      <w:bookmarkEnd w:id="23"/>
      <w:bookmarkStart w:id="24" w:name="_Hlt75236290"/>
      <w:bookmarkEnd w:id="24"/>
      <w:bookmarkStart w:id="25" w:name="_Hlt68403820"/>
      <w:bookmarkEnd w:id="25"/>
    </w:p>
    <w:bookmarkEnd w:id="11"/>
    <w:bookmarkEnd w:id="12"/>
    <w:p>
      <w:pPr>
        <w:numPr>
          <w:ilvl w:val="0"/>
          <w:numId w:val="3"/>
        </w:numPr>
        <w:spacing w:line="360" w:lineRule="auto"/>
        <w:jc w:val="center"/>
        <w:outlineLvl w:val="0"/>
        <w:rPr>
          <w:rFonts w:hint="eastAsia" w:ascii="宋体" w:hAnsi="宋体" w:cs="宋体"/>
          <w:b/>
          <w:sz w:val="36"/>
          <w:szCs w:val="36"/>
          <w:highlight w:val="none"/>
        </w:rPr>
      </w:pPr>
      <w:bookmarkStart w:id="26" w:name="第四部分"/>
      <w:r>
        <w:rPr>
          <w:rFonts w:hint="eastAsia" w:ascii="宋体" w:hAnsi="宋体" w:cs="宋体"/>
          <w:b/>
          <w:sz w:val="36"/>
          <w:szCs w:val="36"/>
          <w:highlight w:val="none"/>
        </w:rPr>
        <w:t xml:space="preserve"> 采购需求</w:t>
      </w:r>
    </w:p>
    <w:p>
      <w:pPr>
        <w:pStyle w:val="4"/>
        <w:jc w:val="center"/>
        <w:rPr>
          <w:rFonts w:ascii="仿宋" w:hAnsi="仿宋" w:eastAsia="仿宋" w:cs="仿宋"/>
          <w:color w:val="auto"/>
          <w:sz w:val="21"/>
          <w:szCs w:val="21"/>
        </w:rPr>
      </w:pPr>
      <w:bookmarkStart w:id="27" w:name="_Toc523909753"/>
      <w:r>
        <w:rPr>
          <w:rFonts w:hint="eastAsia" w:ascii="仿宋" w:hAnsi="仿宋" w:eastAsia="仿宋" w:cs="仿宋"/>
          <w:color w:val="auto"/>
          <w:sz w:val="21"/>
          <w:szCs w:val="21"/>
        </w:rPr>
        <w:t>一、招标一览表</w:t>
      </w:r>
      <w:bookmarkEnd w:id="27"/>
    </w:p>
    <w:p>
      <w:pPr>
        <w:spacing w:line="360" w:lineRule="auto"/>
        <w:jc w:val="left"/>
        <w:rPr>
          <w:rFonts w:ascii="仿宋" w:hAnsi="仿宋" w:eastAsia="仿宋" w:cs="仿宋"/>
          <w:color w:val="auto"/>
          <w:szCs w:val="21"/>
        </w:rPr>
      </w:pPr>
      <w:r>
        <w:rPr>
          <w:rFonts w:hint="eastAsia" w:ascii="仿宋" w:hAnsi="仿宋" w:eastAsia="仿宋" w:cs="仿宋"/>
          <w:color w:val="auto"/>
          <w:szCs w:val="21"/>
        </w:rPr>
        <w:t>标项</w:t>
      </w:r>
      <w:r>
        <w:rPr>
          <w:rFonts w:hint="eastAsia" w:ascii="仿宋" w:hAnsi="仿宋" w:eastAsia="仿宋" w:cs="仿宋"/>
          <w:color w:val="auto"/>
          <w:szCs w:val="21"/>
          <w:u w:val="single"/>
        </w:rPr>
        <w:t xml:space="preserve"> 1 </w:t>
      </w:r>
    </w:p>
    <w:tbl>
      <w:tblPr>
        <w:tblStyle w:val="15"/>
        <w:tblW w:w="0" w:type="auto"/>
        <w:jc w:val="center"/>
        <w:tblLayout w:type="fixed"/>
        <w:tblCellMar>
          <w:top w:w="0" w:type="dxa"/>
          <w:left w:w="0" w:type="dxa"/>
          <w:bottom w:w="0" w:type="dxa"/>
          <w:right w:w="0" w:type="dxa"/>
        </w:tblCellMar>
      </w:tblPr>
      <w:tblGrid>
        <w:gridCol w:w="680"/>
        <w:gridCol w:w="2555"/>
        <w:gridCol w:w="1945"/>
        <w:gridCol w:w="1080"/>
        <w:gridCol w:w="1080"/>
        <w:gridCol w:w="1062"/>
      </w:tblGrid>
      <w:tr>
        <w:tblPrEx>
          <w:tblCellMar>
            <w:top w:w="0" w:type="dxa"/>
            <w:left w:w="0" w:type="dxa"/>
            <w:bottom w:w="0" w:type="dxa"/>
            <w:right w:w="0" w:type="dxa"/>
          </w:tblCellMar>
        </w:tblPrEx>
        <w:trPr>
          <w:cantSplit/>
          <w:trHeight w:val="557" w:hRule="atLeast"/>
          <w:jc w:val="center"/>
        </w:trPr>
        <w:tc>
          <w:tcPr>
            <w:tcW w:w="6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ascii="仿宋" w:hAnsi="仿宋" w:eastAsia="仿宋" w:cs="仿宋"/>
                <w:color w:val="auto"/>
                <w:position w:val="-6"/>
                <w:szCs w:val="21"/>
              </w:rPr>
            </w:pPr>
            <w:r>
              <w:rPr>
                <w:rFonts w:hint="eastAsia" w:ascii="仿宋" w:hAnsi="仿宋" w:eastAsia="仿宋" w:cs="仿宋"/>
                <w:color w:val="auto"/>
                <w:position w:val="-6"/>
                <w:szCs w:val="21"/>
              </w:rPr>
              <w:t>序号</w:t>
            </w:r>
          </w:p>
        </w:tc>
        <w:tc>
          <w:tcPr>
            <w:tcW w:w="255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ascii="仿宋" w:hAnsi="仿宋" w:eastAsia="仿宋" w:cs="仿宋"/>
                <w:color w:val="auto"/>
                <w:position w:val="-6"/>
                <w:szCs w:val="21"/>
              </w:rPr>
            </w:pPr>
            <w:r>
              <w:rPr>
                <w:rFonts w:hint="eastAsia" w:ascii="仿宋" w:hAnsi="仿宋" w:eastAsia="仿宋" w:cs="仿宋"/>
                <w:color w:val="auto"/>
                <w:position w:val="-6"/>
                <w:szCs w:val="21"/>
              </w:rPr>
              <w:t>名称</w:t>
            </w:r>
          </w:p>
        </w:tc>
        <w:tc>
          <w:tcPr>
            <w:tcW w:w="194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ascii="仿宋" w:hAnsi="仿宋" w:eastAsia="仿宋" w:cs="仿宋"/>
                <w:color w:val="auto"/>
                <w:position w:val="-6"/>
                <w:szCs w:val="21"/>
              </w:rPr>
            </w:pPr>
            <w:r>
              <w:rPr>
                <w:rFonts w:hint="eastAsia" w:ascii="仿宋" w:hAnsi="仿宋" w:eastAsia="仿宋" w:cs="仿宋"/>
                <w:color w:val="auto"/>
                <w:position w:val="-6"/>
                <w:szCs w:val="21"/>
              </w:rPr>
              <w:t>规格型号与参数</w:t>
            </w: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ascii="仿宋" w:hAnsi="仿宋" w:eastAsia="仿宋" w:cs="仿宋"/>
                <w:color w:val="auto"/>
                <w:position w:val="-6"/>
                <w:szCs w:val="21"/>
              </w:rPr>
            </w:pPr>
            <w:r>
              <w:rPr>
                <w:rFonts w:hint="eastAsia" w:ascii="仿宋" w:hAnsi="仿宋" w:eastAsia="仿宋" w:cs="仿宋"/>
                <w:color w:val="auto"/>
                <w:position w:val="-6"/>
                <w:szCs w:val="21"/>
              </w:rPr>
              <w:t>单位</w:t>
            </w:r>
          </w:p>
        </w:tc>
        <w:tc>
          <w:tcPr>
            <w:tcW w:w="10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ascii="仿宋" w:hAnsi="仿宋" w:eastAsia="仿宋" w:cs="仿宋"/>
                <w:color w:val="auto"/>
                <w:position w:val="-6"/>
                <w:szCs w:val="21"/>
              </w:rPr>
            </w:pPr>
            <w:r>
              <w:rPr>
                <w:rFonts w:hint="eastAsia" w:ascii="仿宋" w:hAnsi="仿宋" w:eastAsia="仿宋" w:cs="仿宋"/>
                <w:color w:val="auto"/>
                <w:position w:val="-6"/>
                <w:szCs w:val="21"/>
              </w:rPr>
              <w:t>数量</w:t>
            </w:r>
          </w:p>
        </w:tc>
        <w:tc>
          <w:tcPr>
            <w:tcW w:w="1062" w:type="dxa"/>
            <w:tcBorders>
              <w:top w:val="single" w:color="auto" w:sz="4" w:space="0"/>
              <w:left w:val="nil"/>
              <w:bottom w:val="single" w:color="auto" w:sz="4" w:space="0"/>
              <w:right w:val="single" w:color="auto" w:sz="4" w:space="0"/>
            </w:tcBorders>
            <w:noWrap/>
            <w:vAlign w:val="center"/>
          </w:tcPr>
          <w:p>
            <w:pPr>
              <w:spacing w:line="360" w:lineRule="auto"/>
              <w:jc w:val="center"/>
              <w:rPr>
                <w:rFonts w:ascii="仿宋" w:hAnsi="仿宋" w:eastAsia="仿宋" w:cs="仿宋"/>
                <w:color w:val="auto"/>
                <w:position w:val="-6"/>
                <w:szCs w:val="21"/>
              </w:rPr>
            </w:pPr>
            <w:r>
              <w:rPr>
                <w:rFonts w:hint="eastAsia" w:ascii="仿宋" w:hAnsi="仿宋" w:eastAsia="仿宋" w:cs="仿宋"/>
                <w:color w:val="auto"/>
                <w:position w:val="-6"/>
                <w:szCs w:val="21"/>
              </w:rPr>
              <w:t>备注</w:t>
            </w:r>
          </w:p>
        </w:tc>
      </w:tr>
      <w:tr>
        <w:tblPrEx>
          <w:tblCellMar>
            <w:top w:w="0" w:type="dxa"/>
            <w:left w:w="0" w:type="dxa"/>
            <w:bottom w:w="0" w:type="dxa"/>
            <w:right w:w="0" w:type="dxa"/>
          </w:tblCellMar>
        </w:tblPrEx>
        <w:trPr>
          <w:cantSplit/>
          <w:trHeight w:val="548" w:hRule="atLeast"/>
          <w:jc w:val="center"/>
        </w:trPr>
        <w:tc>
          <w:tcPr>
            <w:tcW w:w="6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ascii="仿宋" w:hAnsi="仿宋" w:eastAsia="仿宋" w:cs="仿宋"/>
                <w:color w:val="auto"/>
                <w:position w:val="-6"/>
                <w:szCs w:val="21"/>
              </w:rPr>
            </w:pPr>
            <w:r>
              <w:rPr>
                <w:rFonts w:hint="eastAsia" w:ascii="仿宋" w:hAnsi="仿宋" w:eastAsia="仿宋" w:cs="仿宋"/>
                <w:color w:val="auto"/>
                <w:position w:val="-6"/>
                <w:szCs w:val="21"/>
              </w:rPr>
              <w:t>一</w:t>
            </w:r>
          </w:p>
        </w:tc>
        <w:tc>
          <w:tcPr>
            <w:tcW w:w="25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ascii="仿宋" w:hAnsi="仿宋" w:eastAsia="仿宋" w:cs="仿宋"/>
                <w:color w:val="auto"/>
                <w:position w:val="-6"/>
                <w:szCs w:val="21"/>
              </w:rPr>
            </w:pPr>
            <w:r>
              <w:rPr>
                <w:rFonts w:hint="eastAsia" w:ascii="仿宋" w:hAnsi="仿宋" w:eastAsia="仿宋" w:cs="仿宋"/>
                <w:color w:val="auto"/>
                <w:position w:val="-6"/>
                <w:szCs w:val="21"/>
                <w:lang w:eastAsia="zh-CN"/>
              </w:rPr>
              <w:t>2025年钱塘区公路路况、桥梁检测项目</w:t>
            </w:r>
          </w:p>
        </w:tc>
        <w:tc>
          <w:tcPr>
            <w:tcW w:w="194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ascii="仿宋" w:hAnsi="仿宋" w:eastAsia="仿宋" w:cs="仿宋"/>
                <w:color w:val="auto"/>
                <w:position w:val="-6"/>
                <w:szCs w:val="21"/>
              </w:rPr>
            </w:pPr>
            <w:r>
              <w:rPr>
                <w:rFonts w:hint="eastAsia" w:ascii="仿宋" w:hAnsi="仿宋" w:eastAsia="仿宋" w:cs="仿宋"/>
                <w:color w:val="auto"/>
                <w:position w:val="-6"/>
                <w:szCs w:val="21"/>
              </w:rPr>
              <w:t>详见招标需求</w:t>
            </w: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ascii="仿宋" w:hAnsi="仿宋" w:eastAsia="仿宋" w:cs="仿宋"/>
                <w:color w:val="auto"/>
                <w:position w:val="-6"/>
                <w:szCs w:val="21"/>
              </w:rPr>
            </w:pPr>
            <w:r>
              <w:rPr>
                <w:rFonts w:hint="eastAsia" w:ascii="仿宋" w:hAnsi="仿宋" w:eastAsia="仿宋" w:cs="仿宋"/>
                <w:color w:val="auto"/>
                <w:position w:val="-6"/>
                <w:szCs w:val="21"/>
              </w:rPr>
              <w:t>项</w:t>
            </w: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auto"/>
              <w:jc w:val="center"/>
              <w:rPr>
                <w:rFonts w:ascii="仿宋" w:hAnsi="仿宋" w:eastAsia="仿宋" w:cs="仿宋"/>
                <w:color w:val="auto"/>
                <w:position w:val="-6"/>
                <w:szCs w:val="21"/>
              </w:rPr>
            </w:pPr>
            <w:r>
              <w:rPr>
                <w:rFonts w:hint="eastAsia" w:ascii="仿宋" w:hAnsi="仿宋" w:eastAsia="仿宋" w:cs="仿宋"/>
                <w:color w:val="auto"/>
                <w:position w:val="-6"/>
                <w:szCs w:val="21"/>
              </w:rPr>
              <w:t>1</w:t>
            </w:r>
          </w:p>
        </w:tc>
        <w:tc>
          <w:tcPr>
            <w:tcW w:w="10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auto"/>
                <w:position w:val="-6"/>
                <w:szCs w:val="21"/>
              </w:rPr>
            </w:pPr>
          </w:p>
        </w:tc>
      </w:tr>
    </w:tbl>
    <w:p>
      <w:pPr>
        <w:spacing w:line="360" w:lineRule="auto"/>
        <w:jc w:val="center"/>
        <w:rPr>
          <w:rFonts w:ascii="宋体" w:hAnsi="宋体" w:cs="宋体"/>
          <w:b/>
          <w:color w:val="auto"/>
          <w:szCs w:val="21"/>
        </w:rPr>
      </w:pPr>
    </w:p>
    <w:p>
      <w:pPr>
        <w:keepNext/>
        <w:keepLines/>
        <w:snapToGrid w:val="0"/>
        <w:spacing w:before="260" w:after="260" w:line="360" w:lineRule="auto"/>
        <w:outlineLvl w:val="1"/>
        <w:rPr>
          <w:b/>
          <w:color w:val="auto"/>
          <w:kern w:val="0"/>
          <w:sz w:val="24"/>
        </w:rPr>
      </w:pPr>
      <w:bookmarkStart w:id="28" w:name="_Toc248212195"/>
      <w:bookmarkStart w:id="29" w:name="_Toc272144931"/>
      <w:bookmarkStart w:id="30" w:name="_Toc248215384"/>
      <w:bookmarkStart w:id="31" w:name="_Toc248227203"/>
      <w:bookmarkStart w:id="32" w:name="_Toc248228517"/>
      <w:bookmarkStart w:id="33" w:name="_Toc272145147"/>
      <w:bookmarkStart w:id="34" w:name="_Toc26930"/>
      <w:bookmarkStart w:id="35" w:name="_Toc132888832"/>
      <w:bookmarkStart w:id="36" w:name="_Toc272147102"/>
      <w:bookmarkStart w:id="37" w:name="_Toc248058822"/>
      <w:bookmarkStart w:id="38" w:name="_Toc466240967"/>
      <w:bookmarkStart w:id="39" w:name="_Toc517293598"/>
      <w:r>
        <w:rPr>
          <w:rFonts w:hAnsi="宋体"/>
          <w:b/>
          <w:color w:val="auto"/>
          <w:kern w:val="0"/>
          <w:sz w:val="24"/>
        </w:rPr>
        <w:t>一、</w:t>
      </w:r>
      <w:bookmarkEnd w:id="28"/>
      <w:bookmarkEnd w:id="29"/>
      <w:bookmarkEnd w:id="30"/>
      <w:bookmarkEnd w:id="31"/>
      <w:bookmarkEnd w:id="32"/>
      <w:bookmarkEnd w:id="33"/>
      <w:bookmarkEnd w:id="34"/>
      <w:bookmarkEnd w:id="35"/>
      <w:bookmarkEnd w:id="36"/>
      <w:bookmarkEnd w:id="37"/>
      <w:r>
        <w:rPr>
          <w:rFonts w:hint="eastAsia" w:hAnsi="宋体"/>
          <w:b/>
          <w:color w:val="auto"/>
          <w:kern w:val="0"/>
          <w:sz w:val="24"/>
        </w:rPr>
        <w:t>项目</w:t>
      </w:r>
      <w:r>
        <w:rPr>
          <w:rFonts w:hAnsi="宋体"/>
          <w:b/>
          <w:color w:val="auto"/>
          <w:kern w:val="0"/>
          <w:sz w:val="24"/>
        </w:rPr>
        <w:t>概要</w:t>
      </w:r>
      <w:bookmarkEnd w:id="38"/>
      <w:bookmarkEnd w:id="39"/>
    </w:p>
    <w:p>
      <w:pPr>
        <w:jc w:val="center"/>
        <w:rPr>
          <w:rFonts w:ascii="Calibri" w:hAnsi="宋体"/>
          <w:b/>
          <w:color w:val="auto"/>
          <w:sz w:val="28"/>
          <w:szCs w:val="21"/>
        </w:rPr>
      </w:pPr>
      <w:r>
        <w:rPr>
          <w:rFonts w:hint="eastAsia"/>
          <w:b/>
          <w:color w:val="auto"/>
          <w:sz w:val="28"/>
        </w:rPr>
        <w:t>路况检测清单</w:t>
      </w:r>
    </w:p>
    <w:tbl>
      <w:tblPr>
        <w:tblStyle w:val="15"/>
        <w:tblW w:w="9630" w:type="dxa"/>
        <w:jc w:val="center"/>
        <w:tblLayout w:type="autofit"/>
        <w:tblCellMar>
          <w:top w:w="0" w:type="dxa"/>
          <w:left w:w="108" w:type="dxa"/>
          <w:bottom w:w="0" w:type="dxa"/>
          <w:right w:w="108" w:type="dxa"/>
        </w:tblCellMar>
      </w:tblPr>
      <w:tblGrid>
        <w:gridCol w:w="493"/>
        <w:gridCol w:w="882"/>
        <w:gridCol w:w="1957"/>
        <w:gridCol w:w="2241"/>
        <w:gridCol w:w="988"/>
        <w:gridCol w:w="1093"/>
        <w:gridCol w:w="988"/>
        <w:gridCol w:w="988"/>
      </w:tblGrid>
      <w:tr>
        <w:tblPrEx>
          <w:tblCellMar>
            <w:top w:w="0" w:type="dxa"/>
            <w:left w:w="108" w:type="dxa"/>
            <w:bottom w:w="0" w:type="dxa"/>
            <w:right w:w="108" w:type="dxa"/>
          </w:tblCellMar>
        </w:tblPrEx>
        <w:trPr>
          <w:trHeight w:val="363" w:hRule="atLeast"/>
          <w:jc w:val="center"/>
        </w:trPr>
        <w:tc>
          <w:tcPr>
            <w:tcW w:w="493"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color w:val="auto"/>
              </w:rPr>
            </w:pPr>
            <w:r>
              <w:rPr>
                <w:rFonts w:hint="eastAsia"/>
                <w:color w:val="auto"/>
              </w:rPr>
              <w:t>序号</w:t>
            </w:r>
          </w:p>
        </w:tc>
        <w:tc>
          <w:tcPr>
            <w:tcW w:w="882" w:type="dxa"/>
            <w:vMerge w:val="restart"/>
            <w:tcBorders>
              <w:top w:val="single" w:color="000000" w:sz="8" w:space="0"/>
              <w:left w:val="nil"/>
              <w:bottom w:val="single" w:color="000000" w:sz="8" w:space="0"/>
              <w:right w:val="single" w:color="000000" w:sz="8" w:space="0"/>
            </w:tcBorders>
            <w:noWrap w:val="0"/>
            <w:vAlign w:val="center"/>
          </w:tcPr>
          <w:p>
            <w:pPr>
              <w:jc w:val="center"/>
              <w:rPr>
                <w:color w:val="auto"/>
              </w:rPr>
            </w:pPr>
            <w:r>
              <w:rPr>
                <w:rFonts w:hint="eastAsia"/>
                <w:color w:val="auto"/>
              </w:rPr>
              <w:t>线路编码</w:t>
            </w:r>
          </w:p>
        </w:tc>
        <w:tc>
          <w:tcPr>
            <w:tcW w:w="1957" w:type="dxa"/>
            <w:vMerge w:val="restart"/>
            <w:tcBorders>
              <w:top w:val="single" w:color="000000" w:sz="8" w:space="0"/>
              <w:left w:val="nil"/>
              <w:bottom w:val="single" w:color="000000" w:sz="8" w:space="0"/>
              <w:right w:val="single" w:color="000000" w:sz="8" w:space="0"/>
            </w:tcBorders>
            <w:noWrap w:val="0"/>
            <w:vAlign w:val="center"/>
          </w:tcPr>
          <w:p>
            <w:pPr>
              <w:jc w:val="center"/>
              <w:rPr>
                <w:color w:val="auto"/>
              </w:rPr>
            </w:pPr>
            <w:r>
              <w:rPr>
                <w:rFonts w:hint="eastAsia"/>
                <w:color w:val="auto"/>
              </w:rPr>
              <w:t>路线简称</w:t>
            </w:r>
          </w:p>
        </w:tc>
        <w:tc>
          <w:tcPr>
            <w:tcW w:w="2241" w:type="dxa"/>
            <w:vMerge w:val="restart"/>
            <w:tcBorders>
              <w:top w:val="single" w:color="000000" w:sz="8" w:space="0"/>
              <w:left w:val="nil"/>
              <w:bottom w:val="single" w:color="000000" w:sz="8" w:space="0"/>
              <w:right w:val="single" w:color="000000" w:sz="8" w:space="0"/>
            </w:tcBorders>
            <w:noWrap w:val="0"/>
            <w:vAlign w:val="center"/>
          </w:tcPr>
          <w:p>
            <w:pPr>
              <w:jc w:val="center"/>
              <w:rPr>
                <w:color w:val="auto"/>
              </w:rPr>
            </w:pPr>
            <w:r>
              <w:rPr>
                <w:rFonts w:hint="eastAsia"/>
                <w:color w:val="auto"/>
              </w:rPr>
              <w:t>管养起讫桩号</w:t>
            </w:r>
          </w:p>
        </w:tc>
        <w:tc>
          <w:tcPr>
            <w:tcW w:w="988" w:type="dxa"/>
            <w:vMerge w:val="restart"/>
            <w:tcBorders>
              <w:top w:val="single" w:color="000000" w:sz="8" w:space="0"/>
              <w:left w:val="nil"/>
              <w:bottom w:val="single" w:color="000000" w:sz="8" w:space="0"/>
              <w:right w:val="single" w:color="000000" w:sz="8" w:space="0"/>
            </w:tcBorders>
            <w:noWrap w:val="0"/>
            <w:vAlign w:val="center"/>
          </w:tcPr>
          <w:p>
            <w:pPr>
              <w:jc w:val="center"/>
              <w:rPr>
                <w:color w:val="auto"/>
              </w:rPr>
            </w:pPr>
            <w:r>
              <w:rPr>
                <w:rFonts w:hint="eastAsia"/>
                <w:color w:val="auto"/>
              </w:rPr>
              <w:t>管养里程（公里）</w:t>
            </w:r>
          </w:p>
        </w:tc>
        <w:tc>
          <w:tcPr>
            <w:tcW w:w="1093" w:type="dxa"/>
            <w:vMerge w:val="restart"/>
            <w:tcBorders>
              <w:top w:val="single" w:color="000000" w:sz="8" w:space="0"/>
              <w:left w:val="nil"/>
              <w:bottom w:val="single" w:color="000000" w:sz="8" w:space="0"/>
              <w:right w:val="single" w:color="000000" w:sz="8" w:space="0"/>
            </w:tcBorders>
            <w:noWrap w:val="0"/>
            <w:vAlign w:val="center"/>
          </w:tcPr>
          <w:p>
            <w:pPr>
              <w:jc w:val="center"/>
              <w:rPr>
                <w:color w:val="auto"/>
              </w:rPr>
            </w:pPr>
            <w:r>
              <w:rPr>
                <w:rFonts w:hint="eastAsia"/>
                <w:color w:val="auto"/>
              </w:rPr>
              <w:t>扣除桥梁里程（公里）</w:t>
            </w:r>
          </w:p>
        </w:tc>
        <w:tc>
          <w:tcPr>
            <w:tcW w:w="988" w:type="dxa"/>
            <w:vMerge w:val="restart"/>
            <w:tcBorders>
              <w:top w:val="single" w:color="000000" w:sz="8" w:space="0"/>
              <w:left w:val="nil"/>
              <w:bottom w:val="single" w:color="000000" w:sz="8" w:space="0"/>
              <w:right w:val="single" w:color="000000" w:sz="8" w:space="0"/>
            </w:tcBorders>
            <w:noWrap w:val="0"/>
            <w:vAlign w:val="center"/>
          </w:tcPr>
          <w:p>
            <w:pPr>
              <w:jc w:val="center"/>
              <w:rPr>
                <w:color w:val="auto"/>
              </w:rPr>
            </w:pPr>
            <w:r>
              <w:rPr>
                <w:rFonts w:hint="eastAsia"/>
                <w:color w:val="auto"/>
              </w:rPr>
              <w:t>检测里程（公里）</w:t>
            </w:r>
          </w:p>
        </w:tc>
        <w:tc>
          <w:tcPr>
            <w:tcW w:w="988" w:type="dxa"/>
            <w:tcBorders>
              <w:top w:val="single" w:color="000000" w:sz="8" w:space="0"/>
              <w:left w:val="nil"/>
              <w:bottom w:val="nil"/>
              <w:right w:val="single" w:color="000000" w:sz="8" w:space="0"/>
            </w:tcBorders>
            <w:noWrap w:val="0"/>
            <w:vAlign w:val="center"/>
          </w:tcPr>
          <w:p>
            <w:pPr>
              <w:jc w:val="center"/>
              <w:rPr>
                <w:color w:val="auto"/>
              </w:rPr>
            </w:pPr>
            <w:r>
              <w:rPr>
                <w:rFonts w:hint="eastAsia"/>
                <w:color w:val="auto"/>
              </w:rPr>
              <w:t>车道</w:t>
            </w:r>
          </w:p>
        </w:tc>
      </w:tr>
      <w:tr>
        <w:tblPrEx>
          <w:tblCellMar>
            <w:top w:w="0" w:type="dxa"/>
            <w:left w:w="108" w:type="dxa"/>
            <w:bottom w:w="0" w:type="dxa"/>
            <w:right w:w="108" w:type="dxa"/>
          </w:tblCellMar>
        </w:tblPrEx>
        <w:trPr>
          <w:trHeight w:val="363" w:hRule="atLeast"/>
          <w:jc w:val="center"/>
        </w:trPr>
        <w:tc>
          <w:tcPr>
            <w:tcW w:w="49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color w:val="auto"/>
              </w:rPr>
            </w:pPr>
          </w:p>
        </w:tc>
        <w:tc>
          <w:tcPr>
            <w:tcW w:w="882" w:type="dxa"/>
            <w:vMerge w:val="continue"/>
            <w:tcBorders>
              <w:top w:val="single" w:color="000000" w:sz="8" w:space="0"/>
              <w:left w:val="nil"/>
              <w:bottom w:val="single" w:color="000000" w:sz="8" w:space="0"/>
              <w:right w:val="single" w:color="000000" w:sz="8" w:space="0"/>
            </w:tcBorders>
            <w:noWrap w:val="0"/>
            <w:vAlign w:val="center"/>
          </w:tcPr>
          <w:p>
            <w:pPr>
              <w:jc w:val="center"/>
              <w:rPr>
                <w:color w:val="auto"/>
              </w:rPr>
            </w:pPr>
          </w:p>
        </w:tc>
        <w:tc>
          <w:tcPr>
            <w:tcW w:w="1957" w:type="dxa"/>
            <w:vMerge w:val="continue"/>
            <w:tcBorders>
              <w:top w:val="single" w:color="000000" w:sz="8" w:space="0"/>
              <w:left w:val="nil"/>
              <w:bottom w:val="single" w:color="000000" w:sz="8" w:space="0"/>
              <w:right w:val="single" w:color="000000" w:sz="8" w:space="0"/>
            </w:tcBorders>
            <w:noWrap w:val="0"/>
            <w:vAlign w:val="center"/>
          </w:tcPr>
          <w:p>
            <w:pPr>
              <w:jc w:val="center"/>
              <w:rPr>
                <w:color w:val="auto"/>
              </w:rPr>
            </w:pPr>
          </w:p>
        </w:tc>
        <w:tc>
          <w:tcPr>
            <w:tcW w:w="2241" w:type="dxa"/>
            <w:vMerge w:val="continue"/>
            <w:tcBorders>
              <w:top w:val="single" w:color="000000" w:sz="8" w:space="0"/>
              <w:left w:val="nil"/>
              <w:bottom w:val="single" w:color="000000" w:sz="8" w:space="0"/>
              <w:right w:val="single" w:color="000000" w:sz="8" w:space="0"/>
            </w:tcBorders>
            <w:noWrap w:val="0"/>
            <w:vAlign w:val="center"/>
          </w:tcPr>
          <w:p>
            <w:pPr>
              <w:jc w:val="center"/>
              <w:rPr>
                <w:color w:val="auto"/>
              </w:rPr>
            </w:pPr>
          </w:p>
        </w:tc>
        <w:tc>
          <w:tcPr>
            <w:tcW w:w="988" w:type="dxa"/>
            <w:vMerge w:val="continue"/>
            <w:tcBorders>
              <w:top w:val="single" w:color="000000" w:sz="8" w:space="0"/>
              <w:left w:val="nil"/>
              <w:bottom w:val="single" w:color="000000" w:sz="8" w:space="0"/>
              <w:right w:val="single" w:color="000000" w:sz="8" w:space="0"/>
            </w:tcBorders>
            <w:noWrap w:val="0"/>
            <w:vAlign w:val="center"/>
          </w:tcPr>
          <w:p>
            <w:pPr>
              <w:jc w:val="center"/>
              <w:rPr>
                <w:color w:val="auto"/>
              </w:rPr>
            </w:pPr>
          </w:p>
        </w:tc>
        <w:tc>
          <w:tcPr>
            <w:tcW w:w="1093" w:type="dxa"/>
            <w:vMerge w:val="continue"/>
            <w:tcBorders>
              <w:top w:val="single" w:color="000000" w:sz="8" w:space="0"/>
              <w:left w:val="nil"/>
              <w:bottom w:val="single" w:color="000000" w:sz="8" w:space="0"/>
              <w:right w:val="single" w:color="000000" w:sz="8" w:space="0"/>
            </w:tcBorders>
            <w:noWrap w:val="0"/>
            <w:vAlign w:val="center"/>
          </w:tcPr>
          <w:p>
            <w:pPr>
              <w:jc w:val="center"/>
              <w:rPr>
                <w:color w:val="auto"/>
              </w:rPr>
            </w:pPr>
          </w:p>
        </w:tc>
        <w:tc>
          <w:tcPr>
            <w:tcW w:w="988" w:type="dxa"/>
            <w:vMerge w:val="continue"/>
            <w:tcBorders>
              <w:top w:val="single" w:color="000000" w:sz="8" w:space="0"/>
              <w:left w:val="nil"/>
              <w:bottom w:val="single" w:color="000000" w:sz="8" w:space="0"/>
              <w:right w:val="single" w:color="000000" w:sz="8" w:space="0"/>
            </w:tcBorders>
            <w:noWrap w:val="0"/>
            <w:vAlign w:val="center"/>
          </w:tcPr>
          <w:p>
            <w:pPr>
              <w:jc w:val="center"/>
              <w:rPr>
                <w:color w:val="auto"/>
              </w:rPr>
            </w:pP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公里</w:t>
            </w:r>
          </w:p>
        </w:tc>
      </w:tr>
      <w:tr>
        <w:tblPrEx>
          <w:tblCellMar>
            <w:top w:w="0" w:type="dxa"/>
            <w:left w:w="108" w:type="dxa"/>
            <w:bottom w:w="0" w:type="dxa"/>
            <w:right w:w="108" w:type="dxa"/>
          </w:tblCellMar>
        </w:tblPrEx>
        <w:trPr>
          <w:trHeight w:val="363" w:hRule="atLeast"/>
          <w:jc w:val="center"/>
        </w:trPr>
        <w:tc>
          <w:tcPr>
            <w:tcW w:w="493"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w:t>
            </w:r>
          </w:p>
        </w:tc>
        <w:tc>
          <w:tcPr>
            <w:tcW w:w="882" w:type="dxa"/>
            <w:vMerge w:val="restart"/>
            <w:tcBorders>
              <w:top w:val="nil"/>
              <w:left w:val="nil"/>
              <w:bottom w:val="single" w:color="000000" w:sz="8" w:space="0"/>
              <w:right w:val="single" w:color="000000" w:sz="8" w:space="0"/>
            </w:tcBorders>
            <w:noWrap w:val="0"/>
            <w:vAlign w:val="center"/>
          </w:tcPr>
          <w:p>
            <w:pPr>
              <w:jc w:val="center"/>
              <w:rPr>
                <w:color w:val="auto"/>
              </w:rPr>
            </w:pPr>
            <w:r>
              <w:rPr>
                <w:color w:val="auto"/>
              </w:rPr>
              <w:t>S217</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钱磐线（四车道）</w:t>
            </w:r>
          </w:p>
        </w:tc>
        <w:tc>
          <w:tcPr>
            <w:tcW w:w="2241"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K0+000--K1+600</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1.6</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color w:val="auto"/>
              </w:rPr>
              <w:t>-0.052</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1.548</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6.192</w:t>
            </w:r>
          </w:p>
        </w:tc>
      </w:tr>
      <w:tr>
        <w:tblPrEx>
          <w:tblCellMar>
            <w:top w:w="0" w:type="dxa"/>
            <w:left w:w="108" w:type="dxa"/>
            <w:bottom w:w="0" w:type="dxa"/>
            <w:right w:w="108" w:type="dxa"/>
          </w:tblCellMar>
        </w:tblPrEx>
        <w:trPr>
          <w:trHeight w:val="363" w:hRule="atLeast"/>
          <w:jc w:val="center"/>
        </w:trPr>
        <w:tc>
          <w:tcPr>
            <w:tcW w:w="493" w:type="dxa"/>
            <w:vMerge w:val="continue"/>
            <w:tcBorders>
              <w:top w:val="nil"/>
              <w:left w:val="single" w:color="000000" w:sz="8" w:space="0"/>
              <w:bottom w:val="single" w:color="000000" w:sz="8" w:space="0"/>
              <w:right w:val="single" w:color="000000" w:sz="8" w:space="0"/>
            </w:tcBorders>
            <w:noWrap w:val="0"/>
            <w:vAlign w:val="center"/>
          </w:tcPr>
          <w:p>
            <w:pPr>
              <w:jc w:val="center"/>
              <w:rPr>
                <w:color w:val="auto"/>
              </w:rPr>
            </w:pPr>
          </w:p>
        </w:tc>
        <w:tc>
          <w:tcPr>
            <w:tcW w:w="882"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钱磐线（六车道）</w:t>
            </w:r>
          </w:p>
        </w:tc>
        <w:tc>
          <w:tcPr>
            <w:tcW w:w="2241"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K1+600--K7+980</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6.38</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color w:val="auto"/>
              </w:rPr>
              <w:t>-0.296</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6.084</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36.504</w:t>
            </w:r>
          </w:p>
        </w:tc>
      </w:tr>
      <w:tr>
        <w:tblPrEx>
          <w:tblCellMar>
            <w:top w:w="0" w:type="dxa"/>
            <w:left w:w="108" w:type="dxa"/>
            <w:bottom w:w="0" w:type="dxa"/>
            <w:right w:w="108" w:type="dxa"/>
          </w:tblCellMar>
        </w:tblPrEx>
        <w:trPr>
          <w:trHeight w:val="363" w:hRule="atLeast"/>
          <w:jc w:val="center"/>
        </w:trPr>
        <w:tc>
          <w:tcPr>
            <w:tcW w:w="493"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2</w:t>
            </w:r>
          </w:p>
        </w:tc>
        <w:tc>
          <w:tcPr>
            <w:tcW w:w="882" w:type="dxa"/>
            <w:vMerge w:val="restart"/>
            <w:tcBorders>
              <w:top w:val="nil"/>
              <w:left w:val="nil"/>
              <w:bottom w:val="single" w:color="000000" w:sz="8" w:space="0"/>
              <w:right w:val="single" w:color="000000" w:sz="8" w:space="0"/>
            </w:tcBorders>
            <w:noWrap w:val="0"/>
            <w:vAlign w:val="center"/>
          </w:tcPr>
          <w:p>
            <w:pPr>
              <w:jc w:val="center"/>
              <w:rPr>
                <w:color w:val="auto"/>
              </w:rPr>
            </w:pPr>
            <w:r>
              <w:rPr>
                <w:color w:val="auto"/>
              </w:rPr>
              <w:t>S306</w:t>
            </w:r>
          </w:p>
        </w:tc>
        <w:tc>
          <w:tcPr>
            <w:tcW w:w="1957" w:type="dxa"/>
            <w:tcBorders>
              <w:top w:val="single" w:color="000000" w:sz="8" w:space="0"/>
              <w:left w:val="nil"/>
              <w:bottom w:val="single" w:color="000000" w:sz="8" w:space="0"/>
              <w:right w:val="single" w:color="000000" w:sz="8" w:space="0"/>
            </w:tcBorders>
            <w:noWrap w:val="0"/>
            <w:vAlign w:val="center"/>
          </w:tcPr>
          <w:p>
            <w:pPr>
              <w:jc w:val="center"/>
              <w:rPr>
                <w:color w:val="auto"/>
              </w:rPr>
            </w:pPr>
            <w:r>
              <w:rPr>
                <w:rFonts w:hint="eastAsia"/>
                <w:color w:val="auto"/>
              </w:rPr>
              <w:t>镇萧线（四车道）</w:t>
            </w:r>
          </w:p>
        </w:tc>
        <w:tc>
          <w:tcPr>
            <w:tcW w:w="2241"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K135+931--K139+531</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3.6</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color w:val="auto"/>
              </w:rPr>
              <w:t>-0.311</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3.289</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13.156</w:t>
            </w:r>
          </w:p>
        </w:tc>
      </w:tr>
      <w:tr>
        <w:tblPrEx>
          <w:tblCellMar>
            <w:top w:w="0" w:type="dxa"/>
            <w:left w:w="108" w:type="dxa"/>
            <w:bottom w:w="0" w:type="dxa"/>
            <w:right w:w="108" w:type="dxa"/>
          </w:tblCellMar>
        </w:tblPrEx>
        <w:trPr>
          <w:trHeight w:val="363" w:hRule="atLeast"/>
          <w:jc w:val="center"/>
        </w:trPr>
        <w:tc>
          <w:tcPr>
            <w:tcW w:w="493" w:type="dxa"/>
            <w:vMerge w:val="continue"/>
            <w:tcBorders>
              <w:top w:val="nil"/>
              <w:left w:val="single" w:color="000000" w:sz="8" w:space="0"/>
              <w:bottom w:val="single" w:color="000000" w:sz="8" w:space="0"/>
              <w:right w:val="single" w:color="000000" w:sz="8" w:space="0"/>
            </w:tcBorders>
            <w:noWrap w:val="0"/>
            <w:vAlign w:val="center"/>
          </w:tcPr>
          <w:p>
            <w:pPr>
              <w:jc w:val="center"/>
              <w:rPr>
                <w:color w:val="auto"/>
              </w:rPr>
            </w:pPr>
          </w:p>
        </w:tc>
        <w:tc>
          <w:tcPr>
            <w:tcW w:w="882"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1957" w:type="dxa"/>
            <w:tcBorders>
              <w:top w:val="single" w:color="000000" w:sz="8" w:space="0"/>
              <w:left w:val="nil"/>
              <w:bottom w:val="single" w:color="000000" w:sz="8" w:space="0"/>
              <w:right w:val="single" w:color="000000" w:sz="8" w:space="0"/>
            </w:tcBorders>
            <w:noWrap w:val="0"/>
            <w:vAlign w:val="center"/>
          </w:tcPr>
          <w:p>
            <w:pPr>
              <w:jc w:val="center"/>
              <w:rPr>
                <w:color w:val="auto"/>
              </w:rPr>
            </w:pPr>
            <w:r>
              <w:rPr>
                <w:rFonts w:hint="eastAsia"/>
                <w:color w:val="auto"/>
              </w:rPr>
              <w:t>镇萧线（二车道）</w:t>
            </w:r>
          </w:p>
        </w:tc>
        <w:tc>
          <w:tcPr>
            <w:tcW w:w="2241"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K139+531--K146+049</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6.518</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color w:val="auto"/>
              </w:rPr>
              <w:t>0</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6.518</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13.036</w:t>
            </w:r>
          </w:p>
        </w:tc>
      </w:tr>
      <w:tr>
        <w:tblPrEx>
          <w:tblCellMar>
            <w:top w:w="0" w:type="dxa"/>
            <w:left w:w="108" w:type="dxa"/>
            <w:bottom w:w="0" w:type="dxa"/>
            <w:right w:w="108" w:type="dxa"/>
          </w:tblCellMar>
        </w:tblPrEx>
        <w:trPr>
          <w:trHeight w:val="363" w:hRule="atLeast"/>
          <w:jc w:val="center"/>
        </w:trPr>
        <w:tc>
          <w:tcPr>
            <w:tcW w:w="493" w:type="dxa"/>
            <w:vMerge w:val="continue"/>
            <w:tcBorders>
              <w:top w:val="nil"/>
              <w:left w:val="single" w:color="000000" w:sz="8" w:space="0"/>
              <w:bottom w:val="single" w:color="000000" w:sz="8" w:space="0"/>
              <w:right w:val="single" w:color="000000" w:sz="8" w:space="0"/>
            </w:tcBorders>
            <w:noWrap w:val="0"/>
            <w:vAlign w:val="center"/>
          </w:tcPr>
          <w:p>
            <w:pPr>
              <w:jc w:val="center"/>
              <w:rPr>
                <w:color w:val="auto"/>
              </w:rPr>
            </w:pPr>
          </w:p>
        </w:tc>
        <w:tc>
          <w:tcPr>
            <w:tcW w:w="882"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1957" w:type="dxa"/>
            <w:tcBorders>
              <w:top w:val="single" w:color="000000" w:sz="8" w:space="0"/>
              <w:left w:val="nil"/>
              <w:bottom w:val="single" w:color="000000" w:sz="8" w:space="0"/>
              <w:right w:val="single" w:color="000000" w:sz="8" w:space="0"/>
            </w:tcBorders>
            <w:noWrap w:val="0"/>
            <w:vAlign w:val="center"/>
          </w:tcPr>
          <w:p>
            <w:pPr>
              <w:jc w:val="center"/>
              <w:rPr>
                <w:color w:val="auto"/>
              </w:rPr>
            </w:pPr>
            <w:r>
              <w:rPr>
                <w:rFonts w:hint="eastAsia"/>
                <w:color w:val="auto"/>
              </w:rPr>
              <w:t>镇萧线（六车道）</w:t>
            </w:r>
          </w:p>
        </w:tc>
        <w:tc>
          <w:tcPr>
            <w:tcW w:w="2241"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K146+049--K151+299</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5.25</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color w:val="auto"/>
              </w:rPr>
              <w:t>-0.12</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5.13</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color w:val="auto"/>
              </w:rPr>
              <w:t>30.78</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3</w:t>
            </w:r>
          </w:p>
        </w:tc>
        <w:tc>
          <w:tcPr>
            <w:tcW w:w="882" w:type="dxa"/>
            <w:tcBorders>
              <w:top w:val="nil"/>
              <w:left w:val="nil"/>
              <w:bottom w:val="single" w:color="000000" w:sz="8" w:space="0"/>
              <w:right w:val="single" w:color="000000" w:sz="8" w:space="0"/>
            </w:tcBorders>
            <w:noWrap w:val="0"/>
            <w:vAlign w:val="center"/>
          </w:tcPr>
          <w:p>
            <w:pPr>
              <w:jc w:val="center"/>
              <w:rPr>
                <w:rFonts w:hint="default" w:eastAsia="宋体"/>
                <w:color w:val="auto"/>
                <w:lang w:val="en-US" w:eastAsia="zh-CN"/>
              </w:rPr>
            </w:pPr>
            <w:r>
              <w:rPr>
                <w:rFonts w:hint="eastAsia"/>
                <w:color w:val="auto"/>
                <w:lang w:val="en-US" w:eastAsia="zh-CN"/>
              </w:rPr>
              <w:t>X102</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塘新线（二车道）</w:t>
            </w:r>
          </w:p>
        </w:tc>
        <w:tc>
          <w:tcPr>
            <w:tcW w:w="2241"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K20+250--K26+032</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5.782</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-0.101</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5.681</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11.362</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4</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X111</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观十五线（二车道）</w:t>
            </w:r>
          </w:p>
        </w:tc>
        <w:tc>
          <w:tcPr>
            <w:tcW w:w="2241"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K9+337--K41+719</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32.382</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-0.291</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32.091</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64.182</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5</w:t>
            </w:r>
          </w:p>
        </w:tc>
        <w:tc>
          <w:tcPr>
            <w:tcW w:w="882"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X112</w:t>
            </w:r>
          </w:p>
        </w:tc>
        <w:tc>
          <w:tcPr>
            <w:tcW w:w="1957"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头十一线（二车道）</w:t>
            </w:r>
          </w:p>
        </w:tc>
        <w:tc>
          <w:tcPr>
            <w:tcW w:w="2241"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K0+000—K10+428</w:t>
            </w:r>
          </w:p>
        </w:tc>
        <w:tc>
          <w:tcPr>
            <w:tcW w:w="988"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10.428</w:t>
            </w:r>
          </w:p>
        </w:tc>
        <w:tc>
          <w:tcPr>
            <w:tcW w:w="1093"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-0.219</w:t>
            </w:r>
          </w:p>
        </w:tc>
        <w:tc>
          <w:tcPr>
            <w:tcW w:w="988"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10.209</w:t>
            </w:r>
          </w:p>
        </w:tc>
        <w:tc>
          <w:tcPr>
            <w:tcW w:w="988"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20.418</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000000"/>
                <w:kern w:val="0"/>
                <w:sz w:val="24"/>
                <w:szCs w:val="24"/>
                <w:u w:val="none"/>
                <w:lang w:val="en-US" w:eastAsia="zh-CN" w:bidi="ar"/>
              </w:rPr>
              <w:t>6</w:t>
            </w:r>
          </w:p>
        </w:tc>
        <w:tc>
          <w:tcPr>
            <w:tcW w:w="882"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X113</w:t>
            </w:r>
          </w:p>
        </w:tc>
        <w:tc>
          <w:tcPr>
            <w:tcW w:w="1957"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义南线（四车道）</w:t>
            </w:r>
          </w:p>
        </w:tc>
        <w:tc>
          <w:tcPr>
            <w:tcW w:w="2241"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K0+000—K3+354</w:t>
            </w:r>
          </w:p>
        </w:tc>
        <w:tc>
          <w:tcPr>
            <w:tcW w:w="988"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3.354</w:t>
            </w:r>
          </w:p>
        </w:tc>
        <w:tc>
          <w:tcPr>
            <w:tcW w:w="1093"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-0.076</w:t>
            </w:r>
          </w:p>
        </w:tc>
        <w:tc>
          <w:tcPr>
            <w:tcW w:w="988"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3.278</w:t>
            </w:r>
          </w:p>
        </w:tc>
        <w:tc>
          <w:tcPr>
            <w:tcW w:w="988"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13.112</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000000"/>
                <w:kern w:val="0"/>
                <w:sz w:val="24"/>
                <w:szCs w:val="24"/>
                <w:u w:val="none"/>
                <w:lang w:val="en-US" w:eastAsia="zh-CN" w:bidi="ar"/>
              </w:rPr>
              <w:t>7</w:t>
            </w:r>
          </w:p>
        </w:tc>
        <w:tc>
          <w:tcPr>
            <w:tcW w:w="882"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X114</w:t>
            </w:r>
          </w:p>
        </w:tc>
        <w:tc>
          <w:tcPr>
            <w:tcW w:w="1957"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军八线（二车道）</w:t>
            </w:r>
          </w:p>
        </w:tc>
        <w:tc>
          <w:tcPr>
            <w:tcW w:w="224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rPr>
              <w:t>K0+000—K1+0</w:t>
            </w:r>
            <w:r>
              <w:rPr>
                <w:rFonts w:hint="eastAsia"/>
                <w:color w:val="auto"/>
                <w:lang w:val="en-US" w:eastAsia="zh-CN"/>
              </w:rPr>
              <w:t>70</w:t>
            </w:r>
          </w:p>
        </w:tc>
        <w:tc>
          <w:tcPr>
            <w:tcW w:w="98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rPr>
              <w:t>1.0</w:t>
            </w:r>
            <w:r>
              <w:rPr>
                <w:rFonts w:hint="eastAsia"/>
                <w:color w:val="auto"/>
                <w:lang w:val="en-US" w:eastAsia="zh-CN"/>
              </w:rPr>
              <w:t>70</w:t>
            </w:r>
          </w:p>
        </w:tc>
        <w:tc>
          <w:tcPr>
            <w:tcW w:w="1093"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-0.043</w:t>
            </w:r>
          </w:p>
        </w:tc>
        <w:tc>
          <w:tcPr>
            <w:tcW w:w="98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1.027</w:t>
            </w:r>
          </w:p>
        </w:tc>
        <w:tc>
          <w:tcPr>
            <w:tcW w:w="98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2.054</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000000"/>
                <w:kern w:val="0"/>
                <w:sz w:val="24"/>
                <w:szCs w:val="24"/>
                <w:u w:val="none"/>
                <w:lang w:val="en-US" w:eastAsia="zh-CN" w:bidi="ar"/>
              </w:rPr>
              <w:t>8</w:t>
            </w:r>
          </w:p>
        </w:tc>
        <w:tc>
          <w:tcPr>
            <w:tcW w:w="882"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X117</w:t>
            </w:r>
          </w:p>
        </w:tc>
        <w:tc>
          <w:tcPr>
            <w:tcW w:w="1957"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青外线（二车道）</w:t>
            </w:r>
          </w:p>
        </w:tc>
        <w:tc>
          <w:tcPr>
            <w:tcW w:w="2241"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K8+336—K24+093</w:t>
            </w:r>
          </w:p>
        </w:tc>
        <w:tc>
          <w:tcPr>
            <w:tcW w:w="988"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15.757</w:t>
            </w:r>
          </w:p>
        </w:tc>
        <w:tc>
          <w:tcPr>
            <w:tcW w:w="1093"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-0.142</w:t>
            </w:r>
          </w:p>
        </w:tc>
        <w:tc>
          <w:tcPr>
            <w:tcW w:w="988"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15.615</w:t>
            </w:r>
          </w:p>
        </w:tc>
        <w:tc>
          <w:tcPr>
            <w:tcW w:w="988" w:type="dxa"/>
            <w:tcBorders>
              <w:top w:val="nil"/>
              <w:left w:val="nil"/>
              <w:bottom w:val="single" w:color="000000" w:sz="8" w:space="0"/>
              <w:right w:val="single" w:color="000000" w:sz="8"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31.23</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9</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X123</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左十四线（二车道）</w:t>
            </w:r>
          </w:p>
        </w:tc>
        <w:tc>
          <w:tcPr>
            <w:tcW w:w="2241"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K6+210—K34+465</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28.255</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-0.322</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27.933</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55.866</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10</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X130</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长五线（二车道）</w:t>
            </w:r>
          </w:p>
        </w:tc>
        <w:tc>
          <w:tcPr>
            <w:tcW w:w="2241"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K0+000—K10+740</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10.74</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-0.073</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10.667</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21.334</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11</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X131</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琉新线（二车道）</w:t>
            </w:r>
          </w:p>
        </w:tc>
        <w:tc>
          <w:tcPr>
            <w:tcW w:w="2241" w:type="dxa"/>
            <w:tcBorders>
              <w:top w:val="single" w:color="000000" w:sz="8" w:space="0"/>
              <w:left w:val="single" w:color="000000" w:sz="8" w:space="0"/>
              <w:bottom w:val="single" w:color="000000" w:sz="8" w:space="0"/>
              <w:right w:val="single" w:color="000000" w:sz="8" w:space="0"/>
            </w:tcBorders>
            <w:noWrap w:val="0"/>
            <w:vAlign w:val="center"/>
          </w:tcPr>
          <w:p>
            <w:pPr>
              <w:jc w:val="center"/>
              <w:rPr>
                <w:color w:val="auto"/>
              </w:rPr>
            </w:pPr>
            <w:r>
              <w:rPr>
                <w:rFonts w:hint="eastAsia"/>
                <w:color w:val="auto"/>
              </w:rPr>
              <w:t>K10+300—K14+568</w:t>
            </w:r>
          </w:p>
        </w:tc>
        <w:tc>
          <w:tcPr>
            <w:tcW w:w="988" w:type="dxa"/>
            <w:tcBorders>
              <w:top w:val="single" w:color="000000" w:sz="8" w:space="0"/>
              <w:left w:val="single" w:color="000000" w:sz="8" w:space="0"/>
              <w:bottom w:val="single" w:color="000000" w:sz="8" w:space="0"/>
              <w:right w:val="single" w:color="000000" w:sz="12" w:space="0"/>
            </w:tcBorders>
            <w:noWrap w:val="0"/>
            <w:vAlign w:val="center"/>
          </w:tcPr>
          <w:p>
            <w:pPr>
              <w:jc w:val="center"/>
              <w:rPr>
                <w:color w:val="auto"/>
              </w:rPr>
            </w:pPr>
            <w:r>
              <w:rPr>
                <w:rFonts w:hint="eastAsia"/>
                <w:color w:val="auto"/>
              </w:rPr>
              <w:t>4.268</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-0.08</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4.188</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8.376</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12</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X140</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信益线（四车道）</w:t>
            </w:r>
          </w:p>
        </w:tc>
        <w:tc>
          <w:tcPr>
            <w:tcW w:w="2241" w:type="dxa"/>
            <w:tcBorders>
              <w:top w:val="nil"/>
              <w:left w:val="single" w:color="000000" w:sz="8" w:space="0"/>
              <w:bottom w:val="single" w:color="000000" w:sz="8" w:space="0"/>
              <w:right w:val="single" w:color="000000" w:sz="8" w:space="0"/>
            </w:tcBorders>
            <w:noWrap w:val="0"/>
            <w:vAlign w:val="center"/>
          </w:tcPr>
          <w:p>
            <w:pPr>
              <w:jc w:val="center"/>
              <w:rPr>
                <w:color w:val="auto"/>
              </w:rPr>
            </w:pPr>
            <w:r>
              <w:rPr>
                <w:rFonts w:hint="eastAsia"/>
                <w:color w:val="auto"/>
              </w:rPr>
              <w:t>K16+530—K16+853</w:t>
            </w:r>
          </w:p>
        </w:tc>
        <w:tc>
          <w:tcPr>
            <w:tcW w:w="988" w:type="dxa"/>
            <w:tcBorders>
              <w:top w:val="nil"/>
              <w:left w:val="single" w:color="000000" w:sz="8" w:space="0"/>
              <w:bottom w:val="single" w:color="000000" w:sz="8" w:space="0"/>
              <w:right w:val="single" w:color="000000" w:sz="12" w:space="0"/>
            </w:tcBorders>
            <w:noWrap w:val="0"/>
            <w:vAlign w:val="center"/>
          </w:tcPr>
          <w:p>
            <w:pPr>
              <w:jc w:val="center"/>
              <w:rPr>
                <w:color w:val="auto"/>
              </w:rPr>
            </w:pPr>
            <w:r>
              <w:rPr>
                <w:rFonts w:hint="eastAsia"/>
                <w:color w:val="auto"/>
              </w:rPr>
              <w:t>0.323</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-0.04</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0.283</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1.132</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000000"/>
                <w:kern w:val="0"/>
                <w:sz w:val="24"/>
                <w:szCs w:val="24"/>
                <w:u w:val="none"/>
                <w:lang w:val="en-US" w:eastAsia="zh-CN" w:bidi="ar"/>
              </w:rPr>
              <w:t>13</w:t>
            </w:r>
          </w:p>
        </w:tc>
        <w:tc>
          <w:tcPr>
            <w:tcW w:w="882" w:type="dxa"/>
            <w:tcBorders>
              <w:top w:val="nil"/>
              <w:left w:val="nil"/>
              <w:bottom w:val="single" w:color="000000" w:sz="8" w:space="0"/>
              <w:right w:val="single" w:color="000000" w:sz="8" w:space="0"/>
            </w:tcBorders>
            <w:noWrap w:val="0"/>
            <w:vAlign w:val="center"/>
          </w:tcPr>
          <w:p>
            <w:pPr>
              <w:jc w:val="center"/>
              <w:rPr>
                <w:rFonts w:hint="eastAsia"/>
                <w:color w:val="auto"/>
              </w:rPr>
            </w:pPr>
            <w:r>
              <w:rPr>
                <w:color w:val="auto"/>
              </w:rPr>
              <w:t>X143</w:t>
            </w:r>
          </w:p>
        </w:tc>
        <w:tc>
          <w:tcPr>
            <w:tcW w:w="1957" w:type="dxa"/>
            <w:tcBorders>
              <w:top w:val="nil"/>
              <w:left w:val="nil"/>
              <w:bottom w:val="single" w:color="000000" w:sz="8" w:space="0"/>
              <w:right w:val="single" w:color="000000" w:sz="8" w:space="0"/>
            </w:tcBorders>
            <w:noWrap w:val="0"/>
            <w:vAlign w:val="center"/>
          </w:tcPr>
          <w:p>
            <w:pPr>
              <w:jc w:val="center"/>
              <w:rPr>
                <w:rFonts w:hint="eastAsia"/>
                <w:color w:val="auto"/>
              </w:rPr>
            </w:pPr>
            <w:r>
              <w:rPr>
                <w:rFonts w:hint="eastAsia"/>
                <w:color w:val="auto"/>
              </w:rPr>
              <w:t>横一线（八车道）</w:t>
            </w:r>
          </w:p>
        </w:tc>
        <w:tc>
          <w:tcPr>
            <w:tcW w:w="2241" w:type="dxa"/>
            <w:tcBorders>
              <w:top w:val="nil"/>
              <w:left w:val="single" w:color="000000" w:sz="8" w:space="0"/>
              <w:bottom w:val="single" w:color="000000" w:sz="8" w:space="0"/>
              <w:right w:val="single" w:color="000000" w:sz="8" w:space="0"/>
            </w:tcBorders>
            <w:noWrap w:val="0"/>
            <w:vAlign w:val="center"/>
          </w:tcPr>
          <w:p>
            <w:pPr>
              <w:jc w:val="center"/>
              <w:rPr>
                <w:rFonts w:hint="eastAsia"/>
                <w:color w:val="auto"/>
              </w:rPr>
            </w:pPr>
            <w:r>
              <w:rPr>
                <w:rFonts w:hint="eastAsia"/>
                <w:color w:val="auto"/>
              </w:rPr>
              <w:t>K5+750—K14+707</w:t>
            </w:r>
          </w:p>
        </w:tc>
        <w:tc>
          <w:tcPr>
            <w:tcW w:w="988" w:type="dxa"/>
            <w:tcBorders>
              <w:top w:val="nil"/>
              <w:left w:val="single" w:color="000000" w:sz="8" w:space="0"/>
              <w:bottom w:val="single" w:color="000000" w:sz="8" w:space="0"/>
              <w:right w:val="single" w:color="000000" w:sz="12" w:space="0"/>
            </w:tcBorders>
            <w:noWrap w:val="0"/>
            <w:vAlign w:val="center"/>
          </w:tcPr>
          <w:p>
            <w:pPr>
              <w:jc w:val="center"/>
              <w:rPr>
                <w:rFonts w:hint="eastAsia"/>
                <w:color w:val="auto"/>
              </w:rPr>
            </w:pPr>
            <w:r>
              <w:rPr>
                <w:rFonts w:hint="eastAsia"/>
                <w:color w:val="auto"/>
              </w:rPr>
              <w:t>8.957</w:t>
            </w:r>
          </w:p>
        </w:tc>
        <w:tc>
          <w:tcPr>
            <w:tcW w:w="1093" w:type="dxa"/>
            <w:tcBorders>
              <w:top w:val="nil"/>
              <w:left w:val="nil"/>
              <w:bottom w:val="single" w:color="000000" w:sz="8" w:space="0"/>
              <w:right w:val="single" w:color="000000" w:sz="8" w:space="0"/>
            </w:tcBorders>
            <w:noWrap w:val="0"/>
            <w:vAlign w:val="center"/>
          </w:tcPr>
          <w:p>
            <w:pPr>
              <w:jc w:val="center"/>
              <w:rPr>
                <w:rFonts w:hint="eastAsia"/>
                <w:color w:val="auto"/>
              </w:rPr>
            </w:pPr>
            <w:r>
              <w:rPr>
                <w:rFonts w:hint="eastAsia"/>
                <w:color w:val="auto"/>
              </w:rPr>
              <w:t>-0.247</w:t>
            </w:r>
          </w:p>
        </w:tc>
        <w:tc>
          <w:tcPr>
            <w:tcW w:w="988" w:type="dxa"/>
            <w:tcBorders>
              <w:top w:val="nil"/>
              <w:left w:val="nil"/>
              <w:bottom w:val="single" w:color="000000" w:sz="8" w:space="0"/>
              <w:right w:val="single" w:color="000000" w:sz="8" w:space="0"/>
            </w:tcBorders>
            <w:noWrap w:val="0"/>
            <w:vAlign w:val="center"/>
          </w:tcPr>
          <w:p>
            <w:pPr>
              <w:jc w:val="center"/>
              <w:rPr>
                <w:rFonts w:hint="eastAsia"/>
                <w:color w:val="auto"/>
              </w:rPr>
            </w:pPr>
            <w:r>
              <w:rPr>
                <w:rFonts w:hint="eastAsia"/>
                <w:color w:val="auto"/>
              </w:rPr>
              <w:t>8.71</w:t>
            </w:r>
          </w:p>
        </w:tc>
        <w:tc>
          <w:tcPr>
            <w:tcW w:w="988" w:type="dxa"/>
            <w:tcBorders>
              <w:top w:val="nil"/>
              <w:left w:val="nil"/>
              <w:bottom w:val="single" w:color="000000" w:sz="8" w:space="0"/>
              <w:right w:val="single" w:color="000000" w:sz="8" w:space="0"/>
            </w:tcBorders>
            <w:noWrap w:val="0"/>
            <w:vAlign w:val="center"/>
          </w:tcPr>
          <w:p>
            <w:pPr>
              <w:jc w:val="center"/>
              <w:rPr>
                <w:rFonts w:hint="eastAsia"/>
                <w:color w:val="auto"/>
              </w:rPr>
            </w:pPr>
            <w:r>
              <w:rPr>
                <w:rFonts w:hint="eastAsia"/>
                <w:color w:val="auto"/>
              </w:rPr>
              <w:t>69.68</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14</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X144</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河庄路（六车道）</w:t>
            </w:r>
          </w:p>
        </w:tc>
        <w:tc>
          <w:tcPr>
            <w:tcW w:w="2241" w:type="dxa"/>
            <w:tcBorders>
              <w:top w:val="single" w:color="000000" w:sz="8" w:space="0"/>
              <w:left w:val="single" w:color="000000" w:sz="8" w:space="0"/>
              <w:bottom w:val="single" w:color="000000" w:sz="8" w:space="0"/>
              <w:right w:val="single" w:color="000000" w:sz="8" w:space="0"/>
            </w:tcBorders>
            <w:noWrap w:val="0"/>
            <w:vAlign w:val="center"/>
          </w:tcPr>
          <w:p>
            <w:pPr>
              <w:jc w:val="center"/>
              <w:rPr>
                <w:color w:val="auto"/>
              </w:rPr>
            </w:pPr>
            <w:r>
              <w:rPr>
                <w:rFonts w:hint="eastAsia"/>
                <w:color w:val="auto"/>
              </w:rPr>
              <w:t>K2+000—K8+880</w:t>
            </w:r>
          </w:p>
        </w:tc>
        <w:tc>
          <w:tcPr>
            <w:tcW w:w="988" w:type="dxa"/>
            <w:tcBorders>
              <w:top w:val="single" w:color="000000" w:sz="8" w:space="0"/>
              <w:left w:val="single" w:color="000000" w:sz="8" w:space="0"/>
              <w:bottom w:val="single" w:color="000000" w:sz="8" w:space="0"/>
              <w:right w:val="single" w:color="000000" w:sz="12" w:space="0"/>
            </w:tcBorders>
            <w:noWrap w:val="0"/>
            <w:vAlign w:val="center"/>
          </w:tcPr>
          <w:p>
            <w:pPr>
              <w:jc w:val="center"/>
              <w:rPr>
                <w:color w:val="auto"/>
              </w:rPr>
            </w:pPr>
            <w:r>
              <w:rPr>
                <w:rFonts w:hint="eastAsia"/>
                <w:color w:val="auto"/>
              </w:rPr>
              <w:t>6.88</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-0.236</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6.644</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39.864</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15</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X145</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梅农线（四车道）</w:t>
            </w:r>
          </w:p>
        </w:tc>
        <w:tc>
          <w:tcPr>
            <w:tcW w:w="2241" w:type="dxa"/>
            <w:tcBorders>
              <w:top w:val="nil"/>
              <w:left w:val="single" w:color="000000" w:sz="8" w:space="0"/>
              <w:bottom w:val="single" w:color="000000" w:sz="8" w:space="0"/>
              <w:right w:val="single" w:color="000000" w:sz="8" w:space="0"/>
            </w:tcBorders>
            <w:noWrap w:val="0"/>
            <w:vAlign w:val="center"/>
          </w:tcPr>
          <w:p>
            <w:pPr>
              <w:jc w:val="center"/>
              <w:rPr>
                <w:color w:val="auto"/>
              </w:rPr>
            </w:pPr>
            <w:r>
              <w:rPr>
                <w:rFonts w:hint="eastAsia"/>
                <w:color w:val="auto"/>
              </w:rPr>
              <w:t>K10+188—K16+306</w:t>
            </w:r>
          </w:p>
        </w:tc>
        <w:tc>
          <w:tcPr>
            <w:tcW w:w="988" w:type="dxa"/>
            <w:tcBorders>
              <w:top w:val="nil"/>
              <w:left w:val="single" w:color="000000" w:sz="8" w:space="0"/>
              <w:bottom w:val="single" w:color="000000" w:sz="8" w:space="0"/>
              <w:right w:val="single" w:color="000000" w:sz="12" w:space="0"/>
            </w:tcBorders>
            <w:noWrap w:val="0"/>
            <w:vAlign w:val="center"/>
          </w:tcPr>
          <w:p>
            <w:pPr>
              <w:jc w:val="center"/>
              <w:rPr>
                <w:color w:val="auto"/>
              </w:rPr>
            </w:pPr>
            <w:r>
              <w:rPr>
                <w:rFonts w:hint="eastAsia"/>
                <w:color w:val="auto"/>
              </w:rPr>
              <w:t>6.118</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-0.338</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5.78</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23.12</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16</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X150</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江东大道（六车道）</w:t>
            </w:r>
          </w:p>
        </w:tc>
        <w:tc>
          <w:tcPr>
            <w:tcW w:w="2241" w:type="dxa"/>
            <w:tcBorders>
              <w:top w:val="single" w:color="000000" w:sz="8" w:space="0"/>
              <w:left w:val="single" w:color="000000" w:sz="8" w:space="0"/>
              <w:bottom w:val="single" w:color="000000" w:sz="8" w:space="0"/>
              <w:right w:val="single" w:color="000000" w:sz="8" w:space="0"/>
            </w:tcBorders>
            <w:noWrap w:val="0"/>
            <w:vAlign w:val="center"/>
          </w:tcPr>
          <w:p>
            <w:pPr>
              <w:jc w:val="center"/>
              <w:rPr>
                <w:color w:val="auto"/>
              </w:rPr>
            </w:pPr>
            <w:r>
              <w:rPr>
                <w:rFonts w:hint="eastAsia"/>
                <w:color w:val="auto"/>
              </w:rPr>
              <w:t>K15+300—K21+007</w:t>
            </w:r>
          </w:p>
        </w:tc>
        <w:tc>
          <w:tcPr>
            <w:tcW w:w="988" w:type="dxa"/>
            <w:tcBorders>
              <w:top w:val="single" w:color="000000" w:sz="8" w:space="0"/>
              <w:left w:val="single" w:color="000000" w:sz="8" w:space="0"/>
              <w:bottom w:val="single" w:color="000000" w:sz="8" w:space="0"/>
              <w:right w:val="single" w:color="000000" w:sz="12" w:space="0"/>
            </w:tcBorders>
            <w:noWrap w:val="0"/>
            <w:vAlign w:val="center"/>
          </w:tcPr>
          <w:p>
            <w:pPr>
              <w:jc w:val="center"/>
              <w:rPr>
                <w:color w:val="auto"/>
              </w:rPr>
            </w:pPr>
            <w:r>
              <w:rPr>
                <w:rFonts w:hint="eastAsia"/>
                <w:color w:val="auto"/>
              </w:rPr>
              <w:t>5.707</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-0.288</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5.419</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32.514</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17</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X158</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新湾支线（四车道）</w:t>
            </w:r>
          </w:p>
        </w:tc>
        <w:tc>
          <w:tcPr>
            <w:tcW w:w="2241" w:type="dxa"/>
            <w:tcBorders>
              <w:top w:val="nil"/>
              <w:left w:val="single" w:color="000000" w:sz="8" w:space="0"/>
              <w:bottom w:val="single" w:color="000000" w:sz="8" w:space="0"/>
              <w:right w:val="single" w:color="000000" w:sz="8" w:space="0"/>
            </w:tcBorders>
            <w:noWrap w:val="0"/>
            <w:vAlign w:val="center"/>
          </w:tcPr>
          <w:p>
            <w:pPr>
              <w:jc w:val="center"/>
              <w:rPr>
                <w:color w:val="auto"/>
              </w:rPr>
            </w:pPr>
            <w:r>
              <w:rPr>
                <w:rFonts w:hint="eastAsia"/>
                <w:color w:val="auto"/>
              </w:rPr>
              <w:t>K0+000—K2+149</w:t>
            </w:r>
          </w:p>
        </w:tc>
        <w:tc>
          <w:tcPr>
            <w:tcW w:w="988" w:type="dxa"/>
            <w:tcBorders>
              <w:top w:val="nil"/>
              <w:left w:val="single" w:color="000000" w:sz="8" w:space="0"/>
              <w:bottom w:val="single" w:color="000000" w:sz="8" w:space="0"/>
              <w:right w:val="single" w:color="000000" w:sz="12" w:space="0"/>
            </w:tcBorders>
            <w:noWrap w:val="0"/>
            <w:vAlign w:val="center"/>
          </w:tcPr>
          <w:p>
            <w:pPr>
              <w:jc w:val="center"/>
              <w:rPr>
                <w:color w:val="auto"/>
              </w:rPr>
            </w:pPr>
            <w:r>
              <w:rPr>
                <w:rFonts w:hint="eastAsia"/>
                <w:color w:val="auto"/>
              </w:rPr>
              <w:t>2.149</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-0.059</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2.09</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8.36</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18</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Y109</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新宏线（二车道）</w:t>
            </w:r>
          </w:p>
        </w:tc>
        <w:tc>
          <w:tcPr>
            <w:tcW w:w="2241" w:type="dxa"/>
            <w:tcBorders>
              <w:top w:val="single" w:color="000000" w:sz="8" w:space="0"/>
              <w:left w:val="single" w:color="000000" w:sz="8" w:space="0"/>
              <w:bottom w:val="single" w:color="000000" w:sz="8" w:space="0"/>
              <w:right w:val="single" w:color="000000" w:sz="8" w:space="0"/>
            </w:tcBorders>
            <w:noWrap w:val="0"/>
            <w:vAlign w:val="center"/>
          </w:tcPr>
          <w:p>
            <w:pPr>
              <w:jc w:val="center"/>
              <w:rPr>
                <w:color w:val="auto"/>
              </w:rPr>
            </w:pPr>
            <w:r>
              <w:rPr>
                <w:rFonts w:hint="eastAsia"/>
                <w:color w:val="auto"/>
              </w:rPr>
              <w:t>K0+000—K1+265</w:t>
            </w:r>
          </w:p>
        </w:tc>
        <w:tc>
          <w:tcPr>
            <w:tcW w:w="988" w:type="dxa"/>
            <w:tcBorders>
              <w:top w:val="single" w:color="000000" w:sz="8" w:space="0"/>
              <w:left w:val="single" w:color="000000" w:sz="8" w:space="0"/>
              <w:bottom w:val="single" w:color="000000" w:sz="8" w:space="0"/>
              <w:right w:val="single" w:color="000000" w:sz="12" w:space="0"/>
            </w:tcBorders>
            <w:noWrap w:val="0"/>
            <w:vAlign w:val="center"/>
          </w:tcPr>
          <w:p>
            <w:pPr>
              <w:jc w:val="center"/>
              <w:rPr>
                <w:color w:val="auto"/>
              </w:rPr>
            </w:pPr>
            <w:r>
              <w:rPr>
                <w:rFonts w:hint="eastAsia"/>
                <w:color w:val="auto"/>
              </w:rPr>
              <w:t>1.265</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1.265</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2.53</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19</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Y110</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宏宏线（二车道）</w:t>
            </w:r>
          </w:p>
        </w:tc>
        <w:tc>
          <w:tcPr>
            <w:tcW w:w="2241" w:type="dxa"/>
            <w:tcBorders>
              <w:top w:val="nil"/>
              <w:left w:val="single" w:color="000000" w:sz="8" w:space="0"/>
              <w:bottom w:val="single" w:color="000000" w:sz="8" w:space="0"/>
              <w:right w:val="single" w:color="000000" w:sz="8" w:space="0"/>
            </w:tcBorders>
            <w:noWrap w:val="0"/>
            <w:vAlign w:val="center"/>
          </w:tcPr>
          <w:p>
            <w:pPr>
              <w:jc w:val="center"/>
              <w:rPr>
                <w:color w:val="auto"/>
              </w:rPr>
            </w:pPr>
            <w:r>
              <w:rPr>
                <w:rFonts w:hint="eastAsia"/>
                <w:color w:val="auto"/>
              </w:rPr>
              <w:t>K0+000—K0+944</w:t>
            </w:r>
          </w:p>
        </w:tc>
        <w:tc>
          <w:tcPr>
            <w:tcW w:w="988" w:type="dxa"/>
            <w:tcBorders>
              <w:top w:val="nil"/>
              <w:left w:val="single" w:color="000000" w:sz="8" w:space="0"/>
              <w:bottom w:val="single" w:color="000000" w:sz="8" w:space="0"/>
              <w:right w:val="single" w:color="000000" w:sz="12" w:space="0"/>
            </w:tcBorders>
            <w:noWrap w:val="0"/>
            <w:vAlign w:val="center"/>
          </w:tcPr>
          <w:p>
            <w:pPr>
              <w:jc w:val="center"/>
              <w:rPr>
                <w:color w:val="auto"/>
              </w:rPr>
            </w:pPr>
            <w:r>
              <w:rPr>
                <w:rFonts w:hint="eastAsia"/>
                <w:color w:val="auto"/>
              </w:rPr>
              <w:t>0.944</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0.944</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1.888</w:t>
            </w:r>
          </w:p>
        </w:tc>
      </w:tr>
      <w:tr>
        <w:tblPrEx>
          <w:tblCellMar>
            <w:top w:w="0" w:type="dxa"/>
            <w:left w:w="108" w:type="dxa"/>
            <w:bottom w:w="0" w:type="dxa"/>
            <w:right w:w="108" w:type="dxa"/>
          </w:tblCellMar>
        </w:tblPrEx>
        <w:trPr>
          <w:trHeight w:val="363" w:hRule="atLeast"/>
          <w:jc w:val="center"/>
        </w:trPr>
        <w:tc>
          <w:tcPr>
            <w:tcW w:w="49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20</w:t>
            </w:r>
          </w:p>
        </w:tc>
        <w:tc>
          <w:tcPr>
            <w:tcW w:w="882"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Y118</w:t>
            </w:r>
          </w:p>
        </w:tc>
        <w:tc>
          <w:tcPr>
            <w:tcW w:w="1957"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永新线（二车道）</w:t>
            </w:r>
          </w:p>
        </w:tc>
        <w:tc>
          <w:tcPr>
            <w:tcW w:w="2241" w:type="dxa"/>
            <w:tcBorders>
              <w:top w:val="nil"/>
              <w:left w:val="single" w:color="000000" w:sz="8" w:space="0"/>
              <w:bottom w:val="single" w:color="000000" w:sz="8" w:space="0"/>
              <w:right w:val="single" w:color="000000" w:sz="8" w:space="0"/>
            </w:tcBorders>
            <w:noWrap w:val="0"/>
            <w:vAlign w:val="center"/>
          </w:tcPr>
          <w:p>
            <w:pPr>
              <w:jc w:val="center"/>
              <w:rPr>
                <w:color w:val="auto"/>
              </w:rPr>
            </w:pPr>
            <w:r>
              <w:rPr>
                <w:rFonts w:hint="eastAsia"/>
                <w:color w:val="auto"/>
              </w:rPr>
              <w:t>K0+000—K2+405</w:t>
            </w:r>
          </w:p>
        </w:tc>
        <w:tc>
          <w:tcPr>
            <w:tcW w:w="988" w:type="dxa"/>
            <w:tcBorders>
              <w:top w:val="nil"/>
              <w:left w:val="single" w:color="000000" w:sz="8" w:space="0"/>
              <w:bottom w:val="single" w:color="000000" w:sz="8" w:space="0"/>
              <w:right w:val="single" w:color="000000" w:sz="12" w:space="0"/>
            </w:tcBorders>
            <w:noWrap w:val="0"/>
            <w:vAlign w:val="center"/>
          </w:tcPr>
          <w:p>
            <w:pPr>
              <w:jc w:val="center"/>
              <w:rPr>
                <w:color w:val="auto"/>
              </w:rPr>
            </w:pPr>
            <w:r>
              <w:rPr>
                <w:rFonts w:hint="eastAsia"/>
                <w:color w:val="auto"/>
              </w:rPr>
              <w:t>2.405</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2.405</w:t>
            </w:r>
          </w:p>
        </w:tc>
        <w:tc>
          <w:tcPr>
            <w:tcW w:w="988"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4.81</w:t>
            </w:r>
          </w:p>
        </w:tc>
      </w:tr>
      <w:tr>
        <w:tblPrEx>
          <w:tblCellMar>
            <w:top w:w="0" w:type="dxa"/>
            <w:left w:w="108" w:type="dxa"/>
            <w:bottom w:w="0" w:type="dxa"/>
            <w:right w:w="108" w:type="dxa"/>
          </w:tblCellMar>
        </w:tblPrEx>
        <w:trPr>
          <w:trHeight w:val="363" w:hRule="atLeast"/>
          <w:jc w:val="center"/>
        </w:trPr>
        <w:tc>
          <w:tcPr>
            <w:tcW w:w="493"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21</w:t>
            </w:r>
          </w:p>
        </w:tc>
        <w:tc>
          <w:tcPr>
            <w:tcW w:w="882"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Y129</w:t>
            </w:r>
          </w:p>
        </w:tc>
        <w:tc>
          <w:tcPr>
            <w:tcW w:w="1957" w:type="dxa"/>
            <w:tcBorders>
              <w:top w:val="nil"/>
              <w:left w:val="nil"/>
              <w:bottom w:val="nil"/>
              <w:right w:val="single" w:color="000000" w:sz="8" w:space="0"/>
            </w:tcBorders>
            <w:noWrap w:val="0"/>
            <w:vAlign w:val="center"/>
          </w:tcPr>
          <w:p>
            <w:pPr>
              <w:ind w:left="-199" w:leftChars="-95" w:right="-158" w:rightChars="-75" w:firstLine="0" w:firstLineChars="0"/>
              <w:jc w:val="center"/>
              <w:rPr>
                <w:color w:val="auto"/>
              </w:rPr>
            </w:pPr>
            <w:r>
              <w:rPr>
                <w:rFonts w:hint="eastAsia"/>
                <w:color w:val="auto"/>
              </w:rPr>
              <w:t>内十工段--外十工段</w:t>
            </w:r>
          </w:p>
        </w:tc>
        <w:tc>
          <w:tcPr>
            <w:tcW w:w="2241"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0K+000--3K+151</w:t>
            </w:r>
          </w:p>
        </w:tc>
        <w:tc>
          <w:tcPr>
            <w:tcW w:w="988"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3.151</w:t>
            </w:r>
          </w:p>
        </w:tc>
        <w:tc>
          <w:tcPr>
            <w:tcW w:w="1093"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-0.017</w:t>
            </w:r>
          </w:p>
        </w:tc>
        <w:tc>
          <w:tcPr>
            <w:tcW w:w="988"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3.134</w:t>
            </w:r>
          </w:p>
        </w:tc>
        <w:tc>
          <w:tcPr>
            <w:tcW w:w="988"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6.268</w:t>
            </w:r>
          </w:p>
        </w:tc>
      </w:tr>
      <w:tr>
        <w:tblPrEx>
          <w:tblCellMar>
            <w:top w:w="0" w:type="dxa"/>
            <w:left w:w="108" w:type="dxa"/>
            <w:bottom w:w="0" w:type="dxa"/>
            <w:right w:w="108" w:type="dxa"/>
          </w:tblCellMar>
        </w:tblPrEx>
        <w:trPr>
          <w:trHeight w:val="363" w:hRule="atLeast"/>
          <w:jc w:val="center"/>
        </w:trPr>
        <w:tc>
          <w:tcPr>
            <w:tcW w:w="493" w:type="dxa"/>
            <w:vMerge w:val="continue"/>
            <w:tcBorders>
              <w:top w:val="nil"/>
              <w:left w:val="single" w:color="000000" w:sz="8" w:space="0"/>
              <w:bottom w:val="single" w:color="000000" w:sz="8" w:space="0"/>
              <w:right w:val="single" w:color="000000" w:sz="8" w:space="0"/>
            </w:tcBorders>
            <w:noWrap w:val="0"/>
            <w:vAlign w:val="center"/>
          </w:tcPr>
          <w:p>
            <w:pPr>
              <w:jc w:val="center"/>
              <w:rPr>
                <w:color w:val="auto"/>
              </w:rPr>
            </w:pPr>
          </w:p>
        </w:tc>
        <w:tc>
          <w:tcPr>
            <w:tcW w:w="882"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1957" w:type="dxa"/>
            <w:tcBorders>
              <w:top w:val="nil"/>
              <w:left w:val="nil"/>
              <w:bottom w:val="single" w:color="000000" w:sz="8" w:space="0"/>
              <w:right w:val="single" w:color="000000" w:sz="8" w:space="0"/>
            </w:tcBorders>
            <w:noWrap w:val="0"/>
            <w:vAlign w:val="center"/>
          </w:tcPr>
          <w:p>
            <w:pPr>
              <w:ind w:left="-199" w:leftChars="-95" w:right="-158" w:rightChars="-75" w:firstLine="0" w:firstLineChars="0"/>
              <w:jc w:val="center"/>
              <w:rPr>
                <w:color w:val="auto"/>
              </w:rPr>
            </w:pPr>
            <w:r>
              <w:rPr>
                <w:rFonts w:hint="eastAsia"/>
                <w:color w:val="auto"/>
              </w:rPr>
              <w:t>（二车道）</w:t>
            </w:r>
          </w:p>
        </w:tc>
        <w:tc>
          <w:tcPr>
            <w:tcW w:w="2241"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988"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1093"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988"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988" w:type="dxa"/>
            <w:vMerge w:val="continue"/>
            <w:tcBorders>
              <w:top w:val="nil"/>
              <w:left w:val="nil"/>
              <w:bottom w:val="single" w:color="000000" w:sz="8" w:space="0"/>
              <w:right w:val="single" w:color="000000" w:sz="8" w:space="0"/>
            </w:tcBorders>
            <w:noWrap w:val="0"/>
            <w:vAlign w:val="center"/>
          </w:tcPr>
          <w:p>
            <w:pPr>
              <w:jc w:val="center"/>
              <w:rPr>
                <w:color w:val="auto"/>
              </w:rPr>
            </w:pPr>
          </w:p>
        </w:tc>
      </w:tr>
      <w:tr>
        <w:tblPrEx>
          <w:tblCellMar>
            <w:top w:w="0" w:type="dxa"/>
            <w:left w:w="108" w:type="dxa"/>
            <w:bottom w:w="0" w:type="dxa"/>
            <w:right w:w="108" w:type="dxa"/>
          </w:tblCellMar>
        </w:tblPrEx>
        <w:trPr>
          <w:trHeight w:val="363" w:hRule="atLeast"/>
          <w:jc w:val="center"/>
        </w:trPr>
        <w:tc>
          <w:tcPr>
            <w:tcW w:w="493"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22</w:t>
            </w:r>
          </w:p>
        </w:tc>
        <w:tc>
          <w:tcPr>
            <w:tcW w:w="882"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Y130</w:t>
            </w:r>
          </w:p>
        </w:tc>
        <w:tc>
          <w:tcPr>
            <w:tcW w:w="1957" w:type="dxa"/>
            <w:tcBorders>
              <w:top w:val="nil"/>
              <w:left w:val="nil"/>
              <w:bottom w:val="nil"/>
              <w:right w:val="single" w:color="000000" w:sz="8" w:space="0"/>
            </w:tcBorders>
            <w:noWrap w:val="0"/>
            <w:vAlign w:val="center"/>
          </w:tcPr>
          <w:p>
            <w:pPr>
              <w:ind w:left="-199" w:leftChars="-95" w:right="-158" w:rightChars="-75" w:firstLine="0" w:firstLineChars="0"/>
              <w:jc w:val="center"/>
              <w:rPr>
                <w:color w:val="auto"/>
              </w:rPr>
            </w:pPr>
            <w:r>
              <w:rPr>
                <w:rFonts w:hint="eastAsia"/>
                <w:color w:val="auto"/>
              </w:rPr>
              <w:t>十七工段-十八工段</w:t>
            </w:r>
          </w:p>
        </w:tc>
        <w:tc>
          <w:tcPr>
            <w:tcW w:w="2241"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0K+000--4K+894</w:t>
            </w:r>
          </w:p>
        </w:tc>
        <w:tc>
          <w:tcPr>
            <w:tcW w:w="988"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4.894</w:t>
            </w:r>
          </w:p>
        </w:tc>
        <w:tc>
          <w:tcPr>
            <w:tcW w:w="1093"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-0.017</w:t>
            </w:r>
          </w:p>
        </w:tc>
        <w:tc>
          <w:tcPr>
            <w:tcW w:w="988"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4.877</w:t>
            </w:r>
          </w:p>
        </w:tc>
        <w:tc>
          <w:tcPr>
            <w:tcW w:w="988"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9.754</w:t>
            </w:r>
          </w:p>
        </w:tc>
      </w:tr>
      <w:tr>
        <w:tblPrEx>
          <w:tblCellMar>
            <w:top w:w="0" w:type="dxa"/>
            <w:left w:w="108" w:type="dxa"/>
            <w:bottom w:w="0" w:type="dxa"/>
            <w:right w:w="108" w:type="dxa"/>
          </w:tblCellMar>
        </w:tblPrEx>
        <w:trPr>
          <w:trHeight w:val="363" w:hRule="atLeast"/>
          <w:jc w:val="center"/>
        </w:trPr>
        <w:tc>
          <w:tcPr>
            <w:tcW w:w="493" w:type="dxa"/>
            <w:vMerge w:val="continue"/>
            <w:tcBorders>
              <w:top w:val="nil"/>
              <w:left w:val="single" w:color="000000" w:sz="8" w:space="0"/>
              <w:bottom w:val="single" w:color="000000" w:sz="8" w:space="0"/>
              <w:right w:val="single" w:color="000000" w:sz="8" w:space="0"/>
            </w:tcBorders>
            <w:noWrap w:val="0"/>
            <w:vAlign w:val="center"/>
          </w:tcPr>
          <w:p>
            <w:pPr>
              <w:jc w:val="center"/>
              <w:rPr>
                <w:color w:val="auto"/>
              </w:rPr>
            </w:pPr>
          </w:p>
        </w:tc>
        <w:tc>
          <w:tcPr>
            <w:tcW w:w="882"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1957" w:type="dxa"/>
            <w:tcBorders>
              <w:top w:val="nil"/>
              <w:left w:val="nil"/>
              <w:bottom w:val="single" w:color="000000" w:sz="8" w:space="0"/>
              <w:right w:val="single" w:color="000000" w:sz="8" w:space="0"/>
            </w:tcBorders>
            <w:noWrap w:val="0"/>
            <w:vAlign w:val="center"/>
          </w:tcPr>
          <w:p>
            <w:pPr>
              <w:ind w:left="-199" w:leftChars="-95" w:right="-158" w:rightChars="-75" w:firstLine="0" w:firstLineChars="0"/>
              <w:jc w:val="center"/>
              <w:rPr>
                <w:color w:val="auto"/>
              </w:rPr>
            </w:pPr>
            <w:r>
              <w:rPr>
                <w:rFonts w:hint="eastAsia"/>
                <w:color w:val="auto"/>
              </w:rPr>
              <w:t>（二车道）</w:t>
            </w:r>
          </w:p>
        </w:tc>
        <w:tc>
          <w:tcPr>
            <w:tcW w:w="2241"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988"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1093"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988"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988" w:type="dxa"/>
            <w:vMerge w:val="continue"/>
            <w:tcBorders>
              <w:top w:val="nil"/>
              <w:left w:val="nil"/>
              <w:bottom w:val="single" w:color="000000" w:sz="8" w:space="0"/>
              <w:right w:val="single" w:color="000000" w:sz="8" w:space="0"/>
            </w:tcBorders>
            <w:noWrap w:val="0"/>
            <w:vAlign w:val="center"/>
          </w:tcPr>
          <w:p>
            <w:pPr>
              <w:jc w:val="center"/>
              <w:rPr>
                <w:color w:val="auto"/>
              </w:rPr>
            </w:pPr>
          </w:p>
        </w:tc>
      </w:tr>
      <w:tr>
        <w:tblPrEx>
          <w:tblCellMar>
            <w:top w:w="0" w:type="dxa"/>
            <w:left w:w="108" w:type="dxa"/>
            <w:bottom w:w="0" w:type="dxa"/>
            <w:right w:w="108" w:type="dxa"/>
          </w:tblCellMar>
        </w:tblPrEx>
        <w:trPr>
          <w:trHeight w:val="363" w:hRule="atLeast"/>
          <w:jc w:val="center"/>
        </w:trPr>
        <w:tc>
          <w:tcPr>
            <w:tcW w:w="493"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23</w:t>
            </w:r>
          </w:p>
        </w:tc>
        <w:tc>
          <w:tcPr>
            <w:tcW w:w="882"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Y132</w:t>
            </w:r>
          </w:p>
        </w:tc>
        <w:tc>
          <w:tcPr>
            <w:tcW w:w="1957" w:type="dxa"/>
            <w:tcBorders>
              <w:top w:val="nil"/>
              <w:left w:val="nil"/>
              <w:bottom w:val="nil"/>
              <w:right w:val="single" w:color="000000" w:sz="8" w:space="0"/>
            </w:tcBorders>
            <w:noWrap w:val="0"/>
            <w:vAlign w:val="center"/>
          </w:tcPr>
          <w:p>
            <w:pPr>
              <w:ind w:left="0" w:leftChars="0" w:right="61" w:rightChars="29" w:firstLine="0" w:firstLineChars="0"/>
              <w:jc w:val="center"/>
              <w:rPr>
                <w:color w:val="auto"/>
              </w:rPr>
            </w:pPr>
            <w:r>
              <w:rPr>
                <w:rFonts w:hint="eastAsia"/>
                <w:color w:val="auto"/>
              </w:rPr>
              <w:t>内十七工段--外十七工段</w:t>
            </w:r>
          </w:p>
        </w:tc>
        <w:tc>
          <w:tcPr>
            <w:tcW w:w="2241"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0K+000--3K+136</w:t>
            </w:r>
          </w:p>
        </w:tc>
        <w:tc>
          <w:tcPr>
            <w:tcW w:w="988"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3.136</w:t>
            </w:r>
          </w:p>
        </w:tc>
        <w:tc>
          <w:tcPr>
            <w:tcW w:w="1093"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-0.09</w:t>
            </w:r>
          </w:p>
        </w:tc>
        <w:tc>
          <w:tcPr>
            <w:tcW w:w="988"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3.046</w:t>
            </w:r>
          </w:p>
        </w:tc>
        <w:tc>
          <w:tcPr>
            <w:tcW w:w="988" w:type="dxa"/>
            <w:vMerge w:val="restart"/>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6.092</w:t>
            </w:r>
          </w:p>
        </w:tc>
      </w:tr>
      <w:tr>
        <w:tblPrEx>
          <w:tblCellMar>
            <w:top w:w="0" w:type="dxa"/>
            <w:left w:w="108" w:type="dxa"/>
            <w:bottom w:w="0" w:type="dxa"/>
            <w:right w:w="108" w:type="dxa"/>
          </w:tblCellMar>
        </w:tblPrEx>
        <w:trPr>
          <w:trHeight w:val="363" w:hRule="atLeast"/>
          <w:jc w:val="center"/>
        </w:trPr>
        <w:tc>
          <w:tcPr>
            <w:tcW w:w="493" w:type="dxa"/>
            <w:vMerge w:val="continue"/>
            <w:tcBorders>
              <w:top w:val="nil"/>
              <w:left w:val="single" w:color="000000" w:sz="8" w:space="0"/>
              <w:bottom w:val="single" w:color="000000" w:sz="8" w:space="0"/>
              <w:right w:val="single" w:color="000000" w:sz="8" w:space="0"/>
            </w:tcBorders>
            <w:noWrap w:val="0"/>
            <w:vAlign w:val="center"/>
          </w:tcPr>
          <w:p>
            <w:pPr>
              <w:jc w:val="center"/>
              <w:rPr>
                <w:color w:val="auto"/>
              </w:rPr>
            </w:pPr>
          </w:p>
        </w:tc>
        <w:tc>
          <w:tcPr>
            <w:tcW w:w="882"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1957" w:type="dxa"/>
            <w:tcBorders>
              <w:top w:val="nil"/>
              <w:left w:val="nil"/>
              <w:bottom w:val="single" w:color="000000" w:sz="8" w:space="0"/>
              <w:right w:val="single" w:color="000000" w:sz="8" w:space="0"/>
            </w:tcBorders>
            <w:noWrap w:val="0"/>
            <w:vAlign w:val="center"/>
          </w:tcPr>
          <w:p>
            <w:pPr>
              <w:ind w:left="-199" w:leftChars="-95" w:right="-158" w:rightChars="-75" w:firstLine="0" w:firstLineChars="0"/>
              <w:jc w:val="center"/>
              <w:rPr>
                <w:color w:val="auto"/>
              </w:rPr>
            </w:pPr>
            <w:r>
              <w:rPr>
                <w:rFonts w:hint="eastAsia"/>
                <w:color w:val="auto"/>
              </w:rPr>
              <w:t>（二车道）</w:t>
            </w:r>
          </w:p>
        </w:tc>
        <w:tc>
          <w:tcPr>
            <w:tcW w:w="2241"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988"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1093"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988" w:type="dxa"/>
            <w:vMerge w:val="continue"/>
            <w:tcBorders>
              <w:top w:val="nil"/>
              <w:left w:val="nil"/>
              <w:bottom w:val="single" w:color="000000" w:sz="8" w:space="0"/>
              <w:right w:val="single" w:color="000000" w:sz="8" w:space="0"/>
            </w:tcBorders>
            <w:noWrap w:val="0"/>
            <w:vAlign w:val="center"/>
          </w:tcPr>
          <w:p>
            <w:pPr>
              <w:jc w:val="center"/>
              <w:rPr>
                <w:color w:val="auto"/>
              </w:rPr>
            </w:pPr>
          </w:p>
        </w:tc>
        <w:tc>
          <w:tcPr>
            <w:tcW w:w="988" w:type="dxa"/>
            <w:vMerge w:val="continue"/>
            <w:tcBorders>
              <w:top w:val="nil"/>
              <w:left w:val="nil"/>
              <w:bottom w:val="single" w:color="000000" w:sz="8" w:space="0"/>
              <w:right w:val="single" w:color="000000" w:sz="8" w:space="0"/>
            </w:tcBorders>
            <w:noWrap w:val="0"/>
            <w:vAlign w:val="center"/>
          </w:tcPr>
          <w:p>
            <w:pPr>
              <w:jc w:val="center"/>
              <w:rPr>
                <w:color w:val="auto"/>
              </w:rPr>
            </w:pPr>
          </w:p>
        </w:tc>
      </w:tr>
      <w:tr>
        <w:tblPrEx>
          <w:tblCellMar>
            <w:top w:w="0" w:type="dxa"/>
            <w:left w:w="108" w:type="dxa"/>
            <w:bottom w:w="0" w:type="dxa"/>
            <w:right w:w="108" w:type="dxa"/>
          </w:tblCellMar>
        </w:tblPrEx>
        <w:trPr>
          <w:trHeight w:val="363" w:hRule="atLeast"/>
          <w:jc w:val="center"/>
        </w:trPr>
        <w:tc>
          <w:tcPr>
            <w:tcW w:w="1375" w:type="dxa"/>
            <w:gridSpan w:val="2"/>
            <w:tcBorders>
              <w:top w:val="nil"/>
              <w:left w:val="single" w:color="000000" w:sz="8" w:space="0"/>
              <w:bottom w:val="single" w:color="000000" w:sz="8" w:space="0"/>
              <w:right w:val="single" w:color="000000" w:sz="8" w:space="0"/>
            </w:tcBorders>
            <w:noWrap w:val="0"/>
            <w:vAlign w:val="center"/>
          </w:tcPr>
          <w:p>
            <w:pPr>
              <w:jc w:val="center"/>
              <w:rPr>
                <w:color w:val="auto"/>
              </w:rPr>
            </w:pPr>
            <w:r>
              <w:rPr>
                <w:rFonts w:hint="eastAsia"/>
                <w:color w:val="auto"/>
              </w:rPr>
              <w:t>合计</w:t>
            </w:r>
          </w:p>
        </w:tc>
        <w:tc>
          <w:tcPr>
            <w:tcW w:w="1957" w:type="dxa"/>
            <w:tcBorders>
              <w:top w:val="nil"/>
              <w:left w:val="nil"/>
              <w:bottom w:val="single" w:color="000000" w:sz="8" w:space="0"/>
              <w:right w:val="single" w:color="000000" w:sz="8" w:space="0"/>
            </w:tcBorders>
            <w:noWrap w:val="0"/>
            <w:vAlign w:val="center"/>
          </w:tcPr>
          <w:p>
            <w:pPr>
              <w:jc w:val="center"/>
              <w:rPr>
                <w:color w:val="auto"/>
              </w:rPr>
            </w:pPr>
          </w:p>
        </w:tc>
        <w:tc>
          <w:tcPr>
            <w:tcW w:w="2241" w:type="dxa"/>
            <w:tcBorders>
              <w:top w:val="nil"/>
              <w:left w:val="nil"/>
              <w:bottom w:val="single" w:color="000000" w:sz="8" w:space="0"/>
              <w:right w:val="single" w:color="000000" w:sz="8" w:space="0"/>
            </w:tcBorders>
            <w:noWrap w:val="0"/>
            <w:vAlign w:val="center"/>
          </w:tcPr>
          <w:p>
            <w:pPr>
              <w:jc w:val="center"/>
              <w:rPr>
                <w:color w:val="auto"/>
              </w:rPr>
            </w:pPr>
          </w:p>
        </w:tc>
        <w:tc>
          <w:tcPr>
            <w:tcW w:w="988" w:type="dxa"/>
            <w:tcBorders>
              <w:top w:val="nil"/>
              <w:left w:val="nil"/>
              <w:bottom w:val="single" w:color="000000" w:sz="8" w:space="0"/>
              <w:right w:val="single" w:color="000000" w:sz="8" w:space="0"/>
            </w:tcBorders>
            <w:noWrap w:val="0"/>
            <w:vAlign w:val="center"/>
          </w:tcPr>
          <w:p>
            <w:pPr>
              <w:jc w:val="center"/>
              <w:rPr>
                <w:rFonts w:hint="default"/>
                <w:color w:val="auto"/>
                <w:lang w:val="en-US"/>
              </w:rPr>
            </w:pPr>
            <w:r>
              <w:rPr>
                <w:rFonts w:hint="eastAsia"/>
                <w:color w:val="auto"/>
              </w:rPr>
              <w:t>181.</w:t>
            </w:r>
            <w:r>
              <w:rPr>
                <w:rFonts w:hint="eastAsia"/>
                <w:color w:val="auto"/>
                <w:lang w:val="en-US" w:eastAsia="zh-CN"/>
              </w:rPr>
              <w:t>313</w:t>
            </w:r>
          </w:p>
        </w:tc>
        <w:tc>
          <w:tcPr>
            <w:tcW w:w="1093" w:type="dxa"/>
            <w:tcBorders>
              <w:top w:val="nil"/>
              <w:left w:val="nil"/>
              <w:bottom w:val="single" w:color="000000" w:sz="8" w:space="0"/>
              <w:right w:val="single" w:color="000000" w:sz="8" w:space="0"/>
            </w:tcBorders>
            <w:noWrap w:val="0"/>
            <w:vAlign w:val="center"/>
          </w:tcPr>
          <w:p>
            <w:pPr>
              <w:jc w:val="center"/>
              <w:rPr>
                <w:color w:val="auto"/>
              </w:rPr>
            </w:pPr>
            <w:r>
              <w:rPr>
                <w:rFonts w:hint="eastAsia"/>
                <w:color w:val="auto"/>
              </w:rPr>
              <w:t>-3.458</w:t>
            </w:r>
          </w:p>
        </w:tc>
        <w:tc>
          <w:tcPr>
            <w:tcW w:w="988" w:type="dxa"/>
            <w:tcBorders>
              <w:top w:val="nil"/>
              <w:left w:val="nil"/>
              <w:bottom w:val="single" w:color="000000" w:sz="8" w:space="0"/>
              <w:right w:val="single" w:color="000000" w:sz="8" w:space="0"/>
            </w:tcBorders>
            <w:noWrap w:val="0"/>
            <w:vAlign w:val="center"/>
          </w:tcPr>
          <w:p>
            <w:pPr>
              <w:jc w:val="center"/>
              <w:rPr>
                <w:rFonts w:hint="default" w:eastAsia="宋体"/>
                <w:color w:val="auto"/>
                <w:lang w:val="en-US" w:eastAsia="zh-CN"/>
              </w:rPr>
            </w:pPr>
            <w:r>
              <w:rPr>
                <w:rFonts w:hint="eastAsia"/>
                <w:color w:val="auto"/>
              </w:rPr>
              <w:t>177.8</w:t>
            </w:r>
            <w:r>
              <w:rPr>
                <w:rFonts w:hint="eastAsia"/>
                <w:color w:val="auto"/>
                <w:lang w:val="en-US" w:eastAsia="zh-CN"/>
              </w:rPr>
              <w:t>55</w:t>
            </w:r>
          </w:p>
        </w:tc>
        <w:tc>
          <w:tcPr>
            <w:tcW w:w="988" w:type="dxa"/>
            <w:tcBorders>
              <w:top w:val="nil"/>
              <w:left w:val="nil"/>
              <w:bottom w:val="single" w:color="000000" w:sz="8" w:space="0"/>
              <w:right w:val="single" w:color="000000" w:sz="8" w:space="0"/>
            </w:tcBorders>
            <w:noWrap w:val="0"/>
            <w:vAlign w:val="center"/>
          </w:tcPr>
          <w:p>
            <w:pPr>
              <w:jc w:val="center"/>
              <w:rPr>
                <w:rFonts w:hint="eastAsia" w:eastAsia="宋体"/>
                <w:color w:val="auto"/>
                <w:lang w:val="en-US" w:eastAsia="zh-CN"/>
              </w:rPr>
            </w:pPr>
            <w:r>
              <w:rPr>
                <w:rFonts w:hint="eastAsia"/>
                <w:color w:val="auto"/>
              </w:rPr>
              <w:t>533.</w:t>
            </w:r>
            <w:r>
              <w:rPr>
                <w:rFonts w:hint="eastAsia"/>
                <w:color w:val="auto"/>
                <w:lang w:val="en-US" w:eastAsia="zh-CN"/>
              </w:rPr>
              <w:t>614</w:t>
            </w:r>
          </w:p>
        </w:tc>
      </w:tr>
      <w:tr>
        <w:tblPrEx>
          <w:tblCellMar>
            <w:top w:w="0" w:type="dxa"/>
            <w:left w:w="108" w:type="dxa"/>
            <w:bottom w:w="0" w:type="dxa"/>
            <w:right w:w="108" w:type="dxa"/>
          </w:tblCellMar>
        </w:tblPrEx>
        <w:trPr>
          <w:trHeight w:val="363" w:hRule="atLeast"/>
          <w:jc w:val="center"/>
        </w:trPr>
        <w:tc>
          <w:tcPr>
            <w:tcW w:w="9630" w:type="dxa"/>
            <w:gridSpan w:val="8"/>
            <w:tcBorders>
              <w:top w:val="nil"/>
              <w:left w:val="nil"/>
              <w:bottom w:val="nil"/>
              <w:right w:val="nil"/>
            </w:tcBorders>
            <w:noWrap w:val="0"/>
            <w:vAlign w:val="center"/>
          </w:tcPr>
          <w:p>
            <w:pPr>
              <w:widowControl/>
              <w:jc w:val="left"/>
              <w:textAlignment w:val="center"/>
              <w:rPr>
                <w:rFonts w:ascii="宋体" w:hAnsi="宋体" w:cs="宋体"/>
                <w:b/>
                <w:bCs/>
                <w:color w:val="auto"/>
                <w:szCs w:val="21"/>
              </w:rPr>
            </w:pPr>
            <w:r>
              <w:rPr>
                <w:rFonts w:hint="eastAsia" w:ascii="宋体" w:hAnsi="宋体" w:cs="宋体"/>
                <w:b/>
                <w:bCs/>
                <w:color w:val="auto"/>
                <w:kern w:val="0"/>
                <w:szCs w:val="21"/>
              </w:rPr>
              <w:t>注：钱磐线、镇萧线K146+049--K151+299、</w:t>
            </w:r>
            <w:r>
              <w:rPr>
                <w:rFonts w:hint="eastAsia" w:ascii="宋体" w:hAnsi="宋体" w:cs="宋体"/>
                <w:b/>
                <w:bCs/>
                <w:color w:val="auto"/>
                <w:kern w:val="0"/>
                <w:szCs w:val="21"/>
                <w:lang w:eastAsia="zh-CN"/>
              </w:rPr>
              <w:t>河庄路</w:t>
            </w:r>
            <w:r>
              <w:rPr>
                <w:rFonts w:hint="eastAsia" w:ascii="宋体" w:hAnsi="宋体" w:cs="宋体"/>
                <w:b/>
                <w:bCs/>
                <w:color w:val="auto"/>
                <w:kern w:val="0"/>
                <w:szCs w:val="21"/>
                <w:lang w:val="en-US" w:eastAsia="zh-CN"/>
              </w:rPr>
              <w:t>K2+000-K4+853、</w:t>
            </w:r>
            <w:r>
              <w:rPr>
                <w:rFonts w:hint="eastAsia" w:ascii="宋体" w:hAnsi="宋体" w:cs="宋体"/>
                <w:b/>
                <w:bCs/>
                <w:color w:val="auto"/>
                <w:kern w:val="0"/>
                <w:szCs w:val="21"/>
              </w:rPr>
              <w:t>江东大道、新湾支线为一级公路，须检测抗滑性能及路面车辙，共计</w:t>
            </w:r>
            <w:r>
              <w:rPr>
                <w:rFonts w:hint="eastAsia" w:ascii="宋体" w:hAnsi="宋体" w:cs="宋体"/>
                <w:b/>
                <w:bCs/>
                <w:color w:val="auto"/>
                <w:kern w:val="0"/>
                <w:szCs w:val="21"/>
                <w:lang w:val="en-US" w:eastAsia="zh-CN"/>
              </w:rPr>
              <w:t>131.468</w:t>
            </w:r>
            <w:r>
              <w:rPr>
                <w:rFonts w:hint="eastAsia" w:ascii="宋体" w:hAnsi="宋体" w:cs="宋体"/>
                <w:b/>
                <w:bCs/>
                <w:color w:val="auto"/>
                <w:kern w:val="0"/>
                <w:szCs w:val="21"/>
              </w:rPr>
              <w:t>车道公里。</w:t>
            </w:r>
          </w:p>
        </w:tc>
      </w:tr>
    </w:tbl>
    <w:p>
      <w:pPr>
        <w:jc w:val="center"/>
        <w:rPr>
          <w:rFonts w:ascii="Calibri" w:hAnsi="宋体"/>
          <w:b/>
          <w:color w:val="auto"/>
          <w:sz w:val="28"/>
          <w:szCs w:val="21"/>
        </w:rPr>
      </w:pPr>
    </w:p>
    <w:p>
      <w:pPr>
        <w:jc w:val="center"/>
        <w:rPr>
          <w:b/>
          <w:color w:val="auto"/>
          <w:sz w:val="28"/>
        </w:rPr>
      </w:pPr>
    </w:p>
    <w:p>
      <w:pPr>
        <w:rPr>
          <w:rFonts w:hint="eastAsia"/>
          <w:b/>
          <w:color w:val="auto"/>
          <w:sz w:val="28"/>
        </w:rPr>
      </w:pPr>
      <w:r>
        <w:rPr>
          <w:rFonts w:hint="eastAsia"/>
          <w:b/>
          <w:color w:val="auto"/>
          <w:sz w:val="28"/>
        </w:rPr>
        <w:br w:type="page"/>
      </w:r>
    </w:p>
    <w:p>
      <w:pPr>
        <w:jc w:val="center"/>
        <w:rPr>
          <w:b/>
          <w:color w:val="auto"/>
        </w:rPr>
      </w:pPr>
      <w:r>
        <w:rPr>
          <w:rFonts w:hint="eastAsia"/>
          <w:b/>
          <w:color w:val="auto"/>
          <w:sz w:val="28"/>
        </w:rPr>
        <w:t>桥梁检测清单</w:t>
      </w:r>
    </w:p>
    <w:tbl>
      <w:tblPr>
        <w:tblStyle w:val="15"/>
        <w:tblW w:w="8640" w:type="dxa"/>
        <w:tblInd w:w="102" w:type="dxa"/>
        <w:tblLayout w:type="fixed"/>
        <w:tblCellMar>
          <w:top w:w="0" w:type="dxa"/>
          <w:left w:w="108" w:type="dxa"/>
          <w:bottom w:w="0" w:type="dxa"/>
          <w:right w:w="108" w:type="dxa"/>
        </w:tblCellMar>
      </w:tblPr>
      <w:tblGrid>
        <w:gridCol w:w="576"/>
        <w:gridCol w:w="2412"/>
        <w:gridCol w:w="1691"/>
        <w:gridCol w:w="777"/>
        <w:gridCol w:w="1268"/>
        <w:gridCol w:w="1105"/>
        <w:gridCol w:w="811"/>
      </w:tblGrid>
      <w:tr>
        <w:tblPrEx>
          <w:tblCellMar>
            <w:top w:w="0" w:type="dxa"/>
            <w:left w:w="108" w:type="dxa"/>
            <w:bottom w:w="0" w:type="dxa"/>
            <w:right w:w="108" w:type="dxa"/>
          </w:tblCellMar>
        </w:tblPrEx>
        <w:trPr>
          <w:trHeight w:val="363" w:hRule="atLeast"/>
        </w:trPr>
        <w:tc>
          <w:tcPr>
            <w:tcW w:w="5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序号</w:t>
            </w:r>
          </w:p>
        </w:tc>
        <w:tc>
          <w:tcPr>
            <w:tcW w:w="2412" w:type="dxa"/>
            <w:vMerge w:val="restart"/>
            <w:tcBorders>
              <w:top w:val="single" w:color="000000" w:sz="8" w:space="0"/>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桥梁名称</w:t>
            </w:r>
          </w:p>
        </w:tc>
        <w:tc>
          <w:tcPr>
            <w:tcW w:w="1691" w:type="dxa"/>
            <w:vMerge w:val="restart"/>
            <w:tcBorders>
              <w:top w:val="single" w:color="000000" w:sz="8" w:space="0"/>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桥梁中心桩号</w:t>
            </w:r>
          </w:p>
        </w:tc>
        <w:tc>
          <w:tcPr>
            <w:tcW w:w="3150" w:type="dxa"/>
            <w:gridSpan w:val="3"/>
            <w:tcBorders>
              <w:top w:val="single" w:color="000000" w:sz="8" w:space="0"/>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所属路线情况</w:t>
            </w:r>
          </w:p>
        </w:tc>
        <w:tc>
          <w:tcPr>
            <w:tcW w:w="811" w:type="dxa"/>
            <w:vMerge w:val="restart"/>
            <w:tcBorders>
              <w:top w:val="single" w:color="000000" w:sz="8" w:space="0"/>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全长（米）</w:t>
            </w:r>
          </w:p>
        </w:tc>
      </w:tr>
      <w:tr>
        <w:tblPrEx>
          <w:tblCellMar>
            <w:top w:w="0" w:type="dxa"/>
            <w:left w:w="108" w:type="dxa"/>
            <w:bottom w:w="0" w:type="dxa"/>
            <w:right w:w="108" w:type="dxa"/>
          </w:tblCellMar>
        </w:tblPrEx>
        <w:trPr>
          <w:trHeight w:val="363" w:hRule="atLeast"/>
        </w:trPr>
        <w:tc>
          <w:tcPr>
            <w:tcW w:w="5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color w:val="auto"/>
              </w:rPr>
            </w:pPr>
          </w:p>
        </w:tc>
        <w:tc>
          <w:tcPr>
            <w:tcW w:w="2412" w:type="dxa"/>
            <w:vMerge w:val="continue"/>
            <w:tcBorders>
              <w:top w:val="single" w:color="000000" w:sz="8" w:space="0"/>
              <w:left w:val="nil"/>
              <w:bottom w:val="single" w:color="000000" w:sz="8" w:space="0"/>
              <w:right w:val="single" w:color="000000" w:sz="8" w:space="0"/>
            </w:tcBorders>
            <w:shd w:val="clear" w:color="auto" w:fill="FFFFFF"/>
            <w:noWrap w:val="0"/>
            <w:vAlign w:val="center"/>
          </w:tcPr>
          <w:p>
            <w:pPr>
              <w:jc w:val="center"/>
              <w:rPr>
                <w:color w:val="auto"/>
              </w:rPr>
            </w:pPr>
          </w:p>
        </w:tc>
        <w:tc>
          <w:tcPr>
            <w:tcW w:w="1691" w:type="dxa"/>
            <w:vMerge w:val="continue"/>
            <w:tcBorders>
              <w:top w:val="single" w:color="000000" w:sz="8" w:space="0"/>
              <w:left w:val="nil"/>
              <w:bottom w:val="single" w:color="000000" w:sz="8" w:space="0"/>
              <w:right w:val="single" w:color="000000" w:sz="8" w:space="0"/>
            </w:tcBorders>
            <w:shd w:val="clear" w:color="auto" w:fill="FFFFFF"/>
            <w:noWrap w:val="0"/>
            <w:vAlign w:val="center"/>
          </w:tcPr>
          <w:p>
            <w:pPr>
              <w:jc w:val="center"/>
              <w:rPr>
                <w:color w:val="auto"/>
              </w:rPr>
            </w:pP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编号</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路线名称</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桥梁类型</w:t>
            </w:r>
          </w:p>
        </w:tc>
        <w:tc>
          <w:tcPr>
            <w:tcW w:w="811" w:type="dxa"/>
            <w:vMerge w:val="continue"/>
            <w:tcBorders>
              <w:top w:val="single" w:color="000000" w:sz="8" w:space="0"/>
              <w:left w:val="nil"/>
              <w:bottom w:val="single" w:color="000000" w:sz="8" w:space="0"/>
              <w:right w:val="single" w:color="000000" w:sz="8" w:space="0"/>
            </w:tcBorders>
            <w:shd w:val="clear" w:color="auto" w:fill="FFFFFF"/>
            <w:noWrap w:val="0"/>
            <w:vAlign w:val="center"/>
          </w:tcPr>
          <w:p>
            <w:pPr>
              <w:jc w:val="center"/>
              <w:rPr>
                <w:color w:val="auto"/>
              </w:rPr>
            </w:pP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r>
              <w:rPr>
                <w:rFonts w:hint="eastAsia"/>
                <w:color w:val="auto"/>
                <w:lang w:val="en-US" w:eastAsia="zh-CN"/>
              </w:rPr>
              <w:t>上行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0.703</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color w:val="auto"/>
              </w:rPr>
              <w:t>5</w:t>
            </w:r>
            <w:r>
              <w:rPr>
                <w:rFonts w:hint="eastAsia"/>
                <w:color w:val="auto"/>
                <w:lang w:val="en-US" w:eastAsia="zh-CN"/>
              </w:rPr>
              <w:t>1.64</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r>
              <w:rPr>
                <w:rFonts w:hint="eastAsia"/>
                <w:color w:val="auto"/>
                <w:lang w:val="en-US" w:eastAsia="zh-CN"/>
              </w:rPr>
              <w:t>下行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0.703</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51.64</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沿塘抢险河桥（</w:t>
            </w:r>
            <w:r>
              <w:rPr>
                <w:rFonts w:hint="eastAsia"/>
                <w:color w:val="auto"/>
                <w:lang w:val="en-US" w:eastAsia="zh-CN"/>
              </w:rPr>
              <w:t>上行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1.724</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63.</w:t>
            </w:r>
            <w:r>
              <w:rPr>
                <w:rFonts w:hint="eastAsia"/>
                <w:color w:val="auto"/>
                <w:lang w:val="en-US" w:eastAsia="zh-CN"/>
              </w:rPr>
              <w:t>64</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沿塘抢险河桥（</w:t>
            </w:r>
            <w:r>
              <w:rPr>
                <w:rFonts w:hint="eastAsia"/>
                <w:color w:val="auto"/>
                <w:lang w:val="en-US" w:eastAsia="zh-CN"/>
              </w:rPr>
              <w:t>下行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1.724</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63.2</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外围中心河桥（</w:t>
            </w:r>
            <w:r>
              <w:rPr>
                <w:rFonts w:hint="eastAsia"/>
                <w:color w:val="auto"/>
                <w:lang w:val="en-US" w:eastAsia="zh-CN"/>
              </w:rPr>
              <w:t>上行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3.087</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42.</w:t>
            </w:r>
            <w:r>
              <w:rPr>
                <w:rFonts w:hint="eastAsia"/>
                <w:color w:val="auto"/>
                <w:lang w:val="en-US" w:eastAsia="zh-CN"/>
              </w:rPr>
              <w:t>64</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外围中心河桥（</w:t>
            </w:r>
            <w:r>
              <w:rPr>
                <w:rFonts w:hint="eastAsia"/>
                <w:color w:val="auto"/>
                <w:lang w:val="en-US" w:eastAsia="zh-CN"/>
              </w:rPr>
              <w:t>下行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3.087</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42.8</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抢险湾桥（</w:t>
            </w:r>
            <w:r>
              <w:rPr>
                <w:rFonts w:hint="eastAsia"/>
                <w:color w:val="auto"/>
                <w:lang w:val="en-US" w:eastAsia="zh-CN"/>
              </w:rPr>
              <w:t>上行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4.101</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63.24</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抢险湾桥（</w:t>
            </w:r>
            <w:r>
              <w:rPr>
                <w:rFonts w:hint="eastAsia"/>
                <w:color w:val="auto"/>
                <w:lang w:val="en-US" w:eastAsia="zh-CN"/>
              </w:rPr>
              <w:t>下行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4.101</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63.24</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十工段直河桥（</w:t>
            </w:r>
            <w:r>
              <w:rPr>
                <w:rFonts w:hint="eastAsia"/>
                <w:color w:val="auto"/>
                <w:lang w:val="en-US" w:eastAsia="zh-CN"/>
              </w:rPr>
              <w:t>上行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5.075</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63.24</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十工段直河桥（</w:t>
            </w:r>
            <w:r>
              <w:rPr>
                <w:rFonts w:hint="eastAsia"/>
                <w:color w:val="auto"/>
                <w:lang w:val="en-US" w:eastAsia="zh-CN"/>
              </w:rPr>
              <w:t>下行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5.075</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63.24</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世纪桥（</w:t>
            </w:r>
            <w:r>
              <w:rPr>
                <w:rFonts w:hint="eastAsia"/>
                <w:color w:val="auto"/>
                <w:lang w:val="en-US" w:eastAsia="zh-CN"/>
              </w:rPr>
              <w:t>上行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5.746</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63.24</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世纪桥（</w:t>
            </w:r>
            <w:r>
              <w:rPr>
                <w:rFonts w:hint="eastAsia"/>
                <w:color w:val="auto"/>
                <w:lang w:val="en-US" w:eastAsia="zh-CN"/>
              </w:rPr>
              <w:t>下行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5.746</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63.24</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围垦桥（</w:t>
            </w:r>
            <w:r>
              <w:rPr>
                <w:rFonts w:hint="eastAsia"/>
                <w:color w:val="auto"/>
                <w:lang w:val="en-US" w:eastAsia="zh-CN"/>
              </w:rPr>
              <w:t>上行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6.926</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63.24</w:t>
            </w:r>
          </w:p>
        </w:tc>
      </w:tr>
      <w:tr>
        <w:tblPrEx>
          <w:tblCellMar>
            <w:top w:w="0" w:type="dxa"/>
            <w:left w:w="108" w:type="dxa"/>
            <w:bottom w:w="0" w:type="dxa"/>
            <w:right w:w="108" w:type="dxa"/>
          </w:tblCellMar>
        </w:tblPrEx>
        <w:trPr>
          <w:trHeight w:val="36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2412"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围垦桥（</w:t>
            </w:r>
            <w:r>
              <w:rPr>
                <w:rFonts w:hint="eastAsia"/>
                <w:color w:val="auto"/>
                <w:lang w:val="en-US" w:eastAsia="zh-CN"/>
              </w:rPr>
              <w:t>下行</w:t>
            </w:r>
            <w:r>
              <w:rPr>
                <w:rFonts w:hint="eastAsia"/>
                <w:color w:val="auto"/>
              </w:rPr>
              <w:t>）</w:t>
            </w:r>
          </w:p>
        </w:tc>
        <w:tc>
          <w:tcPr>
            <w:tcW w:w="169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6.926</w:t>
            </w:r>
          </w:p>
        </w:tc>
        <w:tc>
          <w:tcPr>
            <w:tcW w:w="777"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S217</w:t>
            </w:r>
          </w:p>
        </w:tc>
        <w:tc>
          <w:tcPr>
            <w:tcW w:w="1268"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钱磐线</w:t>
            </w:r>
          </w:p>
        </w:tc>
        <w:tc>
          <w:tcPr>
            <w:tcW w:w="1105"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63.24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15</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九工段直河桥（</w:t>
            </w:r>
            <w:r>
              <w:rPr>
                <w:rFonts w:hint="eastAsia"/>
                <w:color w:val="auto"/>
                <w:lang w:val="en-US" w:eastAsia="zh-CN"/>
              </w:rPr>
              <w:t>上行</w:t>
            </w:r>
            <w:r>
              <w:rPr>
                <w:rFonts w:hint="eastAsia"/>
                <w:color w:val="auto"/>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136.000</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43.04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16</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color w:val="auto"/>
              </w:rPr>
            </w:pPr>
            <w:r>
              <w:rPr>
                <w:rFonts w:hint="eastAsia"/>
                <w:color w:val="auto"/>
              </w:rPr>
              <w:t>九工段直河桥（</w:t>
            </w:r>
            <w:r>
              <w:rPr>
                <w:rFonts w:hint="eastAsia"/>
                <w:color w:val="auto"/>
                <w:lang w:val="en-US" w:eastAsia="zh-CN"/>
              </w:rPr>
              <w:t>下行</w:t>
            </w:r>
            <w:r>
              <w:rPr>
                <w:rFonts w:hint="eastAsia"/>
                <w:color w:val="auto"/>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s="Times New Roman"/>
                <w:color w:val="auto"/>
                <w:kern w:val="2"/>
                <w:sz w:val="21"/>
                <w:szCs w:val="24"/>
                <w:lang w:val="en-US" w:eastAsia="zh-CN" w:bidi="ar-SA"/>
              </w:rPr>
              <w:t>136.000</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lang w:eastAsia="zh-CN"/>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color w:val="auto"/>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color w:val="auto"/>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lang w:val="en-US" w:eastAsia="zh-CN"/>
              </w:rPr>
              <w:t>43.04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17</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部队分界河桥（</w:t>
            </w:r>
            <w:r>
              <w:rPr>
                <w:rFonts w:hint="eastAsia"/>
                <w:color w:val="auto"/>
                <w:lang w:val="en-US" w:eastAsia="zh-CN"/>
              </w:rPr>
              <w:t>上行</w:t>
            </w:r>
            <w:r>
              <w:rPr>
                <w:rFonts w:hint="eastAsia"/>
                <w:color w:val="auto"/>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lang w:val="en-US" w:eastAsia="zh-CN"/>
              </w:rPr>
              <w:t>139.118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大桥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color w:val="auto"/>
              </w:rPr>
              <w:t>125</w:t>
            </w:r>
            <w:r>
              <w:rPr>
                <w:rFonts w:hint="eastAsia"/>
                <w:color w:val="auto"/>
                <w:lang w:val="en-US" w:eastAsia="zh-CN"/>
              </w:rPr>
              <w:t>.8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18</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color w:val="auto"/>
              </w:rPr>
            </w:pPr>
            <w:r>
              <w:rPr>
                <w:rFonts w:hint="eastAsia"/>
                <w:color w:val="auto"/>
              </w:rPr>
              <w:t>部队分界河桥（</w:t>
            </w:r>
            <w:r>
              <w:rPr>
                <w:rFonts w:hint="eastAsia"/>
                <w:color w:val="auto"/>
                <w:lang w:val="en-US" w:eastAsia="zh-CN"/>
              </w:rPr>
              <w:t>下行</w:t>
            </w:r>
            <w:r>
              <w:rPr>
                <w:rFonts w:hint="eastAsia"/>
                <w:color w:val="auto"/>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hint="default" w:eastAsia="宋体"/>
                <w:color w:val="auto"/>
                <w:lang w:val="en-US" w:eastAsia="zh-CN"/>
              </w:rPr>
            </w:pPr>
            <w:r>
              <w:rPr>
                <w:rFonts w:hint="eastAsia"/>
                <w:color w:val="auto"/>
                <w:lang w:val="en-US" w:eastAsia="zh-CN"/>
              </w:rPr>
              <w:t>139.118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lang w:eastAsia="zh-CN"/>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color w:val="auto"/>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color w:val="auto"/>
              </w:rPr>
            </w:pPr>
            <w:r>
              <w:rPr>
                <w:rFonts w:hint="eastAsia"/>
                <w:color w:val="auto"/>
              </w:rPr>
              <w:t>大桥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hint="default" w:eastAsia="宋体"/>
                <w:color w:val="auto"/>
                <w:lang w:val="en-US" w:eastAsia="zh-CN"/>
              </w:rPr>
            </w:pPr>
            <w:r>
              <w:rPr>
                <w:rFonts w:hint="eastAsia"/>
                <w:color w:val="auto"/>
                <w:lang w:val="en-US" w:eastAsia="zh-CN"/>
              </w:rPr>
              <w:t>100.8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梅林湾桥</w:t>
            </w:r>
            <w:r>
              <w:rPr>
                <w:rFonts w:hint="eastAsia"/>
                <w:color w:val="auto"/>
                <w:lang w:val="en-US" w:eastAsia="zh-CN"/>
              </w:rPr>
              <w:t xml:space="preserve">  </w:t>
            </w:r>
            <w:r>
              <w:rPr>
                <w:rFonts w:hint="eastAsia"/>
                <w:color w:val="auto"/>
              </w:rPr>
              <w:t>（</w:t>
            </w:r>
            <w:r>
              <w:rPr>
                <w:rFonts w:hint="eastAsia"/>
                <w:color w:val="auto"/>
                <w:lang w:val="en-US" w:eastAsia="zh-CN"/>
              </w:rPr>
              <w:t>上行</w:t>
            </w:r>
            <w:r>
              <w:rPr>
                <w:rFonts w:hint="eastAsia"/>
                <w:color w:val="auto"/>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lang w:val="en-US" w:eastAsia="zh-CN"/>
              </w:rPr>
              <w:t>139.208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43</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20</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color w:val="auto"/>
              </w:rPr>
            </w:pPr>
            <w:r>
              <w:rPr>
                <w:rFonts w:hint="eastAsia"/>
                <w:color w:val="auto"/>
              </w:rPr>
              <w:t>梅林湾桥</w:t>
            </w:r>
            <w:r>
              <w:rPr>
                <w:rFonts w:hint="eastAsia"/>
                <w:color w:val="auto"/>
                <w:lang w:val="en-US" w:eastAsia="zh-CN"/>
              </w:rPr>
              <w:t xml:space="preserve">  </w:t>
            </w:r>
            <w:r>
              <w:rPr>
                <w:rFonts w:hint="eastAsia"/>
                <w:color w:val="auto"/>
              </w:rPr>
              <w:t>（</w:t>
            </w:r>
            <w:r>
              <w:rPr>
                <w:rFonts w:hint="eastAsia"/>
                <w:color w:val="auto"/>
                <w:lang w:val="en-US" w:eastAsia="zh-CN"/>
              </w:rPr>
              <w:t>下行</w:t>
            </w:r>
            <w:r>
              <w:rPr>
                <w:rFonts w:hint="eastAsia"/>
                <w:color w:val="auto"/>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hint="default" w:eastAsia="宋体"/>
                <w:color w:val="auto"/>
                <w:lang w:val="en-US" w:eastAsia="zh-CN"/>
              </w:rPr>
            </w:pPr>
            <w:r>
              <w:rPr>
                <w:rFonts w:hint="eastAsia"/>
                <w:color w:val="auto"/>
                <w:lang w:val="en-US" w:eastAsia="zh-CN"/>
              </w:rPr>
              <w:t>139.208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lang w:eastAsia="zh-CN"/>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color w:val="auto"/>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color w:val="auto"/>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hint="default" w:eastAsia="宋体"/>
                <w:color w:val="auto"/>
                <w:lang w:val="en-US" w:eastAsia="zh-CN"/>
              </w:rPr>
            </w:pPr>
            <w:r>
              <w:rPr>
                <w:rFonts w:hint="eastAsia"/>
                <w:color w:val="auto"/>
                <w:lang w:val="en-US" w:eastAsia="zh-CN"/>
              </w:rPr>
              <w:t>43</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长凌湾桥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141.475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72</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生产湾桥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145.160</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30</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小泗埠直河桥</w:t>
            </w:r>
            <w:r>
              <w:rPr>
                <w:rFonts w:hint="eastAsia"/>
                <w:color w:val="auto"/>
                <w:lang w:eastAsia="zh-CN"/>
              </w:rPr>
              <w:t>（</w:t>
            </w:r>
            <w:r>
              <w:rPr>
                <w:rFonts w:hint="eastAsia"/>
                <w:color w:val="auto"/>
                <w:lang w:val="en-US" w:eastAsia="zh-CN"/>
              </w:rPr>
              <w:t>上行</w:t>
            </w:r>
            <w:r>
              <w:rPr>
                <w:rFonts w:hint="eastAsia"/>
                <w:color w:val="auto"/>
                <w:lang w:eastAsia="zh-CN"/>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146.147</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31</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小泗埠直河桥</w:t>
            </w:r>
            <w:r>
              <w:rPr>
                <w:rFonts w:hint="eastAsia"/>
                <w:color w:val="auto"/>
                <w:lang w:eastAsia="zh-CN"/>
              </w:rPr>
              <w:t>（</w:t>
            </w:r>
            <w:r>
              <w:rPr>
                <w:rFonts w:hint="eastAsia"/>
                <w:color w:val="auto"/>
                <w:lang w:val="en-US" w:eastAsia="zh-CN"/>
              </w:rPr>
              <w:t>下行</w:t>
            </w:r>
            <w:r>
              <w:rPr>
                <w:rFonts w:hint="eastAsia"/>
                <w:color w:val="auto"/>
                <w:lang w:eastAsia="zh-CN"/>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146.147</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31</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城隍庙直湾桥</w:t>
            </w:r>
            <w:r>
              <w:rPr>
                <w:rFonts w:hint="eastAsia"/>
                <w:color w:val="auto"/>
                <w:lang w:eastAsia="zh-CN"/>
              </w:rPr>
              <w:t>（</w:t>
            </w:r>
            <w:r>
              <w:rPr>
                <w:rFonts w:hint="eastAsia"/>
                <w:color w:val="auto"/>
                <w:lang w:val="en-US" w:eastAsia="zh-CN"/>
              </w:rPr>
              <w:t>上行</w:t>
            </w:r>
            <w:r>
              <w:rPr>
                <w:rFonts w:hint="eastAsia"/>
                <w:color w:val="auto"/>
                <w:lang w:eastAsia="zh-CN"/>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148.947</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36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城隍庙直湾桥</w:t>
            </w:r>
            <w:r>
              <w:rPr>
                <w:rFonts w:hint="eastAsia"/>
                <w:color w:val="auto"/>
                <w:lang w:eastAsia="zh-CN"/>
              </w:rPr>
              <w:t>（</w:t>
            </w:r>
            <w:r>
              <w:rPr>
                <w:rFonts w:hint="eastAsia"/>
                <w:color w:val="auto"/>
                <w:lang w:val="en-US" w:eastAsia="zh-CN"/>
              </w:rPr>
              <w:t>下行</w:t>
            </w:r>
            <w:r>
              <w:rPr>
                <w:rFonts w:hint="eastAsia"/>
                <w:color w:val="auto"/>
                <w:lang w:eastAsia="zh-CN"/>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148.947</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36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横岔路直湾桥</w:t>
            </w:r>
            <w:r>
              <w:rPr>
                <w:rFonts w:hint="eastAsia"/>
                <w:color w:val="auto"/>
                <w:lang w:eastAsia="zh-CN"/>
              </w:rPr>
              <w:t>（</w:t>
            </w:r>
            <w:r>
              <w:rPr>
                <w:rFonts w:hint="eastAsia"/>
                <w:color w:val="auto"/>
                <w:lang w:val="en-US" w:eastAsia="zh-CN"/>
              </w:rPr>
              <w:t>上行</w:t>
            </w:r>
            <w:r>
              <w:rPr>
                <w:rFonts w:hint="eastAsia"/>
                <w:color w:val="auto"/>
                <w:lang w:eastAsia="zh-CN"/>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150.203</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31</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横岔路直湾桥</w:t>
            </w:r>
            <w:r>
              <w:rPr>
                <w:rFonts w:hint="eastAsia"/>
                <w:color w:val="auto"/>
                <w:lang w:eastAsia="zh-CN"/>
              </w:rPr>
              <w:t>（</w:t>
            </w:r>
            <w:r>
              <w:rPr>
                <w:rFonts w:hint="eastAsia"/>
                <w:color w:val="auto"/>
                <w:lang w:val="en-US" w:eastAsia="zh-CN"/>
              </w:rPr>
              <w:t>下行</w:t>
            </w:r>
            <w:r>
              <w:rPr>
                <w:rFonts w:hint="eastAsia"/>
                <w:color w:val="auto"/>
                <w:lang w:eastAsia="zh-CN"/>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150.203</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S306</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镇萧线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31</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29</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建设河桥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21.424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eastAsia="宋体"/>
                <w:color w:val="auto"/>
                <w:lang w:eastAsia="zh-CN"/>
              </w:rPr>
            </w:pPr>
            <w:r>
              <w:rPr>
                <w:color w:val="auto"/>
              </w:rPr>
              <w:t>X102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塘新线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26.8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30</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河庄桥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22.712</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eastAsia="宋体"/>
                <w:color w:val="auto"/>
                <w:lang w:eastAsia="zh-CN"/>
              </w:rPr>
            </w:pPr>
            <w:r>
              <w:rPr>
                <w:color w:val="auto"/>
              </w:rPr>
              <w:t>X102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塘新线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42.9</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31</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西小湾桥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24.993</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eastAsia="宋体"/>
                <w:color w:val="auto"/>
                <w:lang w:eastAsia="zh-CN"/>
              </w:rPr>
            </w:pPr>
            <w:r>
              <w:rPr>
                <w:color w:val="auto"/>
              </w:rPr>
              <w:t>X102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塘新线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20.6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32</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头蓬平桥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25.724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hint="eastAsia" w:eastAsia="宋体"/>
                <w:color w:val="auto"/>
                <w:lang w:eastAsia="zh-CN"/>
              </w:rPr>
            </w:pPr>
            <w:r>
              <w:rPr>
                <w:color w:val="auto"/>
              </w:rPr>
              <w:t>X102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塘新线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10.8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33</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四工段排涝闸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9.406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17.7</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34</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四工段小闸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10.006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10.6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35</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六二闸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15.724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10.7</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36</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六工段排涝闸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15.887</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24.5</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37</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六一闸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16.29</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10.4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38</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八二闸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20.247</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10.4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39</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八工段闸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20.911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27.3</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40</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八一桥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21.3</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39.4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41</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eastAsia="宋体"/>
                <w:color w:val="auto"/>
                <w:lang w:eastAsia="zh-CN"/>
              </w:rPr>
            </w:pPr>
            <w:r>
              <w:rPr>
                <w:rFonts w:hint="eastAsia"/>
                <w:color w:val="auto"/>
              </w:rPr>
              <w:t>九工段</w:t>
            </w:r>
            <w:r>
              <w:rPr>
                <w:rFonts w:hint="eastAsia"/>
                <w:color w:val="auto"/>
                <w:lang w:eastAsia="zh-CN"/>
              </w:rPr>
              <w:t>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23.746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49</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42</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十工段一号桥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26.161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43</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43</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十工段节制闸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26.642</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10.5</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44</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后十一工段闸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29.539</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15.2</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45</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前十一工段桥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31.024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49</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46</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十二工段桥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32.9</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观十五线与左十四线交界处</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42.6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47</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十七工段节制二闸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34.556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19</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48</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十七工段节制闸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35.916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10.8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49</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十七工段排涝闸</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36.015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10.6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50</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惠民桥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38.28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X111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观十五线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color w:val="auto"/>
              </w:rPr>
            </w:pPr>
            <w:r>
              <w:rPr>
                <w:color w:val="auto"/>
              </w:rPr>
              <w:t>49</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51</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宏伟桥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1.018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头十一线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24.6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52</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宏图桥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3.835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头十一线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28.6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53</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红垦三桥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2.556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头十一线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33.4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54</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三号闸桥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5.106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头十一线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33.6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55</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前进桥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7.9</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头十一线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30.4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56</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中心桥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9.011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头十一线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30.2</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57</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抢险桥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10.498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头十一线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37.8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58</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新镇桥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0.05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义南线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28.8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59</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长红桥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2.19</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义南线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24.6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60</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桑家桥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3.354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义南线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22.6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61</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丁坝桥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0.04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X114</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军八线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42.6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62</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义盛桥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9.698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X117</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青外线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35.4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63</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义隆桥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10.471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X117</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青外线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33</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64</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头蓬桥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15.662</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X117</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青外线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34.8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65</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头蓬一号桥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16.805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X117</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青外线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16.5</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66</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内六工段桥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21.555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X117</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青外线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40</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67</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外六工段节制闸桥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23.44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X117</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青外线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10.4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68</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河西桥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7.96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33.6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69</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河庄桥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9.284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29</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70</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蜀南闸桥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11.933</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14.6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71</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小泗埠桥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13.865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72</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头蓬闸桥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15.95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21.6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73</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抢险闸桥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19.808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20.8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74</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红星桥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21.659</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34.8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75</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军民桥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22.211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25.8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76</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一号桥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25.055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35.8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77</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联合桥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27.78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40</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78</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十二工段东桥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28.319</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39.6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79</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十三工段桥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30.686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X123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左十四线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39.6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80</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河中桥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3.61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X130</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长五线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37</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81</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群建桥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6.451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X130</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长五线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82</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五工段桥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10.747</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X130</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长五线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13</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83</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共新桥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10.823</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X131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琉新线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33.6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84</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麻纺厂桥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12.715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X131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琉新线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12</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85</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新湾桥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13.611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X131</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琉新线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34.6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86</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北江桥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16.574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X140</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信益线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40</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87</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蜜蜂桥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6.804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横一线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31</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88</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金星村桥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9.83</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横一线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40</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89</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头蓬桥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11.886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横一线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48.8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90</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横河二桥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13.325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横一线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40</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91</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光明二垦直河桥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13.769</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横一线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31</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92</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一号桥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14.644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X143</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横一线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56.5</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93</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新城桥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8.95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X144</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河庄路</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40</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94</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河庄桥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6.098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X144</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河庄路</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37.8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95</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蓬园横河桥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3.209</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X144</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河庄路</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96</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长红横河桥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2.471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X144</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河庄路</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12</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97</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义南横河桥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2.012</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X144</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河庄路</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大桥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105</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98</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梅林湾大桥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11.293</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X145</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梅农线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大桥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281</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99</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永王桥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12.742</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X145</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梅农线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39.8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100</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农垦一桥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13.356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X145</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梅农线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16.8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101</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十三工段横河桥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13.994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X145</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梅农线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39.8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102</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北横河桥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16.348</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X145</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梅农线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39.8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103</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大桥（</w:t>
            </w:r>
            <w:r>
              <w:rPr>
                <w:rFonts w:hint="eastAsia"/>
                <w:color w:val="auto"/>
                <w:lang w:val="en-US" w:eastAsia="zh-CN"/>
              </w:rPr>
              <w:t>上行</w:t>
            </w:r>
            <w:r>
              <w:rPr>
                <w:rFonts w:hint="eastAsia"/>
                <w:color w:val="auto"/>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16.892</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X150</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江东大道</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大桥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206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104</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大桥（</w:t>
            </w:r>
            <w:r>
              <w:rPr>
                <w:rFonts w:hint="eastAsia"/>
                <w:color w:val="auto"/>
                <w:lang w:val="en-US" w:eastAsia="zh-CN"/>
              </w:rPr>
              <w:t>下行</w:t>
            </w:r>
            <w:r>
              <w:rPr>
                <w:rFonts w:hint="eastAsia"/>
                <w:color w:val="auto"/>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16.892</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X150</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江东大道</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大桥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206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105</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九工段直河桥</w:t>
            </w:r>
            <w:r>
              <w:rPr>
                <w:rFonts w:hint="eastAsia"/>
                <w:color w:val="auto"/>
                <w:lang w:eastAsia="zh-CN"/>
              </w:rPr>
              <w:t>（</w:t>
            </w:r>
            <w:r>
              <w:rPr>
                <w:rFonts w:hint="eastAsia"/>
                <w:color w:val="auto"/>
                <w:lang w:val="en-US" w:eastAsia="zh-CN"/>
              </w:rPr>
              <w:t>上行</w:t>
            </w:r>
            <w:r>
              <w:rPr>
                <w:rFonts w:hint="eastAsia"/>
                <w:color w:val="auto"/>
                <w:lang w:eastAsia="zh-CN"/>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19.71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X150</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江东大道</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61</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106</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九工段直河桥（</w:t>
            </w:r>
            <w:r>
              <w:rPr>
                <w:rFonts w:hint="eastAsia"/>
                <w:color w:val="auto"/>
                <w:lang w:val="en-US" w:eastAsia="zh-CN"/>
              </w:rPr>
              <w:t>下行</w:t>
            </w:r>
            <w:r>
              <w:rPr>
                <w:rFonts w:hint="eastAsia"/>
                <w:color w:val="auto"/>
              </w:rPr>
              <w:t>）</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19.71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X150</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江东大道</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61</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107</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0.776</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X158</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新湾支线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22.54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108</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rPr>
              <w:t>宏图横桥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1.794</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X158</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新湾支线</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36.54</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109</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十工段小闸桥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1.55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Y1</w:t>
            </w:r>
            <w:r>
              <w:rPr>
                <w:rFonts w:hint="eastAsia"/>
                <w:color w:val="auto"/>
              </w:rPr>
              <w:t>29</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内十工段到外十工段</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7</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110</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外十工段桥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3.11</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Y1</w:t>
            </w:r>
            <w:r>
              <w:rPr>
                <w:rFonts w:hint="eastAsia"/>
                <w:color w:val="auto"/>
              </w:rPr>
              <w:t>29</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内十工段到外十工段</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11</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111</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十八工段节制排涝闸桥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3.29</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Y1</w:t>
            </w:r>
            <w:r>
              <w:rPr>
                <w:rFonts w:hint="eastAsia"/>
                <w:color w:val="auto"/>
              </w:rPr>
              <w:t>30</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内十七工段到外十八工段</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小桥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18</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112</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十七工段桥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1.85</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Y1</w:t>
            </w:r>
            <w:r>
              <w:rPr>
                <w:rFonts w:hint="eastAsia"/>
                <w:color w:val="auto"/>
              </w:rPr>
              <w:t>32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内十七工段到外十七工段</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45</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113</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外十七桥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3.03</w:t>
            </w: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Y1</w:t>
            </w:r>
            <w:r>
              <w:rPr>
                <w:rFonts w:hint="eastAsia"/>
                <w:color w:val="auto"/>
              </w:rPr>
              <w:t>32</w:t>
            </w: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内十七工段到外十七工段</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color w:val="auto"/>
              </w:rPr>
              <w:t>46</w:t>
            </w:r>
          </w:p>
        </w:tc>
      </w:tr>
      <w:tr>
        <w:tblPrEx>
          <w:tblCellMar>
            <w:top w:w="0" w:type="dxa"/>
            <w:left w:w="108" w:type="dxa"/>
            <w:bottom w:w="0" w:type="dxa"/>
            <w:right w:w="108" w:type="dxa"/>
          </w:tblCellMar>
        </w:tblPrEx>
        <w:trPr>
          <w:trHeight w:val="363" w:hRule="atLeast"/>
        </w:trPr>
        <w:tc>
          <w:tcPr>
            <w:tcW w:w="576"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000000"/>
                <w:kern w:val="0"/>
                <w:sz w:val="24"/>
                <w:szCs w:val="24"/>
                <w:u w:val="none"/>
                <w:lang w:val="en-US" w:eastAsia="zh-CN" w:bidi="ar"/>
              </w:rPr>
              <w:t>114</w:t>
            </w:r>
          </w:p>
        </w:tc>
        <w:tc>
          <w:tcPr>
            <w:tcW w:w="2412"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生产湾桥</w:t>
            </w:r>
          </w:p>
        </w:tc>
        <w:tc>
          <w:tcPr>
            <w:tcW w:w="169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p>
        </w:tc>
        <w:tc>
          <w:tcPr>
            <w:tcW w:w="777"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p>
        </w:tc>
        <w:tc>
          <w:tcPr>
            <w:tcW w:w="1268"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艮山东路</w:t>
            </w:r>
          </w:p>
        </w:tc>
        <w:tc>
          <w:tcPr>
            <w:tcW w:w="1105"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中桥</w:t>
            </w:r>
          </w:p>
        </w:tc>
        <w:tc>
          <w:tcPr>
            <w:tcW w:w="811" w:type="dxa"/>
            <w:tcBorders>
              <w:top w:val="nil"/>
              <w:left w:val="nil"/>
              <w:bottom w:val="single" w:color="000000" w:sz="8" w:space="0"/>
              <w:right w:val="single" w:color="000000" w:sz="8" w:space="0"/>
            </w:tcBorders>
            <w:shd w:val="clear" w:color="auto" w:fill="FFFFFF"/>
            <w:noWrap w:val="0"/>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81</w:t>
            </w:r>
          </w:p>
        </w:tc>
      </w:tr>
      <w:tr>
        <w:tblPrEx>
          <w:tblCellMar>
            <w:top w:w="0" w:type="dxa"/>
            <w:left w:w="108" w:type="dxa"/>
            <w:bottom w:w="0" w:type="dxa"/>
            <w:right w:w="108" w:type="dxa"/>
          </w:tblCellMar>
        </w:tblPrEx>
        <w:trPr>
          <w:trHeight w:val="363" w:hRule="atLeast"/>
        </w:trPr>
        <w:tc>
          <w:tcPr>
            <w:tcW w:w="8640" w:type="dxa"/>
            <w:gridSpan w:val="7"/>
            <w:tcBorders>
              <w:top w:val="nil"/>
              <w:left w:val="single" w:color="000000" w:sz="8" w:space="0"/>
              <w:bottom w:val="single" w:color="000000" w:sz="8" w:space="0"/>
              <w:right w:val="single" w:color="000000" w:sz="8" w:space="0"/>
            </w:tcBorders>
            <w:shd w:val="clear" w:color="auto" w:fill="FFFFFF"/>
            <w:noWrap w:val="0"/>
            <w:vAlign w:val="center"/>
          </w:tcPr>
          <w:p>
            <w:pPr>
              <w:jc w:val="center"/>
              <w:rPr>
                <w:color w:val="auto"/>
              </w:rPr>
            </w:pPr>
            <w:r>
              <w:rPr>
                <w:rFonts w:hint="eastAsia"/>
                <w:color w:val="auto"/>
              </w:rPr>
              <w:t xml:space="preserve">合计：小桥 </w:t>
            </w:r>
            <w:r>
              <w:rPr>
                <w:color w:val="auto"/>
              </w:rPr>
              <w:t>4</w:t>
            </w:r>
            <w:r>
              <w:rPr>
                <w:rFonts w:hint="eastAsia"/>
                <w:color w:val="auto"/>
                <w:lang w:val="en-US" w:eastAsia="zh-CN"/>
              </w:rPr>
              <w:t>1</w:t>
            </w:r>
            <w:r>
              <w:rPr>
                <w:color w:val="auto"/>
              </w:rPr>
              <w:t xml:space="preserve"> </w:t>
            </w:r>
            <w:r>
              <w:rPr>
                <w:rFonts w:hint="eastAsia"/>
                <w:color w:val="auto"/>
              </w:rPr>
              <w:t xml:space="preserve">座，中桥 </w:t>
            </w:r>
            <w:r>
              <w:rPr>
                <w:color w:val="auto"/>
              </w:rPr>
              <w:t>6</w:t>
            </w:r>
            <w:r>
              <w:rPr>
                <w:rFonts w:hint="eastAsia"/>
                <w:color w:val="auto"/>
                <w:lang w:val="en-US" w:eastAsia="zh-CN"/>
              </w:rPr>
              <w:t>7</w:t>
            </w:r>
            <w:r>
              <w:rPr>
                <w:color w:val="auto"/>
              </w:rPr>
              <w:t xml:space="preserve"> </w:t>
            </w:r>
            <w:r>
              <w:rPr>
                <w:rFonts w:hint="eastAsia"/>
                <w:color w:val="auto"/>
              </w:rPr>
              <w:t xml:space="preserve">座，大桥 </w:t>
            </w:r>
            <w:r>
              <w:rPr>
                <w:rFonts w:hint="eastAsia"/>
                <w:color w:val="auto"/>
                <w:lang w:val="en-US" w:eastAsia="zh-CN"/>
              </w:rPr>
              <w:t>6</w:t>
            </w:r>
            <w:r>
              <w:rPr>
                <w:color w:val="auto"/>
              </w:rPr>
              <w:t xml:space="preserve"> </w:t>
            </w:r>
            <w:r>
              <w:rPr>
                <w:rFonts w:hint="eastAsia"/>
                <w:color w:val="auto"/>
              </w:rPr>
              <w:t>座。</w:t>
            </w:r>
          </w:p>
        </w:tc>
      </w:tr>
    </w:tbl>
    <w:p>
      <w:pPr>
        <w:spacing w:line="360" w:lineRule="auto"/>
        <w:ind w:firstLine="420" w:firstLineChars="200"/>
        <w:jc w:val="center"/>
        <w:rPr>
          <w:rFonts w:hint="eastAsia"/>
          <w:color w:val="auto"/>
          <w:lang w:val="en-US" w:eastAsia="zh-CN"/>
        </w:rPr>
      </w:pPr>
    </w:p>
    <w:p>
      <w:pPr>
        <w:jc w:val="center"/>
        <w:rPr>
          <w:rFonts w:hint="default" w:ascii="Times New Roman" w:hAnsi="Times New Roman" w:eastAsia="宋体" w:cs="Times New Roman"/>
          <w:b/>
          <w:color w:val="auto"/>
          <w:sz w:val="28"/>
          <w:highlight w:val="none"/>
          <w:lang w:val="en-US" w:eastAsia="zh-CN"/>
        </w:rPr>
      </w:pPr>
      <w:r>
        <w:rPr>
          <w:rFonts w:hint="eastAsia" w:ascii="Times New Roman" w:hAnsi="Times New Roman" w:eastAsia="宋体" w:cs="Times New Roman"/>
          <w:b/>
          <w:color w:val="auto"/>
          <w:sz w:val="28"/>
          <w:highlight w:val="none"/>
          <w:lang w:val="en-US" w:eastAsia="zh-CN"/>
        </w:rPr>
        <w:t>项目基本情况表</w:t>
      </w:r>
    </w:p>
    <w:tbl>
      <w:tblPr>
        <w:tblStyle w:val="15"/>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41"/>
        <w:gridCol w:w="2205"/>
        <w:gridCol w:w="1326"/>
        <w:gridCol w:w="1299"/>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6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14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0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3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计量单位</w:t>
            </w:r>
          </w:p>
        </w:tc>
        <w:tc>
          <w:tcPr>
            <w:tcW w:w="129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78"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最高</w:t>
            </w:r>
            <w:r>
              <w:rPr>
                <w:rFonts w:hint="eastAsia" w:ascii="宋体" w:hAnsi="宋体" w:cs="宋体"/>
                <w:b/>
                <w:color w:val="auto"/>
                <w:sz w:val="24"/>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69"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41" w:type="dxa"/>
            <w:vMerge w:val="restar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路况检测</w:t>
            </w:r>
          </w:p>
        </w:tc>
        <w:tc>
          <w:tcPr>
            <w:tcW w:w="220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2"/>
                <w:szCs w:val="22"/>
                <w:highlight w:val="none"/>
                <w:u w:val="none"/>
                <w:lang w:val="en-US" w:eastAsia="zh-CN" w:bidi="ar"/>
              </w:rPr>
              <w:t>路面病害调查</w:t>
            </w:r>
          </w:p>
        </w:tc>
        <w:tc>
          <w:tcPr>
            <w:tcW w:w="1326"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2"/>
                <w:szCs w:val="22"/>
                <w:highlight w:val="none"/>
              </w:rPr>
              <w:t>车道公里</w:t>
            </w:r>
          </w:p>
        </w:tc>
        <w:tc>
          <w:tcPr>
            <w:tcW w:w="1299" w:type="dxa"/>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2"/>
                <w:szCs w:val="22"/>
                <w:highlight w:val="none"/>
                <w:u w:val="none"/>
                <w:lang w:val="en-US" w:eastAsia="zh-CN" w:bidi="ar"/>
              </w:rPr>
              <w:t>533.614</w:t>
            </w:r>
          </w:p>
        </w:tc>
        <w:tc>
          <w:tcPr>
            <w:tcW w:w="1578" w:type="dxa"/>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9" w:type="dxa"/>
            <w:vMerge w:val="continue"/>
            <w:vAlign w:val="center"/>
          </w:tcPr>
          <w:p>
            <w:pPr>
              <w:spacing w:line="360" w:lineRule="auto"/>
              <w:jc w:val="center"/>
              <w:rPr>
                <w:rFonts w:ascii="宋体" w:hAnsi="宋体" w:cs="宋体"/>
                <w:color w:val="auto"/>
                <w:szCs w:val="21"/>
                <w:highlight w:val="none"/>
              </w:rPr>
            </w:pPr>
          </w:p>
        </w:tc>
        <w:tc>
          <w:tcPr>
            <w:tcW w:w="1141" w:type="dxa"/>
            <w:vMerge w:val="continue"/>
            <w:vAlign w:val="center"/>
          </w:tcPr>
          <w:p>
            <w:pPr>
              <w:snapToGrid w:val="0"/>
              <w:spacing w:line="360" w:lineRule="auto"/>
              <w:jc w:val="center"/>
              <w:rPr>
                <w:rFonts w:ascii="宋体" w:hAnsi="宋体" w:cs="宋体"/>
                <w:color w:val="auto"/>
                <w:szCs w:val="21"/>
                <w:highlight w:val="none"/>
              </w:rPr>
            </w:pPr>
          </w:p>
        </w:tc>
        <w:tc>
          <w:tcPr>
            <w:tcW w:w="220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2"/>
                <w:szCs w:val="22"/>
                <w:highlight w:val="none"/>
                <w:u w:val="none"/>
                <w:lang w:val="en-US" w:eastAsia="zh-CN" w:bidi="ar"/>
              </w:rPr>
              <w:t>路面平整度（激光平整度仪）</w:t>
            </w:r>
          </w:p>
        </w:tc>
        <w:tc>
          <w:tcPr>
            <w:tcW w:w="1326"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2"/>
                <w:szCs w:val="22"/>
                <w:highlight w:val="none"/>
              </w:rPr>
              <w:t>车道公里</w:t>
            </w:r>
          </w:p>
        </w:tc>
        <w:tc>
          <w:tcPr>
            <w:tcW w:w="1299" w:type="dxa"/>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2"/>
                <w:szCs w:val="22"/>
                <w:highlight w:val="none"/>
                <w:u w:val="none"/>
                <w:lang w:val="en-US" w:eastAsia="zh-CN" w:bidi="ar"/>
              </w:rPr>
              <w:t>533.614</w:t>
            </w:r>
          </w:p>
        </w:tc>
        <w:tc>
          <w:tcPr>
            <w:tcW w:w="1578" w:type="dxa"/>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4"/>
                <w:szCs w:val="24"/>
                <w:highlight w:val="none"/>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69" w:type="dxa"/>
            <w:vMerge w:val="continue"/>
            <w:vAlign w:val="center"/>
          </w:tcPr>
          <w:p>
            <w:pPr>
              <w:spacing w:line="360" w:lineRule="auto"/>
              <w:jc w:val="center"/>
              <w:rPr>
                <w:rFonts w:ascii="宋体" w:hAnsi="宋体" w:cs="宋体"/>
                <w:color w:val="auto"/>
                <w:szCs w:val="21"/>
                <w:highlight w:val="none"/>
              </w:rPr>
            </w:pPr>
          </w:p>
        </w:tc>
        <w:tc>
          <w:tcPr>
            <w:tcW w:w="1141" w:type="dxa"/>
            <w:vMerge w:val="continue"/>
            <w:vAlign w:val="center"/>
          </w:tcPr>
          <w:p>
            <w:pPr>
              <w:snapToGrid w:val="0"/>
              <w:spacing w:line="360" w:lineRule="auto"/>
              <w:jc w:val="center"/>
              <w:rPr>
                <w:rFonts w:ascii="宋体" w:hAnsi="宋体" w:cs="宋体"/>
                <w:color w:val="auto"/>
                <w:szCs w:val="21"/>
                <w:highlight w:val="none"/>
              </w:rPr>
            </w:pPr>
          </w:p>
        </w:tc>
        <w:tc>
          <w:tcPr>
            <w:tcW w:w="220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2"/>
                <w:szCs w:val="22"/>
                <w:highlight w:val="none"/>
                <w:u w:val="none"/>
                <w:lang w:val="en-US" w:eastAsia="zh-CN" w:bidi="ar"/>
              </w:rPr>
              <w:t>路面车辙及构造深度（激光车辙、构造深度仪）</w:t>
            </w:r>
          </w:p>
        </w:tc>
        <w:tc>
          <w:tcPr>
            <w:tcW w:w="1326"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2"/>
                <w:szCs w:val="22"/>
                <w:highlight w:val="none"/>
              </w:rPr>
              <w:t>车道公里</w:t>
            </w:r>
          </w:p>
        </w:tc>
        <w:tc>
          <w:tcPr>
            <w:tcW w:w="1299" w:type="dxa"/>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2"/>
                <w:szCs w:val="22"/>
                <w:highlight w:val="none"/>
                <w:u w:val="none"/>
                <w:lang w:val="en-US" w:eastAsia="zh-CN" w:bidi="ar"/>
              </w:rPr>
              <w:t>131.468</w:t>
            </w:r>
          </w:p>
        </w:tc>
        <w:tc>
          <w:tcPr>
            <w:tcW w:w="1578" w:type="dxa"/>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9" w:type="dxa"/>
            <w:vMerge w:val="continue"/>
            <w:vAlign w:val="center"/>
          </w:tcPr>
          <w:p>
            <w:pPr>
              <w:spacing w:line="360" w:lineRule="auto"/>
              <w:jc w:val="center"/>
              <w:rPr>
                <w:rFonts w:ascii="宋体" w:hAnsi="宋体" w:cs="宋体"/>
                <w:color w:val="auto"/>
                <w:szCs w:val="21"/>
                <w:highlight w:val="none"/>
              </w:rPr>
            </w:pPr>
          </w:p>
        </w:tc>
        <w:tc>
          <w:tcPr>
            <w:tcW w:w="1141" w:type="dxa"/>
            <w:vMerge w:val="continue"/>
            <w:vAlign w:val="center"/>
          </w:tcPr>
          <w:p>
            <w:pPr>
              <w:snapToGrid w:val="0"/>
              <w:spacing w:line="360" w:lineRule="auto"/>
              <w:jc w:val="center"/>
              <w:rPr>
                <w:rFonts w:ascii="宋体" w:hAnsi="宋体" w:cs="宋体"/>
                <w:color w:val="auto"/>
                <w:szCs w:val="21"/>
                <w:highlight w:val="none"/>
              </w:rPr>
            </w:pPr>
          </w:p>
        </w:tc>
        <w:tc>
          <w:tcPr>
            <w:tcW w:w="220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2"/>
                <w:szCs w:val="22"/>
                <w:highlight w:val="none"/>
                <w:u w:val="none"/>
                <w:lang w:val="en-US" w:eastAsia="zh-CN" w:bidi="ar"/>
              </w:rPr>
              <w:t>路面摩擦系数（横向力系数测试车）</w:t>
            </w:r>
          </w:p>
        </w:tc>
        <w:tc>
          <w:tcPr>
            <w:tcW w:w="1326"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2"/>
                <w:szCs w:val="22"/>
                <w:highlight w:val="none"/>
              </w:rPr>
              <w:t>车道公里</w:t>
            </w:r>
          </w:p>
        </w:tc>
        <w:tc>
          <w:tcPr>
            <w:tcW w:w="1299" w:type="dxa"/>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2"/>
                <w:szCs w:val="22"/>
                <w:highlight w:val="none"/>
                <w:u w:val="none"/>
                <w:lang w:val="en-US" w:eastAsia="zh-CN" w:bidi="ar"/>
              </w:rPr>
              <w:t>131.468</w:t>
            </w:r>
          </w:p>
        </w:tc>
        <w:tc>
          <w:tcPr>
            <w:tcW w:w="1578" w:type="dxa"/>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9" w:type="dxa"/>
            <w:vMerge w:val="continue"/>
            <w:vAlign w:val="center"/>
          </w:tcPr>
          <w:p>
            <w:pPr>
              <w:spacing w:line="360" w:lineRule="auto"/>
              <w:jc w:val="center"/>
              <w:rPr>
                <w:rFonts w:ascii="宋体" w:hAnsi="宋体" w:cs="宋体"/>
                <w:color w:val="auto"/>
                <w:szCs w:val="21"/>
                <w:highlight w:val="none"/>
              </w:rPr>
            </w:pPr>
          </w:p>
        </w:tc>
        <w:tc>
          <w:tcPr>
            <w:tcW w:w="1141" w:type="dxa"/>
            <w:vMerge w:val="continue"/>
            <w:vAlign w:val="center"/>
          </w:tcPr>
          <w:p>
            <w:pPr>
              <w:snapToGrid w:val="0"/>
              <w:spacing w:line="360" w:lineRule="auto"/>
              <w:jc w:val="center"/>
              <w:rPr>
                <w:rFonts w:ascii="宋体" w:hAnsi="宋体" w:cs="宋体"/>
                <w:color w:val="auto"/>
                <w:szCs w:val="21"/>
                <w:highlight w:val="none"/>
              </w:rPr>
            </w:pPr>
          </w:p>
        </w:tc>
        <w:tc>
          <w:tcPr>
            <w:tcW w:w="220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2"/>
                <w:szCs w:val="22"/>
                <w:highlight w:val="none"/>
                <w:u w:val="none"/>
                <w:lang w:val="en-US" w:eastAsia="zh-CN" w:bidi="ar"/>
              </w:rPr>
              <w:t>弯沉（自动弯沉仪）</w:t>
            </w:r>
          </w:p>
        </w:tc>
        <w:tc>
          <w:tcPr>
            <w:tcW w:w="1326"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2"/>
                <w:szCs w:val="22"/>
                <w:highlight w:val="none"/>
              </w:rPr>
              <w:t>车道公里</w:t>
            </w:r>
          </w:p>
        </w:tc>
        <w:tc>
          <w:tcPr>
            <w:tcW w:w="1299" w:type="dxa"/>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2"/>
                <w:szCs w:val="22"/>
                <w:highlight w:val="none"/>
                <w:u w:val="none"/>
                <w:lang w:val="en-US" w:eastAsia="zh-CN" w:bidi="ar"/>
              </w:rPr>
              <w:t>533.614</w:t>
            </w:r>
          </w:p>
        </w:tc>
        <w:tc>
          <w:tcPr>
            <w:tcW w:w="1578" w:type="dxa"/>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9" w:type="dxa"/>
            <w:vMerge w:val="restart"/>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141" w:type="dxa"/>
            <w:vMerge w:val="restar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桥梁经常检查</w:t>
            </w:r>
          </w:p>
        </w:tc>
        <w:tc>
          <w:tcPr>
            <w:tcW w:w="220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2"/>
                <w:szCs w:val="22"/>
                <w:highlight w:val="none"/>
                <w:u w:val="none"/>
                <w:lang w:val="en-US" w:eastAsia="zh-CN" w:bidi="ar"/>
              </w:rPr>
              <w:t>小桥</w:t>
            </w:r>
          </w:p>
        </w:tc>
        <w:tc>
          <w:tcPr>
            <w:tcW w:w="1326"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Cs w:val="21"/>
                <w:highlight w:val="none"/>
              </w:rPr>
              <w:t>座</w:t>
            </w:r>
          </w:p>
        </w:tc>
        <w:tc>
          <w:tcPr>
            <w:tcW w:w="1299" w:type="dxa"/>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578" w:type="dxa"/>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9" w:type="dxa"/>
            <w:vMerge w:val="continue"/>
            <w:vAlign w:val="center"/>
          </w:tcPr>
          <w:p>
            <w:pPr>
              <w:spacing w:line="360" w:lineRule="auto"/>
              <w:jc w:val="center"/>
              <w:rPr>
                <w:rFonts w:hint="eastAsia" w:ascii="宋体" w:hAnsi="宋体" w:cs="宋体"/>
                <w:color w:val="auto"/>
                <w:szCs w:val="21"/>
                <w:highlight w:val="none"/>
                <w:lang w:val="en-US" w:eastAsia="zh-CN"/>
              </w:rPr>
            </w:pPr>
          </w:p>
        </w:tc>
        <w:tc>
          <w:tcPr>
            <w:tcW w:w="1141" w:type="dxa"/>
            <w:vMerge w:val="continue"/>
            <w:vAlign w:val="center"/>
          </w:tcPr>
          <w:p>
            <w:pPr>
              <w:snapToGrid w:val="0"/>
              <w:spacing w:line="360" w:lineRule="auto"/>
              <w:jc w:val="center"/>
              <w:rPr>
                <w:rFonts w:hint="eastAsia" w:ascii="宋体" w:hAnsi="宋体" w:cs="宋体"/>
                <w:color w:val="auto"/>
                <w:szCs w:val="21"/>
                <w:highlight w:val="none"/>
              </w:rPr>
            </w:pPr>
          </w:p>
        </w:tc>
        <w:tc>
          <w:tcPr>
            <w:tcW w:w="2205" w:type="dxa"/>
            <w:vAlign w:val="center"/>
          </w:tcPr>
          <w:p>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中桥</w:t>
            </w:r>
          </w:p>
        </w:tc>
        <w:tc>
          <w:tcPr>
            <w:tcW w:w="1326" w:type="dxa"/>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座</w:t>
            </w:r>
          </w:p>
        </w:tc>
        <w:tc>
          <w:tcPr>
            <w:tcW w:w="1299" w:type="dxa"/>
            <w:vAlign w:val="center"/>
          </w:tcPr>
          <w:p>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1578" w:type="dxa"/>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9" w:type="dxa"/>
            <w:vMerge w:val="continue"/>
            <w:vAlign w:val="center"/>
          </w:tcPr>
          <w:p>
            <w:pPr>
              <w:spacing w:line="360" w:lineRule="auto"/>
              <w:jc w:val="center"/>
              <w:rPr>
                <w:rFonts w:hint="eastAsia" w:ascii="宋体" w:hAnsi="宋体" w:cs="宋体"/>
                <w:color w:val="auto"/>
                <w:szCs w:val="21"/>
                <w:highlight w:val="none"/>
                <w:lang w:val="en-US" w:eastAsia="zh-CN"/>
              </w:rPr>
            </w:pPr>
          </w:p>
        </w:tc>
        <w:tc>
          <w:tcPr>
            <w:tcW w:w="1141" w:type="dxa"/>
            <w:vMerge w:val="continue"/>
            <w:vAlign w:val="center"/>
          </w:tcPr>
          <w:p>
            <w:pPr>
              <w:snapToGrid w:val="0"/>
              <w:spacing w:line="360" w:lineRule="auto"/>
              <w:jc w:val="center"/>
              <w:rPr>
                <w:rFonts w:hint="eastAsia" w:ascii="宋体" w:hAnsi="宋体" w:cs="宋体"/>
                <w:color w:val="auto"/>
                <w:szCs w:val="21"/>
                <w:highlight w:val="none"/>
              </w:rPr>
            </w:pPr>
          </w:p>
        </w:tc>
        <w:tc>
          <w:tcPr>
            <w:tcW w:w="2205" w:type="dxa"/>
            <w:vAlign w:val="center"/>
          </w:tcPr>
          <w:p>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大桥</w:t>
            </w:r>
          </w:p>
        </w:tc>
        <w:tc>
          <w:tcPr>
            <w:tcW w:w="1326" w:type="dxa"/>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座</w:t>
            </w:r>
          </w:p>
        </w:tc>
        <w:tc>
          <w:tcPr>
            <w:tcW w:w="1299" w:type="dxa"/>
            <w:vAlign w:val="center"/>
          </w:tcPr>
          <w:p>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78" w:type="dxa"/>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3783</w:t>
            </w:r>
          </w:p>
        </w:tc>
      </w:tr>
    </w:tbl>
    <w:p>
      <w:pPr>
        <w:rPr>
          <w:rFonts w:hint="default" w:ascii="Times New Roman" w:hAnsi="宋体" w:eastAsia="宋体" w:cs="Times New Roman"/>
          <w:b/>
          <w:color w:val="auto"/>
          <w:kern w:val="0"/>
          <w:sz w:val="24"/>
          <w:szCs w:val="24"/>
          <w:highlight w:val="none"/>
          <w:lang w:val="en-US" w:eastAsia="zh-CN"/>
        </w:rPr>
      </w:pPr>
      <w:r>
        <w:rPr>
          <w:rFonts w:hint="eastAsia" w:hAnsi="宋体" w:cs="Times New Roman"/>
          <w:b/>
          <w:color w:val="auto"/>
          <w:kern w:val="0"/>
          <w:sz w:val="24"/>
          <w:szCs w:val="24"/>
          <w:highlight w:val="none"/>
          <w:lang w:val="en-US" w:eastAsia="zh-CN"/>
        </w:rPr>
        <w:t>注：报价超过最高单价的作投标无效处理。</w:t>
      </w:r>
    </w:p>
    <w:p>
      <w:pPr>
        <w:keepNext/>
        <w:keepLines/>
        <w:snapToGrid w:val="0"/>
        <w:spacing w:before="260" w:after="260" w:line="360" w:lineRule="auto"/>
        <w:outlineLvl w:val="1"/>
        <w:rPr>
          <w:rFonts w:ascii="Times New Roman" w:hAnsi="宋体" w:eastAsia="宋体" w:cs="Times New Roman"/>
          <w:b/>
          <w:color w:val="auto"/>
          <w:kern w:val="0"/>
          <w:sz w:val="24"/>
          <w:szCs w:val="24"/>
          <w:highlight w:val="none"/>
        </w:rPr>
      </w:pPr>
      <w:r>
        <w:rPr>
          <w:rFonts w:hint="eastAsia" w:ascii="Times New Roman" w:hAnsi="宋体" w:eastAsia="宋体" w:cs="Times New Roman"/>
          <w:b/>
          <w:color w:val="auto"/>
          <w:kern w:val="0"/>
          <w:sz w:val="24"/>
          <w:szCs w:val="24"/>
          <w:highlight w:val="none"/>
        </w:rPr>
        <w:t>二、服务期限</w:t>
      </w:r>
    </w:p>
    <w:p>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本次项目服务期限：一年。其中</w:t>
      </w:r>
      <w:r>
        <w:rPr>
          <w:rFonts w:hint="eastAsia" w:cs="Times New Roman"/>
          <w:color w:val="auto"/>
          <w:szCs w:val="24"/>
          <w:highlight w:val="none"/>
          <w:lang w:eastAsia="zh-CN"/>
        </w:rPr>
        <w:t>路况检测为期4个月</w:t>
      </w:r>
      <w:r>
        <w:rPr>
          <w:rFonts w:hint="eastAsia" w:ascii="Times New Roman" w:hAnsi="Times New Roman" w:eastAsia="宋体" w:cs="Times New Roman"/>
          <w:color w:val="auto"/>
          <w:szCs w:val="24"/>
          <w:highlight w:val="none"/>
        </w:rPr>
        <w:t>，桥梁经常检查为期1年。</w:t>
      </w:r>
    </w:p>
    <w:p>
      <w:pPr>
        <w:keepNext/>
        <w:keepLines/>
        <w:snapToGrid w:val="0"/>
        <w:spacing w:before="260" w:after="260" w:line="360" w:lineRule="auto"/>
        <w:outlineLvl w:val="1"/>
        <w:rPr>
          <w:rFonts w:ascii="Times New Roman" w:hAnsi="宋体" w:eastAsia="宋体" w:cs="Times New Roman"/>
          <w:b/>
          <w:color w:val="auto"/>
          <w:kern w:val="0"/>
          <w:sz w:val="24"/>
          <w:szCs w:val="24"/>
          <w:highlight w:val="none"/>
        </w:rPr>
      </w:pPr>
      <w:r>
        <w:rPr>
          <w:rFonts w:hint="eastAsia" w:ascii="Times New Roman" w:hAnsi="宋体" w:eastAsia="宋体" w:cs="Times New Roman"/>
          <w:b/>
          <w:color w:val="auto"/>
          <w:kern w:val="0"/>
          <w:sz w:val="24"/>
          <w:szCs w:val="24"/>
          <w:highlight w:val="none"/>
        </w:rPr>
        <w:t>三、服务内容：</w:t>
      </w:r>
    </w:p>
    <w:p>
      <w:pPr>
        <w:kinsoku w:val="0"/>
        <w:overflowPunct w:val="0"/>
        <w:autoSpaceDE w:val="0"/>
        <w:autoSpaceDN w:val="0"/>
        <w:adjustRightInd w:val="0"/>
        <w:snapToGrid w:val="0"/>
        <w:spacing w:line="520" w:lineRule="exact"/>
        <w:ind w:firstLine="420" w:firstLineChars="200"/>
        <w:rPr>
          <w:rFonts w:ascii="Times New Roman" w:hAnsi="Times New Roman" w:eastAsia="宋体" w:cs="Times New Roman"/>
          <w:color w:val="auto"/>
          <w:szCs w:val="24"/>
          <w:highlight w:val="none"/>
        </w:rPr>
      </w:pPr>
      <w:r>
        <w:rPr>
          <w:rFonts w:hint="eastAsia" w:ascii="宋体" w:hAnsi="宋体" w:eastAsia="宋体" w:cs="Times New Roman"/>
          <w:color w:val="auto"/>
          <w:szCs w:val="24"/>
          <w:highlight w:val="none"/>
        </w:rPr>
        <w:t>①</w:t>
      </w:r>
      <w:r>
        <w:rPr>
          <w:rFonts w:hint="eastAsia" w:ascii="Times New Roman" w:hAnsi="Times New Roman" w:eastAsia="宋体" w:cs="Times New Roman"/>
          <w:color w:val="auto"/>
          <w:szCs w:val="24"/>
          <w:highlight w:val="none"/>
        </w:rPr>
        <w:t>公路路况检测内容为：1. 检测公路路面损坏PCI、路面平整度RQI、路面车辙RDI、路面结构强度PSSI、路基技术状况SCI、沿线设施技术状况TCI（SCI、TCI调查由路面病害调查时顺带调查）。2. 编制各条道路路况检测分析与评价报告。</w:t>
      </w:r>
    </w:p>
    <w:p>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Times New Roman"/>
          <w:color w:val="auto"/>
          <w:szCs w:val="24"/>
          <w:highlight w:val="none"/>
        </w:rPr>
        <w:t>②桥梁经常检查内容为：按照</w:t>
      </w:r>
      <w:r>
        <w:rPr>
          <w:rFonts w:ascii="宋体" w:hAnsi="宋体" w:eastAsia="宋体" w:cs="Times New Roman"/>
          <w:color w:val="auto"/>
          <w:szCs w:val="24"/>
          <w:highlight w:val="none"/>
        </w:rPr>
        <w:t>JTG 5120-2021《公路桥涵养护规范》P5-6页要求对辖养桥梁进行经常检查，每月5号之前上报上月桥梁经常检查记录表及月度总结，并提出桥梁养护维修或加固建议方案等。</w:t>
      </w:r>
    </w:p>
    <w:p>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成果报告</w:t>
      </w:r>
      <w:r>
        <w:rPr>
          <w:rFonts w:ascii="Times New Roman" w:hAnsi="Times New Roman" w:eastAsia="宋体" w:cs="Times New Roman"/>
          <w:color w:val="auto"/>
          <w:szCs w:val="24"/>
          <w:highlight w:val="none"/>
        </w:rPr>
        <w:t>：</w:t>
      </w:r>
    </w:p>
    <w:p>
      <w:pPr>
        <w:kinsoku w:val="0"/>
        <w:overflowPunct w:val="0"/>
        <w:autoSpaceDE w:val="0"/>
        <w:autoSpaceDN w:val="0"/>
        <w:adjustRightInd w:val="0"/>
        <w:snapToGrid w:val="0"/>
        <w:spacing w:line="520" w:lineRule="exact"/>
        <w:ind w:firstLine="525" w:firstLineChars="25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1、成果要求：</w:t>
      </w:r>
    </w:p>
    <w:p>
      <w:pPr>
        <w:kinsoku w:val="0"/>
        <w:overflowPunct w:val="0"/>
        <w:autoSpaceDE w:val="0"/>
        <w:autoSpaceDN w:val="0"/>
        <w:adjustRightInd w:val="0"/>
        <w:snapToGrid w:val="0"/>
        <w:spacing w:line="520" w:lineRule="exact"/>
        <w:ind w:firstLine="525" w:firstLineChars="25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1）公路路况检测：路况检测分析与评价报告（纸质报告一式五份，可编辑电子资料一份），成果组成：</w:t>
      </w:r>
      <w:r>
        <w:rPr>
          <w:rFonts w:hint="eastAsia" w:ascii="宋体" w:hAnsi="宋体" w:eastAsia="宋体" w:cs="宋体"/>
          <w:color w:val="auto"/>
          <w:szCs w:val="24"/>
          <w:highlight w:val="none"/>
        </w:rPr>
        <w:t>①</w:t>
      </w:r>
      <w:r>
        <w:rPr>
          <w:rFonts w:ascii="Times New Roman" w:hAnsi="Times New Roman" w:eastAsia="宋体" w:cs="Times New Roman"/>
          <w:color w:val="auto"/>
          <w:szCs w:val="24"/>
          <w:highlight w:val="none"/>
        </w:rPr>
        <w:t>工程概况，介绍公路的基本情况，检测时间、地点、方法、依据，使用仪器设备名称、规格，检测工作量。</w:t>
      </w:r>
      <w:r>
        <w:rPr>
          <w:rFonts w:hint="eastAsia" w:ascii="宋体" w:hAnsi="宋体" w:eastAsia="宋体" w:cs="宋体"/>
          <w:color w:val="auto"/>
          <w:szCs w:val="24"/>
          <w:highlight w:val="none"/>
        </w:rPr>
        <w:t>②</w:t>
      </w:r>
      <w:r>
        <w:rPr>
          <w:rFonts w:ascii="Times New Roman" w:hAnsi="Times New Roman" w:eastAsia="宋体" w:cs="Times New Roman"/>
          <w:color w:val="auto"/>
          <w:szCs w:val="24"/>
          <w:highlight w:val="none"/>
        </w:rPr>
        <w:t>检测数据信息。</w:t>
      </w:r>
      <w:r>
        <w:rPr>
          <w:rFonts w:hint="eastAsia" w:ascii="宋体" w:hAnsi="宋体" w:eastAsia="宋体" w:cs="宋体"/>
          <w:color w:val="auto"/>
          <w:szCs w:val="24"/>
          <w:highlight w:val="none"/>
        </w:rPr>
        <w:t>③</w:t>
      </w:r>
      <w:r>
        <w:rPr>
          <w:rFonts w:ascii="Times New Roman" w:hAnsi="Times New Roman" w:eastAsia="宋体" w:cs="Times New Roman"/>
          <w:color w:val="auto"/>
          <w:szCs w:val="24"/>
          <w:highlight w:val="none"/>
        </w:rPr>
        <w:t>公路的检测状况（配有现场图片、典型病害图片与说明）及数据分析。</w:t>
      </w:r>
      <w:r>
        <w:rPr>
          <w:rFonts w:hint="eastAsia" w:ascii="宋体" w:hAnsi="宋体" w:eastAsia="宋体" w:cs="宋体"/>
          <w:color w:val="auto"/>
          <w:szCs w:val="24"/>
          <w:highlight w:val="none"/>
        </w:rPr>
        <w:t>④</w:t>
      </w:r>
      <w:r>
        <w:rPr>
          <w:rFonts w:ascii="Times New Roman" w:hAnsi="Times New Roman" w:eastAsia="宋体" w:cs="Times New Roman"/>
          <w:color w:val="auto"/>
          <w:szCs w:val="24"/>
          <w:highlight w:val="none"/>
        </w:rPr>
        <w:t>按公里统计各道路PQI、SCI、TCI分值，评定技术状况等级。</w:t>
      </w:r>
      <w:r>
        <w:rPr>
          <w:rFonts w:hint="eastAsia" w:ascii="宋体" w:hAnsi="宋体" w:eastAsia="宋体" w:cs="宋体"/>
          <w:color w:val="auto"/>
          <w:szCs w:val="24"/>
          <w:highlight w:val="none"/>
        </w:rPr>
        <w:t>⑤</w:t>
      </w:r>
      <w:r>
        <w:rPr>
          <w:rFonts w:ascii="Times New Roman" w:hAnsi="Times New Roman" w:eastAsia="宋体" w:cs="Times New Roman"/>
          <w:color w:val="auto"/>
          <w:szCs w:val="24"/>
          <w:highlight w:val="none"/>
        </w:rPr>
        <w:t>按照《公路技术状况评定标准》JTG 5210-2018附录“表A-8”格式统计MQI及分项指标的优、良、中、次、差的长度及比例，“表A-7”格式统计指标明细。</w:t>
      </w:r>
      <w:r>
        <w:rPr>
          <w:rFonts w:hint="eastAsia" w:ascii="宋体" w:hAnsi="宋体" w:eastAsia="宋体" w:cs="宋体"/>
          <w:color w:val="auto"/>
          <w:szCs w:val="24"/>
          <w:highlight w:val="none"/>
        </w:rPr>
        <w:t>⑥</w:t>
      </w:r>
      <w:r>
        <w:rPr>
          <w:rFonts w:ascii="Times New Roman" w:hAnsi="Times New Roman" w:eastAsia="宋体" w:cs="Times New Roman"/>
          <w:color w:val="auto"/>
          <w:szCs w:val="24"/>
          <w:highlight w:val="none"/>
        </w:rPr>
        <w:t>根据检查与检测结</w:t>
      </w:r>
      <w:r>
        <w:rPr>
          <w:rFonts w:hint="eastAsia" w:ascii="Times New Roman" w:hAnsi="Times New Roman" w:eastAsia="宋体" w:cs="Times New Roman"/>
          <w:color w:val="auto"/>
          <w:szCs w:val="24"/>
          <w:highlight w:val="none"/>
        </w:rPr>
        <w:t>果作出评定结论，分析路况病害原因，提出小修保养、中修或大修的维修建议。</w:t>
      </w:r>
    </w:p>
    <w:p>
      <w:pPr>
        <w:kinsoku w:val="0"/>
        <w:overflowPunct w:val="0"/>
        <w:autoSpaceDE w:val="0"/>
        <w:autoSpaceDN w:val="0"/>
        <w:adjustRightInd w:val="0"/>
        <w:snapToGrid w:val="0"/>
        <w:spacing w:line="520" w:lineRule="exact"/>
        <w:ind w:firstLine="525" w:firstLineChars="25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2）桥梁经常性检查：按照《公路桥涵养护规范》JTG 5120-2021附录D格式编制每月桥梁经常检查记录表。</w:t>
      </w:r>
    </w:p>
    <w:p>
      <w:pPr>
        <w:kinsoku w:val="0"/>
        <w:overflowPunct w:val="0"/>
        <w:autoSpaceDE w:val="0"/>
        <w:autoSpaceDN w:val="0"/>
        <w:adjustRightInd w:val="0"/>
        <w:snapToGrid w:val="0"/>
        <w:spacing w:line="520" w:lineRule="exact"/>
        <w:ind w:firstLine="525" w:firstLineChars="250"/>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3</w:t>
      </w:r>
      <w:r>
        <w:rPr>
          <w:rFonts w:hint="eastAsia" w:ascii="Times New Roman" w:hAnsi="Times New Roman" w:eastAsia="宋体" w:cs="Times New Roman"/>
          <w:color w:val="auto"/>
          <w:szCs w:val="24"/>
          <w:highlight w:val="none"/>
          <w:lang w:eastAsia="zh-CN"/>
        </w:rPr>
        <w:t>）</w:t>
      </w:r>
      <w:r>
        <w:rPr>
          <w:rFonts w:hint="eastAsia" w:cs="Times New Roman"/>
          <w:color w:val="auto"/>
          <w:szCs w:val="24"/>
          <w:highlight w:val="none"/>
          <w:lang w:val="en-US" w:eastAsia="zh-CN"/>
        </w:rPr>
        <w:t>合同期到期前完成桥梁年度报告。</w:t>
      </w:r>
    </w:p>
    <w:p>
      <w:pPr>
        <w:kinsoku w:val="0"/>
        <w:overflowPunct w:val="0"/>
        <w:autoSpaceDE w:val="0"/>
        <w:autoSpaceDN w:val="0"/>
        <w:adjustRightInd w:val="0"/>
        <w:snapToGrid w:val="0"/>
        <w:spacing w:line="520" w:lineRule="exact"/>
        <w:ind w:firstLine="525" w:firstLineChars="25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2、合同签订并在项目业主发出指令的期限内，分别提交各成果报告；</w:t>
      </w:r>
    </w:p>
    <w:p>
      <w:pPr>
        <w:kinsoku w:val="0"/>
        <w:overflowPunct w:val="0"/>
        <w:autoSpaceDE w:val="0"/>
        <w:autoSpaceDN w:val="0"/>
        <w:adjustRightInd w:val="0"/>
        <w:snapToGrid w:val="0"/>
        <w:spacing w:line="520" w:lineRule="exact"/>
        <w:ind w:firstLine="525" w:firstLineChars="25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3、收到项目业主审查意见后7天内，对各成果报告进行修改完善，提交报告报告最终稿。</w:t>
      </w:r>
    </w:p>
    <w:p>
      <w:pPr>
        <w:keepNext/>
        <w:keepLines/>
        <w:snapToGrid w:val="0"/>
        <w:spacing w:before="260" w:after="260" w:line="360" w:lineRule="auto"/>
        <w:outlineLvl w:val="1"/>
        <w:rPr>
          <w:rFonts w:ascii="Times New Roman" w:hAnsi="宋体" w:eastAsia="宋体" w:cs="Times New Roman"/>
          <w:b/>
          <w:color w:val="auto"/>
          <w:kern w:val="0"/>
          <w:sz w:val="24"/>
          <w:szCs w:val="24"/>
          <w:highlight w:val="none"/>
        </w:rPr>
      </w:pPr>
      <w:r>
        <w:rPr>
          <w:rFonts w:hint="eastAsia" w:ascii="Times New Roman" w:hAnsi="宋体" w:eastAsia="宋体" w:cs="Times New Roman"/>
          <w:b/>
          <w:color w:val="auto"/>
          <w:kern w:val="0"/>
          <w:sz w:val="24"/>
          <w:szCs w:val="24"/>
          <w:highlight w:val="none"/>
        </w:rPr>
        <w:t>四、人员要求</w:t>
      </w:r>
    </w:p>
    <w:tbl>
      <w:tblPr>
        <w:tblStyle w:val="15"/>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1153"/>
        <w:gridCol w:w="728"/>
        <w:gridCol w:w="6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96" w:hRule="atLeast"/>
        </w:trPr>
        <w:tc>
          <w:tcPr>
            <w:tcW w:w="1153" w:type="dxa"/>
            <w:vAlign w:val="center"/>
          </w:tcPr>
          <w:p>
            <w:pPr>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人员</w:t>
            </w:r>
          </w:p>
        </w:tc>
        <w:tc>
          <w:tcPr>
            <w:tcW w:w="728"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人数</w:t>
            </w:r>
          </w:p>
        </w:tc>
        <w:tc>
          <w:tcPr>
            <w:tcW w:w="6733" w:type="dxa"/>
            <w:vAlign w:val="center"/>
          </w:tcPr>
          <w:p>
            <w:pPr>
              <w:ind w:firstLine="420" w:firstLineChars="200"/>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055" w:hRule="atLeast"/>
        </w:trPr>
        <w:tc>
          <w:tcPr>
            <w:tcW w:w="1153"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项目负责人</w:t>
            </w:r>
          </w:p>
        </w:tc>
        <w:tc>
          <w:tcPr>
            <w:tcW w:w="728"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1</w:t>
            </w:r>
          </w:p>
        </w:tc>
        <w:tc>
          <w:tcPr>
            <w:tcW w:w="6733" w:type="dxa"/>
            <w:vAlign w:val="center"/>
          </w:tcPr>
          <w:p>
            <w:pPr>
              <w:spacing w:line="360" w:lineRule="exact"/>
              <w:ind w:firstLine="420" w:firstLineChars="200"/>
              <w:rPr>
                <w:rFonts w:ascii="Calibri" w:hAnsi="Calibri"/>
                <w:color w:val="auto"/>
                <w:szCs w:val="21"/>
              </w:rPr>
            </w:pPr>
            <w:r>
              <w:rPr>
                <w:rFonts w:hint="eastAsia" w:ascii="Calibri" w:hAnsi="Calibri"/>
                <w:color w:val="auto"/>
                <w:szCs w:val="21"/>
              </w:rPr>
              <w:t>（</w:t>
            </w:r>
            <w:r>
              <w:rPr>
                <w:rFonts w:ascii="Calibri" w:hAnsi="Calibri"/>
                <w:color w:val="auto"/>
                <w:szCs w:val="21"/>
              </w:rPr>
              <w:t>1</w:t>
            </w:r>
            <w:r>
              <w:rPr>
                <w:rFonts w:hint="eastAsia" w:ascii="Calibri" w:hAnsi="Calibri"/>
                <w:color w:val="auto"/>
                <w:szCs w:val="21"/>
              </w:rPr>
              <w:t>）工程师及以上技术职称，具有交通运输部</w:t>
            </w:r>
            <w:r>
              <w:rPr>
                <w:rFonts w:ascii="Calibri" w:hAnsi="Calibri"/>
                <w:color w:val="auto"/>
                <w:szCs w:val="21"/>
              </w:rPr>
              <w:t>(</w:t>
            </w:r>
            <w:r>
              <w:rPr>
                <w:rFonts w:hint="eastAsia" w:ascii="Calibri" w:hAnsi="Calibri"/>
                <w:color w:val="auto"/>
                <w:szCs w:val="21"/>
              </w:rPr>
              <w:t>或交通部</w:t>
            </w:r>
            <w:r>
              <w:rPr>
                <w:rFonts w:ascii="Calibri" w:hAnsi="Calibri"/>
                <w:color w:val="auto"/>
                <w:szCs w:val="21"/>
              </w:rPr>
              <w:t>)</w:t>
            </w:r>
            <w:r>
              <w:rPr>
                <w:rFonts w:hint="eastAsia" w:ascii="Calibri" w:hAnsi="Calibri"/>
                <w:color w:val="auto"/>
                <w:szCs w:val="21"/>
              </w:rPr>
              <w:t>质监机构颁发的公路工程试验检测工程师（检测专业类别包含公路、桥梁）资格证书；</w:t>
            </w:r>
          </w:p>
          <w:p>
            <w:pPr>
              <w:spacing w:line="360" w:lineRule="exact"/>
              <w:ind w:firstLine="420" w:firstLineChars="200"/>
              <w:rPr>
                <w:rFonts w:ascii="Calibri" w:hAnsi="Calibri" w:eastAsia="宋体" w:cs="Times New Roman"/>
                <w:color w:val="auto"/>
                <w:szCs w:val="21"/>
                <w:highlight w:val="none"/>
              </w:rPr>
            </w:pPr>
            <w:r>
              <w:rPr>
                <w:rFonts w:hint="eastAsia" w:ascii="Calibri" w:hAnsi="Calibri"/>
                <w:color w:val="auto"/>
                <w:szCs w:val="21"/>
              </w:rPr>
              <w:t>（</w:t>
            </w:r>
            <w:r>
              <w:rPr>
                <w:rFonts w:ascii="Calibri" w:hAnsi="Calibri"/>
                <w:color w:val="auto"/>
                <w:szCs w:val="21"/>
              </w:rPr>
              <w:t>2</w:t>
            </w:r>
            <w:r>
              <w:rPr>
                <w:rFonts w:hint="eastAsia" w:ascii="Calibri" w:hAnsi="Calibri"/>
                <w:color w:val="auto"/>
                <w:szCs w:val="21"/>
              </w:rPr>
              <w:t>）在</w:t>
            </w:r>
            <w:r>
              <w:rPr>
                <w:rFonts w:ascii="Calibri" w:hAnsi="Calibri"/>
                <w:color w:val="auto"/>
                <w:szCs w:val="21"/>
              </w:rPr>
              <w:t>1</w:t>
            </w:r>
            <w:r>
              <w:rPr>
                <w:rFonts w:hint="eastAsia" w:ascii="Calibri" w:hAnsi="Calibri"/>
                <w:color w:val="auto"/>
                <w:szCs w:val="21"/>
              </w:rPr>
              <w:t>个及以上路面路况检测或桥梁检测项目中担任过类似职务；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815" w:hRule="atLeast"/>
        </w:trPr>
        <w:tc>
          <w:tcPr>
            <w:tcW w:w="1153"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技术负责人</w:t>
            </w:r>
          </w:p>
        </w:tc>
        <w:tc>
          <w:tcPr>
            <w:tcW w:w="728"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1</w:t>
            </w:r>
          </w:p>
        </w:tc>
        <w:tc>
          <w:tcPr>
            <w:tcW w:w="6733" w:type="dxa"/>
            <w:vAlign w:val="center"/>
          </w:tcPr>
          <w:p>
            <w:pPr>
              <w:spacing w:line="360" w:lineRule="exact"/>
              <w:ind w:firstLine="420" w:firstLineChars="200"/>
              <w:rPr>
                <w:rFonts w:ascii="Calibri" w:hAnsi="Calibri"/>
                <w:color w:val="auto"/>
                <w:szCs w:val="21"/>
              </w:rPr>
            </w:pPr>
            <w:r>
              <w:rPr>
                <w:rFonts w:hint="eastAsia" w:ascii="Calibri" w:hAnsi="Calibri"/>
                <w:color w:val="auto"/>
                <w:szCs w:val="21"/>
              </w:rPr>
              <w:t>（</w:t>
            </w:r>
            <w:r>
              <w:rPr>
                <w:rFonts w:ascii="Calibri" w:hAnsi="Calibri"/>
                <w:color w:val="auto"/>
                <w:szCs w:val="21"/>
              </w:rPr>
              <w:t>1</w:t>
            </w:r>
            <w:r>
              <w:rPr>
                <w:rFonts w:hint="eastAsia" w:ascii="Calibri" w:hAnsi="Calibri"/>
                <w:color w:val="auto"/>
                <w:szCs w:val="21"/>
              </w:rPr>
              <w:t>）工程师及以上技术职称，具有交通运输部</w:t>
            </w:r>
            <w:r>
              <w:rPr>
                <w:rFonts w:ascii="Calibri" w:hAnsi="Calibri"/>
                <w:color w:val="auto"/>
                <w:szCs w:val="21"/>
              </w:rPr>
              <w:t>(</w:t>
            </w:r>
            <w:r>
              <w:rPr>
                <w:rFonts w:hint="eastAsia" w:ascii="Calibri" w:hAnsi="Calibri"/>
                <w:color w:val="auto"/>
                <w:szCs w:val="21"/>
              </w:rPr>
              <w:t>或交通部</w:t>
            </w:r>
            <w:r>
              <w:rPr>
                <w:rFonts w:ascii="Calibri" w:hAnsi="Calibri"/>
                <w:color w:val="auto"/>
                <w:szCs w:val="21"/>
              </w:rPr>
              <w:t>)</w:t>
            </w:r>
            <w:r>
              <w:rPr>
                <w:rFonts w:hint="eastAsia" w:ascii="Calibri" w:hAnsi="Calibri"/>
                <w:color w:val="auto"/>
                <w:szCs w:val="21"/>
              </w:rPr>
              <w:t>质监机构颁发的公路工程试验检测工程师（检测专业类别包含公路、桥梁）资格证书；</w:t>
            </w:r>
          </w:p>
          <w:p>
            <w:pPr>
              <w:spacing w:line="360" w:lineRule="exact"/>
              <w:ind w:firstLine="420" w:firstLineChars="200"/>
              <w:rPr>
                <w:rFonts w:ascii="Calibri" w:hAnsi="Calibri" w:eastAsia="宋体" w:cs="Times New Roman"/>
                <w:color w:val="auto"/>
                <w:szCs w:val="21"/>
                <w:highlight w:val="none"/>
              </w:rPr>
            </w:pPr>
            <w:r>
              <w:rPr>
                <w:rFonts w:hint="eastAsia" w:ascii="Calibri" w:hAnsi="Calibri"/>
                <w:color w:val="auto"/>
                <w:szCs w:val="21"/>
              </w:rPr>
              <w:t>（</w:t>
            </w:r>
            <w:r>
              <w:rPr>
                <w:rFonts w:ascii="Calibri" w:hAnsi="Calibri"/>
                <w:color w:val="auto"/>
                <w:szCs w:val="21"/>
              </w:rPr>
              <w:t>2</w:t>
            </w:r>
            <w:r>
              <w:rPr>
                <w:rFonts w:hint="eastAsia" w:ascii="Calibri" w:hAnsi="Calibri"/>
                <w:color w:val="auto"/>
                <w:szCs w:val="21"/>
              </w:rPr>
              <w:t>）在</w:t>
            </w:r>
            <w:r>
              <w:rPr>
                <w:rFonts w:ascii="Calibri" w:hAnsi="Calibri"/>
                <w:color w:val="auto"/>
                <w:szCs w:val="21"/>
              </w:rPr>
              <w:t>1</w:t>
            </w:r>
            <w:r>
              <w:rPr>
                <w:rFonts w:hint="eastAsia" w:ascii="Calibri" w:hAnsi="Calibri"/>
                <w:color w:val="auto"/>
                <w:szCs w:val="21"/>
              </w:rPr>
              <w:t>个及以上路面路况检测或桥梁检测项目中担任过类似职务；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968" w:hRule="atLeast"/>
        </w:trPr>
        <w:tc>
          <w:tcPr>
            <w:tcW w:w="1153"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试验检测工程师</w:t>
            </w:r>
          </w:p>
        </w:tc>
        <w:tc>
          <w:tcPr>
            <w:tcW w:w="728"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2</w:t>
            </w:r>
          </w:p>
        </w:tc>
        <w:tc>
          <w:tcPr>
            <w:tcW w:w="6733" w:type="dxa"/>
            <w:vAlign w:val="center"/>
          </w:tcPr>
          <w:p>
            <w:pPr>
              <w:ind w:firstLine="420" w:firstLineChars="200"/>
              <w:jc w:val="left"/>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工程师及以上技术职称，具有交通运输部(或交通部)质监机构颁发的公路工程试验检测工程师资格证书；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550" w:hRule="atLeast"/>
        </w:trPr>
        <w:tc>
          <w:tcPr>
            <w:tcW w:w="1153"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试验检测</w:t>
            </w:r>
          </w:p>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人员</w:t>
            </w:r>
          </w:p>
        </w:tc>
        <w:tc>
          <w:tcPr>
            <w:tcW w:w="728"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6人及以上</w:t>
            </w:r>
          </w:p>
        </w:tc>
        <w:tc>
          <w:tcPr>
            <w:tcW w:w="6733" w:type="dxa"/>
            <w:vAlign w:val="center"/>
          </w:tcPr>
          <w:p>
            <w:pPr>
              <w:ind w:firstLine="420" w:firstLineChars="200"/>
              <w:jc w:val="left"/>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初级及以上技术职称，具有交通运输部(或交通部)质监机构颁发的公</w:t>
            </w:r>
          </w:p>
          <w:p>
            <w:pPr>
              <w:jc w:val="left"/>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路工程试验检测员资格证书。</w:t>
            </w:r>
          </w:p>
        </w:tc>
      </w:tr>
    </w:tbl>
    <w:p>
      <w:pPr>
        <w:kinsoku w:val="0"/>
        <w:overflowPunct w:val="0"/>
        <w:autoSpaceDE w:val="0"/>
        <w:autoSpaceDN w:val="0"/>
        <w:adjustRightInd w:val="0"/>
        <w:snapToGrid w:val="0"/>
        <w:spacing w:line="520" w:lineRule="exact"/>
        <w:ind w:firstLine="525" w:firstLineChars="250"/>
        <w:rPr>
          <w:rFonts w:ascii="Times New Roman" w:hAnsi="Times New Roman" w:eastAsia="宋体" w:cs="Times New Roman"/>
          <w:color w:val="auto"/>
          <w:szCs w:val="24"/>
          <w:highlight w:val="none"/>
        </w:rPr>
      </w:pPr>
    </w:p>
    <w:p>
      <w:pPr>
        <w:keepNext/>
        <w:keepLines/>
        <w:snapToGrid w:val="0"/>
        <w:spacing w:before="260" w:after="260" w:line="360" w:lineRule="auto"/>
        <w:outlineLvl w:val="1"/>
        <w:rPr>
          <w:rFonts w:ascii="Times New Roman" w:hAnsi="宋体" w:eastAsia="宋体" w:cs="Times New Roman"/>
          <w:b/>
          <w:color w:val="auto"/>
          <w:kern w:val="0"/>
          <w:sz w:val="24"/>
          <w:szCs w:val="24"/>
          <w:highlight w:val="none"/>
        </w:rPr>
      </w:pPr>
      <w:bookmarkStart w:id="40" w:name="_Hlk86932551"/>
      <w:r>
        <w:rPr>
          <w:rFonts w:hint="eastAsia" w:ascii="Times New Roman" w:hAnsi="宋体" w:eastAsia="宋体" w:cs="Times New Roman"/>
          <w:b/>
          <w:color w:val="auto"/>
          <w:kern w:val="0"/>
          <w:sz w:val="24"/>
          <w:szCs w:val="24"/>
          <w:highlight w:val="none"/>
        </w:rPr>
        <w:t>五、主要试验检测设备要求</w:t>
      </w:r>
    </w:p>
    <w:bookmarkEnd w:id="40"/>
    <w:tbl>
      <w:tblPr>
        <w:tblStyle w:val="15"/>
        <w:tblW w:w="8739" w:type="dxa"/>
        <w:tblInd w:w="93" w:type="dxa"/>
        <w:tblLayout w:type="fixed"/>
        <w:tblCellMar>
          <w:top w:w="0" w:type="dxa"/>
          <w:left w:w="108" w:type="dxa"/>
          <w:bottom w:w="0" w:type="dxa"/>
          <w:right w:w="108" w:type="dxa"/>
        </w:tblCellMar>
      </w:tblPr>
      <w:tblGrid>
        <w:gridCol w:w="844"/>
        <w:gridCol w:w="3147"/>
        <w:gridCol w:w="2693"/>
        <w:gridCol w:w="2055"/>
      </w:tblGrid>
      <w:tr>
        <w:tblPrEx>
          <w:tblCellMar>
            <w:top w:w="0" w:type="dxa"/>
            <w:left w:w="108" w:type="dxa"/>
            <w:bottom w:w="0" w:type="dxa"/>
            <w:right w:w="108" w:type="dxa"/>
          </w:tblCellMar>
        </w:tblPrEx>
        <w:trPr>
          <w:trHeight w:val="640"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hint="eastAsia" w:ascii="Calibri" w:hAnsi="Calibri"/>
                <w:color w:val="auto"/>
                <w:szCs w:val="21"/>
                <w:highlight w:val="none"/>
              </w:rPr>
              <w:t>序号</w:t>
            </w:r>
          </w:p>
        </w:tc>
        <w:tc>
          <w:tcPr>
            <w:tcW w:w="3147" w:type="dxa"/>
            <w:tcBorders>
              <w:top w:val="single" w:color="auto" w:sz="4" w:space="0"/>
              <w:left w:val="nil"/>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仪器设备名称</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hint="eastAsia" w:ascii="Calibri" w:hAnsi="Calibri"/>
                <w:color w:val="auto"/>
                <w:szCs w:val="21"/>
                <w:highlight w:val="none"/>
              </w:rPr>
              <w:t>精度或最小分划值</w:t>
            </w: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hint="eastAsia" w:ascii="Calibri" w:hAnsi="Calibri"/>
                <w:color w:val="auto"/>
                <w:szCs w:val="21"/>
                <w:highlight w:val="none"/>
              </w:rPr>
              <w:t>最低数量要求</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color w:val="auto"/>
                <w:szCs w:val="21"/>
                <w:highlight w:val="none"/>
              </w:rPr>
            </w:pPr>
            <w:r>
              <w:rPr>
                <w:rFonts w:ascii="Calibri" w:hAnsi="Calibri"/>
                <w:color w:val="auto"/>
                <w:szCs w:val="21"/>
                <w:highlight w:val="none"/>
              </w:rPr>
              <w:t>1</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非金属超声波检测仪</w:t>
            </w:r>
          </w:p>
        </w:tc>
        <w:tc>
          <w:tcPr>
            <w:tcW w:w="2693" w:type="dxa"/>
            <w:tcBorders>
              <w:top w:val="single" w:color="auto" w:sz="4" w:space="0"/>
              <w:left w:val="nil"/>
              <w:bottom w:val="single" w:color="auto" w:sz="4" w:space="0"/>
              <w:right w:val="single" w:color="auto" w:sz="4" w:space="0"/>
            </w:tcBorders>
            <w:vAlign w:val="center"/>
          </w:tcPr>
          <w:p>
            <w:pPr>
              <w:widowControl/>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color w:val="auto"/>
                <w:szCs w:val="21"/>
                <w:highlight w:val="none"/>
              </w:rPr>
            </w:pPr>
            <w:r>
              <w:rPr>
                <w:rFonts w:ascii="Calibri" w:hAnsi="Calibri"/>
                <w:color w:val="auto"/>
                <w:szCs w:val="21"/>
                <w:highlight w:val="none"/>
              </w:rPr>
              <w:t>2</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裂缝测宽仪</w:t>
            </w:r>
          </w:p>
        </w:tc>
        <w:tc>
          <w:tcPr>
            <w:tcW w:w="2693" w:type="dxa"/>
            <w:tcBorders>
              <w:top w:val="single" w:color="auto" w:sz="4" w:space="0"/>
              <w:left w:val="nil"/>
              <w:bottom w:val="single" w:color="auto" w:sz="4" w:space="0"/>
              <w:right w:val="single" w:color="auto" w:sz="4" w:space="0"/>
            </w:tcBorders>
            <w:vAlign w:val="center"/>
          </w:tcPr>
          <w:p>
            <w:pPr>
              <w:widowControl/>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3</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混凝土回弹仪</w:t>
            </w:r>
          </w:p>
        </w:tc>
        <w:tc>
          <w:tcPr>
            <w:tcW w:w="2693" w:type="dxa"/>
            <w:tcBorders>
              <w:top w:val="single" w:color="auto" w:sz="4" w:space="0"/>
              <w:left w:val="nil"/>
              <w:bottom w:val="single" w:color="auto" w:sz="4" w:space="0"/>
              <w:right w:val="single" w:color="auto" w:sz="4" w:space="0"/>
            </w:tcBorders>
            <w:vAlign w:val="center"/>
          </w:tcPr>
          <w:p>
            <w:pPr>
              <w:widowControl/>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4</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桥梁检测专用车</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5</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横向力系数测试车</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6</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color w:val="auto"/>
                <w:highlight w:val="none"/>
              </w:rPr>
              <w:t>自动弯沉仪</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7</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自动路况摄像设备</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hint="eastAsia" w:ascii="Calibri" w:hAnsi="Calibri"/>
                <w:color w:val="auto"/>
                <w:szCs w:val="21"/>
                <w:highlight w:val="none"/>
              </w:rPr>
              <w:t>1台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8</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激光车辙仪</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9</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激光构造深度仪</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10</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激光平整度仪</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bl>
    <w:p>
      <w:pPr>
        <w:ind w:firstLine="420" w:firstLineChars="200"/>
        <w:rPr>
          <w:szCs w:val="21"/>
        </w:rPr>
      </w:pPr>
      <w:r>
        <w:rPr>
          <w:rFonts w:hint="eastAsia"/>
          <w:szCs w:val="21"/>
        </w:rPr>
        <w:t>注：</w:t>
      </w:r>
      <w:r>
        <w:rPr>
          <w:szCs w:val="21"/>
        </w:rPr>
        <w:t>1</w:t>
      </w:r>
      <w:r>
        <w:rPr>
          <w:rFonts w:hint="eastAsia"/>
          <w:szCs w:val="21"/>
        </w:rPr>
        <w:t>、本表未列入的设备，投标人应根据工程的实际需要配备齐全，如不能满足本工程需要，发包人有权要求检测单位配备齐全。</w:t>
      </w:r>
    </w:p>
    <w:p>
      <w:pPr>
        <w:numPr>
          <w:ilvl w:val="0"/>
          <w:numId w:val="4"/>
        </w:numPr>
        <w:ind w:firstLine="420" w:firstLineChars="200"/>
        <w:rPr>
          <w:szCs w:val="21"/>
        </w:rPr>
      </w:pPr>
      <w:r>
        <w:rPr>
          <w:rFonts w:hint="eastAsia"/>
          <w:szCs w:val="21"/>
        </w:rPr>
        <w:t>投标人填报拟投入主要试验检测设备应符合本表最低要求，同时必须满足检测工作内容的需要。如投标人有多功能检测车的，需提供标定证书扫描件，标定证书上应体现：</w:t>
      </w:r>
      <w:r>
        <w:rPr>
          <w:rFonts w:hint="eastAsia" w:ascii="Calibri" w:hAnsi="Calibri"/>
          <w:szCs w:val="21"/>
        </w:rPr>
        <w:t>自动路况摄像、</w:t>
      </w:r>
      <w:r>
        <w:rPr>
          <w:rFonts w:hint="eastAsia"/>
          <w:szCs w:val="21"/>
        </w:rPr>
        <w:t>车辙、构造深度、平整度等检测参数，方可视同满足本表中序号7</w:t>
      </w:r>
      <w:r>
        <w:rPr>
          <w:szCs w:val="21"/>
        </w:rPr>
        <w:t>-1</w:t>
      </w:r>
      <w:r>
        <w:rPr>
          <w:rFonts w:hint="eastAsia"/>
          <w:szCs w:val="21"/>
        </w:rPr>
        <w:t>0中相对应设备。</w:t>
      </w:r>
    </w:p>
    <w:p>
      <w:pPr>
        <w:ind w:firstLine="420" w:firstLineChars="200"/>
        <w:rPr>
          <w:rFonts w:ascii="Times New Roman" w:hAnsi="Times New Roman" w:eastAsia="宋体" w:cs="Times New Roman"/>
          <w:color w:val="auto"/>
          <w:szCs w:val="24"/>
          <w:highlight w:val="yellow"/>
        </w:rPr>
      </w:pPr>
      <w:r>
        <w:rPr>
          <w:rFonts w:hint="eastAsia"/>
          <w:szCs w:val="21"/>
        </w:rPr>
        <w:t>允许投标人租赁，若为租赁，则需提供车辆或设备租赁合同。</w:t>
      </w:r>
    </w:p>
    <w:p>
      <w:pPr>
        <w:keepNext/>
        <w:keepLines/>
        <w:snapToGrid w:val="0"/>
        <w:spacing w:before="260" w:after="260" w:line="360" w:lineRule="auto"/>
        <w:outlineLvl w:val="1"/>
        <w:rPr>
          <w:rFonts w:ascii="Times New Roman" w:hAnsi="宋体" w:eastAsia="宋体" w:cs="Times New Roman"/>
          <w:b/>
          <w:color w:val="auto"/>
          <w:kern w:val="0"/>
          <w:sz w:val="24"/>
          <w:szCs w:val="24"/>
          <w:highlight w:val="none"/>
        </w:rPr>
      </w:pPr>
      <w:r>
        <w:rPr>
          <w:rFonts w:hint="eastAsia" w:ascii="Times New Roman" w:hAnsi="宋体" w:eastAsia="宋体" w:cs="Times New Roman"/>
          <w:b/>
          <w:color w:val="auto"/>
          <w:kern w:val="0"/>
          <w:sz w:val="24"/>
          <w:szCs w:val="24"/>
          <w:highlight w:val="none"/>
        </w:rPr>
        <w:t>六、商务要求</w:t>
      </w:r>
    </w:p>
    <w:p>
      <w:pPr>
        <w:kinsoku w:val="0"/>
        <w:overflowPunct w:val="0"/>
        <w:autoSpaceDE w:val="0"/>
        <w:autoSpaceDN w:val="0"/>
        <w:adjustRightInd w:val="0"/>
        <w:snapToGrid w:val="0"/>
        <w:spacing w:line="520" w:lineRule="exact"/>
        <w:ind w:firstLine="525" w:firstLineChars="25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履约保证金要求：供应商应当以支票、汇票、本票或者金融机构、担保机构出具的保函等非现金形式提交。履约保证金的数额为合同金额的</w:t>
      </w:r>
      <w:r>
        <w:rPr>
          <w:rFonts w:hint="eastAsia" w:ascii="Times New Roman" w:hAnsi="Times New Roman" w:eastAsia="宋体" w:cs="Times New Roman"/>
          <w:color w:val="auto"/>
          <w:szCs w:val="24"/>
          <w:highlight w:val="none"/>
          <w:lang w:val="en-US" w:eastAsia="zh-CN"/>
        </w:rPr>
        <w:t>1</w:t>
      </w:r>
      <w:r>
        <w:rPr>
          <w:rFonts w:hint="eastAsia" w:ascii="Times New Roman" w:hAnsi="Times New Roman" w:eastAsia="宋体" w:cs="Times New Roman"/>
          <w:color w:val="auto"/>
          <w:szCs w:val="24"/>
          <w:highlight w:val="none"/>
        </w:rPr>
        <w:t>%。履约保证金的有效期为合同有效期。</w:t>
      </w:r>
    </w:p>
    <w:p>
      <w:pPr>
        <w:adjustRightInd/>
        <w:spacing w:line="360" w:lineRule="auto"/>
        <w:ind w:firstLine="420" w:firstLineChars="200"/>
        <w:rPr>
          <w:rFonts w:hint="eastAsia" w:hAnsi="宋体" w:cs="宋体"/>
          <w:sz w:val="24"/>
          <w:szCs w:val="24"/>
          <w:highlight w:val="none"/>
        </w:rPr>
      </w:pPr>
      <w:r>
        <w:rPr>
          <w:rFonts w:hint="eastAsia" w:ascii="Times New Roman" w:hAnsi="Times New Roman" w:eastAsia="宋体" w:cs="Times New Roman"/>
          <w:color w:val="auto"/>
          <w:szCs w:val="24"/>
          <w:highlight w:val="none"/>
          <w:lang w:val="en-US" w:eastAsia="zh-CN"/>
        </w:rPr>
        <w:t>付款方式：合同签订后7天内，乙方缴纳合同价的1%履约保证金后并递交合同价的50%预付款保函后，甲方支付合同价的50％款项（预付款）。乙方完成路况检测，取得相应成果报告，直至合同期满，取得桥梁经常检查成果报告，扣除未实施项目金额后，一次性付清剩余合同款项,并退还履约保证金（无息）。</w:t>
      </w:r>
    </w:p>
    <w:p>
      <w:pPr>
        <w:snapToGrid w:val="0"/>
        <w:spacing w:line="360" w:lineRule="auto"/>
        <w:jc w:val="center"/>
        <w:rPr>
          <w:rFonts w:hint="eastAsia"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第四部分</w:t>
      </w:r>
      <w:bookmarkStart w:id="41" w:name="_Toc184312083"/>
      <w:bookmarkEnd w:id="41"/>
      <w:bookmarkStart w:id="42" w:name="_Toc184308071"/>
      <w:bookmarkEnd w:id="42"/>
      <w:bookmarkStart w:id="43" w:name="_Toc184313250"/>
      <w:bookmarkEnd w:id="43"/>
      <w:bookmarkStart w:id="44" w:name="_Toc184310289"/>
      <w:bookmarkEnd w:id="44"/>
      <w:bookmarkStart w:id="45" w:name="_Toc184313303"/>
      <w:bookmarkEnd w:id="45"/>
      <w:bookmarkStart w:id="46" w:name="_Toc184308047"/>
      <w:bookmarkEnd w:id="46"/>
      <w:bookmarkStart w:id="47" w:name="_Toc184313289"/>
      <w:bookmarkEnd w:id="47"/>
      <w:bookmarkStart w:id="48" w:name="_Toc184308093"/>
      <w:bookmarkEnd w:id="48"/>
      <w:bookmarkStart w:id="49" w:name="_Toc184314450"/>
      <w:bookmarkEnd w:id="49"/>
      <w:bookmarkStart w:id="50" w:name="_Toc184314411"/>
      <w:bookmarkEnd w:id="50"/>
      <w:bookmarkStart w:id="51" w:name="_Toc184308037"/>
      <w:bookmarkEnd w:id="51"/>
      <w:bookmarkStart w:id="52" w:name="_Toc184314418"/>
      <w:bookmarkEnd w:id="52"/>
      <w:bookmarkStart w:id="53" w:name="_Toc184308102"/>
      <w:bookmarkEnd w:id="53"/>
      <w:bookmarkStart w:id="54" w:name="_Toc184314438"/>
      <w:bookmarkEnd w:id="54"/>
      <w:bookmarkStart w:id="55" w:name="_Toc184312123"/>
      <w:bookmarkEnd w:id="55"/>
      <w:bookmarkStart w:id="56" w:name="_Toc184308074"/>
      <w:bookmarkEnd w:id="56"/>
      <w:bookmarkStart w:id="57" w:name="_Toc184314431"/>
      <w:bookmarkEnd w:id="57"/>
      <w:bookmarkStart w:id="58" w:name="_Toc184310306"/>
      <w:bookmarkEnd w:id="58"/>
      <w:bookmarkStart w:id="59" w:name="_Toc184310315"/>
      <w:bookmarkEnd w:id="59"/>
      <w:bookmarkStart w:id="60" w:name="_Toc184312070"/>
      <w:bookmarkEnd w:id="60"/>
      <w:bookmarkStart w:id="61" w:name="_Toc184314440"/>
      <w:bookmarkEnd w:id="61"/>
      <w:bookmarkStart w:id="62" w:name="_Toc184308042"/>
      <w:bookmarkEnd w:id="62"/>
      <w:bookmarkStart w:id="63" w:name="_Toc184313273"/>
      <w:bookmarkEnd w:id="63"/>
      <w:bookmarkStart w:id="64" w:name="_Toc184310281"/>
      <w:bookmarkEnd w:id="64"/>
      <w:bookmarkStart w:id="65" w:name="_Toc184314425"/>
      <w:bookmarkEnd w:id="65"/>
      <w:bookmarkStart w:id="66" w:name="_Toc184314457"/>
      <w:bookmarkEnd w:id="66"/>
      <w:bookmarkStart w:id="67" w:name="_Toc184310277"/>
      <w:bookmarkEnd w:id="67"/>
      <w:bookmarkStart w:id="68" w:name="_Toc184312110"/>
      <w:bookmarkEnd w:id="68"/>
      <w:bookmarkStart w:id="69" w:name="_Toc184312076"/>
      <w:bookmarkEnd w:id="69"/>
      <w:bookmarkStart w:id="70" w:name="_Toc184314461"/>
      <w:bookmarkEnd w:id="70"/>
      <w:bookmarkStart w:id="71" w:name="_Toc184310309"/>
      <w:bookmarkEnd w:id="71"/>
      <w:bookmarkStart w:id="72" w:name="_Toc184312075"/>
      <w:bookmarkEnd w:id="72"/>
      <w:bookmarkStart w:id="73" w:name="_Toc184312087"/>
      <w:bookmarkEnd w:id="73"/>
      <w:bookmarkStart w:id="74" w:name="_Toc184310284"/>
      <w:bookmarkEnd w:id="74"/>
      <w:bookmarkStart w:id="75" w:name="_Toc184308058"/>
      <w:bookmarkEnd w:id="75"/>
      <w:bookmarkStart w:id="76" w:name="_Toc184313280"/>
      <w:bookmarkEnd w:id="76"/>
      <w:bookmarkStart w:id="77" w:name="_Toc184314449"/>
      <w:bookmarkEnd w:id="77"/>
      <w:bookmarkStart w:id="78" w:name="_Toc184310275"/>
      <w:bookmarkEnd w:id="78"/>
      <w:bookmarkStart w:id="79" w:name="_Toc184310336"/>
      <w:bookmarkEnd w:id="79"/>
      <w:bookmarkStart w:id="80" w:name="_Toc184308064"/>
      <w:bookmarkEnd w:id="80"/>
      <w:bookmarkStart w:id="81" w:name="_Toc184314439"/>
      <w:bookmarkEnd w:id="81"/>
      <w:bookmarkStart w:id="82" w:name="_Toc184313288"/>
      <w:bookmarkEnd w:id="82"/>
      <w:bookmarkStart w:id="83" w:name="_Toc184314414"/>
      <w:bookmarkEnd w:id="83"/>
      <w:bookmarkStart w:id="84" w:name="_Toc184310322"/>
      <w:bookmarkEnd w:id="84"/>
      <w:bookmarkStart w:id="85" w:name="_Toc184314480"/>
      <w:bookmarkEnd w:id="85"/>
      <w:bookmarkStart w:id="86" w:name="_Toc184312118"/>
      <w:bookmarkEnd w:id="86"/>
      <w:bookmarkStart w:id="87" w:name="_Toc184313301"/>
      <w:bookmarkEnd w:id="87"/>
      <w:bookmarkStart w:id="88" w:name="_Toc184313264"/>
      <w:bookmarkEnd w:id="88"/>
      <w:bookmarkStart w:id="89" w:name="_Toc184314427"/>
      <w:bookmarkEnd w:id="89"/>
      <w:bookmarkStart w:id="90" w:name="_Toc184312085"/>
      <w:bookmarkEnd w:id="90"/>
      <w:bookmarkStart w:id="91" w:name="_Toc184314482"/>
      <w:bookmarkEnd w:id="91"/>
      <w:bookmarkStart w:id="92" w:name="_Toc184312102"/>
      <w:bookmarkEnd w:id="92"/>
      <w:bookmarkStart w:id="93" w:name="_Toc184312068"/>
      <w:bookmarkEnd w:id="93"/>
      <w:bookmarkStart w:id="94" w:name="_Toc184310278"/>
      <w:bookmarkEnd w:id="94"/>
      <w:bookmarkStart w:id="95" w:name="_Toc184313272"/>
      <w:bookmarkEnd w:id="95"/>
      <w:bookmarkStart w:id="96" w:name="_Toc184313269"/>
      <w:bookmarkEnd w:id="96"/>
      <w:bookmarkStart w:id="97" w:name="_Toc184313284"/>
      <w:bookmarkEnd w:id="97"/>
      <w:bookmarkStart w:id="98" w:name="_Toc184310294"/>
      <w:bookmarkEnd w:id="98"/>
      <w:bookmarkStart w:id="99" w:name="_Toc184314447"/>
      <w:bookmarkEnd w:id="99"/>
      <w:bookmarkStart w:id="100" w:name="_Toc184314474"/>
      <w:bookmarkEnd w:id="100"/>
      <w:bookmarkStart w:id="101" w:name="_Toc184308080"/>
      <w:bookmarkEnd w:id="101"/>
      <w:bookmarkStart w:id="102" w:name="_Toc184314422"/>
      <w:bookmarkEnd w:id="102"/>
      <w:bookmarkStart w:id="103" w:name="_Toc184312095"/>
      <w:bookmarkEnd w:id="103"/>
      <w:bookmarkStart w:id="104" w:name="_Toc184314435"/>
      <w:bookmarkEnd w:id="104"/>
      <w:bookmarkStart w:id="105" w:name="_Toc184314463"/>
      <w:bookmarkEnd w:id="105"/>
      <w:bookmarkStart w:id="106" w:name="_Toc184312067"/>
      <w:bookmarkEnd w:id="106"/>
      <w:bookmarkStart w:id="107" w:name="_Toc184314454"/>
      <w:bookmarkEnd w:id="107"/>
      <w:bookmarkStart w:id="108" w:name="_Toc184314446"/>
      <w:bookmarkEnd w:id="108"/>
      <w:bookmarkStart w:id="109" w:name="_Toc184314420"/>
      <w:bookmarkEnd w:id="109"/>
      <w:bookmarkStart w:id="110" w:name="_Toc184310342"/>
      <w:bookmarkEnd w:id="110"/>
      <w:bookmarkStart w:id="111" w:name="_Toc184310324"/>
      <w:bookmarkEnd w:id="111"/>
      <w:bookmarkStart w:id="112" w:name="_Toc184314462"/>
      <w:bookmarkEnd w:id="112"/>
      <w:bookmarkStart w:id="113" w:name="_Toc184310280"/>
      <w:bookmarkEnd w:id="113"/>
      <w:bookmarkStart w:id="114" w:name="_Toc184313294"/>
      <w:bookmarkEnd w:id="114"/>
      <w:bookmarkStart w:id="115" w:name="_Toc184313263"/>
      <w:bookmarkEnd w:id="115"/>
      <w:bookmarkStart w:id="116" w:name="_Toc184308103"/>
      <w:bookmarkEnd w:id="116"/>
      <w:bookmarkStart w:id="117" w:name="_Toc184314451"/>
      <w:bookmarkEnd w:id="117"/>
      <w:bookmarkStart w:id="118" w:name="_Toc184308054"/>
      <w:bookmarkEnd w:id="118"/>
      <w:bookmarkStart w:id="119" w:name="_Toc184314417"/>
      <w:bookmarkEnd w:id="119"/>
      <w:bookmarkStart w:id="120" w:name="_Toc184314423"/>
      <w:bookmarkEnd w:id="120"/>
      <w:bookmarkStart w:id="121" w:name="_Toc184313305"/>
      <w:bookmarkEnd w:id="121"/>
      <w:bookmarkStart w:id="122" w:name="_Toc184308094"/>
      <w:bookmarkEnd w:id="122"/>
      <w:bookmarkStart w:id="123" w:name="_Toc184308045"/>
      <w:bookmarkEnd w:id="123"/>
      <w:bookmarkStart w:id="124" w:name="_Toc184313299"/>
      <w:bookmarkEnd w:id="124"/>
      <w:bookmarkStart w:id="125" w:name="_Toc184310317"/>
      <w:bookmarkEnd w:id="125"/>
      <w:bookmarkStart w:id="126" w:name="_Toc184314475"/>
      <w:bookmarkEnd w:id="126"/>
      <w:bookmarkStart w:id="127" w:name="_Toc184310313"/>
      <w:bookmarkEnd w:id="127"/>
      <w:bookmarkStart w:id="128" w:name="_Toc184313260"/>
      <w:bookmarkEnd w:id="128"/>
      <w:bookmarkStart w:id="129" w:name="_Toc184312134"/>
      <w:bookmarkEnd w:id="129"/>
      <w:bookmarkStart w:id="130" w:name="_Toc184312136"/>
      <w:bookmarkEnd w:id="130"/>
      <w:bookmarkStart w:id="131" w:name="_Toc184313291"/>
      <w:bookmarkEnd w:id="131"/>
      <w:bookmarkStart w:id="132" w:name="_Toc184312098"/>
      <w:bookmarkEnd w:id="132"/>
      <w:bookmarkStart w:id="133" w:name="_Toc184310297"/>
      <w:bookmarkEnd w:id="133"/>
      <w:bookmarkStart w:id="134" w:name="_Toc184310303"/>
      <w:bookmarkEnd w:id="134"/>
      <w:bookmarkStart w:id="135" w:name="_Toc184313271"/>
      <w:bookmarkEnd w:id="135"/>
      <w:bookmarkStart w:id="136" w:name="_Toc184308073"/>
      <w:bookmarkEnd w:id="136"/>
      <w:bookmarkStart w:id="137" w:name="_Toc184310310"/>
      <w:bookmarkEnd w:id="137"/>
      <w:bookmarkStart w:id="138" w:name="_Toc184313266"/>
      <w:bookmarkEnd w:id="138"/>
      <w:bookmarkStart w:id="139" w:name="_Toc184312093"/>
      <w:bookmarkEnd w:id="139"/>
      <w:bookmarkStart w:id="140" w:name="_Toc184314460"/>
      <w:bookmarkEnd w:id="140"/>
      <w:bookmarkStart w:id="141" w:name="_Toc184310291"/>
      <w:bookmarkEnd w:id="141"/>
      <w:bookmarkStart w:id="142" w:name="_Toc184314472"/>
      <w:bookmarkEnd w:id="142"/>
      <w:bookmarkStart w:id="143" w:name="_Toc184314469"/>
      <w:bookmarkEnd w:id="143"/>
      <w:bookmarkStart w:id="144" w:name="_Toc184313242"/>
      <w:bookmarkEnd w:id="144"/>
      <w:bookmarkStart w:id="145" w:name="_Toc184312104"/>
      <w:bookmarkEnd w:id="145"/>
      <w:bookmarkStart w:id="146" w:name="_Toc184312080"/>
      <w:bookmarkEnd w:id="146"/>
      <w:bookmarkStart w:id="147" w:name="_Toc184314476"/>
      <w:bookmarkEnd w:id="147"/>
      <w:bookmarkStart w:id="148" w:name="_Toc184312079"/>
      <w:bookmarkEnd w:id="148"/>
      <w:bookmarkStart w:id="149" w:name="_Toc184310321"/>
      <w:bookmarkEnd w:id="149"/>
      <w:bookmarkStart w:id="150" w:name="_Toc184313304"/>
      <w:bookmarkEnd w:id="150"/>
      <w:bookmarkStart w:id="151" w:name="_Toc184313247"/>
      <w:bookmarkEnd w:id="151"/>
      <w:bookmarkStart w:id="152" w:name="_Toc184308069"/>
      <w:bookmarkEnd w:id="152"/>
      <w:bookmarkStart w:id="153" w:name="_Toc184310328"/>
      <w:bookmarkEnd w:id="153"/>
      <w:bookmarkStart w:id="154" w:name="_Toc184312116"/>
      <w:bookmarkEnd w:id="154"/>
      <w:bookmarkStart w:id="155" w:name="_Toc184308100"/>
      <w:bookmarkEnd w:id="155"/>
      <w:bookmarkStart w:id="156" w:name="_Toc184310299"/>
      <w:bookmarkEnd w:id="156"/>
      <w:bookmarkStart w:id="157" w:name="_Toc184314416"/>
      <w:bookmarkEnd w:id="157"/>
      <w:bookmarkStart w:id="158" w:name="_Toc184314468"/>
      <w:bookmarkEnd w:id="158"/>
      <w:bookmarkStart w:id="159" w:name="_Toc184308041"/>
      <w:bookmarkEnd w:id="159"/>
      <w:bookmarkStart w:id="160" w:name="_Toc184310335"/>
      <w:bookmarkEnd w:id="160"/>
      <w:bookmarkStart w:id="161" w:name="_Toc184308051"/>
      <w:bookmarkEnd w:id="161"/>
      <w:bookmarkStart w:id="162" w:name="_Toc184312128"/>
      <w:bookmarkEnd w:id="162"/>
      <w:bookmarkStart w:id="163" w:name="_Toc184308092"/>
      <w:bookmarkEnd w:id="163"/>
      <w:bookmarkStart w:id="164" w:name="_Toc184313276"/>
      <w:bookmarkEnd w:id="164"/>
      <w:bookmarkStart w:id="165" w:name="_Toc184313255"/>
      <w:bookmarkEnd w:id="165"/>
      <w:bookmarkStart w:id="166" w:name="_Toc184313244"/>
      <w:bookmarkEnd w:id="166"/>
      <w:bookmarkStart w:id="167" w:name="_Toc184308075"/>
      <w:bookmarkEnd w:id="167"/>
      <w:bookmarkStart w:id="168" w:name="_Toc184314433"/>
      <w:bookmarkEnd w:id="168"/>
      <w:bookmarkStart w:id="169" w:name="_Toc184313239"/>
      <w:bookmarkEnd w:id="169"/>
      <w:bookmarkStart w:id="170" w:name="_Toc184310276"/>
      <w:bookmarkEnd w:id="170"/>
      <w:bookmarkStart w:id="171" w:name="_Toc184308060"/>
      <w:bookmarkEnd w:id="171"/>
      <w:bookmarkStart w:id="172" w:name="_Toc184312108"/>
      <w:bookmarkEnd w:id="172"/>
      <w:bookmarkStart w:id="173" w:name="_Toc184308083"/>
      <w:bookmarkEnd w:id="173"/>
      <w:bookmarkStart w:id="174" w:name="_Toc184312088"/>
      <w:bookmarkEnd w:id="174"/>
      <w:bookmarkStart w:id="175" w:name="_Toc184312081"/>
      <w:bookmarkEnd w:id="175"/>
      <w:bookmarkStart w:id="176" w:name="_Toc184312071"/>
      <w:bookmarkEnd w:id="176"/>
      <w:bookmarkStart w:id="177" w:name="_Toc184308082"/>
      <w:bookmarkEnd w:id="177"/>
      <w:bookmarkStart w:id="178" w:name="_Toc184312091"/>
      <w:bookmarkEnd w:id="178"/>
      <w:bookmarkStart w:id="179" w:name="_Toc184314419"/>
      <w:bookmarkEnd w:id="179"/>
      <w:bookmarkStart w:id="180" w:name="_Toc184310273"/>
      <w:bookmarkEnd w:id="180"/>
      <w:bookmarkStart w:id="181" w:name="_Toc184312124"/>
      <w:bookmarkEnd w:id="181"/>
      <w:bookmarkStart w:id="182" w:name="_Toc184312097"/>
      <w:bookmarkEnd w:id="182"/>
      <w:bookmarkStart w:id="183" w:name="_Toc184312135"/>
      <w:bookmarkEnd w:id="183"/>
      <w:bookmarkStart w:id="184" w:name="_Toc184308040"/>
      <w:bookmarkEnd w:id="184"/>
      <w:bookmarkStart w:id="185" w:name="_Toc184310283"/>
      <w:bookmarkEnd w:id="185"/>
      <w:bookmarkStart w:id="186" w:name="_Toc184314478"/>
      <w:bookmarkEnd w:id="186"/>
      <w:bookmarkStart w:id="187" w:name="_Toc184308095"/>
      <w:bookmarkEnd w:id="187"/>
      <w:bookmarkStart w:id="188" w:name="_Toc184308079"/>
      <w:bookmarkEnd w:id="188"/>
      <w:bookmarkStart w:id="189" w:name="_Toc184313248"/>
      <w:bookmarkEnd w:id="189"/>
      <w:bookmarkStart w:id="190" w:name="_Toc184314428"/>
      <w:bookmarkEnd w:id="190"/>
      <w:bookmarkStart w:id="191" w:name="_Toc184313295"/>
      <w:bookmarkEnd w:id="191"/>
      <w:bookmarkStart w:id="192" w:name="_Toc184313267"/>
      <w:bookmarkEnd w:id="192"/>
      <w:bookmarkStart w:id="193" w:name="_Toc184312103"/>
      <w:bookmarkEnd w:id="193"/>
      <w:bookmarkStart w:id="194" w:name="_Toc184313252"/>
      <w:bookmarkEnd w:id="194"/>
      <w:bookmarkStart w:id="195" w:name="_Toc184308061"/>
      <w:bookmarkEnd w:id="195"/>
      <w:bookmarkStart w:id="196" w:name="_Toc184310323"/>
      <w:bookmarkEnd w:id="196"/>
      <w:bookmarkStart w:id="197" w:name="_Toc184314426"/>
      <w:bookmarkEnd w:id="197"/>
      <w:bookmarkStart w:id="198" w:name="_Toc184312119"/>
      <w:bookmarkEnd w:id="198"/>
      <w:bookmarkStart w:id="199" w:name="_Toc184312133"/>
      <w:bookmarkEnd w:id="199"/>
      <w:bookmarkStart w:id="200" w:name="_Toc184313309"/>
      <w:bookmarkEnd w:id="200"/>
      <w:bookmarkStart w:id="201" w:name="_Toc184312130"/>
      <w:bookmarkEnd w:id="201"/>
      <w:bookmarkStart w:id="202" w:name="_Toc184312099"/>
      <w:bookmarkEnd w:id="202"/>
      <w:bookmarkStart w:id="203" w:name="_Toc184314481"/>
      <w:bookmarkEnd w:id="203"/>
      <w:bookmarkStart w:id="204" w:name="_Toc184312090"/>
      <w:bookmarkEnd w:id="204"/>
      <w:bookmarkStart w:id="205" w:name="_Toc184312112"/>
      <w:bookmarkEnd w:id="205"/>
      <w:bookmarkStart w:id="206" w:name="_Toc184310340"/>
      <w:bookmarkEnd w:id="206"/>
      <w:bookmarkStart w:id="207" w:name="_Toc184314441"/>
      <w:bookmarkEnd w:id="207"/>
      <w:bookmarkStart w:id="208" w:name="_Toc184314415"/>
      <w:bookmarkEnd w:id="208"/>
      <w:bookmarkStart w:id="209" w:name="_Toc184314445"/>
      <w:bookmarkEnd w:id="209"/>
      <w:bookmarkStart w:id="210" w:name="_Toc184313283"/>
      <w:bookmarkEnd w:id="210"/>
      <w:bookmarkStart w:id="211" w:name="_Toc184313308"/>
      <w:bookmarkEnd w:id="211"/>
      <w:bookmarkStart w:id="212" w:name="_Toc184312132"/>
      <w:bookmarkEnd w:id="212"/>
      <w:bookmarkStart w:id="213" w:name="_Toc184308046"/>
      <w:bookmarkEnd w:id="213"/>
      <w:bookmarkStart w:id="214" w:name="_Toc184312121"/>
      <w:bookmarkEnd w:id="214"/>
      <w:bookmarkStart w:id="215" w:name="_Toc184308108"/>
      <w:bookmarkEnd w:id="215"/>
      <w:bookmarkStart w:id="216" w:name="_Toc184313300"/>
      <w:bookmarkEnd w:id="216"/>
      <w:bookmarkStart w:id="217" w:name="_Toc184308091"/>
      <w:bookmarkEnd w:id="217"/>
      <w:bookmarkStart w:id="218" w:name="_Toc184312109"/>
      <w:bookmarkEnd w:id="218"/>
      <w:bookmarkStart w:id="219" w:name="_Toc184308104"/>
      <w:bookmarkEnd w:id="219"/>
      <w:bookmarkStart w:id="220" w:name="_Toc184308099"/>
      <w:bookmarkEnd w:id="220"/>
      <w:bookmarkStart w:id="221" w:name="_Toc184312094"/>
      <w:bookmarkEnd w:id="221"/>
      <w:bookmarkStart w:id="222" w:name="_Toc184313306"/>
      <w:bookmarkEnd w:id="222"/>
      <w:bookmarkStart w:id="223" w:name="_Toc184314466"/>
      <w:bookmarkEnd w:id="223"/>
      <w:bookmarkStart w:id="224" w:name="_Toc184308085"/>
      <w:bookmarkEnd w:id="224"/>
      <w:bookmarkStart w:id="225" w:name="_Toc184314444"/>
      <w:bookmarkEnd w:id="225"/>
      <w:bookmarkStart w:id="226" w:name="_Toc184312089"/>
      <w:bookmarkEnd w:id="226"/>
      <w:bookmarkStart w:id="227" w:name="_Toc184313290"/>
      <w:bookmarkEnd w:id="227"/>
      <w:bookmarkStart w:id="228" w:name="_Toc184310312"/>
      <w:bookmarkEnd w:id="228"/>
      <w:bookmarkStart w:id="229" w:name="_Toc184308101"/>
      <w:bookmarkEnd w:id="229"/>
      <w:bookmarkStart w:id="230" w:name="_Toc184308106"/>
      <w:bookmarkEnd w:id="230"/>
      <w:bookmarkStart w:id="231" w:name="_Toc184312078"/>
      <w:bookmarkEnd w:id="231"/>
      <w:bookmarkStart w:id="232" w:name="_Toc184310300"/>
      <w:bookmarkEnd w:id="232"/>
      <w:bookmarkStart w:id="233" w:name="_Toc184308081"/>
      <w:bookmarkEnd w:id="233"/>
      <w:bookmarkStart w:id="234" w:name="_Toc184313240"/>
      <w:bookmarkEnd w:id="234"/>
      <w:bookmarkStart w:id="235" w:name="_Toc184308077"/>
      <w:bookmarkEnd w:id="235"/>
      <w:bookmarkStart w:id="236" w:name="_Toc184314467"/>
      <w:bookmarkEnd w:id="236"/>
      <w:bookmarkStart w:id="237" w:name="_Toc184308097"/>
      <w:bookmarkEnd w:id="237"/>
      <w:bookmarkStart w:id="238" w:name="_Toc184314465"/>
      <w:bookmarkEnd w:id="238"/>
      <w:bookmarkStart w:id="239" w:name="_Toc184313265"/>
      <w:bookmarkEnd w:id="239"/>
      <w:bookmarkStart w:id="240" w:name="_Toc184310301"/>
      <w:bookmarkEnd w:id="240"/>
      <w:bookmarkStart w:id="241" w:name="_Toc184310298"/>
      <w:bookmarkEnd w:id="241"/>
      <w:bookmarkStart w:id="242" w:name="_Toc184308087"/>
      <w:bookmarkEnd w:id="242"/>
      <w:bookmarkStart w:id="243" w:name="_Toc184313257"/>
      <w:bookmarkEnd w:id="243"/>
      <w:bookmarkStart w:id="244" w:name="_Toc184308048"/>
      <w:bookmarkEnd w:id="244"/>
      <w:bookmarkStart w:id="245" w:name="_Toc184308066"/>
      <w:bookmarkEnd w:id="245"/>
      <w:bookmarkStart w:id="246" w:name="_Toc184312127"/>
      <w:bookmarkEnd w:id="246"/>
      <w:bookmarkStart w:id="247" w:name="_Toc184310274"/>
      <w:bookmarkEnd w:id="247"/>
      <w:bookmarkStart w:id="248" w:name="_Toc184308107"/>
      <w:bookmarkEnd w:id="248"/>
      <w:bookmarkStart w:id="249" w:name="_Toc184312077"/>
      <w:bookmarkEnd w:id="249"/>
      <w:bookmarkStart w:id="250" w:name="_Toc184308050"/>
      <w:bookmarkEnd w:id="250"/>
      <w:bookmarkStart w:id="251" w:name="_Toc184313302"/>
      <w:bookmarkEnd w:id="251"/>
      <w:bookmarkStart w:id="252" w:name="_Toc184310308"/>
      <w:bookmarkEnd w:id="252"/>
      <w:bookmarkStart w:id="253" w:name="_Toc184312105"/>
      <w:bookmarkEnd w:id="253"/>
      <w:bookmarkStart w:id="254" w:name="_Toc184313298"/>
      <w:bookmarkEnd w:id="254"/>
      <w:bookmarkStart w:id="255" w:name="_Toc184310343"/>
      <w:bookmarkEnd w:id="255"/>
      <w:bookmarkStart w:id="256" w:name="_Toc184308057"/>
      <w:bookmarkEnd w:id="256"/>
      <w:bookmarkStart w:id="257" w:name="_Toc184312137"/>
      <w:bookmarkEnd w:id="257"/>
      <w:bookmarkStart w:id="258" w:name="_Toc184313268"/>
      <w:bookmarkEnd w:id="258"/>
      <w:bookmarkStart w:id="259" w:name="_Toc184310288"/>
      <w:bookmarkEnd w:id="259"/>
      <w:bookmarkStart w:id="260" w:name="_Toc184314464"/>
      <w:bookmarkEnd w:id="260"/>
      <w:bookmarkStart w:id="261" w:name="_Toc184310338"/>
      <w:bookmarkEnd w:id="261"/>
      <w:bookmarkStart w:id="262" w:name="_Toc184308084"/>
      <w:bookmarkEnd w:id="262"/>
      <w:bookmarkStart w:id="263" w:name="_Toc184313241"/>
      <w:bookmarkEnd w:id="263"/>
      <w:bookmarkStart w:id="264" w:name="_Toc184308038"/>
      <w:bookmarkEnd w:id="264"/>
      <w:bookmarkStart w:id="265" w:name="_Toc184313292"/>
      <w:bookmarkEnd w:id="265"/>
      <w:bookmarkStart w:id="266" w:name="_Toc184308090"/>
      <w:bookmarkEnd w:id="266"/>
      <w:bookmarkStart w:id="267" w:name="_Toc184308036"/>
      <w:bookmarkEnd w:id="267"/>
      <w:bookmarkStart w:id="268" w:name="_Toc184314479"/>
      <w:bookmarkEnd w:id="268"/>
      <w:bookmarkStart w:id="269" w:name="_Toc184310318"/>
      <w:bookmarkEnd w:id="269"/>
      <w:bookmarkStart w:id="270" w:name="_Toc184313246"/>
      <w:bookmarkEnd w:id="270"/>
      <w:bookmarkStart w:id="271" w:name="_Toc184308053"/>
      <w:bookmarkEnd w:id="271"/>
      <w:bookmarkStart w:id="272" w:name="_Toc184308088"/>
      <w:bookmarkEnd w:id="272"/>
      <w:bookmarkStart w:id="273" w:name="_Toc184313279"/>
      <w:bookmarkEnd w:id="273"/>
      <w:bookmarkStart w:id="274" w:name="_Toc184313256"/>
      <w:bookmarkEnd w:id="274"/>
      <w:bookmarkStart w:id="275" w:name="_Toc184310329"/>
      <w:bookmarkEnd w:id="275"/>
      <w:bookmarkStart w:id="276" w:name="_Toc184313287"/>
      <w:bookmarkEnd w:id="276"/>
      <w:bookmarkStart w:id="277" w:name="_Toc184313296"/>
      <w:bookmarkEnd w:id="277"/>
      <w:bookmarkStart w:id="278" w:name="_Toc184312073"/>
      <w:bookmarkEnd w:id="278"/>
      <w:bookmarkStart w:id="279" w:name="_Toc184314421"/>
      <w:bookmarkEnd w:id="279"/>
      <w:bookmarkStart w:id="280" w:name="_Toc184310304"/>
      <w:bookmarkEnd w:id="280"/>
      <w:bookmarkStart w:id="281" w:name="_Toc184312086"/>
      <w:bookmarkEnd w:id="281"/>
      <w:bookmarkStart w:id="282" w:name="_Toc184308039"/>
      <w:bookmarkEnd w:id="282"/>
      <w:bookmarkStart w:id="283" w:name="_Toc184313254"/>
      <w:bookmarkEnd w:id="283"/>
      <w:bookmarkStart w:id="284" w:name="_Toc184312122"/>
      <w:bookmarkEnd w:id="284"/>
      <w:bookmarkStart w:id="285" w:name="_Toc184312139"/>
      <w:bookmarkEnd w:id="285"/>
      <w:bookmarkStart w:id="286" w:name="_Toc184313278"/>
      <w:bookmarkEnd w:id="286"/>
      <w:bookmarkStart w:id="287" w:name="_Toc184314470"/>
      <w:bookmarkEnd w:id="287"/>
      <w:bookmarkStart w:id="288" w:name="_Toc184310314"/>
      <w:bookmarkEnd w:id="288"/>
      <w:bookmarkStart w:id="289" w:name="_Toc184314473"/>
      <w:bookmarkEnd w:id="289"/>
      <w:bookmarkStart w:id="290" w:name="_Toc184313274"/>
      <w:bookmarkEnd w:id="290"/>
      <w:bookmarkStart w:id="291" w:name="_Toc184308067"/>
      <w:bookmarkEnd w:id="291"/>
      <w:bookmarkStart w:id="292" w:name="_Toc184310287"/>
      <w:bookmarkEnd w:id="292"/>
      <w:bookmarkStart w:id="293" w:name="_Toc184310279"/>
      <w:bookmarkEnd w:id="293"/>
      <w:bookmarkStart w:id="294" w:name="_Toc184308105"/>
      <w:bookmarkEnd w:id="294"/>
      <w:bookmarkStart w:id="295" w:name="_Toc184314448"/>
      <w:bookmarkEnd w:id="295"/>
      <w:bookmarkStart w:id="296" w:name="_Toc184313282"/>
      <w:bookmarkEnd w:id="296"/>
      <w:bookmarkStart w:id="297" w:name="_Toc184312117"/>
      <w:bookmarkEnd w:id="297"/>
      <w:bookmarkStart w:id="298" w:name="_Toc184308096"/>
      <w:bookmarkEnd w:id="298"/>
      <w:bookmarkStart w:id="299" w:name="_Toc184310307"/>
      <w:bookmarkEnd w:id="299"/>
      <w:bookmarkStart w:id="300" w:name="_Toc184314459"/>
      <w:bookmarkEnd w:id="300"/>
      <w:bookmarkStart w:id="301" w:name="_Toc184308049"/>
      <w:bookmarkEnd w:id="301"/>
      <w:bookmarkStart w:id="302" w:name="_Toc184310333"/>
      <w:bookmarkEnd w:id="302"/>
      <w:bookmarkStart w:id="303" w:name="_Toc184310337"/>
      <w:bookmarkEnd w:id="303"/>
      <w:bookmarkStart w:id="304" w:name="_Toc184308062"/>
      <w:bookmarkEnd w:id="304"/>
      <w:bookmarkStart w:id="305" w:name="_Toc184310290"/>
      <w:bookmarkEnd w:id="305"/>
      <w:bookmarkStart w:id="306" w:name="_Toc184313293"/>
      <w:bookmarkEnd w:id="306"/>
      <w:bookmarkStart w:id="307" w:name="_Toc184314452"/>
      <w:bookmarkEnd w:id="307"/>
      <w:bookmarkStart w:id="308" w:name="_Toc184314453"/>
      <w:bookmarkEnd w:id="308"/>
      <w:bookmarkStart w:id="309" w:name="_Toc184314429"/>
      <w:bookmarkEnd w:id="309"/>
      <w:bookmarkStart w:id="310" w:name="_Toc184313261"/>
      <w:bookmarkEnd w:id="310"/>
      <w:bookmarkStart w:id="311" w:name="_Toc184310325"/>
      <w:bookmarkEnd w:id="311"/>
      <w:bookmarkStart w:id="312" w:name="_Toc184308065"/>
      <w:bookmarkEnd w:id="312"/>
      <w:bookmarkStart w:id="313" w:name="_Toc184310320"/>
      <w:bookmarkEnd w:id="313"/>
      <w:bookmarkStart w:id="314" w:name="_Toc184314437"/>
      <w:bookmarkEnd w:id="314"/>
      <w:bookmarkStart w:id="315" w:name="_Toc184312120"/>
      <w:bookmarkEnd w:id="315"/>
      <w:bookmarkStart w:id="316" w:name="_Toc184310316"/>
      <w:bookmarkEnd w:id="316"/>
      <w:bookmarkStart w:id="317" w:name="_Toc184310285"/>
      <w:bookmarkEnd w:id="317"/>
      <w:bookmarkStart w:id="318" w:name="_Toc184312126"/>
      <w:bookmarkEnd w:id="318"/>
      <w:bookmarkStart w:id="319" w:name="_Toc184314434"/>
      <w:bookmarkEnd w:id="319"/>
      <w:bookmarkStart w:id="320" w:name="_Toc184310332"/>
      <w:bookmarkEnd w:id="320"/>
      <w:bookmarkStart w:id="321" w:name="_Toc184310302"/>
      <w:bookmarkEnd w:id="321"/>
      <w:bookmarkStart w:id="322" w:name="_Toc184312114"/>
      <w:bookmarkEnd w:id="322"/>
      <w:bookmarkStart w:id="323" w:name="_Toc184308059"/>
      <w:bookmarkEnd w:id="323"/>
      <w:bookmarkStart w:id="324" w:name="_Toc184313249"/>
      <w:bookmarkEnd w:id="324"/>
      <w:bookmarkStart w:id="325" w:name="_Toc184312084"/>
      <w:bookmarkEnd w:id="325"/>
      <w:bookmarkStart w:id="326" w:name="_Toc184310282"/>
      <w:bookmarkEnd w:id="326"/>
      <w:bookmarkStart w:id="327" w:name="_Toc184314455"/>
      <w:bookmarkEnd w:id="327"/>
      <w:bookmarkStart w:id="328" w:name="_Toc184310293"/>
      <w:bookmarkEnd w:id="328"/>
      <w:bookmarkStart w:id="329" w:name="_Toc184312131"/>
      <w:bookmarkEnd w:id="329"/>
      <w:bookmarkStart w:id="330" w:name="_Toc184312100"/>
      <w:bookmarkEnd w:id="330"/>
      <w:bookmarkStart w:id="331" w:name="_Toc184310341"/>
      <w:bookmarkEnd w:id="331"/>
      <w:bookmarkStart w:id="332" w:name="_Toc184314424"/>
      <w:bookmarkEnd w:id="332"/>
      <w:bookmarkStart w:id="333" w:name="_Toc184310327"/>
      <w:bookmarkEnd w:id="333"/>
      <w:bookmarkStart w:id="334" w:name="_Toc184312074"/>
      <w:bookmarkEnd w:id="334"/>
      <w:bookmarkStart w:id="335" w:name="_Toc184310344"/>
      <w:bookmarkEnd w:id="335"/>
      <w:bookmarkStart w:id="336" w:name="_Toc184312082"/>
      <w:bookmarkEnd w:id="336"/>
      <w:bookmarkStart w:id="337" w:name="_Toc184310296"/>
      <w:bookmarkEnd w:id="337"/>
      <w:bookmarkStart w:id="338" w:name="_Toc184308089"/>
      <w:bookmarkEnd w:id="338"/>
      <w:bookmarkStart w:id="339" w:name="_Toc184312138"/>
      <w:bookmarkEnd w:id="339"/>
      <w:bookmarkStart w:id="340" w:name="_Toc184308068"/>
      <w:bookmarkEnd w:id="340"/>
      <w:bookmarkStart w:id="341" w:name="_Toc184310319"/>
      <w:bookmarkEnd w:id="341"/>
      <w:bookmarkStart w:id="342" w:name="_Toc184312111"/>
      <w:bookmarkEnd w:id="342"/>
      <w:bookmarkStart w:id="343" w:name="_Toc184314477"/>
      <w:bookmarkEnd w:id="343"/>
      <w:bookmarkStart w:id="344" w:name="_Toc184313275"/>
      <w:bookmarkEnd w:id="344"/>
      <w:bookmarkStart w:id="345" w:name="_Toc184310326"/>
      <w:bookmarkEnd w:id="345"/>
      <w:bookmarkStart w:id="346" w:name="_Toc184314430"/>
      <w:bookmarkEnd w:id="346"/>
      <w:bookmarkStart w:id="347" w:name="_Toc184313285"/>
      <w:bookmarkEnd w:id="347"/>
      <w:bookmarkStart w:id="348" w:name="_Toc184314443"/>
      <w:bookmarkEnd w:id="348"/>
      <w:bookmarkStart w:id="349" w:name="_Toc184312069"/>
      <w:bookmarkEnd w:id="349"/>
      <w:bookmarkStart w:id="350" w:name="_Toc184308063"/>
      <w:bookmarkEnd w:id="350"/>
      <w:bookmarkStart w:id="351" w:name="_Toc184310334"/>
      <w:bookmarkEnd w:id="351"/>
      <w:bookmarkStart w:id="352" w:name="_Toc184313307"/>
      <w:bookmarkEnd w:id="352"/>
      <w:bookmarkStart w:id="353" w:name="_Toc184313245"/>
      <w:bookmarkEnd w:id="353"/>
      <w:bookmarkStart w:id="354" w:name="_Toc184310292"/>
      <w:bookmarkEnd w:id="354"/>
      <w:bookmarkStart w:id="355" w:name="_Toc184312072"/>
      <w:bookmarkEnd w:id="355"/>
      <w:bookmarkStart w:id="356" w:name="_Toc184312125"/>
      <w:bookmarkEnd w:id="356"/>
      <w:bookmarkStart w:id="357" w:name="_Toc184308043"/>
      <w:bookmarkEnd w:id="357"/>
      <w:bookmarkStart w:id="358" w:name="_Toc184314458"/>
      <w:bookmarkEnd w:id="358"/>
      <w:bookmarkStart w:id="359" w:name="_Toc184314432"/>
      <w:bookmarkEnd w:id="359"/>
      <w:bookmarkStart w:id="360" w:name="_Toc184308076"/>
      <w:bookmarkEnd w:id="360"/>
      <w:bookmarkStart w:id="361" w:name="_Toc184310295"/>
      <w:bookmarkEnd w:id="361"/>
      <w:bookmarkStart w:id="362" w:name="_Toc184312096"/>
      <w:bookmarkEnd w:id="362"/>
      <w:bookmarkStart w:id="363" w:name="_Toc184308098"/>
      <w:bookmarkEnd w:id="363"/>
      <w:bookmarkStart w:id="364" w:name="_Toc184310330"/>
      <w:bookmarkEnd w:id="364"/>
      <w:bookmarkStart w:id="365" w:name="_Toc184308055"/>
      <w:bookmarkEnd w:id="365"/>
      <w:bookmarkStart w:id="366" w:name="_Toc184314471"/>
      <w:bookmarkEnd w:id="366"/>
      <w:bookmarkStart w:id="367" w:name="_Toc184312106"/>
      <w:bookmarkEnd w:id="367"/>
      <w:bookmarkStart w:id="368" w:name="_Toc184314442"/>
      <w:bookmarkEnd w:id="368"/>
      <w:bookmarkStart w:id="369" w:name="_Toc184308056"/>
      <w:bookmarkEnd w:id="369"/>
      <w:bookmarkStart w:id="370" w:name="_Toc184312092"/>
      <w:bookmarkEnd w:id="370"/>
      <w:bookmarkStart w:id="371" w:name="_Toc184313310"/>
      <w:bookmarkEnd w:id="371"/>
      <w:bookmarkStart w:id="372" w:name="_Toc184312115"/>
      <w:bookmarkEnd w:id="372"/>
      <w:bookmarkStart w:id="373" w:name="_Toc184314456"/>
      <w:bookmarkEnd w:id="373"/>
      <w:bookmarkStart w:id="374" w:name="_Toc184310311"/>
      <w:bookmarkEnd w:id="374"/>
      <w:bookmarkStart w:id="375" w:name="_Toc184308072"/>
      <w:bookmarkEnd w:id="375"/>
      <w:bookmarkStart w:id="376" w:name="_Toc184310286"/>
      <w:bookmarkEnd w:id="376"/>
      <w:bookmarkStart w:id="377" w:name="_Toc184312113"/>
      <w:bookmarkEnd w:id="377"/>
      <w:bookmarkStart w:id="378" w:name="_Toc184310305"/>
      <w:bookmarkEnd w:id="378"/>
      <w:bookmarkStart w:id="379" w:name="_Toc184308052"/>
      <w:bookmarkEnd w:id="379"/>
      <w:bookmarkStart w:id="380" w:name="_Toc184313243"/>
      <w:bookmarkEnd w:id="380"/>
      <w:bookmarkStart w:id="381" w:name="_Toc184308044"/>
      <w:bookmarkEnd w:id="381"/>
      <w:bookmarkStart w:id="382" w:name="_Toc184310339"/>
      <w:bookmarkEnd w:id="382"/>
      <w:bookmarkStart w:id="383" w:name="_Toc184313251"/>
      <w:bookmarkEnd w:id="383"/>
      <w:bookmarkStart w:id="384" w:name="_Toc184310272"/>
      <w:bookmarkEnd w:id="384"/>
      <w:bookmarkStart w:id="385" w:name="_Toc184313270"/>
      <w:bookmarkEnd w:id="385"/>
      <w:bookmarkStart w:id="386" w:name="_Toc184312107"/>
      <w:bookmarkEnd w:id="386"/>
      <w:bookmarkStart w:id="387" w:name="_Toc184312101"/>
      <w:bookmarkEnd w:id="387"/>
      <w:bookmarkStart w:id="388" w:name="_Toc184313262"/>
      <w:bookmarkEnd w:id="388"/>
      <w:bookmarkStart w:id="389" w:name="_Toc184313281"/>
      <w:bookmarkEnd w:id="389"/>
      <w:bookmarkStart w:id="390" w:name="_Toc184314410"/>
      <w:bookmarkEnd w:id="390"/>
      <w:bookmarkStart w:id="391" w:name="_Toc184310331"/>
      <w:bookmarkEnd w:id="391"/>
      <w:bookmarkStart w:id="392" w:name="_Toc184313277"/>
      <w:bookmarkEnd w:id="392"/>
      <w:bookmarkStart w:id="393" w:name="_Toc184313297"/>
      <w:bookmarkEnd w:id="393"/>
      <w:bookmarkStart w:id="394" w:name="_Toc184313253"/>
      <w:bookmarkEnd w:id="394"/>
      <w:bookmarkStart w:id="395" w:name="_Toc184314436"/>
      <w:bookmarkEnd w:id="395"/>
      <w:bookmarkStart w:id="396" w:name="_Toc184314412"/>
      <w:bookmarkEnd w:id="396"/>
      <w:bookmarkStart w:id="397" w:name="_Toc184313258"/>
      <w:bookmarkEnd w:id="397"/>
      <w:bookmarkStart w:id="398" w:name="_Toc184313259"/>
      <w:bookmarkEnd w:id="398"/>
      <w:bookmarkStart w:id="399" w:name="_Toc184313238"/>
      <w:bookmarkEnd w:id="399"/>
      <w:bookmarkStart w:id="400" w:name="_Toc184308086"/>
      <w:bookmarkEnd w:id="400"/>
      <w:bookmarkStart w:id="401" w:name="_Toc184314413"/>
      <w:bookmarkEnd w:id="401"/>
      <w:bookmarkStart w:id="402" w:name="_Toc184313286"/>
      <w:bookmarkEnd w:id="402"/>
      <w:bookmarkStart w:id="403" w:name="_Toc184308078"/>
      <w:bookmarkEnd w:id="403"/>
      <w:bookmarkStart w:id="404" w:name="_Toc184312129"/>
      <w:bookmarkEnd w:id="404"/>
      <w:bookmarkStart w:id="405" w:name="_Toc184308070"/>
      <w:bookmarkEnd w:id="405"/>
      <w:r>
        <w:rPr>
          <w:rFonts w:hint="eastAsia" w:ascii="宋体" w:hAnsi="宋体" w:cs="宋体"/>
          <w:b/>
          <w:sz w:val="36"/>
          <w:szCs w:val="36"/>
        </w:rPr>
        <w:t xml:space="preserve">  评标办法</w:t>
      </w:r>
    </w:p>
    <w:p>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15"/>
        <w:tblW w:w="9030" w:type="dxa"/>
        <w:tblInd w:w="98" w:type="dxa"/>
        <w:tblLayout w:type="fixed"/>
        <w:tblCellMar>
          <w:top w:w="0" w:type="dxa"/>
          <w:left w:w="108" w:type="dxa"/>
          <w:bottom w:w="0" w:type="dxa"/>
          <w:right w:w="108" w:type="dxa"/>
        </w:tblCellMar>
      </w:tblPr>
      <w:tblGrid>
        <w:gridCol w:w="715"/>
        <w:gridCol w:w="633"/>
        <w:gridCol w:w="5915"/>
        <w:gridCol w:w="612"/>
        <w:gridCol w:w="1155"/>
      </w:tblGrid>
      <w:tr>
        <w:trPr>
          <w:trHeight w:val="847" w:hRule="atLeast"/>
        </w:trPr>
        <w:tc>
          <w:tcPr>
            <w:tcW w:w="715" w:type="dxa"/>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6548" w:type="dxa"/>
            <w:gridSpan w:val="2"/>
            <w:tcBorders>
              <w:top w:val="single" w:color="auto" w:sz="8" w:space="0"/>
              <w:left w:val="nil"/>
              <w:bottom w:val="single" w:color="auto" w:sz="4" w:space="0"/>
              <w:right w:val="single" w:color="auto" w:sz="4" w:space="0"/>
            </w:tcBorders>
            <w:shd w:val="clear" w:color="auto" w:fill="auto"/>
            <w:vAlign w:val="center"/>
          </w:tcPr>
          <w:p>
            <w:pPr>
              <w:ind w:firstLine="482" w:firstLineChars="200"/>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评分内容和标准</w:t>
            </w:r>
          </w:p>
        </w:tc>
        <w:tc>
          <w:tcPr>
            <w:tcW w:w="612" w:type="dxa"/>
            <w:tcBorders>
              <w:top w:val="single" w:color="auto" w:sz="8"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权重</w:t>
            </w:r>
          </w:p>
        </w:tc>
        <w:tc>
          <w:tcPr>
            <w:tcW w:w="1155" w:type="dxa"/>
            <w:tcBorders>
              <w:top w:val="single" w:color="auto" w:sz="8" w:space="0"/>
              <w:left w:val="single" w:color="auto" w:sz="4" w:space="0"/>
              <w:bottom w:val="single" w:color="auto" w:sz="4" w:space="0"/>
              <w:right w:val="single" w:color="auto" w:sz="8" w:space="0"/>
            </w:tcBorders>
            <w:shd w:val="clear" w:color="auto" w:fill="auto"/>
            <w:vAlign w:val="center"/>
          </w:tcPr>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打分</w:t>
            </w:r>
          </w:p>
          <w:p>
            <w:pPr>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方法</w:t>
            </w:r>
          </w:p>
        </w:tc>
      </w:tr>
      <w:tr>
        <w:tblPrEx>
          <w:tblCellMar>
            <w:top w:w="0" w:type="dxa"/>
            <w:left w:w="108" w:type="dxa"/>
            <w:bottom w:w="0" w:type="dxa"/>
            <w:right w:w="108" w:type="dxa"/>
          </w:tblCellMar>
        </w:tblPrEx>
        <w:trPr>
          <w:trHeight w:val="90" w:hRule="atLeast"/>
        </w:trPr>
        <w:tc>
          <w:tcPr>
            <w:tcW w:w="715" w:type="dxa"/>
            <w:vMerge w:val="restart"/>
            <w:tcBorders>
              <w:top w:val="single" w:color="auto" w:sz="8" w:space="0"/>
              <w:left w:val="single" w:color="auto" w:sz="8" w:space="0"/>
              <w:right w:val="single" w:color="auto" w:sz="4" w:space="0"/>
            </w:tcBorders>
            <w:shd w:val="clear" w:color="auto" w:fill="auto"/>
            <w:vAlign w:val="center"/>
          </w:tcPr>
          <w:p>
            <w:pPr>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资信部分（10分）</w:t>
            </w:r>
          </w:p>
        </w:tc>
        <w:tc>
          <w:tcPr>
            <w:tcW w:w="633" w:type="dxa"/>
            <w:tcBorders>
              <w:top w:val="single" w:color="auto" w:sz="8"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5915"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具有有效期内的质量管理体系，环境管理体系，职业健康资格认证体系；每项得1.5分，没有则不得分。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证明材料：上述资质证书须提供清晰完整的扫描件。</w:t>
            </w:r>
          </w:p>
        </w:tc>
        <w:tc>
          <w:tcPr>
            <w:tcW w:w="612"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4.5分</w:t>
            </w:r>
          </w:p>
        </w:tc>
        <w:tc>
          <w:tcPr>
            <w:tcW w:w="1155" w:type="dxa"/>
            <w:tcBorders>
              <w:top w:val="single" w:color="auto" w:sz="8"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客观分</w:t>
            </w:r>
          </w:p>
        </w:tc>
      </w:tr>
      <w:tr>
        <w:tblPrEx>
          <w:tblCellMar>
            <w:top w:w="0" w:type="dxa"/>
            <w:left w:w="108" w:type="dxa"/>
            <w:bottom w:w="0" w:type="dxa"/>
            <w:right w:w="108" w:type="dxa"/>
          </w:tblCellMar>
        </w:tblPrEx>
        <w:trPr>
          <w:trHeight w:val="781" w:hRule="atLeast"/>
        </w:trPr>
        <w:tc>
          <w:tcPr>
            <w:tcW w:w="715" w:type="dxa"/>
            <w:vMerge w:val="continue"/>
            <w:tcBorders>
              <w:left w:val="single" w:color="auto" w:sz="8" w:space="0"/>
              <w:right w:val="single" w:color="auto" w:sz="4" w:space="0"/>
            </w:tcBorders>
            <w:shd w:val="clear" w:color="auto" w:fill="auto"/>
            <w:vAlign w:val="center"/>
          </w:tcPr>
          <w:p>
            <w:pPr>
              <w:jc w:val="left"/>
              <w:rPr>
                <w:rFonts w:asciiTheme="minorEastAsia" w:hAnsiTheme="minorEastAsia" w:eastAsiaTheme="minorEastAsia" w:cstheme="minorEastAsia"/>
                <w:b/>
                <w:bCs/>
                <w:color w:val="auto"/>
                <w:sz w:val="24"/>
              </w:rPr>
            </w:pPr>
          </w:p>
        </w:tc>
        <w:tc>
          <w:tcPr>
            <w:tcW w:w="633" w:type="dxa"/>
            <w:tcBorders>
              <w:top w:val="single" w:color="auto" w:sz="8"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5915"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年1月1日以来（以合同签订时间为准）投标人承担过类似的公路路况检测项目或公路桥梁检测项目的业绩的得0.5分，最多得1.5分。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证明材料：提供中标通知书或合同相关证明材料，不提供不得分。</w:t>
            </w:r>
          </w:p>
        </w:tc>
        <w:tc>
          <w:tcPr>
            <w:tcW w:w="612"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1.5分</w:t>
            </w:r>
          </w:p>
        </w:tc>
        <w:tc>
          <w:tcPr>
            <w:tcW w:w="1155" w:type="dxa"/>
            <w:tcBorders>
              <w:top w:val="single" w:color="auto" w:sz="8"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客观分</w:t>
            </w:r>
          </w:p>
        </w:tc>
      </w:tr>
      <w:tr>
        <w:tblPrEx>
          <w:tblCellMar>
            <w:top w:w="0" w:type="dxa"/>
            <w:left w:w="108" w:type="dxa"/>
            <w:bottom w:w="0" w:type="dxa"/>
            <w:right w:w="108" w:type="dxa"/>
          </w:tblCellMar>
        </w:tblPrEx>
        <w:trPr>
          <w:trHeight w:val="781" w:hRule="atLeast"/>
        </w:trPr>
        <w:tc>
          <w:tcPr>
            <w:tcW w:w="715" w:type="dxa"/>
            <w:vMerge w:val="continue"/>
            <w:tcBorders>
              <w:left w:val="single" w:color="auto" w:sz="8" w:space="0"/>
              <w:right w:val="single" w:color="auto" w:sz="4" w:space="0"/>
            </w:tcBorders>
            <w:shd w:val="clear" w:color="auto" w:fill="auto"/>
            <w:vAlign w:val="center"/>
          </w:tcPr>
          <w:p>
            <w:pPr>
              <w:jc w:val="left"/>
              <w:rPr>
                <w:rFonts w:asciiTheme="minorEastAsia" w:hAnsiTheme="minorEastAsia" w:eastAsiaTheme="minorEastAsia" w:cstheme="minorEastAsia"/>
                <w:b/>
                <w:bCs/>
                <w:color w:val="auto"/>
                <w:sz w:val="24"/>
              </w:rPr>
            </w:pPr>
          </w:p>
        </w:tc>
        <w:tc>
          <w:tcPr>
            <w:tcW w:w="633" w:type="dxa"/>
            <w:tcBorders>
              <w:top w:val="single" w:color="auto" w:sz="8"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5915"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浙江省交通运输厅最新公布试验检测信用评价结果，获得浙江省交通运输厅信用等级评价AA的得4分，获得浙江省交通运输厅信用等级评价A的得2分，获得浙江省交通运输厅信用等级评价B的不得分，（无浙江省信用评价结果的视为B级）</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证明材料：</w:t>
            </w:r>
            <w:r>
              <w:rPr>
                <w:rFonts w:hint="eastAsia"/>
                <w:color w:val="auto"/>
                <w:sz w:val="24"/>
              </w:rPr>
              <w:t>提供相关证明材料扫描件加盖公章，</w:t>
            </w:r>
            <w:r>
              <w:rPr>
                <w:rFonts w:hint="eastAsia" w:asciiTheme="minorEastAsia" w:hAnsiTheme="minorEastAsia" w:eastAsiaTheme="minorEastAsia" w:cstheme="minorEastAsia"/>
                <w:color w:val="auto"/>
                <w:sz w:val="24"/>
              </w:rPr>
              <w:t>不提供不得分。</w:t>
            </w:r>
          </w:p>
        </w:tc>
        <w:tc>
          <w:tcPr>
            <w:tcW w:w="612"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4分</w:t>
            </w:r>
          </w:p>
        </w:tc>
        <w:tc>
          <w:tcPr>
            <w:tcW w:w="1155" w:type="dxa"/>
            <w:tcBorders>
              <w:top w:val="single" w:color="auto" w:sz="8"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客观分</w:t>
            </w:r>
          </w:p>
        </w:tc>
      </w:tr>
      <w:tr>
        <w:tblPrEx>
          <w:tblCellMar>
            <w:top w:w="0" w:type="dxa"/>
            <w:left w:w="108" w:type="dxa"/>
            <w:bottom w:w="0" w:type="dxa"/>
            <w:right w:w="108" w:type="dxa"/>
          </w:tblCellMar>
        </w:tblPrEx>
        <w:trPr>
          <w:trHeight w:val="875" w:hRule="atLeast"/>
        </w:trPr>
        <w:tc>
          <w:tcPr>
            <w:tcW w:w="715" w:type="dxa"/>
            <w:vMerge w:val="restart"/>
            <w:tcBorders>
              <w:top w:val="single" w:color="auto" w:sz="4" w:space="0"/>
              <w:left w:val="single" w:color="auto" w:sz="8" w:space="0"/>
              <w:right w:val="single" w:color="auto" w:sz="4" w:space="0"/>
            </w:tcBorders>
            <w:shd w:val="clear" w:color="auto" w:fill="auto"/>
            <w:vAlign w:val="center"/>
          </w:tcPr>
          <w:p>
            <w:pPr>
              <w:pStyle w:val="7"/>
              <w:snapToGrid w:val="0"/>
              <w:spacing w:line="240" w:lineRule="auto"/>
              <w:ind w:firstLine="0" w:firstLineChars="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技术和服务方案（75分）</w:t>
            </w:r>
          </w:p>
        </w:tc>
        <w:tc>
          <w:tcPr>
            <w:tcW w:w="63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5915"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项目负责人满足采购文件规定的人员基本要求得3分；具有高级及以上职称的加3分。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证明材料：提供相关证书。</w:t>
            </w:r>
          </w:p>
        </w:tc>
        <w:tc>
          <w:tcPr>
            <w:tcW w:w="612"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6分</w:t>
            </w:r>
          </w:p>
        </w:tc>
        <w:tc>
          <w:tcPr>
            <w:tcW w:w="1155" w:type="dxa"/>
            <w:tcBorders>
              <w:top w:val="single" w:color="auto" w:sz="8"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客观分</w:t>
            </w:r>
          </w:p>
        </w:tc>
      </w:tr>
      <w:tr>
        <w:tblPrEx>
          <w:tblCellMar>
            <w:top w:w="0" w:type="dxa"/>
            <w:left w:w="108" w:type="dxa"/>
            <w:bottom w:w="0" w:type="dxa"/>
            <w:right w:w="108" w:type="dxa"/>
          </w:tblCellMar>
        </w:tblPrEx>
        <w:trPr>
          <w:trHeight w:val="920" w:hRule="atLeast"/>
        </w:trPr>
        <w:tc>
          <w:tcPr>
            <w:tcW w:w="715" w:type="dxa"/>
            <w:vMerge w:val="continue"/>
            <w:tcBorders>
              <w:left w:val="single" w:color="auto" w:sz="8" w:space="0"/>
              <w:right w:val="single" w:color="auto" w:sz="4" w:space="0"/>
            </w:tcBorders>
            <w:shd w:val="clear" w:color="auto" w:fill="auto"/>
            <w:vAlign w:val="center"/>
          </w:tcPr>
          <w:p>
            <w:pPr>
              <w:pStyle w:val="7"/>
              <w:snapToGrid w:val="0"/>
              <w:spacing w:line="240" w:lineRule="auto"/>
              <w:ind w:firstLine="0" w:firstLineChars="0"/>
              <w:jc w:val="left"/>
              <w:rPr>
                <w:rFonts w:asciiTheme="minorEastAsia" w:hAnsiTheme="minorEastAsia" w:eastAsiaTheme="minorEastAsia" w:cstheme="minorEastAsia"/>
                <w:b/>
                <w:bCs/>
                <w:color w:val="auto"/>
              </w:rPr>
            </w:pPr>
          </w:p>
        </w:tc>
        <w:tc>
          <w:tcPr>
            <w:tcW w:w="63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5915"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技术负责人满足采购文件规定的人员基本要求得3分；具有高级及以上职称的加3分。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证明材料：提供相关证书。</w:t>
            </w:r>
          </w:p>
        </w:tc>
        <w:tc>
          <w:tcPr>
            <w:tcW w:w="612"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6分</w:t>
            </w:r>
          </w:p>
        </w:tc>
        <w:tc>
          <w:tcPr>
            <w:tcW w:w="1155" w:type="dxa"/>
            <w:tcBorders>
              <w:top w:val="single" w:color="auto" w:sz="8"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客观分</w:t>
            </w:r>
          </w:p>
        </w:tc>
      </w:tr>
      <w:tr>
        <w:tblPrEx>
          <w:tblCellMar>
            <w:top w:w="0" w:type="dxa"/>
            <w:left w:w="108" w:type="dxa"/>
            <w:bottom w:w="0" w:type="dxa"/>
            <w:right w:w="108" w:type="dxa"/>
          </w:tblCellMar>
        </w:tblPrEx>
        <w:trPr>
          <w:trHeight w:val="740" w:hRule="atLeast"/>
        </w:trPr>
        <w:tc>
          <w:tcPr>
            <w:tcW w:w="715" w:type="dxa"/>
            <w:vMerge w:val="continue"/>
            <w:tcBorders>
              <w:left w:val="single" w:color="auto" w:sz="8" w:space="0"/>
              <w:right w:val="single" w:color="auto" w:sz="4" w:space="0"/>
            </w:tcBorders>
            <w:shd w:val="clear" w:color="auto" w:fill="auto"/>
            <w:vAlign w:val="center"/>
          </w:tcPr>
          <w:p>
            <w:pPr>
              <w:pStyle w:val="7"/>
              <w:snapToGrid w:val="0"/>
              <w:spacing w:line="240" w:lineRule="auto"/>
              <w:ind w:firstLine="0" w:firstLineChars="0"/>
              <w:jc w:val="left"/>
              <w:rPr>
                <w:rFonts w:asciiTheme="minorEastAsia" w:hAnsiTheme="minorEastAsia" w:eastAsiaTheme="minorEastAsia" w:cstheme="minorEastAsia"/>
                <w:b/>
                <w:bCs/>
                <w:color w:val="auto"/>
              </w:rPr>
            </w:pPr>
          </w:p>
        </w:tc>
        <w:tc>
          <w:tcPr>
            <w:tcW w:w="63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5915"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试验检测工程师满足采购文件规定的人员基本要求得3分；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证明材料：提供相关证书。</w:t>
            </w:r>
          </w:p>
        </w:tc>
        <w:tc>
          <w:tcPr>
            <w:tcW w:w="612"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3分</w:t>
            </w:r>
          </w:p>
        </w:tc>
        <w:tc>
          <w:tcPr>
            <w:tcW w:w="1155" w:type="dxa"/>
            <w:tcBorders>
              <w:top w:val="single" w:color="auto" w:sz="8"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客观分</w:t>
            </w:r>
          </w:p>
        </w:tc>
      </w:tr>
      <w:tr>
        <w:tblPrEx>
          <w:tblCellMar>
            <w:top w:w="0" w:type="dxa"/>
            <w:left w:w="108" w:type="dxa"/>
            <w:bottom w:w="0" w:type="dxa"/>
            <w:right w:w="108" w:type="dxa"/>
          </w:tblCellMar>
        </w:tblPrEx>
        <w:trPr>
          <w:trHeight w:val="1025" w:hRule="atLeast"/>
        </w:trPr>
        <w:tc>
          <w:tcPr>
            <w:tcW w:w="715" w:type="dxa"/>
            <w:vMerge w:val="continue"/>
            <w:tcBorders>
              <w:left w:val="single" w:color="auto" w:sz="8" w:space="0"/>
              <w:right w:val="single" w:color="auto" w:sz="4" w:space="0"/>
            </w:tcBorders>
            <w:shd w:val="clear" w:color="auto" w:fill="auto"/>
            <w:vAlign w:val="center"/>
          </w:tcPr>
          <w:p>
            <w:pPr>
              <w:pStyle w:val="7"/>
              <w:snapToGrid w:val="0"/>
              <w:spacing w:line="240" w:lineRule="auto"/>
              <w:ind w:firstLine="0" w:firstLineChars="0"/>
              <w:jc w:val="left"/>
              <w:rPr>
                <w:rFonts w:asciiTheme="minorEastAsia" w:hAnsiTheme="minorEastAsia" w:eastAsiaTheme="minorEastAsia" w:cstheme="minorEastAsia"/>
                <w:b/>
                <w:bCs/>
                <w:color w:val="auto"/>
              </w:rPr>
            </w:pPr>
          </w:p>
        </w:tc>
        <w:tc>
          <w:tcPr>
            <w:tcW w:w="63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5915"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满足采购文件规定的人员基本要求得 2分；试验检测人员具有中级及以上职称的每人加2分，最多加4分；试验检测人员每增加一人加2分，最多加4分。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证明材料：提供相关证书。</w:t>
            </w:r>
          </w:p>
        </w:tc>
        <w:tc>
          <w:tcPr>
            <w:tcW w:w="612"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10分</w:t>
            </w:r>
          </w:p>
        </w:tc>
        <w:tc>
          <w:tcPr>
            <w:tcW w:w="1155" w:type="dxa"/>
            <w:tcBorders>
              <w:top w:val="single" w:color="auto" w:sz="8"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客观分</w:t>
            </w:r>
          </w:p>
        </w:tc>
      </w:tr>
      <w:tr>
        <w:tblPrEx>
          <w:tblCellMar>
            <w:top w:w="0" w:type="dxa"/>
            <w:left w:w="108" w:type="dxa"/>
            <w:bottom w:w="0" w:type="dxa"/>
            <w:right w:w="108" w:type="dxa"/>
          </w:tblCellMar>
        </w:tblPrEx>
        <w:trPr>
          <w:trHeight w:val="303" w:hRule="atLeast"/>
        </w:trPr>
        <w:tc>
          <w:tcPr>
            <w:tcW w:w="715" w:type="dxa"/>
            <w:vMerge w:val="continue"/>
            <w:tcBorders>
              <w:left w:val="single" w:color="auto" w:sz="8" w:space="0"/>
              <w:right w:val="single" w:color="auto" w:sz="4" w:space="0"/>
            </w:tcBorders>
            <w:shd w:val="clear" w:color="auto" w:fill="auto"/>
            <w:vAlign w:val="center"/>
          </w:tcPr>
          <w:p>
            <w:pPr>
              <w:pStyle w:val="7"/>
              <w:snapToGrid w:val="0"/>
              <w:spacing w:line="240" w:lineRule="auto"/>
              <w:ind w:firstLine="0" w:firstLineChars="0"/>
              <w:jc w:val="left"/>
              <w:rPr>
                <w:rFonts w:asciiTheme="minorEastAsia" w:hAnsiTheme="minorEastAsia" w:eastAsiaTheme="minorEastAsia" w:cstheme="minorEastAsia"/>
                <w:b/>
                <w:bCs/>
                <w:color w:val="auto"/>
              </w:rPr>
            </w:pPr>
          </w:p>
        </w:tc>
        <w:tc>
          <w:tcPr>
            <w:tcW w:w="63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5915"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在公路水运工程试验检测信息管理系统中向社会公开信息的得3分，否则不得分；项目负责人、技术负责人的试验检测证书在公路水运程试验检测信息管理系统中向社会公开信息的3分，否则不得分；试验检测工程师、试验检测员的试验检测证书在公路水运程试验检测信息管理系统中向社会公开信息的得3分，否则不得分。上述投标人及相关人员均需附其在公路水运工程试验检测管理信息系统中的截图，否则相应项不得分。</w:t>
            </w:r>
          </w:p>
        </w:tc>
        <w:tc>
          <w:tcPr>
            <w:tcW w:w="612" w:type="dxa"/>
            <w:tcBorders>
              <w:top w:val="single" w:color="auto" w:sz="8"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9分</w:t>
            </w:r>
          </w:p>
        </w:tc>
        <w:tc>
          <w:tcPr>
            <w:tcW w:w="1155" w:type="dxa"/>
            <w:tcBorders>
              <w:top w:val="single" w:color="auto" w:sz="8"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客观分</w:t>
            </w:r>
          </w:p>
        </w:tc>
      </w:tr>
      <w:tr>
        <w:tblPrEx>
          <w:tblCellMar>
            <w:top w:w="0" w:type="dxa"/>
            <w:left w:w="108" w:type="dxa"/>
            <w:bottom w:w="0" w:type="dxa"/>
            <w:right w:w="108" w:type="dxa"/>
          </w:tblCellMar>
        </w:tblPrEx>
        <w:trPr>
          <w:trHeight w:val="372" w:hRule="atLeast"/>
        </w:trPr>
        <w:tc>
          <w:tcPr>
            <w:tcW w:w="715" w:type="dxa"/>
            <w:vMerge w:val="continue"/>
            <w:tcBorders>
              <w:left w:val="single" w:color="auto" w:sz="8" w:space="0"/>
              <w:right w:val="single" w:color="auto" w:sz="4" w:space="0"/>
            </w:tcBorders>
            <w:shd w:val="clear" w:color="auto" w:fill="auto"/>
            <w:vAlign w:val="center"/>
          </w:tcPr>
          <w:p>
            <w:pPr>
              <w:pStyle w:val="7"/>
              <w:snapToGrid w:val="0"/>
              <w:spacing w:line="240" w:lineRule="auto"/>
              <w:jc w:val="left"/>
              <w:rPr>
                <w:rFonts w:asciiTheme="minorEastAsia" w:hAnsiTheme="minorEastAsia" w:eastAsiaTheme="minorEastAsia" w:cstheme="minorEastAsia"/>
                <w:color w:val="auto"/>
              </w:rPr>
            </w:pPr>
          </w:p>
        </w:tc>
        <w:tc>
          <w:tcPr>
            <w:tcW w:w="633" w:type="dxa"/>
            <w:tcBorders>
              <w:top w:val="single" w:color="auto" w:sz="4" w:space="0"/>
              <w:left w:val="single" w:color="auto" w:sz="8"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5915" w:type="dxa"/>
            <w:tcBorders>
              <w:top w:val="single" w:color="auto" w:sz="4" w:space="0"/>
              <w:left w:val="nil"/>
              <w:right w:val="single" w:color="auto" w:sz="4" w:space="0"/>
            </w:tcBorders>
            <w:shd w:val="clear" w:color="000000" w:fill="FFFFFF"/>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对本项目的总体工作思路</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方案</w:t>
            </w:r>
            <w:r>
              <w:rPr>
                <w:rFonts w:hint="eastAsia" w:asciiTheme="minorEastAsia" w:hAnsiTheme="minorEastAsia" w:eastAsiaTheme="minorEastAsia" w:cstheme="minorEastAsia"/>
                <w:color w:val="auto"/>
                <w:sz w:val="24"/>
                <w:lang w:val="en-US" w:eastAsia="zh-CN"/>
              </w:rPr>
              <w:t>合理，符合采购需求，针对性强的得5分；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方案基本可行，符合采购需求，针对性较强的得4分；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方案一般，基本符合采购需求，针对性一般的得3分；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方案不完整，部分符合采购需求，针对性有欠缺的得2分；</w:t>
            </w:r>
          </w:p>
          <w:p>
            <w:pPr>
              <w:jc w:val="left"/>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方案未提及、不符合采购需求，没有针对性的不得分。</w:t>
            </w:r>
          </w:p>
        </w:tc>
        <w:tc>
          <w:tcPr>
            <w:tcW w:w="612" w:type="dxa"/>
            <w:tcBorders>
              <w:top w:val="single" w:color="auto" w:sz="4" w:space="0"/>
              <w:left w:val="nil"/>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分</w:t>
            </w:r>
          </w:p>
        </w:tc>
        <w:tc>
          <w:tcPr>
            <w:tcW w:w="1155" w:type="dxa"/>
            <w:tcBorders>
              <w:top w:val="single" w:color="auto" w:sz="4" w:space="0"/>
              <w:left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主观分</w:t>
            </w:r>
          </w:p>
        </w:tc>
      </w:tr>
      <w:tr>
        <w:tblPrEx>
          <w:tblCellMar>
            <w:top w:w="0" w:type="dxa"/>
            <w:left w:w="108" w:type="dxa"/>
            <w:bottom w:w="0" w:type="dxa"/>
            <w:right w:w="108" w:type="dxa"/>
          </w:tblCellMar>
        </w:tblPrEx>
        <w:trPr>
          <w:trHeight w:val="288" w:hRule="atLeast"/>
        </w:trPr>
        <w:tc>
          <w:tcPr>
            <w:tcW w:w="715" w:type="dxa"/>
            <w:vMerge w:val="continue"/>
            <w:tcBorders>
              <w:left w:val="single" w:color="auto" w:sz="8" w:space="0"/>
              <w:right w:val="single" w:color="auto" w:sz="4" w:space="0"/>
            </w:tcBorders>
            <w:vAlign w:val="center"/>
          </w:tcPr>
          <w:p>
            <w:pPr>
              <w:ind w:firstLine="480" w:firstLineChars="200"/>
              <w:jc w:val="left"/>
              <w:rPr>
                <w:rFonts w:asciiTheme="minorEastAsia" w:hAnsiTheme="minorEastAsia" w:eastAsiaTheme="minorEastAsia" w:cstheme="minorEastAsia"/>
                <w:color w:val="auto"/>
                <w:sz w:val="24"/>
              </w:rPr>
            </w:pPr>
          </w:p>
        </w:tc>
        <w:tc>
          <w:tcPr>
            <w:tcW w:w="633" w:type="dxa"/>
            <w:tcBorders>
              <w:top w:val="single" w:color="auto" w:sz="4" w:space="0"/>
              <w:left w:val="single" w:color="auto" w:sz="8"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5915" w:type="dxa"/>
            <w:tcBorders>
              <w:top w:val="single" w:color="auto" w:sz="4" w:space="0"/>
              <w:left w:val="nil"/>
              <w:right w:val="single" w:color="auto" w:sz="4" w:space="0"/>
            </w:tcBorders>
            <w:shd w:val="clear" w:color="000000" w:fill="FFFFFF"/>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对本项目的准备工作内容</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方案</w:t>
            </w:r>
            <w:r>
              <w:rPr>
                <w:rFonts w:hint="eastAsia" w:asciiTheme="minorEastAsia" w:hAnsiTheme="minorEastAsia" w:eastAsiaTheme="minorEastAsia" w:cstheme="minorEastAsia"/>
                <w:color w:val="auto"/>
                <w:sz w:val="24"/>
                <w:lang w:val="en-US" w:eastAsia="zh-CN"/>
              </w:rPr>
              <w:t>合理，符合采购需求，针对性强的得5分；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方案基本可行，符合采购需求，针对性较强的得4分；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方案一般，基本符合采购需求，针对性一般的得3分；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方案不完整，部分符合采购需求，针对性有欠缺的得2分；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方案未提及、不符合采购需求，没有针对性的不得分。</w:t>
            </w:r>
          </w:p>
        </w:tc>
        <w:tc>
          <w:tcPr>
            <w:tcW w:w="612" w:type="dxa"/>
            <w:tcBorders>
              <w:top w:val="single" w:color="auto" w:sz="4" w:space="0"/>
              <w:left w:val="nil"/>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分</w:t>
            </w:r>
          </w:p>
        </w:tc>
        <w:tc>
          <w:tcPr>
            <w:tcW w:w="1155" w:type="dxa"/>
            <w:tcBorders>
              <w:top w:val="single" w:color="auto" w:sz="4" w:space="0"/>
              <w:left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主观分</w:t>
            </w:r>
          </w:p>
        </w:tc>
      </w:tr>
      <w:tr>
        <w:tblPrEx>
          <w:tblCellMar>
            <w:top w:w="0" w:type="dxa"/>
            <w:left w:w="108" w:type="dxa"/>
            <w:bottom w:w="0" w:type="dxa"/>
            <w:right w:w="108" w:type="dxa"/>
          </w:tblCellMar>
        </w:tblPrEx>
        <w:trPr>
          <w:trHeight w:val="1006" w:hRule="atLeast"/>
        </w:trPr>
        <w:tc>
          <w:tcPr>
            <w:tcW w:w="715" w:type="dxa"/>
            <w:vMerge w:val="continue"/>
            <w:tcBorders>
              <w:left w:val="single" w:color="auto" w:sz="8" w:space="0"/>
              <w:right w:val="single" w:color="auto" w:sz="4" w:space="0"/>
            </w:tcBorders>
            <w:vAlign w:val="center"/>
          </w:tcPr>
          <w:p>
            <w:pPr>
              <w:ind w:firstLine="480" w:firstLineChars="200"/>
              <w:jc w:val="left"/>
              <w:rPr>
                <w:rFonts w:asciiTheme="minorEastAsia" w:hAnsiTheme="minorEastAsia" w:eastAsiaTheme="minorEastAsia" w:cstheme="minorEastAsia"/>
                <w:color w:val="auto"/>
                <w:sz w:val="24"/>
              </w:rPr>
            </w:pPr>
          </w:p>
        </w:tc>
        <w:tc>
          <w:tcPr>
            <w:tcW w:w="633"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5915" w:type="dxa"/>
            <w:tcBorders>
              <w:top w:val="single" w:color="auto" w:sz="4" w:space="0"/>
              <w:left w:val="nil"/>
              <w:bottom w:val="single" w:color="auto" w:sz="4" w:space="0"/>
              <w:right w:val="single" w:color="auto" w:sz="4" w:space="0"/>
            </w:tcBorders>
            <w:shd w:val="clear" w:color="000000" w:fill="FFFFFF"/>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对本项目的了解情况</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方案</w:t>
            </w:r>
            <w:r>
              <w:rPr>
                <w:rFonts w:hint="eastAsia" w:asciiTheme="minorEastAsia" w:hAnsiTheme="minorEastAsia" w:eastAsiaTheme="minorEastAsia" w:cstheme="minorEastAsia"/>
                <w:color w:val="auto"/>
                <w:sz w:val="24"/>
                <w:lang w:val="en-US" w:eastAsia="zh-CN"/>
              </w:rPr>
              <w:t>合理，符合采购需求，针对性强的得5分；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方案基本可行，符合采购需求，针对性较强的得4分；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方案一般，基本符合采购需求，针对性一般的得3分；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方案不完整，部分符合采购需求，针对性有欠缺的得2分；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方案未提及、不符合采购需求，没有针对性的不得分。</w:t>
            </w:r>
          </w:p>
        </w:tc>
        <w:tc>
          <w:tcPr>
            <w:tcW w:w="612"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分</w:t>
            </w:r>
          </w:p>
        </w:tc>
        <w:tc>
          <w:tcPr>
            <w:tcW w:w="1155" w:type="dxa"/>
            <w:tcBorders>
              <w:top w:val="single" w:color="auto" w:sz="4"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主观分</w:t>
            </w:r>
          </w:p>
        </w:tc>
      </w:tr>
      <w:tr>
        <w:tblPrEx>
          <w:tblCellMar>
            <w:top w:w="0" w:type="dxa"/>
            <w:left w:w="108" w:type="dxa"/>
            <w:bottom w:w="0" w:type="dxa"/>
            <w:right w:w="108" w:type="dxa"/>
          </w:tblCellMar>
        </w:tblPrEx>
        <w:trPr>
          <w:trHeight w:val="973" w:hRule="atLeast"/>
        </w:trPr>
        <w:tc>
          <w:tcPr>
            <w:tcW w:w="715" w:type="dxa"/>
            <w:vMerge w:val="continue"/>
            <w:tcBorders>
              <w:left w:val="single" w:color="auto" w:sz="8" w:space="0"/>
              <w:right w:val="single" w:color="auto" w:sz="4" w:space="0"/>
            </w:tcBorders>
            <w:vAlign w:val="center"/>
          </w:tcPr>
          <w:p>
            <w:pPr>
              <w:ind w:firstLine="480" w:firstLineChars="200"/>
              <w:jc w:val="left"/>
              <w:rPr>
                <w:rFonts w:asciiTheme="minorEastAsia" w:hAnsiTheme="minorEastAsia" w:eastAsiaTheme="minorEastAsia" w:cstheme="minorEastAsia"/>
                <w:color w:val="auto"/>
                <w:sz w:val="24"/>
              </w:rPr>
            </w:pPr>
          </w:p>
        </w:tc>
        <w:tc>
          <w:tcPr>
            <w:tcW w:w="633"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5915" w:type="dxa"/>
            <w:tcBorders>
              <w:top w:val="single" w:color="auto" w:sz="4" w:space="0"/>
              <w:left w:val="nil"/>
              <w:bottom w:val="single" w:color="auto" w:sz="4" w:space="0"/>
              <w:right w:val="single" w:color="auto" w:sz="4" w:space="0"/>
            </w:tcBorders>
            <w:shd w:val="clear" w:color="000000" w:fill="FFFFFF"/>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项目难点</w:t>
            </w:r>
            <w:r>
              <w:rPr>
                <w:rFonts w:hint="eastAsia" w:asciiTheme="minorEastAsia" w:hAnsiTheme="minorEastAsia" w:eastAsiaTheme="minorEastAsia" w:cstheme="minorEastAsia"/>
                <w:color w:val="auto"/>
                <w:sz w:val="24"/>
                <w:lang w:val="en-US" w:eastAsia="zh-CN"/>
              </w:rPr>
              <w:t>的</w:t>
            </w:r>
            <w:r>
              <w:rPr>
                <w:rFonts w:hint="eastAsia" w:asciiTheme="minorEastAsia" w:hAnsiTheme="minorEastAsia" w:eastAsiaTheme="minorEastAsia" w:cstheme="minorEastAsia"/>
                <w:color w:val="auto"/>
                <w:sz w:val="24"/>
              </w:rPr>
              <w:t>对策措施</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方案</w:t>
            </w:r>
            <w:r>
              <w:rPr>
                <w:rFonts w:hint="eastAsia" w:asciiTheme="minorEastAsia" w:hAnsiTheme="minorEastAsia" w:eastAsiaTheme="minorEastAsia" w:cstheme="minorEastAsia"/>
                <w:color w:val="auto"/>
                <w:sz w:val="24"/>
                <w:lang w:val="en-US" w:eastAsia="zh-CN"/>
              </w:rPr>
              <w:t>合理，符合采购需求，针对性强的得5分；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方案基本可行，符合采购需求，针对性较强的得4分；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方案一般，基本符合采购需求，针对性一般的得3分；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方案不完整，部分符合采购需求，针对性有欠缺的得2分；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方案未提及、不符合采购需求，没有针对性的不得分。</w:t>
            </w:r>
          </w:p>
        </w:tc>
        <w:tc>
          <w:tcPr>
            <w:tcW w:w="612"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5分</w:t>
            </w:r>
          </w:p>
        </w:tc>
        <w:tc>
          <w:tcPr>
            <w:tcW w:w="1155" w:type="dxa"/>
            <w:tcBorders>
              <w:top w:val="single" w:color="auto" w:sz="4"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主观分</w:t>
            </w:r>
          </w:p>
        </w:tc>
      </w:tr>
      <w:tr>
        <w:tblPrEx>
          <w:tblCellMar>
            <w:top w:w="0" w:type="dxa"/>
            <w:left w:w="108" w:type="dxa"/>
            <w:bottom w:w="0" w:type="dxa"/>
            <w:right w:w="108" w:type="dxa"/>
          </w:tblCellMar>
        </w:tblPrEx>
        <w:trPr>
          <w:trHeight w:val="973" w:hRule="atLeast"/>
        </w:trPr>
        <w:tc>
          <w:tcPr>
            <w:tcW w:w="715" w:type="dxa"/>
            <w:vMerge w:val="continue"/>
            <w:tcBorders>
              <w:left w:val="single" w:color="auto" w:sz="8" w:space="0"/>
              <w:right w:val="single" w:color="auto" w:sz="4" w:space="0"/>
            </w:tcBorders>
            <w:vAlign w:val="center"/>
          </w:tcPr>
          <w:p>
            <w:pPr>
              <w:ind w:firstLine="480" w:firstLineChars="200"/>
              <w:jc w:val="left"/>
              <w:rPr>
                <w:rFonts w:asciiTheme="minorEastAsia" w:hAnsiTheme="minorEastAsia" w:eastAsiaTheme="minorEastAsia" w:cstheme="minorEastAsia"/>
                <w:color w:val="auto"/>
                <w:sz w:val="24"/>
              </w:rPr>
            </w:pPr>
          </w:p>
        </w:tc>
        <w:tc>
          <w:tcPr>
            <w:tcW w:w="633"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rPr>
              <w:t>10</w:t>
            </w:r>
          </w:p>
        </w:tc>
        <w:tc>
          <w:tcPr>
            <w:tcW w:w="5915" w:type="dxa"/>
            <w:tcBorders>
              <w:top w:val="single" w:color="auto" w:sz="4" w:space="0"/>
              <w:left w:val="nil"/>
              <w:bottom w:val="single" w:color="auto" w:sz="4" w:space="0"/>
              <w:right w:val="single" w:color="auto" w:sz="4" w:space="0"/>
            </w:tcBorders>
            <w:shd w:val="clear" w:color="000000" w:fill="FFFFFF"/>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关键技术问题的认识及其对策措施</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方案</w:t>
            </w:r>
            <w:r>
              <w:rPr>
                <w:rFonts w:hint="eastAsia" w:asciiTheme="minorEastAsia" w:hAnsiTheme="minorEastAsia" w:eastAsiaTheme="minorEastAsia" w:cstheme="minorEastAsia"/>
                <w:color w:val="auto"/>
                <w:sz w:val="24"/>
                <w:lang w:val="en-US" w:eastAsia="zh-CN"/>
              </w:rPr>
              <w:t>合理，符合采购需求，针对性强的得5分；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方案基本可行，符合采购需求，针对性较强的得4分；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方案一般，基本符合采购需求，针对性一般的得3分；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方案不完整，部分符合采购需求，针对性有欠缺的得2分；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方案未提及、不符合采购需求，没有针对性的不得分。</w:t>
            </w:r>
          </w:p>
        </w:tc>
        <w:tc>
          <w:tcPr>
            <w:tcW w:w="612"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5分</w:t>
            </w:r>
          </w:p>
        </w:tc>
        <w:tc>
          <w:tcPr>
            <w:tcW w:w="1155" w:type="dxa"/>
            <w:tcBorders>
              <w:top w:val="single" w:color="auto" w:sz="4" w:space="0"/>
              <w:left w:val="single" w:color="auto" w:sz="4" w:space="0"/>
              <w:bottom w:val="single" w:color="auto" w:sz="4"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主观分</w:t>
            </w:r>
          </w:p>
        </w:tc>
      </w:tr>
      <w:tr>
        <w:tblPrEx>
          <w:tblCellMar>
            <w:top w:w="0" w:type="dxa"/>
            <w:left w:w="108" w:type="dxa"/>
            <w:bottom w:w="0" w:type="dxa"/>
            <w:right w:w="108" w:type="dxa"/>
          </w:tblCellMar>
        </w:tblPrEx>
        <w:trPr>
          <w:trHeight w:val="918" w:hRule="atLeast"/>
        </w:trPr>
        <w:tc>
          <w:tcPr>
            <w:tcW w:w="715" w:type="dxa"/>
            <w:vMerge w:val="continue"/>
            <w:tcBorders>
              <w:left w:val="single" w:color="auto" w:sz="8" w:space="0"/>
              <w:right w:val="single" w:color="auto" w:sz="4" w:space="0"/>
            </w:tcBorders>
            <w:vAlign w:val="center"/>
          </w:tcPr>
          <w:p>
            <w:pPr>
              <w:ind w:firstLine="480" w:firstLineChars="200"/>
              <w:jc w:val="left"/>
              <w:rPr>
                <w:rFonts w:asciiTheme="minorEastAsia" w:hAnsiTheme="minorEastAsia" w:eastAsiaTheme="minorEastAsia" w:cstheme="minorEastAsia"/>
                <w:color w:val="auto"/>
                <w:sz w:val="24"/>
              </w:rPr>
            </w:pPr>
          </w:p>
        </w:tc>
        <w:tc>
          <w:tcPr>
            <w:tcW w:w="633"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rPr>
              <w:t>11</w:t>
            </w:r>
          </w:p>
        </w:tc>
        <w:tc>
          <w:tcPr>
            <w:tcW w:w="5915" w:type="dxa"/>
            <w:tcBorders>
              <w:top w:val="single" w:color="auto" w:sz="4" w:space="0"/>
              <w:left w:val="nil"/>
              <w:bottom w:val="single" w:color="auto" w:sz="4" w:space="0"/>
              <w:right w:val="single" w:color="auto" w:sz="4" w:space="0"/>
            </w:tcBorders>
            <w:shd w:val="clear" w:color="000000" w:fill="FFFFFF"/>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检测质量保证措施</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方案</w:t>
            </w:r>
            <w:r>
              <w:rPr>
                <w:rFonts w:hint="eastAsia" w:asciiTheme="minorEastAsia" w:hAnsiTheme="minorEastAsia" w:eastAsiaTheme="minorEastAsia" w:cstheme="minorEastAsia"/>
                <w:color w:val="auto"/>
                <w:sz w:val="24"/>
                <w:lang w:val="en-US" w:eastAsia="zh-CN"/>
              </w:rPr>
              <w:t>合理，符合采购需求，针对性强的得4分；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方案基本可行，符合采购需求，针对性较强的得3分；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方案一般，基本符合采购需求，针对性一般的得2分；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方案不完整，部分符合采购需求，针对性有欠缺的得1分；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方案未提及、不符合采购需求，没有针对性的不得分。</w:t>
            </w:r>
          </w:p>
        </w:tc>
        <w:tc>
          <w:tcPr>
            <w:tcW w:w="612"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分</w:t>
            </w:r>
          </w:p>
        </w:tc>
        <w:tc>
          <w:tcPr>
            <w:tcW w:w="1155" w:type="dxa"/>
            <w:tcBorders>
              <w:top w:val="single" w:color="auto" w:sz="4"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主观分</w:t>
            </w:r>
          </w:p>
        </w:tc>
      </w:tr>
      <w:tr>
        <w:tblPrEx>
          <w:tblCellMar>
            <w:top w:w="0" w:type="dxa"/>
            <w:left w:w="108" w:type="dxa"/>
            <w:bottom w:w="0" w:type="dxa"/>
            <w:right w:w="108" w:type="dxa"/>
          </w:tblCellMar>
        </w:tblPrEx>
        <w:trPr>
          <w:trHeight w:val="312" w:hRule="atLeast"/>
        </w:trPr>
        <w:tc>
          <w:tcPr>
            <w:tcW w:w="715" w:type="dxa"/>
            <w:vMerge w:val="continue"/>
            <w:tcBorders>
              <w:left w:val="single" w:color="auto" w:sz="8" w:space="0"/>
              <w:right w:val="single" w:color="auto" w:sz="4" w:space="0"/>
            </w:tcBorders>
            <w:vAlign w:val="center"/>
          </w:tcPr>
          <w:p>
            <w:pPr>
              <w:ind w:firstLine="480" w:firstLineChars="200"/>
              <w:jc w:val="left"/>
              <w:rPr>
                <w:rFonts w:asciiTheme="minorEastAsia" w:hAnsiTheme="minorEastAsia" w:eastAsiaTheme="minorEastAsia" w:cstheme="minorEastAsia"/>
                <w:color w:val="auto"/>
                <w:sz w:val="24"/>
              </w:rPr>
            </w:pPr>
          </w:p>
        </w:tc>
        <w:tc>
          <w:tcPr>
            <w:tcW w:w="633" w:type="dxa"/>
            <w:tcBorders>
              <w:top w:val="nil"/>
              <w:left w:val="single" w:color="auto" w:sz="8"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12</w:t>
            </w:r>
          </w:p>
        </w:tc>
        <w:tc>
          <w:tcPr>
            <w:tcW w:w="5915" w:type="dxa"/>
            <w:tcBorders>
              <w:top w:val="single" w:color="auto" w:sz="4" w:space="0"/>
              <w:left w:val="nil"/>
              <w:bottom w:val="single" w:color="auto" w:sz="4" w:space="0"/>
              <w:right w:val="single" w:color="auto" w:sz="4" w:space="0"/>
            </w:tcBorders>
            <w:shd w:val="clear" w:color="000000" w:fill="FFFFFF"/>
            <w:vAlign w:val="center"/>
          </w:tcPr>
          <w:p>
            <w:pPr>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检测进度保证措施</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方案</w:t>
            </w:r>
            <w:r>
              <w:rPr>
                <w:rFonts w:hint="eastAsia" w:asciiTheme="minorEastAsia" w:hAnsiTheme="minorEastAsia" w:eastAsiaTheme="minorEastAsia" w:cstheme="minorEastAsia"/>
                <w:color w:val="auto"/>
                <w:sz w:val="24"/>
                <w:lang w:val="en-US" w:eastAsia="zh-CN"/>
              </w:rPr>
              <w:t>合理，符合采购需求，针对性强的得4分；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方案基本可行，符合采购需求，针对性较强的得3分；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方案一般，基本符合采购需求，针对性一般的得2分；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方案不完整，部分符合采购需求，针对性有欠缺的得1分；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方案未提及、不符合采购需求，没有针对性的不得分。</w:t>
            </w:r>
          </w:p>
        </w:tc>
        <w:tc>
          <w:tcPr>
            <w:tcW w:w="612"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分</w:t>
            </w:r>
          </w:p>
        </w:tc>
        <w:tc>
          <w:tcPr>
            <w:tcW w:w="1155" w:type="dxa"/>
            <w:tcBorders>
              <w:top w:val="single" w:color="auto" w:sz="4"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主观分</w:t>
            </w:r>
          </w:p>
        </w:tc>
      </w:tr>
      <w:tr>
        <w:tblPrEx>
          <w:tblCellMar>
            <w:top w:w="0" w:type="dxa"/>
            <w:left w:w="108" w:type="dxa"/>
            <w:bottom w:w="0" w:type="dxa"/>
            <w:right w:w="108" w:type="dxa"/>
          </w:tblCellMar>
        </w:tblPrEx>
        <w:trPr>
          <w:trHeight w:val="1504" w:hRule="atLeast"/>
        </w:trPr>
        <w:tc>
          <w:tcPr>
            <w:tcW w:w="715" w:type="dxa"/>
            <w:vMerge w:val="continue"/>
            <w:tcBorders>
              <w:left w:val="single" w:color="auto" w:sz="8" w:space="0"/>
              <w:right w:val="single" w:color="auto" w:sz="4" w:space="0"/>
            </w:tcBorders>
            <w:vAlign w:val="center"/>
          </w:tcPr>
          <w:p>
            <w:pPr>
              <w:ind w:firstLine="480" w:firstLineChars="200"/>
              <w:jc w:val="left"/>
              <w:rPr>
                <w:rFonts w:asciiTheme="minorEastAsia" w:hAnsiTheme="minorEastAsia" w:eastAsiaTheme="minorEastAsia" w:cstheme="minorEastAsia"/>
                <w:color w:val="auto"/>
                <w:sz w:val="24"/>
              </w:rPr>
            </w:pPr>
          </w:p>
        </w:tc>
        <w:tc>
          <w:tcPr>
            <w:tcW w:w="633" w:type="dxa"/>
            <w:tcBorders>
              <w:top w:val="nil"/>
              <w:left w:val="single" w:color="auto" w:sz="8"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13</w:t>
            </w:r>
          </w:p>
        </w:tc>
        <w:tc>
          <w:tcPr>
            <w:tcW w:w="5915" w:type="dxa"/>
            <w:tcBorders>
              <w:top w:val="single" w:color="auto" w:sz="4" w:space="0"/>
              <w:left w:val="nil"/>
              <w:bottom w:val="single" w:color="auto" w:sz="4" w:space="0"/>
              <w:right w:val="single" w:color="auto" w:sz="4" w:space="0"/>
            </w:tcBorders>
            <w:shd w:val="clear" w:color="000000" w:fill="FFFFFF"/>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安全防护措施</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方案</w:t>
            </w:r>
            <w:r>
              <w:rPr>
                <w:rFonts w:hint="eastAsia" w:asciiTheme="minorEastAsia" w:hAnsiTheme="minorEastAsia" w:eastAsiaTheme="minorEastAsia" w:cstheme="minorEastAsia"/>
                <w:color w:val="auto"/>
                <w:sz w:val="24"/>
                <w:lang w:val="en-US" w:eastAsia="zh-CN"/>
              </w:rPr>
              <w:t>合理，符合采购需求，针对性强的得4分；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方案基本可行，符合采购需求，针对性较强的得3分；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方案一般，基本符合采购需求，针对性一般的得2分；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方案不完整，部分符合采购需求，针对性有欠缺的得1分；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方案未提及、不符合采购需求，没有针对性的不得分。</w:t>
            </w:r>
          </w:p>
        </w:tc>
        <w:tc>
          <w:tcPr>
            <w:tcW w:w="612"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分</w:t>
            </w:r>
          </w:p>
        </w:tc>
        <w:tc>
          <w:tcPr>
            <w:tcW w:w="1155" w:type="dxa"/>
            <w:tcBorders>
              <w:top w:val="single" w:color="auto" w:sz="4"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主观分</w:t>
            </w:r>
          </w:p>
        </w:tc>
      </w:tr>
      <w:tr>
        <w:tblPrEx>
          <w:tblCellMar>
            <w:top w:w="0" w:type="dxa"/>
            <w:left w:w="108" w:type="dxa"/>
            <w:bottom w:w="0" w:type="dxa"/>
            <w:right w:w="108" w:type="dxa"/>
          </w:tblCellMar>
        </w:tblPrEx>
        <w:trPr>
          <w:trHeight w:val="1609" w:hRule="atLeast"/>
        </w:trPr>
        <w:tc>
          <w:tcPr>
            <w:tcW w:w="715" w:type="dxa"/>
            <w:vMerge w:val="continue"/>
            <w:tcBorders>
              <w:left w:val="single" w:color="auto" w:sz="8" w:space="0"/>
              <w:right w:val="single" w:color="auto" w:sz="4" w:space="0"/>
            </w:tcBorders>
            <w:vAlign w:val="center"/>
          </w:tcPr>
          <w:p>
            <w:pPr>
              <w:ind w:firstLine="480" w:firstLineChars="200"/>
              <w:jc w:val="left"/>
              <w:rPr>
                <w:rFonts w:asciiTheme="minorEastAsia" w:hAnsiTheme="minorEastAsia" w:eastAsiaTheme="minorEastAsia" w:cstheme="minorEastAsia"/>
                <w:color w:val="auto"/>
                <w:sz w:val="24"/>
              </w:rPr>
            </w:pPr>
          </w:p>
        </w:tc>
        <w:tc>
          <w:tcPr>
            <w:tcW w:w="633" w:type="dxa"/>
            <w:tcBorders>
              <w:top w:val="nil"/>
              <w:left w:val="single" w:color="auto" w:sz="8" w:space="0"/>
              <w:right w:val="single" w:color="auto" w:sz="4" w:space="0"/>
            </w:tcBorders>
            <w:shd w:val="clear" w:color="auto" w:fill="auto"/>
            <w:vAlign w:val="center"/>
          </w:tcPr>
          <w:p>
            <w:pPr>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14</w:t>
            </w:r>
          </w:p>
        </w:tc>
        <w:tc>
          <w:tcPr>
            <w:tcW w:w="5915" w:type="dxa"/>
            <w:tcBorders>
              <w:top w:val="single" w:color="auto" w:sz="4" w:space="0"/>
              <w:left w:val="nil"/>
              <w:right w:val="single" w:color="auto" w:sz="4" w:space="0"/>
            </w:tcBorders>
            <w:shd w:val="clear" w:color="000000" w:fill="FFFFFF"/>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廉政保证措施</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方案</w:t>
            </w:r>
            <w:r>
              <w:rPr>
                <w:rFonts w:hint="eastAsia" w:asciiTheme="minorEastAsia" w:hAnsiTheme="minorEastAsia" w:eastAsiaTheme="minorEastAsia" w:cstheme="minorEastAsia"/>
                <w:color w:val="auto"/>
                <w:sz w:val="24"/>
                <w:lang w:val="en-US" w:eastAsia="zh-CN"/>
              </w:rPr>
              <w:t>合理，符合采购需求，针对性强的得4分；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方案基本可行，符合采购需求，针对性较强的得3分；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方案一般，基本符合采购需求，针对性一般的得2分；</w:t>
            </w:r>
          </w:p>
          <w:p>
            <w:pPr>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方案不完整，部分符合采购需求，针对性有欠缺的得1分；</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方案未提及、不符合采购需求，没有针对性的不得分。</w:t>
            </w:r>
          </w:p>
        </w:tc>
        <w:tc>
          <w:tcPr>
            <w:tcW w:w="612" w:type="dxa"/>
            <w:tcBorders>
              <w:top w:val="single" w:color="auto" w:sz="4" w:space="0"/>
              <w:left w:val="nil"/>
              <w:right w:val="single" w:color="auto" w:sz="4"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分</w:t>
            </w:r>
          </w:p>
        </w:tc>
        <w:tc>
          <w:tcPr>
            <w:tcW w:w="1155" w:type="dxa"/>
            <w:tcBorders>
              <w:top w:val="single" w:color="auto" w:sz="4"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主观分</w:t>
            </w:r>
          </w:p>
        </w:tc>
      </w:tr>
      <w:tr>
        <w:tblPrEx>
          <w:tblCellMar>
            <w:top w:w="0" w:type="dxa"/>
            <w:left w:w="108" w:type="dxa"/>
            <w:bottom w:w="0" w:type="dxa"/>
            <w:right w:w="108" w:type="dxa"/>
          </w:tblCellMar>
        </w:tblPrEx>
        <w:trPr>
          <w:trHeight w:val="703"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报价部分（15分）</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5915" w:type="dxa"/>
            <w:tcBorders>
              <w:top w:val="single" w:color="auto" w:sz="4" w:space="0"/>
              <w:left w:val="nil"/>
              <w:bottom w:val="single" w:color="auto" w:sz="4" w:space="0"/>
              <w:right w:val="single" w:color="auto" w:sz="4" w:space="0"/>
            </w:tcBorders>
            <w:shd w:val="clear" w:color="000000" w:fill="FFFFFF"/>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有效投标报价的最低价作为评标基准价，其最低报价为满分；按［投标报价得分=（评标基准价/投标报价）*15］的计算公式计算。</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评标过程中，不得去掉报价中的最高报价和最低报价。</w:t>
            </w:r>
          </w:p>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因落实政府采购政策需要进行价格调整的，以调整后的价格计算评标基准价和投标报价。</w:t>
            </w:r>
          </w:p>
        </w:tc>
        <w:tc>
          <w:tcPr>
            <w:tcW w:w="612" w:type="dxa"/>
            <w:tcBorders>
              <w:top w:val="single" w:color="auto" w:sz="4" w:space="0"/>
              <w:left w:val="nil"/>
              <w:bottom w:val="single" w:color="auto" w:sz="4" w:space="0"/>
              <w:right w:val="single" w:color="auto" w:sz="4" w:space="0"/>
            </w:tcBorders>
            <w:shd w:val="clear" w:color="auto" w:fill="auto"/>
            <w:vAlign w:val="center"/>
          </w:tcPr>
          <w:p>
            <w:pPr>
              <w:spacing w:line="360" w:lineRule="auto"/>
              <w:outlineLv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highlight w:val="none"/>
              </w:rPr>
              <w:t>15</w:t>
            </w:r>
            <w:r>
              <w:rPr>
                <w:rFonts w:hint="eastAsia" w:asciiTheme="minorEastAsia" w:hAnsiTheme="minorEastAsia" w:eastAsiaTheme="minorEastAsia" w:cstheme="minorEastAsia"/>
                <w:color w:val="auto"/>
                <w:sz w:val="24"/>
                <w:highlight w:val="none"/>
                <w:lang w:eastAsia="zh-CN"/>
              </w:rPr>
              <w:t>分</w:t>
            </w:r>
          </w:p>
        </w:tc>
        <w:tc>
          <w:tcPr>
            <w:tcW w:w="1155" w:type="dxa"/>
            <w:tcBorders>
              <w:top w:val="single" w:color="auto" w:sz="4" w:space="0"/>
              <w:left w:val="single" w:color="auto" w:sz="4" w:space="0"/>
              <w:bottom w:val="single" w:color="auto" w:sz="4" w:space="0"/>
              <w:right w:val="single" w:color="auto" w:sz="8" w:space="0"/>
            </w:tcBorders>
            <w:shd w:val="clear" w:color="auto" w:fill="auto"/>
            <w:vAlign w:val="center"/>
          </w:tcPr>
          <w:p>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r>
    </w:tbl>
    <w:p>
      <w:pPr>
        <w:snapToGrid w:val="0"/>
        <w:spacing w:line="360" w:lineRule="auto"/>
        <w:rPr>
          <w:rFonts w:hint="eastAsia" w:ascii="宋体" w:hAnsi="宋体" w:cs="宋体"/>
          <w:b/>
          <w:sz w:val="32"/>
        </w:rPr>
      </w:pPr>
      <w:r>
        <w:rPr>
          <w:rFonts w:hint="eastAsia" w:ascii="宋体" w:hAnsi="宋体" w:cs="宋体"/>
          <w:sz w:val="20"/>
          <w:szCs w:val="20"/>
          <w:shd w:val="clear" w:color="auto" w:fill="FFFFFF"/>
        </w:rPr>
        <w:t> *</w:t>
      </w:r>
      <w:r>
        <w:rPr>
          <w:rFonts w:hint="eastAsia" w:ascii="宋体" w:hAnsi="宋体" w:cs="宋体"/>
          <w:b/>
          <w:sz w:val="24"/>
        </w:rPr>
        <w:t>备注：1、</w:t>
      </w:r>
      <w:r>
        <w:rPr>
          <w:rFonts w:hint="eastAsia" w:ascii="宋体" w:hAnsi="宋体" w:cs="宋体"/>
          <w:sz w:val="24"/>
        </w:rPr>
        <w:t>投标人编制投标文件（商务技术文件部分）时，建议按此目录（序号和内容）提供评标标准相应的商务技术资料。</w:t>
      </w:r>
    </w:p>
    <w:p>
      <w:pPr>
        <w:snapToGrid w:val="0"/>
        <w:spacing w:line="360" w:lineRule="auto"/>
        <w:rPr>
          <w:rFonts w:hint="eastAsia"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kern w:val="0"/>
          <w:sz w:val="24"/>
        </w:rPr>
      </w:pPr>
      <w:r>
        <w:rPr>
          <w:rFonts w:hint="eastAsia" w:ascii="宋体" w:hAnsi="宋体" w:cs="宋体"/>
          <w:b/>
          <w:sz w:val="32"/>
        </w:rPr>
        <w:t>二、评标标准</w:t>
      </w:r>
    </w:p>
    <w:p>
      <w:pPr>
        <w:spacing w:line="360" w:lineRule="auto"/>
        <w:ind w:firstLine="472" w:firstLineChars="196"/>
        <w:rPr>
          <w:rFonts w:hint="eastAsia"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pPr>
        <w:pStyle w:val="20"/>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pPr>
        <w:pStyle w:val="20"/>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20"/>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pPr>
        <w:pStyle w:val="20"/>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20"/>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20"/>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20"/>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0"/>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pPr>
        <w:pStyle w:val="20"/>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4.2.6投标文件出现不是唯一的、有选择性投标报价的;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4.2.13 投标文件不满足招标文件的其它实质性要求的；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7"/>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pPr>
        <w:pStyle w:val="7"/>
        <w:snapToGrid w:val="0"/>
        <w:spacing w:line="360" w:lineRule="auto"/>
        <w:rPr>
          <w:rFonts w:hint="eastAsia" w:cs="宋体"/>
        </w:rPr>
      </w:pPr>
      <w:r>
        <w:rPr>
          <w:rFonts w:hint="eastAsia" w:cs="宋体"/>
        </w:rPr>
        <w:t>5.1符合专业条件的供应商或者对招标文件作实质响应的供应商不足3家的；</w:t>
      </w:r>
    </w:p>
    <w:p>
      <w:pPr>
        <w:pStyle w:val="7"/>
        <w:snapToGrid w:val="0"/>
        <w:spacing w:line="360" w:lineRule="auto"/>
        <w:rPr>
          <w:rFonts w:hint="eastAsia" w:cs="宋体"/>
        </w:rPr>
      </w:pPr>
      <w:r>
        <w:rPr>
          <w:rFonts w:hint="eastAsia" w:cs="宋体"/>
        </w:rPr>
        <w:t>5.2出现影响采购公正的违法、违规行为的；</w:t>
      </w:r>
    </w:p>
    <w:p>
      <w:pPr>
        <w:pStyle w:val="7"/>
        <w:snapToGrid w:val="0"/>
        <w:spacing w:line="360" w:lineRule="auto"/>
        <w:rPr>
          <w:rFonts w:hint="eastAsia" w:cs="宋体"/>
        </w:rPr>
      </w:pPr>
      <w:r>
        <w:rPr>
          <w:rFonts w:hint="eastAsia" w:cs="宋体"/>
        </w:rPr>
        <w:t>5.3投标人的报价均超过了采购预算，采购人不能支付的；</w:t>
      </w:r>
    </w:p>
    <w:p>
      <w:pPr>
        <w:pStyle w:val="7"/>
        <w:snapToGrid w:val="0"/>
        <w:spacing w:line="360" w:lineRule="auto"/>
        <w:rPr>
          <w:rFonts w:hint="eastAsia" w:cs="宋体"/>
        </w:rPr>
      </w:pPr>
      <w:r>
        <w:rPr>
          <w:rFonts w:hint="eastAsia" w:cs="宋体"/>
        </w:rPr>
        <w:t>5.4因重大变故，采购任务取消的。</w:t>
      </w:r>
    </w:p>
    <w:p>
      <w:pPr>
        <w:pStyle w:val="7"/>
        <w:snapToGrid w:val="0"/>
        <w:spacing w:line="360" w:lineRule="auto"/>
        <w:rPr>
          <w:rFonts w:hint="eastAsia" w:cs="宋体"/>
        </w:rPr>
      </w:pPr>
      <w:r>
        <w:rPr>
          <w:rFonts w:hint="eastAsia" w:cs="宋体"/>
        </w:rPr>
        <w:t>废标后，采购机构应当将废标理由通知所有投标人。</w:t>
      </w:r>
    </w:p>
    <w:p>
      <w:pPr>
        <w:pStyle w:val="7"/>
        <w:snapToGrid w:val="0"/>
        <w:spacing w:line="360" w:lineRule="auto"/>
        <w:ind w:firstLine="472" w:firstLineChars="196"/>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472" w:firstLineChars="196"/>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7"/>
        <w:snapToGrid w:val="0"/>
        <w:spacing w:line="360" w:lineRule="auto"/>
        <w:rPr>
          <w:rFonts w:hint="eastAsia" w:cs="宋体"/>
        </w:rPr>
      </w:pPr>
      <w:r>
        <w:rPr>
          <w:rFonts w:hint="eastAsia" w:cs="宋体"/>
        </w:rPr>
        <w:t>7.1未确定中标或者中标人的，终止本次政府采购活动，重新开展政府采购活动。</w:t>
      </w:r>
    </w:p>
    <w:p>
      <w:pPr>
        <w:pStyle w:val="7"/>
        <w:snapToGrid w:val="0"/>
        <w:spacing w:line="360" w:lineRule="auto"/>
        <w:rPr>
          <w:rFonts w:hint="eastAsia"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rPr>
          <w:rFonts w:hint="eastAsia"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hint="eastAsia" w:cs="宋体"/>
        </w:rPr>
      </w:pPr>
      <w:r>
        <w:rPr>
          <w:rFonts w:hint="eastAsia" w:cs="宋体"/>
        </w:rPr>
        <w:t>7.4政府采购合同已经履行，给采购人、供应商造成损失的，由责任人承担赔偿责任。</w:t>
      </w:r>
    </w:p>
    <w:p>
      <w:pPr>
        <w:pStyle w:val="7"/>
        <w:snapToGrid w:val="0"/>
        <w:spacing w:line="360" w:lineRule="auto"/>
        <w:rPr>
          <w:rFonts w:hint="eastAsia"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p>
      <w:pPr>
        <w:pStyle w:val="7"/>
        <w:snapToGrid w:val="0"/>
        <w:spacing w:line="360" w:lineRule="auto"/>
        <w:ind w:firstLine="0" w:firstLineChars="0"/>
        <w:jc w:val="center"/>
        <w:rPr>
          <w:rFonts w:hint="eastAsia" w:cs="宋体"/>
          <w:b/>
          <w:sz w:val="36"/>
          <w:szCs w:val="36"/>
        </w:rPr>
      </w:pPr>
      <w:r>
        <w:rPr>
          <w:rFonts w:hint="eastAsia" w:cs="宋体"/>
        </w:rPr>
        <w:br w:type="page"/>
      </w:r>
      <w:bookmarkEnd w:id="26"/>
      <w:bookmarkStart w:id="406" w:name="第五部分"/>
      <w:bookmarkStart w:id="407" w:name="_Toc86217003"/>
      <w:r>
        <w:rPr>
          <w:rFonts w:hint="eastAsia" w:cs="宋体"/>
          <w:b/>
          <w:sz w:val="36"/>
          <w:szCs w:val="36"/>
        </w:rPr>
        <w:t>第五部分  拟签订的合同文本</w:t>
      </w:r>
    </w:p>
    <w:p>
      <w:pPr>
        <w:keepNext w:val="0"/>
        <w:keepLines w:val="0"/>
        <w:pageBreakBefore w:val="0"/>
        <w:widowControl/>
        <w:kinsoku/>
        <w:wordWrap/>
        <w:overflowPunct/>
        <w:topLinePunct w:val="0"/>
        <w:autoSpaceDE w:val="0"/>
        <w:autoSpaceDN w:val="0"/>
        <w:bidi w:val="0"/>
        <w:adjustRightInd w:val="0"/>
        <w:snapToGrid/>
        <w:spacing w:before="240" w:after="240"/>
        <w:jc w:val="left"/>
        <w:textAlignment w:val="auto"/>
        <w:outlineLvl w:val="0"/>
        <w:rPr>
          <w:rFonts w:ascii="宋体" w:hAnsi="宋体" w:cs="宋体"/>
          <w:b/>
          <w:bCs/>
          <w:color w:val="auto"/>
          <w:kern w:val="0"/>
          <w:sz w:val="24"/>
        </w:rPr>
      </w:pPr>
      <w:bookmarkStart w:id="408" w:name="_Toc258325226"/>
      <w:bookmarkStart w:id="409" w:name="_Toc386538096"/>
      <w:r>
        <w:rPr>
          <w:rFonts w:ascii="宋体" w:hAnsi="宋体" w:cs="宋体"/>
          <w:b/>
          <w:bCs/>
          <w:color w:val="auto"/>
          <w:kern w:val="0"/>
          <w:sz w:val="24"/>
        </w:rPr>
        <w:t>1</w:t>
      </w:r>
      <w:r>
        <w:rPr>
          <w:rFonts w:hint="eastAsia" w:ascii="宋体" w:hAnsi="宋体" w:cs="宋体"/>
          <w:b/>
          <w:bCs/>
          <w:color w:val="auto"/>
          <w:kern w:val="0"/>
          <w:sz w:val="24"/>
        </w:rPr>
        <w:t>．定义与解释</w:t>
      </w:r>
    </w:p>
    <w:p>
      <w:pPr>
        <w:widowControl/>
        <w:autoSpaceDE w:val="0"/>
        <w:autoSpaceDN w:val="0"/>
        <w:spacing w:before="240" w:after="240"/>
        <w:jc w:val="left"/>
        <w:rPr>
          <w:rFonts w:ascii="宋体" w:hAnsi="宋体" w:cs="宋体"/>
          <w:b/>
          <w:bCs/>
          <w:color w:val="auto"/>
          <w:kern w:val="0"/>
          <w:sz w:val="24"/>
        </w:rPr>
      </w:pPr>
      <w:r>
        <w:rPr>
          <w:rFonts w:ascii="宋体" w:hAnsi="宋体" w:cs="宋体"/>
          <w:b/>
          <w:bCs/>
          <w:color w:val="auto"/>
          <w:kern w:val="0"/>
          <w:sz w:val="24"/>
        </w:rPr>
        <w:t>1.1</w:t>
      </w:r>
      <w:r>
        <w:rPr>
          <w:rFonts w:hint="eastAsia" w:ascii="宋体" w:hAnsi="宋体" w:cs="宋体"/>
          <w:b/>
          <w:bCs/>
          <w:color w:val="auto"/>
          <w:kern w:val="0"/>
          <w:sz w:val="24"/>
        </w:rPr>
        <w:t>定义</w:t>
      </w:r>
    </w:p>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 xml:space="preserve">1.1.1  </w:t>
      </w:r>
      <w:r>
        <w:rPr>
          <w:rFonts w:hint="eastAsia" w:ascii="宋体" w:hAnsi="宋体" w:cs="宋体"/>
          <w:color w:val="auto"/>
          <w:kern w:val="0"/>
          <w:sz w:val="24"/>
        </w:rPr>
        <w:t>工程</w:t>
      </w:r>
    </w:p>
    <w:p>
      <w:pPr>
        <w:widowControl/>
        <w:autoSpaceDE w:val="0"/>
        <w:autoSpaceDN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项目名称：202</w:t>
      </w:r>
      <w:r>
        <w:rPr>
          <w:rFonts w:hint="eastAsia" w:ascii="宋体" w:hAnsi="宋体" w:cs="宋体"/>
          <w:color w:val="auto"/>
          <w:kern w:val="0"/>
          <w:sz w:val="24"/>
          <w:lang w:val="en-US" w:eastAsia="zh-CN"/>
        </w:rPr>
        <w:t>5</w:t>
      </w:r>
      <w:r>
        <w:rPr>
          <w:rFonts w:hint="eastAsia" w:ascii="宋体" w:hAnsi="宋体" w:cs="宋体"/>
          <w:color w:val="auto"/>
          <w:kern w:val="0"/>
          <w:sz w:val="24"/>
        </w:rPr>
        <w:t>年钱塘区公路路况、桥梁检测项目；</w:t>
      </w:r>
    </w:p>
    <w:p>
      <w:pPr>
        <w:widowControl/>
        <w:autoSpaceDE w:val="0"/>
        <w:autoSpaceDN w:val="0"/>
        <w:spacing w:line="360" w:lineRule="auto"/>
        <w:ind w:firstLine="420"/>
        <w:jc w:val="left"/>
        <w:rPr>
          <w:rFonts w:ascii="宋体" w:hAnsi="宋体" w:cs="宋体"/>
          <w:color w:val="auto"/>
          <w:kern w:val="0"/>
          <w:sz w:val="24"/>
          <w:u w:val="single"/>
        </w:rPr>
      </w:pPr>
      <w:r>
        <w:rPr>
          <w:rFonts w:hint="eastAsia" w:ascii="宋体" w:hAnsi="宋体" w:cs="宋体"/>
          <w:color w:val="auto"/>
          <w:kern w:val="0"/>
          <w:sz w:val="24"/>
        </w:rPr>
        <w:t>发包人名称：</w:t>
      </w:r>
      <w:r>
        <w:rPr>
          <w:rFonts w:hint="eastAsia" w:ascii="Calibri" w:hAnsi="宋体" w:cs="宋体"/>
          <w:color w:val="auto"/>
          <w:kern w:val="0"/>
          <w:sz w:val="24"/>
          <w:u w:val="single"/>
        </w:rPr>
        <w:t>杭州市钱塘区交通运输局</w:t>
      </w:r>
      <w:r>
        <w:rPr>
          <w:rFonts w:hint="eastAsia" w:ascii="宋体" w:hAnsi="宋体" w:cs="宋体"/>
          <w:color w:val="auto"/>
          <w:kern w:val="0"/>
          <w:sz w:val="24"/>
        </w:rPr>
        <w:t>；</w:t>
      </w:r>
    </w:p>
    <w:p>
      <w:pPr>
        <w:widowControl/>
        <w:autoSpaceDE w:val="0"/>
        <w:autoSpaceDN w:val="0"/>
        <w:spacing w:line="360" w:lineRule="auto"/>
        <w:ind w:firstLine="420"/>
        <w:jc w:val="left"/>
        <w:rPr>
          <w:rFonts w:ascii="宋体" w:hAnsi="宋体" w:cs="宋体"/>
          <w:color w:val="auto"/>
          <w:kern w:val="0"/>
          <w:sz w:val="24"/>
          <w:u w:val="single"/>
        </w:rPr>
      </w:pPr>
      <w:r>
        <w:rPr>
          <w:rFonts w:hint="eastAsia" w:ascii="宋体" w:hAnsi="宋体" w:cs="宋体"/>
          <w:color w:val="auto"/>
          <w:kern w:val="0"/>
          <w:sz w:val="24"/>
        </w:rPr>
        <w:t>立项审批情况：</w:t>
      </w:r>
      <w:r>
        <w:rPr>
          <w:rFonts w:hint="eastAsia" w:ascii="宋体" w:hAnsi="宋体" w:cs="宋体"/>
          <w:color w:val="auto"/>
          <w:kern w:val="0"/>
          <w:sz w:val="24"/>
          <w:u w:val="single"/>
        </w:rPr>
        <w:t>完成</w:t>
      </w:r>
      <w:r>
        <w:rPr>
          <w:rFonts w:hint="eastAsia" w:ascii="宋体" w:hAnsi="宋体" w:cs="宋体"/>
          <w:color w:val="auto"/>
          <w:kern w:val="0"/>
          <w:sz w:val="24"/>
        </w:rPr>
        <w:t>；</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资金组成及到位情况：</w:t>
      </w:r>
      <w:r>
        <w:rPr>
          <w:rFonts w:hint="eastAsia" w:ascii="宋体" w:hAnsi="宋体" w:cs="宋体"/>
          <w:color w:val="auto"/>
          <w:kern w:val="0"/>
          <w:sz w:val="24"/>
          <w:u w:val="single"/>
        </w:rPr>
        <w:t>政府投资全部到位</w:t>
      </w:r>
      <w:r>
        <w:rPr>
          <w:rFonts w:hint="eastAsia" w:ascii="宋体" w:hAnsi="宋体" w:cs="宋体"/>
          <w:color w:val="auto"/>
          <w:kern w:val="0"/>
          <w:sz w:val="24"/>
        </w:rPr>
        <w:t>；</w:t>
      </w:r>
    </w:p>
    <w:p>
      <w:pPr>
        <w:widowControl/>
        <w:autoSpaceDE w:val="0"/>
        <w:autoSpaceDN w:val="0"/>
        <w:spacing w:line="360" w:lineRule="auto"/>
        <w:ind w:firstLine="420"/>
        <w:jc w:val="left"/>
        <w:rPr>
          <w:rFonts w:ascii="宋体" w:hAnsi="宋体" w:cs="宋体"/>
          <w:color w:val="auto"/>
          <w:kern w:val="0"/>
          <w:sz w:val="24"/>
          <w:u w:val="single"/>
        </w:rPr>
      </w:pPr>
      <w:r>
        <w:rPr>
          <w:rFonts w:hint="eastAsia" w:ascii="宋体" w:hAnsi="宋体" w:cs="宋体"/>
          <w:color w:val="auto"/>
          <w:kern w:val="0"/>
          <w:sz w:val="24"/>
        </w:rPr>
        <w:t>采购文件备案情况：</w:t>
      </w:r>
      <w:r>
        <w:rPr>
          <w:rFonts w:hint="eastAsia" w:ascii="宋体" w:hAnsi="宋体" w:cs="宋体"/>
          <w:color w:val="auto"/>
          <w:kern w:val="0"/>
          <w:sz w:val="24"/>
          <w:u w:val="single"/>
        </w:rPr>
        <w:t>完成</w:t>
      </w:r>
      <w:r>
        <w:rPr>
          <w:rFonts w:hint="eastAsia" w:ascii="宋体" w:hAnsi="宋体" w:cs="宋体"/>
          <w:color w:val="auto"/>
          <w:kern w:val="0"/>
          <w:sz w:val="24"/>
        </w:rPr>
        <w:t>；</w:t>
      </w:r>
    </w:p>
    <w:p>
      <w:pPr>
        <w:widowControl/>
        <w:autoSpaceDE w:val="0"/>
        <w:autoSpaceDN w:val="0"/>
        <w:spacing w:line="360" w:lineRule="auto"/>
        <w:ind w:firstLine="420"/>
        <w:jc w:val="left"/>
        <w:rPr>
          <w:rFonts w:ascii="宋体" w:hAnsi="宋体" w:cs="宋体"/>
          <w:color w:val="auto"/>
          <w:kern w:val="0"/>
          <w:sz w:val="24"/>
          <w:u w:val="single"/>
        </w:rPr>
      </w:pPr>
      <w:r>
        <w:rPr>
          <w:rFonts w:hint="eastAsia" w:ascii="宋体" w:hAnsi="宋体" w:cs="宋体"/>
          <w:color w:val="auto"/>
          <w:kern w:val="0"/>
          <w:sz w:val="24"/>
        </w:rPr>
        <w:t>工程地点：</w:t>
      </w:r>
      <w:r>
        <w:rPr>
          <w:rFonts w:hint="eastAsia" w:ascii="宋体" w:hAnsi="宋体" w:cs="宋体"/>
          <w:color w:val="auto"/>
          <w:kern w:val="0"/>
          <w:sz w:val="24"/>
          <w:u w:val="single"/>
        </w:rPr>
        <w:t>杭州钱塘区；</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合同段划分：</w:t>
      </w:r>
      <w:r>
        <w:rPr>
          <w:rFonts w:hint="eastAsia" w:ascii="宋体" w:hAnsi="宋体" w:cs="宋体"/>
          <w:color w:val="auto"/>
          <w:kern w:val="0"/>
          <w:sz w:val="24"/>
          <w:u w:val="single"/>
        </w:rPr>
        <w:t>分为一个标段</w:t>
      </w:r>
      <w:r>
        <w:rPr>
          <w:rFonts w:hint="eastAsia" w:ascii="宋体" w:hAnsi="宋体" w:cs="宋体"/>
          <w:color w:val="auto"/>
          <w:kern w:val="0"/>
          <w:sz w:val="24"/>
        </w:rPr>
        <w:t>；</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工程概况：</w:t>
      </w:r>
      <w:r>
        <w:rPr>
          <w:rFonts w:hint="eastAsia" w:ascii="宋体" w:hAnsi="宋体" w:cs="宋体"/>
          <w:color w:val="auto"/>
          <w:kern w:val="0"/>
          <w:sz w:val="24"/>
          <w:u w:val="single"/>
        </w:rPr>
        <w:t>见合同附件</w:t>
      </w:r>
      <w:r>
        <w:rPr>
          <w:rFonts w:ascii="宋体" w:hAnsi="宋体" w:cs="宋体"/>
          <w:color w:val="auto"/>
          <w:kern w:val="0"/>
          <w:sz w:val="24"/>
          <w:u w:val="single"/>
        </w:rPr>
        <w:t>1</w:t>
      </w:r>
      <w:r>
        <w:rPr>
          <w:rFonts w:hint="eastAsia" w:ascii="宋体" w:hAnsi="宋体" w:cs="宋体"/>
          <w:color w:val="auto"/>
          <w:kern w:val="0"/>
          <w:sz w:val="24"/>
        </w:rPr>
        <w:t>。</w:t>
      </w:r>
    </w:p>
    <w:p>
      <w:pPr>
        <w:keepNext w:val="0"/>
        <w:keepLines w:val="0"/>
        <w:pageBreakBefore w:val="0"/>
        <w:widowControl/>
        <w:kinsoku/>
        <w:wordWrap/>
        <w:overflowPunct/>
        <w:topLinePunct w:val="0"/>
        <w:autoSpaceDE w:val="0"/>
        <w:autoSpaceDN w:val="0"/>
        <w:bidi w:val="0"/>
        <w:adjustRightInd w:val="0"/>
        <w:snapToGrid/>
        <w:spacing w:before="240" w:after="240"/>
        <w:jc w:val="left"/>
        <w:textAlignment w:val="auto"/>
        <w:outlineLvl w:val="0"/>
        <w:rPr>
          <w:rFonts w:ascii="宋体" w:hAnsi="宋体" w:cs="宋体"/>
          <w:b/>
          <w:bCs/>
          <w:color w:val="auto"/>
          <w:kern w:val="0"/>
          <w:sz w:val="24"/>
        </w:rPr>
      </w:pPr>
      <w:bookmarkStart w:id="410" w:name="_Toc222740158"/>
      <w:bookmarkEnd w:id="410"/>
      <w:r>
        <w:rPr>
          <w:rFonts w:ascii="宋体" w:hAnsi="宋体" w:cs="宋体"/>
          <w:b/>
          <w:bCs/>
          <w:color w:val="auto"/>
          <w:kern w:val="0"/>
          <w:sz w:val="24"/>
        </w:rPr>
        <w:t>2</w:t>
      </w:r>
      <w:r>
        <w:rPr>
          <w:rFonts w:hint="eastAsia" w:ascii="宋体" w:hAnsi="宋体" w:cs="宋体"/>
          <w:b/>
          <w:bCs/>
          <w:color w:val="auto"/>
          <w:kern w:val="0"/>
          <w:sz w:val="24"/>
        </w:rPr>
        <w:t>．检测人的义务</w:t>
      </w:r>
    </w:p>
    <w:p>
      <w:pPr>
        <w:keepNext w:val="0"/>
        <w:keepLines w:val="0"/>
        <w:pageBreakBefore w:val="0"/>
        <w:widowControl/>
        <w:kinsoku/>
        <w:wordWrap/>
        <w:overflowPunct/>
        <w:topLinePunct w:val="0"/>
        <w:autoSpaceDE w:val="0"/>
        <w:autoSpaceDN w:val="0"/>
        <w:bidi w:val="0"/>
        <w:adjustRightInd w:val="0"/>
        <w:snapToGrid/>
        <w:spacing w:before="120" w:after="120"/>
        <w:jc w:val="left"/>
        <w:textAlignment w:val="auto"/>
        <w:outlineLvl w:val="9"/>
        <w:rPr>
          <w:rFonts w:ascii="宋体" w:hAnsi="宋体" w:cs="宋体"/>
          <w:b/>
          <w:bCs/>
          <w:color w:val="auto"/>
          <w:kern w:val="0"/>
          <w:sz w:val="24"/>
        </w:rPr>
      </w:pPr>
      <w:r>
        <w:rPr>
          <w:rFonts w:ascii="宋体" w:hAnsi="宋体" w:cs="宋体"/>
          <w:b/>
          <w:bCs/>
          <w:color w:val="auto"/>
          <w:kern w:val="0"/>
          <w:sz w:val="24"/>
        </w:rPr>
        <w:t>2.1</w:t>
      </w:r>
      <w:r>
        <w:rPr>
          <w:rFonts w:hint="eastAsia" w:ascii="宋体" w:hAnsi="宋体" w:cs="宋体"/>
          <w:b/>
          <w:bCs/>
          <w:color w:val="auto"/>
          <w:kern w:val="0"/>
          <w:sz w:val="24"/>
        </w:rPr>
        <w:t>检测服务的形式、范围、目标与内容</w:t>
      </w:r>
    </w:p>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 xml:space="preserve">2.1.1  </w:t>
      </w:r>
      <w:r>
        <w:rPr>
          <w:rFonts w:hint="eastAsia" w:ascii="宋体" w:hAnsi="宋体" w:cs="宋体"/>
          <w:color w:val="auto"/>
          <w:kern w:val="0"/>
          <w:sz w:val="24"/>
        </w:rPr>
        <w:t>服务形式</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按工程内容，各检测机构配置的主要技术与</w:t>
      </w:r>
      <w:r>
        <w:rPr>
          <w:rFonts w:hint="eastAsia" w:ascii="宋体" w:hAnsi="宋体" w:cs="宋体"/>
          <w:color w:val="auto"/>
          <w:kern w:val="0"/>
          <w:sz w:val="24"/>
          <w:lang w:eastAsia="zh-CN"/>
        </w:rPr>
        <w:t>检测人</w:t>
      </w:r>
      <w:r>
        <w:rPr>
          <w:rFonts w:hint="eastAsia" w:ascii="宋体" w:hAnsi="宋体" w:cs="宋体"/>
          <w:color w:val="auto"/>
          <w:kern w:val="0"/>
          <w:sz w:val="24"/>
        </w:rPr>
        <w:t>员（详见</w:t>
      </w:r>
      <w:r>
        <w:rPr>
          <w:rFonts w:ascii="宋体" w:hAnsi="宋体" w:cs="宋体"/>
          <w:color w:val="auto"/>
          <w:kern w:val="0"/>
          <w:sz w:val="24"/>
        </w:rPr>
        <w:t>2.4</w:t>
      </w:r>
      <w:r>
        <w:rPr>
          <w:rFonts w:hint="eastAsia" w:ascii="宋体" w:hAnsi="宋体" w:cs="宋体"/>
          <w:color w:val="auto"/>
          <w:kern w:val="0"/>
          <w:sz w:val="24"/>
        </w:rPr>
        <w:t>表</w:t>
      </w:r>
      <w:r>
        <w:rPr>
          <w:rFonts w:ascii="宋体" w:hAnsi="宋体" w:cs="宋体"/>
          <w:color w:val="auto"/>
          <w:kern w:val="0"/>
          <w:sz w:val="24"/>
        </w:rPr>
        <w:t>1</w:t>
      </w:r>
      <w:r>
        <w:rPr>
          <w:rFonts w:hint="eastAsia" w:ascii="宋体" w:hAnsi="宋体" w:cs="宋体"/>
          <w:color w:val="auto"/>
          <w:kern w:val="0"/>
          <w:sz w:val="24"/>
        </w:rPr>
        <w:t>）。</w:t>
      </w:r>
    </w:p>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 xml:space="preserve">2.1.2  </w:t>
      </w:r>
      <w:r>
        <w:rPr>
          <w:rFonts w:hint="eastAsia" w:ascii="宋体" w:hAnsi="宋体" w:cs="宋体"/>
          <w:color w:val="auto"/>
          <w:kern w:val="0"/>
          <w:sz w:val="24"/>
        </w:rPr>
        <w:t>服务范围</w:t>
      </w:r>
    </w:p>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 xml:space="preserve">2.1.2.1  </w:t>
      </w:r>
      <w:r>
        <w:rPr>
          <w:rFonts w:hint="eastAsia" w:ascii="宋体" w:hAnsi="宋体" w:cs="宋体"/>
          <w:color w:val="auto"/>
          <w:kern w:val="0"/>
          <w:sz w:val="24"/>
        </w:rPr>
        <w:t>服务的工程范围：整个项目的全过程检测。</w:t>
      </w:r>
    </w:p>
    <w:p>
      <w:pPr>
        <w:keepNext w:val="0"/>
        <w:keepLines w:val="0"/>
        <w:pageBreakBefore w:val="0"/>
        <w:widowControl/>
        <w:kinsoku/>
        <w:wordWrap/>
        <w:overflowPunct/>
        <w:topLinePunct w:val="0"/>
        <w:autoSpaceDE w:val="0"/>
        <w:autoSpaceDN w:val="0"/>
        <w:bidi w:val="0"/>
        <w:adjustRightInd w:val="0"/>
        <w:snapToGrid/>
        <w:spacing w:before="120" w:after="120"/>
        <w:jc w:val="left"/>
        <w:textAlignment w:val="auto"/>
        <w:outlineLvl w:val="9"/>
        <w:rPr>
          <w:rFonts w:ascii="宋体" w:hAnsi="宋体" w:cs="宋体"/>
          <w:b/>
          <w:bCs/>
          <w:color w:val="auto"/>
          <w:kern w:val="0"/>
          <w:sz w:val="24"/>
        </w:rPr>
      </w:pPr>
      <w:r>
        <w:rPr>
          <w:rFonts w:ascii="宋体" w:hAnsi="宋体" w:cs="宋体"/>
          <w:b/>
          <w:bCs/>
          <w:color w:val="auto"/>
          <w:kern w:val="0"/>
          <w:sz w:val="24"/>
        </w:rPr>
        <w:t xml:space="preserve">2.4  </w:t>
      </w:r>
      <w:r>
        <w:rPr>
          <w:rFonts w:hint="eastAsia" w:ascii="宋体" w:hAnsi="宋体" w:cs="宋体"/>
          <w:b/>
          <w:bCs/>
          <w:color w:val="auto"/>
          <w:kern w:val="0"/>
          <w:sz w:val="24"/>
        </w:rPr>
        <w:t>检测人员</w:t>
      </w:r>
    </w:p>
    <w:p>
      <w:pPr>
        <w:widowControl/>
        <w:autoSpaceDE w:val="0"/>
        <w:autoSpaceDN w:val="0"/>
        <w:ind w:firstLine="450"/>
        <w:jc w:val="left"/>
        <w:rPr>
          <w:rFonts w:ascii="宋体" w:hAnsi="宋体" w:cs="宋体"/>
          <w:b/>
          <w:bCs/>
          <w:color w:val="auto"/>
          <w:kern w:val="0"/>
          <w:sz w:val="24"/>
        </w:rPr>
      </w:pPr>
      <w:r>
        <w:rPr>
          <w:rFonts w:ascii="宋体" w:hAnsi="宋体" w:cs="宋体"/>
          <w:color w:val="auto"/>
          <w:kern w:val="0"/>
          <w:sz w:val="24"/>
        </w:rPr>
        <w:t xml:space="preserve">2.4.1  </w:t>
      </w:r>
      <w:r>
        <w:rPr>
          <w:rFonts w:hint="eastAsia" w:ascii="宋体" w:hAnsi="宋体" w:cs="宋体"/>
          <w:color w:val="auto"/>
          <w:kern w:val="0"/>
          <w:sz w:val="24"/>
        </w:rPr>
        <w:t>补充</w:t>
      </w:r>
      <w:r>
        <w:rPr>
          <w:rFonts w:hint="eastAsia" w:ascii="宋体" w:hAnsi="宋体" w:cs="宋体"/>
          <w:color w:val="auto"/>
          <w:kern w:val="0"/>
          <w:sz w:val="24"/>
          <w:lang w:eastAsia="zh-CN"/>
        </w:rPr>
        <w:t>检测人</w:t>
      </w:r>
      <w:r>
        <w:rPr>
          <w:rFonts w:hint="eastAsia" w:ascii="宋体" w:hAnsi="宋体" w:cs="宋体"/>
          <w:color w:val="auto"/>
          <w:kern w:val="0"/>
          <w:sz w:val="24"/>
        </w:rPr>
        <w:t>员要求如下：</w:t>
      </w:r>
    </w:p>
    <w:p>
      <w:pPr>
        <w:autoSpaceDE w:val="0"/>
        <w:autoSpaceDN w:val="0"/>
        <w:spacing w:line="500" w:lineRule="exact"/>
        <w:jc w:val="center"/>
        <w:rPr>
          <w:rFonts w:hint="eastAsia" w:ascii="宋体" w:hAnsi="宋体" w:cs="宋体"/>
          <w:b/>
          <w:bCs/>
          <w:color w:val="auto"/>
          <w:kern w:val="0"/>
          <w:sz w:val="24"/>
        </w:rPr>
      </w:pPr>
      <w:r>
        <w:rPr>
          <w:rFonts w:hint="eastAsia" w:ascii="宋体" w:hAnsi="宋体" w:cs="宋体"/>
          <w:b/>
          <w:bCs/>
          <w:color w:val="auto"/>
          <w:kern w:val="0"/>
          <w:sz w:val="24"/>
        </w:rPr>
        <w:t>表</w:t>
      </w:r>
      <w:r>
        <w:rPr>
          <w:rFonts w:ascii="宋体" w:hAnsi="宋体" w:cs="宋体"/>
          <w:b/>
          <w:bCs/>
          <w:color w:val="auto"/>
          <w:kern w:val="0"/>
          <w:sz w:val="24"/>
        </w:rPr>
        <w:t xml:space="preserve">1   </w:t>
      </w:r>
      <w:r>
        <w:rPr>
          <w:rFonts w:hint="eastAsia" w:ascii="宋体" w:hAnsi="宋体" w:cs="宋体"/>
          <w:b/>
          <w:bCs/>
          <w:color w:val="auto"/>
          <w:kern w:val="0"/>
          <w:sz w:val="24"/>
        </w:rPr>
        <w:t>主要技术与</w:t>
      </w:r>
      <w:r>
        <w:rPr>
          <w:rFonts w:hint="eastAsia" w:ascii="宋体" w:hAnsi="宋体" w:cs="宋体"/>
          <w:b/>
          <w:bCs/>
          <w:color w:val="auto"/>
          <w:kern w:val="0"/>
          <w:sz w:val="24"/>
          <w:lang w:eastAsia="zh-CN"/>
        </w:rPr>
        <w:t>检测人</w:t>
      </w:r>
      <w:r>
        <w:rPr>
          <w:rFonts w:hint="eastAsia" w:ascii="宋体" w:hAnsi="宋体" w:cs="宋体"/>
          <w:b/>
          <w:bCs/>
          <w:color w:val="auto"/>
          <w:kern w:val="0"/>
          <w:sz w:val="24"/>
        </w:rPr>
        <w:t>员要求表</w:t>
      </w:r>
    </w:p>
    <w:tbl>
      <w:tblPr>
        <w:tblStyle w:val="15"/>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1153"/>
        <w:gridCol w:w="728"/>
        <w:gridCol w:w="6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96" w:hRule="atLeast"/>
        </w:trPr>
        <w:tc>
          <w:tcPr>
            <w:tcW w:w="1153" w:type="dxa"/>
            <w:vAlign w:val="center"/>
          </w:tcPr>
          <w:p>
            <w:pPr>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人员</w:t>
            </w:r>
          </w:p>
        </w:tc>
        <w:tc>
          <w:tcPr>
            <w:tcW w:w="728"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人数</w:t>
            </w:r>
          </w:p>
        </w:tc>
        <w:tc>
          <w:tcPr>
            <w:tcW w:w="6733" w:type="dxa"/>
            <w:vAlign w:val="center"/>
          </w:tcPr>
          <w:p>
            <w:pPr>
              <w:ind w:firstLine="420" w:firstLineChars="200"/>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055" w:hRule="atLeast"/>
        </w:trPr>
        <w:tc>
          <w:tcPr>
            <w:tcW w:w="1153"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项目负责人</w:t>
            </w:r>
          </w:p>
        </w:tc>
        <w:tc>
          <w:tcPr>
            <w:tcW w:w="728"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1</w:t>
            </w:r>
          </w:p>
        </w:tc>
        <w:tc>
          <w:tcPr>
            <w:tcW w:w="6733" w:type="dxa"/>
            <w:vAlign w:val="center"/>
          </w:tcPr>
          <w:p>
            <w:pPr>
              <w:spacing w:line="360" w:lineRule="exact"/>
              <w:ind w:firstLine="420" w:firstLineChars="200"/>
              <w:rPr>
                <w:rFonts w:ascii="Calibri" w:hAnsi="Calibri"/>
                <w:color w:val="auto"/>
                <w:szCs w:val="21"/>
              </w:rPr>
            </w:pPr>
            <w:r>
              <w:rPr>
                <w:rFonts w:hint="eastAsia" w:ascii="Calibri" w:hAnsi="Calibri"/>
                <w:color w:val="auto"/>
                <w:szCs w:val="21"/>
              </w:rPr>
              <w:t>（</w:t>
            </w:r>
            <w:r>
              <w:rPr>
                <w:rFonts w:ascii="Calibri" w:hAnsi="Calibri"/>
                <w:color w:val="auto"/>
                <w:szCs w:val="21"/>
              </w:rPr>
              <w:t>1</w:t>
            </w:r>
            <w:r>
              <w:rPr>
                <w:rFonts w:hint="eastAsia" w:ascii="Calibri" w:hAnsi="Calibri"/>
                <w:color w:val="auto"/>
                <w:szCs w:val="21"/>
              </w:rPr>
              <w:t>）工程师及以上技术职称，具有交通运输部</w:t>
            </w:r>
            <w:r>
              <w:rPr>
                <w:rFonts w:ascii="Calibri" w:hAnsi="Calibri"/>
                <w:color w:val="auto"/>
                <w:szCs w:val="21"/>
              </w:rPr>
              <w:t>(</w:t>
            </w:r>
            <w:r>
              <w:rPr>
                <w:rFonts w:hint="eastAsia" w:ascii="Calibri" w:hAnsi="Calibri"/>
                <w:color w:val="auto"/>
                <w:szCs w:val="21"/>
              </w:rPr>
              <w:t>或交通部</w:t>
            </w:r>
            <w:r>
              <w:rPr>
                <w:rFonts w:ascii="Calibri" w:hAnsi="Calibri"/>
                <w:color w:val="auto"/>
                <w:szCs w:val="21"/>
              </w:rPr>
              <w:t>)</w:t>
            </w:r>
            <w:r>
              <w:rPr>
                <w:rFonts w:hint="eastAsia" w:ascii="Calibri" w:hAnsi="Calibri"/>
                <w:color w:val="auto"/>
                <w:szCs w:val="21"/>
              </w:rPr>
              <w:t>质监机构颁发的公路工程试验检测工程师（检测专业类别包含公路、桥梁）资格证书；</w:t>
            </w:r>
          </w:p>
          <w:p>
            <w:pPr>
              <w:spacing w:line="360" w:lineRule="exact"/>
              <w:ind w:firstLine="420" w:firstLineChars="200"/>
              <w:rPr>
                <w:rFonts w:ascii="Calibri" w:hAnsi="Calibri" w:eastAsia="宋体" w:cs="Times New Roman"/>
                <w:color w:val="auto"/>
                <w:szCs w:val="21"/>
                <w:highlight w:val="none"/>
              </w:rPr>
            </w:pPr>
            <w:r>
              <w:rPr>
                <w:rFonts w:hint="eastAsia" w:ascii="Calibri" w:hAnsi="Calibri"/>
                <w:color w:val="auto"/>
                <w:szCs w:val="21"/>
              </w:rPr>
              <w:t>（</w:t>
            </w:r>
            <w:r>
              <w:rPr>
                <w:rFonts w:ascii="Calibri" w:hAnsi="Calibri"/>
                <w:color w:val="auto"/>
                <w:szCs w:val="21"/>
              </w:rPr>
              <w:t>2</w:t>
            </w:r>
            <w:r>
              <w:rPr>
                <w:rFonts w:hint="eastAsia" w:ascii="Calibri" w:hAnsi="Calibri"/>
                <w:color w:val="auto"/>
                <w:szCs w:val="21"/>
              </w:rPr>
              <w:t>）在</w:t>
            </w:r>
            <w:r>
              <w:rPr>
                <w:rFonts w:ascii="Calibri" w:hAnsi="Calibri"/>
                <w:color w:val="auto"/>
                <w:szCs w:val="21"/>
              </w:rPr>
              <w:t>1</w:t>
            </w:r>
            <w:r>
              <w:rPr>
                <w:rFonts w:hint="eastAsia" w:ascii="Calibri" w:hAnsi="Calibri"/>
                <w:color w:val="auto"/>
                <w:szCs w:val="21"/>
              </w:rPr>
              <w:t>个及以上路面路况检测或桥梁检测项目中担任过类似职务；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815" w:hRule="atLeast"/>
        </w:trPr>
        <w:tc>
          <w:tcPr>
            <w:tcW w:w="1153"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技术负责人</w:t>
            </w:r>
          </w:p>
        </w:tc>
        <w:tc>
          <w:tcPr>
            <w:tcW w:w="728"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1</w:t>
            </w:r>
          </w:p>
        </w:tc>
        <w:tc>
          <w:tcPr>
            <w:tcW w:w="6733" w:type="dxa"/>
            <w:vAlign w:val="center"/>
          </w:tcPr>
          <w:p>
            <w:pPr>
              <w:spacing w:line="360" w:lineRule="exact"/>
              <w:ind w:firstLine="420" w:firstLineChars="200"/>
              <w:rPr>
                <w:rFonts w:ascii="Calibri" w:hAnsi="Calibri"/>
                <w:color w:val="auto"/>
                <w:szCs w:val="21"/>
              </w:rPr>
            </w:pPr>
            <w:r>
              <w:rPr>
                <w:rFonts w:hint="eastAsia" w:ascii="Calibri" w:hAnsi="Calibri"/>
                <w:color w:val="auto"/>
                <w:szCs w:val="21"/>
              </w:rPr>
              <w:t>（</w:t>
            </w:r>
            <w:r>
              <w:rPr>
                <w:rFonts w:ascii="Calibri" w:hAnsi="Calibri"/>
                <w:color w:val="auto"/>
                <w:szCs w:val="21"/>
              </w:rPr>
              <w:t>1</w:t>
            </w:r>
            <w:r>
              <w:rPr>
                <w:rFonts w:hint="eastAsia" w:ascii="Calibri" w:hAnsi="Calibri"/>
                <w:color w:val="auto"/>
                <w:szCs w:val="21"/>
              </w:rPr>
              <w:t>）工程师及以上技术职称，具有交通运输部</w:t>
            </w:r>
            <w:r>
              <w:rPr>
                <w:rFonts w:ascii="Calibri" w:hAnsi="Calibri"/>
                <w:color w:val="auto"/>
                <w:szCs w:val="21"/>
              </w:rPr>
              <w:t>(</w:t>
            </w:r>
            <w:r>
              <w:rPr>
                <w:rFonts w:hint="eastAsia" w:ascii="Calibri" w:hAnsi="Calibri"/>
                <w:color w:val="auto"/>
                <w:szCs w:val="21"/>
              </w:rPr>
              <w:t>或交通部</w:t>
            </w:r>
            <w:r>
              <w:rPr>
                <w:rFonts w:ascii="Calibri" w:hAnsi="Calibri"/>
                <w:color w:val="auto"/>
                <w:szCs w:val="21"/>
              </w:rPr>
              <w:t>)</w:t>
            </w:r>
            <w:r>
              <w:rPr>
                <w:rFonts w:hint="eastAsia" w:ascii="Calibri" w:hAnsi="Calibri"/>
                <w:color w:val="auto"/>
                <w:szCs w:val="21"/>
              </w:rPr>
              <w:t>质监机构颁发的公路工程试验检测工程师（检测专业类别包含公路、桥梁）资格证书；</w:t>
            </w:r>
          </w:p>
          <w:p>
            <w:pPr>
              <w:spacing w:line="360" w:lineRule="exact"/>
              <w:ind w:firstLine="420" w:firstLineChars="200"/>
              <w:rPr>
                <w:rFonts w:ascii="Calibri" w:hAnsi="Calibri" w:eastAsia="宋体" w:cs="Times New Roman"/>
                <w:color w:val="auto"/>
                <w:szCs w:val="21"/>
                <w:highlight w:val="none"/>
              </w:rPr>
            </w:pPr>
            <w:r>
              <w:rPr>
                <w:rFonts w:hint="eastAsia" w:ascii="Calibri" w:hAnsi="Calibri"/>
                <w:color w:val="auto"/>
                <w:szCs w:val="21"/>
              </w:rPr>
              <w:t>（</w:t>
            </w:r>
            <w:r>
              <w:rPr>
                <w:rFonts w:ascii="Calibri" w:hAnsi="Calibri"/>
                <w:color w:val="auto"/>
                <w:szCs w:val="21"/>
              </w:rPr>
              <w:t>2</w:t>
            </w:r>
            <w:r>
              <w:rPr>
                <w:rFonts w:hint="eastAsia" w:ascii="Calibri" w:hAnsi="Calibri"/>
                <w:color w:val="auto"/>
                <w:szCs w:val="21"/>
              </w:rPr>
              <w:t>）在</w:t>
            </w:r>
            <w:r>
              <w:rPr>
                <w:rFonts w:ascii="Calibri" w:hAnsi="Calibri"/>
                <w:color w:val="auto"/>
                <w:szCs w:val="21"/>
              </w:rPr>
              <w:t>1</w:t>
            </w:r>
            <w:r>
              <w:rPr>
                <w:rFonts w:hint="eastAsia" w:ascii="Calibri" w:hAnsi="Calibri"/>
                <w:color w:val="auto"/>
                <w:szCs w:val="21"/>
              </w:rPr>
              <w:t>个及以上路面路况检测或桥梁检测项目中担任过类似职务；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968" w:hRule="atLeast"/>
        </w:trPr>
        <w:tc>
          <w:tcPr>
            <w:tcW w:w="1153"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试验检测工程师</w:t>
            </w:r>
          </w:p>
        </w:tc>
        <w:tc>
          <w:tcPr>
            <w:tcW w:w="728"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2</w:t>
            </w:r>
          </w:p>
        </w:tc>
        <w:tc>
          <w:tcPr>
            <w:tcW w:w="6733" w:type="dxa"/>
            <w:vAlign w:val="center"/>
          </w:tcPr>
          <w:p>
            <w:pPr>
              <w:ind w:firstLine="420" w:firstLineChars="200"/>
              <w:jc w:val="left"/>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工程师及以上技术职称，具有交通运输部(或交通部)质监机构颁发的公路工程试验检测工程师资格证书；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550" w:hRule="atLeast"/>
        </w:trPr>
        <w:tc>
          <w:tcPr>
            <w:tcW w:w="1153"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试验检测</w:t>
            </w:r>
          </w:p>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人员</w:t>
            </w:r>
          </w:p>
        </w:tc>
        <w:tc>
          <w:tcPr>
            <w:tcW w:w="728" w:type="dxa"/>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6人及以上</w:t>
            </w:r>
          </w:p>
        </w:tc>
        <w:tc>
          <w:tcPr>
            <w:tcW w:w="6733" w:type="dxa"/>
            <w:vAlign w:val="center"/>
          </w:tcPr>
          <w:p>
            <w:pPr>
              <w:ind w:firstLine="420" w:firstLineChars="200"/>
              <w:jc w:val="left"/>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初级及以上技术职称，具有交通运输部(或交通部)质监机构颁发的公</w:t>
            </w:r>
          </w:p>
          <w:p>
            <w:pPr>
              <w:jc w:val="left"/>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路工程试验检测员资格证书。</w:t>
            </w:r>
          </w:p>
        </w:tc>
      </w:tr>
    </w:tbl>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 xml:space="preserve">2.4.3.1   </w:t>
      </w:r>
      <w:r>
        <w:rPr>
          <w:rFonts w:hint="eastAsia" w:ascii="宋体" w:hAnsi="宋体" w:cs="宋体"/>
          <w:color w:val="auto"/>
          <w:kern w:val="0"/>
          <w:sz w:val="24"/>
        </w:rPr>
        <w:t>检测人应派遣投标文件中承诺的检测人员进驻现场，检测人不得随意更换投标文件中承诺的主要人员，不得配置不符合采购文件要求的其他人员；否则，</w:t>
      </w:r>
      <w:r>
        <w:rPr>
          <w:rFonts w:hint="eastAsia" w:ascii="宋体" w:hAnsi="宋体" w:cs="宋体"/>
          <w:color w:val="auto"/>
          <w:kern w:val="0"/>
          <w:sz w:val="24"/>
          <w:lang w:val="en-US" w:eastAsia="zh-CN"/>
        </w:rPr>
        <w:t>属于</w:t>
      </w:r>
      <w:r>
        <w:rPr>
          <w:rFonts w:hint="eastAsia" w:ascii="宋体" w:hAnsi="宋体" w:cs="宋体"/>
          <w:color w:val="auto"/>
          <w:kern w:val="0"/>
          <w:sz w:val="24"/>
        </w:rPr>
        <w:t>检测人违约。进场的检测人员应保持稳定，除非发包人另有要求或其它特殊原因，不得随意更换。</w:t>
      </w:r>
    </w:p>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 xml:space="preserve">2.4.3.2   </w:t>
      </w:r>
      <w:r>
        <w:rPr>
          <w:rFonts w:hint="eastAsia" w:ascii="宋体" w:hAnsi="宋体" w:cs="宋体"/>
          <w:color w:val="auto"/>
          <w:kern w:val="0"/>
          <w:sz w:val="24"/>
        </w:rPr>
        <w:t>以下情况为正常调换：</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）投标截止期后</w:t>
      </w:r>
      <w:r>
        <w:rPr>
          <w:rFonts w:ascii="宋体" w:hAnsi="宋体" w:cs="宋体"/>
          <w:color w:val="auto"/>
          <w:kern w:val="0"/>
          <w:sz w:val="24"/>
        </w:rPr>
        <w:t>90</w:t>
      </w:r>
      <w:r>
        <w:rPr>
          <w:rFonts w:hint="eastAsia" w:ascii="宋体" w:hAnsi="宋体" w:cs="宋体"/>
          <w:color w:val="auto"/>
          <w:kern w:val="0"/>
          <w:sz w:val="24"/>
        </w:rPr>
        <w:t>天，双方未签订检测合同。</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）因故连续停工超过</w:t>
      </w:r>
      <w:r>
        <w:rPr>
          <w:rFonts w:ascii="宋体" w:hAnsi="宋体" w:cs="宋体"/>
          <w:color w:val="auto"/>
          <w:kern w:val="0"/>
          <w:sz w:val="24"/>
        </w:rPr>
        <w:t>90</w:t>
      </w:r>
      <w:r>
        <w:rPr>
          <w:rFonts w:hint="eastAsia" w:ascii="宋体" w:hAnsi="宋体" w:cs="宋体"/>
          <w:color w:val="auto"/>
          <w:kern w:val="0"/>
          <w:sz w:val="24"/>
        </w:rPr>
        <w:t>天且发包人未按合同规定支付服务费的；</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）被替换人升职、升（留）学、出国（境）定居、死亡，或年龄、健康原因影响其职责的正常履行的；</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）不可预见因素直接或间接导致被替换人的确不能继续留任（不得不长期离开）的；</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5</w:t>
      </w:r>
      <w:r>
        <w:rPr>
          <w:rFonts w:hint="eastAsia" w:ascii="宋体" w:hAnsi="宋体" w:cs="宋体"/>
          <w:color w:val="auto"/>
          <w:kern w:val="0"/>
          <w:sz w:val="24"/>
        </w:rPr>
        <w:t>）发包人认为合理并可接受的其他原因。</w:t>
      </w:r>
    </w:p>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2.4.3.3</w:t>
      </w:r>
      <w:r>
        <w:rPr>
          <w:rFonts w:hint="eastAsia" w:ascii="宋体" w:hAnsi="宋体" w:cs="宋体"/>
          <w:color w:val="auto"/>
          <w:kern w:val="0"/>
          <w:sz w:val="24"/>
        </w:rPr>
        <w:t>以下情况为非正常调换：</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）被替换人擅自离岗或检测人擅自调离的；</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）因工作失职，发生质量或安全事故被清退的；</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）因发生吃拿卡要等廉洁问题被清退的；</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）因工作不称职等原因被交通运输主管部门、交通质量监督部门或发包人书面要求调换的；</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5</w:t>
      </w:r>
      <w:r>
        <w:rPr>
          <w:rFonts w:hint="eastAsia" w:ascii="宋体" w:hAnsi="宋体" w:cs="宋体"/>
          <w:color w:val="auto"/>
          <w:kern w:val="0"/>
          <w:sz w:val="24"/>
        </w:rPr>
        <w:t>）发包人认为不可接受的其他原因。</w:t>
      </w:r>
    </w:p>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 xml:space="preserve">2.4.3.4   </w:t>
      </w:r>
      <w:r>
        <w:rPr>
          <w:rFonts w:hint="eastAsia" w:ascii="宋体" w:hAnsi="宋体" w:cs="宋体"/>
          <w:color w:val="auto"/>
          <w:kern w:val="0"/>
          <w:sz w:val="24"/>
        </w:rPr>
        <w:t>有以下情况之一的，应视为检测人违约：</w:t>
      </w:r>
    </w:p>
    <w:p>
      <w:pPr>
        <w:widowControl/>
        <w:autoSpaceDE w:val="0"/>
        <w:autoSpaceDN w:val="0"/>
        <w:spacing w:line="360" w:lineRule="auto"/>
        <w:ind w:firstLine="640"/>
        <w:jc w:val="left"/>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．属非正常调换；</w:t>
      </w:r>
    </w:p>
    <w:p>
      <w:pPr>
        <w:widowControl/>
        <w:autoSpaceDE w:val="0"/>
        <w:autoSpaceDN w:val="0"/>
        <w:spacing w:line="360" w:lineRule="auto"/>
        <w:ind w:firstLine="640"/>
        <w:jc w:val="left"/>
        <w:rPr>
          <w:rFonts w:ascii="宋体" w:hAnsi="宋体" w:cs="宋体"/>
          <w:color w:val="auto"/>
          <w:kern w:val="0"/>
          <w:sz w:val="24"/>
        </w:rPr>
      </w:pPr>
      <w:r>
        <w:rPr>
          <w:rFonts w:ascii="宋体" w:hAnsi="宋体" w:cs="宋体"/>
          <w:color w:val="auto"/>
          <w:kern w:val="0"/>
          <w:sz w:val="24"/>
        </w:rPr>
        <w:t>2</w:t>
      </w:r>
      <w:r>
        <w:rPr>
          <w:rFonts w:hint="eastAsia" w:ascii="宋体" w:hAnsi="宋体" w:cs="宋体"/>
          <w:color w:val="auto"/>
          <w:kern w:val="0"/>
          <w:sz w:val="24"/>
        </w:rPr>
        <w:t>．属正常调换，但未按合同规定程序和要求报发包人审查批准，或替换人的检测资格、技术职称等条件低于合同条件要求。</w:t>
      </w:r>
    </w:p>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 xml:space="preserve">2.4.3.5   </w:t>
      </w:r>
      <w:r>
        <w:rPr>
          <w:rFonts w:hint="eastAsia" w:ascii="宋体" w:hAnsi="宋体" w:cs="宋体"/>
          <w:color w:val="auto"/>
          <w:kern w:val="0"/>
          <w:sz w:val="24"/>
        </w:rPr>
        <w:t>同时满足以下条件时，不应视为检测人违约：</w:t>
      </w:r>
    </w:p>
    <w:p>
      <w:pPr>
        <w:widowControl/>
        <w:autoSpaceDE w:val="0"/>
        <w:autoSpaceDN w:val="0"/>
        <w:spacing w:line="360" w:lineRule="auto"/>
        <w:ind w:firstLine="64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）属正常调换；</w:t>
      </w:r>
    </w:p>
    <w:p>
      <w:pPr>
        <w:widowControl/>
        <w:autoSpaceDE w:val="0"/>
        <w:autoSpaceDN w:val="0"/>
        <w:spacing w:line="360" w:lineRule="auto"/>
        <w:ind w:firstLine="64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）替换人的检测资格、技术职称等条件不低于合同条件；</w:t>
      </w:r>
    </w:p>
    <w:p>
      <w:pPr>
        <w:widowControl/>
        <w:autoSpaceDE w:val="0"/>
        <w:autoSpaceDN w:val="0"/>
        <w:spacing w:line="360" w:lineRule="auto"/>
        <w:ind w:firstLine="64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）有关材料齐全（因人事变动提出的人员调换应附任职文件，因健康原因提出的人员调换应附县级及以上医院出具的证明）；</w:t>
      </w:r>
    </w:p>
    <w:p>
      <w:pPr>
        <w:widowControl/>
        <w:autoSpaceDE w:val="0"/>
        <w:autoSpaceDN w:val="0"/>
        <w:spacing w:line="360" w:lineRule="auto"/>
        <w:ind w:firstLine="64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）按</w:t>
      </w:r>
      <w:r>
        <w:rPr>
          <w:rFonts w:ascii="宋体" w:hAnsi="宋体" w:cs="宋体"/>
          <w:color w:val="auto"/>
          <w:kern w:val="0"/>
          <w:sz w:val="24"/>
        </w:rPr>
        <w:t>2.4.3.6</w:t>
      </w:r>
      <w:r>
        <w:rPr>
          <w:rFonts w:hint="eastAsia" w:ascii="宋体" w:hAnsi="宋体" w:cs="宋体"/>
          <w:color w:val="auto"/>
          <w:kern w:val="0"/>
          <w:sz w:val="24"/>
        </w:rPr>
        <w:t>的要求提交检测人员调换申请，报发包人审查并获得批准（发包人超过</w:t>
      </w:r>
      <w:r>
        <w:rPr>
          <w:rFonts w:ascii="宋体" w:hAnsi="宋体" w:cs="宋体"/>
          <w:color w:val="auto"/>
          <w:kern w:val="0"/>
          <w:sz w:val="24"/>
        </w:rPr>
        <w:t>14</w:t>
      </w:r>
      <w:r>
        <w:rPr>
          <w:rFonts w:hint="eastAsia" w:ascii="宋体" w:hAnsi="宋体" w:cs="宋体"/>
          <w:color w:val="auto"/>
          <w:kern w:val="0"/>
          <w:sz w:val="24"/>
        </w:rPr>
        <w:t>天未予审批的，视为默认）。</w:t>
      </w:r>
    </w:p>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 xml:space="preserve">2.4.3.6   </w:t>
      </w:r>
      <w:r>
        <w:rPr>
          <w:rFonts w:hint="eastAsia" w:ascii="宋体" w:hAnsi="宋体" w:cs="宋体"/>
          <w:color w:val="auto"/>
          <w:kern w:val="0"/>
          <w:sz w:val="24"/>
        </w:rPr>
        <w:t>若检测人要求调换主要检测人员，必须提前</w:t>
      </w:r>
      <w:r>
        <w:rPr>
          <w:rFonts w:ascii="宋体" w:hAnsi="宋体" w:cs="宋体"/>
          <w:color w:val="auto"/>
          <w:kern w:val="0"/>
          <w:sz w:val="24"/>
        </w:rPr>
        <w:t>14</w:t>
      </w:r>
      <w:r>
        <w:rPr>
          <w:rFonts w:hint="eastAsia" w:ascii="宋体" w:hAnsi="宋体" w:cs="宋体"/>
          <w:color w:val="auto"/>
          <w:kern w:val="0"/>
          <w:sz w:val="24"/>
        </w:rPr>
        <w:t>天向发包人提供以下材料并取得发包人的书面批准以后，才能派替换的检测人员进场：</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）书面请示报告；</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）替换人的身份证、毕业证书、技术职称证书、检测资格证书、工作经历与业绩等有关证明材料的彩色打印件或清晰可辨的复印件（原件备查）。</w:t>
      </w:r>
    </w:p>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 xml:space="preserve">2.4.3.7  </w:t>
      </w:r>
      <w:r>
        <w:rPr>
          <w:rFonts w:hint="eastAsia" w:ascii="宋体" w:hAnsi="宋体" w:cs="宋体"/>
          <w:color w:val="auto"/>
          <w:kern w:val="0"/>
          <w:sz w:val="24"/>
        </w:rPr>
        <w:t>若检测人要求调换检测员，应报发包人备案（发包人超过</w:t>
      </w:r>
      <w:r>
        <w:rPr>
          <w:rFonts w:ascii="宋体" w:hAnsi="宋体" w:cs="宋体"/>
          <w:color w:val="auto"/>
          <w:kern w:val="0"/>
          <w:sz w:val="24"/>
        </w:rPr>
        <w:t>7</w:t>
      </w:r>
      <w:r>
        <w:rPr>
          <w:rFonts w:hint="eastAsia" w:ascii="宋体" w:hAnsi="宋体" w:cs="宋体"/>
          <w:color w:val="auto"/>
          <w:kern w:val="0"/>
          <w:sz w:val="24"/>
        </w:rPr>
        <w:t>天无异议的，视为默认）。</w:t>
      </w:r>
    </w:p>
    <w:p>
      <w:pPr>
        <w:keepNext w:val="0"/>
        <w:keepLines w:val="0"/>
        <w:pageBreakBefore w:val="0"/>
        <w:widowControl/>
        <w:kinsoku/>
        <w:wordWrap/>
        <w:overflowPunct/>
        <w:topLinePunct w:val="0"/>
        <w:autoSpaceDE w:val="0"/>
        <w:autoSpaceDN w:val="0"/>
        <w:bidi w:val="0"/>
        <w:adjustRightInd w:val="0"/>
        <w:snapToGrid/>
        <w:spacing w:before="120" w:after="120"/>
        <w:jc w:val="left"/>
        <w:textAlignment w:val="auto"/>
        <w:outlineLvl w:val="9"/>
        <w:rPr>
          <w:rFonts w:ascii="宋体" w:hAnsi="宋体" w:cs="宋体"/>
          <w:b/>
          <w:bCs/>
          <w:color w:val="auto"/>
          <w:kern w:val="0"/>
          <w:sz w:val="24"/>
        </w:rPr>
      </w:pPr>
      <w:r>
        <w:rPr>
          <w:rFonts w:ascii="宋体" w:hAnsi="宋体" w:cs="宋体"/>
          <w:b/>
          <w:bCs/>
          <w:color w:val="auto"/>
          <w:kern w:val="0"/>
          <w:sz w:val="24"/>
        </w:rPr>
        <w:t>2.6</w:t>
      </w:r>
      <w:r>
        <w:rPr>
          <w:rFonts w:hint="eastAsia" w:ascii="宋体" w:hAnsi="宋体" w:cs="宋体"/>
          <w:b/>
          <w:bCs/>
          <w:color w:val="auto"/>
          <w:kern w:val="0"/>
          <w:sz w:val="24"/>
        </w:rPr>
        <w:t>主要检测设备</w:t>
      </w:r>
    </w:p>
    <w:p>
      <w:pPr>
        <w:autoSpaceDE w:val="0"/>
        <w:autoSpaceDN w:val="0"/>
        <w:jc w:val="center"/>
        <w:rPr>
          <w:rFonts w:ascii="宋体" w:hAnsi="宋体" w:cs="宋体"/>
          <w:b/>
          <w:bCs/>
          <w:color w:val="auto"/>
          <w:kern w:val="0"/>
          <w:sz w:val="24"/>
        </w:rPr>
      </w:pPr>
      <w:r>
        <w:rPr>
          <w:rFonts w:hint="eastAsia" w:ascii="宋体" w:hAnsi="宋体" w:cs="宋体"/>
          <w:b/>
          <w:bCs/>
          <w:color w:val="auto"/>
          <w:kern w:val="0"/>
          <w:sz w:val="24"/>
        </w:rPr>
        <w:t>表</w:t>
      </w:r>
      <w:r>
        <w:rPr>
          <w:rFonts w:ascii="宋体" w:hAnsi="宋体" w:cs="宋体"/>
          <w:b/>
          <w:bCs/>
          <w:color w:val="auto"/>
          <w:kern w:val="0"/>
          <w:sz w:val="24"/>
        </w:rPr>
        <w:t>2</w:t>
      </w:r>
      <w:r>
        <w:rPr>
          <w:rFonts w:hint="eastAsia" w:ascii="宋体" w:hAnsi="宋体" w:cs="宋体"/>
          <w:b/>
          <w:bCs/>
          <w:color w:val="auto"/>
          <w:kern w:val="0"/>
          <w:sz w:val="24"/>
        </w:rPr>
        <w:t xml:space="preserve">   试验与检测设备要求表</w:t>
      </w:r>
    </w:p>
    <w:tbl>
      <w:tblPr>
        <w:tblStyle w:val="15"/>
        <w:tblW w:w="8739" w:type="dxa"/>
        <w:tblInd w:w="93" w:type="dxa"/>
        <w:tblLayout w:type="fixed"/>
        <w:tblCellMar>
          <w:top w:w="0" w:type="dxa"/>
          <w:left w:w="108" w:type="dxa"/>
          <w:bottom w:w="0" w:type="dxa"/>
          <w:right w:w="108" w:type="dxa"/>
        </w:tblCellMar>
      </w:tblPr>
      <w:tblGrid>
        <w:gridCol w:w="844"/>
        <w:gridCol w:w="3147"/>
        <w:gridCol w:w="2693"/>
        <w:gridCol w:w="2055"/>
      </w:tblGrid>
      <w:tr>
        <w:tblPrEx>
          <w:tblCellMar>
            <w:top w:w="0" w:type="dxa"/>
            <w:left w:w="108" w:type="dxa"/>
            <w:bottom w:w="0" w:type="dxa"/>
            <w:right w:w="108" w:type="dxa"/>
          </w:tblCellMar>
        </w:tblPrEx>
        <w:trPr>
          <w:trHeight w:val="640"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hint="eastAsia" w:ascii="Calibri" w:hAnsi="Calibri"/>
                <w:color w:val="auto"/>
                <w:szCs w:val="21"/>
                <w:highlight w:val="none"/>
              </w:rPr>
              <w:t>序号</w:t>
            </w:r>
          </w:p>
        </w:tc>
        <w:tc>
          <w:tcPr>
            <w:tcW w:w="3147" w:type="dxa"/>
            <w:tcBorders>
              <w:top w:val="single" w:color="auto" w:sz="4" w:space="0"/>
              <w:left w:val="nil"/>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仪器设备名称</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hint="eastAsia" w:ascii="Calibri" w:hAnsi="Calibri"/>
                <w:color w:val="auto"/>
                <w:szCs w:val="21"/>
                <w:highlight w:val="none"/>
              </w:rPr>
              <w:t>精度或最小分划值</w:t>
            </w: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hint="eastAsia" w:ascii="Calibri" w:hAnsi="Calibri"/>
                <w:color w:val="auto"/>
                <w:szCs w:val="21"/>
                <w:highlight w:val="none"/>
              </w:rPr>
              <w:t>最低数量要求</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color w:val="auto"/>
                <w:szCs w:val="21"/>
                <w:highlight w:val="none"/>
              </w:rPr>
            </w:pPr>
            <w:r>
              <w:rPr>
                <w:rFonts w:ascii="Calibri" w:hAnsi="Calibri"/>
                <w:color w:val="auto"/>
                <w:szCs w:val="21"/>
                <w:highlight w:val="none"/>
              </w:rPr>
              <w:t>1</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非金属超声波检测仪</w:t>
            </w:r>
          </w:p>
        </w:tc>
        <w:tc>
          <w:tcPr>
            <w:tcW w:w="2693" w:type="dxa"/>
            <w:tcBorders>
              <w:top w:val="single" w:color="auto" w:sz="4" w:space="0"/>
              <w:left w:val="nil"/>
              <w:bottom w:val="single" w:color="auto" w:sz="4" w:space="0"/>
              <w:right w:val="single" w:color="auto" w:sz="4" w:space="0"/>
            </w:tcBorders>
            <w:vAlign w:val="center"/>
          </w:tcPr>
          <w:p>
            <w:pPr>
              <w:widowControl/>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Calibri" w:hAnsi="Calibri"/>
                <w:color w:val="auto"/>
                <w:szCs w:val="21"/>
                <w:highlight w:val="none"/>
              </w:rPr>
            </w:pPr>
            <w:r>
              <w:rPr>
                <w:rFonts w:ascii="Calibri" w:hAnsi="Calibri"/>
                <w:color w:val="auto"/>
                <w:szCs w:val="21"/>
                <w:highlight w:val="none"/>
              </w:rPr>
              <w:t>2</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裂缝测宽仪</w:t>
            </w:r>
          </w:p>
        </w:tc>
        <w:tc>
          <w:tcPr>
            <w:tcW w:w="2693" w:type="dxa"/>
            <w:tcBorders>
              <w:top w:val="single" w:color="auto" w:sz="4" w:space="0"/>
              <w:left w:val="nil"/>
              <w:bottom w:val="single" w:color="auto" w:sz="4" w:space="0"/>
              <w:right w:val="single" w:color="auto" w:sz="4" w:space="0"/>
            </w:tcBorders>
            <w:vAlign w:val="center"/>
          </w:tcPr>
          <w:p>
            <w:pPr>
              <w:widowControl/>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3</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混凝土回弹仪</w:t>
            </w:r>
          </w:p>
        </w:tc>
        <w:tc>
          <w:tcPr>
            <w:tcW w:w="2693" w:type="dxa"/>
            <w:tcBorders>
              <w:top w:val="single" w:color="auto" w:sz="4" w:space="0"/>
              <w:left w:val="nil"/>
              <w:bottom w:val="single" w:color="auto" w:sz="4" w:space="0"/>
              <w:right w:val="single" w:color="auto" w:sz="4" w:space="0"/>
            </w:tcBorders>
            <w:vAlign w:val="center"/>
          </w:tcPr>
          <w:p>
            <w:pPr>
              <w:widowControl/>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4</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桥梁检测专用车</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5</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横向力系数测试车</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6</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color w:val="auto"/>
                <w:highlight w:val="none"/>
              </w:rPr>
              <w:t>自动弯沉仪</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7</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自动路况摄像设备</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hint="eastAsia" w:ascii="Calibri" w:hAnsi="Calibri"/>
                <w:color w:val="auto"/>
                <w:szCs w:val="21"/>
                <w:highlight w:val="none"/>
              </w:rPr>
              <w:t>1台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8</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激光车辙仪</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9</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激光构造深度仪</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r>
        <w:tblPrEx>
          <w:tblCellMar>
            <w:top w:w="0" w:type="dxa"/>
            <w:left w:w="108" w:type="dxa"/>
            <w:bottom w:w="0" w:type="dxa"/>
            <w:right w:w="108" w:type="dxa"/>
          </w:tblCellMar>
        </w:tblPrEx>
        <w:trPr>
          <w:trHeight w:val="452" w:hRule="atLeast"/>
        </w:trPr>
        <w:tc>
          <w:tcPr>
            <w:tcW w:w="8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Calibri" w:hAnsi="Calibri"/>
                <w:color w:val="auto"/>
                <w:szCs w:val="21"/>
                <w:highlight w:val="none"/>
              </w:rPr>
            </w:pPr>
            <w:r>
              <w:rPr>
                <w:rFonts w:ascii="Calibri" w:hAnsi="Calibri"/>
                <w:color w:val="auto"/>
                <w:szCs w:val="21"/>
                <w:highlight w:val="none"/>
              </w:rPr>
              <w:t>10</w:t>
            </w:r>
          </w:p>
        </w:tc>
        <w:tc>
          <w:tcPr>
            <w:tcW w:w="314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Calibri" w:hAnsi="Calibri"/>
                <w:color w:val="auto"/>
                <w:szCs w:val="21"/>
                <w:highlight w:val="none"/>
              </w:rPr>
            </w:pPr>
            <w:r>
              <w:rPr>
                <w:rFonts w:hint="eastAsia" w:ascii="Calibri" w:hAnsi="Calibri"/>
                <w:color w:val="auto"/>
                <w:szCs w:val="21"/>
                <w:highlight w:val="none"/>
              </w:rPr>
              <w:t>激光平整度仪</w:t>
            </w:r>
          </w:p>
        </w:tc>
        <w:tc>
          <w:tcPr>
            <w:tcW w:w="269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p>
        </w:tc>
        <w:tc>
          <w:tcPr>
            <w:tcW w:w="205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台</w:t>
            </w:r>
          </w:p>
        </w:tc>
      </w:tr>
    </w:tbl>
    <w:p>
      <w:pPr>
        <w:widowControl/>
        <w:autoSpaceDE w:val="0"/>
        <w:autoSpaceDN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注：1、本表未列入的设备，投标人应根据工程的实际需要配备齐全，如不能满足本工程需要，发包人有权要求检测单位配备齐全。</w:t>
      </w:r>
    </w:p>
    <w:p>
      <w:pPr>
        <w:widowControl/>
        <w:autoSpaceDE w:val="0"/>
        <w:autoSpaceDN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填报拟投入主要试验检测设备应符合本表最低要求，同时必须满足检测工作内容的需要。如投标人有多功能检测车的，需提供标定证书扫描件，标定证书上应体现：自动路况摄像、车辙、构造深度、平整度等检测参数，方可视同满足本表中序号7-10中相对应设备。</w:t>
      </w:r>
    </w:p>
    <w:p>
      <w:pPr>
        <w:widowControl/>
        <w:autoSpaceDE w:val="0"/>
        <w:autoSpaceDN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允许投标人租赁，若为租赁，则需提供车辆或设备租赁合同。</w:t>
      </w:r>
    </w:p>
    <w:p>
      <w:pPr>
        <w:ind w:firstLine="480" w:firstLineChars="200"/>
        <w:rPr>
          <w:rFonts w:ascii="Calibri" w:hAnsi="Calibri"/>
          <w:color w:val="auto"/>
          <w:sz w:val="24"/>
        </w:rPr>
      </w:pPr>
    </w:p>
    <w:p>
      <w:pPr>
        <w:autoSpaceDE w:val="0"/>
        <w:autoSpaceDN w:val="0"/>
        <w:spacing w:beforeLines="50" w:line="360" w:lineRule="auto"/>
        <w:jc w:val="left"/>
        <w:rPr>
          <w:rFonts w:ascii="宋体" w:hAnsi="宋体" w:cs="宋体"/>
          <w:b/>
          <w:bCs/>
          <w:color w:val="auto"/>
          <w:kern w:val="0"/>
          <w:sz w:val="24"/>
        </w:rPr>
      </w:pPr>
      <w:r>
        <w:rPr>
          <w:rFonts w:ascii="黑体" w:hAnsi="宋体" w:eastAsia="黑体" w:cs="宋体"/>
          <w:b/>
          <w:bCs/>
          <w:color w:val="auto"/>
          <w:kern w:val="0"/>
          <w:sz w:val="24"/>
        </w:rPr>
        <w:t xml:space="preserve">2.7  </w:t>
      </w:r>
      <w:r>
        <w:rPr>
          <w:rFonts w:hint="eastAsia" w:ascii="黑体" w:hAnsi="宋体" w:eastAsia="黑体" w:cs="宋体"/>
          <w:b/>
          <w:bCs/>
          <w:color w:val="auto"/>
          <w:kern w:val="0"/>
          <w:sz w:val="24"/>
        </w:rPr>
        <w:t>检测人的试验检测任务</w:t>
      </w:r>
    </w:p>
    <w:p>
      <w:pPr>
        <w:widowControl/>
        <w:autoSpaceDE w:val="0"/>
        <w:autoSpaceDN w:val="0"/>
        <w:spacing w:line="360" w:lineRule="auto"/>
        <w:ind w:firstLine="420"/>
        <w:jc w:val="left"/>
        <w:rPr>
          <w:rFonts w:ascii="宋体" w:hAnsi="宋体" w:cs="宋体"/>
          <w:color w:val="auto"/>
          <w:kern w:val="0"/>
          <w:sz w:val="24"/>
        </w:rPr>
      </w:pPr>
      <w:r>
        <w:rPr>
          <w:rFonts w:ascii="宋体" w:hAnsi="宋体" w:cs="宋体"/>
          <w:color w:val="auto"/>
          <w:kern w:val="0"/>
          <w:sz w:val="24"/>
        </w:rPr>
        <w:t xml:space="preserve">2.7.1  </w:t>
      </w:r>
      <w:r>
        <w:rPr>
          <w:rFonts w:hint="eastAsia" w:ascii="宋体" w:hAnsi="宋体" w:cs="宋体"/>
          <w:color w:val="auto"/>
          <w:kern w:val="0"/>
          <w:sz w:val="24"/>
        </w:rPr>
        <w:t>规范规定属检测人职责范围内的所有检测任务均由检测人承担，其检测费用在试验检测费中报价计列。检测仪器、设备可参照表</w:t>
      </w:r>
      <w:r>
        <w:rPr>
          <w:rFonts w:ascii="宋体" w:hAnsi="宋体" w:cs="宋体"/>
          <w:color w:val="auto"/>
          <w:kern w:val="0"/>
          <w:sz w:val="24"/>
        </w:rPr>
        <w:t>2</w:t>
      </w:r>
      <w:r>
        <w:rPr>
          <w:rFonts w:hint="eastAsia" w:ascii="宋体" w:hAnsi="宋体" w:cs="宋体"/>
          <w:color w:val="auto"/>
          <w:kern w:val="0"/>
          <w:sz w:val="24"/>
        </w:rPr>
        <w:t>的要求配备。</w:t>
      </w:r>
    </w:p>
    <w:p>
      <w:pPr>
        <w:keepNext w:val="0"/>
        <w:keepLines w:val="0"/>
        <w:pageBreakBefore w:val="0"/>
        <w:widowControl/>
        <w:kinsoku/>
        <w:wordWrap/>
        <w:overflowPunct/>
        <w:topLinePunct w:val="0"/>
        <w:autoSpaceDE w:val="0"/>
        <w:autoSpaceDN w:val="0"/>
        <w:bidi w:val="0"/>
        <w:adjustRightInd w:val="0"/>
        <w:snapToGrid/>
        <w:spacing w:before="240" w:after="240"/>
        <w:jc w:val="left"/>
        <w:textAlignment w:val="auto"/>
        <w:outlineLvl w:val="0"/>
        <w:rPr>
          <w:rFonts w:ascii="宋体" w:hAnsi="宋体" w:cs="宋体"/>
          <w:b/>
          <w:bCs/>
          <w:color w:val="auto"/>
          <w:kern w:val="0"/>
          <w:sz w:val="24"/>
        </w:rPr>
      </w:pPr>
      <w:bookmarkStart w:id="411" w:name="_Toc222740162"/>
      <w:bookmarkEnd w:id="411"/>
      <w:bookmarkStart w:id="412" w:name="_Toc222740160"/>
      <w:bookmarkEnd w:id="412"/>
      <w:bookmarkStart w:id="413" w:name="_Toc222740161"/>
      <w:bookmarkEnd w:id="413"/>
      <w:bookmarkStart w:id="414" w:name="_Toc222740159"/>
      <w:bookmarkEnd w:id="414"/>
      <w:bookmarkStart w:id="415" w:name="_Toc493408531"/>
      <w:r>
        <w:rPr>
          <w:rFonts w:ascii="宋体" w:hAnsi="宋体" w:cs="宋体"/>
          <w:b/>
          <w:bCs/>
          <w:color w:val="auto"/>
          <w:kern w:val="0"/>
          <w:sz w:val="24"/>
        </w:rPr>
        <w:t>3</w:t>
      </w:r>
      <w:r>
        <w:rPr>
          <w:rFonts w:hint="eastAsia" w:ascii="宋体" w:hAnsi="宋体" w:cs="宋体"/>
          <w:b/>
          <w:bCs/>
          <w:color w:val="auto"/>
          <w:kern w:val="0"/>
          <w:sz w:val="24"/>
        </w:rPr>
        <w:t>．其他</w:t>
      </w:r>
      <w:bookmarkEnd w:id="415"/>
    </w:p>
    <w:p>
      <w:pPr>
        <w:widowControl/>
        <w:autoSpaceDE w:val="0"/>
        <w:autoSpaceDN w:val="0"/>
        <w:spacing w:line="360" w:lineRule="auto"/>
        <w:ind w:firstLine="420"/>
        <w:jc w:val="left"/>
        <w:rPr>
          <w:rFonts w:ascii="宋体" w:hAnsi="宋体" w:cs="宋体"/>
          <w:color w:val="auto"/>
          <w:kern w:val="0"/>
          <w:sz w:val="24"/>
        </w:rPr>
      </w:pPr>
      <w:bookmarkStart w:id="416" w:name="_Toc493408532"/>
      <w:bookmarkEnd w:id="416"/>
      <w:r>
        <w:rPr>
          <w:rFonts w:hint="eastAsia" w:ascii="宋体" w:hAnsi="宋体" w:cs="宋体"/>
          <w:color w:val="auto"/>
          <w:kern w:val="0"/>
          <w:sz w:val="24"/>
        </w:rPr>
        <w:t>履约的具体办法：</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）检测人按发包人</w:t>
      </w:r>
      <w:r>
        <w:rPr>
          <w:rFonts w:hint="eastAsia" w:ascii="宋体" w:hAnsi="宋体" w:cs="宋体"/>
          <w:color w:val="auto"/>
          <w:kern w:val="0"/>
          <w:sz w:val="24"/>
          <w:lang w:val="en-US" w:eastAsia="zh-CN"/>
        </w:rPr>
        <w:t>要求</w:t>
      </w:r>
      <w:r>
        <w:rPr>
          <w:rFonts w:hint="eastAsia" w:ascii="宋体" w:hAnsi="宋体" w:cs="宋体"/>
          <w:color w:val="auto"/>
          <w:kern w:val="0"/>
          <w:sz w:val="24"/>
        </w:rPr>
        <w:t>的关键节点，认真履行检测服务工作，使每个节点都按时完工；</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）检测人按发包人制定的工程施工总体进度计划，认真履行检测服务工作；</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）工程无重大安全、环保、质量事故发生，质量目标达到合同约定。</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）对于中标项目负责人、技术负责人、</w:t>
      </w:r>
      <w:r>
        <w:rPr>
          <w:rFonts w:hint="eastAsia" w:ascii="Calibri" w:hAnsi="Calibri" w:cs="宋体"/>
          <w:color w:val="auto"/>
          <w:kern w:val="0"/>
          <w:sz w:val="24"/>
        </w:rPr>
        <w:t>桥梁检测工程师、路面检测工程师、安全负责人</w:t>
      </w:r>
      <w:r>
        <w:rPr>
          <w:rFonts w:hint="eastAsia" w:ascii="宋体" w:hAnsi="宋体" w:cs="宋体"/>
          <w:color w:val="auto"/>
          <w:kern w:val="0"/>
          <w:sz w:val="24"/>
        </w:rPr>
        <w:t>、试验检测员原则上不得变更，若有特殊情况需变更的，变更人员职称和资质证书应等于或高于投标承诺人员，否则将不予变更。</w:t>
      </w:r>
      <w:r>
        <w:rPr>
          <w:rFonts w:hint="eastAsia" w:ascii="宋体" w:hAnsi="宋体" w:cs="宋体"/>
          <w:color w:val="auto"/>
          <w:kern w:val="0"/>
          <w:sz w:val="24"/>
          <w:lang w:val="en-US" w:eastAsia="zh-CN"/>
        </w:rPr>
        <w:t>若发生</w:t>
      </w:r>
      <w:r>
        <w:rPr>
          <w:rFonts w:hint="eastAsia" w:ascii="宋体" w:hAnsi="宋体" w:cs="宋体"/>
          <w:color w:val="auto"/>
          <w:kern w:val="0"/>
          <w:sz w:val="24"/>
        </w:rPr>
        <w:t>擅自更换或不到位属违约行为，招标人有权扣除</w:t>
      </w:r>
      <w:r>
        <w:rPr>
          <w:rFonts w:hint="eastAsia" w:ascii="宋体" w:hAnsi="宋体" w:cs="宋体"/>
          <w:color w:val="auto"/>
          <w:kern w:val="0"/>
          <w:sz w:val="24"/>
          <w:lang w:val="en-US" w:eastAsia="zh-CN"/>
        </w:rPr>
        <w:t>全部</w:t>
      </w:r>
      <w:r>
        <w:rPr>
          <w:rFonts w:hint="eastAsia" w:ascii="宋体" w:hAnsi="宋体" w:cs="宋体"/>
          <w:color w:val="auto"/>
          <w:kern w:val="0"/>
          <w:sz w:val="24"/>
        </w:rPr>
        <w:t>履约保证金</w:t>
      </w:r>
      <w:r>
        <w:rPr>
          <w:rFonts w:hint="eastAsia" w:ascii="宋体" w:hAnsi="宋体" w:cs="宋体"/>
          <w:color w:val="auto"/>
          <w:kern w:val="0"/>
          <w:sz w:val="24"/>
          <w:lang w:val="en-US" w:eastAsia="zh-CN"/>
        </w:rPr>
        <w:t>并解除合同，乙方应赔偿甲方因此造成的一切损失</w:t>
      </w:r>
      <w:r>
        <w:rPr>
          <w:rFonts w:hint="eastAsia" w:ascii="宋体" w:hAnsi="宋体" w:cs="宋体"/>
          <w:color w:val="auto"/>
          <w:kern w:val="0"/>
          <w:sz w:val="24"/>
          <w:lang w:eastAsia="zh-CN"/>
        </w:rPr>
        <w:t>。</w:t>
      </w:r>
      <w:r>
        <w:rPr>
          <w:rFonts w:hint="eastAsia" w:ascii="宋体" w:hAnsi="宋体" w:cs="宋体"/>
          <w:color w:val="auto"/>
          <w:kern w:val="0"/>
          <w:sz w:val="24"/>
        </w:rPr>
        <w:t>若检测单位的现场检测人员技术管理素质不能满足业主单位的要求，业主有权责令其</w:t>
      </w:r>
      <w:r>
        <w:rPr>
          <w:rFonts w:hint="eastAsia" w:ascii="宋体" w:hAnsi="宋体" w:cs="宋体"/>
          <w:color w:val="auto"/>
          <w:kern w:val="0"/>
          <w:sz w:val="24"/>
          <w:lang w:val="en-US" w:eastAsia="zh-CN"/>
        </w:rPr>
        <w:t>7天内</w:t>
      </w:r>
      <w:r>
        <w:rPr>
          <w:rFonts w:hint="eastAsia" w:ascii="宋体" w:hAnsi="宋体" w:cs="宋体"/>
          <w:color w:val="auto"/>
          <w:kern w:val="0"/>
          <w:sz w:val="24"/>
        </w:rPr>
        <w:t>更换，如不按期更换则按人员不到位处理。</w:t>
      </w:r>
    </w:p>
    <w:p>
      <w:pPr>
        <w:autoSpaceDE w:val="0"/>
        <w:autoSpaceDN w:val="0"/>
        <w:spacing w:line="360" w:lineRule="auto"/>
        <w:ind w:firstLine="354" w:firstLineChars="147"/>
        <w:jc w:val="left"/>
        <w:rPr>
          <w:rFonts w:ascii="Calibri" w:hAnsi="Calibri" w:cs="宋体"/>
          <w:b/>
          <w:bCs/>
          <w:color w:val="auto"/>
          <w:kern w:val="0"/>
          <w:sz w:val="24"/>
        </w:rPr>
      </w:pPr>
      <w:r>
        <w:rPr>
          <w:rFonts w:hint="eastAsia" w:ascii="宋体" w:hAnsi="宋体" w:cs="宋体"/>
          <w:b/>
          <w:bCs/>
          <w:color w:val="auto"/>
          <w:kern w:val="0"/>
          <w:sz w:val="24"/>
        </w:rPr>
        <w:t>（</w:t>
      </w:r>
      <w:r>
        <w:rPr>
          <w:rFonts w:ascii="宋体" w:hAnsi="宋体" w:cs="宋体"/>
          <w:b/>
          <w:bCs/>
          <w:color w:val="auto"/>
          <w:kern w:val="0"/>
          <w:sz w:val="24"/>
        </w:rPr>
        <w:t>5</w:t>
      </w:r>
      <w:r>
        <w:rPr>
          <w:rFonts w:hint="eastAsia" w:ascii="宋体" w:hAnsi="宋体" w:cs="宋体"/>
          <w:b/>
          <w:bCs/>
          <w:color w:val="auto"/>
          <w:kern w:val="0"/>
          <w:sz w:val="24"/>
        </w:rPr>
        <w:t>）业主单位将严格对项目负责人、技术负责人、</w:t>
      </w:r>
      <w:r>
        <w:rPr>
          <w:rFonts w:hint="eastAsia" w:ascii="Calibri" w:hAnsi="Calibri" w:cs="宋体"/>
          <w:b/>
          <w:bCs/>
          <w:color w:val="auto"/>
          <w:kern w:val="0"/>
          <w:sz w:val="24"/>
        </w:rPr>
        <w:t>桥梁检测工程师、路面检测工程师、安全负责人</w:t>
      </w:r>
      <w:r>
        <w:rPr>
          <w:rFonts w:hint="eastAsia" w:ascii="宋体" w:hAnsi="宋体" w:cs="宋体"/>
          <w:b/>
          <w:bCs/>
          <w:color w:val="auto"/>
          <w:kern w:val="0"/>
          <w:sz w:val="24"/>
        </w:rPr>
        <w:t>和现场检测人员进行</w:t>
      </w:r>
      <w:r>
        <w:rPr>
          <w:rFonts w:hint="eastAsia" w:ascii="宋体" w:hAnsi="宋体" w:cs="宋体"/>
          <w:b/>
          <w:bCs/>
          <w:color w:val="auto"/>
          <w:kern w:val="0"/>
          <w:sz w:val="24"/>
          <w:lang w:eastAsia="zh-CN"/>
        </w:rPr>
        <w:t>监督</w:t>
      </w:r>
      <w:r>
        <w:rPr>
          <w:rFonts w:hint="eastAsia" w:ascii="宋体" w:hAnsi="宋体" w:cs="宋体"/>
          <w:b/>
          <w:bCs/>
          <w:color w:val="auto"/>
          <w:kern w:val="0"/>
          <w:sz w:val="24"/>
        </w:rPr>
        <w:t>，如不能按要求到岗，将分别给予项目负责人</w:t>
      </w:r>
      <w:r>
        <w:rPr>
          <w:rFonts w:ascii="宋体" w:hAnsi="宋体" w:cs="宋体"/>
          <w:b/>
          <w:bCs/>
          <w:color w:val="auto"/>
          <w:kern w:val="0"/>
          <w:sz w:val="24"/>
        </w:rPr>
        <w:t>5000</w:t>
      </w:r>
      <w:r>
        <w:rPr>
          <w:rFonts w:hint="eastAsia" w:ascii="宋体" w:hAnsi="宋体" w:cs="宋体"/>
          <w:b/>
          <w:bCs/>
          <w:color w:val="auto"/>
          <w:kern w:val="0"/>
          <w:sz w:val="24"/>
        </w:rPr>
        <w:t>元</w:t>
      </w:r>
      <w:r>
        <w:rPr>
          <w:rFonts w:ascii="宋体" w:hAnsi="宋体" w:cs="宋体"/>
          <w:b/>
          <w:bCs/>
          <w:color w:val="auto"/>
          <w:kern w:val="0"/>
          <w:sz w:val="24"/>
        </w:rPr>
        <w:t>/</w:t>
      </w:r>
      <w:r>
        <w:rPr>
          <w:rFonts w:hint="eastAsia" w:ascii="宋体" w:hAnsi="宋体" w:cs="宋体"/>
          <w:b/>
          <w:bCs/>
          <w:color w:val="auto"/>
          <w:kern w:val="0"/>
          <w:sz w:val="24"/>
        </w:rPr>
        <w:t>天、技术负责人</w:t>
      </w:r>
      <w:r>
        <w:rPr>
          <w:rFonts w:ascii="宋体" w:hAnsi="宋体" w:cs="宋体"/>
          <w:b/>
          <w:bCs/>
          <w:color w:val="auto"/>
          <w:kern w:val="0"/>
          <w:sz w:val="24"/>
        </w:rPr>
        <w:t>3000</w:t>
      </w:r>
      <w:r>
        <w:rPr>
          <w:rFonts w:hint="eastAsia" w:ascii="宋体" w:hAnsi="宋体" w:cs="宋体"/>
          <w:b/>
          <w:bCs/>
          <w:color w:val="auto"/>
          <w:kern w:val="0"/>
          <w:sz w:val="24"/>
        </w:rPr>
        <w:t>元</w:t>
      </w:r>
      <w:r>
        <w:rPr>
          <w:rFonts w:ascii="宋体" w:hAnsi="宋体" w:cs="宋体"/>
          <w:b/>
          <w:bCs/>
          <w:color w:val="auto"/>
          <w:kern w:val="0"/>
          <w:sz w:val="24"/>
        </w:rPr>
        <w:t>/</w:t>
      </w:r>
      <w:r>
        <w:rPr>
          <w:rFonts w:hint="eastAsia" w:ascii="宋体" w:hAnsi="宋体" w:cs="宋体"/>
          <w:b/>
          <w:bCs/>
          <w:color w:val="auto"/>
          <w:kern w:val="0"/>
          <w:sz w:val="24"/>
        </w:rPr>
        <w:t>天、相关人员（</w:t>
      </w:r>
      <w:r>
        <w:rPr>
          <w:rFonts w:hint="eastAsia" w:ascii="Calibri" w:hAnsi="Calibri" w:cs="宋体"/>
          <w:b/>
          <w:bCs/>
          <w:color w:val="auto"/>
          <w:kern w:val="0"/>
          <w:sz w:val="24"/>
        </w:rPr>
        <w:t>桥梁检测工程师、路面检测工程师、安全负责人）</w:t>
      </w:r>
      <w:r>
        <w:rPr>
          <w:rFonts w:ascii="Calibri" w:hAnsi="Calibri" w:cs="宋体"/>
          <w:b/>
          <w:bCs/>
          <w:color w:val="auto"/>
          <w:kern w:val="0"/>
          <w:sz w:val="24"/>
        </w:rPr>
        <w:t>20</w:t>
      </w:r>
      <w:r>
        <w:rPr>
          <w:rFonts w:ascii="宋体" w:hAnsi="宋体" w:cs="宋体"/>
          <w:b/>
          <w:bCs/>
          <w:color w:val="auto"/>
          <w:kern w:val="0"/>
          <w:sz w:val="24"/>
        </w:rPr>
        <w:t>00</w:t>
      </w:r>
      <w:r>
        <w:rPr>
          <w:rFonts w:hint="eastAsia" w:ascii="宋体" w:hAnsi="宋体" w:cs="宋体"/>
          <w:b/>
          <w:bCs/>
          <w:color w:val="auto"/>
          <w:kern w:val="0"/>
          <w:sz w:val="24"/>
        </w:rPr>
        <w:t>元</w:t>
      </w:r>
      <w:r>
        <w:rPr>
          <w:rFonts w:ascii="宋体" w:hAnsi="宋体" w:cs="宋体"/>
          <w:b/>
          <w:bCs/>
          <w:color w:val="auto"/>
          <w:kern w:val="0"/>
          <w:sz w:val="24"/>
        </w:rPr>
        <w:t>/</w:t>
      </w:r>
      <w:r>
        <w:rPr>
          <w:rFonts w:hint="eastAsia" w:ascii="宋体" w:hAnsi="宋体" w:cs="宋体"/>
          <w:b/>
          <w:bCs/>
          <w:color w:val="auto"/>
          <w:kern w:val="0"/>
          <w:sz w:val="24"/>
        </w:rPr>
        <w:t>天、试验检测员</w:t>
      </w:r>
      <w:r>
        <w:rPr>
          <w:rFonts w:ascii="宋体" w:hAnsi="宋体" w:cs="宋体"/>
          <w:b/>
          <w:bCs/>
          <w:color w:val="auto"/>
          <w:kern w:val="0"/>
          <w:sz w:val="24"/>
        </w:rPr>
        <w:t>1000</w:t>
      </w:r>
      <w:r>
        <w:rPr>
          <w:rFonts w:hint="eastAsia" w:ascii="宋体" w:hAnsi="宋体" w:cs="宋体"/>
          <w:b/>
          <w:bCs/>
          <w:color w:val="auto"/>
          <w:kern w:val="0"/>
          <w:sz w:val="24"/>
        </w:rPr>
        <w:t>元</w:t>
      </w:r>
      <w:r>
        <w:rPr>
          <w:rFonts w:ascii="宋体" w:hAnsi="宋体" w:cs="宋体"/>
          <w:b/>
          <w:bCs/>
          <w:color w:val="auto"/>
          <w:kern w:val="0"/>
          <w:sz w:val="24"/>
        </w:rPr>
        <w:t>/</w:t>
      </w:r>
      <w:r>
        <w:rPr>
          <w:rFonts w:hint="eastAsia" w:ascii="宋体" w:hAnsi="宋体" w:cs="宋体"/>
          <w:b/>
          <w:bCs/>
          <w:color w:val="auto"/>
          <w:kern w:val="0"/>
          <w:sz w:val="24"/>
        </w:rPr>
        <w:t>天的处罚，处罚金额在最终结算时直接扣除，处罚总金额最高至检测服务费的</w:t>
      </w:r>
      <w:r>
        <w:rPr>
          <w:rFonts w:ascii="宋体" w:hAnsi="宋体" w:cs="宋体"/>
          <w:b/>
          <w:bCs/>
          <w:color w:val="auto"/>
          <w:kern w:val="0"/>
          <w:sz w:val="24"/>
        </w:rPr>
        <w:t>30%</w:t>
      </w:r>
      <w:r>
        <w:rPr>
          <w:rFonts w:hint="eastAsia" w:ascii="宋体" w:hAnsi="宋体" w:cs="宋体"/>
          <w:b/>
          <w:bCs/>
          <w:color w:val="auto"/>
          <w:kern w:val="0"/>
          <w:sz w:val="24"/>
        </w:rPr>
        <w:t>。</w:t>
      </w:r>
    </w:p>
    <w:p>
      <w:pPr>
        <w:widowControl/>
        <w:autoSpaceDE w:val="0"/>
        <w:autoSpaceDN w:val="0"/>
        <w:spacing w:line="360" w:lineRule="auto"/>
        <w:ind w:firstLine="420"/>
        <w:jc w:val="left"/>
        <w:rPr>
          <w:rFonts w:ascii="宋体" w:hAnsi="宋体" w:cs="宋体"/>
          <w:color w:val="auto"/>
          <w:kern w:val="0"/>
          <w:sz w:val="24"/>
        </w:rPr>
      </w:pPr>
      <w:r>
        <w:rPr>
          <w:rFonts w:hint="eastAsia" w:ascii="宋体" w:hAnsi="宋体" w:cs="宋体"/>
          <w:b/>
          <w:bCs/>
          <w:color w:val="auto"/>
          <w:kern w:val="0"/>
          <w:sz w:val="24"/>
        </w:rPr>
        <w:t>若有违反上面第（</w:t>
      </w:r>
      <w:r>
        <w:rPr>
          <w:rFonts w:ascii="宋体" w:hAnsi="宋体" w:cs="宋体"/>
          <w:b/>
          <w:bCs/>
          <w:color w:val="auto"/>
          <w:kern w:val="0"/>
          <w:sz w:val="24"/>
        </w:rPr>
        <w:t>5</w:t>
      </w:r>
      <w:r>
        <w:rPr>
          <w:rFonts w:hint="eastAsia" w:ascii="宋体" w:hAnsi="宋体" w:cs="宋体"/>
          <w:b/>
          <w:bCs/>
          <w:color w:val="auto"/>
          <w:kern w:val="0"/>
          <w:sz w:val="24"/>
        </w:rPr>
        <w:t>）条情况发生，业主将第一时间约见单位法</w:t>
      </w:r>
      <w:r>
        <w:rPr>
          <w:rFonts w:hint="eastAsia" w:ascii="宋体" w:hAnsi="宋体" w:cs="宋体"/>
          <w:b/>
          <w:bCs/>
          <w:color w:val="auto"/>
          <w:kern w:val="0"/>
          <w:sz w:val="24"/>
          <w:lang w:val="en-US" w:eastAsia="zh-CN"/>
        </w:rPr>
        <w:t>定代表</w:t>
      </w:r>
      <w:r>
        <w:rPr>
          <w:rFonts w:hint="eastAsia" w:ascii="宋体" w:hAnsi="宋体" w:cs="宋体"/>
          <w:b/>
          <w:bCs/>
          <w:color w:val="auto"/>
          <w:kern w:val="0"/>
          <w:sz w:val="24"/>
        </w:rPr>
        <w:t>人，并上报上级主管部门。</w:t>
      </w:r>
    </w:p>
    <w:p>
      <w:pPr>
        <w:keepNext w:val="0"/>
        <w:keepLines w:val="0"/>
        <w:pageBreakBefore w:val="0"/>
        <w:widowControl/>
        <w:kinsoku/>
        <w:wordWrap/>
        <w:overflowPunct/>
        <w:topLinePunct w:val="0"/>
        <w:autoSpaceDE w:val="0"/>
        <w:autoSpaceDN w:val="0"/>
        <w:bidi w:val="0"/>
        <w:adjustRightInd w:val="0"/>
        <w:snapToGrid/>
        <w:spacing w:before="240" w:after="240"/>
        <w:jc w:val="left"/>
        <w:textAlignment w:val="auto"/>
        <w:outlineLvl w:val="0"/>
        <w:rPr>
          <w:rFonts w:ascii="宋体" w:hAnsi="宋体" w:cs="宋体"/>
          <w:b/>
          <w:bCs/>
          <w:color w:val="auto"/>
          <w:kern w:val="0"/>
          <w:sz w:val="24"/>
        </w:rPr>
      </w:pPr>
      <w:bookmarkStart w:id="417" w:name="_Toc493408534"/>
      <w:bookmarkEnd w:id="417"/>
      <w:bookmarkStart w:id="418" w:name="_Toc222740163"/>
      <w:r>
        <w:rPr>
          <w:rFonts w:ascii="宋体" w:hAnsi="宋体" w:cs="宋体"/>
          <w:b/>
          <w:bCs/>
          <w:color w:val="auto"/>
          <w:kern w:val="0"/>
          <w:sz w:val="24"/>
        </w:rPr>
        <w:t>4</w:t>
      </w:r>
      <w:r>
        <w:rPr>
          <w:rFonts w:hint="eastAsia" w:ascii="宋体" w:hAnsi="宋体" w:cs="宋体"/>
          <w:b/>
          <w:bCs/>
          <w:color w:val="auto"/>
          <w:kern w:val="0"/>
          <w:sz w:val="24"/>
        </w:rPr>
        <w:t>．争端的解决</w:t>
      </w:r>
      <w:bookmarkEnd w:id="418"/>
    </w:p>
    <w:p>
      <w:pPr>
        <w:widowControl/>
        <w:autoSpaceDE w:val="0"/>
        <w:autoSpaceDN w:val="0"/>
        <w:ind w:firstLine="420"/>
        <w:jc w:val="left"/>
        <w:rPr>
          <w:rFonts w:hint="eastAsia" w:ascii="宋体" w:hAnsi="宋体" w:cs="宋体"/>
          <w:color w:val="auto"/>
          <w:kern w:val="0"/>
          <w:sz w:val="24"/>
        </w:rPr>
      </w:pPr>
      <w:r>
        <w:rPr>
          <w:rFonts w:hint="eastAsia" w:ascii="宋体" w:hAnsi="宋体" w:cs="宋体"/>
          <w:color w:val="auto"/>
          <w:kern w:val="0"/>
          <w:sz w:val="24"/>
        </w:rPr>
        <w:t>双方在此约定：关于本合同争议，应双方友好协商解决，协商不一致，双方应当向甲方所在地人民法院提起诉讼，败诉方应承担另一方因主张权利而实际支出的律师代理费、诉讼费、财产保全费、保全担保费、公证费、鉴定费等全部费用。</w:t>
      </w:r>
    </w:p>
    <w:p>
      <w:pPr>
        <w:keepNext w:val="0"/>
        <w:keepLines w:val="0"/>
        <w:pageBreakBefore w:val="0"/>
        <w:widowControl/>
        <w:kinsoku/>
        <w:wordWrap/>
        <w:overflowPunct/>
        <w:topLinePunct w:val="0"/>
        <w:autoSpaceDE w:val="0"/>
        <w:autoSpaceDN w:val="0"/>
        <w:bidi w:val="0"/>
        <w:adjustRightInd w:val="0"/>
        <w:snapToGrid/>
        <w:spacing w:before="240" w:after="240"/>
        <w:jc w:val="left"/>
        <w:textAlignment w:val="auto"/>
        <w:outlineLvl w:val="0"/>
        <w:rPr>
          <w:rFonts w:ascii="宋体" w:hAnsi="宋体" w:cs="宋体"/>
          <w:b/>
          <w:bCs/>
          <w:color w:val="auto"/>
          <w:kern w:val="0"/>
          <w:sz w:val="24"/>
        </w:rPr>
      </w:pPr>
      <w:bookmarkStart w:id="419" w:name="_Toc222740164"/>
      <w:bookmarkEnd w:id="419"/>
      <w:r>
        <w:rPr>
          <w:rFonts w:ascii="宋体" w:hAnsi="宋体" w:cs="宋体"/>
          <w:b/>
          <w:bCs/>
          <w:color w:val="auto"/>
          <w:kern w:val="0"/>
          <w:sz w:val="24"/>
        </w:rPr>
        <w:t>5</w:t>
      </w:r>
      <w:r>
        <w:rPr>
          <w:rFonts w:hint="eastAsia" w:ascii="宋体" w:hAnsi="宋体" w:cs="宋体"/>
          <w:b/>
          <w:bCs/>
          <w:color w:val="auto"/>
          <w:kern w:val="0"/>
          <w:sz w:val="24"/>
        </w:rPr>
        <w:t>．补充条款</w:t>
      </w:r>
    </w:p>
    <w:p>
      <w:pPr>
        <w:widowControl/>
        <w:autoSpaceDE w:val="0"/>
        <w:autoSpaceDN w:val="0"/>
        <w:ind w:firstLine="420"/>
        <w:jc w:val="left"/>
        <w:rPr>
          <w:rFonts w:ascii="宋体" w:hAnsi="宋体" w:cs="宋体"/>
          <w:color w:val="auto"/>
          <w:kern w:val="0"/>
          <w:sz w:val="24"/>
        </w:rPr>
      </w:pPr>
      <w:r>
        <w:rPr>
          <w:rFonts w:hint="eastAsia" w:ascii="宋体" w:hAnsi="宋体" w:cs="宋体"/>
          <w:color w:val="auto"/>
          <w:kern w:val="0"/>
          <w:sz w:val="24"/>
        </w:rPr>
        <w:t>需补充的其他条款。</w:t>
      </w:r>
    </w:p>
    <w:p>
      <w:pPr>
        <w:widowControl/>
        <w:jc w:val="left"/>
        <w:rPr>
          <w:rFonts w:ascii="黑体" w:hAnsi="宋体" w:eastAsia="黑体" w:cs="宋体"/>
          <w:color w:val="auto"/>
          <w:spacing w:val="-6"/>
          <w:kern w:val="0"/>
          <w:sz w:val="36"/>
        </w:rPr>
      </w:pPr>
      <w:bookmarkStart w:id="420" w:name="_Toc222740165"/>
      <w:bookmarkEnd w:id="420"/>
      <w:bookmarkStart w:id="421" w:name="_Toc492717360"/>
      <w:bookmarkEnd w:id="421"/>
      <w:bookmarkStart w:id="422" w:name="_Toc386538095"/>
      <w:r>
        <w:rPr>
          <w:rFonts w:ascii="黑体" w:hAnsi="宋体" w:eastAsia="黑体" w:cs="宋体"/>
          <w:color w:val="auto"/>
          <w:spacing w:val="-6"/>
          <w:kern w:val="0"/>
          <w:sz w:val="36"/>
        </w:rPr>
        <w:br w:type="page"/>
      </w:r>
    </w:p>
    <w:p>
      <w:pPr>
        <w:widowControl/>
        <w:autoSpaceDE w:val="0"/>
        <w:autoSpaceDN w:val="0"/>
        <w:jc w:val="center"/>
        <w:outlineLvl w:val="0"/>
        <w:rPr>
          <w:rFonts w:hint="eastAsia" w:ascii="黑体" w:hAnsi="宋体" w:eastAsia="黑体" w:cs="宋体"/>
          <w:b/>
          <w:bCs/>
          <w:color w:val="auto"/>
          <w:kern w:val="0"/>
          <w:sz w:val="36"/>
          <w:szCs w:val="36"/>
          <w:lang w:val="en-US" w:eastAsia="zh-CN"/>
        </w:rPr>
      </w:pPr>
      <w:r>
        <w:rPr>
          <w:rFonts w:hint="eastAsia" w:ascii="黑体" w:hAnsi="宋体" w:eastAsia="黑体" w:cs="宋体"/>
          <w:color w:val="auto"/>
          <w:w w:val="90"/>
          <w:kern w:val="0"/>
          <w:sz w:val="44"/>
        </w:rPr>
        <w:t>试验检测服务合同协议</w:t>
      </w:r>
      <w:bookmarkEnd w:id="422"/>
      <w:r>
        <w:rPr>
          <w:rFonts w:hint="eastAsia" w:ascii="黑体" w:hAnsi="宋体" w:eastAsia="黑体" w:cs="宋体"/>
          <w:color w:val="auto"/>
          <w:w w:val="90"/>
          <w:kern w:val="0"/>
          <w:sz w:val="44"/>
          <w:lang w:val="en-US" w:eastAsia="zh-CN"/>
        </w:rPr>
        <w:t>书</w:t>
      </w:r>
    </w:p>
    <w:p>
      <w:pPr>
        <w:autoSpaceDE w:val="0"/>
        <w:autoSpaceDN w:val="0"/>
        <w:spacing w:line="480" w:lineRule="exact"/>
        <w:ind w:firstLine="448"/>
        <w:jc w:val="center"/>
        <w:rPr>
          <w:rFonts w:ascii="宋体" w:hAnsi="宋体" w:cs="宋体"/>
          <w:color w:val="auto"/>
          <w:kern w:val="0"/>
          <w:sz w:val="22"/>
        </w:rPr>
      </w:pPr>
    </w:p>
    <w:p>
      <w:pPr>
        <w:autoSpaceDE w:val="0"/>
        <w:autoSpaceDN w:val="0"/>
        <w:spacing w:line="360" w:lineRule="auto"/>
        <w:ind w:firstLine="448"/>
        <w:jc w:val="left"/>
        <w:rPr>
          <w:rFonts w:ascii="宋体" w:hAnsi="宋体" w:cs="宋体"/>
          <w:color w:val="auto"/>
          <w:kern w:val="0"/>
          <w:sz w:val="24"/>
        </w:rPr>
      </w:pPr>
      <w:r>
        <w:rPr>
          <w:rFonts w:hint="eastAsia" w:ascii="宋体" w:hAnsi="宋体" w:cs="宋体"/>
          <w:color w:val="auto"/>
          <w:kern w:val="0"/>
          <w:sz w:val="24"/>
        </w:rPr>
        <w:t>本协议书由</w:t>
      </w:r>
      <w:r>
        <w:rPr>
          <w:rFonts w:hint="eastAsia" w:ascii="宋体" w:hAnsi="宋体" w:cs="宋体"/>
          <w:color w:val="auto"/>
          <w:sz w:val="24"/>
          <w:szCs w:val="24"/>
          <w:u w:val="single"/>
        </w:rPr>
        <w:t>杭州市钱塘区交通运输局</w:t>
      </w:r>
      <w:r>
        <w:rPr>
          <w:rFonts w:hint="eastAsia" w:ascii="宋体" w:hAnsi="宋体" w:cs="宋体"/>
          <w:color w:val="auto"/>
          <w:kern w:val="0"/>
          <w:sz w:val="24"/>
        </w:rPr>
        <w:t>（以下简称“发包人”）为一方，与</w:t>
      </w:r>
      <w:r>
        <w:rPr>
          <w:rFonts w:hint="eastAsia" w:ascii="宋体" w:hAnsi="宋体" w:cs="宋体"/>
          <w:color w:val="auto"/>
          <w:sz w:val="24"/>
          <w:szCs w:val="24"/>
          <w:u w:val="single"/>
          <w:lang w:val="en-US" w:eastAsia="zh-CN"/>
        </w:rPr>
        <w:t xml:space="preserve">  </w:t>
      </w:r>
      <w:r>
        <w:rPr>
          <w:rFonts w:hint="eastAsia" w:ascii="宋体" w:hAnsi="宋体" w:cs="宋体"/>
          <w:color w:val="auto"/>
          <w:kern w:val="0"/>
          <w:sz w:val="24"/>
        </w:rPr>
        <w:t>（以下简称“</w:t>
      </w:r>
      <w:r>
        <w:rPr>
          <w:rFonts w:hint="eastAsia" w:ascii="宋体" w:hAnsi="宋体" w:cs="宋体"/>
          <w:color w:val="auto"/>
          <w:kern w:val="0"/>
          <w:sz w:val="24"/>
          <w:lang w:eastAsia="zh-CN"/>
        </w:rPr>
        <w:t>检测人</w:t>
      </w:r>
      <w:r>
        <w:rPr>
          <w:rFonts w:hint="eastAsia" w:ascii="宋体" w:hAnsi="宋体" w:cs="宋体"/>
          <w:color w:val="auto"/>
          <w:kern w:val="0"/>
          <w:sz w:val="24"/>
        </w:rPr>
        <w:t>”）为另一方共同订立。</w:t>
      </w:r>
    </w:p>
    <w:p>
      <w:pPr>
        <w:autoSpaceDE w:val="0"/>
        <w:autoSpaceDN w:val="0"/>
        <w:spacing w:line="360" w:lineRule="auto"/>
        <w:ind w:firstLine="448"/>
        <w:jc w:val="left"/>
        <w:rPr>
          <w:rFonts w:ascii="宋体" w:hAnsi="宋体" w:cs="宋体"/>
          <w:color w:val="auto"/>
          <w:kern w:val="0"/>
          <w:sz w:val="24"/>
        </w:rPr>
      </w:pPr>
      <w:r>
        <w:rPr>
          <w:rFonts w:hint="eastAsia" w:ascii="宋体" w:hAnsi="宋体" w:cs="宋体"/>
          <w:color w:val="auto"/>
          <w:kern w:val="0"/>
          <w:sz w:val="24"/>
        </w:rPr>
        <w:t>鉴于发包人已通过招投标确定</w:t>
      </w:r>
      <w:r>
        <w:rPr>
          <w:rFonts w:hint="eastAsia" w:ascii="宋体" w:hAnsi="宋体" w:cs="宋体"/>
          <w:color w:val="auto"/>
          <w:kern w:val="0"/>
          <w:sz w:val="24"/>
          <w:lang w:eastAsia="zh-CN"/>
        </w:rPr>
        <w:t>检测人</w:t>
      </w:r>
      <w:r>
        <w:rPr>
          <w:rFonts w:hint="eastAsia" w:ascii="宋体" w:hAnsi="宋体" w:cs="宋体"/>
          <w:color w:val="auto"/>
          <w:kern w:val="0"/>
          <w:sz w:val="24"/>
        </w:rPr>
        <w:t>为合同段提供试验检测服务，并已接受了</w:t>
      </w:r>
      <w:r>
        <w:rPr>
          <w:rFonts w:hint="eastAsia" w:ascii="宋体" w:hAnsi="宋体" w:cs="宋体"/>
          <w:color w:val="auto"/>
          <w:kern w:val="0"/>
          <w:sz w:val="24"/>
          <w:lang w:eastAsia="zh-CN"/>
        </w:rPr>
        <w:t>检测人</w:t>
      </w:r>
      <w:r>
        <w:rPr>
          <w:rFonts w:hint="eastAsia" w:ascii="宋体" w:hAnsi="宋体" w:cs="宋体"/>
          <w:color w:val="auto"/>
          <w:kern w:val="0"/>
          <w:sz w:val="24"/>
        </w:rPr>
        <w:t>就此提出的投标文件，为明确双方在合同期间的义务、责任、权力和利益，兹就以下事项达成协议：</w:t>
      </w:r>
    </w:p>
    <w:p>
      <w:pPr>
        <w:autoSpaceDE w:val="0"/>
        <w:autoSpaceDN w:val="0"/>
        <w:spacing w:line="360" w:lineRule="auto"/>
        <w:ind w:firstLine="448"/>
        <w:jc w:val="left"/>
        <w:rPr>
          <w:rFonts w:hAnsi="Calibri"/>
          <w:color w:val="auto"/>
          <w:sz w:val="24"/>
        </w:rPr>
      </w:pPr>
      <w:r>
        <w:rPr>
          <w:rFonts w:hint="eastAsia" w:ascii="宋体" w:hAnsi="宋体" w:cs="宋体"/>
          <w:color w:val="auto"/>
          <w:kern w:val="0"/>
          <w:sz w:val="24"/>
        </w:rPr>
        <w:t>一、</w:t>
      </w:r>
      <w:r>
        <w:rPr>
          <w:rFonts w:hint="eastAsia" w:hAnsi="Calibri"/>
          <w:color w:val="auto"/>
          <w:sz w:val="24"/>
        </w:rPr>
        <w:t>下列文件是本协议书的组成部分，应作为协议书的有效内容予以遵守和执行。组成合同的各个文件的优先支配地位按以下次序，以在先者为准。</w:t>
      </w:r>
    </w:p>
    <w:p>
      <w:pPr>
        <w:autoSpaceDE w:val="0"/>
        <w:autoSpaceDN w:val="0"/>
        <w:spacing w:line="360" w:lineRule="auto"/>
        <w:ind w:firstLine="448"/>
        <w:jc w:val="left"/>
        <w:rPr>
          <w:rFonts w:ascii="宋体" w:hAnsi="宋体" w:cs="宋体"/>
          <w:color w:val="auto"/>
          <w:kern w:val="0"/>
          <w:sz w:val="24"/>
        </w:rPr>
      </w:pPr>
      <w:r>
        <w:rPr>
          <w:rFonts w:ascii="宋体" w:hAnsi="宋体" w:cs="宋体"/>
          <w:color w:val="auto"/>
          <w:kern w:val="0"/>
          <w:sz w:val="24"/>
        </w:rPr>
        <w:t xml:space="preserve">     1</w:t>
      </w:r>
      <w:r>
        <w:rPr>
          <w:rFonts w:hint="eastAsia" w:ascii="宋体" w:hAnsi="宋体" w:cs="宋体"/>
          <w:color w:val="auto"/>
          <w:kern w:val="0"/>
          <w:sz w:val="24"/>
        </w:rPr>
        <w:t>、</w:t>
      </w:r>
      <w:r>
        <w:rPr>
          <w:rFonts w:hint="eastAsia" w:ascii="宋体" w:hAnsi="宋体" w:cs="宋体"/>
          <w:color w:val="auto"/>
          <w:spacing w:val="-4"/>
          <w:kern w:val="0"/>
          <w:sz w:val="24"/>
        </w:rPr>
        <w:t>本试验检测服务合同协议书及其附件（含廉政合同</w:t>
      </w:r>
      <w:r>
        <w:rPr>
          <w:rFonts w:hint="eastAsia" w:ascii="宋体" w:hAnsi="宋体" w:cs="宋体"/>
          <w:color w:val="auto"/>
          <w:kern w:val="0"/>
          <w:sz w:val="24"/>
        </w:rPr>
        <w:t>）</w:t>
      </w:r>
    </w:p>
    <w:p>
      <w:pPr>
        <w:autoSpaceDE w:val="0"/>
        <w:autoSpaceDN w:val="0"/>
        <w:spacing w:line="360" w:lineRule="auto"/>
        <w:ind w:firstLine="448"/>
        <w:jc w:val="left"/>
        <w:rPr>
          <w:rFonts w:ascii="宋体" w:hAnsi="宋体" w:cs="宋体"/>
          <w:color w:val="auto"/>
          <w:kern w:val="0"/>
          <w:sz w:val="24"/>
        </w:rPr>
      </w:pPr>
      <w:r>
        <w:rPr>
          <w:rFonts w:ascii="宋体" w:hAnsi="宋体" w:cs="宋体"/>
          <w:color w:val="auto"/>
          <w:kern w:val="0"/>
          <w:sz w:val="24"/>
        </w:rPr>
        <w:t xml:space="preserve">     2</w:t>
      </w:r>
      <w:r>
        <w:rPr>
          <w:rFonts w:hint="eastAsia" w:ascii="宋体" w:hAnsi="宋体" w:cs="宋体"/>
          <w:color w:val="auto"/>
          <w:kern w:val="0"/>
          <w:sz w:val="24"/>
        </w:rPr>
        <w:t>、</w:t>
      </w:r>
      <w:r>
        <w:rPr>
          <w:rFonts w:hint="eastAsia" w:ascii="宋体" w:hAnsi="宋体" w:cs="宋体"/>
          <w:color w:val="auto"/>
          <w:kern w:val="0"/>
          <w:sz w:val="24"/>
          <w:lang w:val="en-US" w:eastAsia="zh-CN"/>
        </w:rPr>
        <w:t>招标文件、</w:t>
      </w:r>
      <w:r>
        <w:rPr>
          <w:rFonts w:hint="eastAsia" w:ascii="宋体" w:hAnsi="宋体" w:cs="宋体"/>
          <w:color w:val="auto"/>
          <w:kern w:val="0"/>
          <w:sz w:val="24"/>
        </w:rPr>
        <w:t>中标通知书；</w:t>
      </w:r>
    </w:p>
    <w:p>
      <w:pPr>
        <w:autoSpaceDE w:val="0"/>
        <w:autoSpaceDN w:val="0"/>
        <w:spacing w:line="360" w:lineRule="auto"/>
        <w:ind w:firstLine="448"/>
        <w:jc w:val="left"/>
        <w:rPr>
          <w:rFonts w:ascii="宋体" w:hAnsi="宋体" w:cs="宋体"/>
          <w:color w:val="auto"/>
          <w:kern w:val="0"/>
          <w:sz w:val="24"/>
        </w:rPr>
      </w:pPr>
      <w:r>
        <w:rPr>
          <w:rFonts w:ascii="宋体" w:hAnsi="宋体" w:cs="宋体"/>
          <w:color w:val="auto"/>
          <w:kern w:val="0"/>
          <w:sz w:val="24"/>
        </w:rPr>
        <w:t xml:space="preserve">     3</w:t>
      </w:r>
      <w:r>
        <w:rPr>
          <w:rFonts w:hint="eastAsia" w:ascii="宋体" w:hAnsi="宋体" w:cs="宋体"/>
          <w:color w:val="auto"/>
          <w:kern w:val="0"/>
          <w:sz w:val="24"/>
        </w:rPr>
        <w:t>、投标书、授权委托书（如有）、履约担保；</w:t>
      </w:r>
    </w:p>
    <w:p>
      <w:pPr>
        <w:autoSpaceDE w:val="0"/>
        <w:autoSpaceDN w:val="0"/>
        <w:spacing w:line="360" w:lineRule="auto"/>
        <w:ind w:firstLine="448"/>
        <w:jc w:val="left"/>
        <w:rPr>
          <w:rFonts w:ascii="宋体" w:hAnsi="宋体" w:cs="宋体"/>
          <w:color w:val="auto"/>
          <w:kern w:val="0"/>
          <w:sz w:val="24"/>
        </w:rPr>
      </w:pPr>
      <w:r>
        <w:rPr>
          <w:rFonts w:ascii="宋体" w:hAnsi="宋体" w:cs="宋体"/>
          <w:color w:val="auto"/>
          <w:kern w:val="0"/>
          <w:sz w:val="24"/>
        </w:rPr>
        <w:t xml:space="preserve">     4</w:t>
      </w:r>
      <w:r>
        <w:rPr>
          <w:rFonts w:hint="eastAsia" w:ascii="宋体" w:hAnsi="宋体" w:cs="宋体"/>
          <w:color w:val="auto"/>
          <w:kern w:val="0"/>
          <w:sz w:val="24"/>
        </w:rPr>
        <w:t>、双方签认的补充或修正文件；</w:t>
      </w:r>
    </w:p>
    <w:p>
      <w:pPr>
        <w:autoSpaceDE w:val="0"/>
        <w:autoSpaceDN w:val="0"/>
        <w:spacing w:line="360" w:lineRule="auto"/>
        <w:ind w:firstLine="448"/>
        <w:jc w:val="left"/>
        <w:rPr>
          <w:rFonts w:ascii="宋体" w:hAnsi="宋体" w:cs="宋体"/>
          <w:color w:val="auto"/>
          <w:kern w:val="0"/>
          <w:sz w:val="24"/>
        </w:rPr>
      </w:pPr>
      <w:r>
        <w:rPr>
          <w:rFonts w:ascii="宋体" w:hAnsi="宋体" w:cs="宋体"/>
          <w:color w:val="auto"/>
          <w:kern w:val="0"/>
          <w:sz w:val="24"/>
        </w:rPr>
        <w:t xml:space="preserve">     5</w:t>
      </w:r>
      <w:r>
        <w:rPr>
          <w:rFonts w:hint="eastAsia" w:ascii="宋体" w:hAnsi="宋体" w:cs="宋体"/>
          <w:color w:val="auto"/>
          <w:kern w:val="0"/>
          <w:sz w:val="24"/>
        </w:rPr>
        <w:t>、合同条件（含采购文件补充文件中与此有关的部分）；</w:t>
      </w:r>
    </w:p>
    <w:p>
      <w:pPr>
        <w:autoSpaceDE w:val="0"/>
        <w:autoSpaceDN w:val="0"/>
        <w:spacing w:line="360" w:lineRule="auto"/>
        <w:ind w:firstLine="448"/>
        <w:jc w:val="left"/>
        <w:rPr>
          <w:rFonts w:ascii="宋体" w:hAnsi="宋体" w:cs="宋体"/>
          <w:color w:val="auto"/>
          <w:kern w:val="0"/>
          <w:sz w:val="24"/>
        </w:rPr>
      </w:pPr>
      <w:r>
        <w:rPr>
          <w:rFonts w:ascii="宋体" w:hAnsi="宋体" w:cs="宋体"/>
          <w:color w:val="auto"/>
          <w:kern w:val="0"/>
          <w:sz w:val="24"/>
        </w:rPr>
        <w:t xml:space="preserve">     6</w:t>
      </w:r>
      <w:r>
        <w:rPr>
          <w:rFonts w:hint="eastAsia" w:ascii="宋体" w:hAnsi="宋体" w:cs="宋体"/>
          <w:color w:val="auto"/>
          <w:kern w:val="0"/>
          <w:sz w:val="24"/>
        </w:rPr>
        <w:t>、技术建议书及辅助资料；</w:t>
      </w:r>
    </w:p>
    <w:p>
      <w:pPr>
        <w:autoSpaceDE w:val="0"/>
        <w:autoSpaceDN w:val="0"/>
        <w:spacing w:line="360" w:lineRule="auto"/>
        <w:ind w:firstLine="448"/>
        <w:jc w:val="left"/>
        <w:rPr>
          <w:rFonts w:ascii="宋体" w:hAnsi="宋体" w:cs="宋体"/>
          <w:color w:val="auto"/>
          <w:kern w:val="0"/>
          <w:sz w:val="24"/>
        </w:rPr>
      </w:pPr>
      <w:r>
        <w:rPr>
          <w:rFonts w:ascii="宋体" w:hAnsi="宋体" w:cs="宋体"/>
          <w:color w:val="auto"/>
          <w:kern w:val="0"/>
          <w:sz w:val="24"/>
        </w:rPr>
        <w:t xml:space="preserve">     7</w:t>
      </w:r>
      <w:r>
        <w:rPr>
          <w:rFonts w:hint="eastAsia" w:ascii="宋体" w:hAnsi="宋体" w:cs="宋体"/>
          <w:color w:val="auto"/>
          <w:kern w:val="0"/>
          <w:sz w:val="24"/>
        </w:rPr>
        <w:t>、费用报价表；</w:t>
      </w:r>
    </w:p>
    <w:p>
      <w:pPr>
        <w:autoSpaceDE w:val="0"/>
        <w:autoSpaceDN w:val="0"/>
        <w:spacing w:line="360" w:lineRule="auto"/>
        <w:ind w:firstLine="1080" w:firstLineChars="450"/>
        <w:jc w:val="left"/>
        <w:rPr>
          <w:rFonts w:ascii="宋体" w:hAnsi="宋体" w:cs="宋体"/>
          <w:color w:val="auto"/>
          <w:kern w:val="0"/>
          <w:sz w:val="24"/>
        </w:rPr>
      </w:pPr>
      <w:r>
        <w:rPr>
          <w:rFonts w:ascii="宋体" w:hAnsi="宋体" w:cs="宋体"/>
          <w:color w:val="auto"/>
          <w:kern w:val="0"/>
          <w:sz w:val="24"/>
        </w:rPr>
        <w:t>8</w:t>
      </w:r>
      <w:r>
        <w:rPr>
          <w:rFonts w:hint="eastAsia" w:ascii="宋体" w:hAnsi="宋体" w:cs="宋体"/>
          <w:color w:val="auto"/>
          <w:kern w:val="0"/>
          <w:sz w:val="24"/>
        </w:rPr>
        <w:t>、发包人提供的试验检测服务依据；</w:t>
      </w:r>
    </w:p>
    <w:p>
      <w:pPr>
        <w:autoSpaceDE w:val="0"/>
        <w:autoSpaceDN w:val="0"/>
        <w:spacing w:line="360" w:lineRule="auto"/>
        <w:ind w:firstLine="1080" w:firstLineChars="450"/>
        <w:jc w:val="left"/>
        <w:rPr>
          <w:rFonts w:ascii="宋体" w:hAnsi="宋体" w:cs="宋体"/>
          <w:color w:val="auto"/>
          <w:kern w:val="0"/>
          <w:sz w:val="24"/>
        </w:rPr>
      </w:pPr>
      <w:r>
        <w:rPr>
          <w:rFonts w:ascii="宋体" w:hAnsi="宋体" w:cs="宋体"/>
          <w:color w:val="auto"/>
          <w:kern w:val="0"/>
          <w:sz w:val="24"/>
        </w:rPr>
        <w:t>9</w:t>
      </w:r>
      <w:r>
        <w:rPr>
          <w:rFonts w:hint="eastAsia" w:ascii="宋体" w:hAnsi="宋体" w:cs="宋体"/>
          <w:color w:val="auto"/>
          <w:kern w:val="0"/>
          <w:sz w:val="24"/>
        </w:rPr>
        <w:t>、构成本合同组成部分的其它文件。</w:t>
      </w:r>
    </w:p>
    <w:p>
      <w:pPr>
        <w:autoSpaceDE w:val="0"/>
        <w:autoSpaceDN w:val="0"/>
        <w:spacing w:line="360" w:lineRule="auto"/>
        <w:ind w:firstLine="448"/>
        <w:jc w:val="left"/>
        <w:rPr>
          <w:rFonts w:ascii="宋体" w:hAnsi="宋体" w:cs="宋体"/>
          <w:color w:val="auto"/>
          <w:kern w:val="0"/>
          <w:sz w:val="24"/>
        </w:rPr>
      </w:pPr>
      <w:r>
        <w:rPr>
          <w:rFonts w:hint="eastAsia" w:ascii="宋体" w:hAnsi="宋体" w:cs="宋体"/>
          <w:color w:val="auto"/>
          <w:kern w:val="0"/>
          <w:sz w:val="24"/>
          <w:lang w:eastAsia="zh-CN"/>
        </w:rPr>
        <w:t>二</w:t>
      </w:r>
      <w:r>
        <w:rPr>
          <w:rFonts w:hint="eastAsia" w:ascii="宋体" w:hAnsi="宋体" w:cs="宋体"/>
          <w:color w:val="auto"/>
          <w:kern w:val="0"/>
          <w:sz w:val="24"/>
        </w:rPr>
        <w:t>、发包人在此同意按照本试验检测服务合同规定的期限和方式，向检测人支付根据试验检测服务合同规定应支付的费用和提供试验检测服务工作条件。</w:t>
      </w:r>
    </w:p>
    <w:p>
      <w:pPr>
        <w:autoSpaceDE w:val="0"/>
        <w:autoSpaceDN w:val="0"/>
        <w:spacing w:line="360" w:lineRule="auto"/>
        <w:ind w:firstLine="448"/>
        <w:jc w:val="left"/>
        <w:rPr>
          <w:rFonts w:ascii="宋体" w:hAnsi="宋体" w:cs="宋体"/>
          <w:color w:val="auto"/>
          <w:kern w:val="0"/>
          <w:sz w:val="24"/>
        </w:rPr>
      </w:pPr>
      <w:r>
        <w:rPr>
          <w:rFonts w:hint="eastAsia" w:ascii="宋体" w:hAnsi="宋体" w:cs="宋体"/>
          <w:color w:val="auto"/>
          <w:kern w:val="0"/>
          <w:sz w:val="24"/>
          <w:lang w:eastAsia="zh-CN"/>
        </w:rPr>
        <w:t>三</w:t>
      </w:r>
      <w:r>
        <w:rPr>
          <w:rFonts w:hint="eastAsia" w:ascii="宋体" w:hAnsi="宋体" w:cs="宋体"/>
          <w:color w:val="auto"/>
          <w:kern w:val="0"/>
          <w:sz w:val="24"/>
        </w:rPr>
        <w:t>、检测人基于发包人的上述保证，在此向发包人承诺按照本试验检测服务合同的规定履行试验检测服务。</w:t>
      </w:r>
    </w:p>
    <w:p>
      <w:pPr>
        <w:autoSpaceDE w:val="0"/>
        <w:autoSpaceDN w:val="0"/>
        <w:spacing w:line="360" w:lineRule="auto"/>
        <w:ind w:firstLine="448"/>
        <w:jc w:val="left"/>
        <w:rPr>
          <w:rFonts w:ascii="宋体" w:hAnsi="宋体" w:cs="宋体"/>
          <w:color w:val="auto"/>
          <w:kern w:val="0"/>
          <w:sz w:val="24"/>
        </w:rPr>
      </w:pPr>
      <w:r>
        <w:rPr>
          <w:rFonts w:hint="eastAsia" w:ascii="宋体" w:hAnsi="宋体" w:cs="宋体"/>
          <w:color w:val="auto"/>
          <w:kern w:val="0"/>
          <w:sz w:val="24"/>
          <w:lang w:eastAsia="zh-CN"/>
        </w:rPr>
        <w:t>四</w:t>
      </w:r>
      <w:r>
        <w:rPr>
          <w:rFonts w:hint="eastAsia" w:ascii="宋体" w:hAnsi="宋体" w:cs="宋体"/>
          <w:color w:val="auto"/>
          <w:kern w:val="0"/>
          <w:sz w:val="24"/>
        </w:rPr>
        <w:t xml:space="preserve">、试验检测服务期： </w:t>
      </w:r>
    </w:p>
    <w:p>
      <w:pPr>
        <w:autoSpaceDE w:val="0"/>
        <w:autoSpaceDN w:val="0"/>
        <w:spacing w:line="360" w:lineRule="auto"/>
        <w:ind w:firstLine="448"/>
        <w:jc w:val="left"/>
        <w:rPr>
          <w:rFonts w:ascii="宋体" w:hAnsi="宋体" w:cs="宋体"/>
          <w:color w:val="auto"/>
          <w:kern w:val="0"/>
          <w:sz w:val="24"/>
        </w:rPr>
      </w:pPr>
      <w:r>
        <w:rPr>
          <w:rFonts w:hint="eastAsia" w:ascii="宋体" w:hAnsi="宋体" w:cs="宋体"/>
          <w:color w:val="auto"/>
          <w:kern w:val="0"/>
          <w:sz w:val="24"/>
        </w:rPr>
        <w:t>总服务期</w:t>
      </w:r>
      <w:r>
        <w:rPr>
          <w:rFonts w:hint="eastAsia" w:ascii="宋体" w:hAnsi="宋体" w:cs="宋体"/>
          <w:color w:val="auto"/>
          <w:kern w:val="0"/>
          <w:sz w:val="24"/>
          <w:lang w:val="en-US" w:eastAsia="zh-CN"/>
        </w:rPr>
        <w:t>1</w:t>
      </w:r>
      <w:r>
        <w:rPr>
          <w:rFonts w:hint="eastAsia" w:ascii="宋体" w:hAnsi="宋体" w:cs="宋体"/>
          <w:color w:val="auto"/>
          <w:kern w:val="0"/>
          <w:sz w:val="24"/>
        </w:rPr>
        <w:t>年，自签订本合同之日起开始计算。路况检测要求签订合同后</w:t>
      </w:r>
      <w:r>
        <w:rPr>
          <w:rFonts w:hint="eastAsia" w:ascii="宋体" w:hAnsi="宋体" w:cs="宋体"/>
          <w:color w:val="auto"/>
          <w:kern w:val="0"/>
          <w:sz w:val="24"/>
          <w:lang w:val="en-US" w:eastAsia="zh-CN"/>
        </w:rPr>
        <w:t>4</w:t>
      </w:r>
      <w:r>
        <w:rPr>
          <w:rFonts w:hint="eastAsia" w:ascii="宋体" w:hAnsi="宋体" w:cs="宋体"/>
          <w:color w:val="auto"/>
          <w:kern w:val="0"/>
          <w:sz w:val="24"/>
        </w:rPr>
        <w:t>个月内完成，桥梁经常性检查为期</w:t>
      </w:r>
      <w:r>
        <w:rPr>
          <w:rFonts w:ascii="宋体" w:hAnsi="宋体" w:cs="宋体"/>
          <w:color w:val="auto"/>
          <w:kern w:val="0"/>
          <w:sz w:val="24"/>
        </w:rPr>
        <w:t>1</w:t>
      </w:r>
      <w:r>
        <w:rPr>
          <w:rFonts w:hint="eastAsia" w:ascii="宋体" w:hAnsi="宋体" w:cs="宋体"/>
          <w:color w:val="auto"/>
          <w:kern w:val="0"/>
          <w:sz w:val="24"/>
        </w:rPr>
        <w:t>年，自202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日至202</w:t>
      </w:r>
      <w:r>
        <w:rPr>
          <w:rFonts w:hint="eastAsia" w:ascii="宋体" w:hAnsi="宋体" w:cs="宋体"/>
          <w:color w:val="auto"/>
          <w:kern w:val="0"/>
          <w:sz w:val="24"/>
          <w:lang w:val="en-US" w:eastAsia="zh-CN"/>
        </w:rPr>
        <w:t>6</w:t>
      </w:r>
      <w:r>
        <w:rPr>
          <w:rFonts w:hint="eastAsia" w:ascii="宋体" w:hAnsi="宋体" w:cs="宋体"/>
          <w:color w:val="auto"/>
          <w:kern w:val="0"/>
          <w:sz w:val="24"/>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日。</w:t>
      </w:r>
    </w:p>
    <w:p>
      <w:pPr>
        <w:autoSpaceDE w:val="0"/>
        <w:autoSpaceDN w:val="0"/>
        <w:spacing w:line="360" w:lineRule="auto"/>
        <w:ind w:firstLine="448"/>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eastAsia="zh-CN"/>
        </w:rPr>
        <w:t>五</w:t>
      </w:r>
      <w:r>
        <w:rPr>
          <w:rFonts w:hint="eastAsia" w:ascii="宋体" w:hAnsi="宋体" w:cs="宋体"/>
          <w:color w:val="auto"/>
          <w:kern w:val="0"/>
          <w:sz w:val="24"/>
        </w:rPr>
        <w:t>、试验检测服务总合同价为</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元（人民币）</w:t>
      </w:r>
      <w:r>
        <w:rPr>
          <w:rFonts w:hint="eastAsia" w:ascii="宋体" w:hAnsi="宋体" w:cs="宋体"/>
          <w:color w:val="auto"/>
          <w:kern w:val="0"/>
          <w:sz w:val="24"/>
        </w:rPr>
        <w:t>。</w:t>
      </w:r>
      <w:r>
        <w:rPr>
          <w:rFonts w:hint="eastAsia" w:ascii="宋体" w:hAnsi="宋体" w:cs="宋体"/>
          <w:color w:val="auto"/>
          <w:kern w:val="0"/>
          <w:sz w:val="24"/>
          <w:lang w:val="en-US" w:eastAsia="zh-CN"/>
        </w:rPr>
        <w:t>以上价格包括完成全部检测内容所需的一切人工、工具、设备、保险、交通、利润、税金及潜在满足甲方监管要求可能涉及的一切费用。</w:t>
      </w:r>
    </w:p>
    <w:p>
      <w:pPr>
        <w:autoSpaceDE w:val="0"/>
        <w:autoSpaceDN w:val="0"/>
        <w:spacing w:line="360" w:lineRule="auto"/>
        <w:ind w:firstLine="448"/>
        <w:jc w:val="left"/>
        <w:rPr>
          <w:rFonts w:hint="eastAsia" w:ascii="宋体" w:hAnsi="宋体" w:cs="宋体"/>
          <w:color w:val="auto"/>
          <w:kern w:val="0"/>
          <w:sz w:val="24"/>
        </w:rPr>
      </w:pPr>
      <w:r>
        <w:rPr>
          <w:rFonts w:hint="eastAsia" w:ascii="宋体" w:hAnsi="宋体" w:cs="宋体"/>
          <w:color w:val="auto"/>
          <w:kern w:val="0"/>
          <w:sz w:val="24"/>
          <w:lang w:eastAsia="zh-CN"/>
        </w:rPr>
        <w:t>六</w:t>
      </w:r>
      <w:r>
        <w:rPr>
          <w:rFonts w:hint="eastAsia" w:ascii="宋体" w:hAnsi="宋体" w:eastAsia="宋体" w:cs="宋体"/>
          <w:color w:val="auto"/>
          <w:kern w:val="0"/>
          <w:sz w:val="24"/>
        </w:rPr>
        <w:t>、</w:t>
      </w:r>
      <w:r>
        <w:rPr>
          <w:rFonts w:hint="eastAsia" w:ascii="宋体" w:hAnsi="宋体" w:cs="宋体"/>
          <w:color w:val="auto"/>
          <w:kern w:val="0"/>
          <w:sz w:val="24"/>
        </w:rPr>
        <w:t>付款方式：合同签订后7天内，</w:t>
      </w:r>
      <w:r>
        <w:rPr>
          <w:rFonts w:hint="eastAsia" w:ascii="宋体" w:hAnsi="宋体" w:cs="宋体"/>
          <w:color w:val="auto"/>
          <w:kern w:val="0"/>
          <w:sz w:val="24"/>
          <w:highlight w:val="none"/>
        </w:rPr>
        <w:t>乙方缴纳合同价的1%履约保证金后并递交合同价的50%预付款保函后，甲方支付合同价的50％款项（预付款）</w:t>
      </w:r>
      <w:r>
        <w:rPr>
          <w:rFonts w:hint="eastAsia" w:ascii="宋体" w:hAnsi="宋体" w:cs="宋体"/>
          <w:color w:val="auto"/>
          <w:kern w:val="0"/>
          <w:sz w:val="24"/>
        </w:rPr>
        <w:t>。乙方完成路况检测，取得相应成果报告，直至合同期满，取得桥梁经常检查成果报告，扣除未实施项目金额后，一次性付清剩余合同款项,并退还履约保证金（无息）。</w:t>
      </w:r>
    </w:p>
    <w:p>
      <w:pPr>
        <w:autoSpaceDE w:val="0"/>
        <w:autoSpaceDN w:val="0"/>
        <w:spacing w:line="360" w:lineRule="auto"/>
        <w:ind w:firstLine="448"/>
        <w:jc w:val="left"/>
        <w:rPr>
          <w:rFonts w:ascii="宋体" w:hAnsi="宋体" w:cs="宋体"/>
          <w:color w:val="auto"/>
          <w:kern w:val="0"/>
          <w:sz w:val="24"/>
        </w:rPr>
      </w:pPr>
      <w:r>
        <w:rPr>
          <w:rFonts w:hint="eastAsia" w:ascii="宋体" w:hAnsi="宋体" w:cs="宋体"/>
          <w:color w:val="auto"/>
          <w:kern w:val="0"/>
          <w:sz w:val="24"/>
        </w:rPr>
        <w:t>检测人申请付款时，应向</w:t>
      </w:r>
      <w:r>
        <w:rPr>
          <w:rFonts w:hint="eastAsia" w:ascii="宋体" w:hAnsi="宋体" w:cs="宋体"/>
          <w:color w:val="auto"/>
          <w:kern w:val="0"/>
          <w:sz w:val="24"/>
          <w:lang w:val="en-US" w:eastAsia="zh-CN"/>
        </w:rPr>
        <w:t>发包人</w:t>
      </w:r>
      <w:r>
        <w:rPr>
          <w:rFonts w:hint="eastAsia" w:ascii="宋体" w:hAnsi="宋体" w:cs="宋体"/>
          <w:color w:val="auto"/>
          <w:kern w:val="0"/>
          <w:sz w:val="24"/>
        </w:rPr>
        <w:t>开具等额有效的增值税发票，</w:t>
      </w:r>
      <w:r>
        <w:rPr>
          <w:rFonts w:hint="eastAsia" w:ascii="宋体" w:hAnsi="宋体" w:cs="宋体"/>
          <w:color w:val="auto"/>
          <w:kern w:val="0"/>
          <w:sz w:val="24"/>
          <w:lang w:val="en-US" w:eastAsia="zh-CN"/>
        </w:rPr>
        <w:t>发包人</w:t>
      </w:r>
      <w:r>
        <w:rPr>
          <w:rFonts w:hint="eastAsia" w:ascii="宋体" w:hAnsi="宋体" w:cs="宋体"/>
          <w:color w:val="auto"/>
          <w:kern w:val="0"/>
          <w:sz w:val="24"/>
        </w:rPr>
        <w:t>未收到发票的，有权不予支付相应款项直至检测人提供合格发票，并不承担延迟付款责任。发票认证通过是付款的必要前提之一。</w:t>
      </w:r>
    </w:p>
    <w:p>
      <w:pPr>
        <w:autoSpaceDE w:val="0"/>
        <w:autoSpaceDN w:val="0"/>
        <w:spacing w:line="360" w:lineRule="auto"/>
        <w:ind w:firstLine="448"/>
        <w:jc w:val="left"/>
        <w:rPr>
          <w:rFonts w:ascii="宋体" w:hAnsi="宋体" w:cs="宋体"/>
          <w:color w:val="auto"/>
          <w:kern w:val="0"/>
          <w:sz w:val="24"/>
        </w:rPr>
      </w:pPr>
      <w:r>
        <w:rPr>
          <w:rFonts w:hint="eastAsia" w:ascii="宋体" w:hAnsi="宋体" w:cs="宋体"/>
          <w:color w:val="auto"/>
          <w:kern w:val="0"/>
          <w:sz w:val="24"/>
          <w:lang w:eastAsia="zh-CN"/>
        </w:rPr>
        <w:t>七</w:t>
      </w:r>
      <w:r>
        <w:rPr>
          <w:rFonts w:hint="eastAsia" w:ascii="宋体" w:hAnsi="宋体" w:cs="宋体"/>
          <w:color w:val="auto"/>
          <w:kern w:val="0"/>
          <w:sz w:val="24"/>
        </w:rPr>
        <w:t>、自合同签订起</w:t>
      </w:r>
      <w:r>
        <w:rPr>
          <w:rFonts w:hint="eastAsia" w:ascii="宋体" w:hAnsi="宋体" w:cs="宋体"/>
          <w:color w:val="auto"/>
          <w:kern w:val="0"/>
          <w:sz w:val="24"/>
          <w:lang w:val="en-US" w:eastAsia="zh-CN"/>
        </w:rPr>
        <w:t>1</w:t>
      </w:r>
      <w:r>
        <w:rPr>
          <w:rFonts w:hint="eastAsia" w:ascii="宋体" w:hAnsi="宋体" w:cs="宋体"/>
          <w:color w:val="auto"/>
          <w:kern w:val="0"/>
          <w:sz w:val="24"/>
        </w:rPr>
        <w:t>年内，若发包人有合同外需要进行检（测）查的公路和桥梁，</w:t>
      </w:r>
      <w:r>
        <w:rPr>
          <w:rFonts w:hint="eastAsia" w:ascii="宋体" w:hAnsi="宋体" w:cs="宋体"/>
          <w:color w:val="auto"/>
          <w:kern w:val="0"/>
          <w:sz w:val="24"/>
          <w:lang w:eastAsia="zh-CN"/>
        </w:rPr>
        <w:t>检测人</w:t>
      </w:r>
      <w:r>
        <w:rPr>
          <w:rFonts w:hint="eastAsia" w:ascii="宋体" w:hAnsi="宋体" w:cs="宋体"/>
          <w:color w:val="auto"/>
          <w:kern w:val="0"/>
          <w:sz w:val="24"/>
        </w:rPr>
        <w:t>应及时按发包人要求提供相应服务。费用结算方式：①套用投标文件同类型工程清单价②当不是同类型工程时，按相关文件计价后同比例优惠。</w:t>
      </w:r>
    </w:p>
    <w:p>
      <w:pPr>
        <w:autoSpaceDE w:val="0"/>
        <w:autoSpaceDN w:val="0"/>
        <w:spacing w:line="360" w:lineRule="auto"/>
        <w:ind w:firstLine="448"/>
        <w:jc w:val="left"/>
        <w:rPr>
          <w:rFonts w:ascii="宋体" w:hAnsi="宋体" w:cs="宋体"/>
          <w:color w:val="auto"/>
          <w:kern w:val="0"/>
          <w:sz w:val="24"/>
        </w:rPr>
      </w:pPr>
      <w:r>
        <w:rPr>
          <w:rFonts w:hint="eastAsia" w:ascii="宋体" w:hAnsi="宋体" w:cs="宋体"/>
          <w:color w:val="auto"/>
          <w:kern w:val="0"/>
          <w:sz w:val="24"/>
          <w:lang w:eastAsia="zh-CN"/>
        </w:rPr>
        <w:t>八</w:t>
      </w:r>
      <w:r>
        <w:rPr>
          <w:rFonts w:hint="eastAsia" w:ascii="宋体" w:hAnsi="宋体" w:cs="宋体"/>
          <w:color w:val="auto"/>
          <w:kern w:val="0"/>
          <w:sz w:val="24"/>
        </w:rPr>
        <w:t>、乙方应根据甲方要求完成公路桥梁管理系统数据库的录入工作。</w:t>
      </w:r>
    </w:p>
    <w:p>
      <w:pPr>
        <w:autoSpaceDE w:val="0"/>
        <w:autoSpaceDN w:val="0"/>
        <w:spacing w:line="360" w:lineRule="auto"/>
        <w:ind w:firstLine="448"/>
        <w:jc w:val="left"/>
        <w:rPr>
          <w:rFonts w:ascii="宋体" w:hAnsi="宋体" w:cs="宋体"/>
          <w:color w:val="auto"/>
          <w:kern w:val="0"/>
          <w:sz w:val="24"/>
        </w:rPr>
      </w:pPr>
      <w:r>
        <w:rPr>
          <w:rFonts w:hint="eastAsia" w:ascii="宋体" w:hAnsi="宋体" w:cs="宋体"/>
          <w:color w:val="auto"/>
          <w:kern w:val="0"/>
          <w:sz w:val="24"/>
          <w:lang w:eastAsia="zh-CN"/>
        </w:rPr>
        <w:t>九</w:t>
      </w:r>
      <w:r>
        <w:rPr>
          <w:rFonts w:hint="eastAsia" w:ascii="宋体" w:hAnsi="宋体" w:cs="宋体"/>
          <w:color w:val="auto"/>
          <w:kern w:val="0"/>
          <w:sz w:val="24"/>
        </w:rPr>
        <w:t>、完成甲方要求的各项工作，</w:t>
      </w:r>
      <w:r>
        <w:rPr>
          <w:rFonts w:hint="eastAsia" w:ascii="宋体" w:hAnsi="宋体" w:cs="宋体"/>
          <w:color w:val="auto"/>
          <w:kern w:val="0"/>
          <w:sz w:val="24"/>
          <w:lang w:val="en-US" w:eastAsia="zh-CN"/>
        </w:rPr>
        <w:t>根据招标文件采购需求成果报告的相应要求，</w:t>
      </w:r>
      <w:r>
        <w:rPr>
          <w:rFonts w:hint="eastAsia" w:ascii="宋体" w:hAnsi="宋体" w:cs="宋体"/>
          <w:color w:val="auto"/>
          <w:kern w:val="0"/>
          <w:sz w:val="24"/>
        </w:rPr>
        <w:t>出具相应报告、桥梁卡片、统计手册等。</w:t>
      </w:r>
    </w:p>
    <w:p>
      <w:pPr>
        <w:autoSpaceDE w:val="0"/>
        <w:autoSpaceDN w:val="0"/>
        <w:spacing w:line="360" w:lineRule="auto"/>
        <w:ind w:firstLine="448"/>
        <w:jc w:val="left"/>
        <w:rPr>
          <w:rFonts w:hint="eastAsia" w:ascii="宋体" w:hAnsi="宋体" w:cs="宋体"/>
          <w:color w:val="auto"/>
          <w:kern w:val="0"/>
          <w:sz w:val="24"/>
          <w:lang w:val="en-US" w:eastAsia="zh-CN"/>
        </w:rPr>
      </w:pPr>
      <w:r>
        <w:rPr>
          <w:rFonts w:hint="eastAsia" w:ascii="宋体" w:hAnsi="宋体" w:cs="宋体"/>
          <w:color w:val="auto"/>
          <w:kern w:val="0"/>
          <w:sz w:val="24"/>
        </w:rPr>
        <w:t>十、检测人</w:t>
      </w:r>
      <w:r>
        <w:rPr>
          <w:rFonts w:hint="eastAsia" w:ascii="宋体" w:hAnsi="宋体" w:cs="宋体"/>
          <w:color w:val="auto"/>
          <w:kern w:val="0"/>
          <w:sz w:val="24"/>
          <w:lang w:val="en-US" w:eastAsia="zh-CN"/>
        </w:rPr>
        <w:t>应保证本合同范围内使用成果不受第三方提出的关于专利权、版权、设计、其他知识产权或使用许可的法律纠纷，倘若发生有关的诉讼，完全由</w:t>
      </w:r>
      <w:r>
        <w:rPr>
          <w:rFonts w:hint="eastAsia" w:ascii="宋体" w:hAnsi="宋体" w:cs="宋体"/>
          <w:color w:val="auto"/>
          <w:kern w:val="0"/>
          <w:sz w:val="24"/>
        </w:rPr>
        <w:t>检测人</w:t>
      </w:r>
      <w:r>
        <w:rPr>
          <w:rFonts w:hint="eastAsia" w:ascii="宋体" w:hAnsi="宋体" w:cs="宋体"/>
          <w:color w:val="auto"/>
          <w:kern w:val="0"/>
          <w:sz w:val="24"/>
          <w:lang w:val="en-US" w:eastAsia="zh-CN"/>
        </w:rPr>
        <w:t>应诉并承担法律责任。如发包人为自身及发包人利益相关方的利益应诉，并不免除</w:t>
      </w:r>
      <w:r>
        <w:rPr>
          <w:rFonts w:hint="eastAsia" w:ascii="宋体" w:hAnsi="宋体" w:cs="宋体"/>
          <w:color w:val="auto"/>
          <w:kern w:val="0"/>
          <w:sz w:val="24"/>
        </w:rPr>
        <w:t>检测人</w:t>
      </w:r>
      <w:r>
        <w:rPr>
          <w:rFonts w:hint="eastAsia" w:ascii="宋体" w:hAnsi="宋体" w:cs="宋体"/>
          <w:color w:val="auto"/>
          <w:kern w:val="0"/>
          <w:sz w:val="24"/>
          <w:lang w:val="en-US" w:eastAsia="zh-CN"/>
        </w:rPr>
        <w:t>的前述义务和责任，</w:t>
      </w:r>
      <w:r>
        <w:rPr>
          <w:rFonts w:hint="eastAsia" w:ascii="宋体" w:hAnsi="宋体" w:cs="宋体"/>
          <w:color w:val="auto"/>
          <w:kern w:val="0"/>
          <w:sz w:val="24"/>
        </w:rPr>
        <w:t>检测人</w:t>
      </w:r>
      <w:r>
        <w:rPr>
          <w:rFonts w:hint="eastAsia" w:ascii="宋体" w:hAnsi="宋体" w:cs="宋体"/>
          <w:color w:val="auto"/>
          <w:kern w:val="0"/>
          <w:sz w:val="24"/>
          <w:lang w:val="en-US" w:eastAsia="zh-CN"/>
        </w:rPr>
        <w:t>应赔偿发包人因此遭受的全部损失。</w:t>
      </w:r>
    </w:p>
    <w:p>
      <w:pPr>
        <w:autoSpaceDE w:val="0"/>
        <w:autoSpaceDN w:val="0"/>
        <w:spacing w:line="360" w:lineRule="auto"/>
        <w:ind w:firstLine="448"/>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十</w:t>
      </w:r>
      <w:r>
        <w:rPr>
          <w:rFonts w:hint="eastAsia" w:ascii="宋体" w:hAnsi="宋体" w:cs="宋体"/>
          <w:color w:val="auto"/>
          <w:kern w:val="0"/>
          <w:sz w:val="24"/>
          <w:lang w:eastAsia="zh-CN"/>
        </w:rPr>
        <w:t>一</w:t>
      </w:r>
      <w:r>
        <w:rPr>
          <w:rFonts w:hint="eastAsia" w:ascii="宋体" w:hAnsi="宋体" w:cs="宋体"/>
          <w:color w:val="auto"/>
          <w:kern w:val="0"/>
          <w:sz w:val="24"/>
          <w:lang w:val="en-US" w:eastAsia="zh-CN"/>
        </w:rPr>
        <w:t>、</w:t>
      </w:r>
      <w:r>
        <w:rPr>
          <w:rFonts w:hint="eastAsia" w:ascii="宋体" w:hAnsi="宋体" w:cs="宋体"/>
          <w:color w:val="auto"/>
          <w:kern w:val="0"/>
          <w:sz w:val="24"/>
        </w:rPr>
        <w:t>检测</w:t>
      </w:r>
      <w:r>
        <w:rPr>
          <w:rFonts w:hint="eastAsia" w:ascii="宋体" w:hAnsi="宋体" w:cs="宋体"/>
          <w:color w:val="auto"/>
          <w:kern w:val="0"/>
          <w:sz w:val="24"/>
          <w:lang w:val="en-US" w:eastAsia="zh-CN"/>
        </w:rPr>
        <w:t>人自行对委派工作人员的人身财产安全负责。合同履行过程中发生的一切人身、财产损失由</w:t>
      </w:r>
      <w:r>
        <w:rPr>
          <w:rFonts w:hint="eastAsia" w:ascii="宋体" w:hAnsi="宋体" w:cs="宋体"/>
          <w:color w:val="auto"/>
          <w:kern w:val="0"/>
          <w:sz w:val="24"/>
        </w:rPr>
        <w:t>检测</w:t>
      </w:r>
      <w:r>
        <w:rPr>
          <w:rFonts w:hint="eastAsia" w:ascii="宋体" w:hAnsi="宋体" w:cs="宋体"/>
          <w:color w:val="auto"/>
          <w:kern w:val="0"/>
          <w:sz w:val="24"/>
          <w:lang w:val="en-US" w:eastAsia="zh-CN"/>
        </w:rPr>
        <w:t>人全部承担，若造成发包人经济损失的，发包人有权向</w:t>
      </w:r>
      <w:r>
        <w:rPr>
          <w:rFonts w:hint="eastAsia" w:ascii="宋体" w:hAnsi="宋体" w:cs="宋体"/>
          <w:color w:val="auto"/>
          <w:kern w:val="0"/>
          <w:sz w:val="24"/>
        </w:rPr>
        <w:t>检测</w:t>
      </w:r>
      <w:r>
        <w:rPr>
          <w:rFonts w:hint="eastAsia" w:ascii="宋体" w:hAnsi="宋体" w:cs="宋体"/>
          <w:color w:val="auto"/>
          <w:kern w:val="0"/>
          <w:sz w:val="24"/>
          <w:lang w:val="en-US" w:eastAsia="zh-CN"/>
        </w:rPr>
        <w:t>人追讨，相关费用发包人可直接从合同款中扣除，也可要求</w:t>
      </w:r>
      <w:r>
        <w:rPr>
          <w:rFonts w:hint="eastAsia" w:ascii="宋体" w:hAnsi="宋体" w:cs="宋体"/>
          <w:color w:val="auto"/>
          <w:kern w:val="0"/>
          <w:sz w:val="24"/>
        </w:rPr>
        <w:t>检测</w:t>
      </w:r>
      <w:r>
        <w:rPr>
          <w:rFonts w:hint="eastAsia" w:ascii="宋体" w:hAnsi="宋体" w:cs="宋体"/>
          <w:color w:val="auto"/>
          <w:kern w:val="0"/>
          <w:sz w:val="24"/>
          <w:lang w:val="en-US" w:eastAsia="zh-CN"/>
        </w:rPr>
        <w:t>人直接赔偿。</w:t>
      </w:r>
    </w:p>
    <w:p>
      <w:pPr>
        <w:autoSpaceDE w:val="0"/>
        <w:autoSpaceDN w:val="0"/>
        <w:spacing w:line="360" w:lineRule="auto"/>
        <w:ind w:firstLine="448"/>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十二、违约责任</w:t>
      </w:r>
    </w:p>
    <w:p>
      <w:pPr>
        <w:autoSpaceDE w:val="0"/>
        <w:autoSpaceDN w:val="0"/>
        <w:spacing w:line="360" w:lineRule="auto"/>
        <w:ind w:firstLine="448"/>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1.出现下列情形，发包人有权扣除履约保证金，提前终止合同，并要求</w:t>
      </w:r>
      <w:r>
        <w:rPr>
          <w:rFonts w:hint="eastAsia" w:ascii="宋体" w:hAnsi="宋体" w:cs="宋体"/>
          <w:color w:val="auto"/>
          <w:kern w:val="0"/>
          <w:sz w:val="24"/>
        </w:rPr>
        <w:t>检测</w:t>
      </w:r>
      <w:r>
        <w:rPr>
          <w:rFonts w:hint="eastAsia" w:ascii="宋体" w:hAnsi="宋体" w:cs="宋体"/>
          <w:color w:val="auto"/>
          <w:kern w:val="0"/>
          <w:sz w:val="24"/>
          <w:lang w:val="en-US" w:eastAsia="zh-CN"/>
        </w:rPr>
        <w:t>人承担本合同总金额的30%的违约金，违约金不足以弥补发包人损失的，</w:t>
      </w:r>
      <w:r>
        <w:rPr>
          <w:rFonts w:hint="eastAsia" w:ascii="宋体" w:hAnsi="宋体" w:cs="宋体"/>
          <w:color w:val="auto"/>
          <w:kern w:val="0"/>
          <w:sz w:val="24"/>
        </w:rPr>
        <w:t>检测</w:t>
      </w:r>
      <w:r>
        <w:rPr>
          <w:rFonts w:hint="eastAsia" w:ascii="宋体" w:hAnsi="宋体" w:cs="宋体"/>
          <w:color w:val="auto"/>
          <w:kern w:val="0"/>
          <w:sz w:val="24"/>
          <w:lang w:val="en-US" w:eastAsia="zh-CN"/>
        </w:rPr>
        <w:t>人应继续赔偿：</w:t>
      </w:r>
    </w:p>
    <w:p>
      <w:pPr>
        <w:autoSpaceDE w:val="0"/>
        <w:autoSpaceDN w:val="0"/>
        <w:spacing w:line="360" w:lineRule="auto"/>
        <w:ind w:firstLine="448"/>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（1）在委托检测期间乙方发生检测质量责任事故造成严重损失的；</w:t>
      </w:r>
    </w:p>
    <w:p>
      <w:pPr>
        <w:autoSpaceDE w:val="0"/>
        <w:autoSpaceDN w:val="0"/>
        <w:spacing w:line="360" w:lineRule="auto"/>
        <w:ind w:firstLine="448"/>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（2）在委托检测期间乙方受到区级及以上的建设行政主管部门或监督管理部门通报批评、或因检测单位的过失而被媒体曝光或行政处罚等处理的；</w:t>
      </w:r>
    </w:p>
    <w:p>
      <w:pPr>
        <w:autoSpaceDE w:val="0"/>
        <w:autoSpaceDN w:val="0"/>
        <w:spacing w:line="360" w:lineRule="auto"/>
        <w:ind w:firstLine="448"/>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（3）在委托检测期间乙方被投诉存在出具虚假报告等违法违规行为，经调查属实的；</w:t>
      </w:r>
    </w:p>
    <w:p>
      <w:pPr>
        <w:autoSpaceDE w:val="0"/>
        <w:autoSpaceDN w:val="0"/>
        <w:spacing w:line="360" w:lineRule="auto"/>
        <w:ind w:firstLine="448"/>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（4）在委托检测期间乙方接到甲方通知后提供检测服务不及时或服务质量差的；</w:t>
      </w:r>
    </w:p>
    <w:p>
      <w:pPr>
        <w:autoSpaceDE w:val="0"/>
        <w:autoSpaceDN w:val="0"/>
        <w:spacing w:line="360" w:lineRule="auto"/>
        <w:ind w:firstLine="448"/>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（5)在委托检测期间，乙方派的检测人员不在合同、投标文件内或检测人员没有相应检测上岗证书的；</w:t>
      </w:r>
    </w:p>
    <w:p>
      <w:pPr>
        <w:autoSpaceDE w:val="0"/>
        <w:autoSpaceDN w:val="0"/>
        <w:spacing w:line="360" w:lineRule="auto"/>
        <w:ind w:firstLine="448"/>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（6）乙方实施其他违约行为，致使本合同的履行成为不必要或不可能的。</w:t>
      </w:r>
    </w:p>
    <w:p>
      <w:pPr>
        <w:autoSpaceDE w:val="0"/>
        <w:autoSpaceDN w:val="0"/>
        <w:spacing w:line="360" w:lineRule="auto"/>
        <w:ind w:firstLine="448"/>
        <w:jc w:val="left"/>
        <w:rPr>
          <w:rFonts w:hint="default"/>
          <w:lang w:val="en-US" w:eastAsia="zh-CN"/>
        </w:rPr>
      </w:pPr>
      <w:r>
        <w:rPr>
          <w:rFonts w:hint="eastAsia" w:ascii="宋体" w:hAnsi="宋体" w:cs="宋体"/>
          <w:color w:val="auto"/>
          <w:kern w:val="0"/>
          <w:sz w:val="24"/>
          <w:lang w:val="en-US" w:eastAsia="zh-CN"/>
        </w:rPr>
        <w:t>2.</w:t>
      </w:r>
      <w:r>
        <w:rPr>
          <w:rFonts w:hint="eastAsia" w:ascii="宋体" w:hAnsi="宋体" w:cs="宋体"/>
          <w:color w:val="auto"/>
          <w:kern w:val="0"/>
          <w:sz w:val="24"/>
        </w:rPr>
        <w:t>检测人</w:t>
      </w:r>
      <w:r>
        <w:rPr>
          <w:rFonts w:hint="eastAsia" w:ascii="宋体" w:hAnsi="宋体" w:cs="宋体"/>
          <w:color w:val="auto"/>
          <w:kern w:val="0"/>
          <w:sz w:val="24"/>
          <w:lang w:val="en-US" w:eastAsia="zh-CN"/>
        </w:rPr>
        <w:t>提供的成果不客观、不全面、不准确等情况，应负责无偿予以重测或采取补救措施，以达到发包人质量要求。因成果质量、工期等不符合发包人要求造成不良后果时，</w:t>
      </w:r>
      <w:r>
        <w:rPr>
          <w:rFonts w:hint="eastAsia" w:ascii="宋体" w:hAnsi="宋体" w:cs="宋体"/>
          <w:color w:val="auto"/>
          <w:kern w:val="0"/>
          <w:sz w:val="24"/>
        </w:rPr>
        <w:t>检测人</w:t>
      </w:r>
      <w:r>
        <w:rPr>
          <w:rFonts w:hint="eastAsia" w:ascii="宋体" w:hAnsi="宋体" w:cs="宋体"/>
          <w:color w:val="auto"/>
          <w:kern w:val="0"/>
          <w:sz w:val="24"/>
          <w:lang w:val="en-US" w:eastAsia="zh-CN"/>
        </w:rPr>
        <w:t>应对因此造成的全部损失负赔偿责任，并承担相应的法律责任（包括第三方责任）。</w:t>
      </w:r>
    </w:p>
    <w:p>
      <w:pPr>
        <w:autoSpaceDE w:val="0"/>
        <w:autoSpaceDN w:val="0"/>
        <w:spacing w:line="360" w:lineRule="auto"/>
        <w:ind w:firstLine="448"/>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 xml:space="preserve">十三、双方确定，在本合同有效期内，发包人指定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为发包人项目联系人，</w:t>
      </w:r>
      <w:r>
        <w:rPr>
          <w:rFonts w:hint="eastAsia" w:ascii="宋体" w:hAnsi="宋体" w:cs="宋体"/>
          <w:color w:val="auto"/>
          <w:kern w:val="0"/>
          <w:sz w:val="24"/>
        </w:rPr>
        <w:t>检测人</w:t>
      </w:r>
      <w:r>
        <w:rPr>
          <w:rFonts w:hint="eastAsia" w:ascii="宋体" w:hAnsi="宋体" w:cs="宋体"/>
          <w:color w:val="auto"/>
          <w:kern w:val="0"/>
          <w:sz w:val="24"/>
          <w:lang w:val="en-US" w:eastAsia="zh-CN"/>
        </w:rPr>
        <w:t>指定</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为</w:t>
      </w:r>
      <w:r>
        <w:rPr>
          <w:rFonts w:hint="eastAsia" w:ascii="宋体" w:hAnsi="宋体" w:cs="宋体"/>
          <w:color w:val="auto"/>
          <w:kern w:val="0"/>
          <w:sz w:val="24"/>
        </w:rPr>
        <w:t>检测人</w:t>
      </w:r>
      <w:r>
        <w:rPr>
          <w:rFonts w:hint="eastAsia" w:ascii="宋体" w:hAnsi="宋体" w:cs="宋体"/>
          <w:color w:val="auto"/>
          <w:kern w:val="0"/>
          <w:sz w:val="24"/>
          <w:lang w:val="en-US" w:eastAsia="zh-CN"/>
        </w:rPr>
        <w:t>项目联系人。项目联系人承担以下责任：确保在接到发包人通知后</w:t>
      </w:r>
      <w:r>
        <w:rPr>
          <w:rFonts w:hint="eastAsia" w:ascii="宋体" w:hAnsi="宋体" w:cs="宋体"/>
          <w:color w:val="auto"/>
          <w:kern w:val="0"/>
          <w:sz w:val="24"/>
        </w:rPr>
        <w:t>检测人</w:t>
      </w:r>
      <w:r>
        <w:rPr>
          <w:rFonts w:hint="eastAsia" w:ascii="宋体" w:hAnsi="宋体" w:cs="宋体"/>
          <w:color w:val="auto"/>
          <w:kern w:val="0"/>
          <w:sz w:val="24"/>
          <w:lang w:val="en-US" w:eastAsia="zh-CN"/>
        </w:rPr>
        <w:t>及时安排检测工作，检测完毕后及时向发包人提交检测报告。一方变更项目联系人的，应当及时以书面形式通知另一方。未及时通知并影响本合同履行或造成损失的，应承担相应的责任。</w:t>
      </w:r>
    </w:p>
    <w:p>
      <w:pPr>
        <w:autoSpaceDE w:val="0"/>
        <w:autoSpaceDN w:val="0"/>
        <w:spacing w:line="360" w:lineRule="auto"/>
        <w:ind w:firstLine="448"/>
        <w:jc w:val="left"/>
        <w:rPr>
          <w:rFonts w:ascii="宋体" w:hAnsi="宋体" w:cs="宋体"/>
          <w:color w:val="auto"/>
          <w:kern w:val="0"/>
          <w:sz w:val="24"/>
        </w:rPr>
      </w:pPr>
      <w:r>
        <w:rPr>
          <w:rFonts w:hint="eastAsia" w:ascii="宋体" w:hAnsi="宋体" w:cs="宋体"/>
          <w:color w:val="auto"/>
          <w:kern w:val="0"/>
          <w:sz w:val="24"/>
          <w:lang w:val="en-US" w:eastAsia="zh-CN"/>
        </w:rPr>
        <w:t>十四、</w:t>
      </w:r>
      <w:r>
        <w:rPr>
          <w:rFonts w:hint="eastAsia" w:ascii="宋体" w:hAnsi="宋体" w:cs="宋体"/>
          <w:color w:val="auto"/>
          <w:kern w:val="0"/>
          <w:sz w:val="24"/>
        </w:rPr>
        <w:t>本协议书经双方签字盖章后生效，至合同期满并按照试验检测服务合同的规定结清试验检测服务费用后自然失效。</w:t>
      </w:r>
    </w:p>
    <w:p>
      <w:pPr>
        <w:autoSpaceDE w:val="0"/>
        <w:autoSpaceDN w:val="0"/>
        <w:spacing w:line="360" w:lineRule="auto"/>
        <w:ind w:firstLine="448"/>
        <w:jc w:val="left"/>
        <w:rPr>
          <w:rFonts w:hint="eastAsia" w:ascii="宋体" w:hAnsi="宋体" w:cs="宋体"/>
          <w:color w:val="auto"/>
          <w:kern w:val="0"/>
          <w:sz w:val="24"/>
        </w:rPr>
      </w:pPr>
      <w:r>
        <w:rPr>
          <w:rFonts w:hint="eastAsia" w:ascii="宋体" w:hAnsi="宋体" w:cs="宋体"/>
          <w:color w:val="auto"/>
          <w:kern w:val="0"/>
          <w:sz w:val="24"/>
        </w:rPr>
        <w:t>十</w:t>
      </w:r>
      <w:r>
        <w:rPr>
          <w:rFonts w:hint="eastAsia" w:ascii="宋体" w:hAnsi="宋体" w:cs="宋体"/>
          <w:color w:val="auto"/>
          <w:kern w:val="0"/>
          <w:sz w:val="24"/>
          <w:lang w:eastAsia="zh-CN"/>
        </w:rPr>
        <w:t>五</w:t>
      </w:r>
      <w:r>
        <w:rPr>
          <w:rFonts w:hint="eastAsia" w:ascii="宋体" w:hAnsi="宋体" w:cs="宋体"/>
          <w:color w:val="auto"/>
          <w:kern w:val="0"/>
          <w:sz w:val="24"/>
        </w:rPr>
        <w:t>、关于本合同争议，应双方友好协商解决，协商不一致，双方应当向甲方所在地人民法院提起诉讼，败诉方应承担另一方因主张权利而实际支出的律师代理费、诉讼费、财产保全费、保全担保费、公证费、鉴定费等全部费用。</w:t>
      </w:r>
    </w:p>
    <w:p>
      <w:pPr>
        <w:autoSpaceDE w:val="0"/>
        <w:autoSpaceDN w:val="0"/>
        <w:spacing w:line="360" w:lineRule="auto"/>
        <w:ind w:firstLine="448"/>
        <w:jc w:val="left"/>
        <w:rPr>
          <w:rFonts w:hint="eastAsia" w:ascii="宋体" w:hAnsi="宋体" w:cs="宋体"/>
          <w:color w:val="auto"/>
          <w:kern w:val="0"/>
          <w:sz w:val="24"/>
        </w:rPr>
      </w:pPr>
      <w:r>
        <w:rPr>
          <w:rFonts w:hint="eastAsia" w:ascii="宋体" w:hAnsi="宋体" w:cs="宋体"/>
          <w:color w:val="auto"/>
          <w:kern w:val="0"/>
          <w:sz w:val="24"/>
          <w:lang w:val="en-US" w:eastAsia="zh-CN"/>
        </w:rPr>
        <w:t>十六、</w:t>
      </w:r>
      <w:r>
        <w:rPr>
          <w:rFonts w:hint="eastAsia" w:ascii="宋体" w:hAnsi="宋体" w:cs="宋体"/>
          <w:color w:val="auto"/>
          <w:kern w:val="0"/>
          <w:sz w:val="24"/>
        </w:rPr>
        <w:t>本协议书正本一式两份，双方各执一份，具有同等法律效力。协议书副本四份，双方各执二份。</w:t>
      </w:r>
    </w:p>
    <w:p>
      <w:pPr>
        <w:pStyle w:val="7"/>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61" w:type="dxa"/>
            <w:tcBorders>
              <w:tl2br w:val="nil"/>
              <w:tr2bl w:val="nil"/>
            </w:tcBorders>
            <w:vAlign w:val="center"/>
          </w:tcPr>
          <w:p>
            <w:pPr>
              <w:autoSpaceDE w:val="0"/>
              <w:autoSpaceDN w:val="0"/>
              <w:jc w:val="both"/>
              <w:rPr>
                <w:rFonts w:hint="eastAsia" w:ascii="宋体" w:hAnsi="宋体" w:cs="宋体"/>
                <w:color w:val="auto"/>
                <w:sz w:val="24"/>
                <w:szCs w:val="24"/>
                <w:u w:val="single"/>
                <w:lang w:val="en-US" w:eastAsia="zh-CN"/>
              </w:rPr>
            </w:pPr>
            <w:r>
              <w:rPr>
                <w:rFonts w:hint="eastAsia" w:ascii="宋体" w:hAnsi="宋体" w:cs="宋体"/>
                <w:color w:val="auto"/>
                <w:kern w:val="0"/>
                <w:sz w:val="24"/>
              </w:rPr>
              <w:t>发包人：</w:t>
            </w:r>
            <w:r>
              <w:rPr>
                <w:rFonts w:hint="eastAsia" w:ascii="宋体" w:hAnsi="宋体" w:cs="宋体"/>
                <w:color w:val="auto"/>
                <w:sz w:val="24"/>
                <w:szCs w:val="24"/>
                <w:u w:val="single"/>
              </w:rPr>
              <w:t>杭州市钱塘区交通运输局</w:t>
            </w:r>
            <w:r>
              <w:rPr>
                <w:rFonts w:hint="eastAsia" w:ascii="宋体" w:hAnsi="宋体" w:cs="宋体"/>
                <w:color w:val="auto"/>
                <w:sz w:val="24"/>
                <w:szCs w:val="24"/>
                <w:u w:val="single"/>
                <w:lang w:val="en-US" w:eastAsia="zh-CN"/>
              </w:rPr>
              <w:t xml:space="preserve"> </w:t>
            </w:r>
          </w:p>
          <w:p>
            <w:pPr>
              <w:autoSpaceDE w:val="0"/>
              <w:autoSpaceDN w:val="0"/>
              <w:jc w:val="right"/>
              <w:rPr>
                <w:rFonts w:ascii="宋体" w:hAnsi="宋体" w:cs="宋体"/>
                <w:color w:val="auto"/>
                <w:kern w:val="0"/>
                <w:sz w:val="24"/>
                <w:vertAlign w:val="baseline"/>
              </w:rPr>
            </w:pPr>
            <w:r>
              <w:rPr>
                <w:rFonts w:hint="eastAsia" w:ascii="宋体" w:hAnsi="宋体" w:cs="宋体"/>
                <w:color w:val="auto"/>
                <w:kern w:val="0"/>
                <w:sz w:val="24"/>
                <w:u w:val="single"/>
              </w:rPr>
              <w:t>（盖章）</w:t>
            </w:r>
          </w:p>
        </w:tc>
        <w:tc>
          <w:tcPr>
            <w:tcW w:w="4261" w:type="dxa"/>
            <w:tcBorders>
              <w:tl2br w:val="nil"/>
              <w:tr2bl w:val="nil"/>
            </w:tcBorders>
            <w:vAlign w:val="center"/>
          </w:tcPr>
          <w:p>
            <w:pPr>
              <w:autoSpaceDE w:val="0"/>
              <w:autoSpaceDN w:val="0"/>
              <w:jc w:val="both"/>
              <w:rPr>
                <w:rFonts w:hint="default" w:ascii="宋体" w:hAnsi="宋体" w:cs="宋体"/>
                <w:color w:val="auto"/>
                <w:sz w:val="24"/>
                <w:szCs w:val="24"/>
                <w:u w:val="single"/>
                <w:lang w:val="en-US" w:eastAsia="zh-CN"/>
              </w:rPr>
            </w:pPr>
            <w:r>
              <w:rPr>
                <w:rFonts w:hint="eastAsia" w:ascii="宋体" w:hAnsi="宋体" w:cs="宋体"/>
                <w:color w:val="auto"/>
                <w:kern w:val="0"/>
                <w:sz w:val="24"/>
                <w:lang w:eastAsia="zh-CN"/>
              </w:rPr>
              <w:t>检测人</w:t>
            </w:r>
            <w:r>
              <w:rPr>
                <w:rFonts w:hint="eastAsia" w:ascii="宋体" w:hAnsi="宋体" w:cs="宋体"/>
                <w:color w:val="auto"/>
                <w:kern w:val="0"/>
                <w:sz w:val="24"/>
              </w:rPr>
              <w:t>：</w:t>
            </w:r>
            <w:r>
              <w:rPr>
                <w:rFonts w:hint="eastAsia" w:ascii="宋体" w:hAnsi="宋体" w:cs="宋体"/>
                <w:color w:val="auto"/>
                <w:sz w:val="24"/>
                <w:szCs w:val="24"/>
                <w:u w:val="single"/>
                <w:lang w:val="en-US" w:eastAsia="zh-CN"/>
              </w:rPr>
              <w:t xml:space="preserve">                         </w:t>
            </w:r>
          </w:p>
          <w:p>
            <w:pPr>
              <w:autoSpaceDE w:val="0"/>
              <w:autoSpaceDN w:val="0"/>
              <w:jc w:val="right"/>
              <w:rPr>
                <w:rFonts w:ascii="宋体" w:hAnsi="宋体" w:cs="宋体"/>
                <w:color w:val="auto"/>
                <w:kern w:val="0"/>
                <w:sz w:val="24"/>
                <w:vertAlign w:val="baseline"/>
              </w:rPr>
            </w:pPr>
            <w:r>
              <w:rPr>
                <w:rFonts w:hint="eastAsia" w:ascii="宋体" w:hAnsi="宋体" w:cs="宋体"/>
                <w:color w:val="auto"/>
                <w:kern w:val="0"/>
                <w:sz w:val="24"/>
                <w:u w:val="singl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61" w:type="dxa"/>
            <w:tcBorders>
              <w:tl2br w:val="nil"/>
              <w:tr2bl w:val="nil"/>
            </w:tcBorders>
            <w:vAlign w:val="center"/>
          </w:tcPr>
          <w:p>
            <w:pPr>
              <w:autoSpaceDE w:val="0"/>
              <w:autoSpaceDN w:val="0"/>
              <w:jc w:val="both"/>
              <w:rPr>
                <w:rFonts w:ascii="宋体" w:hAnsi="宋体" w:cs="宋体"/>
                <w:color w:val="auto"/>
                <w:kern w:val="0"/>
                <w:sz w:val="24"/>
                <w:vertAlign w:val="baseline"/>
              </w:rPr>
            </w:pPr>
            <w:r>
              <w:rPr>
                <w:rFonts w:hint="eastAsia" w:ascii="宋体" w:hAnsi="宋体" w:cs="宋体"/>
                <w:color w:val="auto"/>
                <w:kern w:val="0"/>
                <w:sz w:val="24"/>
              </w:rPr>
              <w:t>法定代表人</w:t>
            </w:r>
          </w:p>
        </w:tc>
        <w:tc>
          <w:tcPr>
            <w:tcW w:w="4261" w:type="dxa"/>
            <w:tcBorders>
              <w:tl2br w:val="nil"/>
              <w:tr2bl w:val="nil"/>
            </w:tcBorders>
            <w:vAlign w:val="center"/>
          </w:tcPr>
          <w:p>
            <w:pPr>
              <w:autoSpaceDE w:val="0"/>
              <w:autoSpaceDN w:val="0"/>
              <w:jc w:val="both"/>
              <w:rPr>
                <w:rFonts w:ascii="宋体" w:hAnsi="宋体" w:cs="宋体"/>
                <w:color w:val="auto"/>
                <w:kern w:val="0"/>
                <w:sz w:val="24"/>
                <w:vertAlign w:val="baseline"/>
              </w:rPr>
            </w:pPr>
            <w:r>
              <w:rPr>
                <w:rFonts w:hint="eastAsia" w:ascii="宋体" w:hAnsi="宋体" w:cs="宋体"/>
                <w:color w:val="auto"/>
                <w:kern w:val="0"/>
                <w:sz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61" w:type="dxa"/>
            <w:tcBorders>
              <w:tl2br w:val="nil"/>
              <w:tr2bl w:val="nil"/>
            </w:tcBorders>
            <w:vAlign w:val="center"/>
          </w:tcPr>
          <w:p>
            <w:pPr>
              <w:autoSpaceDE w:val="0"/>
              <w:autoSpaceDN w:val="0"/>
              <w:jc w:val="both"/>
              <w:rPr>
                <w:rFonts w:ascii="宋体" w:hAnsi="宋体" w:cs="宋体"/>
                <w:color w:val="auto"/>
                <w:kern w:val="0"/>
                <w:sz w:val="24"/>
                <w:vertAlign w:val="baseline"/>
              </w:rPr>
            </w:pPr>
            <w:r>
              <w:rPr>
                <w:rFonts w:hint="eastAsia" w:ascii="宋体" w:hAnsi="宋体" w:cs="宋体"/>
                <w:color w:val="auto"/>
                <w:kern w:val="0"/>
                <w:sz w:val="24"/>
              </w:rPr>
              <w:t>或其委托代理人：</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（签名）</w:t>
            </w:r>
          </w:p>
        </w:tc>
        <w:tc>
          <w:tcPr>
            <w:tcW w:w="4261" w:type="dxa"/>
            <w:tcBorders>
              <w:tl2br w:val="nil"/>
              <w:tr2bl w:val="nil"/>
            </w:tcBorders>
            <w:vAlign w:val="center"/>
          </w:tcPr>
          <w:p>
            <w:pPr>
              <w:autoSpaceDE w:val="0"/>
              <w:autoSpaceDN w:val="0"/>
              <w:jc w:val="both"/>
              <w:rPr>
                <w:rFonts w:ascii="宋体" w:hAnsi="宋体" w:cs="宋体"/>
                <w:color w:val="auto"/>
                <w:kern w:val="0"/>
                <w:sz w:val="24"/>
                <w:vertAlign w:val="baseline"/>
              </w:rPr>
            </w:pPr>
            <w:r>
              <w:rPr>
                <w:rFonts w:hint="eastAsia" w:ascii="宋体" w:hAnsi="宋体" w:cs="宋体"/>
                <w:color w:val="auto"/>
                <w:kern w:val="0"/>
                <w:sz w:val="24"/>
              </w:rPr>
              <w:t>或其委托代理人：</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61" w:type="dxa"/>
            <w:tcBorders>
              <w:tl2br w:val="nil"/>
              <w:tr2bl w:val="nil"/>
            </w:tcBorders>
            <w:vAlign w:val="center"/>
          </w:tcPr>
          <w:p>
            <w:pPr>
              <w:autoSpaceDE w:val="0"/>
              <w:autoSpaceDN w:val="0"/>
              <w:jc w:val="both"/>
              <w:rPr>
                <w:rFonts w:ascii="宋体" w:hAnsi="宋体" w:cs="宋体"/>
                <w:color w:val="auto"/>
                <w:kern w:val="0"/>
                <w:sz w:val="24"/>
                <w:vertAlign w:val="baseline"/>
              </w:rPr>
            </w:pPr>
            <w:r>
              <w:rPr>
                <w:rFonts w:hint="eastAsia" w:ascii="宋体" w:hAnsi="宋体" w:cs="宋体"/>
                <w:color w:val="auto"/>
                <w:kern w:val="0"/>
                <w:sz w:val="24"/>
              </w:rPr>
              <w:t>单位地址：</w:t>
            </w:r>
          </w:p>
        </w:tc>
        <w:tc>
          <w:tcPr>
            <w:tcW w:w="4261" w:type="dxa"/>
            <w:tcBorders>
              <w:tl2br w:val="nil"/>
              <w:tr2bl w:val="nil"/>
            </w:tcBorders>
            <w:vAlign w:val="center"/>
          </w:tcPr>
          <w:p>
            <w:pPr>
              <w:autoSpaceDE w:val="0"/>
              <w:autoSpaceDN w:val="0"/>
              <w:jc w:val="both"/>
              <w:rPr>
                <w:rFonts w:ascii="宋体" w:hAnsi="宋体" w:eastAsia="宋体" w:cs="宋体"/>
                <w:color w:val="auto"/>
                <w:kern w:val="0"/>
                <w:sz w:val="24"/>
                <w:szCs w:val="24"/>
                <w:vertAlign w:val="baseline"/>
                <w:lang w:val="en-US" w:eastAsia="zh-CN" w:bidi="ar-SA"/>
              </w:rPr>
            </w:pPr>
            <w:r>
              <w:rPr>
                <w:rFonts w:hint="eastAsia" w:ascii="宋体" w:hAnsi="宋体" w:cs="宋体"/>
                <w:color w:val="auto"/>
                <w:kern w:val="0"/>
                <w:sz w:val="24"/>
              </w:rPr>
              <w:t>单位地址：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61" w:type="dxa"/>
            <w:tcBorders>
              <w:tl2br w:val="nil"/>
              <w:tr2bl w:val="nil"/>
            </w:tcBorders>
            <w:vAlign w:val="center"/>
          </w:tcPr>
          <w:p>
            <w:pPr>
              <w:autoSpaceDE w:val="0"/>
              <w:autoSpaceDN w:val="0"/>
              <w:jc w:val="both"/>
              <w:rPr>
                <w:rFonts w:hint="eastAsia" w:ascii="宋体" w:hAnsi="宋体" w:cs="宋体"/>
                <w:color w:val="auto"/>
                <w:kern w:val="0"/>
                <w:sz w:val="24"/>
              </w:rPr>
            </w:pPr>
            <w:r>
              <w:rPr>
                <w:rFonts w:hint="eastAsia" w:ascii="宋体" w:hAnsi="宋体" w:cs="宋体"/>
                <w:color w:val="auto"/>
                <w:kern w:val="0"/>
                <w:sz w:val="24"/>
              </w:rPr>
              <w:t>日期：</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日</w:t>
            </w:r>
          </w:p>
        </w:tc>
        <w:tc>
          <w:tcPr>
            <w:tcW w:w="4261" w:type="dxa"/>
            <w:tcBorders>
              <w:tl2br w:val="nil"/>
              <w:tr2bl w:val="nil"/>
            </w:tcBorders>
            <w:vAlign w:val="center"/>
          </w:tcPr>
          <w:p>
            <w:pPr>
              <w:autoSpaceDE w:val="0"/>
              <w:autoSpaceDN w:val="0"/>
              <w:spacing w:line="400" w:lineRule="exact"/>
              <w:jc w:val="both"/>
              <w:rPr>
                <w:rFonts w:hint="eastAsia" w:ascii="宋体" w:hAnsi="宋体" w:cs="宋体"/>
                <w:color w:val="auto"/>
                <w:kern w:val="0"/>
                <w:sz w:val="24"/>
              </w:rPr>
            </w:pPr>
            <w:r>
              <w:rPr>
                <w:rFonts w:hint="eastAsia" w:ascii="宋体" w:hAnsi="宋体" w:cs="宋体"/>
                <w:color w:val="auto"/>
                <w:kern w:val="0"/>
                <w:sz w:val="24"/>
              </w:rPr>
              <w:t>日期：</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日</w:t>
            </w:r>
          </w:p>
        </w:tc>
      </w:tr>
    </w:tbl>
    <w:p>
      <w:pPr>
        <w:autoSpaceDE w:val="0"/>
        <w:autoSpaceDN w:val="0"/>
        <w:spacing w:before="120" w:after="120" w:line="520" w:lineRule="exact"/>
        <w:jc w:val="center"/>
        <w:outlineLvl w:val="1"/>
        <w:rPr>
          <w:rFonts w:hint="eastAsia" w:ascii="黑体" w:hAnsi="宋体" w:eastAsia="黑体" w:cs="宋体"/>
          <w:color w:val="auto"/>
          <w:w w:val="90"/>
          <w:kern w:val="0"/>
          <w:sz w:val="44"/>
        </w:rPr>
      </w:pPr>
    </w:p>
    <w:p>
      <w:pPr>
        <w:autoSpaceDE w:val="0"/>
        <w:autoSpaceDN w:val="0"/>
        <w:spacing w:before="120" w:after="120" w:line="520" w:lineRule="exact"/>
        <w:jc w:val="center"/>
        <w:outlineLvl w:val="1"/>
        <w:rPr>
          <w:rFonts w:ascii="黑体" w:hAnsi="宋体" w:eastAsia="黑体" w:cs="宋体"/>
          <w:color w:val="auto"/>
          <w:w w:val="90"/>
          <w:kern w:val="0"/>
          <w:sz w:val="44"/>
        </w:rPr>
      </w:pPr>
      <w:r>
        <w:rPr>
          <w:rFonts w:hint="eastAsia" w:ascii="黑体" w:hAnsi="宋体" w:eastAsia="黑体" w:cs="宋体"/>
          <w:color w:val="auto"/>
          <w:w w:val="90"/>
          <w:kern w:val="0"/>
          <w:sz w:val="44"/>
        </w:rPr>
        <w:t>二</w:t>
      </w:r>
      <w:r>
        <w:rPr>
          <w:rFonts w:hint="eastAsia" w:ascii="宋体" w:hAnsi="宋体" w:cs="宋体"/>
          <w:color w:val="auto"/>
          <w:kern w:val="0"/>
          <w:sz w:val="22"/>
        </w:rPr>
        <w:t>、</w:t>
      </w:r>
      <w:r>
        <w:rPr>
          <w:rFonts w:hint="eastAsia" w:ascii="黑体" w:hAnsi="宋体" w:eastAsia="黑体" w:cs="宋体"/>
          <w:color w:val="auto"/>
          <w:w w:val="90"/>
          <w:kern w:val="0"/>
          <w:sz w:val="44"/>
        </w:rPr>
        <w:t>廉政合同</w:t>
      </w:r>
      <w:bookmarkEnd w:id="408"/>
      <w:r>
        <w:rPr>
          <w:rFonts w:hint="eastAsia" w:ascii="黑体" w:hAnsi="宋体" w:eastAsia="黑体" w:cs="宋体"/>
          <w:color w:val="auto"/>
          <w:w w:val="90"/>
          <w:kern w:val="0"/>
          <w:sz w:val="44"/>
        </w:rPr>
        <w:t>格式</w:t>
      </w:r>
      <w:bookmarkEnd w:id="409"/>
    </w:p>
    <w:p>
      <w:pPr>
        <w:tabs>
          <w:tab w:val="left" w:pos="1465"/>
        </w:tabs>
        <w:autoSpaceDE w:val="0"/>
        <w:autoSpaceDN w:val="0"/>
        <w:spacing w:line="540" w:lineRule="exact"/>
        <w:jc w:val="center"/>
        <w:rPr>
          <w:rFonts w:ascii="宋体" w:hAnsi="宋体" w:cs="宋体"/>
          <w:color w:val="auto"/>
          <w:kern w:val="0"/>
          <w:sz w:val="18"/>
        </w:rPr>
      </w:pPr>
      <w:r>
        <w:rPr>
          <w:rFonts w:hint="eastAsia" w:ascii="宋体" w:hAnsi="宋体" w:cs="宋体"/>
          <w:color w:val="auto"/>
          <w:kern w:val="0"/>
          <w:sz w:val="18"/>
        </w:rPr>
        <w:t>（本格式为廉政合同标准格式，投标人不需填写）</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根据交通部《关于在交通基础设施建设中加强廉政建设的若干意见》以及有关工程建设、廉政建设的规定，为做好中的党风廉政建设，保证工程建设高效优质，保证建设资金的安全和有效使用以及投资效益，</w:t>
      </w:r>
      <w:r>
        <w:rPr>
          <w:rFonts w:hint="eastAsia" w:ascii="宋体" w:hAnsi="宋体" w:cs="宋体"/>
          <w:color w:val="auto"/>
          <w:kern w:val="0"/>
          <w:sz w:val="24"/>
          <w:u w:val="single"/>
        </w:rPr>
        <w:t xml:space="preserve">         （</w:t>
      </w:r>
      <w:r>
        <w:rPr>
          <w:rFonts w:hint="eastAsia" w:ascii="宋体" w:hAnsi="宋体" w:cs="宋体"/>
          <w:color w:val="auto"/>
          <w:kern w:val="0"/>
          <w:sz w:val="24"/>
        </w:rPr>
        <w:t>以下称甲方）与</w:t>
      </w:r>
      <w:r>
        <w:rPr>
          <w:rFonts w:hint="eastAsia" w:ascii="宋体" w:hAnsi="宋体" w:cs="宋体"/>
          <w:color w:val="auto"/>
          <w:kern w:val="0"/>
          <w:sz w:val="24"/>
          <w:u w:val="single"/>
        </w:rPr>
        <w:t xml:space="preserve">      （服务人全称）</w:t>
      </w:r>
      <w:r>
        <w:rPr>
          <w:rFonts w:hint="eastAsia" w:ascii="宋体" w:hAnsi="宋体" w:cs="宋体"/>
          <w:color w:val="auto"/>
          <w:kern w:val="0"/>
          <w:sz w:val="24"/>
        </w:rPr>
        <w:t>（以下称乙方），特订立如下合同。</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b/>
          <w:color w:val="auto"/>
          <w:kern w:val="0"/>
          <w:sz w:val="24"/>
        </w:rPr>
        <w:t>第一条</w:t>
      </w:r>
      <w:r>
        <w:rPr>
          <w:rFonts w:hint="eastAsia" w:ascii="宋体" w:hAnsi="宋体" w:cs="宋体"/>
          <w:color w:val="auto"/>
          <w:kern w:val="0"/>
          <w:sz w:val="24"/>
        </w:rPr>
        <w:t>甲乙双方的权利和义务</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（一）严格遵守党和国家有关法律法规及交通部的有关规定。</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（二）严格执行本工程试验检测服务合同协议书，自觉按协议书办事。</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（三）双方的业务活动坚持公开、公正、诚信、透明的原则（除法律认定的商业秘密和合同文件另有规定之外），不得损害国家和集体利益，违反工程建设管理规章制度。</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（四）建立健全廉政制度，开展廉政教育，设立廉政告示牌，公布举报电话，监督并认真查处违法违纪行为。</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（五）发现对方在业务活动中有违反廉政规定的行为，有及时提醒对方纠正的权利和义务。</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（六）发现对方严重违反本合同义务条款的行为，有向其上级有关部门举报、建议给予处理并要求告知处理结果的权利。</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b/>
          <w:color w:val="auto"/>
          <w:kern w:val="0"/>
          <w:sz w:val="24"/>
        </w:rPr>
        <w:t>第二条</w:t>
      </w:r>
      <w:r>
        <w:rPr>
          <w:rFonts w:hint="eastAsia" w:ascii="宋体" w:hAnsi="宋体" w:cs="宋体"/>
          <w:color w:val="auto"/>
          <w:kern w:val="0"/>
          <w:sz w:val="24"/>
        </w:rPr>
        <w:t>甲方的义务</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（一）甲方及其工作人员不得索要或接受乙方的礼金、有价证券和贵重物品，不得在乙方报销任何应由甲方或个人支付的费用等。</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（二）甲方工作人员不得参加乙方安排的宴请和娱乐活动；不得接受乙方提供的通讯工具、交通工具和高档办公用品等。</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（三）甲方及其工作人员不得要求或者接受乙方为其住房装修、婚丧嫁娶活动、配偶子女的工作安排以及出国出境、旅游等提供方便等。</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（四）甲方工作人员的配偶、子女不得从事与甲方工程有关的试验检测分包项目。</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b/>
          <w:color w:val="auto"/>
          <w:kern w:val="0"/>
          <w:sz w:val="24"/>
        </w:rPr>
        <w:t>第三条</w:t>
      </w:r>
      <w:r>
        <w:rPr>
          <w:rFonts w:hint="eastAsia" w:ascii="宋体" w:hAnsi="宋体" w:cs="宋体"/>
          <w:color w:val="auto"/>
          <w:kern w:val="0"/>
          <w:sz w:val="24"/>
        </w:rPr>
        <w:t>乙方义务</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（一）乙方不得以任何理由向甲方及其工作人员行贿或馈赠礼金、有价证券、贵重礼品。</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（二）乙方不得以任何名义为甲方及其工作人员报销应由甲方单位或个人支付的任何费用。</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（三）乙方不得以任何理由安排甲方工作人员参加宴请及娱乐活动。</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（四）乙方不得为甲方单位和个人购置或提供通讯工具、交通工具和高档办公用品等。</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（五）乙方及其工作人员不得索取或接受承包人的礼金、有价证券和贵重物品，不得在承包人报销任何应由乙方或个人支付的费用。</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（六）乙方及其工作人员必须严格按照规范办事，不得与承包人串通，损害甲方利益。</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b/>
          <w:color w:val="auto"/>
          <w:kern w:val="0"/>
          <w:sz w:val="24"/>
        </w:rPr>
        <w:t>第四条</w:t>
      </w:r>
      <w:r>
        <w:rPr>
          <w:rFonts w:hint="eastAsia" w:ascii="宋体" w:hAnsi="宋体" w:cs="宋体"/>
          <w:color w:val="auto"/>
          <w:kern w:val="0"/>
          <w:sz w:val="24"/>
        </w:rPr>
        <w:t>违约责任</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（一）甲方及其工作人员违反本合同第一、二条；按管理权限、依据有关规定，给予党纪、政纪或组织处理；涉嫌犯罪的，移交司法机关追究刑事责任；给乙方单位造成经济损失的，应予以赔偿。</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color w:val="auto"/>
          <w:kern w:val="0"/>
          <w:sz w:val="24"/>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b/>
          <w:color w:val="auto"/>
          <w:kern w:val="0"/>
          <w:sz w:val="24"/>
        </w:rPr>
        <w:t>第五条</w:t>
      </w:r>
      <w:r>
        <w:rPr>
          <w:rFonts w:hint="eastAsia" w:ascii="宋体" w:hAnsi="宋体" w:cs="宋体"/>
          <w:color w:val="auto"/>
          <w:kern w:val="0"/>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b/>
          <w:color w:val="auto"/>
          <w:kern w:val="0"/>
          <w:sz w:val="24"/>
        </w:rPr>
        <w:t>第六条</w:t>
      </w:r>
      <w:r>
        <w:rPr>
          <w:rFonts w:hint="eastAsia" w:ascii="宋体" w:hAnsi="宋体" w:cs="宋体"/>
          <w:color w:val="auto"/>
          <w:kern w:val="0"/>
          <w:sz w:val="24"/>
        </w:rPr>
        <w:t>本合同有效期为甲乙双方签署之日起至该工程项目竣工验收后止。</w:t>
      </w:r>
    </w:p>
    <w:p>
      <w:pPr>
        <w:autoSpaceDE w:val="0"/>
        <w:autoSpaceDN w:val="0"/>
        <w:spacing w:line="360" w:lineRule="auto"/>
        <w:ind w:firstLine="450"/>
        <w:jc w:val="left"/>
        <w:rPr>
          <w:rFonts w:ascii="宋体" w:hAnsi="宋体" w:cs="宋体"/>
          <w:color w:val="auto"/>
          <w:kern w:val="0"/>
          <w:sz w:val="24"/>
        </w:rPr>
      </w:pPr>
      <w:r>
        <w:rPr>
          <w:rFonts w:hint="eastAsia" w:ascii="宋体" w:hAnsi="宋体" w:cs="宋体"/>
          <w:b/>
          <w:color w:val="auto"/>
          <w:kern w:val="0"/>
          <w:sz w:val="24"/>
        </w:rPr>
        <w:t>第七条</w:t>
      </w:r>
      <w:r>
        <w:rPr>
          <w:rFonts w:hint="eastAsia" w:ascii="宋体" w:hAnsi="宋体" w:cs="宋体"/>
          <w:color w:val="auto"/>
          <w:kern w:val="0"/>
          <w:sz w:val="24"/>
        </w:rPr>
        <w:t>本合同作为本工程试验检测服务合同协议书的附件，与试验检测服务合同协议书具有同等的法律效力，经合同双方签署立即生效。</w:t>
      </w:r>
    </w:p>
    <w:p>
      <w:pPr>
        <w:autoSpaceDE w:val="0"/>
        <w:autoSpaceDN w:val="0"/>
        <w:spacing w:line="360" w:lineRule="auto"/>
        <w:ind w:firstLine="482" w:firstLineChars="200"/>
        <w:jc w:val="left"/>
        <w:rPr>
          <w:rFonts w:ascii="宋体" w:hAnsi="宋体" w:cs="宋体"/>
          <w:color w:val="auto"/>
          <w:kern w:val="0"/>
          <w:sz w:val="24"/>
        </w:rPr>
      </w:pPr>
      <w:r>
        <w:rPr>
          <w:rFonts w:hint="eastAsia" w:ascii="宋体" w:hAnsi="宋体" w:cs="宋体"/>
          <w:b/>
          <w:color w:val="auto"/>
          <w:kern w:val="0"/>
          <w:sz w:val="24"/>
        </w:rPr>
        <w:t>第八条</w:t>
      </w:r>
      <w:r>
        <w:rPr>
          <w:rFonts w:hint="eastAsia" w:ascii="宋体" w:hAnsi="宋体" w:cs="宋体"/>
          <w:color w:val="auto"/>
          <w:kern w:val="0"/>
          <w:sz w:val="24"/>
        </w:rPr>
        <w:t>本合同一式肆份，甲、乙双方各执贰份。</w:t>
      </w:r>
    </w:p>
    <w:p>
      <w:pPr>
        <w:autoSpaceDE w:val="0"/>
        <w:autoSpaceDN w:val="0"/>
        <w:spacing w:line="360" w:lineRule="auto"/>
        <w:ind w:left="420" w:leftChars="200"/>
        <w:jc w:val="left"/>
        <w:rPr>
          <w:rFonts w:ascii="宋体" w:hAnsi="宋体" w:cs="宋体"/>
          <w:color w:val="auto"/>
          <w:kern w:val="0"/>
          <w:sz w:val="24"/>
        </w:rPr>
      </w:pPr>
    </w:p>
    <w:p>
      <w:pPr>
        <w:autoSpaceDE w:val="0"/>
        <w:autoSpaceDN w:val="0"/>
        <w:spacing w:line="360" w:lineRule="auto"/>
        <w:ind w:left="420" w:leftChars="200"/>
        <w:jc w:val="left"/>
        <w:rPr>
          <w:rFonts w:ascii="宋体" w:hAnsi="宋体" w:cs="宋体"/>
          <w:color w:val="auto"/>
          <w:kern w:val="0"/>
          <w:sz w:val="24"/>
        </w:rPr>
      </w:pPr>
      <w:r>
        <w:rPr>
          <w:rFonts w:hint="eastAsia" w:ascii="宋体" w:hAnsi="宋体" w:cs="宋体"/>
          <w:color w:val="auto"/>
          <w:kern w:val="0"/>
          <w:sz w:val="24"/>
        </w:rPr>
        <w:t>发包人：</w:t>
      </w:r>
      <w:r>
        <w:rPr>
          <w:rFonts w:hint="eastAsia" w:ascii="宋体" w:hAnsi="宋体" w:cs="宋体"/>
          <w:color w:val="auto"/>
          <w:kern w:val="0"/>
          <w:sz w:val="24"/>
          <w:u w:val="single"/>
        </w:rPr>
        <w:t>（盖章）</w:t>
      </w:r>
      <w:r>
        <w:rPr>
          <w:rFonts w:hint="eastAsia" w:ascii="宋体" w:hAnsi="宋体" w:cs="宋体"/>
          <w:color w:val="auto"/>
          <w:kern w:val="0"/>
          <w:sz w:val="24"/>
        </w:rPr>
        <w:t>服务人：</w:t>
      </w:r>
      <w:r>
        <w:rPr>
          <w:rFonts w:hint="eastAsia" w:ascii="宋体" w:hAnsi="宋体" w:cs="宋体"/>
          <w:color w:val="auto"/>
          <w:kern w:val="0"/>
          <w:sz w:val="24"/>
          <w:u w:val="single"/>
        </w:rPr>
        <w:t>（盖章）</w:t>
      </w:r>
    </w:p>
    <w:p>
      <w:pPr>
        <w:autoSpaceDE w:val="0"/>
        <w:autoSpaceDN w:val="0"/>
        <w:spacing w:line="360" w:lineRule="auto"/>
        <w:ind w:left="420" w:leftChars="200"/>
        <w:jc w:val="left"/>
        <w:rPr>
          <w:rFonts w:ascii="宋体" w:hAnsi="宋体" w:cs="宋体"/>
          <w:color w:val="auto"/>
          <w:kern w:val="0"/>
          <w:sz w:val="24"/>
        </w:rPr>
      </w:pPr>
      <w:r>
        <w:rPr>
          <w:rFonts w:hint="eastAsia" w:ascii="宋体" w:hAnsi="宋体" w:cs="宋体"/>
          <w:color w:val="auto"/>
          <w:kern w:val="0"/>
          <w:sz w:val="24"/>
        </w:rPr>
        <w:t>法定代表人或法定代表人或</w:t>
      </w:r>
    </w:p>
    <w:p>
      <w:pPr>
        <w:autoSpaceDE w:val="0"/>
        <w:autoSpaceDN w:val="0"/>
        <w:spacing w:line="360" w:lineRule="auto"/>
        <w:ind w:left="420" w:leftChars="200"/>
        <w:jc w:val="left"/>
        <w:rPr>
          <w:rFonts w:ascii="宋体" w:hAnsi="宋体" w:cs="宋体"/>
          <w:color w:val="auto"/>
          <w:kern w:val="0"/>
          <w:sz w:val="24"/>
        </w:rPr>
      </w:pPr>
      <w:r>
        <w:rPr>
          <w:rFonts w:hint="eastAsia" w:ascii="宋体" w:hAnsi="宋体" w:cs="宋体"/>
          <w:color w:val="auto"/>
          <w:kern w:val="0"/>
          <w:sz w:val="24"/>
        </w:rPr>
        <w:t>其委托代理人：</w:t>
      </w:r>
      <w:r>
        <w:rPr>
          <w:rFonts w:hint="eastAsia" w:ascii="宋体" w:hAnsi="宋体" w:cs="宋体"/>
          <w:color w:val="auto"/>
          <w:kern w:val="0"/>
          <w:sz w:val="24"/>
          <w:u w:val="single"/>
        </w:rPr>
        <w:t>（签名）</w:t>
      </w:r>
      <w:r>
        <w:rPr>
          <w:rFonts w:hint="eastAsia" w:ascii="宋体" w:hAnsi="宋体" w:cs="宋体"/>
          <w:color w:val="auto"/>
          <w:kern w:val="0"/>
          <w:sz w:val="24"/>
        </w:rPr>
        <w:t>其委托代理人：</w:t>
      </w:r>
      <w:r>
        <w:rPr>
          <w:rFonts w:hint="eastAsia" w:ascii="宋体" w:hAnsi="宋体" w:cs="宋体"/>
          <w:color w:val="auto"/>
          <w:kern w:val="0"/>
          <w:sz w:val="24"/>
          <w:u w:val="single"/>
        </w:rPr>
        <w:t>（签名）</w:t>
      </w:r>
    </w:p>
    <w:p>
      <w:pPr>
        <w:autoSpaceDE w:val="0"/>
        <w:autoSpaceDN w:val="0"/>
        <w:spacing w:line="360" w:lineRule="auto"/>
        <w:ind w:left="420" w:leftChars="200"/>
        <w:jc w:val="left"/>
        <w:rPr>
          <w:rFonts w:ascii="宋体" w:hAnsi="宋体" w:cs="宋体"/>
          <w:color w:val="auto"/>
          <w:kern w:val="0"/>
          <w:sz w:val="24"/>
        </w:rPr>
      </w:pPr>
      <w:r>
        <w:rPr>
          <w:rFonts w:hint="eastAsia" w:ascii="宋体" w:hAnsi="宋体" w:cs="宋体"/>
          <w:color w:val="auto"/>
          <w:kern w:val="0"/>
          <w:sz w:val="24"/>
        </w:rPr>
        <w:t>地址：地址：</w:t>
      </w:r>
    </w:p>
    <w:p>
      <w:pPr>
        <w:autoSpaceDE w:val="0"/>
        <w:autoSpaceDN w:val="0"/>
        <w:spacing w:line="360" w:lineRule="auto"/>
        <w:ind w:left="420" w:leftChars="200"/>
        <w:jc w:val="left"/>
        <w:rPr>
          <w:rFonts w:ascii="宋体" w:hAnsi="宋体" w:cs="宋体"/>
          <w:color w:val="auto"/>
          <w:kern w:val="0"/>
          <w:sz w:val="24"/>
        </w:rPr>
      </w:pPr>
      <w:r>
        <w:rPr>
          <w:rFonts w:hint="eastAsia" w:ascii="宋体" w:hAnsi="宋体" w:cs="宋体"/>
          <w:color w:val="auto"/>
          <w:kern w:val="0"/>
          <w:sz w:val="24"/>
        </w:rPr>
        <w:t>电话：电话：</w:t>
      </w:r>
    </w:p>
    <w:p>
      <w:pPr>
        <w:pStyle w:val="5"/>
        <w:rPr>
          <w:rFonts w:hint="eastAsia"/>
        </w:rPr>
      </w:pPr>
      <w:r>
        <w:rPr>
          <w:rFonts w:hint="eastAsia" w:ascii="宋体" w:hAnsi="宋体" w:cs="宋体"/>
          <w:color w:val="auto"/>
          <w:kern w:val="0"/>
          <w:sz w:val="24"/>
        </w:rPr>
        <w:t>日期：年月日日期：年月日</w:t>
      </w:r>
      <w:r>
        <w:rPr>
          <w:rFonts w:hint="eastAsia" w:ascii="宋体" w:hAnsi="宋体" w:cs="宋体"/>
          <w:sz w:val="24"/>
        </w:rPr>
        <w:br w:type="page"/>
      </w:r>
    </w:p>
    <w:p>
      <w:pPr>
        <w:spacing w:line="360" w:lineRule="auto"/>
        <w:jc w:val="center"/>
        <w:rPr>
          <w:rFonts w:hint="eastAsia" w:ascii="宋体" w:hAnsi="宋体" w:cs="宋体"/>
          <w:b/>
          <w:sz w:val="36"/>
          <w:szCs w:val="20"/>
        </w:rPr>
      </w:pPr>
      <w:r>
        <w:rPr>
          <w:rFonts w:hint="eastAsia" w:ascii="宋体" w:hAnsi="宋体" w:cs="宋体"/>
          <w:b/>
          <w:sz w:val="36"/>
          <w:szCs w:val="20"/>
        </w:rPr>
        <w:t>第六部分</w:t>
      </w:r>
      <w:bookmarkEnd w:id="406"/>
      <w:bookmarkEnd w:id="407"/>
      <w:r>
        <w:rPr>
          <w:rFonts w:hint="eastAsia" w:ascii="宋体" w:hAnsi="宋体" w:cs="宋体"/>
          <w:b/>
          <w:sz w:val="36"/>
          <w:szCs w:val="20"/>
        </w:rPr>
        <w:t xml:space="preserve">  应提交的有关格式范例</w:t>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hint="eastAsia" w:ascii="宋体" w:hAnsi="宋体" w:cs="宋体"/>
          <w:b/>
          <w:kern w:val="0"/>
          <w:sz w:val="36"/>
          <w:szCs w:val="36"/>
        </w:rPr>
      </w:pPr>
    </w:p>
    <w:p>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hint="eastAsia" w:ascii="宋体" w:hAnsi="宋体" w:cs="宋体"/>
          <w:sz w:val="24"/>
        </w:rPr>
      </w:pPr>
      <w:r>
        <w:rPr>
          <w:rFonts w:hint="eastAsia" w:ascii="宋体" w:hAnsi="宋体" w:cs="宋体"/>
          <w:sz w:val="24"/>
        </w:rPr>
        <w:t>（2）落实政府采购政策需满足的资格要求………………………………（页码）</w:t>
      </w:r>
    </w:p>
    <w:p>
      <w:pPr>
        <w:snapToGrid w:val="0"/>
        <w:spacing w:line="360" w:lineRule="auto"/>
        <w:rPr>
          <w:rFonts w:hint="eastAsia"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hint="eastAsia" w:ascii="宋体" w:hAnsi="宋体" w:cs="宋体"/>
          <w:sz w:val="24"/>
        </w:rPr>
      </w:pPr>
      <w:r>
        <w:rPr>
          <w:rFonts w:hint="eastAsia" w:ascii="宋体" w:hAnsi="宋体" w:cs="宋体"/>
          <w:sz w:val="24"/>
          <w:lang w:eastAsia="zh-CN"/>
        </w:rPr>
        <w:t xml:space="preserve"> 杭州市钱塘区交通运输局</w:t>
      </w:r>
      <w:r>
        <w:rPr>
          <w:rFonts w:hint="eastAsia" w:ascii="宋体" w:hAnsi="宋体" w:cs="宋体"/>
          <w:sz w:val="24"/>
        </w:rPr>
        <w:t xml:space="preserve"> 、</w:t>
      </w:r>
      <w:r>
        <w:rPr>
          <w:rFonts w:hint="eastAsia" w:ascii="宋体" w:hAnsi="宋体" w:cs="宋体"/>
          <w:sz w:val="24"/>
          <w:lang w:eastAsia="zh-CN"/>
        </w:rPr>
        <w:t xml:space="preserve"> 五洲工程顾问集团有限公司</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tabs>
          <w:tab w:val="left" w:pos="3876"/>
        </w:tabs>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r>
        <w:rPr>
          <w:rFonts w:hint="eastAsia" w:ascii="宋体" w:hAnsi="宋体" w:cs="宋体"/>
          <w:sz w:val="24"/>
        </w:rPr>
        <w:tab/>
      </w:r>
    </w:p>
    <w:p>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6"/>
        <w:rPr>
          <w:rFonts w:hint="eastAsia" w:hAnsi="宋体" w:cs="宋体"/>
          <w:lang w:val="en-US"/>
        </w:rPr>
      </w:pPr>
    </w:p>
    <w:p>
      <w:pPr>
        <w:pStyle w:val="6"/>
        <w:rPr>
          <w:rFonts w:hint="eastAsia" w:hAnsi="宋体" w:cs="宋体"/>
          <w:lang w:val="en-US"/>
        </w:rPr>
      </w:pPr>
    </w:p>
    <w:p>
      <w:pPr>
        <w:snapToGrid w:val="0"/>
        <w:spacing w:line="360" w:lineRule="auto"/>
        <w:ind w:firstLine="5040" w:firstLineChars="2100"/>
        <w:jc w:val="left"/>
        <w:rPr>
          <w:rFonts w:hint="eastAsia" w:ascii="宋体" w:hAnsi="宋体" w:cs="宋体"/>
          <w:kern w:val="0"/>
          <w:sz w:val="24"/>
        </w:rPr>
      </w:pPr>
      <w:r>
        <w:rPr>
          <w:rFonts w:hint="eastAsia" w:ascii="宋体" w:hAnsi="宋体" w:cs="宋体"/>
          <w:kern w:val="0"/>
          <w:sz w:val="24"/>
          <w:lang w:val="zh-CN"/>
        </w:rPr>
        <w:t>投标人名称(电子签名)：</w:t>
      </w:r>
    </w:p>
    <w:p>
      <w:pPr>
        <w:snapToGrid w:val="0"/>
        <w:spacing w:line="36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pPr>
        <w:snapToGrid w:val="0"/>
        <w:spacing w:line="360" w:lineRule="auto"/>
        <w:ind w:right="480"/>
        <w:jc w:val="center"/>
        <w:rPr>
          <w:rFonts w:hint="eastAsia" w:ascii="宋体" w:hAnsi="宋体" w:cs="宋体"/>
          <w:b/>
          <w:kern w:val="0"/>
          <w:sz w:val="32"/>
          <w:szCs w:val="32"/>
        </w:rPr>
      </w:pPr>
    </w:p>
    <w:p>
      <w:pPr>
        <w:pStyle w:val="6"/>
        <w:rPr>
          <w:rFonts w:hint="eastAsia" w:hAnsi="宋体" w:cs="宋体"/>
          <w:lang w:val="en-US"/>
        </w:rPr>
      </w:pPr>
    </w:p>
    <w:p>
      <w:pPr>
        <w:pStyle w:val="6"/>
        <w:rPr>
          <w:rFonts w:hint="eastAsia" w:hAnsi="宋体" w:cs="宋体"/>
          <w:lang w:val="en-US"/>
        </w:rPr>
      </w:pPr>
    </w:p>
    <w:p>
      <w:pPr>
        <w:pStyle w:val="6"/>
        <w:rPr>
          <w:rFonts w:hint="eastAsia" w:hAnsi="宋体" w:cs="宋体"/>
          <w:lang w:val="en-US"/>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.专门面向中小企业，货物全部由符合政策要求的中小企业（或小微企业）制造或者服务全部由符合政策要求的中小企业（或小微企业）承接的，提供相应的中小企业声明函（附件7）。</w:t>
      </w:r>
    </w:p>
    <w:p>
      <w:pPr>
        <w:widowControl/>
        <w:spacing w:line="360" w:lineRule="auto"/>
        <w:ind w:firstLine="480"/>
        <w:jc w:val="left"/>
        <w:rPr>
          <w:rFonts w:hint="eastAsia" w:ascii="宋体" w:hAnsi="宋体" w:cs="宋体"/>
          <w:sz w:val="24"/>
        </w:rPr>
      </w:pPr>
    </w:p>
    <w:p>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联合协议</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rPr>
          <w:highlight w:val="none"/>
        </w:rPr>
      </w:pPr>
      <w:r>
        <w:rPr>
          <w:rFonts w:hint="eastAsia" w:ascii="仿宋_GB2312" w:hAnsi="仿宋" w:eastAsia="仿宋_GB2312" w:cs="仿宋_GB2312"/>
          <w:kern w:val="0"/>
          <w:sz w:val="24"/>
          <w:highlight w:val="none"/>
          <w:lang w:val="zh-CN"/>
        </w:rPr>
        <w:t>……</w:t>
      </w:r>
    </w:p>
    <w:p>
      <w:pPr>
        <w:snapToGrid w:val="0"/>
        <w:spacing w:line="360" w:lineRule="auto"/>
        <w:ind w:left="5758" w:leftChars="342" w:hanging="5040" w:hangingChars="2100"/>
        <w:rPr>
          <w:rFonts w:hint="eastAsia" w:ascii="宋体" w:hAnsi="宋体" w:cs="宋体"/>
          <w:kern w:val="0"/>
          <w:sz w:val="24"/>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rPr>
          <w:rFonts w:hint="eastAsia" w:ascii="宋体" w:hAnsi="宋体" w:cs="宋体"/>
          <w:kern w:val="0"/>
          <w:sz w:val="24"/>
          <w:lang w:val="zh-CN"/>
        </w:rPr>
      </w:pPr>
    </w:p>
    <w:p>
      <w:pPr>
        <w:spacing w:line="360" w:lineRule="auto"/>
        <w:ind w:firstLine="480" w:firstLineChars="200"/>
        <w:rPr>
          <w:rFonts w:hint="eastAsia" w:ascii="宋体" w:hAnsi="宋体" w:cs="宋体"/>
          <w:sz w:val="24"/>
        </w:rPr>
      </w:pPr>
    </w:p>
    <w:p>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7），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snapToGrid w:val="0"/>
        <w:spacing w:line="360" w:lineRule="auto"/>
        <w:ind w:firstLine="576"/>
        <w:rPr>
          <w:highlight w:val="none"/>
        </w:rPr>
      </w:pPr>
      <w:r>
        <w:rPr>
          <w:rFonts w:hint="eastAsia" w:cs="仿宋_GB2312"/>
          <w:kern w:val="0"/>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ind w:left="5758" w:leftChars="342" w:hanging="5040" w:hangingChars="2100"/>
        <w:rPr>
          <w:rFonts w:hint="eastAsia" w:ascii="宋体" w:hAnsi="宋体" w:cs="宋体"/>
          <w:kern w:val="0"/>
          <w:sz w:val="24"/>
          <w:lang w:val="zh-CN"/>
        </w:rPr>
      </w:pPr>
      <w:r>
        <w:rPr>
          <w:rFonts w:ascii="仿宋_GB2312" w:hAnsi="仿宋" w:eastAsia="仿宋_GB2312" w:cs="仿宋_GB2312"/>
          <w:kern w:val="0"/>
          <w:sz w:val="24"/>
          <w:highlight w:val="none"/>
          <w:lang w:val="zh-CN"/>
        </w:rPr>
        <w:t xml:space="preserve">                                        日期：  年  月   日</w:t>
      </w:r>
    </w:p>
    <w:p>
      <w:pPr>
        <w:pStyle w:val="6"/>
        <w:rPr>
          <w:rFonts w:hint="eastAsia" w:hAnsi="宋体" w:cs="宋体"/>
          <w:b/>
          <w:sz w:val="28"/>
          <w:szCs w:val="28"/>
          <w:lang w:val="en-US"/>
        </w:rPr>
      </w:pPr>
      <w:r>
        <w:rPr>
          <w:rFonts w:hint="eastAsia" w:hAnsi="宋体" w:cs="宋体"/>
          <w:b/>
          <w:sz w:val="28"/>
          <w:szCs w:val="28"/>
          <w:lang w:val="en-US"/>
        </w:rPr>
        <w:br w:type="page"/>
      </w:r>
      <w:r>
        <w:rPr>
          <w:rFonts w:hint="eastAsia" w:hAnsi="宋体" w:cs="宋体"/>
          <w:b/>
          <w:sz w:val="28"/>
          <w:szCs w:val="28"/>
          <w:lang w:val="en-US"/>
        </w:rPr>
        <w:t>本项目资格文件要求提供中小企业声明函范例如下：</w:t>
      </w:r>
    </w:p>
    <w:p>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pPr>
        <w:spacing w:line="360" w:lineRule="auto"/>
        <w:rPr>
          <w:rFonts w:hint="eastAsia" w:ascii="宋体" w:hAnsi="宋体" w:cs="宋体"/>
        </w:rPr>
      </w:pP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lang w:eastAsia="zh-CN"/>
        </w:rPr>
        <w:t xml:space="preserve"> 杭州市钱塘区交通运输局</w:t>
      </w:r>
      <w:r>
        <w:rPr>
          <w:rFonts w:hint="eastAsia" w:ascii="宋体" w:hAnsi="宋体" w:cs="宋体"/>
          <w:color w:val="auto"/>
          <w:sz w:val="24"/>
        </w:rPr>
        <w:t>（单位名称）的</w:t>
      </w:r>
      <w:r>
        <w:rPr>
          <w:rFonts w:hint="eastAsia" w:ascii="宋体" w:hAnsi="宋体" w:cs="宋体"/>
          <w:color w:val="auto"/>
          <w:sz w:val="24"/>
          <w:u w:val="single"/>
          <w:lang w:eastAsia="zh-CN"/>
        </w:rPr>
        <w:t>2025年钱塘区公路路况、桥梁检测项目</w:t>
      </w:r>
      <w:r>
        <w:rPr>
          <w:rFonts w:hint="eastAsia" w:ascii="宋体" w:hAnsi="宋体" w:cs="宋体"/>
          <w:color w:val="auto"/>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lang w:eastAsia="zh-CN"/>
        </w:rPr>
        <w:t>2025年钱塘区公路路况、桥梁检测项目</w:t>
      </w:r>
      <w:r>
        <w:rPr>
          <w:rFonts w:hint="eastAsia" w:ascii="宋体" w:hAnsi="宋体" w:cs="宋体"/>
          <w:color w:val="auto"/>
          <w:sz w:val="24"/>
        </w:rPr>
        <w:t>，属于</w:t>
      </w:r>
      <w:r>
        <w:rPr>
          <w:rFonts w:hint="eastAsia" w:ascii="宋体" w:hAnsi="宋体" w:cs="宋体"/>
          <w:color w:val="auto"/>
          <w:sz w:val="24"/>
          <w:u w:val="single"/>
        </w:rPr>
        <w:t>其他未列明行业</w:t>
      </w:r>
      <w:r>
        <w:rPr>
          <w:rFonts w:hint="eastAsia" w:ascii="宋体" w:hAnsi="宋体" w:cs="宋体"/>
          <w:color w:val="auto"/>
          <w:sz w:val="24"/>
        </w:rPr>
        <w:t xml:space="preserve"> ；承建（承接）企业为 </w:t>
      </w:r>
      <w:r>
        <w:rPr>
          <w:rFonts w:hint="eastAsia" w:ascii="宋体" w:hAnsi="宋体" w:cs="宋体"/>
          <w:color w:val="auto"/>
          <w:sz w:val="24"/>
          <w:u w:val="single"/>
        </w:rPr>
        <w:t>（</w:t>
      </w:r>
      <w:r>
        <w:rPr>
          <w:rFonts w:hint="eastAsia" w:ascii="宋体" w:hAnsi="宋体" w:cs="宋体"/>
          <w:i/>
          <w:color w:val="auto"/>
          <w:sz w:val="24"/>
          <w:u w:val="single"/>
        </w:rPr>
        <w:t>此处填写企业名称</w:t>
      </w:r>
      <w:r>
        <w:rPr>
          <w:rFonts w:hint="eastAsia" w:ascii="宋体" w:hAnsi="宋体" w:cs="宋体"/>
          <w:color w:val="auto"/>
          <w:sz w:val="24"/>
          <w:u w:val="single"/>
        </w:rPr>
        <w:t>）</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i/>
          <w:color w:val="auto"/>
          <w:sz w:val="24"/>
          <w:u w:val="single"/>
        </w:rPr>
        <w:t>此处填写中型企业、小型企业、微型企业其中一个</w:t>
      </w:r>
      <w:r>
        <w:rPr>
          <w:rFonts w:hint="eastAsia" w:ascii="宋体" w:hAnsi="宋体" w:cs="宋体"/>
          <w:color w:val="auto"/>
          <w:sz w:val="24"/>
          <w:u w:val="single"/>
        </w:rPr>
        <w:t xml:space="preserve">） </w:t>
      </w:r>
      <w:r>
        <w:rPr>
          <w:rFonts w:hint="eastAsia" w:ascii="宋体" w:hAnsi="宋体" w:cs="宋体"/>
          <w:color w:val="auto"/>
          <w:sz w:val="24"/>
        </w:rPr>
        <w:t>；</w:t>
      </w:r>
    </w:p>
    <w:p>
      <w:pPr>
        <w:adjustRightInd/>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i/>
          <w:color w:val="000000"/>
          <w:sz w:val="24"/>
          <w:u w:val="single"/>
        </w:rPr>
        <w:t>此处填写标的名称</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w:t>
      </w:r>
      <w:r>
        <w:rPr>
          <w:rFonts w:hint="eastAsia" w:ascii="宋体" w:hAnsi="宋体" w:cs="宋体"/>
          <w:i/>
          <w:color w:val="000000"/>
          <w:sz w:val="24"/>
          <w:u w:val="single"/>
        </w:rPr>
        <w:t>此处填写采购文件中明确的所属行业</w:t>
      </w:r>
      <w:r>
        <w:rPr>
          <w:rFonts w:hint="eastAsia" w:ascii="宋体" w:hAnsi="宋体" w:cs="宋体"/>
          <w:sz w:val="24"/>
          <w:u w:val="single"/>
        </w:rPr>
        <w:t>）</w:t>
      </w:r>
      <w:r>
        <w:rPr>
          <w:rFonts w:hint="eastAsia" w:ascii="宋体" w:hAnsi="宋体" w:cs="宋体"/>
          <w:sz w:val="24"/>
        </w:rPr>
        <w:t xml:space="preserve"> ；承建（承接）企业为 </w:t>
      </w:r>
      <w:r>
        <w:rPr>
          <w:rFonts w:hint="eastAsia" w:ascii="宋体" w:hAnsi="宋体" w:cs="宋体"/>
          <w:sz w:val="24"/>
          <w:u w:val="single"/>
        </w:rPr>
        <w:t>（</w:t>
      </w:r>
      <w:r>
        <w:rPr>
          <w:rFonts w:hint="eastAsia" w:ascii="宋体" w:hAnsi="宋体" w:cs="宋体"/>
          <w:i/>
          <w:sz w:val="24"/>
          <w:u w:val="single"/>
        </w:rPr>
        <w:t>此处填写企业名称</w:t>
      </w:r>
      <w:r>
        <w:rPr>
          <w:rFonts w:hint="eastAsia" w:ascii="宋体" w:hAnsi="宋体" w:cs="宋体"/>
          <w:sz w:val="24"/>
          <w:u w:val="single"/>
        </w:rPr>
        <w:t>）</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i/>
          <w:color w:val="000000"/>
          <w:sz w:val="24"/>
          <w:u w:val="single"/>
        </w:rPr>
        <w:t>此处填写中型企业、小型企业、微型企业其中一个</w:t>
      </w:r>
      <w:r>
        <w:rPr>
          <w:rFonts w:hint="eastAsia" w:ascii="宋体" w:hAnsi="宋体" w:cs="宋体"/>
          <w:sz w:val="24"/>
          <w:u w:val="single"/>
        </w:rPr>
        <w:t>）</w:t>
      </w:r>
      <w:r>
        <w:rPr>
          <w:rFonts w:hint="eastAsia" w:ascii="宋体" w:hAnsi="宋体" w:cs="宋体"/>
          <w:sz w:val="24"/>
        </w:rPr>
        <w:t>；</w:t>
      </w:r>
    </w:p>
    <w:p>
      <w:pPr>
        <w:adjustRightInd/>
        <w:spacing w:line="360" w:lineRule="auto"/>
        <w:ind w:firstLine="480" w:firstLineChars="200"/>
        <w:jc w:val="left"/>
        <w:rPr>
          <w:rFonts w:hint="eastAsia" w:ascii="宋体" w:hAnsi="宋体" w:cs="宋体"/>
          <w:sz w:val="24"/>
        </w:rPr>
      </w:pP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  日</w:t>
      </w:r>
    </w:p>
    <w:p>
      <w:pPr>
        <w:spacing w:line="360" w:lineRule="auto"/>
        <w:ind w:firstLine="472" w:firstLineChars="196"/>
        <w:jc w:val="left"/>
        <w:rPr>
          <w:rFonts w:hint="eastAsia" w:ascii="宋体" w:hAnsi="宋体" w:cs="宋体"/>
          <w:b/>
          <w:sz w:val="24"/>
        </w:rPr>
      </w:pPr>
      <w:r>
        <w:rPr>
          <w:rFonts w:hint="eastAsia" w:ascii="宋体" w:hAnsi="宋体" w:cs="宋体"/>
          <w:b/>
          <w:sz w:val="24"/>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bCs/>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pPr>
        <w:rPr>
          <w:rFonts w:hint="eastAsia" w:ascii="宋体" w:hAnsi="宋体" w:cs="宋体"/>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pStyle w:val="6"/>
        <w:rPr>
          <w:rFonts w:hint="eastAsia" w:hAnsi="宋体" w:cs="宋体"/>
          <w:lang w:val="en-US"/>
        </w:rPr>
      </w:pPr>
    </w:p>
    <w:p>
      <w:pPr>
        <w:spacing w:line="360" w:lineRule="auto"/>
        <w:ind w:right="420"/>
        <w:jc w:val="center"/>
        <w:rPr>
          <w:rFonts w:hint="eastAsia" w:ascii="宋体" w:hAnsi="宋体" w:cs="宋体"/>
          <w:b/>
          <w:kern w:val="0"/>
          <w:sz w:val="36"/>
          <w:szCs w:val="36"/>
        </w:rPr>
      </w:pPr>
      <w:r>
        <w:rPr>
          <w:rFonts w:hint="eastAsia" w:ascii="宋体" w:hAnsi="宋体" w:cs="宋体"/>
          <w:b/>
          <w:kern w:val="0"/>
          <w:sz w:val="36"/>
          <w:szCs w:val="36"/>
        </w:rPr>
        <w:br w:type="page"/>
      </w:r>
      <w:r>
        <w:rPr>
          <w:rFonts w:hint="eastAsia" w:ascii="宋体" w:hAnsi="宋体" w:cs="宋体"/>
          <w:b/>
          <w:kern w:val="0"/>
          <w:sz w:val="36"/>
          <w:szCs w:val="36"/>
        </w:rPr>
        <w:t>商务技术文件部分</w:t>
      </w:r>
    </w:p>
    <w:p>
      <w:pPr>
        <w:spacing w:line="360" w:lineRule="auto"/>
        <w:jc w:val="center"/>
        <w:outlineLvl w:val="0"/>
        <w:rPr>
          <w:rFonts w:hint="eastAsia" w:ascii="宋体" w:hAnsi="宋体" w:cs="宋体"/>
          <w:b/>
          <w:kern w:val="0"/>
          <w:sz w:val="24"/>
        </w:rPr>
      </w:pPr>
    </w:p>
    <w:p>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pPr>
        <w:snapToGrid w:val="0"/>
        <w:spacing w:line="360" w:lineRule="auto"/>
        <w:rPr>
          <w:rFonts w:hint="eastAsia" w:ascii="宋体" w:hAnsi="宋体" w:cs="宋体"/>
        </w:rPr>
      </w:pPr>
      <w:r>
        <w:rPr>
          <w:rFonts w:hint="eastAsia" w:ascii="宋体" w:hAnsi="宋体" w:cs="宋体"/>
          <w:sz w:val="24"/>
        </w:rPr>
        <w:t>（1）投标函</w:t>
      </w:r>
      <w:r>
        <w:rPr>
          <w:rFonts w:hint="eastAsia" w:ascii="宋体" w:hAnsi="宋体" w:cs="宋体"/>
        </w:rPr>
        <w:t>………………………………………………………………………………（页码）</w:t>
      </w:r>
    </w:p>
    <w:p>
      <w:pPr>
        <w:snapToGrid w:val="0"/>
        <w:spacing w:line="360" w:lineRule="auto"/>
        <w:rPr>
          <w:rFonts w:hint="eastAsia"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rPr>
          <w:rFonts w:hint="eastAsia"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rPr>
          <w:rFonts w:hint="eastAsia"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rPr>
          <w:rFonts w:hint="eastAsia"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rPr>
          <w:rFonts w:hint="eastAsia"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rPr>
          <w:rFonts w:hint="eastAsia"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rPr>
          <w:rFonts w:hint="eastAsia"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hint="eastAsia" w:ascii="宋体" w:hAnsi="宋体" w:cs="宋体"/>
          <w:b/>
          <w:kern w:val="0"/>
          <w:sz w:val="32"/>
          <w:szCs w:val="32"/>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rPr>
          <w:rFonts w:hint="eastAsia" w:ascii="宋体" w:hAnsi="宋体" w:cs="宋体"/>
        </w:rPr>
      </w:pPr>
    </w:p>
    <w:p>
      <w:pPr>
        <w:spacing w:line="360" w:lineRule="auto"/>
        <w:jc w:val="center"/>
        <w:rPr>
          <w:rFonts w:hint="eastAsia" w:ascii="宋体" w:hAnsi="宋体" w:cs="宋体"/>
          <w:sz w:val="24"/>
        </w:rPr>
      </w:pPr>
    </w:p>
    <w:p>
      <w:pPr>
        <w:snapToGrid w:val="0"/>
        <w:spacing w:line="360" w:lineRule="auto"/>
        <w:ind w:left="420" w:leftChars="200" w:firstLine="4200" w:firstLineChars="1750"/>
        <w:rPr>
          <w:rFonts w:hint="eastAsia" w:ascii="宋体" w:hAnsi="宋体" w:cs="宋体"/>
          <w:kern w:val="0"/>
          <w:sz w:val="24"/>
          <w:u w:val="single"/>
          <w:lang w:val="zh-CN"/>
        </w:rPr>
      </w:pPr>
    </w:p>
    <w:p>
      <w:pPr>
        <w:snapToGrid w:val="0"/>
        <w:spacing w:line="360" w:lineRule="auto"/>
        <w:jc w:val="center"/>
        <w:rPr>
          <w:rFonts w:hint="eastAsia" w:ascii="宋体" w:hAnsi="宋体" w:cs="宋体"/>
          <w:b/>
          <w:kern w:val="0"/>
          <w:sz w:val="32"/>
          <w:szCs w:val="32"/>
          <w:lang w:val="zh-CN"/>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hint="eastAsia" w:ascii="宋体" w:hAnsi="宋体" w:cs="宋体"/>
          <w:sz w:val="24"/>
        </w:rPr>
      </w:pPr>
      <w:r>
        <w:rPr>
          <w:rFonts w:hint="eastAsia" w:ascii="宋体" w:hAnsi="宋体" w:cs="宋体"/>
          <w:sz w:val="24"/>
          <w:lang w:eastAsia="zh-CN"/>
        </w:rPr>
        <w:t xml:space="preserve"> 杭州市钱塘区交通运输局</w:t>
      </w:r>
      <w:r>
        <w:rPr>
          <w:rFonts w:hint="eastAsia" w:ascii="宋体" w:hAnsi="宋体" w:cs="宋体"/>
          <w:sz w:val="24"/>
        </w:rPr>
        <w:t xml:space="preserve"> 、</w:t>
      </w:r>
      <w:r>
        <w:rPr>
          <w:rFonts w:hint="eastAsia" w:ascii="宋体" w:hAnsi="宋体" w:cs="宋体"/>
          <w:sz w:val="24"/>
          <w:lang w:eastAsia="zh-CN"/>
        </w:rPr>
        <w:t xml:space="preserve"> 五洲工程顾问集团有限公司</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 。</w:t>
      </w:r>
    </w:p>
    <w:p>
      <w:pPr>
        <w:pStyle w:val="6"/>
        <w:rPr>
          <w:rFonts w:hint="eastAsia" w:hAnsi="宋体" w:cs="宋体"/>
          <w:lang w:val="en-US"/>
        </w:rPr>
      </w:pPr>
    </w:p>
    <w:p>
      <w:pPr>
        <w:spacing w:line="360" w:lineRule="auto"/>
        <w:ind w:firstLine="3600" w:firstLineChars="1500"/>
        <w:rPr>
          <w:rFonts w:hint="eastAsia" w:ascii="宋体" w:hAnsi="宋体" w:cs="宋体"/>
          <w:sz w:val="24"/>
        </w:rPr>
      </w:pPr>
      <w:r>
        <w:rPr>
          <w:rFonts w:hint="eastAsia" w:ascii="宋体" w:hAnsi="宋体" w:cs="宋体"/>
          <w:sz w:val="24"/>
        </w:rPr>
        <w:t>投标人名称（电子签名）：</w:t>
      </w:r>
    </w:p>
    <w:p>
      <w:pPr>
        <w:spacing w:line="360" w:lineRule="auto"/>
        <w:jc w:val="center"/>
        <w:rPr>
          <w:rFonts w:hint="eastAsia" w:ascii="宋体" w:hAnsi="宋体" w:cs="宋体"/>
          <w:sz w:val="24"/>
        </w:rPr>
      </w:pPr>
      <w:r>
        <w:rPr>
          <w:rFonts w:hint="eastAsia" w:ascii="宋体" w:hAnsi="宋体" w:cs="宋体"/>
          <w:sz w:val="24"/>
        </w:rPr>
        <w:t xml:space="preserve">          日期：  年   月   日</w:t>
      </w:r>
    </w:p>
    <w:p>
      <w:pPr>
        <w:snapToGrid w:val="0"/>
        <w:spacing w:line="360" w:lineRule="auto"/>
        <w:rPr>
          <w:rFonts w:hint="eastAsia" w:ascii="宋体" w:hAnsi="宋体" w:cs="宋体"/>
          <w:sz w:val="24"/>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snapToGrid w:val="0"/>
        <w:spacing w:line="360" w:lineRule="auto"/>
        <w:rPr>
          <w:rFonts w:hint="eastAsia" w:ascii="宋体" w:hAnsi="宋体" w:cs="宋体"/>
          <w:kern w:val="0"/>
          <w:sz w:val="24"/>
          <w:lang w:val="zh-CN"/>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pStyle w:val="6"/>
        <w:rPr>
          <w:rFonts w:hint="eastAsia" w:hAnsi="宋体" w:cs="宋体"/>
        </w:rPr>
      </w:pPr>
    </w:p>
    <w:p>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pStyle w:val="6"/>
        <w:rPr>
          <w:rFonts w:hint="eastAsia" w:hAnsi="宋体" w:cs="宋体"/>
          <w:lang w:val="en-US"/>
        </w:rPr>
      </w:pPr>
    </w:p>
    <w:p>
      <w:pPr>
        <w:adjustRightInd/>
        <w:spacing w:line="360" w:lineRule="auto"/>
        <w:jc w:val="center"/>
        <w:rPr>
          <w:rFonts w:hint="eastAsia" w:ascii="宋体" w:hAnsi="宋体" w:cs="宋体"/>
        </w:rPr>
      </w:pPr>
      <w:r>
        <w:rPr>
          <w:rFonts w:hint="eastAsia" w:ascii="宋体" w:hAnsi="宋体" w:cs="宋体"/>
          <w:b/>
          <w:kern w:val="0"/>
          <w:sz w:val="32"/>
          <w:szCs w:val="32"/>
          <w:lang w:val="zh-CN"/>
        </w:rPr>
        <w:t>授权委托书（适用于非联合体投标）</w:t>
      </w:r>
    </w:p>
    <w:p>
      <w:pPr>
        <w:adjustRightInd/>
        <w:spacing w:line="360" w:lineRule="auto"/>
        <w:rPr>
          <w:rFonts w:hint="eastAsia" w:ascii="宋体" w:hAnsi="宋体" w:cs="宋体"/>
          <w:kern w:val="0"/>
          <w:sz w:val="24"/>
        </w:rPr>
      </w:pPr>
      <w:r>
        <w:rPr>
          <w:rFonts w:hint="eastAsia" w:ascii="宋体" w:hAnsi="宋体" w:cs="宋体"/>
          <w:sz w:val="24"/>
          <w:lang w:eastAsia="zh-CN"/>
        </w:rPr>
        <w:t xml:space="preserve"> 杭州市钱塘区交通运输局</w:t>
      </w:r>
      <w:r>
        <w:rPr>
          <w:rFonts w:hint="eastAsia" w:ascii="宋体" w:hAnsi="宋体" w:cs="宋体"/>
          <w:sz w:val="24"/>
        </w:rPr>
        <w:t xml:space="preserve"> 、</w:t>
      </w:r>
      <w:r>
        <w:rPr>
          <w:rFonts w:hint="eastAsia" w:ascii="宋体" w:hAnsi="宋体" w:cs="宋体"/>
          <w:sz w:val="24"/>
          <w:lang w:eastAsia="zh-CN"/>
        </w:rPr>
        <w:t xml:space="preserve"> 五洲工程顾问集团有限公司</w:t>
      </w:r>
      <w:r>
        <w:rPr>
          <w:rFonts w:hint="eastAsia" w:ascii="宋体" w:hAnsi="宋体" w:cs="宋体"/>
          <w:kern w:val="0"/>
          <w:sz w:val="24"/>
          <w:lang w:val="zh-CN"/>
        </w:rPr>
        <w:t>：</w:t>
      </w:r>
    </w:p>
    <w:p>
      <w:pPr>
        <w:adjustRightInd/>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i/>
          <w:kern w:val="0"/>
          <w:sz w:val="24"/>
          <w:u w:val="single"/>
          <w:lang w:val="zh-CN"/>
        </w:rPr>
        <w:t>姓名</w:t>
      </w:r>
      <w:r>
        <w:rPr>
          <w:rFonts w:hint="eastAsia" w:ascii="宋体" w:hAnsi="宋体" w:cs="宋体"/>
          <w:kern w:val="0"/>
          <w:sz w:val="24"/>
          <w:lang w:val="zh-CN"/>
        </w:rPr>
        <w:t>）为我方代理人（身份证号码：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w:t>
      </w:r>
      <w:r>
        <w:rPr>
          <w:rFonts w:hint="eastAsia" w:ascii="宋体" w:hAnsi="宋体" w:cs="宋体"/>
          <w:i/>
          <w:sz w:val="24"/>
          <w:u w:val="single"/>
        </w:rPr>
        <w:t>此处填写项目名称</w:t>
      </w:r>
      <w:r>
        <w:rPr>
          <w:rFonts w:hint="eastAsia" w:ascii="宋体" w:hAnsi="宋体" w:cs="宋体"/>
          <w:sz w:val="24"/>
        </w:rPr>
        <w:t>）【招标编号：</w:t>
      </w:r>
      <w:r>
        <w:rPr>
          <w:rFonts w:hint="eastAsia" w:ascii="宋体" w:hAnsi="宋体" w:cs="宋体"/>
          <w:i/>
          <w:sz w:val="24"/>
          <w:u w:val="single"/>
        </w:rPr>
        <w:t>（此处填写采购编号）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adjustRightInd/>
        <w:spacing w:line="360" w:lineRule="auto"/>
        <w:rPr>
          <w:rFonts w:hint="eastAsia"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日起至</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日止。</w:t>
      </w:r>
    </w:p>
    <w:p>
      <w:pPr>
        <w:adjustRightInd/>
        <w:spacing w:line="360" w:lineRule="auto"/>
        <w:ind w:firstLine="480" w:firstLineChars="200"/>
        <w:rPr>
          <w:rFonts w:hint="eastAsia" w:ascii="宋体" w:hAnsi="宋体" w:cs="宋体"/>
          <w:kern w:val="0"/>
          <w:sz w:val="24"/>
        </w:rPr>
      </w:pPr>
      <w:r>
        <w:rPr>
          <w:rFonts w:hint="eastAsia" w:ascii="宋体" w:hAnsi="宋体" w:cs="宋体"/>
          <w:kern w:val="0"/>
          <w:sz w:val="24"/>
          <w:lang w:val="zh-CN"/>
        </w:rPr>
        <w:t>特此告知。</w:t>
      </w:r>
    </w:p>
    <w:p>
      <w:pPr>
        <w:adjustRightInd/>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pPr>
        <w:adjustRightInd/>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pPr>
        <w:adjustRightInd/>
        <w:spacing w:line="360" w:lineRule="auto"/>
        <w:rPr>
          <w:rFonts w:hint="eastAsia" w:ascii="宋体" w:hAnsi="宋体" w:cs="宋体"/>
          <w:sz w:val="24"/>
        </w:rPr>
      </w:pPr>
    </w:p>
    <w:p>
      <w:pPr>
        <w:adjustRightInd/>
        <w:spacing w:line="360" w:lineRule="auto"/>
        <w:rPr>
          <w:rFonts w:hint="eastAsia" w:ascii="宋体" w:hAnsi="宋体" w:cs="宋体"/>
          <w:sz w:val="24"/>
        </w:rPr>
      </w:pPr>
    </w:p>
    <w:p>
      <w:pPr>
        <w:adjustRightInd/>
        <w:spacing w:line="360" w:lineRule="auto"/>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pPr>
        <w:adjustRightInd/>
        <w:spacing w:line="360" w:lineRule="auto"/>
        <w:rPr>
          <w:rFonts w:hint="eastAsia" w:ascii="宋体" w:hAnsi="宋体" w:cs="宋体"/>
          <w:kern w:val="0"/>
          <w:sz w:val="24"/>
        </w:rPr>
      </w:pPr>
      <w:r>
        <w:rPr>
          <w:rFonts w:hint="eastAsia" w:ascii="宋体" w:hAnsi="宋体" w:cs="宋体"/>
          <w:sz w:val="24"/>
          <w:lang w:eastAsia="zh-CN"/>
        </w:rPr>
        <w:t xml:space="preserve"> 杭州市钱塘区交通运输局</w:t>
      </w:r>
      <w:r>
        <w:rPr>
          <w:rFonts w:hint="eastAsia" w:ascii="宋体" w:hAnsi="宋体" w:cs="宋体"/>
          <w:sz w:val="24"/>
        </w:rPr>
        <w:t xml:space="preserve"> 、</w:t>
      </w:r>
      <w:r>
        <w:rPr>
          <w:rFonts w:hint="eastAsia" w:ascii="宋体" w:hAnsi="宋体" w:cs="宋体"/>
          <w:sz w:val="24"/>
          <w:lang w:eastAsia="zh-CN"/>
        </w:rPr>
        <w:t xml:space="preserve"> 五洲工程顾问集团有限公司</w:t>
      </w:r>
      <w:r>
        <w:rPr>
          <w:rFonts w:hint="eastAsia" w:ascii="宋体" w:hAnsi="宋体" w:cs="宋体"/>
          <w:kern w:val="0"/>
          <w:sz w:val="24"/>
          <w:lang w:val="zh-CN"/>
        </w:rPr>
        <w:t>：</w:t>
      </w:r>
    </w:p>
    <w:p>
      <w:pPr>
        <w:adjustRightInd/>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i/>
          <w:kern w:val="0"/>
          <w:sz w:val="24"/>
          <w:u w:val="single"/>
          <w:lang w:val="zh-CN"/>
        </w:rPr>
        <w:t>姓名</w:t>
      </w:r>
      <w:r>
        <w:rPr>
          <w:rFonts w:hint="eastAsia" w:ascii="宋体" w:hAnsi="宋体" w:cs="宋体"/>
          <w:kern w:val="0"/>
          <w:sz w:val="24"/>
          <w:lang w:val="zh-CN"/>
        </w:rPr>
        <w:t>）为我方代理人（身份证号码：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w:t>
      </w:r>
      <w:r>
        <w:rPr>
          <w:rFonts w:hint="eastAsia" w:ascii="宋体" w:hAnsi="宋体" w:cs="宋体"/>
          <w:i/>
          <w:sz w:val="24"/>
          <w:u w:val="single"/>
        </w:rPr>
        <w:t>此处填写项目名称</w:t>
      </w:r>
      <w:r>
        <w:rPr>
          <w:rFonts w:hint="eastAsia" w:ascii="宋体" w:hAnsi="宋体" w:cs="宋体"/>
          <w:sz w:val="24"/>
        </w:rPr>
        <w:t>）【招标编号：</w:t>
      </w:r>
      <w:r>
        <w:rPr>
          <w:rFonts w:hint="eastAsia" w:ascii="宋体" w:hAnsi="宋体" w:cs="宋体"/>
          <w:i/>
          <w:sz w:val="24"/>
          <w:u w:val="single"/>
        </w:rPr>
        <w:t>（此处填写采购编号）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adjustRightInd/>
        <w:spacing w:line="360" w:lineRule="auto"/>
        <w:rPr>
          <w:rFonts w:hint="eastAsia"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日起至</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日止。</w:t>
      </w:r>
    </w:p>
    <w:p>
      <w:pPr>
        <w:adjustRightInd/>
        <w:spacing w:line="360" w:lineRule="auto"/>
        <w:ind w:firstLine="480" w:firstLineChars="200"/>
        <w:rPr>
          <w:rFonts w:hint="eastAsia" w:ascii="宋体" w:hAnsi="宋体" w:cs="宋体"/>
          <w:kern w:val="0"/>
          <w:sz w:val="24"/>
        </w:rPr>
      </w:pPr>
      <w:r>
        <w:rPr>
          <w:rFonts w:hint="eastAsia" w:ascii="宋体" w:hAnsi="宋体" w:cs="宋体"/>
          <w:kern w:val="0"/>
          <w:sz w:val="24"/>
          <w:lang w:val="zh-CN"/>
        </w:rPr>
        <w:t>特此告知。</w:t>
      </w:r>
    </w:p>
    <w:p>
      <w:pPr>
        <w:jc w:val="center"/>
        <w:rPr>
          <w:rFonts w:hint="eastAsia" w:ascii="宋体" w:hAnsi="宋体" w:cs="宋体"/>
          <w:b/>
          <w:kern w:val="0"/>
          <w:sz w:val="32"/>
          <w:szCs w:val="32"/>
        </w:rPr>
      </w:pPr>
    </w:p>
    <w:p>
      <w:pPr>
        <w:jc w:val="right"/>
        <w:rPr>
          <w:rFonts w:hint="eastAsia" w:ascii="宋体" w:hAnsi="宋体" w:cs="宋体"/>
        </w:rPr>
      </w:pPr>
    </w:p>
    <w:p>
      <w:pPr>
        <w:wordWrap w:val="0"/>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联合体成员名称(电子签名/公章)：        </w:t>
      </w:r>
    </w:p>
    <w:p>
      <w:pPr>
        <w:wordWrap w:val="0"/>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联合体成员名称(电子签名/公章)：        </w:t>
      </w:r>
    </w:p>
    <w:p>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pPr>
        <w:pStyle w:val="6"/>
        <w:rPr>
          <w:rFonts w:hint="eastAsia" w:hAnsi="宋体" w:cs="宋体"/>
        </w:rPr>
      </w:pPr>
      <w:r>
        <w:rPr>
          <w:rFonts w:hint="eastAsia" w:hAnsi="宋体" w:cs="宋体"/>
          <w:kern w:val="0"/>
        </w:rPr>
        <w:t xml:space="preserve">                                               日期：  年  月   日</w:t>
      </w:r>
    </w:p>
    <w:p>
      <w:pPr>
        <w:pStyle w:val="6"/>
        <w:rPr>
          <w:rFonts w:hint="eastAsia" w:hAnsi="宋体" w:cs="宋体"/>
        </w:rPr>
      </w:pPr>
    </w:p>
    <w:p>
      <w:pPr>
        <w:pStyle w:val="6"/>
        <w:rPr>
          <w:rFonts w:hint="eastAsia" w:hAnsi="宋体" w:cs="宋体"/>
        </w:rPr>
      </w:pPr>
    </w:p>
    <w:p>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27"/>
        <w:spacing w:line="360" w:lineRule="auto"/>
        <w:rPr>
          <w:rFonts w:hint="eastAsia" w:hAnsi="宋体" w:cs="宋体"/>
          <w:bCs/>
          <w:sz w:val="24"/>
        </w:rPr>
      </w:pPr>
      <w:r>
        <w:rPr>
          <w:rFonts w:hint="eastAsia" w:hAnsi="宋体" w:cs="宋体"/>
          <w:bCs/>
          <w:sz w:val="24"/>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7"/>
              <w:adjustRightInd w:val="0"/>
              <w:spacing w:line="360" w:lineRule="auto"/>
              <w:rPr>
                <w:rFonts w:hint="eastAsia" w:hAnsi="宋体" w:cs="宋体"/>
                <w:bCs/>
                <w:sz w:val="24"/>
              </w:rPr>
            </w:pPr>
            <w:r>
              <w:rPr>
                <w:rFonts w:hint="eastAsia" w:hAnsi="宋体" w:cs="宋体"/>
                <w:bCs/>
                <w:sz w:val="24"/>
              </w:rPr>
              <w:t>正面：                               反面：</w:t>
            </w:r>
          </w:p>
          <w:p>
            <w:pPr>
              <w:pStyle w:val="27"/>
              <w:adjustRightInd w:val="0"/>
              <w:spacing w:line="360" w:lineRule="auto"/>
              <w:rPr>
                <w:rFonts w:hint="eastAsia" w:hAnsi="宋体" w:cs="宋体"/>
                <w:bCs/>
                <w:sz w:val="24"/>
              </w:rPr>
            </w:pPr>
          </w:p>
        </w:tc>
      </w:tr>
    </w:tbl>
    <w:p>
      <w:pPr>
        <w:snapToGrid w:val="0"/>
        <w:spacing w:line="360" w:lineRule="auto"/>
        <w:ind w:firstLine="576"/>
        <w:jc w:val="center"/>
        <w:rPr>
          <w:rFonts w:hint="eastAsia" w:ascii="宋体" w:hAnsi="宋体" w:cs="宋体"/>
          <w:kern w:val="0"/>
          <w:sz w:val="24"/>
          <w:lang w:val="zh-CN"/>
        </w:rPr>
      </w:pPr>
    </w:p>
    <w:p>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pStyle w:val="6"/>
        <w:rPr>
          <w:rFonts w:hint="eastAsia" w:hAnsi="宋体" w:cs="宋体"/>
          <w:lang w:val="en-US"/>
        </w:rPr>
      </w:pPr>
    </w:p>
    <w:p>
      <w:pPr>
        <w:pStyle w:val="6"/>
        <w:rPr>
          <w:rFonts w:hint="eastAsia" w:hAnsi="宋体" w:cs="宋体"/>
          <w:lang w:val="en-US"/>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hint="eastAsia" w:ascii="宋体" w:hAnsi="宋体" w:cs="宋体"/>
          <w:kern w:val="0"/>
          <w:sz w:val="24"/>
          <w:lang w:val="zh-CN"/>
        </w:rPr>
      </w:pPr>
      <w:r>
        <w:rPr>
          <w:rFonts w:ascii="仿宋_GB2312" w:hAnsi="仿宋" w:eastAsia="仿宋_GB2312" w:cs="仿宋_GB2312"/>
          <w:kern w:val="0"/>
          <w:sz w:val="24"/>
          <w:highlight w:val="none"/>
          <w:lang w:val="zh-CN"/>
        </w:rPr>
        <w:t>日期：  年  月   日</w:t>
      </w:r>
    </w:p>
    <w:p>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四、分包意向协议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snapToGrid w:val="0"/>
        <w:spacing w:line="360" w:lineRule="auto"/>
        <w:ind w:firstLine="576"/>
        <w:rPr>
          <w:highlight w:val="none"/>
        </w:rPr>
      </w:pPr>
      <w:r>
        <w:rPr>
          <w:rFonts w:hint="eastAsia" w:cs="仿宋_GB2312"/>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highlight w:val="none"/>
          <w:u w:val="single"/>
        </w:rPr>
      </w:pPr>
      <w:r>
        <w:rPr>
          <w:rFonts w:ascii="仿宋_GB2312" w:hAnsi="仿宋" w:eastAsia="仿宋_GB231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投标人名称(电子签名)：</w:t>
      </w:r>
    </w:p>
    <w:p>
      <w:pPr>
        <w:snapToGrid w:val="0"/>
        <w:spacing w:line="360" w:lineRule="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rPr>
          <w:highlight w:val="none"/>
        </w:rPr>
      </w:pPr>
      <w:r>
        <w:rPr>
          <w:rFonts w:hint="eastAsia" w:ascii="仿宋_GB2312" w:hAnsi="仿宋" w:eastAsia="仿宋_GB2312" w:cs="仿宋_GB2312"/>
          <w:kern w:val="0"/>
          <w:sz w:val="24"/>
          <w:highlight w:val="none"/>
          <w:lang w:val="zh-CN"/>
        </w:rPr>
        <w:t>……</w:t>
      </w:r>
    </w:p>
    <w:p>
      <w:pPr>
        <w:snapToGrid w:val="0"/>
        <w:spacing w:line="360" w:lineRule="auto"/>
        <w:ind w:left="5758" w:leftChars="342" w:hanging="5040" w:hangingChars="2100"/>
        <w:rPr>
          <w:rFonts w:hint="eastAsia" w:ascii="宋体" w:hAnsi="宋体" w:cs="宋体"/>
          <w:kern w:val="0"/>
          <w:sz w:val="24"/>
          <w:lang w:val="zh-CN"/>
        </w:rPr>
      </w:pPr>
      <w:r>
        <w:rPr>
          <w:rFonts w:ascii="仿宋_GB2312" w:hAnsi="仿宋" w:eastAsia="仿宋_GB2312" w:cs="仿宋_GB2312"/>
          <w:kern w:val="0"/>
          <w:sz w:val="24"/>
          <w:highlight w:val="none"/>
          <w:lang w:val="zh-CN"/>
        </w:rPr>
        <w:t xml:space="preserve">                                           日期：  年  月   日</w:t>
      </w:r>
    </w:p>
    <w:p>
      <w:pPr>
        <w:jc w:val="center"/>
        <w:rPr>
          <w:rFonts w:hint="eastAsia"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五、符合性审查资料</w:t>
      </w:r>
    </w:p>
    <w:p>
      <w:pPr>
        <w:jc w:val="center"/>
        <w:rPr>
          <w:rFonts w:hint="eastAsia" w:ascii="宋体" w:hAnsi="宋体" w:cs="宋体"/>
          <w:b/>
          <w:kern w:val="0"/>
          <w:sz w:val="32"/>
          <w:szCs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3544" w:type="dxa"/>
            <w:noWrap w:val="0"/>
            <w:vAlign w:val="center"/>
          </w:tcPr>
          <w:p>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126" w:type="dxa"/>
            <w:noWrap w:val="0"/>
            <w:vAlign w:val="center"/>
          </w:tcPr>
          <w:p>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701" w:type="dxa"/>
            <w:noWrap w:val="0"/>
            <w:vAlign w:val="center"/>
          </w:tcPr>
          <w:p>
            <w:pPr>
              <w:snapToGrid w:val="0"/>
              <w:spacing w:line="240" w:lineRule="atLeast"/>
              <w:jc w:val="center"/>
              <w:rPr>
                <w:rFonts w:hint="eastAsia" w:ascii="宋体" w:hAnsi="宋体" w:cs="宋体"/>
                <w:b/>
                <w:sz w:val="24"/>
              </w:rPr>
            </w:pPr>
            <w:r>
              <w:rPr>
                <w:rFonts w:hint="eastAsia" w:ascii="宋体" w:hAnsi="宋体" w:cs="宋体"/>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noWrap w:val="0"/>
            <w:vAlign w:val="center"/>
          </w:tcPr>
          <w:p>
            <w:pPr>
              <w:jc w:val="center"/>
              <w:rPr>
                <w:rFonts w:hint="eastAsia" w:ascii="宋体" w:hAnsi="宋体" w:cs="宋体"/>
                <w:sz w:val="24"/>
              </w:rPr>
            </w:pPr>
            <w:r>
              <w:rPr>
                <w:rFonts w:hint="eastAsia" w:ascii="宋体" w:hAnsi="宋体" w:cs="宋体"/>
                <w:sz w:val="24"/>
              </w:rPr>
              <w:t>1</w:t>
            </w:r>
          </w:p>
        </w:tc>
        <w:tc>
          <w:tcPr>
            <w:tcW w:w="3544" w:type="dxa"/>
            <w:noWrap w:val="0"/>
            <w:vAlign w:val="center"/>
          </w:tcPr>
          <w:p>
            <w:pPr>
              <w:spacing w:line="360" w:lineRule="auto"/>
              <w:jc w:val="left"/>
              <w:rPr>
                <w:rFonts w:hint="eastAsia" w:ascii="宋体" w:hAnsi="宋体" w:cs="宋体"/>
                <w:sz w:val="24"/>
              </w:rPr>
            </w:pPr>
            <w:r>
              <w:rPr>
                <w:rFonts w:hint="eastAsia" w:ascii="宋体" w:hAnsi="宋体" w:cs="宋体"/>
                <w:sz w:val="24"/>
              </w:rPr>
              <w:t>投标文件按照招标文件要求签署、盖章。</w:t>
            </w:r>
          </w:p>
        </w:tc>
        <w:tc>
          <w:tcPr>
            <w:tcW w:w="2126" w:type="dxa"/>
            <w:noWrap w:val="0"/>
            <w:vAlign w:val="center"/>
          </w:tcPr>
          <w:p>
            <w:pPr>
              <w:rPr>
                <w:rFonts w:hint="eastAsia" w:ascii="宋体" w:hAnsi="宋体" w:cs="宋体"/>
                <w:sz w:val="24"/>
              </w:rPr>
            </w:pPr>
            <w:r>
              <w:rPr>
                <w:rFonts w:hint="eastAsia" w:ascii="宋体" w:hAnsi="宋体" w:cs="宋体"/>
                <w:sz w:val="24"/>
              </w:rPr>
              <w:t>需要使用电子签名或者签字盖章的投标文件的组成部分</w:t>
            </w:r>
          </w:p>
        </w:tc>
        <w:tc>
          <w:tcPr>
            <w:tcW w:w="1701" w:type="dxa"/>
            <w:noWrap w:val="0"/>
            <w:vAlign w:val="center"/>
          </w:tcPr>
          <w:p>
            <w:pPr>
              <w:jc w:val="center"/>
              <w:rPr>
                <w:rFonts w:hint="eastAsia" w:ascii="宋体" w:hAnsi="宋体" w:cs="宋体"/>
                <w:sz w:val="24"/>
              </w:rPr>
            </w:pPr>
            <w:r>
              <w:rPr>
                <w:rFonts w:hint="eastAsia" w:ascii="宋体" w:hAnsi="宋体" w:cs="宋体"/>
                <w:sz w:val="24"/>
              </w:rPr>
              <w:t>见投标文件</w:t>
            </w:r>
          </w:p>
          <w:p>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3544" w:type="dxa"/>
            <w:noWrap w:val="0"/>
            <w:vAlign w:val="center"/>
          </w:tcPr>
          <w:p>
            <w:pPr>
              <w:spacing w:line="360" w:lineRule="auto"/>
              <w:jc w:val="left"/>
              <w:rPr>
                <w:rFonts w:hint="eastAsia"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126" w:type="dxa"/>
            <w:noWrap w:val="0"/>
            <w:vAlign w:val="center"/>
          </w:tcPr>
          <w:p>
            <w:pPr>
              <w:rPr>
                <w:rFonts w:hint="eastAsia"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701" w:type="dxa"/>
            <w:noWrap w:val="0"/>
            <w:vAlign w:val="center"/>
          </w:tcPr>
          <w:p>
            <w:pPr>
              <w:jc w:val="center"/>
              <w:rPr>
                <w:rFonts w:hint="eastAsia" w:ascii="宋体" w:hAnsi="宋体" w:cs="宋体"/>
                <w:sz w:val="24"/>
              </w:rPr>
            </w:pPr>
            <w:r>
              <w:rPr>
                <w:rFonts w:hint="eastAsia" w:ascii="宋体" w:hAnsi="宋体" w:cs="宋体"/>
                <w:sz w:val="24"/>
              </w:rPr>
              <w:t>见投标文件</w:t>
            </w:r>
          </w:p>
          <w:p>
            <w:pPr>
              <w:pStyle w:val="3"/>
              <w:jc w:val="center"/>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noWrap w:val="0"/>
            <w:vAlign w:val="center"/>
          </w:tcPr>
          <w:p>
            <w:pPr>
              <w:jc w:val="center"/>
              <w:rPr>
                <w:rFonts w:hint="eastAsia" w:ascii="宋体" w:hAnsi="宋体" w:cs="宋体"/>
                <w:sz w:val="24"/>
              </w:rPr>
            </w:pPr>
            <w:r>
              <w:rPr>
                <w:rFonts w:hint="eastAsia" w:ascii="宋体" w:hAnsi="宋体" w:cs="宋体"/>
                <w:sz w:val="24"/>
              </w:rPr>
              <w:t>3</w:t>
            </w:r>
          </w:p>
        </w:tc>
        <w:tc>
          <w:tcPr>
            <w:tcW w:w="3544" w:type="dxa"/>
            <w:noWrap w:val="0"/>
            <w:vAlign w:val="center"/>
          </w:tcPr>
          <w:p>
            <w:pPr>
              <w:spacing w:line="360" w:lineRule="auto"/>
              <w:jc w:val="left"/>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126" w:type="dxa"/>
            <w:noWrap w:val="0"/>
            <w:vAlign w:val="center"/>
          </w:tcPr>
          <w:p>
            <w:pPr>
              <w:jc w:val="center"/>
              <w:rPr>
                <w:rFonts w:hint="eastAsia" w:ascii="宋体" w:hAnsi="宋体" w:cs="宋体"/>
                <w:sz w:val="24"/>
              </w:rPr>
            </w:pPr>
            <w:r>
              <w:rPr>
                <w:rFonts w:hint="eastAsia" w:ascii="宋体" w:hAnsi="宋体" w:cs="宋体"/>
                <w:sz w:val="24"/>
              </w:rPr>
              <w:t>投标函</w:t>
            </w:r>
          </w:p>
        </w:tc>
        <w:tc>
          <w:tcPr>
            <w:tcW w:w="1701" w:type="dxa"/>
            <w:noWrap w:val="0"/>
            <w:vAlign w:val="center"/>
          </w:tcPr>
          <w:p>
            <w:pPr>
              <w:jc w:val="center"/>
              <w:rPr>
                <w:rFonts w:hint="eastAsia" w:ascii="宋体" w:hAnsi="宋体" w:cs="宋体"/>
                <w:sz w:val="24"/>
              </w:rPr>
            </w:pPr>
            <w:r>
              <w:rPr>
                <w:rFonts w:hint="eastAsia" w:ascii="宋体" w:hAnsi="宋体" w:cs="宋体"/>
                <w:sz w:val="24"/>
              </w:rPr>
              <w:t>见投标文件</w:t>
            </w:r>
          </w:p>
          <w:p>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noWrap w:val="0"/>
            <w:vAlign w:val="center"/>
          </w:tcPr>
          <w:p>
            <w:pPr>
              <w:jc w:val="center"/>
              <w:rPr>
                <w:rFonts w:hint="eastAsia" w:ascii="宋体" w:hAnsi="宋体" w:cs="宋体"/>
                <w:sz w:val="24"/>
              </w:rPr>
            </w:pPr>
            <w:r>
              <w:rPr>
                <w:rFonts w:hint="eastAsia" w:ascii="宋体" w:hAnsi="宋体" w:cs="宋体"/>
                <w:sz w:val="24"/>
              </w:rPr>
              <w:t>4</w:t>
            </w:r>
          </w:p>
        </w:tc>
        <w:tc>
          <w:tcPr>
            <w:tcW w:w="3544" w:type="dxa"/>
            <w:noWrap w:val="0"/>
            <w:vAlign w:val="center"/>
          </w:tcPr>
          <w:p>
            <w:pPr>
              <w:spacing w:line="360" w:lineRule="auto"/>
              <w:jc w:val="left"/>
              <w:rPr>
                <w:rFonts w:hint="eastAsia" w:ascii="宋体" w:hAnsi="宋体" w:cs="宋体"/>
                <w:sz w:val="24"/>
              </w:rPr>
            </w:pPr>
            <w:r>
              <w:rPr>
                <w:rFonts w:hint="eastAsia" w:ascii="宋体" w:hAnsi="宋体" w:cs="宋体"/>
                <w:sz w:val="24"/>
              </w:rPr>
              <w:t>投标文件满足招标文件的其它实质性要求。</w:t>
            </w:r>
          </w:p>
        </w:tc>
        <w:tc>
          <w:tcPr>
            <w:tcW w:w="2126" w:type="dxa"/>
            <w:noWrap w:val="0"/>
            <w:vAlign w:val="center"/>
          </w:tcPr>
          <w:p>
            <w:pPr>
              <w:rPr>
                <w:rFonts w:hint="eastAsia" w:ascii="宋体" w:hAnsi="宋体" w:cs="宋体"/>
                <w:sz w:val="24"/>
              </w:rPr>
            </w:pPr>
            <w:r>
              <w:rPr>
                <w:rFonts w:hint="eastAsia" w:ascii="宋体" w:hAnsi="宋体" w:cs="宋体"/>
                <w:kern w:val="0"/>
                <w:sz w:val="24"/>
              </w:rPr>
              <w:t>招标文件其它实质性要求相应的材料（“▲”系指实质性要求条款，招标文件无其它实质性要求的，无需提供）</w:t>
            </w:r>
          </w:p>
        </w:tc>
        <w:tc>
          <w:tcPr>
            <w:tcW w:w="1701" w:type="dxa"/>
            <w:noWrap w:val="0"/>
            <w:vAlign w:val="center"/>
          </w:tcPr>
          <w:p>
            <w:pPr>
              <w:jc w:val="center"/>
              <w:rPr>
                <w:rFonts w:hint="eastAsia" w:ascii="宋体" w:hAnsi="宋体" w:cs="宋体"/>
              </w:rPr>
            </w:pPr>
            <w:r>
              <w:rPr>
                <w:rFonts w:hint="eastAsia" w:ascii="宋体" w:hAnsi="宋体" w:cs="宋体"/>
                <w:sz w:val="24"/>
              </w:rPr>
              <w:t>见投标文件 第</w:t>
            </w:r>
            <w:r>
              <w:rPr>
                <w:rFonts w:hint="eastAsia" w:ascii="宋体" w:hAnsi="宋体" w:cs="宋体"/>
                <w:sz w:val="24"/>
                <w:u w:val="single"/>
              </w:rPr>
              <w:t xml:space="preserve">   </w:t>
            </w:r>
            <w:r>
              <w:rPr>
                <w:rFonts w:hint="eastAsia" w:ascii="宋体" w:hAnsi="宋体" w:cs="宋体"/>
                <w:sz w:val="24"/>
              </w:rPr>
              <w:t>页</w:t>
            </w:r>
          </w:p>
        </w:tc>
      </w:tr>
    </w:tbl>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pStyle w:val="6"/>
        <w:rPr>
          <w:rFonts w:hint="eastAsia" w:hAnsi="宋体" w:cs="宋体"/>
          <w:lang w:val="en-US"/>
        </w:rPr>
      </w:pPr>
    </w:p>
    <w:p>
      <w:pPr>
        <w:pStyle w:val="6"/>
        <w:rPr>
          <w:rFonts w:hint="eastAsia" w:hAnsi="宋体" w:cs="宋体"/>
          <w:lang w:val="en-US"/>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spacing w:line="360" w:lineRule="auto"/>
        <w:jc w:val="center"/>
        <w:rPr>
          <w:rFonts w:hint="eastAsia" w:ascii="宋体" w:hAnsi="宋体" w:cs="宋体"/>
          <w:b/>
          <w:kern w:val="0"/>
          <w:sz w:val="32"/>
          <w:szCs w:val="32"/>
        </w:rPr>
      </w:pPr>
    </w:p>
    <w:p>
      <w:pPr>
        <w:spacing w:line="360" w:lineRule="auto"/>
        <w:jc w:val="center"/>
        <w:rPr>
          <w:rFonts w:hint="eastAsia" w:ascii="宋体" w:hAnsi="宋体" w:cs="宋体"/>
          <w:b/>
          <w:kern w:val="0"/>
          <w:sz w:val="32"/>
          <w:szCs w:val="32"/>
        </w:rPr>
      </w:pPr>
    </w:p>
    <w:p>
      <w:pPr>
        <w:spacing w:line="360" w:lineRule="auto"/>
        <w:jc w:val="center"/>
        <w:rPr>
          <w:rFonts w:hint="eastAsia"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1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rPr>
                <w:rFonts w:hint="eastAsia" w:cs="仿宋_GB2312" w:asciiTheme="minorEastAsia" w:hAnsiTheme="minorEastAsia" w:eastAsiaTheme="minorEastAsia"/>
                <w:b w:val="0"/>
                <w:bCs/>
                <w:color w:val="auto"/>
                <w:sz w:val="24"/>
                <w:lang w:val="en-US" w:eastAsia="zh-CN"/>
              </w:rPr>
            </w:pPr>
            <w:r>
              <w:rPr>
                <w:rFonts w:hint="eastAsia" w:ascii="宋体" w:hAnsi="宋体" w:cs="宋体"/>
                <w:b/>
                <w:color w:val="auto"/>
                <w:sz w:val="24"/>
              </w:rPr>
              <w:br w:type="page"/>
            </w:r>
            <w:r>
              <w:rPr>
                <w:rFonts w:hint="eastAsia" w:cs="仿宋_GB2312" w:asciiTheme="minorEastAsia" w:hAnsiTheme="minorEastAsia" w:eastAsiaTheme="minorEastAsia"/>
                <w:b w:val="0"/>
                <w:bCs/>
                <w:color w:val="auto"/>
                <w:sz w:val="24"/>
                <w:lang w:val="en-US" w:eastAsia="zh-CN"/>
              </w:rPr>
              <w:t>序号</w:t>
            </w:r>
          </w:p>
        </w:tc>
        <w:tc>
          <w:tcPr>
            <w:tcW w:w="5465" w:type="dxa"/>
          </w:tcPr>
          <w:p>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pPr>
              <w:snapToGrid w:val="0"/>
              <w:spacing w:line="360" w:lineRule="auto"/>
              <w:jc w:val="center"/>
              <w:rPr>
                <w:rFonts w:hint="eastAsia" w:ascii="宋体" w:hAnsi="宋体" w:cs="宋体"/>
                <w:b w:val="0"/>
                <w:bCs/>
                <w:color w:val="auto"/>
                <w:sz w:val="24"/>
                <w:vertAlign w:val="baseline"/>
              </w:rPr>
            </w:pPr>
          </w:p>
        </w:tc>
        <w:tc>
          <w:tcPr>
            <w:tcW w:w="3046" w:type="dxa"/>
          </w:tcPr>
          <w:p>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pPr>
        <w:rPr>
          <w:rFonts w:hint="eastAsia" w:ascii="宋体" w:hAnsi="宋体" w:cs="宋体"/>
          <w:b/>
          <w:sz w:val="24"/>
        </w:rPr>
      </w:pPr>
    </w:p>
    <w:p>
      <w:pPr>
        <w:pStyle w:val="6"/>
        <w:rPr>
          <w:rFonts w:hint="eastAsia"/>
        </w:rPr>
      </w:pPr>
    </w:p>
    <w:p>
      <w:pPr>
        <w:shd w:val="clear" w:color="auto" w:fill="auto"/>
        <w:jc w:val="left"/>
        <w:rPr>
          <w:rFonts w:hint="eastAsia" w:ascii="仿宋" w:hAnsi="仿宋" w:eastAsia="仿宋" w:cs="仿宋"/>
          <w:b/>
          <w:i/>
          <w:iCs/>
          <w:color w:val="auto"/>
          <w:kern w:val="0"/>
          <w:sz w:val="32"/>
          <w:szCs w:val="32"/>
          <w:highlight w:val="none"/>
        </w:rPr>
      </w:pPr>
      <w:r>
        <w:rPr>
          <w:rFonts w:hint="eastAsia" w:ascii="仿宋" w:hAnsi="仿宋" w:eastAsia="仿宋" w:cs="仿宋"/>
          <w:b/>
          <w:i/>
          <w:iCs/>
          <w:color w:val="auto"/>
          <w:sz w:val="24"/>
          <w:highlight w:val="none"/>
          <w:lang w:val="en-US" w:eastAsia="zh-CN"/>
        </w:rPr>
        <w:t>注：涉及评分所需的表格格式自拟，招标文件中如有涉及人员要求的，投标文件提供的相应格式文本中务必添加一栏“身份证号码”，要求投标人填写相应人员的身份证号码。</w:t>
      </w:r>
    </w:p>
    <w:p>
      <w:pPr>
        <w:snapToGrid w:val="0"/>
        <w:spacing w:line="360" w:lineRule="auto"/>
        <w:jc w:val="left"/>
        <w:rPr>
          <w:rFonts w:hint="eastAsia" w:ascii="宋体" w:hAnsi="宋体" w:cs="宋体"/>
          <w:b/>
          <w:sz w:val="24"/>
        </w:rPr>
      </w:pPr>
    </w:p>
    <w:p>
      <w:pPr>
        <w:spacing w:line="360" w:lineRule="auto"/>
        <w:jc w:val="center"/>
        <w:rPr>
          <w:rFonts w:hint="eastAsia" w:ascii="宋体" w:hAnsi="宋体" w:cs="宋体"/>
          <w:b/>
          <w:kern w:val="0"/>
          <w:sz w:val="32"/>
          <w:szCs w:val="32"/>
        </w:rPr>
      </w:pPr>
    </w:p>
    <w:p>
      <w:pPr>
        <w:spacing w:line="360" w:lineRule="auto"/>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97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jc w:val="center"/>
              <w:rPr>
                <w:rFonts w:hint="eastAsia" w:ascii="宋体" w:hAnsi="宋体" w:cs="宋体"/>
                <w:b/>
                <w:bCs/>
                <w:sz w:val="24"/>
              </w:rPr>
            </w:pPr>
            <w:r>
              <w:rPr>
                <w:rFonts w:hint="eastAsia" w:ascii="宋体" w:hAnsi="宋体" w:cs="宋体"/>
                <w:b/>
                <w:bCs/>
                <w:sz w:val="24"/>
              </w:rPr>
              <w:t>序号</w:t>
            </w:r>
          </w:p>
        </w:tc>
        <w:tc>
          <w:tcPr>
            <w:tcW w:w="3260" w:type="dxa"/>
            <w:noWrap w:val="0"/>
            <w:vAlign w:val="center"/>
          </w:tcPr>
          <w:p>
            <w:pPr>
              <w:jc w:val="center"/>
              <w:rPr>
                <w:rFonts w:hint="eastAsia" w:ascii="宋体" w:hAnsi="宋体" w:cs="宋体"/>
                <w:b/>
                <w:bCs/>
                <w:sz w:val="24"/>
              </w:rPr>
            </w:pPr>
            <w:r>
              <w:rPr>
                <w:rFonts w:hint="eastAsia" w:ascii="宋体" w:hAnsi="宋体" w:cs="宋体"/>
                <w:b/>
                <w:bCs/>
                <w:sz w:val="24"/>
              </w:rPr>
              <w:t>招标文件章节及具体内容</w:t>
            </w:r>
          </w:p>
        </w:tc>
        <w:tc>
          <w:tcPr>
            <w:tcW w:w="2977" w:type="dxa"/>
            <w:noWrap w:val="0"/>
            <w:vAlign w:val="center"/>
          </w:tcPr>
          <w:p>
            <w:pPr>
              <w:jc w:val="center"/>
              <w:rPr>
                <w:rFonts w:hint="eastAsia" w:ascii="宋体" w:hAnsi="宋体" w:cs="宋体"/>
                <w:b/>
                <w:bCs/>
                <w:sz w:val="24"/>
              </w:rPr>
            </w:pPr>
            <w:r>
              <w:rPr>
                <w:rFonts w:hint="eastAsia" w:ascii="宋体" w:hAnsi="宋体" w:cs="宋体"/>
                <w:b/>
                <w:bCs/>
                <w:sz w:val="24"/>
              </w:rPr>
              <w:t>投标文件章节及具体内容</w:t>
            </w:r>
          </w:p>
        </w:tc>
        <w:tc>
          <w:tcPr>
            <w:tcW w:w="1417" w:type="dxa"/>
            <w:noWrap w:val="0"/>
            <w:vAlign w:val="center"/>
          </w:tcPr>
          <w:p>
            <w:pPr>
              <w:jc w:val="center"/>
              <w:rPr>
                <w:rFonts w:hint="eastAsia"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jc w:val="center"/>
              <w:rPr>
                <w:rFonts w:hint="eastAsia" w:ascii="宋体" w:hAnsi="宋体" w:cs="宋体"/>
                <w:kern w:val="0"/>
                <w:sz w:val="24"/>
              </w:rPr>
            </w:pPr>
            <w:r>
              <w:rPr>
                <w:rFonts w:hint="eastAsia" w:ascii="宋体" w:hAnsi="宋体" w:cs="宋体"/>
                <w:kern w:val="0"/>
                <w:sz w:val="24"/>
              </w:rPr>
              <w:t>1</w:t>
            </w:r>
          </w:p>
        </w:tc>
        <w:tc>
          <w:tcPr>
            <w:tcW w:w="3260" w:type="dxa"/>
            <w:noWrap w:val="0"/>
            <w:vAlign w:val="center"/>
          </w:tcPr>
          <w:p>
            <w:pPr>
              <w:jc w:val="center"/>
              <w:rPr>
                <w:rFonts w:hint="eastAsia" w:ascii="宋体" w:hAnsi="宋体" w:cs="宋体"/>
                <w:b/>
                <w:kern w:val="0"/>
                <w:sz w:val="32"/>
                <w:szCs w:val="32"/>
              </w:rPr>
            </w:pPr>
          </w:p>
        </w:tc>
        <w:tc>
          <w:tcPr>
            <w:tcW w:w="2977" w:type="dxa"/>
            <w:noWrap w:val="0"/>
            <w:vAlign w:val="center"/>
          </w:tcPr>
          <w:p>
            <w:pPr>
              <w:jc w:val="center"/>
              <w:rPr>
                <w:rFonts w:hint="eastAsia" w:ascii="宋体" w:hAnsi="宋体" w:cs="宋体"/>
                <w:b/>
                <w:kern w:val="0"/>
                <w:sz w:val="32"/>
                <w:szCs w:val="32"/>
              </w:rPr>
            </w:pPr>
          </w:p>
        </w:tc>
        <w:tc>
          <w:tcPr>
            <w:tcW w:w="1417" w:type="dxa"/>
            <w:noWrap w:val="0"/>
            <w:vAlign w:val="center"/>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jc w:val="center"/>
              <w:rPr>
                <w:rFonts w:hint="eastAsia" w:ascii="宋体" w:hAnsi="宋体" w:cs="宋体"/>
                <w:kern w:val="0"/>
                <w:sz w:val="24"/>
              </w:rPr>
            </w:pPr>
            <w:r>
              <w:rPr>
                <w:rFonts w:hint="eastAsia" w:ascii="宋体" w:hAnsi="宋体" w:cs="宋体"/>
                <w:kern w:val="0"/>
                <w:sz w:val="24"/>
              </w:rPr>
              <w:t>2</w:t>
            </w:r>
          </w:p>
        </w:tc>
        <w:tc>
          <w:tcPr>
            <w:tcW w:w="3260" w:type="dxa"/>
            <w:noWrap w:val="0"/>
            <w:vAlign w:val="center"/>
          </w:tcPr>
          <w:p>
            <w:pPr>
              <w:jc w:val="center"/>
              <w:rPr>
                <w:rFonts w:hint="eastAsia" w:ascii="宋体" w:hAnsi="宋体" w:cs="宋体"/>
                <w:b/>
                <w:kern w:val="0"/>
                <w:sz w:val="32"/>
                <w:szCs w:val="32"/>
              </w:rPr>
            </w:pPr>
          </w:p>
        </w:tc>
        <w:tc>
          <w:tcPr>
            <w:tcW w:w="2977" w:type="dxa"/>
            <w:noWrap w:val="0"/>
            <w:vAlign w:val="center"/>
          </w:tcPr>
          <w:p>
            <w:pPr>
              <w:jc w:val="center"/>
              <w:rPr>
                <w:rFonts w:hint="eastAsia" w:ascii="宋体" w:hAnsi="宋体" w:cs="宋体"/>
                <w:b/>
                <w:kern w:val="0"/>
                <w:sz w:val="32"/>
                <w:szCs w:val="32"/>
              </w:rPr>
            </w:pPr>
          </w:p>
        </w:tc>
        <w:tc>
          <w:tcPr>
            <w:tcW w:w="1417" w:type="dxa"/>
            <w:noWrap w:val="0"/>
            <w:vAlign w:val="center"/>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jc w:val="center"/>
              <w:rPr>
                <w:rFonts w:hint="eastAsia" w:ascii="宋体" w:hAnsi="宋体" w:cs="宋体"/>
                <w:kern w:val="0"/>
                <w:sz w:val="24"/>
              </w:rPr>
            </w:pPr>
            <w:r>
              <w:rPr>
                <w:rFonts w:hint="eastAsia" w:ascii="宋体" w:hAnsi="宋体" w:cs="宋体"/>
                <w:kern w:val="0"/>
                <w:sz w:val="24"/>
              </w:rPr>
              <w:t>……</w:t>
            </w:r>
          </w:p>
        </w:tc>
        <w:tc>
          <w:tcPr>
            <w:tcW w:w="3260" w:type="dxa"/>
            <w:noWrap w:val="0"/>
            <w:vAlign w:val="center"/>
          </w:tcPr>
          <w:p>
            <w:pPr>
              <w:jc w:val="center"/>
              <w:rPr>
                <w:rFonts w:hint="eastAsia" w:ascii="宋体" w:hAnsi="宋体" w:cs="宋体"/>
                <w:b/>
                <w:kern w:val="0"/>
                <w:sz w:val="32"/>
                <w:szCs w:val="32"/>
              </w:rPr>
            </w:pPr>
          </w:p>
        </w:tc>
        <w:tc>
          <w:tcPr>
            <w:tcW w:w="2977" w:type="dxa"/>
            <w:noWrap w:val="0"/>
            <w:vAlign w:val="center"/>
          </w:tcPr>
          <w:p>
            <w:pPr>
              <w:jc w:val="center"/>
              <w:rPr>
                <w:rFonts w:hint="eastAsia" w:ascii="宋体" w:hAnsi="宋体" w:cs="宋体"/>
                <w:b/>
                <w:kern w:val="0"/>
                <w:sz w:val="32"/>
                <w:szCs w:val="32"/>
              </w:rPr>
            </w:pPr>
          </w:p>
        </w:tc>
        <w:tc>
          <w:tcPr>
            <w:tcW w:w="1417" w:type="dxa"/>
            <w:noWrap w:val="0"/>
            <w:vAlign w:val="center"/>
          </w:tcPr>
          <w:p>
            <w:pPr>
              <w:jc w:val="center"/>
              <w:rPr>
                <w:rFonts w:hint="eastAsia" w:ascii="宋体" w:hAnsi="宋体" w:cs="宋体"/>
                <w:b/>
                <w:kern w:val="0"/>
                <w:sz w:val="32"/>
                <w:szCs w:val="32"/>
              </w:rPr>
            </w:pPr>
          </w:p>
        </w:tc>
      </w:tr>
    </w:tbl>
    <w:p>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ind w:firstLine="1911" w:firstLineChars="595"/>
        <w:rPr>
          <w:rFonts w:hint="eastAsia"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hint="eastAsia" w:ascii="宋体" w:hAnsi="宋体" w:cs="宋体"/>
          <w:sz w:val="24"/>
        </w:rPr>
      </w:pPr>
    </w:p>
    <w:p>
      <w:pPr>
        <w:snapToGrid w:val="0"/>
        <w:spacing w:line="360" w:lineRule="auto"/>
        <w:rPr>
          <w:rFonts w:hint="eastAsia" w:ascii="宋体" w:hAnsi="宋体" w:cs="宋体"/>
          <w:kern w:val="0"/>
          <w:sz w:val="24"/>
        </w:rPr>
      </w:pPr>
      <w:r>
        <w:rPr>
          <w:rFonts w:hint="eastAsia" w:ascii="宋体" w:hAnsi="宋体" w:cs="宋体"/>
          <w:sz w:val="24"/>
          <w:lang w:eastAsia="zh-CN"/>
        </w:rPr>
        <w:t xml:space="preserve"> 杭州市钱塘区交通运输局</w:t>
      </w:r>
      <w:r>
        <w:rPr>
          <w:rFonts w:hint="eastAsia" w:ascii="宋体" w:hAnsi="宋体" w:cs="宋体"/>
          <w:sz w:val="24"/>
        </w:rPr>
        <w:t xml:space="preserve"> 、</w:t>
      </w:r>
      <w:r>
        <w:rPr>
          <w:rFonts w:hint="eastAsia" w:ascii="宋体" w:hAnsi="宋体" w:cs="宋体"/>
          <w:sz w:val="24"/>
          <w:lang w:eastAsia="zh-CN"/>
        </w:rPr>
        <w:t xml:space="preserve"> 五洲工程顾问集团有限公司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sectPr>
          <w:headerReference r:id="rId9" w:type="first"/>
          <w:footerReference r:id="rId11" w:type="first"/>
          <w:headerReference r:id="rId8"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cs="宋体"/>
          <w:b/>
          <w:kern w:val="0"/>
          <w:sz w:val="36"/>
          <w:szCs w:val="36"/>
        </w:rPr>
      </w:pP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hint="eastAsia" w:ascii="宋体" w:hAnsi="宋体" w:cs="宋体"/>
          <w:b/>
          <w:kern w:val="0"/>
          <w:sz w:val="36"/>
          <w:szCs w:val="36"/>
        </w:rPr>
      </w:pPr>
    </w:p>
    <w:p>
      <w:pPr>
        <w:snapToGrid w:val="0"/>
        <w:spacing w:line="360" w:lineRule="auto"/>
        <w:rPr>
          <w:rFonts w:hint="eastAsia"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pStyle w:val="29"/>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pPr>
        <w:pStyle w:val="29"/>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hint="eastAsia"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482"/>
        <w:rPr>
          <w:rFonts w:hint="eastAsia"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15"/>
        <w:tblW w:w="14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908"/>
        <w:gridCol w:w="4567"/>
        <w:gridCol w:w="1183"/>
        <w:gridCol w:w="1159"/>
        <w:gridCol w:w="1408"/>
        <w:gridCol w:w="1357"/>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7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90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456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18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计量单位</w:t>
            </w:r>
          </w:p>
        </w:tc>
        <w:tc>
          <w:tcPr>
            <w:tcW w:w="11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40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单价（元）</w:t>
            </w:r>
          </w:p>
        </w:tc>
        <w:tc>
          <w:tcPr>
            <w:tcW w:w="135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合计（元）</w:t>
            </w:r>
          </w:p>
        </w:tc>
        <w:tc>
          <w:tcPr>
            <w:tcW w:w="2020"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6"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1908" w:type="dxa"/>
            <w:vMerge w:val="restar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路况检测</w:t>
            </w:r>
          </w:p>
        </w:tc>
        <w:tc>
          <w:tcPr>
            <w:tcW w:w="4567"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000000"/>
                <w:kern w:val="0"/>
                <w:sz w:val="22"/>
                <w:szCs w:val="22"/>
                <w:u w:val="none"/>
                <w:lang w:val="en-US" w:eastAsia="zh-CN" w:bidi="ar"/>
              </w:rPr>
              <w:t>路面病害调查</w:t>
            </w:r>
          </w:p>
        </w:tc>
        <w:tc>
          <w:tcPr>
            <w:tcW w:w="1183" w:type="dxa"/>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rPr>
              <w:t>车道公里</w:t>
            </w:r>
          </w:p>
        </w:tc>
        <w:tc>
          <w:tcPr>
            <w:tcW w:w="1159"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533.614</w:t>
            </w:r>
          </w:p>
        </w:tc>
        <w:tc>
          <w:tcPr>
            <w:tcW w:w="1408" w:type="dxa"/>
            <w:vAlign w:val="center"/>
          </w:tcPr>
          <w:p>
            <w:pPr>
              <w:spacing w:line="360" w:lineRule="auto"/>
              <w:jc w:val="center"/>
              <w:rPr>
                <w:rFonts w:ascii="宋体" w:hAnsi="宋体" w:cs="宋体"/>
                <w:color w:val="auto"/>
                <w:sz w:val="24"/>
              </w:rPr>
            </w:pPr>
          </w:p>
        </w:tc>
        <w:tc>
          <w:tcPr>
            <w:tcW w:w="1357" w:type="dxa"/>
          </w:tcPr>
          <w:p>
            <w:pPr>
              <w:spacing w:line="360" w:lineRule="auto"/>
              <w:jc w:val="center"/>
              <w:rPr>
                <w:rFonts w:ascii="宋体" w:hAnsi="宋体" w:cs="宋体"/>
                <w:color w:val="auto"/>
                <w:sz w:val="24"/>
              </w:rPr>
            </w:pPr>
          </w:p>
        </w:tc>
        <w:tc>
          <w:tcPr>
            <w:tcW w:w="2020"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6" w:type="dxa"/>
            <w:vMerge w:val="continue"/>
            <w:vAlign w:val="center"/>
          </w:tcPr>
          <w:p>
            <w:pPr>
              <w:spacing w:line="360" w:lineRule="auto"/>
              <w:jc w:val="center"/>
              <w:rPr>
                <w:rFonts w:ascii="宋体" w:hAnsi="宋体" w:cs="宋体"/>
                <w:color w:val="auto"/>
                <w:szCs w:val="21"/>
              </w:rPr>
            </w:pPr>
          </w:p>
        </w:tc>
        <w:tc>
          <w:tcPr>
            <w:tcW w:w="1908" w:type="dxa"/>
            <w:vMerge w:val="continue"/>
            <w:vAlign w:val="center"/>
          </w:tcPr>
          <w:p>
            <w:pPr>
              <w:snapToGrid w:val="0"/>
              <w:spacing w:line="360" w:lineRule="auto"/>
              <w:jc w:val="center"/>
              <w:rPr>
                <w:rFonts w:ascii="宋体" w:hAnsi="宋体" w:cs="宋体"/>
                <w:color w:val="auto"/>
                <w:szCs w:val="21"/>
              </w:rPr>
            </w:pPr>
          </w:p>
        </w:tc>
        <w:tc>
          <w:tcPr>
            <w:tcW w:w="4567"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000000"/>
                <w:kern w:val="0"/>
                <w:sz w:val="22"/>
                <w:szCs w:val="22"/>
                <w:u w:val="none"/>
                <w:lang w:val="en-US" w:eastAsia="zh-CN" w:bidi="ar"/>
              </w:rPr>
              <w:t>路面平整度（激光平整度仪）</w:t>
            </w:r>
          </w:p>
        </w:tc>
        <w:tc>
          <w:tcPr>
            <w:tcW w:w="1183" w:type="dxa"/>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rPr>
              <w:t>车道公里</w:t>
            </w:r>
          </w:p>
        </w:tc>
        <w:tc>
          <w:tcPr>
            <w:tcW w:w="1159"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533.614</w:t>
            </w:r>
          </w:p>
        </w:tc>
        <w:tc>
          <w:tcPr>
            <w:tcW w:w="1408" w:type="dxa"/>
            <w:vAlign w:val="center"/>
          </w:tcPr>
          <w:p>
            <w:pPr>
              <w:spacing w:line="360" w:lineRule="auto"/>
              <w:jc w:val="center"/>
              <w:rPr>
                <w:rFonts w:ascii="宋体" w:hAnsi="宋体" w:cs="宋体"/>
                <w:color w:val="auto"/>
                <w:sz w:val="24"/>
              </w:rPr>
            </w:pPr>
          </w:p>
        </w:tc>
        <w:tc>
          <w:tcPr>
            <w:tcW w:w="1357" w:type="dxa"/>
          </w:tcPr>
          <w:p>
            <w:pPr>
              <w:spacing w:line="360" w:lineRule="auto"/>
              <w:jc w:val="center"/>
              <w:rPr>
                <w:rFonts w:ascii="宋体" w:hAnsi="宋体" w:cs="宋体"/>
                <w:color w:val="auto"/>
                <w:sz w:val="24"/>
              </w:rPr>
            </w:pPr>
          </w:p>
        </w:tc>
        <w:tc>
          <w:tcPr>
            <w:tcW w:w="2020"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6" w:type="dxa"/>
            <w:vMerge w:val="continue"/>
            <w:vAlign w:val="center"/>
          </w:tcPr>
          <w:p>
            <w:pPr>
              <w:spacing w:line="360" w:lineRule="auto"/>
              <w:jc w:val="center"/>
              <w:rPr>
                <w:rFonts w:ascii="宋体" w:hAnsi="宋体" w:cs="宋体"/>
                <w:color w:val="auto"/>
                <w:szCs w:val="21"/>
              </w:rPr>
            </w:pPr>
          </w:p>
        </w:tc>
        <w:tc>
          <w:tcPr>
            <w:tcW w:w="1908" w:type="dxa"/>
            <w:vMerge w:val="continue"/>
            <w:vAlign w:val="center"/>
          </w:tcPr>
          <w:p>
            <w:pPr>
              <w:snapToGrid w:val="0"/>
              <w:spacing w:line="360" w:lineRule="auto"/>
              <w:jc w:val="center"/>
              <w:rPr>
                <w:rFonts w:ascii="宋体" w:hAnsi="宋体" w:cs="宋体"/>
                <w:color w:val="auto"/>
                <w:szCs w:val="21"/>
              </w:rPr>
            </w:pPr>
          </w:p>
        </w:tc>
        <w:tc>
          <w:tcPr>
            <w:tcW w:w="4567"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000000"/>
                <w:kern w:val="0"/>
                <w:sz w:val="22"/>
                <w:szCs w:val="22"/>
                <w:u w:val="none"/>
                <w:lang w:val="en-US" w:eastAsia="zh-CN" w:bidi="ar"/>
              </w:rPr>
              <w:t>路面车辙及构造深度（激光车辙、构造深度仪）</w:t>
            </w:r>
          </w:p>
        </w:tc>
        <w:tc>
          <w:tcPr>
            <w:tcW w:w="1183" w:type="dxa"/>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rPr>
              <w:t>车道公里</w:t>
            </w:r>
          </w:p>
        </w:tc>
        <w:tc>
          <w:tcPr>
            <w:tcW w:w="1159"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131.468</w:t>
            </w:r>
          </w:p>
        </w:tc>
        <w:tc>
          <w:tcPr>
            <w:tcW w:w="1408" w:type="dxa"/>
            <w:vAlign w:val="center"/>
          </w:tcPr>
          <w:p>
            <w:pPr>
              <w:spacing w:line="360" w:lineRule="auto"/>
              <w:jc w:val="center"/>
              <w:rPr>
                <w:rFonts w:ascii="宋体" w:hAnsi="宋体" w:cs="宋体"/>
                <w:color w:val="auto"/>
                <w:sz w:val="24"/>
              </w:rPr>
            </w:pPr>
          </w:p>
        </w:tc>
        <w:tc>
          <w:tcPr>
            <w:tcW w:w="1357" w:type="dxa"/>
          </w:tcPr>
          <w:p>
            <w:pPr>
              <w:spacing w:line="360" w:lineRule="auto"/>
              <w:jc w:val="center"/>
              <w:rPr>
                <w:rFonts w:ascii="宋体" w:hAnsi="宋体" w:cs="宋体"/>
                <w:color w:val="auto"/>
                <w:sz w:val="24"/>
              </w:rPr>
            </w:pPr>
          </w:p>
        </w:tc>
        <w:tc>
          <w:tcPr>
            <w:tcW w:w="2020"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6" w:type="dxa"/>
            <w:vMerge w:val="continue"/>
            <w:vAlign w:val="center"/>
          </w:tcPr>
          <w:p>
            <w:pPr>
              <w:spacing w:line="360" w:lineRule="auto"/>
              <w:jc w:val="center"/>
              <w:rPr>
                <w:rFonts w:ascii="宋体" w:hAnsi="宋体" w:cs="宋体"/>
                <w:color w:val="auto"/>
                <w:szCs w:val="21"/>
              </w:rPr>
            </w:pPr>
          </w:p>
        </w:tc>
        <w:tc>
          <w:tcPr>
            <w:tcW w:w="1908" w:type="dxa"/>
            <w:vMerge w:val="continue"/>
            <w:vAlign w:val="center"/>
          </w:tcPr>
          <w:p>
            <w:pPr>
              <w:snapToGrid w:val="0"/>
              <w:spacing w:line="360" w:lineRule="auto"/>
              <w:jc w:val="center"/>
              <w:rPr>
                <w:rFonts w:ascii="宋体" w:hAnsi="宋体" w:cs="宋体"/>
                <w:color w:val="auto"/>
                <w:szCs w:val="21"/>
              </w:rPr>
            </w:pPr>
          </w:p>
        </w:tc>
        <w:tc>
          <w:tcPr>
            <w:tcW w:w="4567"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000000"/>
                <w:kern w:val="0"/>
                <w:sz w:val="22"/>
                <w:szCs w:val="22"/>
                <w:u w:val="none"/>
                <w:lang w:val="en-US" w:eastAsia="zh-CN" w:bidi="ar"/>
              </w:rPr>
              <w:t>路面摩擦系数（横向力系数测试车）</w:t>
            </w:r>
          </w:p>
        </w:tc>
        <w:tc>
          <w:tcPr>
            <w:tcW w:w="1183" w:type="dxa"/>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rPr>
              <w:t>车道公里</w:t>
            </w:r>
          </w:p>
        </w:tc>
        <w:tc>
          <w:tcPr>
            <w:tcW w:w="1159"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131.468</w:t>
            </w:r>
          </w:p>
        </w:tc>
        <w:tc>
          <w:tcPr>
            <w:tcW w:w="1408" w:type="dxa"/>
            <w:vAlign w:val="center"/>
          </w:tcPr>
          <w:p>
            <w:pPr>
              <w:spacing w:line="360" w:lineRule="auto"/>
              <w:jc w:val="center"/>
              <w:rPr>
                <w:rFonts w:ascii="宋体" w:hAnsi="宋体" w:cs="宋体"/>
                <w:color w:val="auto"/>
                <w:sz w:val="24"/>
              </w:rPr>
            </w:pPr>
          </w:p>
        </w:tc>
        <w:tc>
          <w:tcPr>
            <w:tcW w:w="1357" w:type="dxa"/>
          </w:tcPr>
          <w:p>
            <w:pPr>
              <w:spacing w:line="360" w:lineRule="auto"/>
              <w:jc w:val="center"/>
              <w:rPr>
                <w:rFonts w:ascii="宋体" w:hAnsi="宋体" w:cs="宋体"/>
                <w:color w:val="auto"/>
                <w:sz w:val="24"/>
              </w:rPr>
            </w:pPr>
          </w:p>
        </w:tc>
        <w:tc>
          <w:tcPr>
            <w:tcW w:w="2020"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6" w:type="dxa"/>
            <w:vMerge w:val="continue"/>
            <w:vAlign w:val="center"/>
          </w:tcPr>
          <w:p>
            <w:pPr>
              <w:spacing w:line="360" w:lineRule="auto"/>
              <w:jc w:val="center"/>
              <w:rPr>
                <w:rFonts w:ascii="宋体" w:hAnsi="宋体" w:cs="宋体"/>
                <w:color w:val="auto"/>
                <w:szCs w:val="21"/>
              </w:rPr>
            </w:pPr>
          </w:p>
        </w:tc>
        <w:tc>
          <w:tcPr>
            <w:tcW w:w="1908" w:type="dxa"/>
            <w:vMerge w:val="continue"/>
            <w:vAlign w:val="center"/>
          </w:tcPr>
          <w:p>
            <w:pPr>
              <w:snapToGrid w:val="0"/>
              <w:spacing w:line="360" w:lineRule="auto"/>
              <w:jc w:val="center"/>
              <w:rPr>
                <w:rFonts w:ascii="宋体" w:hAnsi="宋体" w:cs="宋体"/>
                <w:color w:val="auto"/>
                <w:szCs w:val="21"/>
              </w:rPr>
            </w:pPr>
          </w:p>
        </w:tc>
        <w:tc>
          <w:tcPr>
            <w:tcW w:w="4567"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000000"/>
                <w:kern w:val="0"/>
                <w:sz w:val="22"/>
                <w:szCs w:val="22"/>
                <w:u w:val="none"/>
                <w:lang w:val="en-US" w:eastAsia="zh-CN" w:bidi="ar"/>
              </w:rPr>
              <w:t>弯沉（自动弯沉仪）</w:t>
            </w:r>
          </w:p>
        </w:tc>
        <w:tc>
          <w:tcPr>
            <w:tcW w:w="1183" w:type="dxa"/>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rPr>
              <w:t>车道公里</w:t>
            </w:r>
          </w:p>
        </w:tc>
        <w:tc>
          <w:tcPr>
            <w:tcW w:w="1159"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533.614</w:t>
            </w:r>
          </w:p>
        </w:tc>
        <w:tc>
          <w:tcPr>
            <w:tcW w:w="1408" w:type="dxa"/>
            <w:vAlign w:val="center"/>
          </w:tcPr>
          <w:p>
            <w:pPr>
              <w:spacing w:line="360" w:lineRule="auto"/>
              <w:jc w:val="center"/>
              <w:rPr>
                <w:rFonts w:ascii="宋体" w:hAnsi="宋体" w:cs="宋体"/>
                <w:color w:val="auto"/>
                <w:sz w:val="24"/>
              </w:rPr>
            </w:pPr>
          </w:p>
        </w:tc>
        <w:tc>
          <w:tcPr>
            <w:tcW w:w="1357" w:type="dxa"/>
          </w:tcPr>
          <w:p>
            <w:pPr>
              <w:spacing w:line="360" w:lineRule="auto"/>
              <w:jc w:val="center"/>
              <w:rPr>
                <w:rFonts w:ascii="宋体" w:hAnsi="宋体" w:cs="宋体"/>
                <w:color w:val="auto"/>
                <w:sz w:val="24"/>
              </w:rPr>
            </w:pPr>
          </w:p>
        </w:tc>
        <w:tc>
          <w:tcPr>
            <w:tcW w:w="2020"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6" w:type="dxa"/>
            <w:vMerge w:val="restart"/>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1908" w:type="dxa"/>
            <w:vMerge w:val="restar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桥梁经常检查</w:t>
            </w:r>
          </w:p>
        </w:tc>
        <w:tc>
          <w:tcPr>
            <w:tcW w:w="4567"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000000"/>
                <w:kern w:val="0"/>
                <w:sz w:val="22"/>
                <w:szCs w:val="22"/>
                <w:u w:val="none"/>
                <w:lang w:val="en-US" w:eastAsia="zh-CN" w:bidi="ar"/>
              </w:rPr>
              <w:t>小桥</w:t>
            </w:r>
          </w:p>
        </w:tc>
        <w:tc>
          <w:tcPr>
            <w:tcW w:w="1183" w:type="dxa"/>
            <w:vAlign w:val="center"/>
          </w:tcPr>
          <w:p>
            <w:pPr>
              <w:widowControl/>
              <w:jc w:val="center"/>
              <w:textAlignment w:val="center"/>
              <w:rPr>
                <w:rFonts w:ascii="宋体" w:hAnsi="宋体" w:cs="宋体"/>
                <w:color w:val="auto"/>
                <w:sz w:val="24"/>
              </w:rPr>
            </w:pPr>
            <w:r>
              <w:rPr>
                <w:rFonts w:hint="eastAsia" w:ascii="宋体" w:hAnsi="宋体" w:cs="宋体"/>
                <w:color w:val="auto"/>
                <w:kern w:val="0"/>
                <w:szCs w:val="21"/>
              </w:rPr>
              <w:t>座</w:t>
            </w:r>
          </w:p>
        </w:tc>
        <w:tc>
          <w:tcPr>
            <w:tcW w:w="1159"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41</w:t>
            </w:r>
          </w:p>
        </w:tc>
        <w:tc>
          <w:tcPr>
            <w:tcW w:w="1408" w:type="dxa"/>
            <w:vAlign w:val="center"/>
          </w:tcPr>
          <w:p>
            <w:pPr>
              <w:spacing w:line="360" w:lineRule="auto"/>
              <w:jc w:val="center"/>
              <w:rPr>
                <w:rFonts w:ascii="宋体" w:hAnsi="宋体" w:cs="宋体"/>
                <w:color w:val="auto"/>
                <w:sz w:val="24"/>
              </w:rPr>
            </w:pPr>
          </w:p>
        </w:tc>
        <w:tc>
          <w:tcPr>
            <w:tcW w:w="1357" w:type="dxa"/>
          </w:tcPr>
          <w:p>
            <w:pPr>
              <w:spacing w:line="360" w:lineRule="auto"/>
              <w:jc w:val="center"/>
              <w:rPr>
                <w:rFonts w:ascii="宋体" w:hAnsi="宋体" w:cs="宋体"/>
                <w:color w:val="auto"/>
                <w:sz w:val="24"/>
              </w:rPr>
            </w:pPr>
          </w:p>
        </w:tc>
        <w:tc>
          <w:tcPr>
            <w:tcW w:w="2020"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6" w:type="dxa"/>
            <w:vMerge w:val="continue"/>
            <w:vAlign w:val="center"/>
          </w:tcPr>
          <w:p>
            <w:pPr>
              <w:spacing w:line="360" w:lineRule="auto"/>
              <w:jc w:val="center"/>
              <w:rPr>
                <w:rFonts w:hint="eastAsia" w:ascii="宋体" w:hAnsi="宋体" w:cs="宋体"/>
                <w:color w:val="auto"/>
                <w:szCs w:val="21"/>
                <w:lang w:val="en-US" w:eastAsia="zh-CN"/>
              </w:rPr>
            </w:pPr>
          </w:p>
        </w:tc>
        <w:tc>
          <w:tcPr>
            <w:tcW w:w="1908" w:type="dxa"/>
            <w:vMerge w:val="continue"/>
            <w:vAlign w:val="center"/>
          </w:tcPr>
          <w:p>
            <w:pPr>
              <w:snapToGrid w:val="0"/>
              <w:spacing w:line="360" w:lineRule="auto"/>
              <w:jc w:val="center"/>
              <w:rPr>
                <w:rFonts w:hint="eastAsia" w:ascii="宋体" w:hAnsi="宋体" w:cs="宋体"/>
                <w:color w:val="auto"/>
                <w:szCs w:val="21"/>
              </w:rPr>
            </w:pPr>
          </w:p>
        </w:tc>
        <w:tc>
          <w:tcPr>
            <w:tcW w:w="4567" w:type="dxa"/>
            <w:vAlign w:val="center"/>
          </w:tcPr>
          <w:p>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000000"/>
                <w:kern w:val="0"/>
                <w:sz w:val="22"/>
                <w:szCs w:val="22"/>
                <w:u w:val="none"/>
                <w:lang w:val="en-US" w:eastAsia="zh-CN" w:bidi="ar"/>
              </w:rPr>
              <w:t>中桥</w:t>
            </w:r>
          </w:p>
        </w:tc>
        <w:tc>
          <w:tcPr>
            <w:tcW w:w="1183"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座</w:t>
            </w:r>
          </w:p>
        </w:tc>
        <w:tc>
          <w:tcPr>
            <w:tcW w:w="1159"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67</w:t>
            </w:r>
          </w:p>
        </w:tc>
        <w:tc>
          <w:tcPr>
            <w:tcW w:w="1408" w:type="dxa"/>
            <w:vAlign w:val="center"/>
          </w:tcPr>
          <w:p>
            <w:pPr>
              <w:spacing w:line="360" w:lineRule="auto"/>
              <w:jc w:val="center"/>
              <w:rPr>
                <w:rFonts w:ascii="宋体" w:hAnsi="宋体" w:cs="宋体"/>
                <w:color w:val="auto"/>
                <w:sz w:val="24"/>
              </w:rPr>
            </w:pPr>
          </w:p>
        </w:tc>
        <w:tc>
          <w:tcPr>
            <w:tcW w:w="1357" w:type="dxa"/>
          </w:tcPr>
          <w:p>
            <w:pPr>
              <w:spacing w:line="360" w:lineRule="auto"/>
              <w:jc w:val="center"/>
              <w:rPr>
                <w:rFonts w:ascii="宋体" w:hAnsi="宋体" w:cs="宋体"/>
                <w:color w:val="auto"/>
                <w:sz w:val="24"/>
              </w:rPr>
            </w:pPr>
          </w:p>
        </w:tc>
        <w:tc>
          <w:tcPr>
            <w:tcW w:w="2020"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6" w:type="dxa"/>
            <w:vMerge w:val="continue"/>
            <w:vAlign w:val="center"/>
          </w:tcPr>
          <w:p>
            <w:pPr>
              <w:spacing w:line="360" w:lineRule="auto"/>
              <w:jc w:val="center"/>
              <w:rPr>
                <w:rFonts w:hint="eastAsia" w:ascii="宋体" w:hAnsi="宋体" w:cs="宋体"/>
                <w:color w:val="auto"/>
                <w:szCs w:val="21"/>
                <w:lang w:val="en-US" w:eastAsia="zh-CN"/>
              </w:rPr>
            </w:pPr>
          </w:p>
        </w:tc>
        <w:tc>
          <w:tcPr>
            <w:tcW w:w="1908" w:type="dxa"/>
            <w:vMerge w:val="continue"/>
            <w:vAlign w:val="center"/>
          </w:tcPr>
          <w:p>
            <w:pPr>
              <w:snapToGrid w:val="0"/>
              <w:spacing w:line="360" w:lineRule="auto"/>
              <w:jc w:val="center"/>
              <w:rPr>
                <w:rFonts w:hint="eastAsia" w:ascii="宋体" w:hAnsi="宋体" w:cs="宋体"/>
                <w:color w:val="auto"/>
                <w:szCs w:val="21"/>
              </w:rPr>
            </w:pPr>
          </w:p>
        </w:tc>
        <w:tc>
          <w:tcPr>
            <w:tcW w:w="4567" w:type="dxa"/>
            <w:vAlign w:val="center"/>
          </w:tcPr>
          <w:p>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000000"/>
                <w:kern w:val="0"/>
                <w:sz w:val="22"/>
                <w:szCs w:val="22"/>
                <w:u w:val="none"/>
                <w:lang w:val="en-US" w:eastAsia="zh-CN" w:bidi="ar"/>
              </w:rPr>
              <w:t>大桥</w:t>
            </w:r>
          </w:p>
        </w:tc>
        <w:tc>
          <w:tcPr>
            <w:tcW w:w="1183"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座</w:t>
            </w:r>
          </w:p>
        </w:tc>
        <w:tc>
          <w:tcPr>
            <w:tcW w:w="1159"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000000"/>
                <w:kern w:val="0"/>
                <w:sz w:val="22"/>
                <w:szCs w:val="22"/>
                <w:u w:val="none"/>
                <w:lang w:val="en-US" w:eastAsia="zh-CN" w:bidi="ar"/>
              </w:rPr>
              <w:t>6</w:t>
            </w:r>
          </w:p>
        </w:tc>
        <w:tc>
          <w:tcPr>
            <w:tcW w:w="1408" w:type="dxa"/>
            <w:vAlign w:val="center"/>
          </w:tcPr>
          <w:p>
            <w:pPr>
              <w:spacing w:line="360" w:lineRule="auto"/>
              <w:jc w:val="center"/>
              <w:rPr>
                <w:rFonts w:ascii="宋体" w:hAnsi="宋体" w:cs="宋体"/>
                <w:color w:val="auto"/>
                <w:sz w:val="24"/>
              </w:rPr>
            </w:pPr>
          </w:p>
        </w:tc>
        <w:tc>
          <w:tcPr>
            <w:tcW w:w="1357" w:type="dxa"/>
          </w:tcPr>
          <w:p>
            <w:pPr>
              <w:spacing w:line="360" w:lineRule="auto"/>
              <w:jc w:val="center"/>
              <w:rPr>
                <w:rFonts w:ascii="宋体" w:hAnsi="宋体" w:cs="宋体"/>
                <w:color w:val="auto"/>
                <w:sz w:val="24"/>
              </w:rPr>
            </w:pPr>
          </w:p>
        </w:tc>
        <w:tc>
          <w:tcPr>
            <w:tcW w:w="2020"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34"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5944"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434"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5944" w:type="dxa"/>
            <w:gridSpan w:val="4"/>
          </w:tcPr>
          <w:p>
            <w:pPr>
              <w:spacing w:line="360" w:lineRule="auto"/>
              <w:jc w:val="center"/>
              <w:rPr>
                <w:rFonts w:ascii="宋体" w:hAnsi="宋体" w:cs="宋体"/>
                <w:color w:val="auto"/>
                <w:sz w:val="24"/>
              </w:rPr>
            </w:pPr>
          </w:p>
        </w:tc>
      </w:tr>
    </w:tbl>
    <w:p>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pPr>
        <w:numPr>
          <w:ilvl w:val="0"/>
          <w:numId w:val="5"/>
        </w:num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lang w:val="en-US" w:eastAsia="zh-CN"/>
        </w:rPr>
        <w:t>否则</w:t>
      </w:r>
      <w:r>
        <w:rPr>
          <w:rFonts w:hint="eastAsia" w:ascii="宋体" w:hAnsi="宋体" w:cs="宋体"/>
          <w:b/>
          <w:kern w:val="0"/>
          <w:sz w:val="24"/>
        </w:rPr>
        <w:t>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hint="eastAsia" w:ascii="宋体" w:hAnsi="宋体" w:cs="宋体"/>
          <w:b/>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left"/>
        <w:rPr>
          <w:rFonts w:hint="eastAsia" w:ascii="仿宋" w:hAnsi="仿宋" w:eastAsia="仿宋" w:cs="仿宋"/>
          <w:b/>
          <w:bCs/>
          <w:i/>
          <w:iCs/>
          <w:color w:val="auto"/>
          <w:kern w:val="0"/>
          <w:sz w:val="24"/>
          <w:szCs w:val="22"/>
          <w:highlight w:val="none"/>
          <w:u w:val="single"/>
          <w:lang w:val="en-US" w:eastAsia="zh-CN"/>
        </w:rPr>
      </w:pPr>
      <w:r>
        <w:rPr>
          <w:rFonts w:hint="eastAsia" w:ascii="仿宋" w:hAnsi="仿宋" w:eastAsia="仿宋" w:cs="仿宋"/>
          <w:b/>
          <w:bCs/>
          <w:i/>
          <w:iCs/>
          <w:color w:val="auto"/>
          <w:kern w:val="0"/>
          <w:sz w:val="24"/>
          <w:szCs w:val="22"/>
          <w:highlight w:val="none"/>
          <w:u w:val="single"/>
          <w:lang w:val="en-US" w:eastAsia="zh-CN"/>
        </w:rPr>
        <w:t>5、特别说明：▲供应商报价低于项目预算50%的，应当在报价文件中详细阐述不影响产品质量或者诚信履约的具体原因，未做阐述说明的，投标无效。</w:t>
      </w:r>
    </w:p>
    <w:p>
      <w:pPr>
        <w:snapToGrid w:val="0"/>
        <w:spacing w:line="360" w:lineRule="auto"/>
        <w:ind w:firstLine="640" w:firstLineChars="200"/>
        <w:jc w:val="left"/>
        <w:rPr>
          <w:rFonts w:hint="eastAsia" w:ascii="宋体" w:hAnsi="宋体" w:cs="宋体"/>
          <w:sz w:val="32"/>
          <w:szCs w:val="32"/>
        </w:rPr>
      </w:pPr>
    </w:p>
    <w:p>
      <w:pPr>
        <w:pStyle w:val="6"/>
        <w:spacing w:before="79" w:line="468" w:lineRule="exact"/>
        <w:ind w:left="8895"/>
        <w:rPr>
          <w:rFonts w:hAnsi="宋体" w:cs="宋体"/>
          <w:color w:val="auto"/>
          <w:szCs w:val="24"/>
        </w:rPr>
      </w:pPr>
      <w:r>
        <w:rPr>
          <w:rFonts w:hint="eastAsia" w:hAnsi="宋体" w:cs="宋体"/>
          <w:color w:val="auto"/>
          <w:spacing w:val="-2"/>
          <w:position w:val="17"/>
          <w:szCs w:val="24"/>
        </w:rPr>
        <w:t>投标人名称（电子签名</w:t>
      </w:r>
      <w:r>
        <w:rPr>
          <w:rFonts w:hint="eastAsia" w:hAnsi="宋体" w:cs="宋体"/>
          <w:color w:val="auto"/>
          <w:spacing w:val="1"/>
          <w:position w:val="17"/>
          <w:szCs w:val="24"/>
        </w:rPr>
        <w:t>）：</w:t>
      </w:r>
    </w:p>
    <w:p>
      <w:pPr>
        <w:pStyle w:val="6"/>
        <w:jc w:val="right"/>
        <w:rPr>
          <w:rFonts w:hint="eastAsia" w:ascii="宋体" w:hAnsi="宋体" w:cs="宋体"/>
          <w:sz w:val="32"/>
          <w:szCs w:val="32"/>
        </w:rPr>
      </w:pPr>
      <w:r>
        <w:rPr>
          <w:rFonts w:hint="eastAsia" w:hAnsi="宋体" w:cs="宋体"/>
          <w:color w:val="auto"/>
          <w:spacing w:val="-17"/>
          <w:szCs w:val="24"/>
        </w:rPr>
        <w:t xml:space="preserve">日期： </w:t>
      </w:r>
      <w:r>
        <w:rPr>
          <w:rFonts w:hint="eastAsia" w:hAnsi="宋体" w:cs="宋体"/>
          <w:color w:val="auto"/>
          <w:szCs w:val="24"/>
          <w:u w:val="single"/>
        </w:rPr>
        <w:t xml:space="preserve">    </w:t>
      </w:r>
      <w:r>
        <w:rPr>
          <w:rFonts w:hint="eastAsia" w:hAnsi="宋体" w:cs="宋体"/>
          <w:color w:val="auto"/>
          <w:spacing w:val="-96"/>
          <w:szCs w:val="24"/>
        </w:rPr>
        <w:t xml:space="preserve"> </w:t>
      </w:r>
      <w:r>
        <w:rPr>
          <w:rFonts w:hint="eastAsia" w:hAnsi="宋体" w:cs="宋体"/>
          <w:color w:val="auto"/>
          <w:spacing w:val="-17"/>
          <w:szCs w:val="24"/>
        </w:rPr>
        <w:t>年</w:t>
      </w:r>
      <w:r>
        <w:rPr>
          <w:rFonts w:hint="eastAsia" w:hAnsi="宋体" w:cs="宋体"/>
          <w:color w:val="auto"/>
          <w:spacing w:val="59"/>
          <w:szCs w:val="24"/>
          <w:u w:val="single"/>
        </w:rPr>
        <w:t xml:space="preserve">  </w:t>
      </w:r>
      <w:r>
        <w:rPr>
          <w:rFonts w:hint="eastAsia" w:hAnsi="宋体" w:cs="宋体"/>
          <w:color w:val="auto"/>
          <w:spacing w:val="-91"/>
          <w:szCs w:val="24"/>
        </w:rPr>
        <w:t xml:space="preserve"> </w:t>
      </w:r>
      <w:r>
        <w:rPr>
          <w:rFonts w:hint="eastAsia" w:hAnsi="宋体" w:cs="宋体"/>
          <w:color w:val="auto"/>
          <w:spacing w:val="-17"/>
          <w:szCs w:val="24"/>
        </w:rPr>
        <w:t>月</w:t>
      </w:r>
      <w:r>
        <w:rPr>
          <w:rFonts w:hint="eastAsia" w:hAnsi="宋体" w:cs="宋体"/>
          <w:color w:val="auto"/>
          <w:spacing w:val="59"/>
          <w:szCs w:val="24"/>
          <w:u w:val="single"/>
        </w:rPr>
        <w:t xml:space="preserve">  </w:t>
      </w:r>
      <w:r>
        <w:rPr>
          <w:rFonts w:hint="eastAsia" w:hAnsi="宋体" w:cs="宋体"/>
          <w:color w:val="auto"/>
          <w:spacing w:val="-52"/>
          <w:szCs w:val="24"/>
        </w:rPr>
        <w:t xml:space="preserve"> </w:t>
      </w:r>
      <w:r>
        <w:rPr>
          <w:rFonts w:hint="eastAsia" w:hAnsi="宋体" w:cs="宋体"/>
          <w:color w:val="auto"/>
          <w:spacing w:val="-17"/>
          <w:szCs w:val="24"/>
        </w:rPr>
        <w:t>日</w:t>
      </w:r>
    </w:p>
    <w:p>
      <w:pPr>
        <w:pStyle w:val="29"/>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rPr>
          <w:rFonts w:hint="eastAsia" w:ascii="宋体" w:hAnsi="宋体" w:cs="宋体"/>
          <w:b/>
          <w:sz w:val="32"/>
          <w:szCs w:val="32"/>
        </w:rPr>
      </w:pPr>
      <w:r>
        <w:rPr>
          <w:rFonts w:hint="eastAsia" w:ascii="宋体" w:hAnsi="宋体" w:cs="宋体"/>
          <w:b/>
          <w:sz w:val="32"/>
          <w:szCs w:val="32"/>
        </w:rPr>
        <w:t>关于钱塘区政府采购支持中小企业信用融资相关事项通知</w:t>
      </w:r>
    </w:p>
    <w:p>
      <w:pPr>
        <w:spacing w:line="360" w:lineRule="auto"/>
        <w:jc w:val="center"/>
        <w:rPr>
          <w:rFonts w:hint="eastAsia" w:ascii="宋体" w:hAnsi="宋体" w:cs="宋体"/>
          <w:b/>
          <w:sz w:val="24"/>
        </w:rPr>
      </w:pP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宋体" w:hAnsi="宋体" w:cs="宋体"/>
          <w:b/>
          <w:bCs/>
          <w:kern w:val="0"/>
          <w:sz w:val="24"/>
          <w:lang w:val="zh-CN"/>
        </w:rPr>
      </w:pPr>
      <w:r>
        <w:rPr>
          <w:rFonts w:hint="eastAsia" w:ascii="宋体" w:hAnsi="宋体" w:cs="宋体"/>
          <w:b/>
          <w:bCs/>
          <w:kern w:val="0"/>
          <w:sz w:val="24"/>
          <w:lang w:val="zh-CN"/>
        </w:rPr>
        <w:t>一、适用对象</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在浙江“政采云”平台注册入库，并取得钱塘区政府采购合同的中小企业供应商。</w:t>
      </w:r>
    </w:p>
    <w:p>
      <w:pPr>
        <w:snapToGrid w:val="0"/>
        <w:spacing w:line="360" w:lineRule="auto"/>
        <w:ind w:firstLine="482" w:firstLineChars="200"/>
        <w:jc w:val="left"/>
        <w:rPr>
          <w:rFonts w:hint="eastAsia" w:ascii="宋体" w:hAnsi="宋体" w:cs="宋体"/>
          <w:b/>
          <w:bCs/>
          <w:kern w:val="0"/>
          <w:sz w:val="24"/>
          <w:lang w:val="zh-CN"/>
        </w:rPr>
      </w:pPr>
      <w:r>
        <w:rPr>
          <w:rFonts w:hint="eastAsia" w:ascii="宋体" w:hAnsi="宋体" w:cs="宋体"/>
          <w:b/>
          <w:bCs/>
          <w:kern w:val="0"/>
          <w:sz w:val="24"/>
          <w:lang w:val="zh-CN"/>
        </w:rPr>
        <w:t>二、相关信息获取方式</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宋体" w:hAnsi="宋体" w:cs="宋体"/>
          <w:b/>
          <w:bCs/>
          <w:kern w:val="0"/>
          <w:sz w:val="24"/>
          <w:lang w:val="zh-CN"/>
        </w:rPr>
      </w:pPr>
      <w:r>
        <w:rPr>
          <w:rFonts w:hint="eastAsia" w:ascii="宋体" w:hAnsi="宋体" w:cs="宋体"/>
          <w:b/>
          <w:bCs/>
          <w:kern w:val="0"/>
          <w:sz w:val="24"/>
          <w:lang w:val="zh-CN"/>
        </w:rPr>
        <w:t>三、申请方式和步骤</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2、中标后，供应商应与采购单位或者采购代理机构及时联系，告知融资需求；</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3、相关合作银行联系并审核供应商及相关中标信息，办理相关融资事宜；</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、采购单位应及时将信用融资合同提交备案。</w:t>
      </w:r>
    </w:p>
    <w:p>
      <w:pPr>
        <w:snapToGrid w:val="0"/>
        <w:spacing w:line="360" w:lineRule="auto"/>
        <w:ind w:firstLine="482" w:firstLineChars="200"/>
        <w:jc w:val="left"/>
        <w:rPr>
          <w:rFonts w:hint="eastAsia" w:ascii="宋体" w:hAnsi="宋体" w:cs="宋体"/>
          <w:b/>
          <w:bCs/>
          <w:kern w:val="0"/>
          <w:sz w:val="24"/>
          <w:lang w:val="zh-CN"/>
        </w:rPr>
      </w:pPr>
      <w:r>
        <w:rPr>
          <w:rFonts w:hint="eastAsia" w:ascii="宋体" w:hAnsi="宋体" w:cs="宋体"/>
          <w:b/>
          <w:bCs/>
          <w:kern w:val="0"/>
          <w:sz w:val="24"/>
          <w:lang w:val="zh-CN"/>
        </w:rPr>
        <w:t>四、注意事项</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宋体" w:hAnsi="宋体" w:cs="宋体"/>
          <w:b/>
          <w:bCs/>
          <w:kern w:val="0"/>
          <w:sz w:val="24"/>
          <w:lang w:val="zh-CN"/>
        </w:rPr>
      </w:pPr>
      <w:r>
        <w:rPr>
          <w:rFonts w:hint="eastAsia" w:ascii="宋体" w:hAnsi="宋体" w:cs="宋体"/>
          <w:b/>
          <w:bCs/>
          <w:kern w:val="0"/>
          <w:sz w:val="24"/>
          <w:lang w:val="zh-CN"/>
        </w:rPr>
        <w:t>五、合作银行及联系方式</w:t>
      </w:r>
    </w:p>
    <w:tbl>
      <w:tblPr>
        <w:tblStyle w:val="15"/>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序号</w:t>
            </w:r>
          </w:p>
        </w:tc>
        <w:tc>
          <w:tcPr>
            <w:tcW w:w="3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银行</w:t>
            </w: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联系人</w:t>
            </w:r>
          </w:p>
        </w:tc>
        <w:tc>
          <w:tcPr>
            <w:tcW w:w="32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1</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建设银行钱塘支行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张苏航</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2</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中信银行开发支行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左劼</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3</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民生银行下沙支行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吕刚</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4</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杭州银行钱塘支行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费莎</w:t>
            </w:r>
          </w:p>
          <w:p>
            <w:pPr>
              <w:widowControl/>
              <w:jc w:val="center"/>
              <w:rPr>
                <w:rFonts w:hint="eastAsia" w:ascii="宋体" w:hAnsi="宋体" w:cs="宋体"/>
                <w:kern w:val="0"/>
                <w:sz w:val="24"/>
              </w:rPr>
            </w:pPr>
            <w:r>
              <w:rPr>
                <w:rFonts w:hint="eastAsia" w:ascii="宋体" w:hAnsi="宋体" w:cs="宋体"/>
                <w:kern w:val="0"/>
                <w:sz w:val="24"/>
              </w:rPr>
              <w:t>严培蓓</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13388617781</w:t>
            </w:r>
          </w:p>
          <w:p>
            <w:pPr>
              <w:widowControl/>
              <w:jc w:val="center"/>
              <w:rPr>
                <w:rFonts w:hint="eastAsia" w:ascii="宋体" w:hAnsi="宋体" w:cs="宋体"/>
                <w:kern w:val="0"/>
                <w:sz w:val="24"/>
              </w:rPr>
            </w:pPr>
            <w:r>
              <w:rPr>
                <w:rFonts w:hint="eastAsia" w:ascii="宋体" w:hAnsi="宋体" w:cs="宋体"/>
                <w:kern w:val="0"/>
                <w:sz w:val="24"/>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5</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兴业银行开发区支行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丁萍</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6</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中国银行钱塘支行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沈振华</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7</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工商银行开发区支行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李燕珍</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8</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宁波银行开发区支行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贾磊</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9</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杭州联合银行下沙支行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王宁</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10</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农业银行钱塘支行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王安东</w:t>
            </w:r>
          </w:p>
          <w:p>
            <w:pPr>
              <w:widowControl/>
              <w:jc w:val="center"/>
              <w:rPr>
                <w:rFonts w:hint="eastAsia" w:ascii="宋体" w:hAnsi="宋体" w:cs="宋体"/>
                <w:kern w:val="0"/>
                <w:sz w:val="24"/>
              </w:rPr>
            </w:pPr>
            <w:r>
              <w:rPr>
                <w:rFonts w:hint="eastAsia" w:ascii="宋体" w:hAnsi="宋体" w:cs="宋体"/>
                <w:kern w:val="0"/>
                <w:sz w:val="24"/>
              </w:rPr>
              <w:t>方若愚</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15158025713</w:t>
            </w:r>
          </w:p>
          <w:p>
            <w:pPr>
              <w:widowControl/>
              <w:jc w:val="center"/>
              <w:rPr>
                <w:rFonts w:hint="eastAsia" w:ascii="宋体" w:hAnsi="宋体" w:cs="宋体"/>
                <w:sz w:val="24"/>
              </w:rPr>
            </w:pPr>
            <w:r>
              <w:rPr>
                <w:rFonts w:hint="eastAsia" w:ascii="宋体" w:hAnsi="宋体" w:cs="宋体"/>
                <w:kern w:val="0"/>
                <w:sz w:val="24"/>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11</w:t>
            </w:r>
          </w:p>
        </w:tc>
        <w:tc>
          <w:tcPr>
            <w:tcW w:w="3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浙商银行杭州钱塘支行</w:t>
            </w: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徐伟刚</w:t>
            </w:r>
          </w:p>
        </w:tc>
        <w:tc>
          <w:tcPr>
            <w:tcW w:w="32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12</w:t>
            </w:r>
          </w:p>
        </w:tc>
        <w:tc>
          <w:tcPr>
            <w:tcW w:w="3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浦发银行</w:t>
            </w: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林云鹏</w:t>
            </w:r>
          </w:p>
        </w:tc>
        <w:tc>
          <w:tcPr>
            <w:tcW w:w="32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18805812679</w:t>
            </w:r>
          </w:p>
        </w:tc>
      </w:tr>
    </w:tbl>
    <w:p>
      <w:pPr>
        <w:spacing w:line="360" w:lineRule="auto"/>
        <w:ind w:left="5060" w:hanging="5060" w:hangingChars="2100"/>
        <w:rPr>
          <w:rFonts w:hint="eastAsia" w:ascii="宋体" w:hAnsi="宋体" w:cs="宋体"/>
          <w:b/>
          <w:bCs/>
          <w:kern w:val="0"/>
          <w:sz w:val="24"/>
        </w:rPr>
      </w:pPr>
    </w:p>
    <w:p>
      <w:pPr>
        <w:spacing w:line="360" w:lineRule="auto"/>
        <w:jc w:val="center"/>
        <w:rPr>
          <w:rFonts w:hint="eastAsia" w:ascii="宋体" w:hAnsi="宋体" w:cs="宋体"/>
          <w:b/>
          <w:spacing w:val="6"/>
          <w:sz w:val="44"/>
          <w:szCs w:val="44"/>
        </w:rPr>
      </w:pPr>
      <w:bookmarkStart w:id="423" w:name="_Toc465665161"/>
      <w:r>
        <w:rPr>
          <w:rFonts w:hint="eastAsia" w:ascii="宋体" w:hAnsi="宋体" w:cs="宋体"/>
          <w:b/>
          <w:spacing w:val="6"/>
          <w:sz w:val="44"/>
          <w:szCs w:val="44"/>
        </w:rPr>
        <w:br w:type="page"/>
      </w:r>
      <w:r>
        <w:rPr>
          <w:rFonts w:hint="eastAsia" w:ascii="宋体" w:hAnsi="宋体" w:cs="宋体"/>
          <w:b/>
          <w:spacing w:val="6"/>
          <w:sz w:val="44"/>
          <w:szCs w:val="44"/>
        </w:rPr>
        <w:t>附件</w:t>
      </w:r>
      <w:bookmarkEnd w:id="423"/>
    </w:p>
    <w:p>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hint="eastAsia" w:ascii="宋体" w:hAnsi="宋体" w:cs="宋体"/>
          <w:b/>
          <w:spacing w:val="6"/>
          <w:sz w:val="32"/>
          <w:szCs w:val="32"/>
        </w:rPr>
      </w:pPr>
      <w:bookmarkStart w:id="424" w:name="OLE_LINK14"/>
      <w:bookmarkStart w:id="425" w:name="OLE_LINK13"/>
      <w:r>
        <w:rPr>
          <w:rFonts w:hint="eastAsia" w:ascii="宋体" w:hAnsi="宋体" w:cs="宋体"/>
          <w:b/>
          <w:spacing w:val="6"/>
          <w:sz w:val="32"/>
          <w:szCs w:val="32"/>
        </w:rPr>
        <w:t>残疾人福利性单位声明函</w:t>
      </w:r>
    </w:p>
    <w:bookmarkEnd w:id="424"/>
    <w:bookmarkEnd w:id="425"/>
    <w:p>
      <w:pPr>
        <w:spacing w:line="360" w:lineRule="auto"/>
        <w:rPr>
          <w:rFonts w:hint="eastAsia" w:ascii="宋体" w:hAnsi="宋体" w:cs="宋体"/>
          <w:b/>
          <w:spacing w:val="6"/>
          <w:sz w:val="30"/>
          <w:szCs w:val="30"/>
        </w:rPr>
      </w:pPr>
    </w:p>
    <w:p>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tabs>
          <w:tab w:val="left" w:pos="4860"/>
        </w:tabs>
        <w:spacing w:line="360" w:lineRule="auto"/>
        <w:ind w:right="1560" w:firstLine="480" w:firstLineChars="200"/>
        <w:jc w:val="right"/>
        <w:rPr>
          <w:rFonts w:hint="eastAsia"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right"/>
        <w:rPr>
          <w:rFonts w:hint="eastAsia" w:ascii="宋体" w:hAnsi="宋体" w:cs="宋体"/>
          <w:sz w:val="24"/>
        </w:rPr>
      </w:pPr>
      <w:r>
        <w:rPr>
          <w:rFonts w:hint="eastAsia" w:ascii="宋体" w:hAnsi="宋体" w:cs="宋体"/>
          <w:sz w:val="24"/>
        </w:rPr>
        <w:t xml:space="preserve">       日  期：</w:t>
      </w:r>
    </w:p>
    <w:p>
      <w:pPr>
        <w:spacing w:line="360" w:lineRule="auto"/>
        <w:ind w:firstLine="480" w:firstLineChars="200"/>
        <w:rPr>
          <w:rFonts w:hint="eastAsia" w:ascii="宋体" w:hAnsi="宋体" w:cs="宋体"/>
          <w:sz w:val="24"/>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pStyle w:val="6"/>
        <w:rPr>
          <w:rFonts w:hint="eastAsia" w:hAnsi="宋体" w:cs="宋体"/>
          <w:lang w:val="en-US"/>
        </w:rPr>
      </w:pPr>
    </w:p>
    <w:p>
      <w:pPr>
        <w:pStyle w:val="6"/>
        <w:rPr>
          <w:rFonts w:hint="eastAsia" w:hAnsi="宋体" w:cs="宋体"/>
          <w:lang w:val="en-US"/>
        </w:rPr>
      </w:pPr>
    </w:p>
    <w:p>
      <w:pPr>
        <w:pStyle w:val="6"/>
        <w:rPr>
          <w:rFonts w:hint="eastAsia" w:hAnsi="宋体" w:cs="宋体"/>
          <w:lang w:val="en-US"/>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pPr>
        <w:pStyle w:val="6"/>
        <w:rPr>
          <w:rFonts w:hint="eastAsia" w:hAnsi="宋体" w:cs="宋体"/>
          <w:lang w:val="en-US"/>
        </w:rPr>
      </w:pP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pPr>
        <w:snapToGrid w:val="0"/>
        <w:spacing w:line="360" w:lineRule="auto"/>
        <w:rPr>
          <w:rFonts w:hint="eastAsia" w:ascii="宋体" w:hAnsi="宋体" w:cs="宋体"/>
          <w:sz w:val="24"/>
          <w:u w:val="dotted"/>
        </w:rPr>
      </w:pPr>
      <w:r>
        <w:rPr>
          <w:rFonts w:hint="eastAsia" w:ascii="宋体" w:hAnsi="宋体" w:cs="宋体"/>
          <w:sz w:val="24"/>
        </w:rPr>
        <w:t>质疑供应商：</w:t>
      </w:r>
    </w:p>
    <w:p>
      <w:pPr>
        <w:snapToGrid w:val="0"/>
        <w:spacing w:line="360" w:lineRule="auto"/>
        <w:rPr>
          <w:rFonts w:hint="eastAsia" w:ascii="宋体" w:hAnsi="宋体" w:cs="宋体"/>
          <w:sz w:val="24"/>
        </w:rPr>
      </w:pPr>
      <w:r>
        <w:rPr>
          <w:rFonts w:hint="eastAsia" w:ascii="宋体" w:hAnsi="宋体" w:cs="宋体"/>
          <w:sz w:val="24"/>
        </w:rPr>
        <w:t>地址：邮编：</w:t>
      </w:r>
    </w:p>
    <w:p>
      <w:pPr>
        <w:snapToGrid w:val="0"/>
        <w:spacing w:line="360" w:lineRule="auto"/>
        <w:rPr>
          <w:rFonts w:hint="eastAsia" w:ascii="宋体" w:hAnsi="宋体" w:cs="宋体"/>
          <w:sz w:val="24"/>
        </w:rPr>
      </w:pPr>
      <w:r>
        <w:rPr>
          <w:rFonts w:hint="eastAsia" w:ascii="宋体" w:hAnsi="宋体" w:cs="宋体"/>
          <w:sz w:val="24"/>
        </w:rPr>
        <w:t>联系人：联系电话：</w:t>
      </w:r>
    </w:p>
    <w:p>
      <w:pPr>
        <w:snapToGrid w:val="0"/>
        <w:spacing w:line="360" w:lineRule="auto"/>
        <w:rPr>
          <w:rFonts w:hint="eastAsia" w:ascii="宋体" w:hAnsi="宋体" w:cs="宋体"/>
          <w:sz w:val="24"/>
          <w:u w:val="dotted"/>
        </w:rPr>
      </w:pPr>
      <w:r>
        <w:rPr>
          <w:rFonts w:hint="eastAsia" w:ascii="宋体" w:hAnsi="宋体" w:cs="宋体"/>
          <w:sz w:val="24"/>
        </w:rPr>
        <w:t>授权代表：</w:t>
      </w:r>
    </w:p>
    <w:p>
      <w:pPr>
        <w:snapToGrid w:val="0"/>
        <w:spacing w:line="360" w:lineRule="auto"/>
        <w:rPr>
          <w:rFonts w:hint="eastAsia" w:ascii="宋体" w:hAnsi="宋体" w:cs="宋体"/>
          <w:sz w:val="24"/>
        </w:rPr>
      </w:pPr>
      <w:r>
        <w:rPr>
          <w:rFonts w:hint="eastAsia" w:ascii="宋体" w:hAnsi="宋体" w:cs="宋体"/>
          <w:sz w:val="24"/>
        </w:rPr>
        <w:t>联系电话：</w:t>
      </w:r>
    </w:p>
    <w:p>
      <w:pPr>
        <w:snapToGrid w:val="0"/>
        <w:spacing w:line="360" w:lineRule="auto"/>
        <w:rPr>
          <w:rFonts w:hint="eastAsia" w:ascii="宋体" w:hAnsi="宋体" w:cs="宋体"/>
          <w:sz w:val="24"/>
        </w:rPr>
      </w:pPr>
      <w:r>
        <w:rPr>
          <w:rFonts w:hint="eastAsia" w:ascii="宋体" w:hAnsi="宋体" w:cs="宋体"/>
          <w:sz w:val="24"/>
        </w:rPr>
        <w:t>地址：邮编：</w:t>
      </w:r>
    </w:p>
    <w:p>
      <w:pPr>
        <w:snapToGrid w:val="0"/>
        <w:spacing w:line="360" w:lineRule="auto"/>
        <w:rPr>
          <w:rFonts w:hint="eastAsia" w:ascii="宋体" w:hAnsi="宋体" w:cs="宋体"/>
          <w:bCs/>
          <w:sz w:val="24"/>
        </w:rPr>
      </w:pPr>
      <w:r>
        <w:rPr>
          <w:rFonts w:hint="eastAsia" w:ascii="宋体" w:hAnsi="宋体" w:cs="宋体"/>
          <w:bCs/>
          <w:sz w:val="24"/>
        </w:rPr>
        <w:t>二、质疑项目基本情况</w:t>
      </w:r>
    </w:p>
    <w:p>
      <w:pPr>
        <w:snapToGrid w:val="0"/>
        <w:spacing w:line="360" w:lineRule="auto"/>
        <w:rPr>
          <w:rFonts w:hint="eastAsia" w:ascii="宋体" w:hAnsi="宋体" w:cs="宋体"/>
          <w:sz w:val="24"/>
        </w:rPr>
      </w:pPr>
      <w:r>
        <w:rPr>
          <w:rFonts w:hint="eastAsia" w:ascii="宋体" w:hAnsi="宋体" w:cs="宋体"/>
          <w:sz w:val="24"/>
        </w:rPr>
        <w:t>质疑项目的名称：</w:t>
      </w:r>
    </w:p>
    <w:p>
      <w:pPr>
        <w:snapToGrid w:val="0"/>
        <w:spacing w:line="360" w:lineRule="auto"/>
        <w:rPr>
          <w:rFonts w:hint="eastAsia" w:ascii="宋体" w:hAnsi="宋体" w:cs="宋体"/>
          <w:sz w:val="24"/>
        </w:rPr>
      </w:pPr>
      <w:r>
        <w:rPr>
          <w:rFonts w:hint="eastAsia" w:ascii="宋体" w:hAnsi="宋体" w:cs="宋体"/>
          <w:sz w:val="24"/>
        </w:rPr>
        <w:t>质疑项目的编号：包号：</w:t>
      </w:r>
    </w:p>
    <w:p>
      <w:pPr>
        <w:snapToGrid w:val="0"/>
        <w:spacing w:line="360" w:lineRule="auto"/>
        <w:rPr>
          <w:rFonts w:hint="eastAsia" w:ascii="宋体" w:hAnsi="宋体" w:cs="宋体"/>
          <w:sz w:val="24"/>
          <w:u w:val="dotted"/>
        </w:rPr>
      </w:pPr>
      <w:r>
        <w:rPr>
          <w:rFonts w:hint="eastAsia" w:ascii="宋体" w:hAnsi="宋体" w:cs="宋体"/>
          <w:sz w:val="24"/>
        </w:rPr>
        <w:t>采购人名称：</w:t>
      </w:r>
    </w:p>
    <w:p>
      <w:pPr>
        <w:snapToGrid w:val="0"/>
        <w:spacing w:line="360" w:lineRule="auto"/>
        <w:rPr>
          <w:rFonts w:hint="eastAsia" w:ascii="宋体" w:hAnsi="宋体" w:cs="宋体"/>
          <w:sz w:val="24"/>
        </w:rPr>
      </w:pPr>
      <w:r>
        <w:rPr>
          <w:rFonts w:hint="eastAsia" w:ascii="宋体" w:hAnsi="宋体" w:cs="宋体"/>
          <w:sz w:val="24"/>
        </w:rPr>
        <w:t>采购文件获取日期：</w:t>
      </w:r>
    </w:p>
    <w:p>
      <w:pPr>
        <w:snapToGrid w:val="0"/>
        <w:spacing w:line="360" w:lineRule="auto"/>
        <w:rPr>
          <w:rFonts w:hint="eastAsia" w:ascii="宋体" w:hAnsi="宋体" w:cs="宋体"/>
          <w:bCs/>
          <w:sz w:val="24"/>
        </w:rPr>
      </w:pPr>
      <w:r>
        <w:rPr>
          <w:rFonts w:hint="eastAsia" w:ascii="宋体" w:hAnsi="宋体" w:cs="宋体"/>
          <w:bCs/>
          <w:sz w:val="24"/>
        </w:rPr>
        <w:t>三、质疑事项具体内容</w:t>
      </w:r>
    </w:p>
    <w:p>
      <w:pPr>
        <w:snapToGrid w:val="0"/>
        <w:spacing w:line="360" w:lineRule="auto"/>
        <w:rPr>
          <w:rFonts w:hint="eastAsia" w:ascii="宋体" w:hAnsi="宋体" w:cs="宋体"/>
          <w:sz w:val="24"/>
          <w:u w:val="dotted"/>
        </w:rPr>
      </w:pPr>
      <w:r>
        <w:rPr>
          <w:rFonts w:hint="eastAsia" w:ascii="宋体" w:hAnsi="宋体" w:cs="宋体"/>
          <w:sz w:val="24"/>
        </w:rPr>
        <w:t>质疑事项1：</w:t>
      </w:r>
    </w:p>
    <w:p>
      <w:pPr>
        <w:snapToGrid w:val="0"/>
        <w:spacing w:line="360" w:lineRule="auto"/>
        <w:rPr>
          <w:rFonts w:hint="eastAsia" w:ascii="宋体" w:hAnsi="宋体" w:cs="宋体"/>
          <w:sz w:val="24"/>
          <w:u w:val="dotted"/>
        </w:rPr>
      </w:pPr>
      <w:r>
        <w:rPr>
          <w:rFonts w:hint="eastAsia" w:ascii="宋体" w:hAnsi="宋体" w:cs="宋体"/>
          <w:sz w:val="24"/>
        </w:rPr>
        <w:t>事实依据：</w:t>
      </w:r>
    </w:p>
    <w:p>
      <w:pPr>
        <w:snapToGrid w:val="0"/>
        <w:spacing w:line="360" w:lineRule="auto"/>
        <w:rPr>
          <w:rFonts w:hint="eastAsia" w:ascii="宋体" w:hAnsi="宋体" w:cs="宋体"/>
          <w:sz w:val="24"/>
        </w:rPr>
      </w:pPr>
    </w:p>
    <w:p>
      <w:pPr>
        <w:snapToGrid w:val="0"/>
        <w:spacing w:line="360" w:lineRule="auto"/>
        <w:rPr>
          <w:rFonts w:hint="eastAsia" w:ascii="宋体" w:hAnsi="宋体" w:cs="宋体"/>
          <w:sz w:val="24"/>
          <w:u w:val="dotted"/>
        </w:rPr>
      </w:pPr>
      <w:r>
        <w:rPr>
          <w:rFonts w:hint="eastAsia" w:ascii="宋体" w:hAnsi="宋体" w:cs="宋体"/>
          <w:sz w:val="24"/>
        </w:rPr>
        <w:t>法律依据：</w:t>
      </w:r>
    </w:p>
    <w:p>
      <w:pPr>
        <w:snapToGrid w:val="0"/>
        <w:spacing w:line="360" w:lineRule="auto"/>
        <w:rPr>
          <w:rFonts w:hint="eastAsia" w:ascii="宋体" w:hAnsi="宋体" w:cs="宋体"/>
          <w:sz w:val="24"/>
          <w:u w:val="dotted"/>
        </w:rPr>
      </w:pPr>
    </w:p>
    <w:p>
      <w:pPr>
        <w:snapToGrid w:val="0"/>
        <w:spacing w:line="360" w:lineRule="auto"/>
        <w:rPr>
          <w:rFonts w:hint="eastAsia" w:ascii="宋体" w:hAnsi="宋体" w:cs="宋体"/>
          <w:sz w:val="24"/>
          <w:u w:val="dotted"/>
        </w:rPr>
      </w:pPr>
      <w:r>
        <w:rPr>
          <w:rFonts w:hint="eastAsia" w:ascii="宋体" w:hAnsi="宋体" w:cs="宋体"/>
          <w:sz w:val="24"/>
        </w:rPr>
        <w:t>质疑事项2</w:t>
      </w:r>
    </w:p>
    <w:p>
      <w:pPr>
        <w:snapToGrid w:val="0"/>
        <w:spacing w:line="360" w:lineRule="auto"/>
        <w:rPr>
          <w:rFonts w:hint="eastAsia" w:ascii="宋体" w:hAnsi="宋体" w:cs="宋体"/>
          <w:sz w:val="24"/>
        </w:rPr>
      </w:pPr>
      <w:r>
        <w:rPr>
          <w:rFonts w:hint="eastAsia" w:ascii="宋体" w:hAnsi="宋体" w:cs="宋体"/>
          <w:sz w:val="24"/>
        </w:rPr>
        <w:t>……</w:t>
      </w:r>
    </w:p>
    <w:p>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pPr>
        <w:snapToGrid w:val="0"/>
        <w:spacing w:line="360" w:lineRule="auto"/>
        <w:rPr>
          <w:rFonts w:hint="eastAsia" w:ascii="宋体" w:hAnsi="宋体" w:cs="宋体"/>
          <w:sz w:val="24"/>
          <w:u w:val="dotted"/>
        </w:rPr>
      </w:pPr>
      <w:r>
        <w:rPr>
          <w:rFonts w:hint="eastAsia" w:ascii="宋体" w:hAnsi="宋体" w:cs="宋体"/>
          <w:sz w:val="24"/>
        </w:rPr>
        <w:t>请求：</w:t>
      </w:r>
    </w:p>
    <w:p>
      <w:pPr>
        <w:spacing w:line="360" w:lineRule="auto"/>
        <w:rPr>
          <w:rFonts w:hint="eastAsia" w:ascii="宋体" w:hAnsi="宋体" w:cs="宋体"/>
          <w:sz w:val="24"/>
        </w:rPr>
      </w:pPr>
      <w:r>
        <w:rPr>
          <w:rFonts w:hint="eastAsia" w:ascii="宋体" w:hAnsi="宋体" w:cs="宋体"/>
          <w:sz w:val="24"/>
        </w:rPr>
        <w:t xml:space="preserve">签字(签章)：                   公章：                      </w:t>
      </w:r>
    </w:p>
    <w:p>
      <w:pPr>
        <w:spacing w:line="360" w:lineRule="auto"/>
        <w:rPr>
          <w:rFonts w:hint="eastAsia" w:ascii="宋体" w:hAnsi="宋体" w:cs="宋体"/>
          <w:sz w:val="24"/>
        </w:rPr>
      </w:pPr>
      <w:r>
        <w:rPr>
          <w:rFonts w:hint="eastAsia" w:ascii="宋体" w:hAnsi="宋体" w:cs="宋体"/>
          <w:sz w:val="24"/>
        </w:rPr>
        <w:t>日期：</w:t>
      </w:r>
    </w:p>
    <w:p>
      <w:pPr>
        <w:spacing w:line="360" w:lineRule="auto"/>
        <w:jc w:val="center"/>
        <w:rPr>
          <w:rFonts w:hint="eastAsia" w:ascii="宋体" w:hAnsi="宋体" w:cs="宋体"/>
          <w:b/>
          <w:bCs/>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sz w:val="30"/>
          <w:szCs w:val="30"/>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pStyle w:val="6"/>
        <w:rPr>
          <w:rFonts w:hint="eastAsia" w:hAnsi="宋体" w:cs="宋体"/>
          <w:lang w:val="en-US"/>
        </w:rPr>
      </w:pPr>
    </w:p>
    <w:p>
      <w:pPr>
        <w:pStyle w:val="6"/>
        <w:rPr>
          <w:rFonts w:hint="eastAsia" w:hAnsi="宋体" w:cs="宋体"/>
          <w:lang w:val="en-US"/>
        </w:rPr>
      </w:pPr>
    </w:p>
    <w:p>
      <w:pPr>
        <w:pStyle w:val="6"/>
        <w:rPr>
          <w:rFonts w:hint="eastAsia" w:hAnsi="宋体" w:cs="宋体"/>
          <w:lang w:val="en-US"/>
        </w:rPr>
      </w:pPr>
    </w:p>
    <w:p>
      <w:pPr>
        <w:spacing w:line="360" w:lineRule="auto"/>
        <w:jc w:val="center"/>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hint="eastAsia" w:ascii="宋体" w:hAnsi="宋体" w:cs="宋体"/>
          <w:b/>
          <w:sz w:val="24"/>
        </w:rPr>
      </w:pP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hint="eastAsia" w:ascii="宋体" w:hAnsi="宋体" w:cs="宋体"/>
          <w:sz w:val="24"/>
        </w:rPr>
      </w:pPr>
      <w:r>
        <w:rPr>
          <w:rFonts w:hint="eastAsia" w:ascii="宋体" w:hAnsi="宋体" w:cs="宋体"/>
          <w:sz w:val="24"/>
        </w:rPr>
        <w:t>一、投诉相关主体基本情况</w:t>
      </w:r>
    </w:p>
    <w:p>
      <w:pPr>
        <w:spacing w:line="360" w:lineRule="auto"/>
        <w:rPr>
          <w:rFonts w:hint="eastAsia" w:ascii="宋体" w:hAnsi="宋体" w:cs="宋体"/>
          <w:sz w:val="24"/>
          <w:u w:val="dotted"/>
        </w:rPr>
      </w:pPr>
      <w:r>
        <w:rPr>
          <w:rFonts w:hint="eastAsia" w:ascii="宋体" w:hAnsi="宋体" w:cs="宋体"/>
          <w:sz w:val="24"/>
        </w:rPr>
        <w:t>投诉人：</w:t>
      </w:r>
    </w:p>
    <w:p>
      <w:pPr>
        <w:spacing w:line="360" w:lineRule="auto"/>
        <w:rPr>
          <w:rFonts w:hint="eastAsia" w:ascii="宋体" w:hAnsi="宋体" w:cs="宋体"/>
          <w:sz w:val="24"/>
          <w:u w:val="single"/>
        </w:rPr>
      </w:pPr>
      <w:r>
        <w:rPr>
          <w:rFonts w:hint="eastAsia" w:ascii="宋体" w:hAnsi="宋体" w:cs="宋体"/>
          <w:sz w:val="24"/>
        </w:rPr>
        <w:t>地址：邮编：</w:t>
      </w:r>
    </w:p>
    <w:p>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p>
    <w:p>
      <w:pPr>
        <w:tabs>
          <w:tab w:val="left" w:pos="6510"/>
        </w:tabs>
        <w:spacing w:line="360" w:lineRule="auto"/>
        <w:rPr>
          <w:rFonts w:hint="eastAsia" w:ascii="宋体" w:hAnsi="宋体" w:cs="宋体"/>
          <w:sz w:val="24"/>
          <w:u w:val="dotted"/>
        </w:rPr>
      </w:pPr>
      <w:r>
        <w:rPr>
          <w:rFonts w:hint="eastAsia" w:ascii="宋体" w:hAnsi="宋体" w:cs="宋体"/>
          <w:sz w:val="24"/>
        </w:rPr>
        <w:t>联系电话：</w:t>
      </w:r>
    </w:p>
    <w:p>
      <w:pPr>
        <w:spacing w:line="360" w:lineRule="auto"/>
        <w:rPr>
          <w:rFonts w:hint="eastAsia"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hint="eastAsia" w:ascii="宋体" w:hAnsi="宋体" w:cs="宋体"/>
          <w:sz w:val="24"/>
          <w:u w:val="dotted"/>
        </w:rPr>
      </w:pPr>
      <w:r>
        <w:rPr>
          <w:rFonts w:hint="eastAsia" w:ascii="宋体" w:hAnsi="宋体" w:cs="宋体"/>
          <w:sz w:val="24"/>
        </w:rPr>
        <w:t>地址：邮编：</w:t>
      </w:r>
    </w:p>
    <w:p>
      <w:pPr>
        <w:spacing w:line="360" w:lineRule="auto"/>
        <w:rPr>
          <w:rFonts w:hint="eastAsia" w:ascii="宋体" w:hAnsi="宋体" w:cs="宋体"/>
          <w:sz w:val="24"/>
          <w:u w:val="single"/>
        </w:rPr>
      </w:pPr>
      <w:r>
        <w:rPr>
          <w:rFonts w:hint="eastAsia" w:ascii="宋体" w:hAnsi="宋体" w:cs="宋体"/>
          <w:sz w:val="24"/>
        </w:rPr>
        <w:t>被投诉人1：</w:t>
      </w:r>
    </w:p>
    <w:p>
      <w:pPr>
        <w:spacing w:line="360" w:lineRule="auto"/>
        <w:rPr>
          <w:rFonts w:hint="eastAsia" w:ascii="宋体" w:hAnsi="宋体" w:cs="宋体"/>
          <w:sz w:val="24"/>
          <w:u w:val="single"/>
        </w:rPr>
      </w:pPr>
      <w:r>
        <w:rPr>
          <w:rFonts w:hint="eastAsia" w:ascii="宋体" w:hAnsi="宋体" w:cs="宋体"/>
          <w:sz w:val="24"/>
        </w:rPr>
        <w:t>地址：邮编：</w:t>
      </w:r>
    </w:p>
    <w:p>
      <w:pPr>
        <w:spacing w:line="360" w:lineRule="auto"/>
        <w:rPr>
          <w:rFonts w:hint="eastAsia" w:ascii="宋体" w:hAnsi="宋体" w:cs="宋体"/>
          <w:sz w:val="24"/>
          <w:u w:val="single"/>
        </w:rPr>
      </w:pPr>
      <w:r>
        <w:rPr>
          <w:rFonts w:hint="eastAsia" w:ascii="宋体" w:hAnsi="宋体" w:cs="宋体"/>
          <w:sz w:val="24"/>
        </w:rPr>
        <w:t>联系人：联系电话：</w:t>
      </w:r>
    </w:p>
    <w:p>
      <w:pPr>
        <w:spacing w:line="360" w:lineRule="auto"/>
        <w:rPr>
          <w:rFonts w:hint="eastAsia" w:ascii="宋体" w:hAnsi="宋体" w:cs="宋体"/>
          <w:sz w:val="24"/>
        </w:rPr>
      </w:pPr>
      <w:r>
        <w:rPr>
          <w:rFonts w:hint="eastAsia" w:ascii="宋体" w:hAnsi="宋体" w:cs="宋体"/>
          <w:sz w:val="24"/>
        </w:rPr>
        <w:t>被投诉人2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u w:val="single"/>
        </w:rPr>
      </w:pPr>
      <w:r>
        <w:rPr>
          <w:rFonts w:hint="eastAsia" w:ascii="宋体" w:hAnsi="宋体" w:cs="宋体"/>
          <w:sz w:val="24"/>
        </w:rPr>
        <w:t>相关供应商：</w:t>
      </w:r>
    </w:p>
    <w:p>
      <w:pPr>
        <w:spacing w:line="360" w:lineRule="auto"/>
        <w:rPr>
          <w:rFonts w:hint="eastAsia" w:ascii="宋体" w:hAnsi="宋体" w:cs="宋体"/>
          <w:sz w:val="24"/>
          <w:u w:val="single"/>
        </w:rPr>
      </w:pPr>
      <w:r>
        <w:rPr>
          <w:rFonts w:hint="eastAsia" w:ascii="宋体" w:hAnsi="宋体" w:cs="宋体"/>
          <w:sz w:val="24"/>
        </w:rPr>
        <w:t>地址：邮编：</w:t>
      </w:r>
    </w:p>
    <w:p>
      <w:pPr>
        <w:spacing w:line="360" w:lineRule="auto"/>
        <w:rPr>
          <w:rFonts w:hint="eastAsia" w:ascii="宋体" w:hAnsi="宋体" w:cs="宋体"/>
          <w:sz w:val="24"/>
          <w:u w:val="single"/>
        </w:rPr>
      </w:pPr>
      <w:r>
        <w:rPr>
          <w:rFonts w:hint="eastAsia" w:ascii="宋体" w:hAnsi="宋体" w:cs="宋体"/>
          <w:sz w:val="24"/>
        </w:rPr>
        <w:t>联系人：联系电话：</w:t>
      </w:r>
    </w:p>
    <w:p>
      <w:pPr>
        <w:spacing w:line="360" w:lineRule="auto"/>
        <w:rPr>
          <w:rFonts w:hint="eastAsia" w:ascii="宋体" w:hAnsi="宋体" w:cs="宋体"/>
          <w:sz w:val="24"/>
        </w:rPr>
      </w:pPr>
      <w:r>
        <w:rPr>
          <w:rFonts w:hint="eastAsia" w:ascii="宋体" w:hAnsi="宋体" w:cs="宋体"/>
          <w:sz w:val="24"/>
        </w:rPr>
        <w:t>二、投诉项目基本情况</w:t>
      </w:r>
    </w:p>
    <w:p>
      <w:pPr>
        <w:spacing w:line="360" w:lineRule="auto"/>
        <w:rPr>
          <w:rFonts w:hint="eastAsia" w:ascii="宋体" w:hAnsi="宋体" w:cs="宋体"/>
          <w:sz w:val="24"/>
          <w:u w:val="dotted"/>
        </w:rPr>
      </w:pPr>
      <w:r>
        <w:rPr>
          <w:rFonts w:hint="eastAsia" w:ascii="宋体" w:hAnsi="宋体" w:cs="宋体"/>
          <w:sz w:val="24"/>
        </w:rPr>
        <w:t>采购项目名称：</w:t>
      </w:r>
    </w:p>
    <w:p>
      <w:pPr>
        <w:spacing w:line="360" w:lineRule="auto"/>
        <w:rPr>
          <w:rFonts w:hint="eastAsia" w:ascii="宋体" w:hAnsi="宋体" w:cs="宋体"/>
          <w:sz w:val="24"/>
          <w:u w:val="single"/>
        </w:rPr>
      </w:pPr>
      <w:r>
        <w:rPr>
          <w:rFonts w:hint="eastAsia" w:ascii="宋体" w:hAnsi="宋体" w:cs="宋体"/>
          <w:sz w:val="24"/>
        </w:rPr>
        <w:t>采购项目编号：包号：</w:t>
      </w:r>
    </w:p>
    <w:p>
      <w:pPr>
        <w:spacing w:line="360" w:lineRule="auto"/>
        <w:rPr>
          <w:rFonts w:hint="eastAsia" w:ascii="宋体" w:hAnsi="宋体" w:cs="宋体"/>
          <w:sz w:val="24"/>
        </w:rPr>
      </w:pPr>
      <w:r>
        <w:rPr>
          <w:rFonts w:hint="eastAsia" w:ascii="宋体" w:hAnsi="宋体" w:cs="宋体"/>
          <w:sz w:val="24"/>
        </w:rPr>
        <w:t>采购人名称：</w:t>
      </w:r>
    </w:p>
    <w:p>
      <w:pPr>
        <w:spacing w:line="360" w:lineRule="auto"/>
        <w:rPr>
          <w:rFonts w:hint="eastAsia" w:ascii="宋体" w:hAnsi="宋体" w:cs="宋体"/>
          <w:sz w:val="24"/>
          <w:u w:val="single"/>
        </w:rPr>
      </w:pPr>
      <w:r>
        <w:rPr>
          <w:rFonts w:hint="eastAsia" w:ascii="宋体" w:hAnsi="宋体" w:cs="宋体"/>
          <w:sz w:val="24"/>
        </w:rPr>
        <w:t>代理机构名称：</w:t>
      </w:r>
    </w:p>
    <w:p>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hint="eastAsia" w:ascii="宋体" w:hAnsi="宋体" w:cs="宋体"/>
          <w:sz w:val="24"/>
        </w:rPr>
      </w:pPr>
      <w:r>
        <w:rPr>
          <w:rFonts w:hint="eastAsia" w:ascii="宋体" w:hAnsi="宋体" w:cs="宋体"/>
          <w:sz w:val="24"/>
        </w:rPr>
        <w:t>三、质疑基本情况</w:t>
      </w:r>
    </w:p>
    <w:p>
      <w:pPr>
        <w:spacing w:line="360" w:lineRule="auto"/>
        <w:ind w:firstLine="480" w:firstLineChars="200"/>
        <w:rPr>
          <w:rFonts w:hint="eastAsia" w:ascii="宋体" w:hAnsi="宋体" w:cs="宋体"/>
          <w:sz w:val="24"/>
          <w:u w:val="dotted"/>
        </w:rPr>
      </w:pPr>
      <w:r>
        <w:rPr>
          <w:rFonts w:hint="eastAsia" w:ascii="宋体" w:hAnsi="宋体" w:cs="宋体"/>
          <w:sz w:val="24"/>
        </w:rPr>
        <w:t>投诉人于年月日,向提出质疑，质疑事项为：</w:t>
      </w:r>
    </w:p>
    <w:p>
      <w:pPr>
        <w:spacing w:line="360" w:lineRule="auto"/>
        <w:rPr>
          <w:rFonts w:hint="eastAsia" w:ascii="宋体" w:hAnsi="宋体" w:cs="宋体"/>
          <w:sz w:val="24"/>
          <w:u w:val="dotted"/>
        </w:rPr>
      </w:pPr>
    </w:p>
    <w:p>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hint="eastAsia" w:ascii="宋体" w:hAnsi="宋体" w:cs="宋体"/>
          <w:sz w:val="24"/>
        </w:rPr>
      </w:pPr>
      <w:r>
        <w:rPr>
          <w:rFonts w:hint="eastAsia" w:ascii="宋体" w:hAnsi="宋体" w:cs="宋体"/>
          <w:sz w:val="24"/>
        </w:rPr>
        <w:t>四、投诉事项具体内容</w:t>
      </w:r>
    </w:p>
    <w:p>
      <w:pPr>
        <w:spacing w:line="360" w:lineRule="auto"/>
        <w:rPr>
          <w:rFonts w:hint="eastAsia" w:ascii="宋体" w:hAnsi="宋体" w:cs="宋体"/>
          <w:sz w:val="24"/>
          <w:u w:val="single"/>
        </w:rPr>
      </w:pPr>
      <w:r>
        <w:rPr>
          <w:rFonts w:hint="eastAsia" w:ascii="宋体" w:hAnsi="宋体" w:cs="宋体"/>
          <w:sz w:val="24"/>
        </w:rPr>
        <w:t>投诉事项 1：</w:t>
      </w:r>
    </w:p>
    <w:p>
      <w:pPr>
        <w:spacing w:line="360" w:lineRule="auto"/>
        <w:rPr>
          <w:rFonts w:hint="eastAsia" w:ascii="宋体" w:hAnsi="宋体" w:cs="宋体"/>
          <w:sz w:val="24"/>
        </w:rPr>
      </w:pPr>
      <w:r>
        <w:rPr>
          <w:rFonts w:hint="eastAsia" w:ascii="宋体" w:hAnsi="宋体" w:cs="宋体"/>
          <w:sz w:val="24"/>
        </w:rPr>
        <w:t>事实依据：</w:t>
      </w:r>
    </w:p>
    <w:p>
      <w:pPr>
        <w:spacing w:line="360" w:lineRule="auto"/>
        <w:rPr>
          <w:rFonts w:hint="eastAsia" w:ascii="宋体" w:hAnsi="宋体" w:cs="宋体"/>
          <w:sz w:val="24"/>
          <w:u w:val="dotted"/>
        </w:rPr>
      </w:pPr>
    </w:p>
    <w:p>
      <w:pPr>
        <w:spacing w:line="360" w:lineRule="auto"/>
        <w:rPr>
          <w:rFonts w:hint="eastAsia" w:ascii="宋体" w:hAnsi="宋体" w:cs="宋体"/>
          <w:sz w:val="24"/>
          <w:u w:val="single"/>
        </w:rPr>
      </w:pPr>
      <w:r>
        <w:rPr>
          <w:rFonts w:hint="eastAsia" w:ascii="宋体" w:hAnsi="宋体" w:cs="宋体"/>
          <w:sz w:val="24"/>
        </w:rPr>
        <w:t>法律依据：</w:t>
      </w:r>
    </w:p>
    <w:p>
      <w:pPr>
        <w:spacing w:line="360" w:lineRule="auto"/>
        <w:rPr>
          <w:rFonts w:hint="eastAsia" w:ascii="宋体" w:hAnsi="宋体" w:cs="宋体"/>
          <w:sz w:val="24"/>
          <w:u w:val="dotted"/>
        </w:rPr>
      </w:pPr>
    </w:p>
    <w:p>
      <w:pPr>
        <w:spacing w:line="360" w:lineRule="auto"/>
        <w:rPr>
          <w:rFonts w:hint="eastAsia" w:ascii="宋体" w:hAnsi="宋体" w:cs="宋体"/>
          <w:sz w:val="24"/>
        </w:rPr>
      </w:pPr>
      <w:r>
        <w:rPr>
          <w:rFonts w:hint="eastAsia" w:ascii="宋体" w:hAnsi="宋体" w:cs="宋体"/>
          <w:sz w:val="24"/>
        </w:rPr>
        <w:t>投诉事项2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五、与投诉事项相关的投诉请求</w:t>
      </w:r>
    </w:p>
    <w:p>
      <w:pPr>
        <w:spacing w:line="360" w:lineRule="auto"/>
        <w:rPr>
          <w:rFonts w:hint="eastAsia" w:ascii="宋体" w:hAnsi="宋体" w:cs="宋体"/>
          <w:sz w:val="24"/>
        </w:rPr>
      </w:pPr>
      <w:r>
        <w:rPr>
          <w:rFonts w:hint="eastAsia" w:ascii="宋体" w:hAnsi="宋体" w:cs="宋体"/>
          <w:sz w:val="24"/>
        </w:rPr>
        <w:t>请求：</w:t>
      </w:r>
    </w:p>
    <w:p>
      <w:pPr>
        <w:spacing w:line="360" w:lineRule="auto"/>
        <w:rPr>
          <w:rFonts w:hint="eastAsia" w:ascii="宋体" w:hAnsi="宋体" w:cs="宋体"/>
          <w:sz w:val="24"/>
          <w:u w:val="single"/>
        </w:rPr>
      </w:pPr>
    </w:p>
    <w:p>
      <w:pPr>
        <w:spacing w:line="360" w:lineRule="auto"/>
        <w:rPr>
          <w:rFonts w:hint="eastAsia" w:ascii="宋体" w:hAnsi="宋体" w:cs="宋体"/>
          <w:sz w:val="24"/>
        </w:rPr>
      </w:pPr>
      <w:r>
        <w:rPr>
          <w:rFonts w:hint="eastAsia" w:ascii="宋体" w:hAnsi="宋体" w:cs="宋体"/>
          <w:sz w:val="24"/>
        </w:rPr>
        <w:t xml:space="preserve">签字(签章)：                   公章：                      </w:t>
      </w:r>
    </w:p>
    <w:p>
      <w:pPr>
        <w:spacing w:line="360" w:lineRule="auto"/>
        <w:rPr>
          <w:rFonts w:hint="eastAsia" w:ascii="宋体" w:hAnsi="宋体" w:cs="宋体"/>
          <w:sz w:val="24"/>
        </w:rPr>
      </w:pPr>
      <w:r>
        <w:rPr>
          <w:rFonts w:hint="eastAsia" w:ascii="宋体" w:hAnsi="宋体" w:cs="宋体"/>
          <w:sz w:val="24"/>
        </w:rPr>
        <w:t>日期：</w:t>
      </w: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sz w:val="24"/>
        </w:rPr>
      </w:pPr>
    </w:p>
    <w:p>
      <w:pPr>
        <w:autoSpaceDE w:val="0"/>
        <w:autoSpaceDN w:val="0"/>
        <w:spacing w:line="360" w:lineRule="auto"/>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hint="eastAsia"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宋体" w:hAnsi="宋体" w:cs="宋体"/>
          <w:sz w:val="24"/>
        </w:rPr>
      </w:pPr>
      <w:r>
        <w:rPr>
          <w:rFonts w:hint="eastAsia" w:ascii="宋体" w:hAnsi="宋体" w:cs="宋体"/>
          <w:sz w:val="24"/>
        </w:rPr>
        <w:t>特此说明。</w:t>
      </w: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pPr>
        <w:ind w:right="1440" w:firstLine="494"/>
        <w:jc w:val="center"/>
        <w:rPr>
          <w:rFonts w:hint="eastAsia" w:ascii="宋体" w:hAnsi="宋体" w:cs="宋体"/>
          <w:sz w:val="24"/>
        </w:rPr>
      </w:pPr>
      <w:r>
        <w:rPr>
          <w:rFonts w:hint="eastAsia" w:ascii="宋体" w:hAnsi="宋体" w:cs="宋体"/>
          <w:sz w:val="24"/>
        </w:rPr>
        <w:t xml:space="preserve">                              日期：       年     月     日</w:t>
      </w:r>
    </w:p>
    <w:p>
      <w:pPr>
        <w:rPr>
          <w:rFonts w:hint="eastAsia" w:ascii="宋体" w:hAnsi="宋体" w:cs="宋体"/>
          <w:sz w:val="24"/>
        </w:rPr>
      </w:pPr>
      <w:r>
        <w:rPr>
          <w:rFonts w:hint="eastAsia" w:ascii="宋体" w:hAnsi="宋体" w:cs="宋体"/>
          <w:b/>
          <w:bCs/>
          <w:sz w:val="24"/>
        </w:rPr>
        <w:t>附：</w:t>
      </w:r>
    </w:p>
    <w:p>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rPr>
          <w:rFonts w:hint="eastAsia" w:ascii="宋体" w:hAnsi="宋体" w:cs="宋体"/>
          <w:b/>
          <w:kern w:val="0"/>
          <w:sz w:val="32"/>
          <w:szCs w:val="32"/>
          <w:lang w:val="zh-CN"/>
        </w:rPr>
      </w:pPr>
      <w:r>
        <w:rPr>
          <w:rFonts w:hint="eastAsia" w:ascii="宋体" w:hAnsi="宋体" w:cs="宋体"/>
          <w:b/>
          <w:spacing w:val="6"/>
          <w:sz w:val="32"/>
          <w:szCs w:val="32"/>
        </w:rPr>
        <w:br w:type="page"/>
      </w: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rPr>
          <w:highlight w:val="none"/>
        </w:rPr>
      </w:pPr>
      <w:r>
        <w:rPr>
          <w:rFonts w:hint="eastAsia" w:ascii="仿宋_GB2312" w:hAnsi="仿宋" w:eastAsia="仿宋_GB2312" w:cs="仿宋_GB2312"/>
          <w:kern w:val="0"/>
          <w:sz w:val="24"/>
          <w:highlight w:val="none"/>
          <w:lang w:val="zh-CN"/>
        </w:rPr>
        <w:t>……</w:t>
      </w:r>
    </w:p>
    <w:p>
      <w:pPr>
        <w:snapToGrid w:val="0"/>
        <w:spacing w:line="360" w:lineRule="auto"/>
        <w:jc w:val="right"/>
        <w:rPr>
          <w:rFonts w:hint="eastAsia" w:ascii="宋体" w:hAnsi="宋体" w:cs="宋体"/>
          <w:kern w:val="0"/>
          <w:sz w:val="24"/>
          <w:lang w:val="zh-CN"/>
        </w:rPr>
      </w:pPr>
      <w:r>
        <w:rPr>
          <w:rFonts w:ascii="仿宋_GB2312" w:hAnsi="仿宋" w:eastAsia="仿宋_GB2312" w:cs="仿宋_GB2312"/>
          <w:kern w:val="0"/>
          <w:sz w:val="24"/>
          <w:highlight w:val="none"/>
          <w:lang w:val="zh-CN"/>
        </w:rPr>
        <w:t xml:space="preserve">                                        日期：  年  月   日</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widowControl/>
        <w:adjustRightInd/>
        <w:jc w:val="left"/>
        <w:rPr>
          <w:rFonts w:hint="eastAsia"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snapToGrid w:val="0"/>
        <w:spacing w:line="360" w:lineRule="auto"/>
        <w:ind w:firstLine="576"/>
        <w:rPr>
          <w:highlight w:val="none"/>
        </w:rPr>
      </w:pPr>
      <w:r>
        <w:rPr>
          <w:rFonts w:hint="eastAsia" w:cs="仿宋_GB2312"/>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highlight w:val="none"/>
          <w:u w:val="single"/>
        </w:rPr>
      </w:pPr>
      <w:r>
        <w:rPr>
          <w:rFonts w:ascii="仿宋_GB2312" w:hAnsi="仿宋" w:eastAsia="仿宋_GB231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投标人名称(电子签名)：</w:t>
      </w:r>
    </w:p>
    <w:p>
      <w:pPr>
        <w:snapToGrid w:val="0"/>
        <w:spacing w:line="360" w:lineRule="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rPr>
          <w:highlight w:val="none"/>
        </w:rPr>
      </w:pPr>
      <w:r>
        <w:rPr>
          <w:rFonts w:hint="eastAsia" w:ascii="仿宋_GB2312" w:hAnsi="仿宋" w:eastAsia="仿宋_GB2312" w:cs="仿宋_GB2312"/>
          <w:kern w:val="0"/>
          <w:sz w:val="24"/>
          <w:highlight w:val="none"/>
          <w:lang w:val="zh-CN"/>
        </w:rPr>
        <w:t>……</w:t>
      </w:r>
    </w:p>
    <w:p>
      <w:pPr>
        <w:snapToGrid w:val="0"/>
        <w:spacing w:line="360" w:lineRule="auto"/>
        <w:ind w:left="5758" w:leftChars="342" w:hanging="5040" w:hangingChars="2100"/>
        <w:rPr>
          <w:rFonts w:hint="eastAsia" w:ascii="宋体" w:hAnsi="宋体" w:cs="宋体"/>
          <w:kern w:val="0"/>
          <w:sz w:val="24"/>
          <w:lang w:val="zh-CN"/>
        </w:rPr>
      </w:pPr>
      <w:r>
        <w:rPr>
          <w:rFonts w:ascii="仿宋_GB2312" w:hAnsi="仿宋" w:eastAsia="仿宋_GB2312" w:cs="仿宋_GB2312"/>
          <w:kern w:val="0"/>
          <w:sz w:val="24"/>
          <w:highlight w:val="none"/>
          <w:lang w:val="zh-CN"/>
        </w:rPr>
        <w:t xml:space="preserve">                                        日期：  年  月   日</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spacing w:line="360" w:lineRule="auto"/>
        <w:jc w:val="left"/>
        <w:outlineLvl w:val="0"/>
        <w:rPr>
          <w:rFonts w:hint="eastAsia" w:ascii="宋体" w:hAnsi="宋体" w:cs="宋体"/>
          <w:b/>
          <w:sz w:val="36"/>
          <w:szCs w:val="20"/>
        </w:rPr>
      </w:pPr>
      <w:r>
        <w:rPr>
          <w:rFonts w:hint="eastAsia" w:ascii="宋体" w:hAnsi="宋体" w:cs="宋体"/>
          <w:b/>
          <w:sz w:val="36"/>
          <w:szCs w:val="20"/>
        </w:rPr>
        <w:t>附件7：中小企业声明函</w:t>
      </w:r>
    </w:p>
    <w:p>
      <w:pPr>
        <w:spacing w:line="360" w:lineRule="auto"/>
        <w:jc w:val="center"/>
        <w:rPr>
          <w:rFonts w:hint="eastAsia"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pStyle w:val="30"/>
        <w:spacing w:line="500" w:lineRule="exact"/>
        <w:ind w:firstLine="562"/>
        <w:jc w:val="center"/>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中小企业划型标准规定</w:t>
      </w:r>
    </w:p>
    <w:p>
      <w:pPr>
        <w:pStyle w:val="30"/>
        <w:adjustRightInd w:val="0"/>
        <w:spacing w:line="360" w:lineRule="auto"/>
        <w:ind w:firstLine="504"/>
        <w:jc w:val="both"/>
        <w:rPr>
          <w:rFonts w:hint="eastAsia" w:ascii="宋体" w:hAnsi="宋体" w:eastAsia="宋体" w:cs="宋体"/>
          <w:spacing w:val="6"/>
          <w:szCs w:val="21"/>
        </w:rPr>
      </w:pP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一、根据《中华人民共和国中小企业促进法》和《</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w:instrText>
      </w:r>
      <w:r>
        <w:rPr>
          <w:rFonts w:hint="eastAsia" w:ascii="宋体" w:hAnsi="宋体" w:eastAsia="宋体" w:cs="宋体"/>
        </w:rPr>
        <w:fldChar w:fldCharType="separate"/>
      </w:r>
      <w:r>
        <w:rPr>
          <w:rFonts w:hint="eastAsia" w:ascii="宋体" w:hAnsi="宋体" w:eastAsia="宋体" w:cs="宋体"/>
          <w:spacing w:val="6"/>
          <w:szCs w:val="21"/>
        </w:rPr>
        <w:t>国务院关于进一步促进中小企业发展的若干意见</w:t>
      </w:r>
      <w:r>
        <w:rPr>
          <w:rFonts w:hint="eastAsia" w:ascii="宋体" w:hAnsi="宋体" w:eastAsia="宋体" w:cs="宋体"/>
          <w:spacing w:val="6"/>
          <w:szCs w:val="21"/>
        </w:rPr>
        <w:fldChar w:fldCharType="end"/>
      </w:r>
      <w:r>
        <w:rPr>
          <w:rFonts w:hint="eastAsia" w:ascii="宋体" w:hAnsi="宋体" w:eastAsia="宋体" w:cs="宋体"/>
          <w:spacing w:val="6"/>
          <w:szCs w:val="21"/>
        </w:rPr>
        <w:t>》（</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w:instrText>
      </w:r>
      <w:r>
        <w:rPr>
          <w:rFonts w:hint="eastAsia" w:ascii="宋体" w:hAnsi="宋体" w:eastAsia="宋体" w:cs="宋体"/>
        </w:rPr>
        <w:fldChar w:fldCharType="separate"/>
      </w:r>
      <w:r>
        <w:rPr>
          <w:rFonts w:hint="eastAsia" w:ascii="宋体" w:hAnsi="宋体" w:eastAsia="宋体" w:cs="宋体"/>
          <w:spacing w:val="6"/>
          <w:szCs w:val="21"/>
        </w:rPr>
        <w:t>国发〔2009〕36号</w:t>
      </w:r>
      <w:r>
        <w:rPr>
          <w:rFonts w:hint="eastAsia" w:ascii="宋体" w:hAnsi="宋体" w:eastAsia="宋体" w:cs="宋体"/>
          <w:spacing w:val="6"/>
          <w:szCs w:val="21"/>
        </w:rPr>
        <w:fldChar w:fldCharType="end"/>
      </w:r>
      <w:r>
        <w:rPr>
          <w:rFonts w:hint="eastAsia" w:ascii="宋体" w:hAnsi="宋体" w:eastAsia="宋体" w:cs="宋体"/>
          <w:spacing w:val="6"/>
          <w:szCs w:val="21"/>
        </w:rPr>
        <w:t>)，制定本规定。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二、中小企业划分为中型、小型、微型三种类型，具体标准根据企业从业人员、营业收入、资产总额等指标，结合行业特点制定。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0"/>
        <w:adjustRightInd w:val="0"/>
        <w:spacing w:line="360" w:lineRule="auto"/>
        <w:ind w:firstLine="504"/>
        <w:jc w:val="both"/>
        <w:rPr>
          <w:rFonts w:hint="eastAsia" w:ascii="宋体" w:hAnsi="宋体" w:eastAsia="宋体" w:cs="宋体"/>
          <w:spacing w:val="6"/>
          <w:szCs w:val="21"/>
          <w:lang w:eastAsia="zh-CN"/>
        </w:rPr>
      </w:pPr>
      <w:r>
        <w:rPr>
          <w:rFonts w:hint="eastAsia" w:ascii="宋体" w:hAnsi="宋体" w:eastAsia="宋体" w:cs="宋体"/>
          <w:spacing w:val="6"/>
          <w:szCs w:val="21"/>
        </w:rPr>
        <w:t>四、各行业划型标准为：</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五、企业类型的划分以统计部门的统计数据为依据。</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六、本规定适用于在中华人民共和国境内依法设立的各类所有制和各种组织形式的企业。个体工商户和本规定以外的行业，参照本规定进行划型。</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八、本规定由工业和信息化部、国家统计局会同有关部门根据《国民经济行业分类》修订情况和企业发展变化情况适时修订。</w:t>
      </w:r>
    </w:p>
    <w:p>
      <w:pPr>
        <w:pStyle w:val="30"/>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九、本规定由工业和信息化部、国家统计局会同有关部门负责解释。</w:t>
      </w:r>
    </w:p>
    <w:p>
      <w:pPr>
        <w:pStyle w:val="30"/>
        <w:adjustRightInd w:val="0"/>
        <w:spacing w:line="360" w:lineRule="auto"/>
        <w:ind w:firstLine="504"/>
        <w:jc w:val="both"/>
        <w:rPr>
          <w:rFonts w:hint="eastAsia" w:ascii="宋体" w:hAnsi="宋体" w:eastAsia="宋体" w:cs="宋体"/>
        </w:rPr>
        <w:sectPr>
          <w:headerReference r:id="rId17" w:type="first"/>
          <w:footerReference r:id="rId19" w:type="first"/>
          <w:headerReference r:id="rId16" w:type="default"/>
          <w:foot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pacing w:val="6"/>
          <w:szCs w:val="21"/>
        </w:rPr>
        <w:t>十、本规定自发布之日起执行，原国家经贸委、原国家计委、财政部和国家统计局2003年颁布的《</w:t>
      </w:r>
      <w:r>
        <w:rPr>
          <w:rFonts w:hint="eastAsia" w:ascii="宋体" w:hAnsi="宋体" w:eastAsia="宋体" w:cs="宋体"/>
        </w:rPr>
        <w:fldChar w:fldCharType="begin"/>
      </w:r>
      <w:r>
        <w:rPr>
          <w:rFonts w:hint="eastAsia" w:ascii="宋体" w:hAnsi="宋体" w:eastAsia="宋体" w:cs="宋体"/>
        </w:rPr>
        <w:instrText xml:space="preserve"> HYPERLINK "https://www.shui5.cn/article/df/24263.html" </w:instrText>
      </w:r>
      <w:r>
        <w:rPr>
          <w:rFonts w:hint="eastAsia" w:ascii="宋体" w:hAnsi="宋体" w:eastAsia="宋体" w:cs="宋体"/>
        </w:rPr>
        <w:fldChar w:fldCharType="separate"/>
      </w:r>
      <w:r>
        <w:rPr>
          <w:rFonts w:hint="eastAsia" w:ascii="宋体" w:hAnsi="宋体" w:eastAsia="宋体" w:cs="宋体"/>
          <w:spacing w:val="6"/>
          <w:szCs w:val="21"/>
        </w:rPr>
        <w:t>中小企业标准暂行规定</w:t>
      </w:r>
      <w:r>
        <w:rPr>
          <w:rFonts w:hint="eastAsia" w:ascii="宋体" w:hAnsi="宋体" w:eastAsia="宋体" w:cs="宋体"/>
          <w:spacing w:val="6"/>
          <w:szCs w:val="21"/>
        </w:rPr>
        <w:fldChar w:fldCharType="end"/>
      </w:r>
      <w:r>
        <w:rPr>
          <w:rFonts w:hint="eastAsia" w:ascii="宋体" w:hAnsi="宋体" w:eastAsia="宋体" w:cs="宋体"/>
          <w:spacing w:val="6"/>
          <w:szCs w:val="21"/>
        </w:rPr>
        <w:t>》</w:t>
      </w:r>
      <w:r>
        <w:rPr>
          <w:rFonts w:hint="eastAsia" w:ascii="宋体" w:hAnsi="宋体" w:eastAsia="宋体" w:cs="宋体"/>
        </w:rPr>
        <w:fldChar w:fldCharType="begin"/>
      </w:r>
      <w:r>
        <w:rPr>
          <w:rFonts w:hint="eastAsia" w:ascii="宋体" w:hAnsi="宋体" w:eastAsia="宋体" w:cs="宋体"/>
        </w:rPr>
        <w:instrText xml:space="preserve"> HYPERLINK "https://www.shui5.cn/article/df/24263.html" </w:instrText>
      </w:r>
      <w:r>
        <w:rPr>
          <w:rFonts w:hint="eastAsia" w:ascii="宋体" w:hAnsi="宋体" w:eastAsia="宋体" w:cs="宋体"/>
        </w:rPr>
        <w:fldChar w:fldCharType="separate"/>
      </w:r>
      <w:r>
        <w:rPr>
          <w:rFonts w:hint="eastAsia" w:ascii="宋体" w:hAnsi="宋体" w:eastAsia="宋体" w:cs="宋体"/>
          <w:spacing w:val="6"/>
          <w:szCs w:val="21"/>
        </w:rPr>
        <w:t>国经贸中小企[2003]143号</w:t>
      </w:r>
      <w:r>
        <w:rPr>
          <w:rFonts w:hint="eastAsia" w:ascii="宋体" w:hAnsi="宋体" w:eastAsia="宋体" w:cs="宋体"/>
          <w:spacing w:val="6"/>
          <w:szCs w:val="21"/>
        </w:rPr>
        <w:fldChar w:fldCharType="end"/>
      </w:r>
      <w:r>
        <w:rPr>
          <w:rFonts w:hint="eastAsia" w:ascii="宋体" w:hAnsi="宋体" w:eastAsia="宋体" w:cs="宋体"/>
          <w:spacing w:val="6"/>
          <w:szCs w:val="21"/>
        </w:rPr>
        <w:t>同时废止。</w:t>
      </w:r>
    </w:p>
    <w:p>
      <w:pPr>
        <w:pStyle w:val="30"/>
        <w:adjustRightInd w:val="0"/>
        <w:spacing w:line="360" w:lineRule="auto"/>
        <w:jc w:val="both"/>
        <w:rPr>
          <w:rFonts w:hint="eastAsia" w:ascii="宋体" w:hAnsi="宋体" w:eastAsia="宋体" w:cs="宋体"/>
        </w:rPr>
      </w:pPr>
      <w:r>
        <w:rPr>
          <w:rFonts w:hint="eastAsia" w:ascii="宋体" w:hAnsi="宋体" w:eastAsia="宋体" w:cs="宋体"/>
        </w:rPr>
        <w:drawing>
          <wp:inline distT="0" distB="0" distL="114300" distR="114300">
            <wp:extent cx="8667115" cy="4945380"/>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8667115" cy="4945380"/>
                    </a:xfrm>
                    <a:prstGeom prst="rect">
                      <a:avLst/>
                    </a:prstGeom>
                    <a:noFill/>
                    <a:ln>
                      <a:noFill/>
                    </a:ln>
                  </pic:spPr>
                </pic:pic>
              </a:graphicData>
            </a:graphic>
          </wp:inline>
        </w:drawing>
      </w:r>
    </w:p>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fldChar w:fldCharType="begin"/>
    </w:r>
    <w:r>
      <w:rPr>
        <w:rStyle w:val="18"/>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426" w:name="_Toc164085800"/>
    <w:bookmarkStart w:id="427" w:name="_Toc91899912"/>
    <w:bookmarkStart w:id="428" w:name="_Toc36110187"/>
    <w:bookmarkStart w:id="429" w:name="_Toc131845147"/>
    <w:r>
      <w:rPr>
        <w:rFonts w:hint="eastAsia" w:ascii="仿宋_GB2312" w:eastAsia="仿宋_GB2312"/>
        <w:kern w:val="0"/>
        <w:szCs w:val="21"/>
      </w:rPr>
      <w:t xml:space="preserve"> 页</w:t>
    </w:r>
    <w:bookmarkEnd w:id="426"/>
    <w:bookmarkEnd w:id="427"/>
    <w:bookmarkEnd w:id="428"/>
    <w:bookmarkEnd w:id="42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lang w:val="zh-CN"/>
      </w:rPr>
      <w:t>杭州市</w:t>
    </w:r>
    <w:r>
      <w:rPr>
        <w:rFonts w:hint="eastAsia"/>
        <w:lang w:val="zh-CN"/>
      </w:rPr>
      <w:t>钱塘区</w:t>
    </w:r>
    <w:r>
      <w:rPr>
        <w:lang w:val="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color w:val="000000"/>
        <w:sz w:val="21"/>
        <w:szCs w:val="21"/>
      </w:rPr>
    </w:pP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right"/>
      <w:rPr>
        <w:rFonts w:hint="eastAsia" w:ascii="仿宋_GB2312" w:eastAsia="仿宋_GB2312"/>
        <w:b/>
        <w:i/>
        <w:u w:val="single"/>
        <w:lang w:eastAsia="zh-CN"/>
      </w:rPr>
    </w:pPr>
    <w:r>
      <w:rPr>
        <w:rFonts w:hint="eastAsia" w:eastAsia="仿宋_GB2312"/>
        <w:sz w:val="21"/>
        <w:lang w:eastAsia="zh-CN"/>
      </w:rPr>
      <w:t>杭州市钱塘区政府采购公开招标文件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宋体"/>
        <w:lang w:eastAsia="zh-CN"/>
      </w:rPr>
    </w:pPr>
    <w:r>
      <w:rPr>
        <w:rFonts w:hint="eastAsia"/>
        <w:sz w:val="21"/>
        <w:lang w:eastAsia="zh-CN"/>
      </w:rPr>
      <w:t>杭州市钱塘区政府采购公开招标文件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right"/>
      <w:rPr>
        <w:rFonts w:hint="eastAsia" w:eastAsia="宋体"/>
        <w:lang w:eastAsia="zh-CN"/>
      </w:rPr>
    </w:pPr>
    <w:r>
      <w:rPr>
        <w:rFonts w:hint="eastAsia"/>
        <w:sz w:val="21"/>
        <w:lang w:eastAsia="zh-CN"/>
      </w:rPr>
      <w:t>杭州市钱塘区政府采购公开招标文件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right"/>
      <w:rPr>
        <w:rFonts w:hint="eastAsia" w:eastAsia="宋体"/>
        <w:lang w:eastAsia="zh-CN"/>
      </w:rPr>
    </w:pPr>
    <w:r>
      <w:rPr>
        <w:rFonts w:hint="eastAsia"/>
        <w:sz w:val="21"/>
        <w:lang w:eastAsia="zh-CN"/>
      </w:rPr>
      <w:t>杭州市钱塘区政府采购公开招标文件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left"/>
      <w:rPr>
        <w:rFonts w:hint="eastAsia" w:eastAsia="宋体"/>
        <w:lang w:eastAsia="zh-CN"/>
      </w:rPr>
    </w:pPr>
    <w:r>
      <w:rPr>
        <w:rFonts w:hint="eastAsia"/>
        <w:sz w:val="21"/>
        <w:lang w:eastAsia="zh-CN"/>
      </w:rPr>
      <w:t>杭州市钱塘区政府采购公开招标文件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right"/>
      <w:rPr>
        <w:rFonts w:hint="eastAsia" w:eastAsia="宋体"/>
        <w:lang w:eastAsia="zh-CN"/>
      </w:rPr>
    </w:pPr>
    <w:r>
      <w:rPr>
        <w:rFonts w:hint="eastAsia"/>
        <w:sz w:val="21"/>
        <w:lang w:eastAsia="zh-CN"/>
      </w:rPr>
      <w:t>杭州市钱塘区政府采购公开招标文件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2E8E4"/>
    <w:multiLevelType w:val="singleLevel"/>
    <w:tmpl w:val="8722E8E4"/>
    <w:lvl w:ilvl="0" w:tentative="0">
      <w:start w:val="1"/>
      <w:numFmt w:val="decimal"/>
      <w:suff w:val="nothing"/>
      <w:lvlText w:val="%1、"/>
      <w:lvlJc w:val="left"/>
    </w:lvl>
  </w:abstractNum>
  <w:abstractNum w:abstractNumId="1">
    <w:nsid w:val="8CCE51F3"/>
    <w:multiLevelType w:val="singleLevel"/>
    <w:tmpl w:val="8CCE51F3"/>
    <w:lvl w:ilvl="0" w:tentative="0">
      <w:start w:val="3"/>
      <w:numFmt w:val="chineseCounting"/>
      <w:suff w:val="space"/>
      <w:lvlText w:val="第%1部分"/>
      <w:lvlJc w:val="left"/>
      <w:rPr>
        <w:rFonts w:hint="eastAsia"/>
      </w:rPr>
    </w:lvl>
  </w:abstractNum>
  <w:abstractNum w:abstractNumId="2">
    <w:nsid w:val="DCBBE15A"/>
    <w:multiLevelType w:val="singleLevel"/>
    <w:tmpl w:val="DCBBE15A"/>
    <w:lvl w:ilvl="0" w:tentative="0">
      <w:start w:val="5"/>
      <w:numFmt w:val="chineseCounting"/>
      <w:suff w:val="nothing"/>
      <w:lvlText w:val="%1、"/>
      <w:lvlJc w:val="left"/>
      <w:rPr>
        <w:rFonts w:hint="eastAsia"/>
      </w:rPr>
    </w:lvl>
  </w:abstractNum>
  <w:abstractNum w:abstractNumId="3">
    <w:nsid w:val="F5BD4A23"/>
    <w:multiLevelType w:val="singleLevel"/>
    <w:tmpl w:val="F5BD4A23"/>
    <w:lvl w:ilvl="0" w:tentative="0">
      <w:start w:val="2"/>
      <w:numFmt w:val="decimal"/>
      <w:suff w:val="nothing"/>
      <w:lvlText w:val="%1、"/>
      <w:lvlJc w:val="left"/>
    </w:lvl>
  </w:abstractNum>
  <w:abstractNum w:abstractNumId="4">
    <w:nsid w:val="618E92B6"/>
    <w:multiLevelType w:val="singleLevel"/>
    <w:tmpl w:val="618E92B6"/>
    <w:lvl w:ilvl="0" w:tentative="0">
      <w:start w:val="1"/>
      <w:numFmt w:val="decimal"/>
      <w:suff w:val="nothing"/>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MThkM2UyZDM4MmMyMDJkYzFmMjBlYjc4ZDU3N2QifQ=="/>
  </w:docVars>
  <w:rsids>
    <w:rsidRoot w:val="0FF30AC3"/>
    <w:rsid w:val="008E4BF4"/>
    <w:rsid w:val="018E4BC0"/>
    <w:rsid w:val="02BA529A"/>
    <w:rsid w:val="042D0B78"/>
    <w:rsid w:val="05505BF3"/>
    <w:rsid w:val="0742152A"/>
    <w:rsid w:val="08717678"/>
    <w:rsid w:val="08E50036"/>
    <w:rsid w:val="08F24E35"/>
    <w:rsid w:val="09532A47"/>
    <w:rsid w:val="09C023C3"/>
    <w:rsid w:val="0BC12EA6"/>
    <w:rsid w:val="0FF16911"/>
    <w:rsid w:val="0FF30AC3"/>
    <w:rsid w:val="138F0B1F"/>
    <w:rsid w:val="14512634"/>
    <w:rsid w:val="152623AC"/>
    <w:rsid w:val="16470CB3"/>
    <w:rsid w:val="19297759"/>
    <w:rsid w:val="1A295829"/>
    <w:rsid w:val="1ABE3837"/>
    <w:rsid w:val="1B343F97"/>
    <w:rsid w:val="1B362FB2"/>
    <w:rsid w:val="1F737547"/>
    <w:rsid w:val="2082265E"/>
    <w:rsid w:val="21152AF0"/>
    <w:rsid w:val="21513144"/>
    <w:rsid w:val="22B20386"/>
    <w:rsid w:val="25253151"/>
    <w:rsid w:val="25B05516"/>
    <w:rsid w:val="25D30D3F"/>
    <w:rsid w:val="272704BB"/>
    <w:rsid w:val="29932CBF"/>
    <w:rsid w:val="29A70519"/>
    <w:rsid w:val="2B940F71"/>
    <w:rsid w:val="2C1D4AC2"/>
    <w:rsid w:val="2F84282D"/>
    <w:rsid w:val="306A4EEC"/>
    <w:rsid w:val="31717F65"/>
    <w:rsid w:val="32C30B4D"/>
    <w:rsid w:val="32D01592"/>
    <w:rsid w:val="35F91E94"/>
    <w:rsid w:val="36944B9F"/>
    <w:rsid w:val="378105FB"/>
    <w:rsid w:val="399400D1"/>
    <w:rsid w:val="39DF0A74"/>
    <w:rsid w:val="3A3901A1"/>
    <w:rsid w:val="3AC86100"/>
    <w:rsid w:val="3BAB7694"/>
    <w:rsid w:val="42D9753D"/>
    <w:rsid w:val="43195B8C"/>
    <w:rsid w:val="43346E69"/>
    <w:rsid w:val="43380961"/>
    <w:rsid w:val="43F839F3"/>
    <w:rsid w:val="47214B68"/>
    <w:rsid w:val="47486A40"/>
    <w:rsid w:val="497004D0"/>
    <w:rsid w:val="4AD607AB"/>
    <w:rsid w:val="4B0D4DF5"/>
    <w:rsid w:val="4BC92119"/>
    <w:rsid w:val="4BE87652"/>
    <w:rsid w:val="524327D5"/>
    <w:rsid w:val="524E331C"/>
    <w:rsid w:val="5273095F"/>
    <w:rsid w:val="52CD5861"/>
    <w:rsid w:val="53023500"/>
    <w:rsid w:val="53147A62"/>
    <w:rsid w:val="54F46459"/>
    <w:rsid w:val="55073BE1"/>
    <w:rsid w:val="56731B2D"/>
    <w:rsid w:val="56990751"/>
    <w:rsid w:val="577F22AC"/>
    <w:rsid w:val="580701D5"/>
    <w:rsid w:val="580746F5"/>
    <w:rsid w:val="58BC5477"/>
    <w:rsid w:val="58ED0C9F"/>
    <w:rsid w:val="5AB74758"/>
    <w:rsid w:val="66EB4531"/>
    <w:rsid w:val="670B63D1"/>
    <w:rsid w:val="69041ADC"/>
    <w:rsid w:val="6B005971"/>
    <w:rsid w:val="6DEA70E5"/>
    <w:rsid w:val="70FD7FEB"/>
    <w:rsid w:val="71DE7E1D"/>
    <w:rsid w:val="73917ACF"/>
    <w:rsid w:val="76893B88"/>
    <w:rsid w:val="78EA52F9"/>
    <w:rsid w:val="7CA83501"/>
    <w:rsid w:val="7E7E5924"/>
    <w:rsid w:val="7F42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9">
    <w:name w:val="Plain Text"/>
    <w:basedOn w:val="1"/>
    <w:next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0"/>
    <w:pPr>
      <w:ind w:left="2100" w:leftChars="1000"/>
    </w:pPr>
  </w:style>
  <w:style w:type="paragraph" w:styleId="13">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4">
    <w:name w:val="Body Text First Indent"/>
    <w:basedOn w:val="6"/>
    <w:next w:val="1"/>
    <w:qFormat/>
    <w:uiPriority w:val="0"/>
    <w:pPr>
      <w:ind w:firstLine="420"/>
    </w:pPr>
    <w:rPr>
      <w:rFonts w:hAnsi="Times New Roman" w:cs="Times New Roman"/>
      <w:snapToGrid/>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rPr>
      <w:rFonts w:ascii="Arial" w:hAnsi="Arial" w:eastAsia="黑体" w:cs="Arial"/>
      <w:snapToGrid w:val="0"/>
      <w:kern w:val="0"/>
      <w:szCs w:val="21"/>
    </w:rPr>
  </w:style>
  <w:style w:type="paragraph" w:customStyle="1" w:styleId="1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0">
    <w:name w:val="正文2"/>
    <w:basedOn w:val="1"/>
    <w:qFormat/>
    <w:uiPriority w:val="0"/>
    <w:pPr>
      <w:spacing w:before="156" w:line="360" w:lineRule="auto"/>
      <w:ind w:firstLine="510" w:firstLineChars="200"/>
    </w:pPr>
    <w:rPr>
      <w:sz w:val="24"/>
      <w:szCs w:val="20"/>
    </w:rPr>
  </w:style>
  <w:style w:type="character" w:customStyle="1" w:styleId="21">
    <w:name w:val="fontstyle01"/>
    <w:qFormat/>
    <w:uiPriority w:val="0"/>
    <w:rPr>
      <w:rFonts w:hint="eastAsia" w:ascii="仿宋_GB2312" w:hAnsi="Times New Roman" w:eastAsia="仿宋_GB2312" w:cs="Times New Roman"/>
      <w:color w:val="000000"/>
      <w:sz w:val="24"/>
      <w:szCs w:val="24"/>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5正文"/>
    <w:basedOn w:val="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25">
    <w:name w:val="font01"/>
    <w:basedOn w:val="17"/>
    <w:qFormat/>
    <w:uiPriority w:val="0"/>
    <w:rPr>
      <w:rFonts w:hint="eastAsia" w:ascii="微软雅黑" w:hAnsi="微软雅黑" w:eastAsia="微软雅黑" w:cs="微软雅黑"/>
      <w:color w:val="000000"/>
      <w:sz w:val="20"/>
      <w:szCs w:val="20"/>
      <w:u w:val="none"/>
    </w:rPr>
  </w:style>
  <w:style w:type="paragraph" w:customStyle="1" w:styleId="26">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纯文本2"/>
    <w:basedOn w:val="31"/>
    <w:qFormat/>
    <w:uiPriority w:val="0"/>
    <w:pPr>
      <w:tabs>
        <w:tab w:val="right" w:leader="dot" w:pos="8268"/>
      </w:tabs>
      <w:adjustRightInd/>
      <w:snapToGrid w:val="0"/>
      <w:jc w:val="left"/>
    </w:pPr>
    <w:rPr>
      <w:rFonts w:ascii="Century Gothic" w:hAnsi="楷体_GB2312" w:eastAsia="Century Gothic"/>
      <w:szCs w:val="20"/>
    </w:rPr>
  </w:style>
  <w:style w:type="paragraph" w:customStyle="1" w:styleId="31">
    <w:name w:val="正文1"/>
    <w:basedOn w:val="8"/>
    <w:qFormat/>
    <w:uiPriority w:val="0"/>
    <w:pPr>
      <w:ind w:left="0" w:leftChars="0" w:firstLine="480" w:firstLineChars="200"/>
    </w:pPr>
    <w:rPr>
      <w:rFonts w:ascii="仿宋_GB2312" w:hAnsi="Courier New" w:eastAsia="仿宋_GB2312"/>
      <w:kern w:val="28"/>
      <w:sz w:val="24"/>
    </w:rPr>
  </w:style>
  <w:style w:type="paragraph" w:customStyle="1" w:styleId="3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43647</Words>
  <Characters>48049</Characters>
  <Lines>0</Lines>
  <Paragraphs>0</Paragraphs>
  <TotalTime>67</TotalTime>
  <ScaleCrop>false</ScaleCrop>
  <LinksUpToDate>false</LinksUpToDate>
  <CharactersWithSpaces>50883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2024-12-12T03:24:00Z</dcterms:created>
  <dc:creator>曹林荣</dc:creator>
  <cp:lastModifiedBy>宁岛</cp:lastModifiedBy>
  <cp:lastPrinted>2024-12-18T02:31:00Z</cp:lastPrinted>
  <dcterms:modified xsi:type="dcterms:W3CDTF">2024-12-27T03:28:11Z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6C3ED66B02E44D808E7E197B98864F7F_13</vt:lpwstr>
  </property>
  <property fmtid="{D5CDD505-2E9C-101B-9397-08002B2CF9AE}" pid="4" name="KSOTemplateDocerSaveRecord">
    <vt:lpwstr>eyJoZGlkIjoiNzU1OTAzNDllMjJhM2E3MmU2OWY4YWM1MWJmZmZjZjEiLCJ1c2VySWQiOiIxMDE4MjA0MjgwIn0=</vt:lpwstr>
  </property>
</Properties>
</file>