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F600C">
      <w:pPr>
        <w:spacing w:line="360" w:lineRule="auto"/>
        <w:jc w:val="center"/>
        <w:rPr>
          <w:rFonts w:cs="宋体" w:asciiTheme="majorEastAsia" w:hAnsiTheme="majorEastAsia" w:eastAsiaTheme="majorEastAsia"/>
          <w:b/>
          <w:sz w:val="44"/>
          <w:szCs w:val="44"/>
        </w:rPr>
      </w:pPr>
    </w:p>
    <w:p w14:paraId="42F8C872">
      <w:pPr>
        <w:pStyle w:val="2"/>
        <w:rPr>
          <w:rFonts w:asciiTheme="majorEastAsia" w:hAnsiTheme="majorEastAsia" w:eastAsiaTheme="majorEastAsia"/>
        </w:rPr>
      </w:pPr>
    </w:p>
    <w:p w14:paraId="1C2B4EAD">
      <w:pPr>
        <w:adjustRightInd/>
        <w:spacing w:line="360" w:lineRule="auto"/>
        <w:jc w:val="center"/>
        <w:rPr>
          <w:rFonts w:cs="仿宋_GB2312" w:asciiTheme="majorEastAsia" w:hAnsiTheme="majorEastAsia" w:eastAsiaTheme="majorEastAsia"/>
          <w:b/>
          <w:spacing w:val="-20"/>
          <w:sz w:val="44"/>
          <w:szCs w:val="44"/>
        </w:rPr>
      </w:pPr>
      <w:r>
        <w:rPr>
          <w:rFonts w:hint="eastAsia" w:cs="仿宋_GB2312" w:asciiTheme="majorEastAsia" w:hAnsiTheme="majorEastAsia" w:eastAsiaTheme="majorEastAsia"/>
          <w:b/>
          <w:spacing w:val="-20"/>
          <w:sz w:val="44"/>
          <w:szCs w:val="44"/>
        </w:rPr>
        <w:t>2024年省卫生健康信息中心电子政务维护服务项目</w:t>
      </w:r>
    </w:p>
    <w:p w14:paraId="0496828C">
      <w:pPr>
        <w:adjustRightInd/>
        <w:spacing w:line="360" w:lineRule="auto"/>
        <w:jc w:val="center"/>
        <w:rPr>
          <w:rFonts w:cs="仿宋_GB2312" w:asciiTheme="majorEastAsia" w:hAnsiTheme="majorEastAsia" w:eastAsiaTheme="majorEastAsia"/>
          <w:b/>
          <w:sz w:val="48"/>
          <w:szCs w:val="48"/>
        </w:rPr>
      </w:pPr>
    </w:p>
    <w:p w14:paraId="2FD56570">
      <w:pPr>
        <w:adjustRightInd/>
        <w:spacing w:line="360"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 xml:space="preserve">招标文件 </w:t>
      </w:r>
    </w:p>
    <w:p w14:paraId="61C3092B">
      <w:pPr>
        <w:adjustRightInd/>
        <w:spacing w:line="360" w:lineRule="auto"/>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 xml:space="preserve"> （电子招投标）</w:t>
      </w:r>
    </w:p>
    <w:p w14:paraId="68A06997">
      <w:pPr>
        <w:pStyle w:val="4"/>
        <w:jc w:val="center"/>
        <w:rPr>
          <w:rFonts w:asciiTheme="majorEastAsia" w:hAnsiTheme="majorEastAsia" w:eastAsiaTheme="majorEastAsia"/>
          <w:lang w:val="en-US"/>
        </w:rPr>
      </w:pPr>
      <w:r>
        <w:rPr>
          <w:rFonts w:cs="仿宋" w:asciiTheme="majorEastAsia" w:hAnsiTheme="majorEastAsia" w:eastAsiaTheme="majorEastAsia"/>
          <w:sz w:val="30"/>
          <w:szCs w:val="30"/>
          <w:lang w:val="en-US"/>
        </w:rPr>
        <w:drawing>
          <wp:inline distT="0" distB="0" distL="0" distR="0">
            <wp:extent cx="1771650" cy="1371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771650" cy="1371600"/>
                    </a:xfrm>
                    <a:prstGeom prst="rect">
                      <a:avLst/>
                    </a:prstGeom>
                    <a:noFill/>
                  </pic:spPr>
                </pic:pic>
              </a:graphicData>
            </a:graphic>
          </wp:inline>
        </w:drawing>
      </w:r>
    </w:p>
    <w:p w14:paraId="57B35379">
      <w:pPr>
        <w:snapToGrid w:val="0"/>
        <w:spacing w:line="360" w:lineRule="auto"/>
        <w:jc w:val="center"/>
        <w:rPr>
          <w:rFonts w:cs="宋体" w:asciiTheme="majorEastAsia" w:hAnsiTheme="majorEastAsia" w:eastAsiaTheme="majorEastAsia"/>
          <w:sz w:val="30"/>
          <w:szCs w:val="30"/>
        </w:rPr>
      </w:pPr>
    </w:p>
    <w:p w14:paraId="2F487797">
      <w:pPr>
        <w:snapToGrid w:val="0"/>
        <w:spacing w:line="360" w:lineRule="auto"/>
        <w:jc w:val="center"/>
        <w:rPr>
          <w:rFonts w:cs="宋体" w:asciiTheme="majorEastAsia" w:hAnsiTheme="majorEastAsia" w:eastAsiaTheme="majorEastAsia"/>
          <w:sz w:val="30"/>
          <w:szCs w:val="30"/>
        </w:rPr>
      </w:pPr>
      <w:r>
        <w:rPr>
          <w:rFonts w:hint="eastAsia" w:cs="宋体" w:asciiTheme="majorEastAsia" w:hAnsiTheme="majorEastAsia" w:eastAsiaTheme="majorEastAsia"/>
          <w:sz w:val="30"/>
          <w:szCs w:val="30"/>
        </w:rPr>
        <w:t>编号:</w:t>
      </w:r>
      <w:r>
        <w:rPr>
          <w:rFonts w:hint="eastAsia" w:cs="仿宋" w:asciiTheme="majorEastAsia" w:hAnsiTheme="majorEastAsia" w:eastAsiaTheme="majorEastAsia"/>
          <w:sz w:val="30"/>
          <w:szCs w:val="30"/>
        </w:rPr>
        <w:t xml:space="preserve"> CTZB-2024080126</w:t>
      </w:r>
    </w:p>
    <w:p w14:paraId="5E455E0D">
      <w:pPr>
        <w:adjustRightInd/>
        <w:spacing w:line="360" w:lineRule="auto"/>
        <w:rPr>
          <w:rFonts w:cs="宋体" w:asciiTheme="majorEastAsia" w:hAnsiTheme="majorEastAsia" w:eastAsiaTheme="majorEastAsia"/>
          <w:sz w:val="28"/>
          <w:szCs w:val="20"/>
        </w:rPr>
      </w:pPr>
    </w:p>
    <w:p w14:paraId="5D75C729">
      <w:pPr>
        <w:spacing w:line="360" w:lineRule="auto"/>
        <w:jc w:val="center"/>
        <w:rPr>
          <w:rFonts w:cs="宋体" w:asciiTheme="majorEastAsia" w:hAnsiTheme="majorEastAsia" w:eastAsiaTheme="majorEastAsia"/>
          <w:b/>
          <w:sz w:val="44"/>
          <w:szCs w:val="44"/>
        </w:rPr>
      </w:pPr>
    </w:p>
    <w:p w14:paraId="37006E6A">
      <w:pPr>
        <w:snapToGrid w:val="0"/>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采购单位：浙江省卫生健康信息中心</w:t>
      </w:r>
    </w:p>
    <w:p w14:paraId="5A6DDDA3">
      <w:pPr>
        <w:spacing w:line="360" w:lineRule="auto"/>
        <w:jc w:val="center"/>
        <w:rPr>
          <w:rFonts w:cs="宋体" w:asciiTheme="majorEastAsia" w:hAnsiTheme="majorEastAsia" w:eastAsiaTheme="majorEastAsia"/>
          <w:bCs/>
          <w:sz w:val="32"/>
          <w:szCs w:val="32"/>
        </w:rPr>
      </w:pPr>
      <w:r>
        <w:rPr>
          <w:rFonts w:hint="eastAsia" w:cs="仿宋" w:asciiTheme="majorEastAsia" w:hAnsiTheme="majorEastAsia" w:eastAsiaTheme="majorEastAsia"/>
          <w:bCs/>
          <w:sz w:val="32"/>
          <w:szCs w:val="32"/>
        </w:rPr>
        <w:t>采购代理机构：浙江省成套招标代理有限公司</w:t>
      </w:r>
    </w:p>
    <w:p w14:paraId="1E0DD986">
      <w:pPr>
        <w:snapToGrid w:val="0"/>
        <w:spacing w:line="360" w:lineRule="auto"/>
        <w:jc w:val="center"/>
        <w:rPr>
          <w:rFonts w:cs="宋体" w:asciiTheme="majorEastAsia" w:hAnsiTheme="majorEastAsia" w:eastAsiaTheme="majorEastAsia"/>
          <w:bCs/>
          <w:sz w:val="32"/>
          <w:szCs w:val="32"/>
        </w:rPr>
      </w:pPr>
      <w:r>
        <w:rPr>
          <w:rFonts w:hint="eastAsia" w:cs="宋体" w:asciiTheme="majorEastAsia" w:hAnsiTheme="majorEastAsia" w:eastAsiaTheme="majorEastAsia"/>
          <w:bCs/>
          <w:sz w:val="32"/>
          <w:szCs w:val="32"/>
        </w:rPr>
        <w:t>二〇二四年九月</w:t>
      </w:r>
    </w:p>
    <w:p w14:paraId="69A6E2FA">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br w:type="page"/>
      </w:r>
      <w:bookmarkStart w:id="0" w:name="_Hlt67893495"/>
      <w:bookmarkEnd w:id="0"/>
    </w:p>
    <w:p w14:paraId="74C3DBC4">
      <w:pPr>
        <w:adjustRightInd/>
        <w:spacing w:line="360" w:lineRule="auto"/>
        <w:jc w:val="center"/>
        <w:rPr>
          <w:rFonts w:cs="仿宋_GB2312" w:asciiTheme="majorEastAsia" w:hAnsiTheme="majorEastAsia" w:eastAsiaTheme="majorEastAsia"/>
          <w:b/>
          <w:sz w:val="48"/>
          <w:szCs w:val="48"/>
        </w:rPr>
      </w:pPr>
    </w:p>
    <w:p w14:paraId="3425068B">
      <w:pPr>
        <w:spacing w:line="360" w:lineRule="auto"/>
        <w:jc w:val="center"/>
        <w:rPr>
          <w:rFonts w:cs="宋体" w:asciiTheme="majorEastAsia" w:hAnsiTheme="majorEastAsia" w:eastAsiaTheme="majorEastAsia"/>
          <w:b/>
          <w:sz w:val="48"/>
          <w:szCs w:val="48"/>
        </w:rPr>
      </w:pPr>
      <w:r>
        <w:rPr>
          <w:rFonts w:hint="eastAsia" w:cs="宋体" w:asciiTheme="majorEastAsia" w:hAnsiTheme="majorEastAsia" w:eastAsiaTheme="majorEastAsia"/>
          <w:b/>
          <w:sz w:val="48"/>
          <w:szCs w:val="48"/>
        </w:rPr>
        <w:t>目  录</w:t>
      </w:r>
    </w:p>
    <w:p w14:paraId="07ABAC29">
      <w:pPr>
        <w:spacing w:line="360" w:lineRule="auto"/>
        <w:rPr>
          <w:rFonts w:cs="宋体" w:asciiTheme="majorEastAsia" w:hAnsiTheme="majorEastAsia" w:eastAsiaTheme="majorEastAsia"/>
          <w:sz w:val="32"/>
          <w:szCs w:val="32"/>
        </w:rPr>
      </w:pPr>
    </w:p>
    <w:p w14:paraId="00C9E8C9">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第一部分      招标公告</w:t>
      </w:r>
    </w:p>
    <w:p w14:paraId="3BFFA950">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第二部分      投标人须知</w:t>
      </w:r>
    </w:p>
    <w:p w14:paraId="1A20A255">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第三部分      采购需求</w:t>
      </w:r>
    </w:p>
    <w:p w14:paraId="38F52A6F">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第四部分      评标办法</w:t>
      </w:r>
    </w:p>
    <w:p w14:paraId="4773044B">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第五部分      拟签订的合同文本</w:t>
      </w:r>
    </w:p>
    <w:p w14:paraId="71FB10FF">
      <w:pPr>
        <w:spacing w:line="360" w:lineRule="auto"/>
        <w:ind w:firstLine="1280" w:firstLineChars="400"/>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第六部分      应提交的有关格式范例</w:t>
      </w:r>
    </w:p>
    <w:p w14:paraId="622B83DB">
      <w:pPr>
        <w:spacing w:line="360" w:lineRule="auto"/>
        <w:rPr>
          <w:rFonts w:cs="宋体" w:asciiTheme="majorEastAsia" w:hAnsiTheme="majorEastAsia" w:eastAsiaTheme="majorEastAsia"/>
          <w:sz w:val="24"/>
        </w:rPr>
      </w:pPr>
      <w:bookmarkStart w:id="1" w:name="_Hlt91233176"/>
      <w:bookmarkEnd w:id="1"/>
      <w:bookmarkStart w:id="2" w:name="_Toc91899869"/>
    </w:p>
    <w:p w14:paraId="63C7853C">
      <w:pPr>
        <w:adjustRightInd/>
        <w:spacing w:line="360" w:lineRule="auto"/>
        <w:jc w:val="center"/>
        <w:outlineLvl w:val="0"/>
        <w:rPr>
          <w:rFonts w:cs="宋体" w:asciiTheme="majorEastAsia" w:hAnsiTheme="majorEastAsia" w:eastAsiaTheme="majorEastAsia"/>
          <w:b/>
          <w:sz w:val="36"/>
          <w:szCs w:val="20"/>
        </w:rPr>
      </w:pPr>
      <w:bookmarkStart w:id="3" w:name="第一部分"/>
      <w:r>
        <w:rPr>
          <w:rFonts w:hint="eastAsia" w:cs="宋体" w:asciiTheme="majorEastAsia" w:hAnsiTheme="majorEastAsia" w:eastAsiaTheme="majorEastAsia"/>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宋体" w:asciiTheme="majorEastAsia" w:hAnsiTheme="majorEastAsia" w:eastAsiaTheme="majorEastAsia"/>
          <w:b/>
          <w:sz w:val="36"/>
          <w:szCs w:val="20"/>
        </w:rPr>
        <w:t>第一部分 招标公告</w:t>
      </w:r>
    </w:p>
    <w:p w14:paraId="70FF22BF">
      <w:pPr>
        <w:pBdr>
          <w:top w:val="single" w:color="auto" w:sz="4" w:space="1"/>
          <w:left w:val="single" w:color="auto" w:sz="4" w:space="4"/>
          <w:bottom w:val="single" w:color="auto" w:sz="4" w:space="1"/>
          <w:right w:val="single" w:color="auto" w:sz="4" w:space="4"/>
        </w:pBd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项目概况</w:t>
      </w:r>
    </w:p>
    <w:p w14:paraId="20580D15">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ajorEastAsia" w:hAnsiTheme="majorEastAsia" w:eastAsiaTheme="majorEastAsia"/>
          <w:sz w:val="24"/>
          <w:u w:val="single"/>
        </w:rPr>
      </w:pPr>
      <w:r>
        <w:rPr>
          <w:rFonts w:hint="eastAsia" w:cs="仿宋" w:asciiTheme="majorEastAsia" w:hAnsiTheme="majorEastAsia" w:eastAsiaTheme="majorEastAsia"/>
          <w:sz w:val="24"/>
          <w:u w:val="single"/>
        </w:rPr>
        <w:t>2024年省卫生健康信息中心电子政务维护服务项目</w:t>
      </w:r>
      <w:r>
        <w:rPr>
          <w:rFonts w:hint="eastAsia" w:cs="宋体" w:asciiTheme="majorEastAsia" w:hAnsiTheme="majorEastAsia" w:eastAsiaTheme="majorEastAsia"/>
          <w:sz w:val="24"/>
        </w:rPr>
        <w:t>招标项目的潜在投标人应在政采云平台（</w:t>
      </w:r>
      <w:r>
        <w:fldChar w:fldCharType="begin"/>
      </w:r>
      <w:r>
        <w:instrText xml:space="preserve"> HYPERLINK "https://www.zcygov.cn/）获取（下载）招标文件，并于2024年9月27日9点30分" </w:instrText>
      </w:r>
      <w:r>
        <w:fldChar w:fldCharType="separate"/>
      </w:r>
      <w:r>
        <w:rPr>
          <w:rStyle w:val="76"/>
          <w:rFonts w:hint="eastAsia" w:cs="宋体" w:asciiTheme="majorEastAsia" w:hAnsiTheme="majorEastAsia" w:eastAsiaTheme="majorEastAsia"/>
          <w:snapToGrid/>
          <w:color w:val="auto"/>
          <w:kern w:val="2"/>
          <w:sz w:val="24"/>
          <w:szCs w:val="24"/>
        </w:rPr>
        <w:t>https://www.zcygov.cn/）获取（下载）招标文件，并于2024年9月27日9点30分</w:t>
      </w:r>
      <w:r>
        <w:rPr>
          <w:rStyle w:val="76"/>
          <w:rFonts w:hint="eastAsia" w:cs="宋体" w:asciiTheme="majorEastAsia" w:hAnsiTheme="majorEastAsia" w:eastAsiaTheme="majorEastAsia"/>
          <w:snapToGrid/>
          <w:color w:val="auto"/>
          <w:kern w:val="2"/>
          <w:sz w:val="24"/>
          <w:szCs w:val="24"/>
        </w:rPr>
        <w:fldChar w:fldCharType="end"/>
      </w:r>
      <w:r>
        <w:rPr>
          <w:rFonts w:hint="eastAsia" w:cs="宋体" w:asciiTheme="majorEastAsia" w:hAnsiTheme="majorEastAsia" w:eastAsiaTheme="majorEastAsia"/>
          <w:bCs/>
          <w:sz w:val="24"/>
        </w:rPr>
        <w:t>（北京时间）前</w:t>
      </w:r>
      <w:r>
        <w:rPr>
          <w:rFonts w:hint="eastAsia" w:cs="宋体" w:asciiTheme="majorEastAsia" w:hAnsiTheme="majorEastAsia" w:eastAsiaTheme="majorEastAsia"/>
          <w:sz w:val="24"/>
        </w:rPr>
        <w:t>递交（上传）投标文件。</w:t>
      </w:r>
    </w:p>
    <w:p w14:paraId="4F92D395">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 xml:space="preserve">一、项目基本情况                                            </w:t>
      </w:r>
    </w:p>
    <w:p w14:paraId="2CED18CB">
      <w:pPr>
        <w:tabs>
          <w:tab w:val="left" w:pos="8217"/>
        </w:tabs>
        <w:spacing w:line="360" w:lineRule="auto"/>
        <w:ind w:firstLine="472" w:firstLineChars="196"/>
        <w:rPr>
          <w:rFonts w:cs="宋体" w:asciiTheme="majorEastAsia" w:hAnsiTheme="majorEastAsia" w:eastAsiaTheme="majorEastAsia"/>
          <w:b/>
          <w:sz w:val="24"/>
        </w:rPr>
      </w:pPr>
      <w:r>
        <w:rPr>
          <w:rFonts w:hint="eastAsia" w:cs="宋体" w:asciiTheme="majorEastAsia" w:hAnsiTheme="majorEastAsia" w:eastAsiaTheme="majorEastAsia"/>
          <w:b/>
          <w:sz w:val="24"/>
        </w:rPr>
        <w:t>项目编号：</w:t>
      </w:r>
      <w:r>
        <w:rPr>
          <w:rFonts w:hint="eastAsia" w:cs="仿宋" w:asciiTheme="majorEastAsia" w:hAnsiTheme="majorEastAsia" w:eastAsiaTheme="majorEastAsia"/>
          <w:b/>
          <w:sz w:val="24"/>
        </w:rPr>
        <w:t>CTZB-2024080126</w:t>
      </w:r>
      <w:r>
        <w:rPr>
          <w:rFonts w:cs="仿宋" w:asciiTheme="majorEastAsia" w:hAnsiTheme="majorEastAsia" w:eastAsiaTheme="majorEastAsia"/>
          <w:b/>
          <w:sz w:val="24"/>
        </w:rPr>
        <w:tab/>
      </w:r>
    </w:p>
    <w:p w14:paraId="69EB8697">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 xml:space="preserve">    项目名称：</w:t>
      </w:r>
      <w:r>
        <w:rPr>
          <w:rFonts w:hint="eastAsia" w:cs="仿宋" w:asciiTheme="majorEastAsia" w:hAnsiTheme="majorEastAsia" w:eastAsiaTheme="majorEastAsia"/>
          <w:b/>
          <w:sz w:val="24"/>
        </w:rPr>
        <w:t>2024年省卫生健康信息中心电子政务维护服务项目</w:t>
      </w:r>
    </w:p>
    <w:p w14:paraId="773825A4">
      <w:pPr>
        <w:spacing w:line="360" w:lineRule="auto"/>
        <w:rPr>
          <w:rFonts w:cs="宋体" w:asciiTheme="majorEastAsia" w:hAnsiTheme="majorEastAsia" w:eastAsiaTheme="majorEastAsia"/>
          <w:sz w:val="24"/>
        </w:rPr>
      </w:pPr>
      <w:r>
        <w:rPr>
          <w:rFonts w:hint="eastAsia" w:cs="宋体" w:asciiTheme="majorEastAsia" w:hAnsiTheme="majorEastAsia" w:eastAsiaTheme="majorEastAsia"/>
          <w:b/>
          <w:sz w:val="24"/>
        </w:rPr>
        <w:t xml:space="preserve">    预算金额（元）：</w:t>
      </w:r>
      <w:r>
        <w:rPr>
          <w:rFonts w:hint="eastAsia" w:cs="仿宋" w:asciiTheme="majorEastAsia" w:hAnsiTheme="majorEastAsia" w:eastAsiaTheme="majorEastAsia"/>
          <w:b/>
          <w:sz w:val="24"/>
        </w:rPr>
        <w:t>52</w:t>
      </w:r>
      <w:r>
        <w:rPr>
          <w:rFonts w:cs="仿宋" w:asciiTheme="majorEastAsia" w:hAnsiTheme="majorEastAsia" w:eastAsiaTheme="majorEastAsia"/>
          <w:b/>
          <w:sz w:val="24"/>
        </w:rPr>
        <w:t>0000.00</w:t>
      </w:r>
    </w:p>
    <w:p w14:paraId="11938076">
      <w:pPr>
        <w:spacing w:line="360" w:lineRule="auto"/>
        <w:ind w:firstLine="480"/>
        <w:rPr>
          <w:rFonts w:cs="宋体" w:asciiTheme="majorEastAsia" w:hAnsiTheme="majorEastAsia" w:eastAsiaTheme="majorEastAsia"/>
          <w:sz w:val="24"/>
        </w:rPr>
      </w:pPr>
      <w:r>
        <w:rPr>
          <w:rFonts w:hint="eastAsia" w:cs="宋体" w:asciiTheme="majorEastAsia" w:hAnsiTheme="majorEastAsia" w:eastAsiaTheme="majorEastAsia"/>
          <w:b/>
          <w:sz w:val="24"/>
        </w:rPr>
        <w:t>最高限价（元）：</w:t>
      </w:r>
      <w:r>
        <w:rPr>
          <w:rFonts w:hint="eastAsia" w:cs="仿宋" w:asciiTheme="majorEastAsia" w:hAnsiTheme="majorEastAsia" w:eastAsiaTheme="majorEastAsia"/>
          <w:b/>
          <w:sz w:val="24"/>
        </w:rPr>
        <w:t>52</w:t>
      </w:r>
      <w:r>
        <w:rPr>
          <w:rFonts w:cs="仿宋" w:asciiTheme="majorEastAsia" w:hAnsiTheme="majorEastAsia" w:eastAsiaTheme="majorEastAsia"/>
          <w:b/>
          <w:sz w:val="24"/>
        </w:rPr>
        <w:t>0000.00</w:t>
      </w:r>
    </w:p>
    <w:p w14:paraId="1CDF909A">
      <w:pPr>
        <w:pStyle w:val="2"/>
        <w:spacing w:line="360" w:lineRule="auto"/>
        <w:ind w:firstLine="480"/>
        <w:rPr>
          <w:rFonts w:cs="宋体" w:asciiTheme="majorEastAsia" w:hAnsiTheme="majorEastAsia" w:eastAsiaTheme="majorEastAsia"/>
          <w:bCs/>
          <w:snapToGrid/>
          <w:color w:val="auto"/>
          <w:kern w:val="2"/>
          <w:sz w:val="24"/>
          <w:szCs w:val="24"/>
        </w:rPr>
      </w:pPr>
      <w:r>
        <w:rPr>
          <w:rFonts w:hint="eastAsia" w:cs="宋体" w:asciiTheme="majorEastAsia" w:hAnsiTheme="majorEastAsia" w:eastAsiaTheme="majorEastAsia"/>
          <w:b/>
          <w:color w:val="auto"/>
          <w:sz w:val="24"/>
        </w:rPr>
        <w:t>采购需求：</w:t>
      </w:r>
      <w:r>
        <w:rPr>
          <w:rFonts w:hint="eastAsia" w:cs="仿宋" w:asciiTheme="majorEastAsia" w:hAnsiTheme="majorEastAsia" w:eastAsiaTheme="majorEastAsia"/>
          <w:color w:val="auto"/>
          <w:sz w:val="24"/>
        </w:rPr>
        <w:t>项目主要内容</w:t>
      </w:r>
      <w:r>
        <w:rPr>
          <w:rFonts w:hint="eastAsia" w:cs="仿宋" w:asciiTheme="majorEastAsia" w:hAnsiTheme="majorEastAsia" w:eastAsiaTheme="majorEastAsia"/>
          <w:color w:val="auto"/>
          <w:kern w:val="0"/>
          <w:sz w:val="24"/>
        </w:rPr>
        <w:t>为（1）公款竞争性存款维护；（2）省卫生健康委2023年度档案扫描服务；（3）机关处长和事业单位领导述职报告；（4）省卫生健康委网站群运维监测平台服务；（5）机关和退休干部考试学习维护；（6）行政办公一体化平台系统运维及技术支持等服务。</w:t>
      </w:r>
      <w:r>
        <w:rPr>
          <w:rFonts w:hint="eastAsia" w:asciiTheme="majorEastAsia" w:hAnsiTheme="majorEastAsia" w:eastAsiaTheme="majorEastAsia"/>
          <w:snapToGrid/>
          <w:color w:val="auto"/>
          <w:kern w:val="2"/>
          <w:sz w:val="24"/>
          <w:szCs w:val="24"/>
        </w:rPr>
        <w:t>具体以招标文件第三部分采购需求为准，供应商可点击本公告下方“浏览采购文件”查看采购需求。</w:t>
      </w:r>
    </w:p>
    <w:p w14:paraId="4EC4F9BE">
      <w:pPr>
        <w:pStyle w:val="2"/>
        <w:spacing w:line="360" w:lineRule="auto"/>
        <w:ind w:firstLine="48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合同履约期限：</w:t>
      </w:r>
      <w:r>
        <w:rPr>
          <w:rFonts w:hint="eastAsia" w:asciiTheme="majorEastAsia" w:hAnsiTheme="majorEastAsia" w:eastAsiaTheme="majorEastAsia"/>
          <w:bCs/>
          <w:color w:val="auto"/>
          <w:sz w:val="24"/>
          <w:szCs w:val="24"/>
        </w:rPr>
        <w:t>合同签订后一年。</w:t>
      </w:r>
    </w:p>
    <w:p w14:paraId="7574766C">
      <w:pPr>
        <w:pStyle w:val="2"/>
        <w:spacing w:line="360" w:lineRule="auto"/>
        <w:ind w:firstLine="480"/>
        <w:rPr>
          <w:rFonts w:cs="宋体" w:asciiTheme="majorEastAsia" w:hAnsiTheme="majorEastAsia" w:eastAsiaTheme="majorEastAsia"/>
          <w:b/>
          <w:color w:val="auto"/>
        </w:rPr>
      </w:pPr>
      <w:r>
        <w:rPr>
          <w:rFonts w:hint="eastAsia" w:cs="宋体" w:asciiTheme="majorEastAsia" w:hAnsiTheme="majorEastAsia" w:eastAsiaTheme="majorEastAsia"/>
          <w:b/>
          <w:color w:val="auto"/>
          <w:sz w:val="24"/>
        </w:rPr>
        <w:t>本项目接受联合体投标：</w:t>
      </w:r>
      <w:sdt>
        <w:sdtPr>
          <w:rPr>
            <w:rFonts w:cs="宋体" w:asciiTheme="majorEastAsia" w:hAnsiTheme="majorEastAsia" w:eastAsiaTheme="majorEastAsia"/>
            <w:color w:val="auto"/>
            <w:kern w:val="0"/>
            <w:sz w:val="24"/>
          </w:rPr>
          <w:id w:val="-441836950"/>
        </w:sdtPr>
        <w:sdtEndPr>
          <w:rPr>
            <w:rFonts w:cs="宋体" w:asciiTheme="majorEastAsia" w:hAnsiTheme="majorEastAsia" w:eastAsiaTheme="majorEastAsia"/>
            <w:color w:val="auto"/>
            <w:kern w:val="0"/>
            <w:sz w:val="24"/>
          </w:rPr>
        </w:sdtEndPr>
        <w:sdtContent>
          <w:r>
            <w:rPr>
              <w:rFonts w:cs="宋体" w:asciiTheme="majorEastAsia" w:hAnsiTheme="majorEastAsia" w:eastAsiaTheme="majorEastAsia"/>
              <w:color w:val="auto"/>
              <w:kern w:val="0"/>
              <w:sz w:val="24"/>
            </w:rPr>
            <w:sym w:font="Wingdings" w:char="F0FE"/>
          </w:r>
        </w:sdtContent>
      </w:sdt>
      <w:r>
        <w:rPr>
          <w:rFonts w:hint="eastAsia" w:cs="宋体" w:asciiTheme="majorEastAsia" w:hAnsiTheme="majorEastAsia" w:eastAsiaTheme="majorEastAsia"/>
          <w:b/>
          <w:color w:val="auto"/>
          <w:sz w:val="24"/>
        </w:rPr>
        <w:t>是；</w:t>
      </w:r>
      <w:sdt>
        <w:sdtPr>
          <w:rPr>
            <w:rFonts w:cs="宋体" w:asciiTheme="majorEastAsia" w:hAnsiTheme="majorEastAsia" w:eastAsiaTheme="majorEastAsia"/>
            <w:color w:val="auto"/>
            <w:kern w:val="0"/>
            <w:sz w:val="24"/>
          </w:rPr>
          <w:id w:val="-1591624199"/>
        </w:sdtPr>
        <w:sdtEndPr>
          <w:rPr>
            <w:rFonts w:cs="宋体" w:asciiTheme="majorEastAsia" w:hAnsiTheme="majorEastAsia" w:eastAsiaTheme="maj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ajorEastAsia" w:hAnsiTheme="majorEastAsia" w:eastAsiaTheme="majorEastAsia"/>
          <w:b/>
          <w:color w:val="auto"/>
          <w:sz w:val="24"/>
        </w:rPr>
        <w:t>否</w:t>
      </w:r>
      <w:r>
        <w:rPr>
          <w:rFonts w:hint="eastAsia" w:cs="宋体" w:asciiTheme="majorEastAsia" w:hAnsiTheme="majorEastAsia" w:eastAsiaTheme="majorEastAsia"/>
          <w:color w:val="auto"/>
          <w:kern w:val="0"/>
          <w:sz w:val="24"/>
        </w:rPr>
        <w:t>。</w:t>
      </w:r>
    </w:p>
    <w:p w14:paraId="6BB60FCA">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二、申请人的资格要求：</w:t>
      </w:r>
    </w:p>
    <w:p w14:paraId="1C770689">
      <w:pPr>
        <w:spacing w:line="360" w:lineRule="auto"/>
        <w:ind w:firstLine="480"/>
        <w:rPr>
          <w:rFonts w:cs="宋体" w:asciiTheme="majorEastAsia" w:hAnsiTheme="majorEastAsia" w:eastAsiaTheme="majorEastAsia"/>
          <w:snapToGrid w:val="0"/>
          <w:kern w:val="28"/>
          <w:sz w:val="24"/>
          <w:szCs w:val="20"/>
        </w:rPr>
      </w:pPr>
      <w:r>
        <w:rPr>
          <w:rFonts w:hint="eastAsia" w:cs="宋体" w:asciiTheme="majorEastAsia" w:hAnsiTheme="majorEastAsia" w:eastAsiaTheme="maj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143923B">
      <w:pPr>
        <w:spacing w:line="360" w:lineRule="auto"/>
        <w:rPr>
          <w:rFonts w:cs="宋体" w:asciiTheme="majorEastAsia" w:hAnsiTheme="majorEastAsia" w:eastAsiaTheme="majorEastAsia"/>
          <w:snapToGrid w:val="0"/>
          <w:kern w:val="28"/>
          <w:sz w:val="24"/>
          <w:szCs w:val="20"/>
        </w:rPr>
      </w:pPr>
      <w:r>
        <w:rPr>
          <w:rFonts w:hint="eastAsia" w:cs="宋体" w:asciiTheme="majorEastAsia" w:hAnsiTheme="majorEastAsia" w:eastAsiaTheme="majorEastAsia"/>
          <w:snapToGrid w:val="0"/>
          <w:kern w:val="28"/>
          <w:sz w:val="24"/>
          <w:szCs w:val="20"/>
        </w:rPr>
        <w:t xml:space="preserve">    2.落实政府采购政策需满足的资格要求：</w:t>
      </w:r>
    </w:p>
    <w:p w14:paraId="0FFF2D46">
      <w:pPr>
        <w:spacing w:line="360" w:lineRule="auto"/>
        <w:ind w:firstLine="480" w:firstLineChars="200"/>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928616923"/>
        </w:sdtPr>
        <w:sdtEndPr>
          <w:rPr>
            <w:rFonts w:hint="eastAsia" w:cs="宋体" w:asciiTheme="majorEastAsia" w:hAnsiTheme="majorEastAsia" w:eastAsiaTheme="majorEastAsia"/>
            <w:kern w:val="0"/>
            <w:sz w:val="24"/>
          </w:rPr>
        </w:sdtEndPr>
        <w:sdtContent>
          <w:sdt>
            <w:sdtPr>
              <w:rPr>
                <w:rFonts w:hint="eastAsia" w:cs="宋体" w:asciiTheme="majorEastAsia" w:hAnsiTheme="majorEastAsia" w:eastAsiaTheme="majorEastAsia"/>
                <w:kern w:val="0"/>
                <w:sz w:val="24"/>
              </w:rPr>
              <w:id w:val="-1513914042"/>
            </w:sdtPr>
            <w:sdtEndPr>
              <w:rPr>
                <w:rFonts w:hint="eastAsia" w:cs="宋体" w:asciiTheme="majorEastAsia" w:hAnsiTheme="majorEastAsia" w:eastAsiaTheme="majorEastAsia"/>
                <w:kern w:val="0"/>
                <w:sz w:val="24"/>
              </w:rPr>
            </w:sdtEndPr>
            <w:sdtContent>
              <w:sdt>
                <w:sdtPr>
                  <w:rPr>
                    <w:rFonts w:hint="eastAsia" w:cs="宋体" w:asciiTheme="majorEastAsia" w:hAnsiTheme="majorEastAsia" w:eastAsiaTheme="majorEastAsia"/>
                    <w:kern w:val="0"/>
                    <w:sz w:val="24"/>
                  </w:rPr>
                  <w:id w:val="-714964589"/>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sdtContent>
          </w:sdt>
        </w:sdtContent>
      </w:sdt>
      <w:r>
        <w:rPr>
          <w:rFonts w:hint="eastAsia" w:cs="宋体" w:asciiTheme="majorEastAsia" w:hAnsiTheme="majorEastAsia" w:eastAsiaTheme="majorEastAsia"/>
          <w:sz w:val="24"/>
        </w:rPr>
        <w:t>无</w:t>
      </w:r>
      <w:r>
        <w:rPr>
          <w:rFonts w:hint="eastAsia" w:cs="宋体" w:asciiTheme="majorEastAsia" w:hAnsiTheme="majorEastAsia" w:eastAsiaTheme="majorEastAsia"/>
          <w:snapToGrid w:val="0"/>
          <w:kern w:val="28"/>
          <w:sz w:val="24"/>
          <w:szCs w:val="20"/>
        </w:rPr>
        <w:t>（注：不得限制大中型企业与小微企业组成联合体参与投标）；</w:t>
      </w:r>
    </w:p>
    <w:p w14:paraId="26DB19EB">
      <w:pPr>
        <w:spacing w:line="360" w:lineRule="auto"/>
        <w:ind w:firstLine="480" w:firstLineChars="200"/>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024704304"/>
        </w:sdtPr>
        <w:sdtEndPr>
          <w:rPr>
            <w:rFonts w:hint="eastAsia" w:cs="宋体" w:asciiTheme="majorEastAsia" w:hAnsiTheme="majorEastAsia" w:eastAsiaTheme="majorEastAsia"/>
            <w:kern w:val="0"/>
            <w:sz w:val="24"/>
          </w:rPr>
        </w:sdtEndPr>
        <w:sdtContent>
          <w:sdt>
            <w:sdtPr>
              <w:rPr>
                <w:rFonts w:hint="eastAsia" w:cs="宋体" w:asciiTheme="majorEastAsia" w:hAnsiTheme="majorEastAsia" w:eastAsiaTheme="majorEastAsia"/>
                <w:kern w:val="0"/>
                <w:sz w:val="24"/>
              </w:rPr>
              <w:id w:val="1476712663"/>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sdtContent>
      </w:sdt>
      <w:r>
        <w:rPr>
          <w:rFonts w:hint="eastAsia" w:cs="宋体" w:asciiTheme="majorEastAsia" w:hAnsiTheme="majorEastAsia" w:eastAsiaTheme="majorEastAsia"/>
          <w:kern w:val="0"/>
          <w:sz w:val="24"/>
        </w:rPr>
        <w:t>专</w:t>
      </w:r>
      <w:r>
        <w:rPr>
          <w:rFonts w:hint="eastAsia" w:cs="宋体" w:asciiTheme="majorEastAsia" w:hAnsiTheme="majorEastAsia" w:eastAsiaTheme="majorEastAsia"/>
          <w:sz w:val="24"/>
        </w:rPr>
        <w:t>门面向中小企业</w:t>
      </w:r>
    </w:p>
    <w:p w14:paraId="3E0A9326">
      <w:pPr>
        <w:spacing w:line="360" w:lineRule="auto"/>
        <w:ind w:firstLine="897" w:firstLineChars="374"/>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333685401"/>
        </w:sdtPr>
        <w:sdtEndPr>
          <w:rPr>
            <w:rFonts w:hint="eastAsia" w:cs="宋体" w:asciiTheme="majorEastAsia" w:hAnsiTheme="majorEastAsia" w:eastAsiaTheme="majorEastAsia"/>
            <w:kern w:val="0"/>
            <w:sz w:val="24"/>
          </w:rPr>
        </w:sdtEndPr>
        <w:sdtContent>
          <w:sdt>
            <w:sdtPr>
              <w:rPr>
                <w:rFonts w:hint="eastAsia" w:cs="宋体" w:asciiTheme="majorEastAsia" w:hAnsiTheme="majorEastAsia" w:eastAsiaTheme="majorEastAsia"/>
                <w:kern w:val="0"/>
                <w:sz w:val="24"/>
              </w:rPr>
              <w:id w:val="-1589997752"/>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sdtContent>
      </w:sdt>
      <w:r>
        <w:rPr>
          <w:rFonts w:hint="eastAsia" w:cs="宋体" w:asciiTheme="majorEastAsia" w:hAnsiTheme="majorEastAsia" w:eastAsiaTheme="majorEastAsia"/>
          <w:sz w:val="24"/>
        </w:rPr>
        <w:t>服务全部由符合政策要求的中小企业承接，提供中小企业声明函；</w:t>
      </w:r>
    </w:p>
    <w:p w14:paraId="385C266A">
      <w:pPr>
        <w:snapToGrid w:val="0"/>
        <w:spacing w:line="360" w:lineRule="auto"/>
        <w:ind w:firstLine="480" w:firstLineChars="200"/>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985607795"/>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z w:val="24"/>
        </w:rPr>
        <w:t>要求以联合体形式参加，提供联合协议和中小企业声明函，联合协议中中小企业合同金额应当达到%，小微企业合同金额应当达到%;</w:t>
      </w:r>
      <w:r>
        <w:rPr>
          <w:rFonts w:hint="eastAsia" w:cs="宋体" w:asciiTheme="majorEastAsia" w:hAnsiTheme="majorEastAsia" w:eastAsiaTheme="maj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宋体" w:asciiTheme="majorEastAsia" w:hAnsiTheme="majorEastAsia" w:eastAsiaTheme="majorEastAsia"/>
          <w:sz w:val="24"/>
        </w:rPr>
        <w:t>；</w:t>
      </w:r>
    </w:p>
    <w:p w14:paraId="128E92A5">
      <w:pPr>
        <w:snapToGrid w:val="0"/>
        <w:spacing w:line="360" w:lineRule="auto"/>
        <w:ind w:firstLine="480" w:firstLineChars="200"/>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34630645"/>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z w:val="24"/>
        </w:rPr>
        <w:t>要求合同分包，提供分包意向协议和中小企业声明函，分包意向协议中中小企业合同金额应当达到达到% ，小微企业合同金额应当达到% ;</w:t>
      </w:r>
      <w:r>
        <w:rPr>
          <w:rFonts w:hint="eastAsia" w:cs="宋体" w:asciiTheme="majorEastAsia" w:hAnsiTheme="majorEastAsia" w:eastAsiaTheme="maj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cs="宋体" w:asciiTheme="majorEastAsia" w:hAnsiTheme="majorEastAsia" w:eastAsiaTheme="majorEastAsia"/>
          <w:sz w:val="24"/>
        </w:rPr>
        <w:t>。</w:t>
      </w:r>
    </w:p>
    <w:p w14:paraId="190F2824">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3.本项目的特定资格要求：无。</w:t>
      </w:r>
    </w:p>
    <w:p w14:paraId="78D17F94">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 xml:space="preserve">三、获取招标文件 </w:t>
      </w:r>
    </w:p>
    <w:p w14:paraId="42A62719">
      <w:pPr>
        <w:spacing w:line="360" w:lineRule="auto"/>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时间：</w:t>
      </w:r>
      <w:r>
        <w:rPr>
          <w:rFonts w:hint="eastAsia" w:cs="宋体" w:asciiTheme="majorEastAsia" w:hAnsiTheme="majorEastAsia" w:eastAsiaTheme="majorEastAsia"/>
          <w:sz w:val="24"/>
        </w:rPr>
        <w:t>/至</w:t>
      </w:r>
      <w:r>
        <w:rPr>
          <w:rFonts w:hint="eastAsia" w:cs="宋体" w:asciiTheme="majorEastAsia" w:hAnsiTheme="majorEastAsia" w:eastAsiaTheme="majorEastAsia"/>
          <w:sz w:val="24"/>
          <w:u w:val="single"/>
        </w:rPr>
        <w:t>2024年9月27日</w:t>
      </w:r>
      <w:r>
        <w:rPr>
          <w:rFonts w:hint="eastAsia" w:cs="宋体" w:asciiTheme="majorEastAsia" w:hAnsiTheme="majorEastAsia" w:eastAsiaTheme="majorEastAsia"/>
          <w:sz w:val="24"/>
        </w:rPr>
        <w:t>，每天上午00:00至12:00 ，下午12:00至23:59（北京时间，线上获取法定节假日均可，线下获取文件法定节假日除外）</w:t>
      </w:r>
    </w:p>
    <w:p w14:paraId="4A3FD1A9">
      <w:pPr>
        <w:spacing w:line="440" w:lineRule="exact"/>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地点（网址）：</w:t>
      </w:r>
      <w:r>
        <w:rPr>
          <w:rFonts w:hint="eastAsia" w:cs="宋体" w:asciiTheme="majorEastAsia" w:hAnsiTheme="majorEastAsia" w:eastAsiaTheme="majorEastAsia"/>
          <w:sz w:val="24"/>
        </w:rPr>
        <w:t xml:space="preserve">政采云平台（https://www.zcygov.cn/） </w:t>
      </w:r>
    </w:p>
    <w:p w14:paraId="555CB58A">
      <w:pPr>
        <w:spacing w:line="440" w:lineRule="exact"/>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方式：</w:t>
      </w:r>
      <w:r>
        <w:rPr>
          <w:rFonts w:hint="eastAsia" w:cs="宋体" w:asciiTheme="majorEastAsia" w:hAnsiTheme="majorEastAsia" w:eastAsiaTheme="majorEastAsia"/>
          <w:sz w:val="24"/>
        </w:rPr>
        <w:t xml:space="preserve">供应商登录政采云平台https://www.zcygov.cn/在线申请获取采购文件（进入“项目采购”应用，在获取采购文件菜单中选择项目，申请获取采购文件）。 </w:t>
      </w:r>
    </w:p>
    <w:p w14:paraId="33440EC6">
      <w:pPr>
        <w:spacing w:line="440" w:lineRule="exact"/>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售价（元）：</w:t>
      </w:r>
      <w:r>
        <w:rPr>
          <w:rFonts w:hint="eastAsia" w:cs="宋体" w:asciiTheme="majorEastAsia" w:hAnsiTheme="majorEastAsia" w:eastAsiaTheme="majorEastAsia"/>
          <w:sz w:val="24"/>
        </w:rPr>
        <w:t xml:space="preserve">0 </w:t>
      </w:r>
      <w:r>
        <w:rPr>
          <w:rFonts w:hint="eastAsia" w:cs="宋体" w:asciiTheme="majorEastAsia" w:hAnsiTheme="majorEastAsia" w:eastAsiaTheme="majorEastAsia"/>
          <w:sz w:val="24"/>
        </w:rPr>
        <w:tab/>
      </w:r>
    </w:p>
    <w:p w14:paraId="565E4EA9">
      <w:pPr>
        <w:spacing w:line="440" w:lineRule="exact"/>
        <w:rPr>
          <w:rFonts w:cs="宋体" w:asciiTheme="majorEastAsia" w:hAnsiTheme="majorEastAsia" w:eastAsiaTheme="majorEastAsia"/>
          <w:b/>
          <w:sz w:val="24"/>
        </w:rPr>
      </w:pPr>
      <w:r>
        <w:rPr>
          <w:rFonts w:hint="eastAsia" w:cs="宋体" w:asciiTheme="majorEastAsia" w:hAnsiTheme="majorEastAsia" w:eastAsiaTheme="majorEastAsia"/>
          <w:b/>
          <w:sz w:val="24"/>
        </w:rPr>
        <w:t>四、提交投标文件截止时间、开标时间和地点</w:t>
      </w:r>
    </w:p>
    <w:p w14:paraId="099305A7">
      <w:pPr>
        <w:spacing w:line="440" w:lineRule="exact"/>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提交投标文件截止时间：</w:t>
      </w:r>
      <w:r>
        <w:rPr>
          <w:rFonts w:hint="eastAsia" w:cs="宋体" w:asciiTheme="majorEastAsia" w:hAnsiTheme="majorEastAsia" w:eastAsiaTheme="majorEastAsia"/>
          <w:sz w:val="24"/>
          <w:u w:val="single"/>
        </w:rPr>
        <w:t>2024年9月27日9点30分</w:t>
      </w:r>
      <w:r>
        <w:rPr>
          <w:rFonts w:hint="eastAsia" w:cs="宋体" w:asciiTheme="majorEastAsia" w:hAnsiTheme="majorEastAsia" w:eastAsiaTheme="majorEastAsia"/>
          <w:sz w:val="24"/>
        </w:rPr>
        <w:t>（北京时间）</w:t>
      </w:r>
    </w:p>
    <w:p w14:paraId="3446E6E7">
      <w:pPr>
        <w:spacing w:line="440" w:lineRule="exact"/>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投标地点（网址）：</w:t>
      </w:r>
      <w:r>
        <w:rPr>
          <w:rFonts w:hint="eastAsia" w:cs="宋体" w:asciiTheme="majorEastAsia" w:hAnsiTheme="majorEastAsia" w:eastAsiaTheme="majorEastAsia"/>
          <w:sz w:val="24"/>
        </w:rPr>
        <w:t xml:space="preserve">政采云平台（https://www.zcygov.cn/） </w:t>
      </w:r>
    </w:p>
    <w:p w14:paraId="5D5A09BD">
      <w:pPr>
        <w:spacing w:line="440" w:lineRule="exact"/>
        <w:ind w:firstLine="482" w:firstLineChars="200"/>
        <w:rPr>
          <w:rFonts w:cs="宋体" w:asciiTheme="majorEastAsia" w:hAnsiTheme="majorEastAsia" w:eastAsiaTheme="majorEastAsia"/>
          <w:bCs/>
          <w:sz w:val="24"/>
          <w:u w:val="single"/>
        </w:rPr>
      </w:pPr>
      <w:r>
        <w:rPr>
          <w:rFonts w:hint="eastAsia" w:cs="宋体" w:asciiTheme="majorEastAsia" w:hAnsiTheme="majorEastAsia" w:eastAsiaTheme="majorEastAsia"/>
          <w:b/>
          <w:sz w:val="24"/>
        </w:rPr>
        <w:t>开标时间：</w:t>
      </w:r>
      <w:r>
        <w:rPr>
          <w:rFonts w:hint="eastAsia" w:cs="宋体" w:asciiTheme="majorEastAsia" w:hAnsiTheme="majorEastAsia" w:eastAsiaTheme="majorEastAsia"/>
          <w:sz w:val="24"/>
          <w:u w:val="single"/>
        </w:rPr>
        <w:t>2024年9月227日9点30分</w:t>
      </w:r>
    </w:p>
    <w:p w14:paraId="276FF312">
      <w:pPr>
        <w:spacing w:line="440" w:lineRule="exact"/>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开标地点（网址）：</w:t>
      </w:r>
      <w:r>
        <w:rPr>
          <w:rFonts w:hint="eastAsia" w:cs="宋体" w:asciiTheme="majorEastAsia" w:hAnsiTheme="majorEastAsia" w:eastAsiaTheme="majorEastAsia"/>
          <w:sz w:val="24"/>
        </w:rPr>
        <w:t>政采云平台（https://www.zcygov.cn/）</w:t>
      </w:r>
    </w:p>
    <w:p w14:paraId="76FC0B5F">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b/>
          <w:sz w:val="24"/>
        </w:rPr>
        <w:t xml:space="preserve">五、公告期限 </w:t>
      </w:r>
    </w:p>
    <w:p w14:paraId="0DA875EB">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自本公告发布之日起5个工作日。</w:t>
      </w:r>
    </w:p>
    <w:p w14:paraId="72D0A515">
      <w:pPr>
        <w:spacing w:line="440" w:lineRule="exact"/>
        <w:rPr>
          <w:rFonts w:cs="宋体" w:asciiTheme="majorEastAsia" w:hAnsiTheme="majorEastAsia" w:eastAsiaTheme="majorEastAsia"/>
          <w:b/>
          <w:sz w:val="24"/>
        </w:rPr>
      </w:pPr>
      <w:r>
        <w:rPr>
          <w:rFonts w:hint="eastAsia" w:cs="宋体" w:asciiTheme="majorEastAsia" w:hAnsiTheme="majorEastAsia" w:eastAsiaTheme="majorEastAsia"/>
          <w:b/>
          <w:sz w:val="24"/>
        </w:rPr>
        <w:t>六、其他补充事宜</w:t>
      </w:r>
    </w:p>
    <w:p w14:paraId="0052A0E0">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 1.</w:t>
      </w:r>
      <w:r>
        <w:rPr>
          <w:rFonts w:cs="宋体" w:asciiTheme="majorEastAsia" w:hAnsiTheme="majorEastAsia" w:eastAsiaTheme="maj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sz w:val="24"/>
        </w:rPr>
        <w:t>。</w:t>
      </w:r>
    </w:p>
    <w:p w14:paraId="706A5B16">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8B10CA">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C212E">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4.其他事项：</w:t>
      </w:r>
    </w:p>
    <w:p w14:paraId="253DDD04">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（1）需要落实的政府采购政策：包括节约资源、保护环境、支持创新、促进中小企业发展等。详见招标文件的第二部分总则。</w:t>
      </w:r>
    </w:p>
    <w:p w14:paraId="127E4A73">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ECBECA3">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（3）电子招投标的说明：</w:t>
      </w:r>
    </w:p>
    <w:p w14:paraId="20D130ED">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①电子招投标：本项目以数据电文形式，依托“政府采购云平台（www.zcygov.cn）”进行招投标活动，不接受纸质投标文件；</w:t>
      </w:r>
    </w:p>
    <w:p w14:paraId="277F483C">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8CE6D7C">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③招标文件的获取：使用账号登录或者使用CA登录政采云平台；进入“项目采购”应用，在获取采购文件菜单中选择项目，获取招标文件；</w:t>
      </w:r>
    </w:p>
    <w:p w14:paraId="62DFB067">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④投标文件的制作：在“政采云电子交易客户端”中完成“填写基本信息”、“导入投标文件”、“标书关联”、“标书检查”、“电子签名”、“生成电子标书”等操作；</w:t>
      </w:r>
    </w:p>
    <w:p w14:paraId="11FD2F5D">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⑤采购人、采购代理机构将依托政采云平台完成本项目的电子交易活动，平台不接受未按上述方式获取招标文件的供应商进行投标活动；</w:t>
      </w:r>
    </w:p>
    <w:p w14:paraId="5D0D3206">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⑥对未按上述方式获取招标文件的供应商对该文件提出的质疑，采购人或采购代理机构将不予处理；</w:t>
      </w:r>
    </w:p>
    <w:p w14:paraId="37B28835">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⑦不提供招标文件纸质版；</w:t>
      </w:r>
    </w:p>
    <w:p w14:paraId="418E5848">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3CD0E5B7">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1D4D125D">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⑩具体操作指南：详见政采云平台“服务中心-帮助文档-项目采购-操作流程-电子招投标-政府采购项目电子交易管理操作指南-供应商”。</w:t>
      </w:r>
    </w:p>
    <w:p w14:paraId="1D16E2DD">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（4）招标文件公告期限与招标公告的公告期限一致</w:t>
      </w:r>
    </w:p>
    <w:p w14:paraId="5C09E7E8">
      <w:pPr>
        <w:spacing w:line="440" w:lineRule="exact"/>
        <w:rPr>
          <w:rFonts w:cs="宋体" w:asciiTheme="majorEastAsia" w:hAnsiTheme="majorEastAsia" w:eastAsiaTheme="majorEastAsia"/>
          <w:b/>
          <w:sz w:val="24"/>
        </w:rPr>
      </w:pPr>
      <w:r>
        <w:rPr>
          <w:rFonts w:hint="eastAsia" w:cs="宋体" w:asciiTheme="majorEastAsia" w:hAnsiTheme="majorEastAsia" w:eastAsiaTheme="majorEastAsia"/>
          <w:b/>
          <w:sz w:val="24"/>
        </w:rPr>
        <w:t>七、对本次采购提出询问、质疑、投诉，请按以下方式联系</w:t>
      </w:r>
    </w:p>
    <w:p w14:paraId="43DE1A94">
      <w:pPr>
        <w:spacing w:line="440" w:lineRule="exact"/>
        <w:ind w:firstLine="480"/>
        <w:rPr>
          <w:rFonts w:cs="宋体" w:asciiTheme="majorEastAsia" w:hAnsiTheme="majorEastAsia" w:eastAsiaTheme="majorEastAsia"/>
          <w:b/>
          <w:sz w:val="24"/>
        </w:rPr>
      </w:pPr>
      <w:r>
        <w:rPr>
          <w:rFonts w:cs="宋体" w:asciiTheme="majorEastAsia" w:hAnsiTheme="majorEastAsia" w:eastAsiaTheme="majorEastAsia"/>
          <w:b/>
          <w:sz w:val="24"/>
        </w:rPr>
        <w:t>1.采购人信息</w:t>
      </w:r>
    </w:p>
    <w:p w14:paraId="40000F48">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名    称：浙江省卫生健康信息中心</w:t>
      </w:r>
    </w:p>
    <w:p w14:paraId="1CEDFF19">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地    址：杭州市庆春路216号</w:t>
      </w:r>
    </w:p>
    <w:p w14:paraId="2765C9A6">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传    真： /</w:t>
      </w:r>
    </w:p>
    <w:p w14:paraId="189CA89A">
      <w:pPr>
        <w:snapToGrid w:val="0"/>
        <w:spacing w:line="288" w:lineRule="auto"/>
        <w:ind w:firstLine="484" w:firstLineChars="202"/>
        <w:rPr>
          <w:rFonts w:asciiTheme="majorEastAsia" w:hAnsiTheme="majorEastAsia" w:eastAsiaTheme="majorEastAsia"/>
          <w:szCs w:val="21"/>
        </w:rPr>
      </w:pPr>
      <w:r>
        <w:rPr>
          <w:rFonts w:hint="eastAsia" w:cs="宋体" w:asciiTheme="majorEastAsia" w:hAnsiTheme="majorEastAsia" w:eastAsiaTheme="majorEastAsia"/>
          <w:sz w:val="24"/>
        </w:rPr>
        <w:t>项目联系人（询问）：张老师</w:t>
      </w:r>
    </w:p>
    <w:p w14:paraId="2285FC4D">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项目联系方式（询问）：0571-</w:t>
      </w:r>
      <w:r>
        <w:rPr>
          <w:rFonts w:cs="宋体" w:asciiTheme="majorEastAsia" w:hAnsiTheme="majorEastAsia" w:eastAsiaTheme="majorEastAsia"/>
          <w:sz w:val="24"/>
        </w:rPr>
        <w:t>87709174</w:t>
      </w:r>
    </w:p>
    <w:p w14:paraId="1DD8E3CA">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 xml:space="preserve">质疑联系人：邵老师 </w:t>
      </w:r>
    </w:p>
    <w:p w14:paraId="62CA1389">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质疑联系方式：0571-87709038</w:t>
      </w:r>
    </w:p>
    <w:p w14:paraId="7A33F476">
      <w:pPr>
        <w:spacing w:line="440" w:lineRule="exact"/>
        <w:ind w:firstLine="480"/>
        <w:rPr>
          <w:rFonts w:cs="宋体" w:asciiTheme="majorEastAsia" w:hAnsiTheme="majorEastAsia" w:eastAsiaTheme="majorEastAsia"/>
          <w:b/>
          <w:sz w:val="24"/>
        </w:rPr>
      </w:pPr>
      <w:r>
        <w:rPr>
          <w:rFonts w:cs="宋体" w:asciiTheme="majorEastAsia" w:hAnsiTheme="majorEastAsia" w:eastAsiaTheme="majorEastAsia"/>
          <w:b/>
          <w:sz w:val="24"/>
        </w:rPr>
        <w:t xml:space="preserve">2.采购代理机构信息            </w:t>
      </w:r>
    </w:p>
    <w:p w14:paraId="048CFB48">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名    称：浙江省成套招标代理有限公司</w:t>
      </w:r>
    </w:p>
    <w:p w14:paraId="6E3C97D4">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地    址：杭州市文晖路42号现代置业大厦西楼18层1802室</w:t>
      </w:r>
    </w:p>
    <w:p w14:paraId="1770A892">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 xml:space="preserve">传    真：4008-266-163转08156 </w:t>
      </w:r>
    </w:p>
    <w:p w14:paraId="76BAE18D">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项目联系人（询问）：朱玲军</w:t>
      </w:r>
    </w:p>
    <w:p w14:paraId="2FF20CC1">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项目联系方式（询问）：0571-85331297</w:t>
      </w:r>
    </w:p>
    <w:p w14:paraId="74548262">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质疑联系人：冯东东</w:t>
      </w:r>
    </w:p>
    <w:p w14:paraId="6DD62705">
      <w:pPr>
        <w:spacing w:line="440" w:lineRule="exact"/>
        <w:ind w:firstLine="480"/>
        <w:rPr>
          <w:rFonts w:cs="宋体" w:asciiTheme="majorEastAsia" w:hAnsiTheme="majorEastAsia" w:eastAsiaTheme="majorEastAsia"/>
          <w:sz w:val="24"/>
        </w:rPr>
      </w:pPr>
      <w:r>
        <w:rPr>
          <w:rFonts w:hint="eastAsia" w:cs="宋体" w:asciiTheme="majorEastAsia" w:hAnsiTheme="majorEastAsia" w:eastAsiaTheme="majorEastAsia"/>
          <w:sz w:val="24"/>
        </w:rPr>
        <w:t>质疑联系方式：0571-85331293</w:t>
      </w:r>
    </w:p>
    <w:p w14:paraId="2048C89E">
      <w:pPr>
        <w:spacing w:line="360" w:lineRule="auto"/>
        <w:ind w:firstLine="480"/>
        <w:rPr>
          <w:rFonts w:cs="宋体" w:asciiTheme="majorEastAsia" w:hAnsiTheme="majorEastAsia" w:eastAsiaTheme="majorEastAsia"/>
          <w:sz w:val="24"/>
        </w:rPr>
      </w:pPr>
    </w:p>
    <w:p w14:paraId="088CBE43">
      <w:pPr>
        <w:spacing w:line="360" w:lineRule="auto"/>
        <w:ind w:firstLine="480"/>
        <w:rPr>
          <w:rFonts w:cs="宋体" w:asciiTheme="majorEastAsia" w:hAnsiTheme="majorEastAsia" w:eastAsiaTheme="majorEastAsia"/>
          <w:sz w:val="24"/>
        </w:rPr>
      </w:pPr>
      <w:r>
        <w:rPr>
          <w:rFonts w:hint="eastAsia" w:cs="宋体" w:asciiTheme="majorEastAsia" w:hAnsiTheme="majorEastAsia" w:eastAsiaTheme="majorEastAsia"/>
          <w:sz w:val="24"/>
        </w:rPr>
        <w:t xml:space="preserve">预算金额未达100万元的采购项目，由采购人处理采购争议。    </w:t>
      </w:r>
    </w:p>
    <w:p w14:paraId="657F4D3D">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若对项目采购电子交易系统操作有疑问，可登录政采云（https://www.zcygov.cn/），点击右侧咨询小采，获取采小蜜智能服务管家帮助，或拨打政采云服务热线400-881-7190获取热线服务帮助。</w:t>
      </w:r>
    </w:p>
    <w:p w14:paraId="5104A47A">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CA问题联系电话（人工）：汇信CA 400-888-4636；天谷CA 400-087-8198。</w:t>
      </w:r>
    </w:p>
    <w:p w14:paraId="56E1CF77">
      <w:pPr>
        <w:widowControl/>
        <w:adjustRightInd/>
        <w:jc w:val="left"/>
        <w:rPr>
          <w:rFonts w:cs="宋体" w:asciiTheme="majorEastAsia" w:hAnsiTheme="majorEastAsia" w:eastAsiaTheme="majorEastAsia"/>
          <w:b/>
          <w:sz w:val="36"/>
          <w:szCs w:val="20"/>
        </w:rPr>
      </w:pPr>
      <w:r>
        <w:rPr>
          <w:rFonts w:cs="宋体" w:asciiTheme="majorEastAsia" w:hAnsiTheme="majorEastAsia" w:eastAsiaTheme="majorEastAsia"/>
          <w:b/>
          <w:sz w:val="36"/>
          <w:szCs w:val="20"/>
        </w:rPr>
        <w:br w:type="page"/>
      </w:r>
    </w:p>
    <w:p w14:paraId="6428B0E1">
      <w:pPr>
        <w:adjustRightInd/>
        <w:spacing w:line="360" w:lineRule="auto"/>
        <w:jc w:val="center"/>
        <w:outlineLvl w:val="0"/>
        <w:rPr>
          <w:rFonts w:cs="宋体" w:asciiTheme="majorEastAsia" w:hAnsiTheme="majorEastAsia" w:eastAsiaTheme="majorEastAsia"/>
          <w:b/>
          <w:sz w:val="36"/>
          <w:szCs w:val="20"/>
        </w:rPr>
      </w:pPr>
      <w:r>
        <w:rPr>
          <w:rFonts w:hint="eastAsia" w:cs="宋体" w:asciiTheme="majorEastAsia" w:hAnsiTheme="majorEastAsia" w:eastAsiaTheme="majorEastAsia"/>
          <w:b/>
          <w:sz w:val="36"/>
          <w:szCs w:val="20"/>
        </w:rPr>
        <w:t>第二部分</w:t>
      </w:r>
      <w:bookmarkEnd w:id="8"/>
      <w:r>
        <w:rPr>
          <w:rFonts w:hint="eastAsia" w:cs="宋体" w:asciiTheme="majorEastAsia" w:hAnsiTheme="majorEastAsia" w:eastAsiaTheme="majorEastAsia"/>
          <w:b/>
          <w:sz w:val="36"/>
          <w:szCs w:val="20"/>
        </w:rPr>
        <w:t xml:space="preserve"> 投标人须知</w:t>
      </w:r>
      <w:bookmarkEnd w:id="9"/>
    </w:p>
    <w:p w14:paraId="3C2DABD3">
      <w:pPr>
        <w:adjustRightInd/>
        <w:spacing w:line="360" w:lineRule="auto"/>
        <w:jc w:val="center"/>
        <w:outlineLvl w:val="0"/>
        <w:rPr>
          <w:rFonts w:cs="宋体" w:asciiTheme="majorEastAsia" w:hAnsiTheme="majorEastAsia" w:eastAsiaTheme="majorEastAsia"/>
          <w:b/>
          <w:sz w:val="32"/>
          <w:szCs w:val="20"/>
        </w:rPr>
      </w:pPr>
      <w:r>
        <w:rPr>
          <w:rFonts w:hint="eastAsia" w:cs="宋体" w:asciiTheme="majorEastAsia" w:hAnsiTheme="majorEastAsia" w:eastAsiaTheme="majorEastAsia"/>
          <w:b/>
          <w:sz w:val="32"/>
          <w:szCs w:val="20"/>
        </w:rPr>
        <w:t>前附表</w:t>
      </w:r>
    </w:p>
    <w:tbl>
      <w:tblPr>
        <w:tblStyle w:val="62"/>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70"/>
      </w:tblGrid>
      <w:tr w14:paraId="13039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B7DD34">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860C63">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事项</w:t>
            </w:r>
          </w:p>
        </w:tc>
        <w:tc>
          <w:tcPr>
            <w:tcW w:w="7070" w:type="dxa"/>
            <w:tcBorders>
              <w:top w:val="single" w:color="000000" w:sz="8" w:space="0"/>
              <w:left w:val="single" w:color="000000" w:sz="2" w:space="0"/>
              <w:bottom w:val="single" w:color="000000" w:sz="8" w:space="0"/>
              <w:right w:val="single" w:color="000000" w:sz="8" w:space="0"/>
            </w:tcBorders>
            <w:vAlign w:val="center"/>
          </w:tcPr>
          <w:p w14:paraId="71004348">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本项目的特别规定</w:t>
            </w:r>
          </w:p>
        </w:tc>
      </w:tr>
      <w:tr w14:paraId="7FDA8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C709D8">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92BC49">
            <w:pPr>
              <w:snapToGrid w:val="0"/>
              <w:spacing w:line="276" w:lineRule="auto"/>
              <w:rPr>
                <w:rFonts w:cs="宋体" w:asciiTheme="majorEastAsia" w:hAnsiTheme="majorEastAsia" w:eastAsiaTheme="majorEastAsia"/>
                <w:b/>
                <w:sz w:val="24"/>
              </w:rPr>
            </w:pPr>
            <w:r>
              <w:rPr>
                <w:rFonts w:hint="eastAsia" w:cs="宋体" w:asciiTheme="majorEastAsia" w:hAnsiTheme="majorEastAsia" w:eastAsiaTheme="majorEastAsia"/>
                <w:b/>
                <w:sz w:val="24"/>
              </w:rPr>
              <w:t>项目属性</w:t>
            </w:r>
          </w:p>
        </w:tc>
        <w:tc>
          <w:tcPr>
            <w:tcW w:w="7070" w:type="dxa"/>
            <w:tcBorders>
              <w:top w:val="single" w:color="000000" w:sz="8" w:space="0"/>
              <w:left w:val="single" w:color="000000" w:sz="2" w:space="0"/>
              <w:bottom w:val="single" w:color="000000" w:sz="8" w:space="0"/>
              <w:right w:val="single" w:color="000000" w:sz="8" w:space="0"/>
            </w:tcBorders>
            <w:vAlign w:val="center"/>
          </w:tcPr>
          <w:p w14:paraId="139C30BB">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服务类。</w:t>
            </w:r>
          </w:p>
        </w:tc>
      </w:tr>
      <w:tr w14:paraId="4FE42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F6748F">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1C7DA6">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采购标的及其对应的中小企业划分标准所属行业</w:t>
            </w:r>
          </w:p>
        </w:tc>
        <w:tc>
          <w:tcPr>
            <w:tcW w:w="7070" w:type="dxa"/>
            <w:tcBorders>
              <w:top w:val="single" w:color="000000" w:sz="8" w:space="0"/>
              <w:left w:val="single" w:color="000000" w:sz="2" w:space="0"/>
              <w:bottom w:val="single" w:color="000000" w:sz="8" w:space="0"/>
              <w:right w:val="single" w:color="000000" w:sz="8" w:space="0"/>
            </w:tcBorders>
            <w:vAlign w:val="center"/>
          </w:tcPr>
          <w:p w14:paraId="15C8191C">
            <w:pPr>
              <w:snapToGrid w:val="0"/>
              <w:spacing w:line="276"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（1）标的：</w:t>
            </w:r>
            <w:r>
              <w:rPr>
                <w:rFonts w:hint="eastAsia" w:cs="仿宋" w:asciiTheme="majorEastAsia" w:hAnsiTheme="majorEastAsia" w:eastAsiaTheme="majorEastAsia"/>
                <w:sz w:val="24"/>
                <w:u w:val="single"/>
              </w:rPr>
              <w:t>2024年省卫生健康信息中心电子政务维护服务项目</w:t>
            </w:r>
            <w:r>
              <w:rPr>
                <w:rFonts w:hint="eastAsia" w:cs="宋体" w:asciiTheme="majorEastAsia" w:hAnsiTheme="majorEastAsia" w:eastAsiaTheme="majorEastAsia"/>
                <w:kern w:val="0"/>
                <w:sz w:val="24"/>
              </w:rPr>
              <w:t>，属于</w:t>
            </w:r>
            <w:r>
              <w:rPr>
                <w:rFonts w:hint="eastAsia" w:cs="仿宋" w:asciiTheme="majorEastAsia" w:hAnsiTheme="majorEastAsia" w:eastAsiaTheme="majorEastAsia"/>
                <w:kern w:val="0"/>
                <w:sz w:val="24"/>
                <w:u w:val="single"/>
              </w:rPr>
              <w:t xml:space="preserve">软件和信息技术服务业 </w:t>
            </w:r>
            <w:r>
              <w:rPr>
                <w:rFonts w:hint="eastAsia" w:cs="宋体" w:asciiTheme="majorEastAsia" w:hAnsiTheme="majorEastAsia" w:eastAsiaTheme="majorEastAsia"/>
                <w:kern w:val="0"/>
                <w:sz w:val="24"/>
              </w:rPr>
              <w:t>行业；</w:t>
            </w:r>
          </w:p>
          <w:p w14:paraId="1F731DCE">
            <w:pPr>
              <w:pStyle w:val="2"/>
              <w:spacing w:line="276" w:lineRule="auto"/>
              <w:ind w:firstLine="0"/>
              <w:rPr>
                <w:rFonts w:asciiTheme="majorEastAsia" w:hAnsiTheme="majorEastAsia" w:eastAsiaTheme="majorEastAsia"/>
                <w:sz w:val="24"/>
                <w:szCs w:val="24"/>
              </w:rPr>
            </w:pPr>
            <w:r>
              <w:rPr>
                <w:rFonts w:hint="eastAsia" w:asciiTheme="majorEastAsia" w:hAnsiTheme="majorEastAsia" w:eastAsiaTheme="majorEastAsia"/>
                <w:sz w:val="24"/>
                <w:szCs w:val="24"/>
              </w:rPr>
              <w:t>说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E4B0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8CC334">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97E581">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是否允许采购进口产品</w:t>
            </w:r>
          </w:p>
        </w:tc>
        <w:tc>
          <w:tcPr>
            <w:tcW w:w="7070" w:type="dxa"/>
            <w:tcBorders>
              <w:top w:val="single" w:color="000000" w:sz="8" w:space="0"/>
              <w:left w:val="single" w:color="000000" w:sz="2" w:space="0"/>
              <w:bottom w:val="single" w:color="000000" w:sz="8" w:space="0"/>
              <w:right w:val="single" w:color="000000" w:sz="8" w:space="0"/>
            </w:tcBorders>
            <w:vAlign w:val="center"/>
          </w:tcPr>
          <w:p w14:paraId="5C7E34DB">
            <w:pPr>
              <w:snapToGrid w:val="0"/>
              <w:spacing w:line="276" w:lineRule="auto"/>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828425707"/>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本项目不允许采购进口产品。</w:t>
            </w:r>
          </w:p>
          <w:p w14:paraId="36996938">
            <w:pPr>
              <w:snapToGrid w:val="0"/>
              <w:spacing w:line="276" w:lineRule="auto"/>
              <w:rPr>
                <w:rFonts w:cs="宋体" w:asciiTheme="majorEastAsia" w:hAnsiTheme="majorEastAsia" w:eastAsiaTheme="majorEastAsia"/>
              </w:rPr>
            </w:pPr>
            <w:sdt>
              <w:sdtPr>
                <w:rPr>
                  <w:rFonts w:hint="eastAsia" w:cs="宋体" w:asciiTheme="majorEastAsia" w:hAnsiTheme="majorEastAsia" w:eastAsiaTheme="majorEastAsia"/>
                  <w:kern w:val="0"/>
                  <w:sz w:val="24"/>
                </w:rPr>
                <w:id w:val="-52852824"/>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可以就采购进口产品。</w:t>
            </w:r>
          </w:p>
        </w:tc>
      </w:tr>
      <w:tr w14:paraId="01BBD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D0542D">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AF8CA0">
            <w:pPr>
              <w:snapToGrid w:val="0"/>
              <w:spacing w:line="276" w:lineRule="auto"/>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分包</w:t>
            </w:r>
          </w:p>
        </w:tc>
        <w:tc>
          <w:tcPr>
            <w:tcW w:w="7070" w:type="dxa"/>
            <w:tcBorders>
              <w:top w:val="single" w:color="000000" w:sz="8" w:space="0"/>
              <w:left w:val="single" w:color="000000" w:sz="2" w:space="0"/>
              <w:bottom w:val="single" w:color="000000" w:sz="8" w:space="0"/>
              <w:right w:val="single" w:color="000000" w:sz="8" w:space="0"/>
            </w:tcBorders>
            <w:vAlign w:val="center"/>
          </w:tcPr>
          <w:p w14:paraId="1D109218">
            <w:pPr>
              <w:snapToGrid w:val="0"/>
              <w:spacing w:line="276" w:lineRule="auto"/>
              <w:rPr>
                <w:rFonts w:cs="宋体" w:asciiTheme="majorEastAsia" w:hAnsiTheme="majorEastAsia" w:eastAsiaTheme="majorEastAsia"/>
                <w:sz w:val="24"/>
              </w:rPr>
            </w:pPr>
            <w:sdt>
              <w:sdtPr>
                <w:rPr>
                  <w:rFonts w:hint="eastAsia" w:cs="宋体" w:asciiTheme="majorEastAsia" w:hAnsiTheme="majorEastAsia" w:eastAsiaTheme="majorEastAsia"/>
                  <w:color w:val="FF0000"/>
                  <w:kern w:val="0"/>
                  <w:sz w:val="24"/>
                </w:rPr>
                <w:id w:val="-1477286927"/>
              </w:sdtPr>
              <w:sdtEndPr>
                <w:rPr>
                  <w:rFonts w:hint="eastAsia" w:cs="宋体" w:asciiTheme="majorEastAsia" w:hAnsiTheme="majorEastAsia" w:eastAsiaTheme="majorEastAsia"/>
                  <w:color w:val="auto"/>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 xml:space="preserve"> A</w:t>
            </w:r>
            <w:r>
              <w:rPr>
                <w:rFonts w:hint="eastAsia" w:cs="宋体" w:asciiTheme="majorEastAsia" w:hAnsiTheme="majorEastAsia" w:eastAsiaTheme="majorEastAsia"/>
                <w:sz w:val="24"/>
              </w:rPr>
              <w:t>同意将非主体、非关键性的工作分包。</w:t>
            </w:r>
          </w:p>
          <w:p w14:paraId="0339344B">
            <w:pPr>
              <w:snapToGrid w:val="0"/>
              <w:spacing w:line="276"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276331357"/>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 xml:space="preserve"> B</w:t>
            </w:r>
            <w:r>
              <w:rPr>
                <w:rFonts w:hint="eastAsia" w:cs="宋体" w:asciiTheme="majorEastAsia" w:hAnsiTheme="majorEastAsia" w:eastAsiaTheme="majorEastAsia"/>
                <w:sz w:val="24"/>
              </w:rPr>
              <w:t>不同意分包。</w:t>
            </w:r>
          </w:p>
          <w:p w14:paraId="6C64453D">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注：不得限制大中型企业向小微企业合理分包。</w:t>
            </w:r>
          </w:p>
        </w:tc>
      </w:tr>
      <w:tr w14:paraId="7E2F5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5DDF640">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B72180">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开标前答疑会或现场考察</w:t>
            </w:r>
          </w:p>
        </w:tc>
        <w:tc>
          <w:tcPr>
            <w:tcW w:w="7070" w:type="dxa"/>
            <w:tcBorders>
              <w:top w:val="single" w:color="000000" w:sz="8" w:space="0"/>
              <w:left w:val="single" w:color="000000" w:sz="2" w:space="0"/>
              <w:bottom w:val="single" w:color="000000" w:sz="8" w:space="0"/>
              <w:right w:val="single" w:color="000000" w:sz="8" w:space="0"/>
            </w:tcBorders>
            <w:vAlign w:val="center"/>
          </w:tcPr>
          <w:p w14:paraId="7C7D99DB">
            <w:pPr>
              <w:snapToGrid w:val="0"/>
              <w:spacing w:line="276"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212966419"/>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不组织。</w:t>
            </w:r>
          </w:p>
          <w:p w14:paraId="4D5D2D15">
            <w:pPr>
              <w:snapToGrid w:val="0"/>
              <w:spacing w:line="276" w:lineRule="auto"/>
              <w:rPr>
                <w:rFonts w:cs="宋体" w:asciiTheme="majorEastAsia" w:hAnsiTheme="majorEastAsia" w:eastAsiaTheme="majorEastAsia"/>
                <w:sz w:val="24"/>
                <w:szCs w:val="20"/>
              </w:rPr>
            </w:pPr>
            <w:sdt>
              <w:sdtPr>
                <w:rPr>
                  <w:rFonts w:hint="eastAsia" w:cs="宋体" w:asciiTheme="majorEastAsia" w:hAnsiTheme="majorEastAsia" w:eastAsiaTheme="majorEastAsia"/>
                  <w:kern w:val="0"/>
                  <w:sz w:val="24"/>
                </w:rPr>
                <w:id w:val="-999802974"/>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B组织，</w:t>
            </w:r>
            <w:r>
              <w:rPr>
                <w:rFonts w:hint="eastAsia" w:cs="宋体" w:asciiTheme="majorEastAsia" w:hAnsiTheme="majorEastAsia" w:eastAsiaTheme="majorEastAsia"/>
                <w:sz w:val="24"/>
              </w:rPr>
              <w:t>时间：</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,地点：</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，联系人：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，联系方式：</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szCs w:val="20"/>
              </w:rPr>
              <w:t>。</w:t>
            </w:r>
          </w:p>
        </w:tc>
      </w:tr>
      <w:tr w14:paraId="62F0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005959">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F80944">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样品提供</w:t>
            </w:r>
          </w:p>
        </w:tc>
        <w:tc>
          <w:tcPr>
            <w:tcW w:w="7070" w:type="dxa"/>
            <w:tcBorders>
              <w:top w:val="single" w:color="000000" w:sz="8" w:space="0"/>
              <w:left w:val="single" w:color="000000" w:sz="2" w:space="0"/>
              <w:bottom w:val="single" w:color="000000" w:sz="8" w:space="0"/>
              <w:right w:val="single" w:color="000000" w:sz="8" w:space="0"/>
            </w:tcBorders>
            <w:vAlign w:val="center"/>
          </w:tcPr>
          <w:p w14:paraId="1FD48618">
            <w:pPr>
              <w:snapToGrid w:val="0"/>
              <w:spacing w:line="276"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639946486"/>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不要求提供。</w:t>
            </w:r>
          </w:p>
          <w:p w14:paraId="270A99F5">
            <w:pPr>
              <w:snapToGrid w:val="0"/>
              <w:spacing w:line="276" w:lineRule="auto"/>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026831988"/>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B要求提供，</w:t>
            </w:r>
          </w:p>
          <w:p w14:paraId="1B139C7C">
            <w:pPr>
              <w:snapToGrid w:val="0"/>
              <w:spacing w:line="276"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snapToGrid w:val="0"/>
                <w:kern w:val="28"/>
                <w:sz w:val="24"/>
              </w:rPr>
              <w:t>样品：</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482EBC07">
            <w:pPr>
              <w:snapToGrid w:val="0"/>
              <w:spacing w:line="276"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snapToGrid w:val="0"/>
                <w:kern w:val="28"/>
                <w:sz w:val="24"/>
              </w:rPr>
              <w:t>样品制作的标准和要求：</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0C5EA73E">
            <w:pPr>
              <w:snapToGrid w:val="0"/>
              <w:spacing w:line="276"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（3）样品的评审方法以及评审标准</w:t>
            </w:r>
            <w:r>
              <w:rPr>
                <w:rFonts w:hint="eastAsia" w:cs="宋体" w:asciiTheme="majorEastAsia" w:hAnsiTheme="majorEastAsia" w:eastAsiaTheme="majorEastAsia"/>
                <w:snapToGrid w:val="0"/>
                <w:kern w:val="28"/>
                <w:sz w:val="24"/>
              </w:rPr>
              <w:t>：详见</w:t>
            </w:r>
            <w:r>
              <w:rPr>
                <w:rFonts w:hint="eastAsia" w:cs="宋体" w:asciiTheme="majorEastAsia" w:hAnsiTheme="majorEastAsia" w:eastAsiaTheme="majorEastAsia"/>
                <w:sz w:val="24"/>
                <w:u w:val="single"/>
              </w:rPr>
              <w:t>评标办法</w:t>
            </w:r>
            <w:r>
              <w:rPr>
                <w:rFonts w:hint="eastAsia" w:cs="宋体" w:asciiTheme="majorEastAsia" w:hAnsiTheme="majorEastAsia" w:eastAsiaTheme="majorEastAsia"/>
                <w:kern w:val="0"/>
                <w:sz w:val="24"/>
              </w:rPr>
              <w:t>；</w:t>
            </w:r>
          </w:p>
          <w:p w14:paraId="294988DD">
            <w:pPr>
              <w:snapToGrid w:val="0"/>
              <w:spacing w:line="276"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（4）是否需要随样品提交检测报告：</w:t>
            </w:r>
            <w:sdt>
              <w:sdtPr>
                <w:rPr>
                  <w:rFonts w:hint="eastAsia" w:cs="宋体" w:asciiTheme="majorEastAsia" w:hAnsiTheme="majorEastAsia" w:eastAsiaTheme="majorEastAsia"/>
                  <w:kern w:val="0"/>
                  <w:sz w:val="24"/>
                </w:rPr>
                <w:id w:val="1303421454"/>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否；</w:t>
            </w:r>
            <w:sdt>
              <w:sdtPr>
                <w:rPr>
                  <w:rFonts w:hint="eastAsia" w:cs="宋体" w:asciiTheme="majorEastAsia" w:hAnsiTheme="majorEastAsia" w:eastAsiaTheme="majorEastAsia"/>
                  <w:kern w:val="0"/>
                  <w:sz w:val="24"/>
                </w:rPr>
                <w:id w:val="1621728433"/>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是，检测机构的要求</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；检测内容</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0CF7FC45">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（5）提供样品的时间：</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；地点：</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；联系人</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28"/>
                <w:sz w:val="24"/>
              </w:rPr>
              <w:t>联系电话：</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。请投标人在上述时间内提供样品并按规定位置安装完毕。超过截止时间的，采购人或采购代理机构将不予接收，并将清场并封闭样品现场。</w:t>
            </w:r>
          </w:p>
          <w:p w14:paraId="1AAA88CA">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730095">
            <w:pPr>
              <w:snapToGrid w:val="0"/>
              <w:spacing w:line="276" w:lineRule="auto"/>
              <w:rPr>
                <w:rFonts w:cs="宋体" w:asciiTheme="majorEastAsia" w:hAnsiTheme="majorEastAsia" w:eastAsiaTheme="majorEastAsia"/>
                <w:b/>
                <w:sz w:val="24"/>
              </w:rPr>
            </w:pPr>
            <w:r>
              <w:rPr>
                <w:rFonts w:hint="eastAsia" w:cs="宋体" w:asciiTheme="majorEastAsia" w:hAnsiTheme="majorEastAsia" w:eastAsiaTheme="majorEastAsia"/>
                <w:sz w:val="24"/>
              </w:rPr>
              <w:t>（7）制作、运输、安装和保管样品所发生的一切费用由投标人自理。</w:t>
            </w:r>
          </w:p>
        </w:tc>
      </w:tr>
      <w:tr w14:paraId="5AC6C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7CB892">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B3512">
            <w:pPr>
              <w:snapToGrid w:val="0"/>
              <w:spacing w:line="276" w:lineRule="auto"/>
              <w:jc w:val="center"/>
              <w:rPr>
                <w:rFonts w:cs="宋体" w:asciiTheme="majorEastAsia" w:hAnsiTheme="majorEastAsia" w:eastAsiaTheme="majorEastAsia"/>
                <w:bCs/>
                <w:sz w:val="24"/>
              </w:rPr>
            </w:pPr>
            <w:r>
              <w:rPr>
                <w:rFonts w:hint="eastAsia" w:cs="宋体" w:asciiTheme="majorEastAsia" w:hAnsiTheme="majorEastAsia" w:eastAsiaTheme="majorEastAsia"/>
                <w:b/>
                <w:sz w:val="24"/>
              </w:rPr>
              <w:t>方案讲解演示</w:t>
            </w:r>
          </w:p>
        </w:tc>
        <w:tc>
          <w:tcPr>
            <w:tcW w:w="7070" w:type="dxa"/>
            <w:tcBorders>
              <w:top w:val="single" w:color="000000" w:sz="8" w:space="0"/>
              <w:left w:val="single" w:color="000000" w:sz="2" w:space="0"/>
              <w:bottom w:val="single" w:color="000000" w:sz="8" w:space="0"/>
              <w:right w:val="single" w:color="000000" w:sz="8" w:space="0"/>
            </w:tcBorders>
            <w:vAlign w:val="center"/>
          </w:tcPr>
          <w:p w14:paraId="48B7F12E">
            <w:pPr>
              <w:snapToGrid w:val="0"/>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859348549"/>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不组织。</w:t>
            </w:r>
          </w:p>
          <w:p w14:paraId="7927C15F">
            <w:pPr>
              <w:snapToGrid w:val="0"/>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174071719"/>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B组织。</w:t>
            </w:r>
          </w:p>
          <w:p w14:paraId="2C28FD97">
            <w:pPr>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52B834A7">
            <w:pPr>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（2）方案讲解演示可选择以下其中一种方式：</w:t>
            </w:r>
          </w:p>
          <w:p w14:paraId="73220CF8">
            <w:pPr>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方式一：政采云平台在线讲解演示。政采云平台在线讲解需投标人根据政采云平台操作要求做好准备工作，提前完善软硬件配置环境。</w:t>
            </w:r>
          </w:p>
          <w:p w14:paraId="570F135B">
            <w:pPr>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方式二：现场讲解演示。现场讲解地点为，讲解演示所用电脑等设备由投标人自备。现场讲解演示人员进场时提供讲解人员名单（加盖公章或授权代表签名）及身份证明，否则不得讲解演示。</w:t>
            </w:r>
          </w:p>
          <w:p w14:paraId="2347DF44">
            <w:pPr>
              <w:snapToGrid w:val="0"/>
              <w:rPr>
                <w:rFonts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D53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restart"/>
            <w:tcBorders>
              <w:top w:val="single" w:color="auto" w:sz="4" w:space="0"/>
              <w:left w:val="single" w:color="auto" w:sz="4" w:space="0"/>
              <w:right w:val="single" w:color="auto" w:sz="4" w:space="0"/>
            </w:tcBorders>
            <w:vAlign w:val="center"/>
          </w:tcPr>
          <w:p w14:paraId="2AC68472">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91A06FE">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投标人应当提供的资格、资信证明文件</w:t>
            </w:r>
          </w:p>
        </w:tc>
        <w:tc>
          <w:tcPr>
            <w:tcW w:w="7070" w:type="dxa"/>
            <w:tcBorders>
              <w:top w:val="single" w:color="000000" w:sz="8" w:space="0"/>
              <w:left w:val="single" w:color="000000" w:sz="2" w:space="0"/>
              <w:bottom w:val="single" w:color="auto" w:sz="4" w:space="0"/>
              <w:right w:val="single" w:color="000000" w:sz="8" w:space="0"/>
            </w:tcBorders>
            <w:vAlign w:val="center"/>
          </w:tcPr>
          <w:p w14:paraId="4872A743">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（1）资格证明文件：见招标文件第二部分11.1。</w:t>
            </w:r>
          </w:p>
          <w:p w14:paraId="5E9FAE53">
            <w:pPr>
              <w:snapToGrid w:val="0"/>
              <w:spacing w:line="276" w:lineRule="auto"/>
              <w:rPr>
                <w:rFonts w:cs="宋体" w:asciiTheme="majorEastAsia" w:hAnsiTheme="majorEastAsia" w:eastAsiaTheme="majorEastAsia"/>
                <w:snapToGrid w:val="0"/>
                <w:kern w:val="0"/>
                <w:szCs w:val="21"/>
              </w:rPr>
            </w:pPr>
            <w:r>
              <w:rPr>
                <w:rFonts w:hint="eastAsia" w:cs="宋体" w:asciiTheme="majorEastAsia" w:hAnsiTheme="majorEastAsia" w:eastAsiaTheme="majorEastAsia"/>
                <w:kern w:val="0"/>
                <w:sz w:val="24"/>
                <w:lang w:val="zh-CN"/>
              </w:rPr>
              <w:t>投标人未提供有效的资格证明文件的，视为投标人不具备招标文件中规定的资格要求，投标无效。</w:t>
            </w:r>
          </w:p>
        </w:tc>
      </w:tr>
      <w:tr w14:paraId="11F0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continue"/>
            <w:tcBorders>
              <w:left w:val="single" w:color="auto" w:sz="4" w:space="0"/>
              <w:bottom w:val="single" w:color="auto" w:sz="4" w:space="0"/>
              <w:right w:val="single" w:color="auto" w:sz="4" w:space="0"/>
            </w:tcBorders>
            <w:vAlign w:val="center"/>
          </w:tcPr>
          <w:p w14:paraId="0D5DA6D7">
            <w:pPr>
              <w:snapToGrid w:val="0"/>
              <w:spacing w:line="276" w:lineRule="auto"/>
              <w:jc w:val="center"/>
              <w:rPr>
                <w:rFonts w:cs="宋体" w:asciiTheme="majorEastAsia" w:hAnsiTheme="majorEastAsia" w:eastAsiaTheme="maj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24DDE56">
            <w:pPr>
              <w:snapToGrid w:val="0"/>
              <w:spacing w:line="276" w:lineRule="auto"/>
              <w:jc w:val="center"/>
              <w:rPr>
                <w:rFonts w:cs="宋体" w:asciiTheme="majorEastAsia" w:hAnsiTheme="majorEastAsia" w:eastAsiaTheme="majorEastAsia"/>
                <w:b/>
                <w:sz w:val="24"/>
              </w:rPr>
            </w:pPr>
          </w:p>
        </w:tc>
        <w:tc>
          <w:tcPr>
            <w:tcW w:w="7070" w:type="dxa"/>
            <w:tcBorders>
              <w:top w:val="single" w:color="auto" w:sz="4" w:space="0"/>
              <w:left w:val="single" w:color="000000" w:sz="2" w:space="0"/>
              <w:bottom w:val="single" w:color="000000" w:sz="8" w:space="0"/>
              <w:right w:val="single" w:color="000000" w:sz="8" w:space="0"/>
            </w:tcBorders>
            <w:vAlign w:val="center"/>
          </w:tcPr>
          <w:p w14:paraId="5E0EDF81">
            <w:pPr>
              <w:snapToGrid w:val="0"/>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（2）资信证明文件：根据招标文件第四部分评标标准提供。</w:t>
            </w:r>
          </w:p>
        </w:tc>
      </w:tr>
      <w:tr w14:paraId="1D240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17917F5">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99BA63">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节能产品、环境标志产品</w:t>
            </w:r>
          </w:p>
        </w:tc>
        <w:tc>
          <w:tcPr>
            <w:tcW w:w="7070" w:type="dxa"/>
            <w:tcBorders>
              <w:top w:val="single" w:color="000000" w:sz="8" w:space="0"/>
              <w:left w:val="single" w:color="000000" w:sz="2" w:space="0"/>
              <w:bottom w:val="single" w:color="000000" w:sz="8" w:space="0"/>
              <w:right w:val="single" w:color="000000" w:sz="8" w:space="0"/>
            </w:tcBorders>
            <w:vAlign w:val="center"/>
          </w:tcPr>
          <w:p w14:paraId="3FFEB31E">
            <w:pPr>
              <w:snapToGrid w:val="0"/>
              <w:spacing w:line="276" w:lineRule="auto"/>
              <w:rPr>
                <w:rFonts w:cs="宋体" w:asciiTheme="majorEastAsia" w:hAnsiTheme="majorEastAsia" w:eastAsiaTheme="majorEastAsia"/>
              </w:rPr>
            </w:pPr>
            <w:r>
              <w:rPr>
                <w:rFonts w:hint="eastAsia" w:cs="宋体" w:asciiTheme="majorEastAsia" w:hAnsiTheme="majorEastAsia" w:eastAsiaTheme="maj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A58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8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7A2130">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402F70">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报价要求</w:t>
            </w:r>
          </w:p>
        </w:tc>
        <w:tc>
          <w:tcPr>
            <w:tcW w:w="7070" w:type="dxa"/>
            <w:tcBorders>
              <w:top w:val="single" w:color="000000" w:sz="8" w:space="0"/>
              <w:left w:val="single" w:color="000000" w:sz="2" w:space="0"/>
              <w:bottom w:val="single" w:color="000000" w:sz="8" w:space="0"/>
              <w:right w:val="single" w:color="000000" w:sz="8" w:space="0"/>
            </w:tcBorders>
            <w:vAlign w:val="center"/>
          </w:tcPr>
          <w:p w14:paraId="14A61931">
            <w:pPr>
              <w:snapToGrid w:val="0"/>
              <w:spacing w:line="276" w:lineRule="auto"/>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lang w:val="zh-CN"/>
              </w:rPr>
              <w:t>有关本项目实施所需的所有费用（含税费）均计入报价。</w:t>
            </w:r>
            <w:r>
              <w:rPr>
                <w:rFonts w:hint="eastAsia" w:cs="宋体" w:asciiTheme="majorEastAsia" w:hAnsiTheme="majorEastAsia" w:eastAsiaTheme="majorEastAsia"/>
                <w:b/>
                <w:bCs/>
                <w:kern w:val="0"/>
                <w:sz w:val="24"/>
                <w:lang w:val="zh-CN"/>
              </w:rPr>
              <w:t>投标文件</w:t>
            </w:r>
            <w:r>
              <w:rPr>
                <w:rFonts w:hint="eastAsia" w:cs="宋体" w:asciiTheme="majorEastAsia" w:hAnsiTheme="majorEastAsia" w:eastAsiaTheme="maj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ajorEastAsia" w:hAnsiTheme="majorEastAsia" w:eastAsiaTheme="majorEastAsia"/>
                <w:kern w:val="0"/>
                <w:sz w:val="24"/>
                <w:lang w:val="zh-CN"/>
              </w:rPr>
              <w:t>投标文件中价格全部采用人民币报价。招标文件未列明，而投标人认为必需的费用也需列入报价。</w:t>
            </w:r>
            <w:r>
              <w:rPr>
                <w:rFonts w:hint="eastAsia" w:cs="宋体" w:asciiTheme="majorEastAsia" w:hAnsiTheme="majorEastAsia" w:eastAsiaTheme="majorEastAsia"/>
                <w:b/>
                <w:kern w:val="0"/>
                <w:sz w:val="24"/>
                <w:lang w:val="zh-CN"/>
              </w:rPr>
              <w:t>提醒：验收时检测费用由采购人承担，不包含在投标总价中。</w:t>
            </w:r>
          </w:p>
          <w:p w14:paraId="44B0EBB6">
            <w:pPr>
              <w:snapToGrid w:val="0"/>
              <w:spacing w:line="276" w:lineRule="auto"/>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投标报价出现下列情形的，投标无效：</w:t>
            </w:r>
          </w:p>
          <w:p w14:paraId="7403428C">
            <w:pPr>
              <w:snapToGrid w:val="0"/>
              <w:spacing w:line="276" w:lineRule="auto"/>
              <w:ind w:firstLine="241" w:firstLineChars="100"/>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投标文件出现不是唯一的、有选择性投标报价的；</w:t>
            </w:r>
          </w:p>
          <w:p w14:paraId="5807A8C5">
            <w:pPr>
              <w:snapToGrid w:val="0"/>
              <w:spacing w:line="276" w:lineRule="auto"/>
              <w:ind w:firstLine="241" w:firstLineChars="1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b/>
                <w:kern w:val="0"/>
                <w:sz w:val="24"/>
                <w:lang w:val="zh-CN"/>
              </w:rPr>
              <w:t>投标报价超过招标文件中规定的预算金额或者最高限价的;</w:t>
            </w:r>
          </w:p>
          <w:p w14:paraId="5030A0B8">
            <w:pPr>
              <w:snapToGrid w:val="0"/>
              <w:spacing w:line="276" w:lineRule="auto"/>
              <w:ind w:firstLine="241" w:firstLineChars="100"/>
              <w:rPr>
                <w:rFonts w:cs="宋体" w:asciiTheme="majorEastAsia" w:hAnsiTheme="majorEastAsia" w:eastAsiaTheme="majorEastAsia"/>
                <w:b/>
                <w:sz w:val="24"/>
              </w:rPr>
            </w:pPr>
            <w:r>
              <w:rPr>
                <w:rFonts w:hint="eastAsia" w:cs="宋体" w:asciiTheme="majorEastAsia" w:hAnsiTheme="majorEastAsia" w:eastAsiaTheme="maj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sz w:val="24"/>
                <w:szCs w:val="21"/>
              </w:rPr>
              <w:t>;</w:t>
            </w:r>
          </w:p>
          <w:p w14:paraId="789BE955">
            <w:pPr>
              <w:snapToGrid w:val="0"/>
              <w:spacing w:line="276" w:lineRule="auto"/>
              <w:ind w:firstLine="241" w:firstLineChars="100"/>
              <w:rPr>
                <w:rFonts w:cs="宋体" w:asciiTheme="majorEastAsia" w:hAnsiTheme="majorEastAsia" w:eastAsiaTheme="majorEastAsia"/>
                <w:sz w:val="24"/>
              </w:rPr>
            </w:pPr>
            <w:r>
              <w:rPr>
                <w:rFonts w:hint="eastAsia" w:cs="宋体" w:asciiTheme="majorEastAsia" w:hAnsiTheme="majorEastAsia" w:eastAsiaTheme="majorEastAsia"/>
                <w:b/>
                <w:kern w:val="0"/>
                <w:sz w:val="24"/>
              </w:rPr>
              <w:t>投标人对根据修正原则修正后的报价不确认的</w:t>
            </w:r>
            <w:r>
              <w:rPr>
                <w:rFonts w:hint="eastAsia" w:cs="宋体" w:asciiTheme="majorEastAsia" w:hAnsiTheme="majorEastAsia" w:eastAsiaTheme="majorEastAsia"/>
                <w:b/>
                <w:sz w:val="24"/>
              </w:rPr>
              <w:t>。</w:t>
            </w:r>
          </w:p>
        </w:tc>
      </w:tr>
      <w:tr w14:paraId="132DB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5" w:hRule="atLeast"/>
          <w:tblHeader/>
          <w:jc w:val="center"/>
        </w:trPr>
        <w:tc>
          <w:tcPr>
            <w:tcW w:w="629" w:type="dxa"/>
            <w:tcBorders>
              <w:top w:val="single" w:color="auto" w:sz="4" w:space="0"/>
              <w:left w:val="single" w:color="000000" w:sz="8" w:space="0"/>
              <w:right w:val="single" w:color="000000" w:sz="2" w:space="0"/>
            </w:tcBorders>
            <w:vAlign w:val="center"/>
          </w:tcPr>
          <w:p w14:paraId="3B37C70B">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11</w:t>
            </w:r>
          </w:p>
        </w:tc>
        <w:tc>
          <w:tcPr>
            <w:tcW w:w="1843" w:type="dxa"/>
            <w:tcBorders>
              <w:top w:val="single" w:color="000000" w:sz="8" w:space="0"/>
              <w:left w:val="single" w:color="000000" w:sz="2" w:space="0"/>
              <w:right w:val="single" w:color="000000" w:sz="8" w:space="0"/>
            </w:tcBorders>
            <w:vAlign w:val="center"/>
          </w:tcPr>
          <w:p w14:paraId="51EB45F5">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中小企业信用融资</w:t>
            </w:r>
          </w:p>
        </w:tc>
        <w:tc>
          <w:tcPr>
            <w:tcW w:w="7070" w:type="dxa"/>
            <w:tcBorders>
              <w:top w:val="single" w:color="000000" w:sz="8" w:space="0"/>
              <w:left w:val="single" w:color="000000" w:sz="2" w:space="0"/>
              <w:right w:val="single" w:color="000000" w:sz="8" w:space="0"/>
            </w:tcBorders>
            <w:vAlign w:val="center"/>
          </w:tcPr>
          <w:p w14:paraId="1CF9AD04">
            <w:pPr>
              <w:snapToGrid w:val="0"/>
              <w:spacing w:line="276" w:lineRule="auto"/>
              <w:rPr>
                <w:rFonts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0D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F9B94BC">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E835E6">
            <w:pPr>
              <w:snapToGrid w:val="0"/>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 xml:space="preserve">备份投标文件送达地点和签收人员 </w:t>
            </w:r>
          </w:p>
        </w:tc>
        <w:tc>
          <w:tcPr>
            <w:tcW w:w="7070" w:type="dxa"/>
            <w:tcBorders>
              <w:top w:val="single" w:color="000000" w:sz="8" w:space="0"/>
              <w:left w:val="single" w:color="000000" w:sz="2" w:space="0"/>
              <w:bottom w:val="single" w:color="000000" w:sz="8" w:space="0"/>
              <w:right w:val="single" w:color="000000" w:sz="8" w:space="0"/>
            </w:tcBorders>
            <w:vAlign w:val="center"/>
          </w:tcPr>
          <w:p w14:paraId="0D92D509">
            <w:pPr>
              <w:pStyle w:val="32"/>
              <w:snapToGrid w:val="0"/>
              <w:spacing w:line="276" w:lineRule="auto"/>
              <w:rPr>
                <w:rFonts w:cs="宋体" w:asciiTheme="majorEastAsia" w:hAnsiTheme="majorEastAsia" w:eastAsiaTheme="majorEastAsia"/>
                <w:kern w:val="28"/>
                <w:sz w:val="24"/>
              </w:rPr>
            </w:pPr>
            <w:r>
              <w:rPr>
                <w:rFonts w:hint="eastAsia" w:cs="宋体" w:asciiTheme="majorEastAsia" w:hAnsiTheme="majorEastAsia" w:eastAsiaTheme="majorEastAsia"/>
                <w:kern w:val="28"/>
                <w:sz w:val="24"/>
                <w:szCs w:val="24"/>
              </w:rPr>
              <w:t>备份投标文件送达地点：</w:t>
            </w:r>
            <w:r>
              <w:rPr>
                <w:rFonts w:hint="eastAsia" w:cs="仿宋" w:asciiTheme="majorEastAsia" w:hAnsiTheme="majorEastAsia" w:eastAsiaTheme="majorEastAsia"/>
                <w:sz w:val="24"/>
                <w:u w:val="single"/>
              </w:rPr>
              <w:t>杭州市文晖路42号现代置业大厦西楼18层1802室</w:t>
            </w:r>
            <w:r>
              <w:rPr>
                <w:rFonts w:hint="eastAsia" w:cs="宋体" w:asciiTheme="majorEastAsia" w:hAnsiTheme="majorEastAsia" w:eastAsiaTheme="majorEastAsia"/>
                <w:kern w:val="28"/>
                <w:sz w:val="24"/>
                <w:szCs w:val="24"/>
              </w:rPr>
              <w:t>；备份投标文件签收人员联系电话：</w:t>
            </w:r>
            <w:r>
              <w:rPr>
                <w:rFonts w:hint="eastAsia" w:cs="仿宋" w:asciiTheme="majorEastAsia" w:hAnsiTheme="majorEastAsia" w:eastAsiaTheme="majorEastAsia"/>
                <w:sz w:val="24"/>
                <w:u w:val="single"/>
              </w:rPr>
              <w:t>朱玲军，13372536398</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
                <w:sz w:val="24"/>
                <w:szCs w:val="24"/>
              </w:rPr>
              <w:t>采购人、采购代理机构不强制或变相强制投标人提交备份投标文件。</w:t>
            </w:r>
          </w:p>
        </w:tc>
      </w:tr>
      <w:tr w14:paraId="169B5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restart"/>
            <w:tcBorders>
              <w:top w:val="single" w:color="auto" w:sz="4" w:space="0"/>
              <w:left w:val="single" w:color="000000" w:sz="8" w:space="0"/>
              <w:right w:val="single" w:color="000000" w:sz="2" w:space="0"/>
            </w:tcBorders>
            <w:vAlign w:val="center"/>
          </w:tcPr>
          <w:p w14:paraId="1B2F6967">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5FAD58E0">
            <w:pPr>
              <w:snapToGrid w:val="0"/>
              <w:spacing w:line="276" w:lineRule="auto"/>
              <w:jc w:val="center"/>
              <w:rPr>
                <w:rFonts w:cs="宋体" w:asciiTheme="majorEastAsia" w:hAnsiTheme="majorEastAsia" w:eastAsiaTheme="majorEastAsia"/>
                <w:b/>
                <w:sz w:val="24"/>
              </w:rPr>
            </w:pPr>
            <w:r>
              <w:rPr>
                <w:rFonts w:hint="eastAsia" w:cs="仿宋_GB2312" w:asciiTheme="majorEastAsia" w:hAnsiTheme="majorEastAsia" w:eastAsiaTheme="majorEastAsia"/>
                <w:b/>
                <w:sz w:val="24"/>
              </w:rPr>
              <w:t>特别说明</w:t>
            </w:r>
          </w:p>
        </w:tc>
        <w:tc>
          <w:tcPr>
            <w:tcW w:w="7070" w:type="dxa"/>
            <w:tcBorders>
              <w:top w:val="single" w:color="000000" w:sz="8" w:space="0"/>
              <w:left w:val="single" w:color="000000" w:sz="2" w:space="0"/>
              <w:bottom w:val="single" w:color="000000" w:sz="8" w:space="0"/>
              <w:right w:val="single" w:color="000000" w:sz="8" w:space="0"/>
            </w:tcBorders>
            <w:vAlign w:val="center"/>
          </w:tcPr>
          <w:p w14:paraId="6182C930">
            <w:pPr>
              <w:snapToGrid w:val="0"/>
              <w:spacing w:line="276" w:lineRule="auto"/>
              <w:rPr>
                <w:rFonts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联合体投标的，联合体各方分别提供与联合体协议中规定的分工内容相应的业绩证明材料，业绩数量以提供材料较少的一方为准。</w:t>
            </w:r>
          </w:p>
        </w:tc>
      </w:tr>
      <w:tr w14:paraId="031C1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continue"/>
            <w:tcBorders>
              <w:left w:val="single" w:color="000000" w:sz="8" w:space="0"/>
              <w:bottom w:val="single" w:color="auto" w:sz="4" w:space="0"/>
              <w:right w:val="single" w:color="000000" w:sz="2" w:space="0"/>
            </w:tcBorders>
            <w:vAlign w:val="center"/>
          </w:tcPr>
          <w:p w14:paraId="6CD07AE7">
            <w:pPr>
              <w:snapToGrid w:val="0"/>
              <w:spacing w:line="276" w:lineRule="auto"/>
              <w:jc w:val="center"/>
              <w:rPr>
                <w:rFonts w:cs="宋体" w:asciiTheme="majorEastAsia" w:hAnsiTheme="majorEastAsia" w:eastAsiaTheme="maj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13BA2AE4">
            <w:pPr>
              <w:snapToGrid w:val="0"/>
              <w:spacing w:line="276" w:lineRule="auto"/>
              <w:jc w:val="center"/>
              <w:rPr>
                <w:rFonts w:cs="宋体" w:asciiTheme="majorEastAsia" w:hAnsiTheme="majorEastAsia" w:eastAsiaTheme="majorEastAsia"/>
                <w:b/>
                <w:sz w:val="24"/>
              </w:rPr>
            </w:pPr>
          </w:p>
        </w:tc>
        <w:tc>
          <w:tcPr>
            <w:tcW w:w="7070" w:type="dxa"/>
            <w:tcBorders>
              <w:top w:val="single" w:color="000000" w:sz="8" w:space="0"/>
              <w:left w:val="single" w:color="000000" w:sz="2" w:space="0"/>
              <w:bottom w:val="single" w:color="000000" w:sz="8" w:space="0"/>
              <w:right w:val="single" w:color="000000" w:sz="8" w:space="0"/>
            </w:tcBorders>
            <w:vAlign w:val="center"/>
          </w:tcPr>
          <w:p w14:paraId="3D7BF71C">
            <w:pPr>
              <w:snapToGrid w:val="0"/>
              <w:spacing w:line="276" w:lineRule="auto"/>
              <w:rPr>
                <w:rFonts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1816336663"/>
              </w:sdtPr>
              <w:sdtEndPr>
                <w:rPr>
                  <w:rFonts w:hint="eastAsia" w:cs="Arial"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napToGrid w:val="0"/>
                <w:kern w:val="28"/>
                <w:sz w:val="24"/>
              </w:rPr>
              <w:t>联合体投标的，联合体各方均需按招标文件第四部分评标标准要求提供资信证明文件，否则视为不符合相关要求。</w:t>
            </w:r>
          </w:p>
          <w:p w14:paraId="4910A099">
            <w:pPr>
              <w:snapToGrid w:val="0"/>
              <w:spacing w:line="276" w:lineRule="auto"/>
              <w:rPr>
                <w:rFonts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232311894"/>
              </w:sdtPr>
              <w:sdtEndPr>
                <w:rPr>
                  <w:rFonts w:hint="eastAsia" w:cs="Arial" w:asciiTheme="majorEastAsia" w:hAnsiTheme="majorEastAsia" w:eastAsiaTheme="majorEastAsia"/>
                  <w:kern w:val="0"/>
                  <w:sz w:val="24"/>
                </w:rPr>
              </w:sdtEndPr>
              <w:sdtContent>
                <w:r>
                  <w:rPr>
                    <w:rFonts w:hint="eastAsia" w:cs="Arial" w:asciiTheme="majorEastAsia" w:hAnsiTheme="majorEastAsia" w:eastAsiaTheme="majorEastAsia"/>
                    <w:kern w:val="0"/>
                    <w:sz w:val="24"/>
                  </w:rPr>
                  <w:sym w:font="Wingdings" w:char="F0FE"/>
                </w:r>
              </w:sdtContent>
            </w:sdt>
            <w:r>
              <w:rPr>
                <w:rFonts w:hint="eastAsia" w:cs="宋体" w:asciiTheme="majorEastAsia" w:hAnsiTheme="majorEastAsia" w:eastAsiaTheme="majorEastAsia"/>
                <w:snapToGrid w:val="0"/>
                <w:kern w:val="28"/>
                <w:sz w:val="24"/>
              </w:rPr>
              <w:t>联合体投标的，联合体中有一方或者联合体成员根据分工按招标文件第四部分评标标准要求提供资信证明文件的，视为符合了相关要求。</w:t>
            </w:r>
          </w:p>
        </w:tc>
      </w:tr>
      <w:tr w14:paraId="7557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AB9135">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5100188">
            <w:pPr>
              <w:snapToGrid w:val="0"/>
              <w:spacing w:line="276" w:lineRule="auto"/>
              <w:jc w:val="center"/>
              <w:rPr>
                <w:rFonts w:cs="宋体" w:asciiTheme="majorEastAsia" w:hAnsiTheme="majorEastAsia" w:eastAsiaTheme="majorEastAsia"/>
                <w:b/>
                <w:sz w:val="24"/>
              </w:rPr>
            </w:pPr>
            <w:r>
              <w:rPr>
                <w:rFonts w:hint="eastAsia" w:cs="仿宋_GB2312" w:asciiTheme="majorEastAsia" w:hAnsiTheme="majorEastAsia" w:eastAsiaTheme="majorEastAsia"/>
                <w:b/>
                <w:sz w:val="24"/>
              </w:rPr>
              <w:t>招标代理机构代理费用</w:t>
            </w:r>
          </w:p>
        </w:tc>
        <w:tc>
          <w:tcPr>
            <w:tcW w:w="7070" w:type="dxa"/>
            <w:tcBorders>
              <w:top w:val="single" w:color="000000" w:sz="8" w:space="0"/>
              <w:left w:val="single" w:color="000000" w:sz="2" w:space="0"/>
              <w:bottom w:val="single" w:color="000000" w:sz="8" w:space="0"/>
              <w:right w:val="single" w:color="000000" w:sz="8" w:space="0"/>
            </w:tcBorders>
            <w:vAlign w:val="center"/>
          </w:tcPr>
          <w:p w14:paraId="5419EA2C">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明示代理费用收取方式及标准，随中标、成交结果一并公开本项目收费情况，包括具体收费标准及收费金额；</w:t>
            </w:r>
          </w:p>
          <w:p w14:paraId="3921861C">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2、收费标准或金额为：以中标金额为计算基数，按以下标准费率计算值收取，费率标准如下：</w:t>
            </w:r>
          </w:p>
          <w:tbl>
            <w:tblPr>
              <w:tblStyle w:val="62"/>
              <w:tblW w:w="700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5"/>
            </w:tblGrid>
            <w:tr w14:paraId="4C80D5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262" w:hRule="atLeast"/>
              </w:trPr>
              <w:tc>
                <w:tcPr>
                  <w:tcW w:w="7005" w:type="dxa"/>
                </w:tcPr>
                <w:tbl>
                  <w:tblPr>
                    <w:tblStyle w:val="62"/>
                    <w:tblW w:w="7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501"/>
                    <w:gridCol w:w="1417"/>
                    <w:gridCol w:w="1502"/>
                  </w:tblGrid>
                  <w:tr w14:paraId="583E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vAlign w:val="center"/>
                      </w:tcPr>
                      <w:p w14:paraId="2EFCED45">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金额（万元）</w:t>
                        </w:r>
                      </w:p>
                    </w:tc>
                    <w:tc>
                      <w:tcPr>
                        <w:tcW w:w="1501" w:type="dxa"/>
                        <w:vAlign w:val="center"/>
                      </w:tcPr>
                      <w:p w14:paraId="6C15D9C4">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货物类费率</w:t>
                        </w:r>
                      </w:p>
                    </w:tc>
                    <w:tc>
                      <w:tcPr>
                        <w:tcW w:w="1417" w:type="dxa"/>
                        <w:vAlign w:val="center"/>
                      </w:tcPr>
                      <w:p w14:paraId="2AD05221">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服务类费率</w:t>
                        </w:r>
                      </w:p>
                    </w:tc>
                    <w:tc>
                      <w:tcPr>
                        <w:tcW w:w="1502" w:type="dxa"/>
                        <w:vAlign w:val="center"/>
                      </w:tcPr>
                      <w:p w14:paraId="57E447FB">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工程类费率</w:t>
                        </w:r>
                      </w:p>
                    </w:tc>
                  </w:tr>
                  <w:tr w14:paraId="300B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vAlign w:val="center"/>
                      </w:tcPr>
                      <w:p w14:paraId="4A4C97F5">
                        <w:pPr>
                          <w:spacing w:line="276" w:lineRule="auto"/>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30（含）以下部分</w:t>
                        </w:r>
                      </w:p>
                    </w:tc>
                    <w:tc>
                      <w:tcPr>
                        <w:tcW w:w="1501" w:type="dxa"/>
                        <w:vAlign w:val="center"/>
                      </w:tcPr>
                      <w:p w14:paraId="5BE2F6BD">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1.0%</w:t>
                        </w:r>
                      </w:p>
                    </w:tc>
                    <w:tc>
                      <w:tcPr>
                        <w:tcW w:w="1417" w:type="dxa"/>
                        <w:vAlign w:val="center"/>
                      </w:tcPr>
                      <w:p w14:paraId="2EB931DF">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1.0%</w:t>
                        </w:r>
                      </w:p>
                    </w:tc>
                    <w:tc>
                      <w:tcPr>
                        <w:tcW w:w="1502" w:type="dxa"/>
                        <w:vAlign w:val="center"/>
                      </w:tcPr>
                      <w:p w14:paraId="2F5919EE">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1.0%</w:t>
                        </w:r>
                      </w:p>
                    </w:tc>
                  </w:tr>
                  <w:tr w14:paraId="0F37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vAlign w:val="center"/>
                      </w:tcPr>
                      <w:p w14:paraId="76171DDA">
                        <w:pPr>
                          <w:spacing w:line="276" w:lineRule="auto"/>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30（不含）~100以下部分</w:t>
                        </w:r>
                      </w:p>
                    </w:tc>
                    <w:tc>
                      <w:tcPr>
                        <w:tcW w:w="1501" w:type="dxa"/>
                        <w:vAlign w:val="center"/>
                      </w:tcPr>
                      <w:p w14:paraId="0896E254">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1.5%</w:t>
                        </w:r>
                      </w:p>
                    </w:tc>
                    <w:tc>
                      <w:tcPr>
                        <w:tcW w:w="1417" w:type="dxa"/>
                        <w:vAlign w:val="center"/>
                      </w:tcPr>
                      <w:p w14:paraId="1AC0DD37">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1.5%</w:t>
                        </w:r>
                      </w:p>
                    </w:tc>
                    <w:tc>
                      <w:tcPr>
                        <w:tcW w:w="1502" w:type="dxa"/>
                        <w:vAlign w:val="center"/>
                      </w:tcPr>
                      <w:p w14:paraId="176E0BEF">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1.0%</w:t>
                        </w:r>
                      </w:p>
                    </w:tc>
                  </w:tr>
                  <w:tr w14:paraId="775F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vAlign w:val="center"/>
                      </w:tcPr>
                      <w:p w14:paraId="73D21774">
                        <w:pPr>
                          <w:spacing w:line="276" w:lineRule="auto"/>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100~500之间部分</w:t>
                        </w:r>
                      </w:p>
                    </w:tc>
                    <w:tc>
                      <w:tcPr>
                        <w:tcW w:w="1501" w:type="dxa"/>
                        <w:vAlign w:val="center"/>
                      </w:tcPr>
                      <w:p w14:paraId="3C877872">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1.1%</w:t>
                        </w:r>
                      </w:p>
                    </w:tc>
                    <w:tc>
                      <w:tcPr>
                        <w:tcW w:w="1417" w:type="dxa"/>
                        <w:vAlign w:val="center"/>
                      </w:tcPr>
                      <w:p w14:paraId="3C2DE9A6">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0.8%</w:t>
                        </w:r>
                      </w:p>
                    </w:tc>
                    <w:tc>
                      <w:tcPr>
                        <w:tcW w:w="1502" w:type="dxa"/>
                        <w:vAlign w:val="center"/>
                      </w:tcPr>
                      <w:p w14:paraId="03FAB7C3">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0.7%</w:t>
                        </w:r>
                      </w:p>
                    </w:tc>
                  </w:tr>
                  <w:tr w14:paraId="4248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vAlign w:val="center"/>
                      </w:tcPr>
                      <w:p w14:paraId="33F6CA9C">
                        <w:pPr>
                          <w:spacing w:line="276" w:lineRule="auto"/>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500-1000之间部分</w:t>
                        </w:r>
                      </w:p>
                    </w:tc>
                    <w:tc>
                      <w:tcPr>
                        <w:tcW w:w="1501" w:type="dxa"/>
                        <w:vAlign w:val="center"/>
                      </w:tcPr>
                      <w:p w14:paraId="69A6110D">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0.8%</w:t>
                        </w:r>
                      </w:p>
                    </w:tc>
                    <w:tc>
                      <w:tcPr>
                        <w:tcW w:w="1417" w:type="dxa"/>
                        <w:vAlign w:val="center"/>
                      </w:tcPr>
                      <w:p w14:paraId="7B98388B">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0.45%</w:t>
                        </w:r>
                      </w:p>
                    </w:tc>
                    <w:tc>
                      <w:tcPr>
                        <w:tcW w:w="1502" w:type="dxa"/>
                        <w:vAlign w:val="center"/>
                      </w:tcPr>
                      <w:p w14:paraId="681A3B6D">
                        <w:pPr>
                          <w:spacing w:line="276" w:lineRule="auto"/>
                          <w:jc w:val="center"/>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0.55%</w:t>
                        </w:r>
                      </w:p>
                    </w:tc>
                  </w:tr>
                </w:tbl>
                <w:p w14:paraId="7FB89626">
                  <w:pPr>
                    <w:spacing w:line="276" w:lineRule="auto"/>
                    <w:rPr>
                      <w:rFonts w:asciiTheme="majorEastAsia" w:hAnsiTheme="majorEastAsia" w:eastAsiaTheme="majorEastAsia"/>
                      <w:snapToGrid w:val="0"/>
                      <w:kern w:val="28"/>
                      <w:szCs w:val="21"/>
                    </w:rPr>
                  </w:pPr>
                  <w:r>
                    <w:rPr>
                      <w:rFonts w:hint="eastAsia" w:asciiTheme="majorEastAsia" w:hAnsiTheme="majorEastAsia" w:eastAsiaTheme="majorEastAsia"/>
                      <w:snapToGrid w:val="0"/>
                      <w:kern w:val="28"/>
                      <w:szCs w:val="21"/>
                    </w:rPr>
                    <w:t>收费计算示例：（服务类项目中标金额为400万元）</w:t>
                  </w:r>
                </w:p>
                <w:p w14:paraId="5DE6063A">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Cs w:val="21"/>
                    </w:rPr>
                    <w:t>30*1.0%+70*1.5%+300*0.8%=3.75万元。</w:t>
                  </w:r>
                </w:p>
              </w:tc>
            </w:tr>
          </w:tbl>
          <w:p w14:paraId="5A456567">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3、结算方式及时间为：中标（成交）供应商在领取中标（成交）通知书时向受托人（采购代理机构）支付。</w:t>
            </w:r>
          </w:p>
          <w:p w14:paraId="1CAAA410">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收款单位（户名）：浙江省成套招标代理有限公司；</w:t>
            </w:r>
          </w:p>
          <w:p w14:paraId="052819BC">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开户银行：中信银行杭州西湖支行；</w:t>
            </w:r>
          </w:p>
          <w:p w14:paraId="51D8267C">
            <w:pPr>
              <w:snapToGrid w:val="0"/>
              <w:spacing w:line="276" w:lineRule="auto"/>
              <w:rPr>
                <w:rFonts w:cs="Arial" w:asciiTheme="majorEastAsia" w:hAnsiTheme="majorEastAsia" w:eastAsiaTheme="majorEastAsia"/>
                <w:kern w:val="0"/>
                <w:sz w:val="24"/>
              </w:rPr>
            </w:pPr>
            <w:r>
              <w:rPr>
                <w:rFonts w:hint="eastAsia" w:asciiTheme="majorEastAsia" w:hAnsiTheme="majorEastAsia" w:eastAsiaTheme="majorEastAsia"/>
                <w:snapToGrid w:val="0"/>
                <w:kern w:val="28"/>
                <w:sz w:val="24"/>
              </w:rPr>
              <w:t>银行账号：7331 6101 8260 0126 385</w:t>
            </w:r>
          </w:p>
        </w:tc>
      </w:tr>
      <w:tr w14:paraId="295F8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4CC82D">
            <w:pPr>
              <w:snapToGrid w:val="0"/>
              <w:spacing w:line="276"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6E476D07">
            <w:pPr>
              <w:snapToGrid w:val="0"/>
              <w:spacing w:line="276" w:lineRule="auto"/>
              <w:jc w:val="center"/>
              <w:rPr>
                <w:rFonts w:cs="仿宋_GB2312" w:asciiTheme="majorEastAsia" w:hAnsiTheme="majorEastAsia" w:eastAsiaTheme="majorEastAsia"/>
                <w:b/>
                <w:sz w:val="24"/>
              </w:rPr>
            </w:pPr>
            <w:r>
              <w:rPr>
                <w:rFonts w:hint="eastAsia" w:cs="仿宋_GB2312" w:asciiTheme="majorEastAsia" w:hAnsiTheme="majorEastAsia" w:eastAsiaTheme="majorEastAsia"/>
                <w:b/>
                <w:sz w:val="24"/>
              </w:rPr>
              <w:t>推荐中标候选人数量</w:t>
            </w:r>
          </w:p>
        </w:tc>
        <w:tc>
          <w:tcPr>
            <w:tcW w:w="7070" w:type="dxa"/>
            <w:tcBorders>
              <w:top w:val="single" w:color="000000" w:sz="8" w:space="0"/>
              <w:left w:val="single" w:color="000000" w:sz="2" w:space="0"/>
              <w:bottom w:val="single" w:color="000000" w:sz="8" w:space="0"/>
              <w:right w:val="single" w:color="000000" w:sz="8" w:space="0"/>
            </w:tcBorders>
            <w:vAlign w:val="center"/>
          </w:tcPr>
          <w:p w14:paraId="0266C3B6">
            <w:pPr>
              <w:spacing w:line="276"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1名</w:t>
            </w:r>
          </w:p>
        </w:tc>
      </w:tr>
      <w:bookmarkEnd w:id="10"/>
    </w:tbl>
    <w:p w14:paraId="6B3D2BAA">
      <w:pPr>
        <w:pageBreakBefore/>
        <w:snapToGrid w:val="0"/>
        <w:spacing w:line="360" w:lineRule="auto"/>
        <w:jc w:val="center"/>
        <w:outlineLvl w:val="0"/>
        <w:rPr>
          <w:rFonts w:cs="宋体" w:asciiTheme="majorEastAsia" w:hAnsiTheme="majorEastAsia" w:eastAsiaTheme="majorEastAsia"/>
          <w:b/>
          <w:sz w:val="32"/>
          <w:szCs w:val="20"/>
        </w:rPr>
      </w:pPr>
      <w:bookmarkStart w:id="11" w:name="第三部分"/>
      <w:bookmarkStart w:id="12" w:name="_Toc164416483"/>
      <w:r>
        <w:rPr>
          <w:rFonts w:hint="eastAsia" w:cs="宋体" w:asciiTheme="majorEastAsia" w:hAnsiTheme="majorEastAsia" w:eastAsiaTheme="majorEastAsia"/>
          <w:b/>
          <w:sz w:val="32"/>
          <w:szCs w:val="20"/>
        </w:rPr>
        <w:t>一、总则</w:t>
      </w:r>
    </w:p>
    <w:p w14:paraId="64C479B5">
      <w:pPr>
        <w:spacing w:line="360" w:lineRule="auto"/>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1.适用范围</w:t>
      </w:r>
    </w:p>
    <w:p w14:paraId="4330F27D">
      <w:pPr>
        <w:snapToGrid w:val="0"/>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本招标文件适用于该项目的招标、投标、开标、资格审查及信用信息查询、评标、定标、合同、验收等行为（法律、法规另有规定的，从其规定）。</w:t>
      </w:r>
    </w:p>
    <w:p w14:paraId="64EEC504">
      <w:pPr>
        <w:spacing w:line="360" w:lineRule="auto"/>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2.定义</w:t>
      </w:r>
    </w:p>
    <w:p w14:paraId="15737E41">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2.1 “采购人”系指招标公告中载明的本项目的采购人。</w:t>
      </w:r>
    </w:p>
    <w:p w14:paraId="6AA59022">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 “采购代理机构”系指招标公告中载明的本项目的采购代理机构。</w:t>
      </w:r>
    </w:p>
    <w:p w14:paraId="0A7A935D">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2.3 “投标人”系指是指响应招标、参加投标竞争的法人、其他组织或者自然人。</w:t>
      </w:r>
    </w:p>
    <w:p w14:paraId="3541A898">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2.4 “负责人”系指法人企业的法定负责人，或其他组织为法律、行政法规规定代表单位行使职权的主要负责人，或自然人本人。</w:t>
      </w:r>
    </w:p>
    <w:p w14:paraId="0E2C6C53">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8DAA89">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2.6“电子交易平台”是指本项目政府采购活动所依托的政府采购云平台（https://www.zcygov.cn/）。</w:t>
      </w:r>
    </w:p>
    <w:p w14:paraId="7448733C">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2.7 “▲” 系指实质性要求条款，“</w:t>
      </w:r>
      <w:sdt>
        <w:sdtPr>
          <w:rPr>
            <w:rFonts w:hint="eastAsia" w:cs="宋体" w:asciiTheme="majorEastAsia" w:hAnsiTheme="majorEastAsia" w:eastAsiaTheme="majorEastAsia"/>
            <w:kern w:val="0"/>
            <w:sz w:val="24"/>
          </w:rPr>
          <w:id w:val="512970236"/>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sz w:val="24"/>
        </w:rPr>
        <w:t>” 系指适用本项目的要求，“</w:t>
      </w:r>
      <w:sdt>
        <w:sdtPr>
          <w:rPr>
            <w:rFonts w:hint="eastAsia" w:cs="宋体" w:asciiTheme="majorEastAsia" w:hAnsiTheme="majorEastAsia" w:eastAsiaTheme="majorEastAsia"/>
            <w:kern w:val="0"/>
            <w:sz w:val="24"/>
          </w:rPr>
          <w:id w:val="404888855"/>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z w:val="24"/>
        </w:rPr>
        <w:t>” 系指不适用本项目的要求。</w:t>
      </w:r>
    </w:p>
    <w:p w14:paraId="1B710C45">
      <w:pPr>
        <w:spacing w:line="360" w:lineRule="auto"/>
        <w:ind w:firstLine="241" w:firstLineChars="100"/>
        <w:rPr>
          <w:rFonts w:cs="宋体" w:asciiTheme="majorEastAsia" w:hAnsiTheme="majorEastAsia" w:eastAsiaTheme="majorEastAsia"/>
          <w:b/>
          <w:sz w:val="24"/>
        </w:rPr>
      </w:pPr>
      <w:r>
        <w:rPr>
          <w:rFonts w:hint="eastAsia" w:cs="宋体" w:asciiTheme="majorEastAsia" w:hAnsiTheme="majorEastAsia" w:eastAsiaTheme="majorEastAsia"/>
          <w:b/>
          <w:sz w:val="24"/>
        </w:rPr>
        <w:t>3.采购项目需要落实的政府采购政策</w:t>
      </w:r>
    </w:p>
    <w:p w14:paraId="5988E579">
      <w:pPr>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kern w:val="0"/>
          <w:sz w:val="24"/>
        </w:rPr>
        <w:t>优先采购向我国企业转让技术、与我国企业签订消化吸收再创新方案的供应商的进口产品</w:t>
      </w:r>
      <w:r>
        <w:rPr>
          <w:rFonts w:hint="eastAsia" w:cs="宋体" w:asciiTheme="majorEastAsia" w:hAnsiTheme="majorEastAsia" w:eastAsiaTheme="majorEastAsia"/>
          <w:sz w:val="24"/>
        </w:rPr>
        <w:t>。</w:t>
      </w:r>
    </w:p>
    <w:p w14:paraId="0011CA13">
      <w:pPr>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3.2 支持绿色发展</w:t>
      </w:r>
    </w:p>
    <w:p w14:paraId="3F0F5376">
      <w:pPr>
        <w:spacing w:line="360" w:lineRule="auto"/>
        <w:ind w:firstLine="480" w:firstLineChars="200"/>
        <w:rPr>
          <w:rFonts w:cs="宋体" w:asciiTheme="majorEastAsia" w:hAnsiTheme="majorEastAsia" w:eastAsiaTheme="majorEastAsia"/>
          <w:b/>
          <w:sz w:val="24"/>
        </w:rPr>
      </w:pPr>
      <w:r>
        <w:rPr>
          <w:rFonts w:hint="eastAsia" w:cs="宋体" w:asciiTheme="majorEastAsia" w:hAnsiTheme="majorEastAsia" w:eastAsiaTheme="maj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ajorEastAsia" w:hAnsiTheme="majorEastAsia" w:eastAsiaTheme="majorEastAsia"/>
          <w:b/>
          <w:sz w:val="24"/>
        </w:rPr>
        <w:t>▲采购人拟采购的产品属于政府强制采购的节能产品品目清单范围的，投标人相应的投标产品未获得国家确定的认证机构出具的、处于有效期之内的节能产品认证证书的，投标无效。</w:t>
      </w:r>
    </w:p>
    <w:p w14:paraId="2FC0C82F">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3.2.2 修缮、装修类项目采购建材的，采购人应将绿色建筑和绿色建材性能、指标等作为实质性条件纳入招标文件和合同。</w:t>
      </w:r>
    </w:p>
    <w:p w14:paraId="4BAE0862">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5BFA66B">
      <w:pPr>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3.3支持中小企业发展</w:t>
      </w:r>
    </w:p>
    <w:p w14:paraId="7D610E0F">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E173C5">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符合中小企业划分标准的个体工商户，在政府采购活动中视同中小企业。</w:t>
      </w:r>
    </w:p>
    <w:p w14:paraId="103D942D">
      <w:pPr>
        <w:widowControl/>
        <w:spacing w:line="360" w:lineRule="auto"/>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bCs/>
          <w:sz w:val="24"/>
        </w:rPr>
        <w:t>3.3.2</w:t>
      </w:r>
      <w:r>
        <w:rPr>
          <w:rFonts w:hint="eastAsia" w:cs="宋体" w:asciiTheme="majorEastAsia" w:hAnsiTheme="majorEastAsia" w:eastAsiaTheme="maj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3A3B3DF">
      <w:pPr>
        <w:widowControl/>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3A6F14C1">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3.3.3对于未预留份额专门面向中小企业的政府采购服务项目，以及预留份额政府采购服务项目中的非预留部分标项，对小型和微型企业的投标报价给予</w:t>
      </w:r>
      <w:r>
        <w:rPr>
          <w:rFonts w:cs="宋体" w:asciiTheme="majorEastAsia" w:hAnsiTheme="majorEastAsia" w:eastAsiaTheme="majorEastAsia"/>
          <w:sz w:val="24"/>
          <w:u w:val="single"/>
        </w:rPr>
        <w:t>20</w:t>
      </w:r>
      <w:r>
        <w:rPr>
          <w:rFonts w:hint="eastAsia" w:cs="宋体" w:asciiTheme="majorEastAsia" w:hAnsiTheme="majorEastAsia" w:eastAsiaTheme="majorEastAsia"/>
          <w:sz w:val="24"/>
          <w:u w:val="single"/>
        </w:rPr>
        <w:t>%</w:t>
      </w:r>
      <w:r>
        <w:rPr>
          <w:rFonts w:hint="eastAsia" w:cs="宋体" w:asciiTheme="majorEastAsia" w:hAnsiTheme="majorEastAsia" w:eastAsiaTheme="major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asciiTheme="majorEastAsia" w:hAnsiTheme="majorEastAsia" w:eastAsiaTheme="majorEastAsia"/>
          <w:sz w:val="24"/>
          <w:u w:val="single"/>
        </w:rPr>
        <w:t>6%</w:t>
      </w:r>
      <w:r>
        <w:rPr>
          <w:rFonts w:hint="eastAsia" w:cs="宋体" w:asciiTheme="majorEastAsia" w:hAnsiTheme="majorEastAsia" w:eastAsiaTheme="majorEastAsia"/>
          <w:sz w:val="24"/>
        </w:rPr>
        <w:t>的扣除，用扣除后的价格参加评审。组成联合体或者接受分包的小微企业与联合体内其他企业、分包企业之间存在直接控股、管理关系的，不享受价格扣除优惠政策。</w:t>
      </w:r>
    </w:p>
    <w:p w14:paraId="62E23C03">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3.3.4符合《关于促进残疾人就业政府采购政策的通知》（财库〔2017〕141号）规定的条件并提供《残疾人福利性单位声明函》（附件1）的残疾人福利性单位视同小型、微型企业；</w:t>
      </w:r>
    </w:p>
    <w:p w14:paraId="1E7CCA26">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12358A">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668981">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3.3.7中小企业享受扶持政策获得政府采购合同的，小微企业不得将合同分包给大中型企业，中型企业不得将合同分包给大型企业。</w:t>
      </w:r>
    </w:p>
    <w:p w14:paraId="1540C5F2">
      <w:pPr>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3.4</w:t>
      </w:r>
      <w:r>
        <w:rPr>
          <w:rFonts w:hint="eastAsia" w:cs="宋体" w:asciiTheme="majorEastAsia" w:hAnsiTheme="majorEastAsia" w:eastAsiaTheme="majorEastAsia"/>
          <w:bCs/>
          <w:sz w:val="24"/>
        </w:rPr>
        <w:t>支持创新发展</w:t>
      </w:r>
    </w:p>
    <w:p w14:paraId="0F6D39F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3.4.1 采购人优先采购被认定为首台套产品和“制造精品”的自主创新产品。</w:t>
      </w:r>
    </w:p>
    <w:p w14:paraId="0FC865D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3.4.2首台套产品被纳入《首台套产品推广应用指导目录》之日起</w:t>
      </w:r>
      <w:r>
        <w:rPr>
          <w:rFonts w:cs="仿宋" w:asciiTheme="majorEastAsia" w:hAnsiTheme="majorEastAsia" w:eastAsiaTheme="majorEastAsia"/>
          <w:sz w:val="24"/>
        </w:rPr>
        <w:t>3</w:t>
      </w:r>
      <w:r>
        <w:rPr>
          <w:rFonts w:hint="eastAsia" w:cs="仿宋" w:asciiTheme="majorEastAsia" w:hAnsiTheme="majorEastAsia" w:eastAsiaTheme="majorEastAsia"/>
          <w:sz w:val="24"/>
        </w:rPr>
        <w:t>年内，以及产品核心技术高于国内领先水平，并具有明晰自主知识产权的“制造精品”产品，自认定之日起2年内视同已具备相应销售业绩。</w:t>
      </w:r>
    </w:p>
    <w:p w14:paraId="11F7C70C">
      <w:pPr>
        <w:spacing w:line="360" w:lineRule="auto"/>
        <w:ind w:firstLine="482" w:firstLineChars="200"/>
        <w:rPr>
          <w:rFonts w:cs="宋体" w:asciiTheme="majorEastAsia" w:hAnsiTheme="majorEastAsia" w:eastAsiaTheme="majorEastAsia"/>
          <w:sz w:val="24"/>
        </w:rPr>
      </w:pPr>
      <w:r>
        <w:rPr>
          <w:rFonts w:hint="eastAsia" w:cs="仿宋" w:asciiTheme="majorEastAsia" w:hAnsiTheme="majorEastAsia" w:eastAsiaTheme="majorEastAsia"/>
          <w:b/>
          <w:bCs/>
          <w:sz w:val="24"/>
        </w:rPr>
        <w:t xml:space="preserve">3.4.3 </w:t>
      </w:r>
      <w:r>
        <w:rPr>
          <w:rFonts w:hint="eastAsia" w:cs="仿宋" w:asciiTheme="majorEastAsia" w:hAnsiTheme="majorEastAsia" w:eastAsiaTheme="majorEastAsia"/>
          <w:sz w:val="24"/>
        </w:rPr>
        <w:t>采购人应当贯彻落实知识产权保护相关法律法规，</w:t>
      </w:r>
      <w:r>
        <w:rPr>
          <w:rFonts w:hint="eastAsia" w:cs="仿宋" w:asciiTheme="majorEastAsia" w:hAnsiTheme="majorEastAsia" w:eastAsiaTheme="majorEastAsia"/>
          <w:b/>
          <w:bCs/>
          <w:sz w:val="24"/>
        </w:rPr>
        <w:t>应当采购使用正版软件。</w:t>
      </w:r>
    </w:p>
    <w:p w14:paraId="3E803D78">
      <w:pPr>
        <w:spacing w:line="360" w:lineRule="auto"/>
        <w:ind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3.5平等对待内外资企业和符合条件的破产重整企业</w:t>
      </w:r>
    </w:p>
    <w:p w14:paraId="15FB3975">
      <w:pPr>
        <w:spacing w:line="360" w:lineRule="auto"/>
        <w:ind w:firstLine="240" w:firstLineChars="100"/>
        <w:rPr>
          <w:rFonts w:cs="宋体" w:asciiTheme="majorEastAsia" w:hAnsiTheme="majorEastAsia" w:eastAsiaTheme="majorEastAsia"/>
          <w:b/>
          <w:sz w:val="24"/>
        </w:rPr>
      </w:pPr>
      <w:r>
        <w:rPr>
          <w:rFonts w:hint="eastAsia" w:cs="宋体" w:asciiTheme="majorEastAsia" w:hAnsiTheme="majorEastAsia" w:eastAsiaTheme="majorEastAsia"/>
          <w:sz w:val="24"/>
        </w:rPr>
        <w:t>平等对待内外资企业和符合条件的破产重整企业，切实保障企业公平竞争，平等维护企业的合法利益。</w:t>
      </w:r>
      <w:r>
        <w:rPr>
          <w:rFonts w:hint="eastAsia" w:cs="宋体" w:asciiTheme="majorEastAsia" w:hAnsiTheme="majorEastAsia" w:eastAsiaTheme="majorEastAsia"/>
          <w:sz w:val="24"/>
        </w:rPr>
        <w:cr/>
      </w:r>
      <w:r>
        <w:rPr>
          <w:rFonts w:hint="eastAsia" w:cs="宋体" w:asciiTheme="majorEastAsia" w:hAnsiTheme="majorEastAsia" w:eastAsiaTheme="majorEastAsia"/>
          <w:b/>
          <w:sz w:val="24"/>
        </w:rPr>
        <w:t>4.询问、质疑、投诉、补偿救济</w:t>
      </w:r>
    </w:p>
    <w:p w14:paraId="64195867">
      <w:pPr>
        <w:autoSpaceDE w:val="0"/>
        <w:autoSpaceDN w:val="0"/>
        <w:spacing w:line="360" w:lineRule="auto"/>
        <w:ind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943778">
      <w:pPr>
        <w:autoSpaceDE w:val="0"/>
        <w:autoSpaceDN w:val="0"/>
        <w:spacing w:line="360" w:lineRule="auto"/>
        <w:ind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4.2供应商询问</w:t>
      </w:r>
    </w:p>
    <w:p w14:paraId="14518F43">
      <w:pPr>
        <w:autoSpaceDE w:val="0"/>
        <w:autoSpaceDN w:val="0"/>
        <w:spacing w:line="360" w:lineRule="auto"/>
        <w:ind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44AE3B">
      <w:pPr>
        <w:autoSpaceDE w:val="0"/>
        <w:autoSpaceDN w:val="0"/>
        <w:spacing w:line="360" w:lineRule="auto"/>
        <w:ind w:firstLine="240" w:firstLineChars="1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4.3供应商质疑</w:t>
      </w:r>
    </w:p>
    <w:p w14:paraId="5940F9D4">
      <w:pPr>
        <w:pStyle w:val="32"/>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4.3</w:t>
      </w:r>
      <w:r>
        <w:rPr>
          <w:rFonts w:hint="eastAsia" w:cs="宋体"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5ED152F9">
      <w:pPr>
        <w:pStyle w:val="32"/>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4.3</w:t>
      </w:r>
      <w:r>
        <w:rPr>
          <w:rFonts w:hint="eastAsia" w:cs="宋体"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1BB5B7">
      <w:pPr>
        <w:pStyle w:val="2"/>
        <w:spacing w:line="360" w:lineRule="auto"/>
        <w:ind w:firstLine="480" w:firstLineChars="200"/>
        <w:rPr>
          <w:rFonts w:cs="宋体" w:asciiTheme="majorEastAsia" w:hAnsiTheme="majorEastAsia" w:eastAsiaTheme="majorEastAsia"/>
          <w:snapToGrid/>
          <w:color w:val="auto"/>
          <w:kern w:val="2"/>
          <w:sz w:val="24"/>
        </w:rPr>
      </w:pPr>
      <w:r>
        <w:rPr>
          <w:rFonts w:hint="eastAsia" w:cs="宋体" w:asciiTheme="majorEastAsia" w:hAnsiTheme="majorEastAsia" w:eastAsiaTheme="majorEastAsia"/>
          <w:snapToGrid/>
          <w:color w:val="auto"/>
          <w:kern w:val="2"/>
          <w:sz w:val="24"/>
        </w:rPr>
        <w:t>4.3.2.1对招标文件提出质疑的，质疑期限为供应商获得招标文件之日或者招标文件公告期限届满之日起计算。</w:t>
      </w:r>
    </w:p>
    <w:p w14:paraId="7D1E3E08">
      <w:pPr>
        <w:pStyle w:val="32"/>
        <w:spacing w:line="360" w:lineRule="auto"/>
        <w:ind w:left="479" w:leftChars="228"/>
        <w:rPr>
          <w:rFonts w:cs="宋体" w:asciiTheme="majorEastAsia" w:hAnsiTheme="majorEastAsia" w:eastAsiaTheme="majorEastAsia"/>
          <w:sz w:val="24"/>
        </w:rPr>
      </w:pPr>
      <w:r>
        <w:rPr>
          <w:rFonts w:hint="eastAsia" w:cs="宋体" w:asciiTheme="majorEastAsia" w:hAnsiTheme="majorEastAsia" w:eastAsiaTheme="majorEastAsia"/>
          <w:sz w:val="24"/>
        </w:rPr>
        <w:t>4.3.2.2对采购过程提出质疑的，质疑期限为各采购程序环节结束之日起计算。4.3.2.3对采购结果提出质疑的，质疑期限自采购结果公告期限届满之日起计算。</w:t>
      </w:r>
    </w:p>
    <w:p w14:paraId="0382E12A">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4.3.3</w:t>
      </w:r>
      <w:r>
        <w:rPr>
          <w:rFonts w:hint="eastAsia" w:cs="宋体" w:asciiTheme="majorEastAsia" w:hAnsiTheme="majorEastAsia" w:eastAsiaTheme="majorEastAsia"/>
          <w:sz w:val="24"/>
        </w:rPr>
        <w:t>供应商提出质疑应当提交质疑函和必要的证明材料。质疑函应当包括下列内容：</w:t>
      </w:r>
    </w:p>
    <w:p w14:paraId="3034A902">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4.3.3.1供应商的姓名或者名称、地址、邮编、联系人及联系电话；</w:t>
      </w:r>
    </w:p>
    <w:p w14:paraId="3598134A">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4.3.3.2质疑项目的名称、编号；</w:t>
      </w:r>
    </w:p>
    <w:p w14:paraId="3874A5EA">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4.3.3.3具体、明确的质疑事项和与质疑事项相关的请求；</w:t>
      </w:r>
    </w:p>
    <w:p w14:paraId="1D0A3221">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4.3.3.4事实依据；</w:t>
      </w:r>
    </w:p>
    <w:p w14:paraId="2CD8EC62">
      <w:pPr>
        <w:pStyle w:val="32"/>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4.3.3.5必要的法律依据；</w:t>
      </w:r>
    </w:p>
    <w:p w14:paraId="34CB4678">
      <w:pPr>
        <w:pStyle w:val="32"/>
        <w:spacing w:line="360" w:lineRule="auto"/>
        <w:ind w:firstLine="960" w:firstLineChars="4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4.3.3.6提出质疑的日期。</w:t>
      </w:r>
    </w:p>
    <w:p w14:paraId="082DCE18">
      <w:pPr>
        <w:pStyle w:val="886"/>
        <w:shd w:val="clear" w:color="auto" w:fill="FFFFFF"/>
        <w:adjustRightInd w:val="0"/>
        <w:snapToGrid w:val="0"/>
        <w:spacing w:before="0" w:beforeAutospacing="0" w:after="0" w:afterAutospacing="0" w:line="360" w:lineRule="auto"/>
        <w:ind w:firstLine="403"/>
        <w:rPr>
          <w:rFonts w:asciiTheme="majorEastAsia" w:hAnsiTheme="majorEastAsia" w:eastAsiaTheme="majorEastAsia"/>
        </w:rPr>
      </w:pPr>
      <w:r>
        <w:rPr>
          <w:rFonts w:hint="eastAsia" w:asciiTheme="majorEastAsia" w:hAnsiTheme="majorEastAsia" w:eastAsiaTheme="majorEastAsia"/>
        </w:rPr>
        <w:t>供应商提交的质疑函需一式三份。供应商为自然人的，应当由本人签字；供应商为法人或者其他组织的，应当由法定代表人、主要负责人，或者其授权代表签字或者盖章，并加盖公章。</w:t>
      </w:r>
    </w:p>
    <w:p w14:paraId="44BDC470">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质疑函范本及制作说明详见附件2。</w:t>
      </w:r>
    </w:p>
    <w:p w14:paraId="16143BFF">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4.3.4对同一采购程序环节的质疑，供应商须在法定质疑期内一次性提出。</w:t>
      </w:r>
    </w:p>
    <w:p w14:paraId="0F884AF7">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lang w:val="zh-CN"/>
        </w:rPr>
        <w:t>4.3</w:t>
      </w:r>
      <w:r>
        <w:rPr>
          <w:rFonts w:hint="eastAsia" w:asciiTheme="majorEastAsia" w:hAnsiTheme="majorEastAsia" w:eastAsiaTheme="major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E596DB5">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lang w:val="zh-CN"/>
        </w:rPr>
        <w:t>4.3</w:t>
      </w:r>
      <w:r>
        <w:rPr>
          <w:rFonts w:hint="eastAsia" w:asciiTheme="majorEastAsia" w:hAnsiTheme="majorEastAsia" w:eastAsiaTheme="majorEastAsia"/>
        </w:rPr>
        <w:t>.6询问或者质疑事项可能影响采购结果的，采购人应当暂停签订合同，已经签订合同的，应当中止履行合同。</w:t>
      </w:r>
    </w:p>
    <w:p w14:paraId="4B3DD4F5">
      <w:pPr>
        <w:pStyle w:val="886"/>
        <w:shd w:val="clear" w:color="auto" w:fill="FFFFFF"/>
        <w:snapToGrid w:val="0"/>
        <w:spacing w:after="240" w:afterAutospacing="0" w:line="360" w:lineRule="auto"/>
        <w:ind w:firstLine="480" w:firstLineChars="200"/>
        <w:contextualSpacing/>
        <w:rPr>
          <w:rFonts w:asciiTheme="majorEastAsia" w:hAnsiTheme="majorEastAsia" w:eastAsiaTheme="majorEastAsia"/>
          <w:lang w:val="zh-CN"/>
        </w:rPr>
      </w:pPr>
      <w:r>
        <w:rPr>
          <w:rFonts w:hint="eastAsia" w:asciiTheme="majorEastAsia" w:hAnsiTheme="majorEastAsia" w:eastAsiaTheme="majorEastAsia"/>
          <w:lang w:val="zh-CN"/>
        </w:rPr>
        <w:t>4.4供应商投诉</w:t>
      </w:r>
    </w:p>
    <w:p w14:paraId="5C1BACBF">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4.4.1质疑供应商对采购人、采购代理机构的答复不满意或者采购人、采购代理机构未在规定的时间内作出答复的，可以在答复期满后十五个工作日内向同级政府采购监督管理部门提出投诉。</w:t>
      </w:r>
    </w:p>
    <w:p w14:paraId="3090C70A">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4.4.</w:t>
      </w:r>
      <w:r>
        <w:rPr>
          <w:rFonts w:hint="eastAsia" w:asciiTheme="majorEastAsia" w:hAnsiTheme="majorEastAsia" w:eastAsiaTheme="majorEastAsia"/>
          <w:lang w:val="zh-CN"/>
        </w:rPr>
        <w:t>2</w:t>
      </w:r>
      <w:r>
        <w:rPr>
          <w:rFonts w:hint="eastAsia" w:asciiTheme="majorEastAsia" w:hAnsiTheme="majorEastAsia" w:eastAsiaTheme="majorEastAsia"/>
        </w:rPr>
        <w:t>供应商投诉的事项不得超出已质疑事项的范围，基于质疑答复内容提出的投诉事项除外。</w:t>
      </w:r>
    </w:p>
    <w:p w14:paraId="6092D29A">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4.4.3供应商投诉应当有明确的请求和必要的证明材料。</w:t>
      </w:r>
    </w:p>
    <w:p w14:paraId="6702D17F">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4.4.4以联合体形式参加政府采购活动的，其投诉应当由组成联合体的所有供应商共同提出。</w:t>
      </w:r>
    </w:p>
    <w:p w14:paraId="069C4458">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4.4.5浙江省本级、杭州市本级、拱墅区、富阳区政府采购项目投诉材料可寄送浙江省政府采购行政裁决服务中心（杭州），地址：杭州市上城区四季青街道新业路市民之家G03办公室，收件人：朱女士，电话：15121014815。</w:t>
      </w:r>
    </w:p>
    <w:p w14:paraId="711359F3">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投诉书范本及制作说明详见附件3。</w:t>
      </w:r>
    </w:p>
    <w:p w14:paraId="5A24D63D">
      <w:pPr>
        <w:pStyle w:val="886"/>
        <w:shd w:val="clear" w:color="auto" w:fill="FFFFFF"/>
        <w:snapToGrid w:val="0"/>
        <w:spacing w:after="240" w:line="360" w:lineRule="auto"/>
        <w:ind w:firstLine="400"/>
        <w:contextualSpacing/>
        <w:rPr>
          <w:rFonts w:asciiTheme="majorEastAsia" w:hAnsiTheme="majorEastAsia" w:eastAsiaTheme="majorEastAsia"/>
        </w:rPr>
      </w:pPr>
      <w:r>
        <w:rPr>
          <w:rFonts w:hint="eastAsia" w:asciiTheme="majorEastAsia" w:hAnsiTheme="majorEastAsia" w:eastAsiaTheme="majorEastAsia"/>
        </w:rPr>
        <w:t>4.5 补偿救济</w:t>
      </w:r>
    </w:p>
    <w:p w14:paraId="406DD764">
      <w:pPr>
        <w:pStyle w:val="886"/>
        <w:shd w:val="clear" w:color="auto" w:fill="FFFFFF"/>
        <w:snapToGrid w:val="0"/>
        <w:spacing w:after="240" w:afterAutospacing="0" w:line="360" w:lineRule="auto"/>
        <w:ind w:firstLine="400"/>
        <w:contextualSpacing/>
        <w:rPr>
          <w:rFonts w:asciiTheme="majorEastAsia" w:hAnsiTheme="majorEastAsia" w:eastAsiaTheme="majorEastAsia"/>
        </w:rPr>
      </w:pPr>
      <w:r>
        <w:rPr>
          <w:rFonts w:hint="eastAsia" w:asciiTheme="majorEastAsia" w:hAnsiTheme="majorEastAsia" w:eastAsiaTheme="majorEastAsia"/>
        </w:rPr>
        <w:t>采购人（行政机关）因政策变化、规划调整而不履行政府采购合同的，供应商可依据《杭州市涉企补偿救济实施办法（试行）》向采购人（行政机关）提起补偿申请。</w:t>
      </w:r>
    </w:p>
    <w:p w14:paraId="6CEF5CB3">
      <w:pPr>
        <w:pStyle w:val="132"/>
        <w:snapToGrid w:val="0"/>
        <w:spacing w:before="0"/>
        <w:ind w:firstLine="360"/>
        <w:rPr>
          <w:rFonts w:cs="宋体" w:asciiTheme="majorEastAsia" w:hAnsiTheme="majorEastAsia" w:eastAsiaTheme="majorEastAsia"/>
          <w:sz w:val="18"/>
          <w:szCs w:val="18"/>
        </w:rPr>
      </w:pPr>
    </w:p>
    <w:p w14:paraId="079AFF66">
      <w:pPr>
        <w:adjustRightInd/>
        <w:spacing w:line="360" w:lineRule="auto"/>
        <w:jc w:val="center"/>
        <w:outlineLvl w:val="0"/>
        <w:rPr>
          <w:rFonts w:cs="宋体" w:asciiTheme="majorEastAsia" w:hAnsiTheme="majorEastAsia" w:eastAsiaTheme="majorEastAsia"/>
          <w:b/>
          <w:sz w:val="32"/>
          <w:szCs w:val="20"/>
        </w:rPr>
      </w:pPr>
      <w:r>
        <w:rPr>
          <w:rFonts w:hint="eastAsia" w:cs="宋体" w:asciiTheme="majorEastAsia" w:hAnsiTheme="majorEastAsia" w:eastAsiaTheme="majorEastAsia"/>
          <w:b/>
          <w:sz w:val="32"/>
          <w:szCs w:val="20"/>
        </w:rPr>
        <w:t>二、招标文件的构成、澄清、修改</w:t>
      </w:r>
    </w:p>
    <w:p w14:paraId="46A8DB63">
      <w:pPr>
        <w:pStyle w:val="32"/>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5．招标文件的构成</w:t>
      </w:r>
    </w:p>
    <w:p w14:paraId="77D493CC">
      <w:pPr>
        <w:pStyle w:val="3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 招标文件包括下列文件及附件：</w:t>
      </w:r>
    </w:p>
    <w:p w14:paraId="651D040D">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5.1.1招标公告；</w:t>
      </w:r>
    </w:p>
    <w:p w14:paraId="52E4FF47">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5.1.2投标人须知；</w:t>
      </w:r>
    </w:p>
    <w:p w14:paraId="3209F51A">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5.1.3采购需求；</w:t>
      </w:r>
    </w:p>
    <w:p w14:paraId="1DED167B">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5.1.4评标办法；</w:t>
      </w:r>
    </w:p>
    <w:p w14:paraId="5130C152">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5.1.5拟签订的合同文本；</w:t>
      </w:r>
    </w:p>
    <w:p w14:paraId="38399F19">
      <w:pPr>
        <w:pStyle w:val="32"/>
        <w:tabs>
          <w:tab w:val="left" w:pos="840"/>
        </w:tabs>
        <w:spacing w:line="360" w:lineRule="auto"/>
        <w:ind w:firstLine="960" w:firstLineChars="400"/>
        <w:rPr>
          <w:rFonts w:cs="宋体" w:asciiTheme="majorEastAsia" w:hAnsiTheme="majorEastAsia" w:eastAsiaTheme="majorEastAsia"/>
          <w:sz w:val="24"/>
          <w:szCs w:val="24"/>
        </w:rPr>
      </w:pPr>
      <w:r>
        <w:rPr>
          <w:rFonts w:hint="eastAsia" w:cs="宋体" w:asciiTheme="majorEastAsia" w:hAnsiTheme="majorEastAsia" w:eastAsiaTheme="majorEastAsia"/>
          <w:sz w:val="24"/>
        </w:rPr>
        <w:t>5.1.6</w:t>
      </w:r>
      <w:r>
        <w:rPr>
          <w:rFonts w:hint="eastAsia" w:cs="宋体" w:asciiTheme="majorEastAsia" w:hAnsiTheme="majorEastAsia" w:eastAsiaTheme="majorEastAsia"/>
          <w:sz w:val="24"/>
          <w:szCs w:val="24"/>
        </w:rPr>
        <w:t>应提交的有关格式范例。</w:t>
      </w:r>
    </w:p>
    <w:p w14:paraId="236BEC0C">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5.2与本项目有关的</w:t>
      </w:r>
      <w:r>
        <w:rPr>
          <w:rFonts w:hint="eastAsia" w:cs="宋体" w:asciiTheme="majorEastAsia" w:hAnsiTheme="majorEastAsia" w:eastAsiaTheme="majorEastAsia"/>
          <w:bCs/>
          <w:sz w:val="24"/>
        </w:rPr>
        <w:t>澄清或者修改的内容为招标文件的组成部分</w:t>
      </w:r>
      <w:r>
        <w:rPr>
          <w:rFonts w:hint="eastAsia" w:cs="宋体" w:asciiTheme="majorEastAsia" w:hAnsiTheme="majorEastAsia" w:eastAsiaTheme="majorEastAsia"/>
          <w:sz w:val="24"/>
        </w:rPr>
        <w:t>。</w:t>
      </w:r>
    </w:p>
    <w:p w14:paraId="174B2FB0">
      <w:pPr>
        <w:pStyle w:val="32"/>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6.招标文件的澄清、修改</w:t>
      </w:r>
    </w:p>
    <w:p w14:paraId="17108563">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6.1已获取招标文件的潜在投标人，若有问题需要澄清，应于投标截止时间前，以书面形式向采购代理机构提出。</w:t>
      </w:r>
    </w:p>
    <w:p w14:paraId="74C1D1D9">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E71309">
      <w:pPr>
        <w:pStyle w:val="23"/>
        <w:rPr>
          <w:rFonts w:cs="宋体" w:asciiTheme="majorEastAsia" w:hAnsiTheme="majorEastAsia" w:eastAsiaTheme="majorEastAsia"/>
          <w:sz w:val="18"/>
          <w:szCs w:val="18"/>
          <w:lang w:val="en-US"/>
        </w:rPr>
      </w:pPr>
    </w:p>
    <w:p w14:paraId="1EA4AE7D">
      <w:pPr>
        <w:adjustRightInd/>
        <w:spacing w:line="360" w:lineRule="auto"/>
        <w:jc w:val="center"/>
        <w:outlineLvl w:val="0"/>
        <w:rPr>
          <w:rFonts w:cs="宋体" w:asciiTheme="majorEastAsia" w:hAnsiTheme="majorEastAsia" w:eastAsiaTheme="majorEastAsia"/>
          <w:b/>
          <w:sz w:val="30"/>
          <w:szCs w:val="20"/>
        </w:rPr>
      </w:pPr>
      <w:r>
        <w:rPr>
          <w:rFonts w:hint="eastAsia" w:cs="宋体" w:asciiTheme="majorEastAsia" w:hAnsiTheme="majorEastAsia" w:eastAsiaTheme="majorEastAsia"/>
          <w:b/>
          <w:sz w:val="30"/>
          <w:szCs w:val="20"/>
        </w:rPr>
        <w:t>三、投标</w:t>
      </w:r>
    </w:p>
    <w:p w14:paraId="51C328E0">
      <w:pPr>
        <w:pStyle w:val="32"/>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7.招标文件的获取</w:t>
      </w:r>
    </w:p>
    <w:p w14:paraId="28F7B3CD">
      <w:pPr>
        <w:spacing w:line="360" w:lineRule="auto"/>
        <w:ind w:firstLine="480" w:firstLineChars="200"/>
        <w:rPr>
          <w:rFonts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详见招标公告中获取招标文件的时间期限、地点、方式及招标文件售价。</w:t>
      </w:r>
    </w:p>
    <w:p w14:paraId="28930551">
      <w:pPr>
        <w:pStyle w:val="32"/>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8.开标前答疑会或现场考察</w:t>
      </w:r>
    </w:p>
    <w:p w14:paraId="33BDA3C8">
      <w:pPr>
        <w:pStyle w:val="3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采购人组织潜在投标人现场考察或者召开开标前答疑会的，潜在投标人按第二部分投标人须知前附表的规定参加现场考察或者开标前答疑会。</w:t>
      </w:r>
    </w:p>
    <w:p w14:paraId="096CE562">
      <w:pPr>
        <w:pStyle w:val="32"/>
        <w:spacing w:line="360" w:lineRule="auto"/>
        <w:rPr>
          <w:rFonts w:cs="宋体" w:asciiTheme="majorEastAsia" w:hAnsiTheme="majorEastAsia" w:eastAsiaTheme="majorEastAsia"/>
          <w:b/>
          <w:szCs w:val="24"/>
        </w:rPr>
      </w:pPr>
      <w:r>
        <w:rPr>
          <w:rFonts w:hint="eastAsia" w:cs="宋体" w:asciiTheme="majorEastAsia" w:hAnsiTheme="majorEastAsia" w:eastAsiaTheme="majorEastAsia"/>
          <w:b/>
          <w:kern w:val="28"/>
          <w:sz w:val="24"/>
          <w:szCs w:val="24"/>
        </w:rPr>
        <w:t>9.投标保证金</w:t>
      </w:r>
    </w:p>
    <w:p w14:paraId="32C9F208">
      <w:pPr>
        <w:pStyle w:val="2"/>
        <w:spacing w:line="360" w:lineRule="auto"/>
        <w:ind w:firstLine="470" w:firstLineChars="196"/>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本项目不需缴纳投标保证金。</w:t>
      </w:r>
    </w:p>
    <w:p w14:paraId="1AEE7520">
      <w:pPr>
        <w:pStyle w:val="32"/>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10.投标文件的语言</w:t>
      </w:r>
    </w:p>
    <w:p w14:paraId="1BA4CAAC">
      <w:pPr>
        <w:autoSpaceDE w:val="0"/>
        <w:autoSpaceDN w:val="0"/>
        <w:spacing w:line="360" w:lineRule="auto"/>
        <w:ind w:firstLine="480" w:firstLineChars="200"/>
        <w:rPr>
          <w:rFonts w:cs="宋体" w:asciiTheme="majorEastAsia" w:hAnsiTheme="majorEastAsia" w:eastAsiaTheme="majorEastAsia"/>
          <w:sz w:val="24"/>
          <w:lang w:val="zh-CN"/>
        </w:rPr>
      </w:pPr>
      <w:r>
        <w:rPr>
          <w:rFonts w:hint="eastAsia" w:cs="宋体" w:asciiTheme="majorEastAsia" w:hAnsiTheme="majorEastAsia" w:eastAsiaTheme="majorEastAsia"/>
          <w:sz w:val="24"/>
        </w:rPr>
        <w:t>投标文件及投标人与采购有关的来往通知、函件和文件均应使用中文。</w:t>
      </w:r>
    </w:p>
    <w:p w14:paraId="33EEBE85">
      <w:pPr>
        <w:pStyle w:val="132"/>
        <w:snapToGrid w:val="0"/>
        <w:spacing w:before="0"/>
        <w:ind w:firstLine="0" w:firstLineChars="0"/>
        <w:outlineLvl w:val="0"/>
        <w:rPr>
          <w:rFonts w:cs="宋体" w:asciiTheme="majorEastAsia" w:hAnsiTheme="majorEastAsia" w:eastAsiaTheme="majorEastAsia"/>
          <w:b/>
          <w:szCs w:val="24"/>
        </w:rPr>
      </w:pPr>
      <w:r>
        <w:rPr>
          <w:rFonts w:hint="eastAsia" w:cs="宋体" w:asciiTheme="majorEastAsia" w:hAnsiTheme="majorEastAsia" w:eastAsiaTheme="majorEastAsia"/>
          <w:b/>
          <w:szCs w:val="24"/>
        </w:rPr>
        <w:t>11.投标文件的组成</w:t>
      </w:r>
    </w:p>
    <w:p w14:paraId="6868EC7C">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11.1</w:t>
      </w:r>
      <w:r>
        <w:rPr>
          <w:rFonts w:hint="eastAsia" w:cs="宋体" w:asciiTheme="majorEastAsia" w:hAnsiTheme="majorEastAsia" w:eastAsiaTheme="majorEastAsia"/>
          <w:b/>
          <w:sz w:val="24"/>
        </w:rPr>
        <w:t>资格文件</w:t>
      </w:r>
      <w:r>
        <w:rPr>
          <w:rFonts w:hint="eastAsia" w:cs="宋体" w:asciiTheme="majorEastAsia" w:hAnsiTheme="majorEastAsia" w:eastAsiaTheme="majorEastAsia"/>
          <w:sz w:val="24"/>
        </w:rPr>
        <w:t>：</w:t>
      </w:r>
    </w:p>
    <w:p w14:paraId="3D4440FA">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11.1.1符合参加政府采购活动应当具备的一般条件的承诺函；</w:t>
      </w:r>
    </w:p>
    <w:p w14:paraId="1E98919C">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cs="宋体" w:asciiTheme="majorEastAsia" w:hAnsiTheme="majorEastAsia" w:eastAsiaTheme="majorEastAsia"/>
          <w:sz w:val="24"/>
        </w:rPr>
        <w:t>1.1.2</w:t>
      </w:r>
      <w:r>
        <w:rPr>
          <w:rFonts w:hint="eastAsia" w:cs="宋体" w:asciiTheme="majorEastAsia" w:hAnsiTheme="majorEastAsia" w:eastAsiaTheme="majorEastAsia"/>
          <w:snapToGrid w:val="0"/>
          <w:kern w:val="28"/>
          <w:sz w:val="24"/>
          <w:szCs w:val="20"/>
        </w:rPr>
        <w:t>联合协议（如果有)；</w:t>
      </w:r>
    </w:p>
    <w:p w14:paraId="646C854A">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11.1.</w:t>
      </w:r>
      <w:r>
        <w:rPr>
          <w:rFonts w:cs="宋体" w:asciiTheme="majorEastAsia" w:hAnsiTheme="majorEastAsia" w:eastAsiaTheme="majorEastAsia"/>
          <w:sz w:val="24"/>
        </w:rPr>
        <w:t>3</w:t>
      </w:r>
      <w:r>
        <w:rPr>
          <w:rFonts w:hint="eastAsia" w:cs="宋体" w:asciiTheme="majorEastAsia" w:hAnsiTheme="majorEastAsia" w:eastAsiaTheme="majorEastAsia"/>
          <w:sz w:val="24"/>
        </w:rPr>
        <w:t>落实政府采购政策需满足的资格要求；</w:t>
      </w:r>
    </w:p>
    <w:p w14:paraId="70E7032A">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11.1.</w:t>
      </w:r>
      <w:r>
        <w:rPr>
          <w:rFonts w:cs="宋体" w:asciiTheme="majorEastAsia" w:hAnsiTheme="majorEastAsia" w:eastAsiaTheme="majorEastAsia"/>
          <w:sz w:val="24"/>
        </w:rPr>
        <w:t>4</w:t>
      </w:r>
      <w:r>
        <w:rPr>
          <w:rFonts w:hint="eastAsia" w:cs="宋体" w:asciiTheme="majorEastAsia" w:hAnsiTheme="majorEastAsia" w:eastAsiaTheme="majorEastAsia"/>
          <w:sz w:val="24"/>
        </w:rPr>
        <w:t>本项目的特定资格要求</w:t>
      </w:r>
      <w:r>
        <w:rPr>
          <w:rFonts w:hint="eastAsia" w:cs="宋体" w:asciiTheme="majorEastAsia" w:hAnsiTheme="majorEastAsia" w:eastAsiaTheme="majorEastAsia"/>
          <w:snapToGrid w:val="0"/>
          <w:kern w:val="28"/>
          <w:sz w:val="24"/>
          <w:szCs w:val="20"/>
        </w:rPr>
        <w:t>（如果有)</w:t>
      </w:r>
      <w:r>
        <w:rPr>
          <w:rFonts w:hint="eastAsia" w:cs="宋体" w:asciiTheme="majorEastAsia" w:hAnsiTheme="majorEastAsia" w:eastAsiaTheme="majorEastAsia"/>
          <w:sz w:val="24"/>
        </w:rPr>
        <w:t>。</w:t>
      </w:r>
    </w:p>
    <w:p w14:paraId="5A9D1220">
      <w:pPr>
        <w:snapToGrid w:val="0"/>
        <w:spacing w:line="360" w:lineRule="auto"/>
        <w:ind w:firstLine="480" w:firstLineChars="200"/>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11.</w:t>
      </w:r>
      <w:r>
        <w:rPr>
          <w:rFonts w:hint="eastAsia" w:cs="宋体" w:asciiTheme="majorEastAsia" w:hAnsiTheme="majorEastAsia" w:eastAsiaTheme="majorEastAsia"/>
          <w:sz w:val="24"/>
        </w:rPr>
        <w:t>2</w:t>
      </w:r>
      <w:r>
        <w:rPr>
          <w:rFonts w:hint="eastAsia" w:cs="宋体" w:asciiTheme="majorEastAsia" w:hAnsiTheme="majorEastAsia" w:eastAsiaTheme="majorEastAsia"/>
          <w:b/>
          <w:sz w:val="24"/>
        </w:rPr>
        <w:t>商务技术</w:t>
      </w:r>
      <w:r>
        <w:rPr>
          <w:rFonts w:hint="eastAsia" w:cs="宋体" w:asciiTheme="majorEastAsia" w:hAnsiTheme="majorEastAsia" w:eastAsiaTheme="majorEastAsia"/>
          <w:b/>
          <w:sz w:val="24"/>
          <w:lang w:val="zh-CN"/>
        </w:rPr>
        <w:t>文件：</w:t>
      </w:r>
    </w:p>
    <w:p w14:paraId="45D10125">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11.2.1投标函；</w:t>
      </w:r>
    </w:p>
    <w:p w14:paraId="5C39E10B">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11.2.2授权委托书或法定代表人（单位负责人、自然人本人）身份证明；</w:t>
      </w:r>
    </w:p>
    <w:p w14:paraId="4F8F4FE9">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11.2.</w:t>
      </w:r>
      <w:r>
        <w:rPr>
          <w:rFonts w:cs="宋体" w:asciiTheme="majorEastAsia" w:hAnsiTheme="majorEastAsia" w:eastAsiaTheme="majorEastAsia"/>
          <w:sz w:val="24"/>
        </w:rPr>
        <w:t>3</w:t>
      </w:r>
      <w:r>
        <w:rPr>
          <w:rFonts w:hint="eastAsia" w:cs="宋体" w:asciiTheme="majorEastAsia" w:hAnsiTheme="majorEastAsia" w:eastAsiaTheme="majorEastAsia"/>
          <w:sz w:val="24"/>
        </w:rPr>
        <w:t>分包意向协议</w:t>
      </w:r>
      <w:r>
        <w:rPr>
          <w:rFonts w:hint="eastAsia" w:cs="宋体" w:asciiTheme="majorEastAsia" w:hAnsiTheme="majorEastAsia" w:eastAsiaTheme="majorEastAsia"/>
          <w:snapToGrid w:val="0"/>
          <w:kern w:val="28"/>
          <w:sz w:val="24"/>
          <w:szCs w:val="20"/>
        </w:rPr>
        <w:t>（如果有)</w:t>
      </w:r>
      <w:r>
        <w:rPr>
          <w:rFonts w:hint="eastAsia" w:cs="宋体" w:asciiTheme="majorEastAsia" w:hAnsiTheme="majorEastAsia" w:eastAsiaTheme="majorEastAsia"/>
          <w:sz w:val="24"/>
        </w:rPr>
        <w:t>；</w:t>
      </w:r>
    </w:p>
    <w:p w14:paraId="70692DD0">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11.2.</w:t>
      </w:r>
      <w:r>
        <w:rPr>
          <w:rFonts w:cs="宋体" w:asciiTheme="majorEastAsia" w:hAnsiTheme="majorEastAsia" w:eastAsiaTheme="majorEastAsia"/>
          <w:sz w:val="24"/>
        </w:rPr>
        <w:t>4</w:t>
      </w:r>
      <w:r>
        <w:rPr>
          <w:rFonts w:hint="eastAsia" w:cs="宋体" w:asciiTheme="majorEastAsia" w:hAnsiTheme="majorEastAsia" w:eastAsiaTheme="majorEastAsia"/>
          <w:sz w:val="24"/>
        </w:rPr>
        <w:t>符合性审查资料；</w:t>
      </w:r>
    </w:p>
    <w:p w14:paraId="0F822E48">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11.2.</w:t>
      </w:r>
      <w:r>
        <w:rPr>
          <w:rFonts w:cs="宋体" w:asciiTheme="majorEastAsia" w:hAnsiTheme="majorEastAsia" w:eastAsiaTheme="majorEastAsia"/>
          <w:sz w:val="24"/>
        </w:rPr>
        <w:t>5</w:t>
      </w:r>
      <w:r>
        <w:rPr>
          <w:rFonts w:hint="eastAsia" w:cs="宋体" w:asciiTheme="majorEastAsia" w:hAnsiTheme="majorEastAsia" w:eastAsiaTheme="majorEastAsia"/>
          <w:sz w:val="24"/>
        </w:rPr>
        <w:t>评标标准相应的商务技术资料；</w:t>
      </w:r>
    </w:p>
    <w:p w14:paraId="29D5340A">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11.2.</w:t>
      </w:r>
      <w:r>
        <w:rPr>
          <w:rFonts w:cs="宋体" w:asciiTheme="majorEastAsia" w:hAnsiTheme="majorEastAsia" w:eastAsiaTheme="majorEastAsia"/>
          <w:sz w:val="24"/>
        </w:rPr>
        <w:t>6</w:t>
      </w:r>
      <w:r>
        <w:rPr>
          <w:rFonts w:hint="eastAsia" w:cs="宋体" w:asciiTheme="majorEastAsia" w:hAnsiTheme="majorEastAsia" w:eastAsiaTheme="majorEastAsia"/>
          <w:sz w:val="24"/>
        </w:rPr>
        <w:t>投标标的清单；</w:t>
      </w:r>
    </w:p>
    <w:p w14:paraId="33AB72BB">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11.2.</w:t>
      </w:r>
      <w:r>
        <w:rPr>
          <w:rFonts w:cs="宋体" w:asciiTheme="majorEastAsia" w:hAnsiTheme="majorEastAsia" w:eastAsiaTheme="majorEastAsia"/>
          <w:sz w:val="24"/>
        </w:rPr>
        <w:t>7</w:t>
      </w:r>
      <w:r>
        <w:rPr>
          <w:rFonts w:hint="eastAsia" w:cs="宋体" w:asciiTheme="majorEastAsia" w:hAnsiTheme="majorEastAsia" w:eastAsiaTheme="majorEastAsia"/>
          <w:sz w:val="24"/>
        </w:rPr>
        <w:t>商务技术偏离表；</w:t>
      </w:r>
    </w:p>
    <w:p w14:paraId="67C28790">
      <w:pPr>
        <w:snapToGrid w:val="0"/>
        <w:spacing w:line="360" w:lineRule="auto"/>
        <w:ind w:firstLine="960" w:firstLineChars="400"/>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11.</w:t>
      </w: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zh-CN"/>
        </w:rPr>
        <w:t>.</w:t>
      </w:r>
      <w:r>
        <w:rPr>
          <w:rFonts w:cs="宋体" w:asciiTheme="majorEastAsia" w:hAnsiTheme="majorEastAsia" w:eastAsiaTheme="majorEastAsia"/>
          <w:sz w:val="24"/>
        </w:rPr>
        <w:t>8</w:t>
      </w:r>
      <w:r>
        <w:rPr>
          <w:rFonts w:hint="eastAsia" w:cs="宋体" w:asciiTheme="majorEastAsia" w:hAnsiTheme="majorEastAsia" w:eastAsiaTheme="majorEastAsia"/>
          <w:sz w:val="24"/>
          <w:lang w:val="zh-CN"/>
        </w:rPr>
        <w:t>政府采购供应商廉洁自律承诺书；</w:t>
      </w:r>
    </w:p>
    <w:p w14:paraId="6C540BFF">
      <w:pPr>
        <w:snapToGrid w:val="0"/>
        <w:spacing w:line="360" w:lineRule="auto"/>
        <w:ind w:firstLine="480" w:firstLineChars="200"/>
        <w:rPr>
          <w:rFonts w:cs="宋体" w:asciiTheme="majorEastAsia" w:hAnsiTheme="majorEastAsia" w:eastAsiaTheme="majorEastAsia"/>
          <w:sz w:val="24"/>
          <w:u w:val="single"/>
          <w:lang w:val="zh-CN"/>
        </w:rPr>
      </w:pPr>
      <w:r>
        <w:rPr>
          <w:rFonts w:hint="eastAsia" w:cs="宋体" w:asciiTheme="majorEastAsia" w:hAnsiTheme="majorEastAsia" w:eastAsiaTheme="majorEastAsia"/>
          <w:kern w:val="0"/>
          <w:sz w:val="24"/>
          <w:lang w:val="zh-CN"/>
        </w:rPr>
        <w:t>11.</w:t>
      </w:r>
      <w:r>
        <w:rPr>
          <w:rFonts w:hint="eastAsia" w:cs="宋体" w:asciiTheme="majorEastAsia" w:hAnsiTheme="majorEastAsia" w:eastAsiaTheme="majorEastAsia"/>
          <w:kern w:val="0"/>
          <w:sz w:val="24"/>
        </w:rPr>
        <w:t>3</w:t>
      </w:r>
      <w:r>
        <w:rPr>
          <w:rFonts w:hint="eastAsia" w:cs="宋体" w:asciiTheme="majorEastAsia" w:hAnsiTheme="majorEastAsia" w:eastAsiaTheme="majorEastAsia"/>
          <w:b/>
          <w:sz w:val="24"/>
        </w:rPr>
        <w:t>报价文件：</w:t>
      </w:r>
    </w:p>
    <w:p w14:paraId="5862BD7C">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11.3.1开标一览表（报价表）；</w:t>
      </w:r>
    </w:p>
    <w:p w14:paraId="463B7C1C">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11.3.2报价情况说明（如供应商报价低于项目预算50%的，应当提交本文档，详细阐述不影响产品质量或者诚信履约的具体原因）；</w:t>
      </w:r>
    </w:p>
    <w:p w14:paraId="7F945FCD">
      <w:pPr>
        <w:snapToGrid w:val="0"/>
        <w:spacing w:line="360" w:lineRule="auto"/>
        <w:ind w:firstLine="960" w:firstLineChars="400"/>
        <w:rPr>
          <w:rFonts w:cs="宋体" w:asciiTheme="majorEastAsia" w:hAnsiTheme="majorEastAsia" w:eastAsiaTheme="majorEastAsia"/>
          <w:sz w:val="24"/>
        </w:rPr>
      </w:pPr>
      <w:r>
        <w:rPr>
          <w:rFonts w:hint="eastAsia" w:cs="宋体" w:asciiTheme="majorEastAsia" w:hAnsiTheme="majorEastAsia" w:eastAsiaTheme="majorEastAsia"/>
          <w:sz w:val="24"/>
        </w:rPr>
        <w:t>11.3.3中小企业声明函。</w:t>
      </w:r>
    </w:p>
    <w:p w14:paraId="2AAD324F">
      <w:pPr>
        <w:spacing w:line="360" w:lineRule="auto"/>
        <w:ind w:firstLine="723" w:firstLineChars="300"/>
        <w:rPr>
          <w:rFonts w:cs="宋体" w:asciiTheme="majorEastAsia" w:hAnsiTheme="majorEastAsia" w:eastAsiaTheme="majorEastAsia"/>
          <w:b/>
          <w:sz w:val="24"/>
        </w:rPr>
      </w:pPr>
      <w:r>
        <w:rPr>
          <w:rFonts w:hint="eastAsia" w:cs="宋体" w:asciiTheme="majorEastAsia" w:hAnsiTheme="majorEastAsia" w:eastAsiaTheme="majorEastAsia"/>
          <w:b/>
          <w:sz w:val="24"/>
        </w:rPr>
        <w:t>投标文件含有采购人不能接受的附加条件的，投标无效；</w:t>
      </w:r>
    </w:p>
    <w:p w14:paraId="3455148F">
      <w:pPr>
        <w:spacing w:line="360" w:lineRule="auto"/>
        <w:ind w:firstLine="723" w:firstLineChars="300"/>
        <w:rPr>
          <w:rFonts w:cs="宋体" w:asciiTheme="majorEastAsia" w:hAnsiTheme="majorEastAsia" w:eastAsiaTheme="majorEastAsia"/>
          <w:b/>
          <w:sz w:val="24"/>
        </w:rPr>
      </w:pPr>
      <w:r>
        <w:rPr>
          <w:rFonts w:hint="eastAsia" w:cs="宋体" w:asciiTheme="majorEastAsia" w:hAnsiTheme="majorEastAsia" w:eastAsiaTheme="majorEastAsia"/>
          <w:b/>
          <w:sz w:val="24"/>
        </w:rPr>
        <w:t>投标人提供虚假材料投标的，投标无效。</w:t>
      </w:r>
    </w:p>
    <w:p w14:paraId="6FB3D5C1">
      <w:pPr>
        <w:spacing w:line="360" w:lineRule="auto"/>
        <w:ind w:firstLine="723" w:firstLineChars="300"/>
        <w:rPr>
          <w:rFonts w:cs="宋体" w:asciiTheme="majorEastAsia" w:hAnsiTheme="majorEastAsia" w:eastAsiaTheme="majorEastAsia"/>
          <w:b/>
          <w:sz w:val="24"/>
        </w:rPr>
      </w:pPr>
      <w:r>
        <w:rPr>
          <w:rFonts w:hint="eastAsia" w:cs="宋体" w:asciiTheme="majorEastAsia" w:hAnsiTheme="majorEastAsia" w:eastAsiaTheme="majorEastAsia"/>
          <w:b/>
          <w:sz w:val="24"/>
        </w:rPr>
        <w:t>投标人应对投标文件中材料的真实性、合法性负责。</w:t>
      </w:r>
    </w:p>
    <w:p w14:paraId="3E30B69B">
      <w:pPr>
        <w:snapToGrid w:val="0"/>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12.投标文件的编制</w:t>
      </w:r>
    </w:p>
    <w:p w14:paraId="10CC5FB7">
      <w:pPr>
        <w:spacing w:line="360" w:lineRule="auto"/>
        <w:ind w:firstLine="480" w:firstLineChars="200"/>
        <w:rPr>
          <w:rFonts w:cs="宋体" w:asciiTheme="majorEastAsia" w:hAnsiTheme="majorEastAsia" w:eastAsiaTheme="majorEastAsia"/>
          <w:b/>
          <w:sz w:val="24"/>
        </w:rPr>
      </w:pPr>
      <w:r>
        <w:rPr>
          <w:rFonts w:hint="eastAsia" w:cs="宋体" w:asciiTheme="majorEastAsia" w:hAnsiTheme="majorEastAsia" w:eastAsiaTheme="maj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D86FE8">
      <w:pPr>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6ABCBF">
      <w:pPr>
        <w:spacing w:line="360" w:lineRule="auto"/>
        <w:ind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12.3使用“政采云电子交易客户端”需要提前申领CA数字证书，申领流程请自行前往“浙江政府采购网-下载专区-电子交易客户端-CA驱动和申领流程”进行查阅。</w:t>
      </w:r>
    </w:p>
    <w:p w14:paraId="2CEADF7E">
      <w:pPr>
        <w:snapToGrid w:val="0"/>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13.投标文件的签署、盖章</w:t>
      </w:r>
    </w:p>
    <w:p w14:paraId="2FBA8852">
      <w:pPr>
        <w:pStyle w:val="132"/>
        <w:snapToGrid w:val="0"/>
        <w:spacing w:before="0"/>
        <w:ind w:firstLine="480"/>
        <w:rPr>
          <w:rFonts w:cs="宋体" w:asciiTheme="majorEastAsia" w:hAnsiTheme="majorEastAsia" w:eastAsiaTheme="majorEastAsia"/>
          <w:b/>
        </w:rPr>
      </w:pPr>
      <w:r>
        <w:rPr>
          <w:rFonts w:hint="eastAsia" w:cs="宋体" w:asciiTheme="majorEastAsia" w:hAnsiTheme="majorEastAsia" w:eastAsiaTheme="majorEastAsia"/>
          <w:szCs w:val="24"/>
        </w:rPr>
        <w:t>13.1投标文件按照招标文件第六部分格式要</w:t>
      </w:r>
      <w:r>
        <w:rPr>
          <w:rFonts w:hint="eastAsia" w:cs="宋体" w:asciiTheme="majorEastAsia" w:hAnsiTheme="majorEastAsia" w:eastAsiaTheme="majorEastAsia"/>
        </w:rPr>
        <w:t>求进行签署、盖章。</w:t>
      </w:r>
      <w:r>
        <w:rPr>
          <w:rFonts w:hint="eastAsia" w:cs="宋体" w:asciiTheme="majorEastAsia" w:hAnsiTheme="majorEastAsia" w:eastAsiaTheme="majorEastAsia"/>
          <w:b/>
        </w:rPr>
        <w:t>▲投标人的投标文件未按照招标文件要求签署、盖章的，其投标无效</w:t>
      </w:r>
      <w:r>
        <w:rPr>
          <w:rFonts w:hint="eastAsia" w:cs="宋体" w:asciiTheme="majorEastAsia" w:hAnsiTheme="majorEastAsia" w:eastAsiaTheme="majorEastAsia"/>
          <w:szCs w:val="24"/>
        </w:rPr>
        <w:t>。</w:t>
      </w:r>
    </w:p>
    <w:p w14:paraId="0C04B079">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13.2为确保网上操作合法、有效和安全，投标人应当在投标截止时间前完成在“政府采购云平台”的身份认证，确保在电子投标过程中能够对相关数据电文进行加密和使用电子签名。</w:t>
      </w:r>
    </w:p>
    <w:p w14:paraId="419371A6">
      <w:pPr>
        <w:pStyle w:val="132"/>
        <w:snapToGrid w:val="0"/>
        <w:spacing w:before="0"/>
        <w:ind w:firstLine="480"/>
        <w:rPr>
          <w:rFonts w:cs="宋体" w:asciiTheme="majorEastAsia" w:hAnsiTheme="majorEastAsia" w:eastAsiaTheme="majorEastAsia"/>
          <w:szCs w:val="24"/>
        </w:rPr>
      </w:pPr>
      <w:r>
        <w:rPr>
          <w:rFonts w:hint="eastAsia" w:cs="宋体" w:asciiTheme="majorEastAsia" w:hAnsiTheme="majorEastAsia" w:eastAsiaTheme="majorEastAsia"/>
        </w:rPr>
        <w:t>13.3招标文件对投标文件签署、盖章的要求适用于电子签名。</w:t>
      </w:r>
    </w:p>
    <w:p w14:paraId="3EEB5156">
      <w:pPr>
        <w:pStyle w:val="132"/>
        <w:snapToGrid w:val="0"/>
        <w:spacing w:before="0"/>
        <w:ind w:firstLine="0" w:firstLineChars="0"/>
        <w:rPr>
          <w:rFonts w:cs="宋体" w:asciiTheme="majorEastAsia" w:hAnsiTheme="majorEastAsia" w:eastAsiaTheme="majorEastAsia"/>
          <w:b/>
          <w:szCs w:val="24"/>
        </w:rPr>
      </w:pPr>
      <w:r>
        <w:rPr>
          <w:rFonts w:hint="eastAsia" w:cs="宋体" w:asciiTheme="majorEastAsia" w:hAnsiTheme="majorEastAsia" w:eastAsiaTheme="majorEastAsia"/>
          <w:b/>
          <w:szCs w:val="24"/>
        </w:rPr>
        <w:t>14.投标文件的提交、补充、修改、撤回</w:t>
      </w:r>
    </w:p>
    <w:p w14:paraId="14FF9857">
      <w:pPr>
        <w:pStyle w:val="132"/>
        <w:snapToGrid w:val="0"/>
        <w:spacing w:before="0"/>
        <w:ind w:firstLine="480"/>
        <w:rPr>
          <w:rFonts w:cs="宋体" w:asciiTheme="majorEastAsia" w:hAnsiTheme="majorEastAsia" w:eastAsiaTheme="majorEastAsia"/>
          <w:szCs w:val="24"/>
        </w:rPr>
      </w:pPr>
      <w:r>
        <w:rPr>
          <w:rFonts w:hint="eastAsia" w:cs="宋体" w:asciiTheme="majorEastAsia" w:hAnsiTheme="majorEastAsia" w:eastAsiaTheme="maj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084071">
      <w:pPr>
        <w:pStyle w:val="132"/>
        <w:snapToGrid w:val="0"/>
        <w:spacing w:before="0"/>
        <w:ind w:firstLine="480"/>
        <w:rPr>
          <w:rFonts w:cs="宋体" w:asciiTheme="majorEastAsia" w:hAnsiTheme="majorEastAsia" w:eastAsiaTheme="majorEastAsia"/>
          <w:szCs w:val="24"/>
        </w:rPr>
      </w:pPr>
      <w:r>
        <w:rPr>
          <w:rFonts w:hint="eastAsia" w:cs="宋体" w:asciiTheme="majorEastAsia" w:hAnsiTheme="majorEastAsia" w:eastAsiaTheme="maj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2FC14003">
      <w:pPr>
        <w:pStyle w:val="132"/>
        <w:snapToGrid w:val="0"/>
        <w:spacing w:before="0"/>
        <w:ind w:firstLine="480"/>
        <w:rPr>
          <w:rFonts w:cs="宋体" w:asciiTheme="majorEastAsia" w:hAnsiTheme="majorEastAsia" w:eastAsiaTheme="majorEastAsia"/>
          <w:szCs w:val="24"/>
        </w:rPr>
      </w:pPr>
      <w:r>
        <w:rPr>
          <w:rFonts w:hint="eastAsia" w:cs="宋体" w:asciiTheme="majorEastAsia" w:hAnsiTheme="majorEastAsia" w:eastAsiaTheme="maj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206D193">
      <w:pPr>
        <w:pStyle w:val="32"/>
        <w:snapToGrid w:val="0"/>
        <w:spacing w:line="360" w:lineRule="auto"/>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15.备份投标文件</w:t>
      </w:r>
    </w:p>
    <w:p w14:paraId="2B32F466">
      <w:pPr>
        <w:pStyle w:val="32"/>
        <w:snapToGrid w:val="0"/>
        <w:spacing w:line="360" w:lineRule="auto"/>
        <w:ind w:firstLine="360" w:firstLineChars="150"/>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rPr>
        <w:t xml:space="preserve"> 15.1投标人在电子交易平台传输递交投标文件后，还可以在投标截止时间前直接提交或者以邮政快递方式递交备份投标文件1份，</w:t>
      </w:r>
      <w:r>
        <w:rPr>
          <w:rFonts w:hint="eastAsia" w:cs="宋体" w:asciiTheme="majorEastAsia" w:hAnsiTheme="majorEastAsia" w:eastAsiaTheme="majorEastAsia"/>
          <w:b/>
          <w:sz w:val="24"/>
          <w:szCs w:val="24"/>
        </w:rPr>
        <w:t>但采购人、采购代理机构不强制或变相强制投标人提交备份投标文件。</w:t>
      </w:r>
    </w:p>
    <w:p w14:paraId="681C35A3">
      <w:pPr>
        <w:pStyle w:val="32"/>
        <w:snapToGrid w:val="0"/>
        <w:spacing w:line="360" w:lineRule="auto"/>
        <w:ind w:firstLine="480" w:firstLineChars="200"/>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rPr>
        <w:t>15.2备份投标文件须在“政采云投标客户端”制作生成，并储存在</w:t>
      </w:r>
      <w:r>
        <w:rPr>
          <w:rFonts w:hint="eastAsia" w:cs="宋体" w:asciiTheme="majorEastAsia" w:hAnsiTheme="majorEastAsia" w:eastAsiaTheme="majorEastAsia"/>
          <w:sz w:val="24"/>
        </w:rPr>
        <w:t>DVD光盘</w:t>
      </w:r>
      <w:r>
        <w:rPr>
          <w:rFonts w:hint="eastAsia" w:cs="宋体" w:asciiTheme="majorEastAsia" w:hAnsiTheme="majorEastAsia" w:eastAsiaTheme="maj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ajorEastAsia" w:hAnsiTheme="majorEastAsia" w:eastAsiaTheme="majorEastAsia"/>
          <w:b/>
          <w:sz w:val="24"/>
        </w:rPr>
        <w:t>不符合上述制作、</w:t>
      </w:r>
      <w:r>
        <w:rPr>
          <w:rFonts w:hint="eastAsia" w:cs="宋体" w:asciiTheme="majorEastAsia" w:hAnsiTheme="majorEastAsia" w:eastAsiaTheme="majorEastAsia"/>
          <w:b/>
          <w:sz w:val="24"/>
          <w:szCs w:val="24"/>
        </w:rPr>
        <w:t>存储、密封规定的备份投标文件将被视为无效或者被拒绝接收。</w:t>
      </w:r>
    </w:p>
    <w:p w14:paraId="0D409986">
      <w:pPr>
        <w:pStyle w:val="32"/>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F2160DA">
      <w:pPr>
        <w:pStyle w:val="3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ajorEastAsia" w:hAnsiTheme="majorEastAsia" w:eastAsiaTheme="majorEastAsia"/>
          <w:snapToGrid/>
          <w:sz w:val="24"/>
          <w:szCs w:val="24"/>
        </w:rPr>
        <w:t>招标文件第二部分投标人须知前附表规定的备份投标文件送达地点；</w:t>
      </w:r>
      <w:r>
        <w:rPr>
          <w:rFonts w:hint="eastAsia" w:cs="宋体" w:asciiTheme="majorEastAsia" w:hAnsiTheme="majorEastAsia" w:eastAsiaTheme="maj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C805A59">
      <w:pPr>
        <w:pStyle w:val="32"/>
        <w:spacing w:line="360" w:lineRule="auto"/>
        <w:ind w:firstLine="479" w:firstLineChars="199"/>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15.5投标人仅提交备份投标文件，未在电子交易平台传输递交投标文件的，投标无效。</w:t>
      </w:r>
    </w:p>
    <w:p w14:paraId="5B860976">
      <w:pPr>
        <w:pStyle w:val="132"/>
        <w:spacing w:before="0"/>
        <w:ind w:firstLine="0" w:firstLineChars="0"/>
        <w:rPr>
          <w:rFonts w:cs="宋体" w:asciiTheme="majorEastAsia" w:hAnsiTheme="majorEastAsia" w:eastAsiaTheme="majorEastAsia"/>
          <w:b/>
          <w:szCs w:val="24"/>
        </w:rPr>
      </w:pPr>
      <w:r>
        <w:rPr>
          <w:rFonts w:hint="eastAsia" w:cs="宋体" w:asciiTheme="majorEastAsia" w:hAnsiTheme="majorEastAsia" w:eastAsiaTheme="majorEastAsia"/>
          <w:b/>
          <w:szCs w:val="24"/>
        </w:rPr>
        <w:t>16.投标文件的无效处理</w:t>
      </w:r>
    </w:p>
    <w:p w14:paraId="4567D0C9">
      <w:pPr>
        <w:pStyle w:val="24"/>
        <w:spacing w:line="360" w:lineRule="auto"/>
        <w:ind w:firstLine="360" w:firstLineChars="150"/>
        <w:rPr>
          <w:rFonts w:cs="宋体" w:asciiTheme="majorEastAsia" w:hAnsiTheme="majorEastAsia" w:eastAsiaTheme="majorEastAsia"/>
          <w:szCs w:val="21"/>
        </w:rPr>
      </w:pPr>
      <w:r>
        <w:rPr>
          <w:rFonts w:hint="eastAsia" w:cs="宋体" w:asciiTheme="majorEastAsia" w:hAnsiTheme="majorEastAsia" w:eastAsiaTheme="majorEastAsia"/>
          <w:szCs w:val="21"/>
        </w:rPr>
        <w:t>有招标文件第四部分</w:t>
      </w:r>
      <w:r>
        <w:rPr>
          <w:rFonts w:cs="宋体" w:asciiTheme="majorEastAsia" w:hAnsiTheme="majorEastAsia" w:eastAsiaTheme="majorEastAsia"/>
          <w:szCs w:val="21"/>
        </w:rPr>
        <w:t>4.2规定</w:t>
      </w:r>
      <w:r>
        <w:rPr>
          <w:rFonts w:hint="eastAsia" w:cs="宋体" w:asciiTheme="majorEastAsia" w:hAnsiTheme="majorEastAsia" w:eastAsiaTheme="majorEastAsia"/>
          <w:szCs w:val="21"/>
        </w:rPr>
        <w:t>的情形之一的，投标无效。</w:t>
      </w:r>
    </w:p>
    <w:p w14:paraId="070DBB47">
      <w:pPr>
        <w:pStyle w:val="132"/>
        <w:spacing w:before="0"/>
        <w:ind w:firstLine="0" w:firstLineChars="0"/>
        <w:rPr>
          <w:rFonts w:cs="宋体" w:asciiTheme="majorEastAsia" w:hAnsiTheme="majorEastAsia" w:eastAsiaTheme="majorEastAsia"/>
          <w:b/>
          <w:szCs w:val="24"/>
        </w:rPr>
      </w:pPr>
      <w:r>
        <w:rPr>
          <w:rFonts w:hint="eastAsia" w:cs="宋体" w:asciiTheme="majorEastAsia" w:hAnsiTheme="majorEastAsia" w:eastAsiaTheme="majorEastAsia"/>
          <w:b/>
          <w:szCs w:val="24"/>
        </w:rPr>
        <w:t>17.投标有效期</w:t>
      </w:r>
    </w:p>
    <w:p w14:paraId="41FE5DF0">
      <w:pPr>
        <w:spacing w:line="360" w:lineRule="auto"/>
        <w:ind w:firstLine="480" w:firstLineChars="200"/>
        <w:rPr>
          <w:rFonts w:cs="宋体" w:asciiTheme="majorEastAsia" w:hAnsiTheme="majorEastAsia" w:eastAsiaTheme="majorEastAsia"/>
          <w:b/>
          <w:sz w:val="24"/>
          <w:szCs w:val="21"/>
        </w:rPr>
      </w:pPr>
      <w:r>
        <w:rPr>
          <w:rFonts w:hint="eastAsia" w:cs="宋体" w:asciiTheme="majorEastAsia" w:hAnsiTheme="majorEastAsia" w:eastAsiaTheme="majorEastAsia"/>
          <w:sz w:val="24"/>
          <w:szCs w:val="20"/>
        </w:rPr>
        <w:t>17.1投标有效期为从提交投标文件的截止之日起90天。▲</w:t>
      </w:r>
      <w:r>
        <w:rPr>
          <w:rFonts w:hint="eastAsia" w:cs="宋体" w:asciiTheme="majorEastAsia" w:hAnsiTheme="majorEastAsia" w:eastAsiaTheme="majorEastAsia"/>
          <w:b/>
          <w:sz w:val="24"/>
          <w:szCs w:val="20"/>
        </w:rPr>
        <w:t>投标人的投标文件中承</w:t>
      </w:r>
      <w:r>
        <w:rPr>
          <w:rFonts w:hint="eastAsia" w:cs="宋体" w:asciiTheme="majorEastAsia" w:hAnsiTheme="majorEastAsia" w:eastAsiaTheme="majorEastAsia"/>
          <w:b/>
          <w:sz w:val="24"/>
          <w:szCs w:val="21"/>
        </w:rPr>
        <w:t>诺的投标有效期少于招标文件中载明的投标有效期的，投标无效。</w:t>
      </w:r>
    </w:p>
    <w:p w14:paraId="18899787">
      <w:pPr>
        <w:pStyle w:val="132"/>
        <w:spacing w:before="0"/>
        <w:ind w:firstLine="480"/>
        <w:rPr>
          <w:rFonts w:cs="宋体" w:asciiTheme="majorEastAsia" w:hAnsiTheme="majorEastAsia" w:eastAsiaTheme="majorEastAsia"/>
        </w:rPr>
      </w:pPr>
      <w:r>
        <w:rPr>
          <w:rFonts w:hint="eastAsia" w:cs="宋体" w:asciiTheme="majorEastAsia" w:hAnsiTheme="majorEastAsia" w:eastAsiaTheme="majorEastAsia"/>
        </w:rPr>
        <w:t>17.2投标文件合格投递后，自投标截止日期起，在投标有效期内有效。</w:t>
      </w:r>
    </w:p>
    <w:p w14:paraId="511E3BF5">
      <w:pPr>
        <w:pStyle w:val="132"/>
        <w:spacing w:before="0"/>
        <w:ind w:firstLine="480"/>
        <w:rPr>
          <w:rFonts w:cs="宋体" w:asciiTheme="majorEastAsia" w:hAnsiTheme="majorEastAsia" w:eastAsiaTheme="majorEastAsia"/>
        </w:rPr>
      </w:pPr>
      <w:r>
        <w:rPr>
          <w:rFonts w:hint="eastAsia" w:cs="宋体" w:asciiTheme="majorEastAsia" w:hAnsiTheme="majorEastAsia" w:eastAsiaTheme="maj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CB46F71">
      <w:pPr>
        <w:pStyle w:val="132"/>
        <w:spacing w:before="0"/>
        <w:ind w:firstLine="643"/>
        <w:rPr>
          <w:rFonts w:cs="宋体" w:asciiTheme="majorEastAsia" w:hAnsiTheme="majorEastAsia" w:eastAsiaTheme="majorEastAsia"/>
          <w:b/>
          <w:sz w:val="32"/>
        </w:rPr>
      </w:pPr>
    </w:p>
    <w:p w14:paraId="53A42D66">
      <w:pPr>
        <w:pStyle w:val="132"/>
        <w:spacing w:before="0"/>
        <w:ind w:firstLine="1928" w:firstLineChars="600"/>
        <w:rPr>
          <w:rFonts w:cs="宋体" w:asciiTheme="majorEastAsia" w:hAnsiTheme="majorEastAsia" w:eastAsiaTheme="majorEastAsia"/>
          <w:b/>
          <w:sz w:val="32"/>
        </w:rPr>
      </w:pPr>
      <w:r>
        <w:rPr>
          <w:rFonts w:hint="eastAsia" w:cs="宋体" w:asciiTheme="majorEastAsia" w:hAnsiTheme="majorEastAsia" w:eastAsiaTheme="majorEastAsia"/>
          <w:b/>
          <w:sz w:val="32"/>
        </w:rPr>
        <w:t>四、开标、资格审查与信用信息查询</w:t>
      </w:r>
    </w:p>
    <w:p w14:paraId="33CA9EC9">
      <w:pPr>
        <w:pStyle w:val="554"/>
        <w:snapToGrid w:val="0"/>
        <w:spacing w:before="0" w:line="360" w:lineRule="auto"/>
        <w:ind w:left="0" w:firstLine="241" w:firstLineChars="100"/>
        <w:rPr>
          <w:rFonts w:cs="宋体" w:asciiTheme="majorEastAsia" w:hAnsiTheme="majorEastAsia" w:eastAsiaTheme="majorEastAsia"/>
          <w:sz w:val="24"/>
        </w:rPr>
      </w:pPr>
      <w:r>
        <w:rPr>
          <w:rFonts w:hint="eastAsia" w:cs="宋体" w:asciiTheme="majorEastAsia" w:hAnsiTheme="majorEastAsia" w:eastAsiaTheme="majorEastAsia"/>
          <w:b/>
          <w:sz w:val="24"/>
          <w:szCs w:val="24"/>
        </w:rPr>
        <w:t>18.开标</w:t>
      </w:r>
    </w:p>
    <w:p w14:paraId="0088F2BA">
      <w:pPr>
        <w:pStyle w:val="554"/>
        <w:snapToGrid w:val="0"/>
        <w:spacing w:before="0" w:line="360" w:lineRule="auto"/>
        <w:ind w:left="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18.1采购代理机构按照招标文件规定的时间通过电子交易平台组织开标，所有投标人均应当准时在线参加。投标人不足3家的，不得开标。</w:t>
      </w:r>
    </w:p>
    <w:p w14:paraId="020FBCEF">
      <w:pPr>
        <w:pStyle w:val="554"/>
        <w:snapToGrid w:val="0"/>
        <w:spacing w:before="0" w:line="360" w:lineRule="auto"/>
        <w:ind w:left="0" w:firstLine="240" w:firstLineChars="100"/>
        <w:rPr>
          <w:rFonts w:cs="宋体" w:asciiTheme="majorEastAsia" w:hAnsiTheme="majorEastAsia" w:eastAsiaTheme="majorEastAsia"/>
          <w:sz w:val="24"/>
        </w:rPr>
      </w:pPr>
      <w:r>
        <w:rPr>
          <w:rFonts w:hint="eastAsia" w:cs="宋体" w:asciiTheme="majorEastAsia" w:hAnsiTheme="majorEastAsia" w:eastAsiaTheme="majorEastAsia"/>
          <w:sz w:val="24"/>
        </w:rPr>
        <w:t>　18.2开标时，电子交易平台按开标时间自动提取所有投标文件。采购代理机构依托电子交易平台发起开始解密指令，投标人按照平台提示和招标文件的规定在半小时内完成在线解密。</w:t>
      </w:r>
    </w:p>
    <w:p w14:paraId="36DB7904">
      <w:pPr>
        <w:pStyle w:val="554"/>
        <w:snapToGrid w:val="0"/>
        <w:spacing w:before="0" w:line="360" w:lineRule="auto"/>
        <w:ind w:left="0" w:firstLine="240" w:firstLineChars="100"/>
        <w:rPr>
          <w:rFonts w:cs="宋体" w:asciiTheme="majorEastAsia" w:hAnsiTheme="majorEastAsia" w:eastAsiaTheme="majorEastAsia"/>
          <w:b/>
          <w:sz w:val="24"/>
        </w:rPr>
      </w:pPr>
      <w:r>
        <w:rPr>
          <w:rFonts w:hint="eastAsia" w:cs="宋体" w:asciiTheme="majorEastAsia" w:hAnsiTheme="majorEastAsia" w:eastAsiaTheme="majorEastAsia"/>
          <w:sz w:val="24"/>
        </w:rPr>
        <w:t>　18.3</w:t>
      </w:r>
      <w:r>
        <w:rPr>
          <w:rFonts w:hint="eastAsia" w:cs="宋体" w:asciiTheme="majorEastAsia" w:hAnsiTheme="majorEastAsia" w:eastAsiaTheme="majorEastAsia"/>
          <w:b/>
          <w:sz w:val="24"/>
        </w:rPr>
        <w:t>投标文件未按时解密，投标人提供了备份投标文件的，以备份投标文件作为依据，否则视为投标文件撤回。投标文件已按时解密的，备份投标文件自动失效。</w:t>
      </w:r>
    </w:p>
    <w:p w14:paraId="0F463ECB">
      <w:pPr>
        <w:widowControl/>
        <w:snapToGrid w:val="0"/>
        <w:spacing w:line="360" w:lineRule="auto"/>
        <w:jc w:val="left"/>
        <w:rPr>
          <w:rFonts w:cs="宋体" w:asciiTheme="majorEastAsia" w:hAnsiTheme="majorEastAsia" w:eastAsiaTheme="majorEastAsia"/>
          <w:b/>
          <w:sz w:val="24"/>
          <w:szCs w:val="20"/>
        </w:rPr>
      </w:pPr>
      <w:r>
        <w:rPr>
          <w:rFonts w:hint="eastAsia" w:cs="宋体" w:asciiTheme="majorEastAsia" w:hAnsiTheme="majorEastAsia" w:eastAsiaTheme="majorEastAsia"/>
          <w:b/>
          <w:sz w:val="24"/>
          <w:szCs w:val="20"/>
        </w:rPr>
        <w:t>　19.资格审查</w:t>
      </w:r>
    </w:p>
    <w:p w14:paraId="7155B6D4">
      <w:pPr>
        <w:pStyle w:val="132"/>
        <w:snapToGrid w:val="0"/>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19.1开标后，采购人或采购代理机构将依法对投标人的资格进行审查。</w:t>
      </w:r>
    </w:p>
    <w:p w14:paraId="6C3A261C">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kern w:val="0"/>
          <w:sz w:val="24"/>
        </w:rPr>
        <w:t>19.2</w:t>
      </w:r>
      <w:r>
        <w:rPr>
          <w:rFonts w:hint="eastAsia" w:cs="宋体" w:asciiTheme="majorEastAsia" w:hAnsiTheme="majorEastAsia" w:eastAsiaTheme="majorEastAsia"/>
          <w:sz w:val="24"/>
        </w:rPr>
        <w:t>采购人或采购代理机构依据法律法规和招标文件的规定，对投标人的资格进行审查。</w:t>
      </w:r>
    </w:p>
    <w:p w14:paraId="1CD603F7">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kern w:val="0"/>
          <w:szCs w:val="24"/>
        </w:rPr>
        <w:t>19.3投标人未按照招标文件要求提供与</w:t>
      </w:r>
      <w:r>
        <w:rPr>
          <w:rFonts w:hint="eastAsia" w:cs="宋体" w:asciiTheme="majorEastAsia" w:hAnsiTheme="majorEastAsia" w:eastAsiaTheme="majorEastAsia"/>
        </w:rPr>
        <w:t>资格条件相应的</w:t>
      </w:r>
      <w:r>
        <w:rPr>
          <w:rFonts w:hint="eastAsia" w:cs="宋体" w:asciiTheme="majorEastAsia" w:hAnsiTheme="majorEastAsia" w:eastAsiaTheme="majorEastAsia"/>
          <w:kern w:val="0"/>
          <w:szCs w:val="24"/>
        </w:rPr>
        <w:t>有效资格证明材料的，视为</w:t>
      </w:r>
      <w:r>
        <w:rPr>
          <w:rFonts w:hint="eastAsia" w:cs="宋体" w:asciiTheme="majorEastAsia" w:hAnsiTheme="majorEastAsia" w:eastAsiaTheme="majorEastAsia"/>
        </w:rPr>
        <w:t>投标人不具备招标文件中规定的资格要求，其投标无效。</w:t>
      </w:r>
    </w:p>
    <w:p w14:paraId="08AA3F21">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kern w:val="0"/>
          <w:szCs w:val="24"/>
        </w:rPr>
        <w:t>19.</w:t>
      </w:r>
      <w:r>
        <w:rPr>
          <w:rFonts w:hint="eastAsia" w:cs="宋体" w:asciiTheme="majorEastAsia" w:hAnsiTheme="majorEastAsia" w:eastAsiaTheme="majorEastAsia"/>
        </w:rPr>
        <w:t>4对未通过资格审查的投标人，采购人或采购代理机构告知其未通过的原因。</w:t>
      </w:r>
    </w:p>
    <w:p w14:paraId="64AA49DB">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kern w:val="0"/>
          <w:szCs w:val="24"/>
        </w:rPr>
        <w:t>19.</w:t>
      </w:r>
      <w:r>
        <w:rPr>
          <w:rFonts w:hint="eastAsia" w:cs="宋体" w:asciiTheme="majorEastAsia" w:hAnsiTheme="majorEastAsia" w:eastAsiaTheme="majorEastAsia"/>
        </w:rPr>
        <w:t>5合格投标人不足3家的，不再评标。</w:t>
      </w:r>
    </w:p>
    <w:p w14:paraId="2A9546A0">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EA7CF1D">
      <w:pPr>
        <w:pStyle w:val="132"/>
        <w:snapToGrid w:val="0"/>
        <w:spacing w:before="0"/>
        <w:ind w:firstLine="0" w:firstLineChars="0"/>
        <w:rPr>
          <w:rFonts w:cs="宋体" w:asciiTheme="majorEastAsia" w:hAnsiTheme="majorEastAsia" w:eastAsiaTheme="majorEastAsia"/>
          <w:b/>
          <w:szCs w:val="24"/>
        </w:rPr>
      </w:pPr>
      <w:r>
        <w:rPr>
          <w:rFonts w:hint="eastAsia" w:cs="宋体" w:asciiTheme="majorEastAsia" w:hAnsiTheme="majorEastAsia" w:eastAsiaTheme="majorEastAsia"/>
          <w:b/>
          <w:szCs w:val="24"/>
        </w:rPr>
        <w:t>20.信用信息查询</w:t>
      </w:r>
    </w:p>
    <w:p w14:paraId="51F03C31">
      <w:pPr>
        <w:pStyle w:val="132"/>
        <w:snapToGrid w:val="0"/>
        <w:spacing w:before="0"/>
        <w:ind w:firstLine="495" w:firstLineChars="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20.1信用信息查询渠道及截止时间：采购代理机构将在资格审查时通过“信用中国”网站(www.creditchina.gov.cn)、中国政府采购网(www.ccgp.gov.cn)渠道查询投标人接受资格时的信用记录。</w:t>
      </w:r>
    </w:p>
    <w:p w14:paraId="11AA36A8">
      <w:pPr>
        <w:pStyle w:val="132"/>
        <w:snapToGrid w:val="0"/>
        <w:spacing w:before="0"/>
        <w:ind w:firstLine="495" w:firstLineChars="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20.2信用信息查询记录和证据留存的具体方式：现场查询的投标人的信用记录、查询结果经确认后将与采购文件一起存档。</w:t>
      </w:r>
    </w:p>
    <w:p w14:paraId="77AB889D">
      <w:pPr>
        <w:pStyle w:val="132"/>
        <w:snapToGrid w:val="0"/>
        <w:spacing w:before="0"/>
        <w:ind w:firstLine="495" w:firstLineChars="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20.3信用信息的使用规则：经查询列入失信被执行人名单、重大税收违法案件当事人名单、政府采购严重违法失信行为记录名单的投标人将被拒绝参与政府采购活动。</w:t>
      </w:r>
    </w:p>
    <w:p w14:paraId="5B413FBD">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ajorEastAsia" w:hAnsiTheme="majorEastAsia" w:eastAsiaTheme="majorEastAsia"/>
        </w:rPr>
        <w:t>。</w:t>
      </w:r>
    </w:p>
    <w:p w14:paraId="1B3659A3">
      <w:pPr>
        <w:pStyle w:val="132"/>
        <w:snapToGrid w:val="0"/>
        <w:spacing w:before="0"/>
        <w:ind w:firstLine="0" w:firstLineChars="0"/>
        <w:rPr>
          <w:rFonts w:cs="宋体" w:asciiTheme="majorEastAsia" w:hAnsiTheme="majorEastAsia" w:eastAsiaTheme="majorEastAsia"/>
          <w:kern w:val="0"/>
          <w:szCs w:val="24"/>
        </w:rPr>
      </w:pPr>
    </w:p>
    <w:p w14:paraId="68C2E348">
      <w:pPr>
        <w:snapToGrid w:val="0"/>
        <w:spacing w:line="360" w:lineRule="auto"/>
        <w:jc w:val="center"/>
        <w:outlineLvl w:val="0"/>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五、评标</w:t>
      </w:r>
    </w:p>
    <w:p w14:paraId="5B99F0D0">
      <w:pPr>
        <w:snapToGrid w:val="0"/>
        <w:spacing w:line="360" w:lineRule="auto"/>
        <w:rPr>
          <w:rFonts w:cs="宋体" w:asciiTheme="majorEastAsia" w:hAnsiTheme="majorEastAsia" w:eastAsiaTheme="majorEastAsia"/>
          <w:b/>
          <w:sz w:val="24"/>
        </w:rPr>
      </w:pPr>
      <w:bookmarkStart w:id="13" w:name="_Toc91899903"/>
      <w:r>
        <w:rPr>
          <w:rFonts w:hint="eastAsia" w:cs="宋体" w:asciiTheme="majorEastAsia" w:hAnsiTheme="majorEastAsia" w:eastAsiaTheme="majorEastAsia"/>
          <w:b/>
          <w:sz w:val="24"/>
        </w:rPr>
        <w:t>21.</w:t>
      </w:r>
      <w:r>
        <w:rPr>
          <w:rFonts w:hint="eastAsia" w:cs="宋体" w:asciiTheme="majorEastAsia" w:hAnsiTheme="majorEastAsia" w:eastAsiaTheme="maj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ajorEastAsia" w:hAnsiTheme="majorEastAsia" w:eastAsiaTheme="majorEastAsia"/>
          <w:b/>
          <w:sz w:val="24"/>
        </w:rPr>
        <w:t>详见招标文件第四部分评标办法。</w:t>
      </w:r>
    </w:p>
    <w:p w14:paraId="162215B3">
      <w:pPr>
        <w:snapToGrid w:val="0"/>
        <w:spacing w:line="360" w:lineRule="auto"/>
        <w:rPr>
          <w:rFonts w:cs="宋体" w:asciiTheme="majorEastAsia" w:hAnsiTheme="majorEastAsia" w:eastAsiaTheme="majorEastAsia"/>
          <w:b/>
          <w:sz w:val="24"/>
        </w:rPr>
      </w:pPr>
    </w:p>
    <w:p w14:paraId="12838172">
      <w:pPr>
        <w:snapToGrid w:val="0"/>
        <w:spacing w:line="360" w:lineRule="auto"/>
        <w:jc w:val="center"/>
        <w:outlineLvl w:val="0"/>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六、定 标</w:t>
      </w:r>
    </w:p>
    <w:p w14:paraId="2DD14D36">
      <w:pPr>
        <w:pStyle w:val="24"/>
        <w:snapToGrid w:val="0"/>
        <w:spacing w:line="360" w:lineRule="auto"/>
        <w:ind w:left="479" w:hanging="479" w:hangingChars="199"/>
        <w:rPr>
          <w:rFonts w:cs="宋体" w:asciiTheme="majorEastAsia" w:hAnsiTheme="majorEastAsia" w:eastAsiaTheme="majorEastAsia"/>
          <w:b/>
        </w:rPr>
      </w:pPr>
      <w:r>
        <w:rPr>
          <w:rFonts w:hint="eastAsia" w:cs="宋体" w:asciiTheme="majorEastAsia" w:hAnsiTheme="majorEastAsia" w:eastAsiaTheme="majorEastAsia"/>
          <w:b/>
        </w:rPr>
        <w:t>22.确定中标供应商</w:t>
      </w:r>
    </w:p>
    <w:p w14:paraId="277674CC">
      <w:pPr>
        <w:pStyle w:val="132"/>
        <w:snapToGrid w:val="0"/>
        <w:spacing w:before="0"/>
        <w:ind w:firstLine="480"/>
        <w:rPr>
          <w:rFonts w:cs="宋体" w:asciiTheme="majorEastAsia" w:hAnsiTheme="majorEastAsia" w:eastAsiaTheme="majorEastAsia"/>
          <w:b/>
          <w:szCs w:val="24"/>
        </w:rPr>
      </w:pPr>
      <w:r>
        <w:rPr>
          <w:rFonts w:hint="eastAsia" w:cs="宋体" w:asciiTheme="majorEastAsia" w:hAnsiTheme="majorEastAsia" w:eastAsiaTheme="maj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50725603">
      <w:pPr>
        <w:pStyle w:val="132"/>
        <w:snapToGrid w:val="0"/>
        <w:spacing w:before="0"/>
        <w:ind w:firstLine="0" w:firstLineChars="0"/>
        <w:rPr>
          <w:rFonts w:cs="宋体" w:asciiTheme="majorEastAsia" w:hAnsiTheme="majorEastAsia" w:eastAsiaTheme="majorEastAsia"/>
          <w:b/>
          <w:szCs w:val="24"/>
        </w:rPr>
      </w:pPr>
      <w:r>
        <w:rPr>
          <w:rFonts w:hint="eastAsia" w:cs="宋体" w:asciiTheme="majorEastAsia" w:hAnsiTheme="majorEastAsia" w:eastAsiaTheme="majorEastAsia"/>
          <w:b/>
          <w:szCs w:val="24"/>
        </w:rPr>
        <w:t>23.中标通知与中标结果公告</w:t>
      </w:r>
    </w:p>
    <w:p w14:paraId="70E19D96">
      <w:pPr>
        <w:widowControl/>
        <w:shd w:val="clear" w:color="auto" w:fill="FFFFFF"/>
        <w:spacing w:line="360" w:lineRule="auto"/>
        <w:ind w:firstLine="480"/>
        <w:jc w:val="left"/>
        <w:rPr>
          <w:rFonts w:cs="宋体" w:asciiTheme="majorEastAsia" w:hAnsiTheme="majorEastAsia" w:eastAsiaTheme="majorEastAsia"/>
          <w:sz w:val="24"/>
        </w:rPr>
      </w:pPr>
      <w:r>
        <w:rPr>
          <w:rFonts w:hint="eastAsia" w:cs="宋体" w:asciiTheme="majorEastAsia" w:hAnsiTheme="majorEastAsia" w:eastAsiaTheme="majorEastAsia"/>
          <w:sz w:val="24"/>
        </w:rPr>
        <w:t>23.1自中标人确定之日起2个工作日内，采购代理机构通过电子交易平台向中标人发出中标通知书，同时编制发布采购结果公告。采购代理机构也可以以纸质形式进行中标通知。</w:t>
      </w:r>
    </w:p>
    <w:p w14:paraId="3BD6EF49">
      <w:pPr>
        <w:widowControl/>
        <w:shd w:val="clear" w:color="auto" w:fill="FFFFFF"/>
        <w:spacing w:line="360" w:lineRule="auto"/>
        <w:ind w:firstLine="480"/>
        <w:jc w:val="left"/>
        <w:rPr>
          <w:rFonts w:cs="宋体" w:asciiTheme="majorEastAsia" w:hAnsiTheme="majorEastAsia" w:eastAsiaTheme="majorEastAsia"/>
          <w:sz w:val="24"/>
        </w:rPr>
      </w:pPr>
      <w:r>
        <w:rPr>
          <w:rFonts w:hint="eastAsia" w:cs="宋体" w:asciiTheme="majorEastAsia" w:hAnsiTheme="majorEastAsia" w:eastAsiaTheme="major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cs="宋体" w:asciiTheme="majorEastAsia" w:hAnsiTheme="majorEastAsia" w:eastAsiaTheme="majorEastAsia"/>
          <w:sz w:val="24"/>
        </w:rPr>
        <w:t>资格审查情况、评审专家抽取规则、符合性审查情况、</w:t>
      </w:r>
      <w:bookmarkEnd w:id="14"/>
      <w:r>
        <w:rPr>
          <w:rFonts w:hint="eastAsia" w:cs="宋体" w:asciiTheme="majorEastAsia" w:hAnsiTheme="majorEastAsia" w:eastAsiaTheme="majorEastAsia"/>
          <w:sz w:val="24"/>
        </w:rPr>
        <w:t>未中标情况说明、中标公告期限以及评审专家名单、评分汇总及明细。</w:t>
      </w:r>
    </w:p>
    <w:p w14:paraId="3CE7259D">
      <w:pPr>
        <w:widowControl/>
        <w:shd w:val="clear" w:color="auto" w:fill="FFFFFF"/>
        <w:spacing w:line="360" w:lineRule="auto"/>
        <w:ind w:firstLine="480"/>
        <w:jc w:val="left"/>
        <w:rPr>
          <w:rFonts w:cs="宋体" w:asciiTheme="majorEastAsia" w:hAnsiTheme="majorEastAsia" w:eastAsiaTheme="majorEastAsia"/>
          <w:sz w:val="24"/>
        </w:rPr>
      </w:pPr>
      <w:r>
        <w:rPr>
          <w:rFonts w:hint="eastAsia" w:cs="宋体" w:asciiTheme="majorEastAsia" w:hAnsiTheme="majorEastAsia" w:eastAsiaTheme="majorEastAsia"/>
          <w:sz w:val="24"/>
        </w:rPr>
        <w:t>23.3公告期限为1个工作日。</w:t>
      </w:r>
    </w:p>
    <w:p w14:paraId="70C63B7E">
      <w:pPr>
        <w:pStyle w:val="24"/>
        <w:snapToGrid w:val="0"/>
        <w:spacing w:line="360" w:lineRule="auto"/>
        <w:ind w:firstLine="0" w:firstLineChars="0"/>
        <w:rPr>
          <w:rFonts w:cs="宋体" w:asciiTheme="majorEastAsia" w:hAnsiTheme="majorEastAsia" w:eastAsiaTheme="majorEastAsia"/>
          <w:b/>
        </w:rPr>
      </w:pPr>
      <w:r>
        <w:rPr>
          <w:rFonts w:hint="eastAsia" w:cs="宋体" w:asciiTheme="majorEastAsia" w:hAnsiTheme="majorEastAsia" w:eastAsiaTheme="majorEastAsia"/>
          <w:b/>
        </w:rPr>
        <w:t>24.</w:t>
      </w:r>
      <w:r>
        <w:rPr>
          <w:rFonts w:hint="eastAsia" w:cs="宋体" w:asciiTheme="majorEastAsia" w:hAnsiTheme="majorEastAsia" w:eastAsiaTheme="majorEastAsia"/>
          <w:bCs/>
        </w:rPr>
        <w:t xml:space="preserve"> 由于中标、成交供应商原因导致重新采购的，应当承担支付代理费和专家评审费等费用在内的赔偿责任。</w:t>
      </w:r>
    </w:p>
    <w:p w14:paraId="39FEE2DF">
      <w:pPr>
        <w:snapToGrid w:val="0"/>
        <w:spacing w:line="360" w:lineRule="auto"/>
        <w:ind w:left="120" w:leftChars="57" w:firstLine="482" w:firstLineChars="150"/>
        <w:jc w:val="center"/>
        <w:rPr>
          <w:rFonts w:cs="宋体" w:asciiTheme="majorEastAsia" w:hAnsiTheme="majorEastAsia" w:eastAsiaTheme="majorEastAsia"/>
          <w:b/>
          <w:sz w:val="32"/>
        </w:rPr>
      </w:pPr>
    </w:p>
    <w:p w14:paraId="396453E7">
      <w:pPr>
        <w:snapToGrid w:val="0"/>
        <w:spacing w:line="360" w:lineRule="auto"/>
        <w:ind w:left="119" w:hanging="119" w:hangingChars="37"/>
        <w:jc w:val="center"/>
        <w:rPr>
          <w:rFonts w:cs="宋体" w:asciiTheme="majorEastAsia" w:hAnsiTheme="majorEastAsia" w:eastAsiaTheme="majorEastAsia"/>
          <w:b/>
          <w:sz w:val="32"/>
        </w:rPr>
      </w:pPr>
      <w:r>
        <w:rPr>
          <w:rFonts w:hint="eastAsia" w:cs="宋体" w:asciiTheme="majorEastAsia" w:hAnsiTheme="majorEastAsia" w:eastAsiaTheme="majorEastAsia"/>
          <w:b/>
          <w:sz w:val="32"/>
        </w:rPr>
        <w:t>七、合同授予</w:t>
      </w:r>
    </w:p>
    <w:p w14:paraId="73D866BF">
      <w:pPr>
        <w:pStyle w:val="24"/>
        <w:snapToGrid w:val="0"/>
        <w:spacing w:line="360" w:lineRule="auto"/>
        <w:ind w:left="479" w:hanging="479" w:hangingChars="199"/>
        <w:rPr>
          <w:rFonts w:cs="宋体" w:asciiTheme="majorEastAsia" w:hAnsiTheme="majorEastAsia" w:eastAsiaTheme="majorEastAsia"/>
          <w:b/>
        </w:rPr>
      </w:pPr>
      <w:r>
        <w:rPr>
          <w:rFonts w:hint="eastAsia" w:cs="宋体" w:asciiTheme="majorEastAsia" w:hAnsiTheme="majorEastAsia" w:eastAsiaTheme="majorEastAsia"/>
          <w:b/>
        </w:rPr>
        <w:t>25.</w:t>
      </w:r>
      <w:r>
        <w:rPr>
          <w:rFonts w:hint="eastAsia" w:cs="宋体" w:asciiTheme="majorEastAsia" w:hAnsiTheme="majorEastAsia" w:eastAsiaTheme="majorEastAsia"/>
        </w:rPr>
        <w:t>合同主要条款详见第五部分拟签订的合同文本。</w:t>
      </w:r>
    </w:p>
    <w:p w14:paraId="03004F56">
      <w:pPr>
        <w:pStyle w:val="24"/>
        <w:snapToGrid w:val="0"/>
        <w:spacing w:line="360" w:lineRule="auto"/>
        <w:ind w:left="479" w:hanging="479" w:hangingChars="199"/>
        <w:rPr>
          <w:rFonts w:cs="宋体" w:asciiTheme="majorEastAsia" w:hAnsiTheme="majorEastAsia" w:eastAsiaTheme="majorEastAsia"/>
          <w:b/>
        </w:rPr>
      </w:pPr>
      <w:r>
        <w:rPr>
          <w:rFonts w:hint="eastAsia" w:cs="宋体" w:asciiTheme="majorEastAsia" w:hAnsiTheme="majorEastAsia" w:eastAsiaTheme="majorEastAsia"/>
          <w:b/>
        </w:rPr>
        <w:t>26.合同的签订</w:t>
      </w:r>
    </w:p>
    <w:p w14:paraId="795A3688">
      <w:pPr>
        <w:widowControl/>
        <w:shd w:val="clear" w:color="auto" w:fill="FFFFFF"/>
        <w:snapToGrid w:val="0"/>
        <w:spacing w:line="360" w:lineRule="auto"/>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sz w:val="24"/>
        </w:rPr>
        <w:t>26.1</w:t>
      </w:r>
      <w:r>
        <w:rPr>
          <w:rFonts w:hint="eastAsia" w:cs="宋体" w:asciiTheme="majorEastAsia" w:hAnsiTheme="majorEastAsia" w:eastAsiaTheme="maj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F030D21">
      <w:pPr>
        <w:pStyle w:val="132"/>
        <w:snapToGrid w:val="0"/>
        <w:spacing w:before="0"/>
        <w:ind w:firstLine="480"/>
        <w:rPr>
          <w:rFonts w:cs="宋体" w:asciiTheme="majorEastAsia" w:hAnsiTheme="majorEastAsia" w:eastAsiaTheme="majorEastAsia"/>
          <w:kern w:val="0"/>
        </w:rPr>
      </w:pPr>
      <w:r>
        <w:rPr>
          <w:rFonts w:hint="eastAsia" w:cs="宋体" w:asciiTheme="majorEastAsia" w:hAnsiTheme="majorEastAsia" w:eastAsiaTheme="majorEastAsia"/>
          <w:kern w:val="0"/>
          <w:lang w:val="zh-CN"/>
        </w:rPr>
        <w:t>26.2中标人按规定的日期、时间、地点，由法定代表人或其授权代表与采购人代表签订合同。如中标人为联合体的，由联合体成员各方法定代表人或其授权代表与采购人代表签订合同。</w:t>
      </w:r>
    </w:p>
    <w:p w14:paraId="0225632F">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26.3如签订合同并生效后，供应商无故拒绝或延期，除按照合同条款处理外，列入不良行为记录一次，并给予通报。</w:t>
      </w:r>
    </w:p>
    <w:p w14:paraId="0D66AF9F">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26.4中标供应商拒绝与采购人签订合同的，采购人可以按照评审报告推荐的中标或者成交候选人名单排序，确定下一候选人为中标供应商，也可以重新开展政府采购活动。</w:t>
      </w:r>
    </w:p>
    <w:p w14:paraId="4658E82C">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26.5采购合同由采购人与中标供应商根据招标文件、投标文件等内容通过政府采购电子交易平台在线签订，自动备案。</w:t>
      </w:r>
    </w:p>
    <w:p w14:paraId="69ACA667">
      <w:pPr>
        <w:pStyle w:val="24"/>
        <w:snapToGrid w:val="0"/>
        <w:spacing w:line="360" w:lineRule="auto"/>
        <w:ind w:left="479" w:hanging="479" w:hangingChars="199"/>
        <w:rPr>
          <w:rFonts w:cs="宋体" w:asciiTheme="majorEastAsia" w:hAnsiTheme="majorEastAsia" w:eastAsiaTheme="majorEastAsia"/>
          <w:b/>
        </w:rPr>
      </w:pPr>
      <w:r>
        <w:rPr>
          <w:rFonts w:hint="eastAsia" w:cs="宋体" w:asciiTheme="majorEastAsia" w:hAnsiTheme="majorEastAsia" w:eastAsiaTheme="majorEastAsia"/>
          <w:b/>
        </w:rPr>
        <w:t>27.履约保证金</w:t>
      </w:r>
    </w:p>
    <w:p w14:paraId="1A3F61CC">
      <w:pPr>
        <w:tabs>
          <w:tab w:val="left" w:pos="0"/>
        </w:tabs>
        <w:snapToGrid w:val="0"/>
        <w:spacing w:line="360" w:lineRule="auto"/>
        <w:ind w:firstLine="482"/>
        <w:rPr>
          <w:rFonts w:cs="宋体" w:asciiTheme="majorEastAsia" w:hAnsiTheme="majorEastAsia" w:eastAsiaTheme="majorEastAsia"/>
          <w:sz w:val="24"/>
        </w:rPr>
      </w:pPr>
      <w:r>
        <w:rPr>
          <w:rFonts w:hint="eastAsia" w:cs="宋体" w:asciiTheme="majorEastAsia" w:hAnsiTheme="majorEastAsia" w:eastAsiaTheme="majorEastAsia"/>
          <w:kern w:val="0"/>
          <w:sz w:val="24"/>
        </w:rPr>
        <w:t>拟签订的合同文本要求中标供应商提交履约保证金的，供应商应当以支票、汇票、本票或者金融机构、担保机构出具的保函等非现金形式提交</w:t>
      </w:r>
      <w:r>
        <w:rPr>
          <w:rFonts w:hint="eastAsia" w:cs="宋体" w:asciiTheme="majorEastAsia" w:hAnsiTheme="majorEastAsia" w:eastAsiaTheme="majorEastAsia"/>
          <w:sz w:val="24"/>
        </w:rPr>
        <w:t>。履约保证金的数额不得超过政府采购合同金额的</w:t>
      </w:r>
      <w:r>
        <w:rPr>
          <w:rFonts w:cs="宋体" w:asciiTheme="majorEastAsia" w:hAnsiTheme="majorEastAsia" w:eastAsiaTheme="majorEastAsia"/>
          <w:sz w:val="24"/>
        </w:rPr>
        <w:t>1</w:t>
      </w:r>
      <w:r>
        <w:rPr>
          <w:rFonts w:hint="eastAsia" w:cs="宋体" w:asciiTheme="majorEastAsia" w:hAnsiTheme="majorEastAsia" w:eastAsiaTheme="majorEastAsia"/>
          <w:sz w:val="24"/>
        </w:rPr>
        <w:t>%。鼓励和支持供应商以银行、保险公司出具的保函形式提供履约保证金。采购人不得拒收履约保函，项目验收结束后应及时退还，</w:t>
      </w:r>
      <w:r>
        <w:rPr>
          <w:rFonts w:cs="宋体" w:asciiTheme="majorEastAsia" w:hAnsiTheme="majorEastAsia" w:eastAsiaTheme="majorEastAsia"/>
          <w:sz w:val="24"/>
        </w:rPr>
        <w:t>延迟退还的，应当按照合同约定和法律规定承担相应的赔偿责任</w:t>
      </w:r>
      <w:r>
        <w:rPr>
          <w:rFonts w:hint="eastAsia" w:cs="宋体" w:asciiTheme="majorEastAsia" w:hAnsiTheme="majorEastAsia" w:eastAsiaTheme="majorEastAsia"/>
          <w:sz w:val="24"/>
        </w:rPr>
        <w:t>。</w:t>
      </w:r>
    </w:p>
    <w:p w14:paraId="0BAC02DA">
      <w:pPr>
        <w:tabs>
          <w:tab w:val="left" w:pos="0"/>
        </w:tabs>
        <w:snapToGrid w:val="0"/>
        <w:spacing w:line="360" w:lineRule="auto"/>
        <w:ind w:firstLine="48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C60BDF">
      <w:pPr>
        <w:snapToGrid w:val="0"/>
        <w:spacing w:line="360" w:lineRule="auto"/>
        <w:ind w:firstLine="3357" w:firstLineChars="1045"/>
        <w:rPr>
          <w:rFonts w:cs="宋体" w:asciiTheme="majorEastAsia" w:hAnsiTheme="majorEastAsia" w:eastAsiaTheme="majorEastAsia"/>
          <w:b/>
          <w:sz w:val="32"/>
        </w:rPr>
      </w:pPr>
    </w:p>
    <w:p w14:paraId="76177415">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32"/>
        </w:rPr>
        <w:t>八、电子交易活动的中止</w:t>
      </w:r>
    </w:p>
    <w:p w14:paraId="5F469EF5">
      <w:pPr>
        <w:pStyle w:val="132"/>
        <w:snapToGrid w:val="0"/>
        <w:spacing w:before="0"/>
        <w:ind w:firstLine="0" w:firstLineChars="0"/>
        <w:rPr>
          <w:rFonts w:cs="宋体" w:asciiTheme="majorEastAsia" w:hAnsiTheme="majorEastAsia" w:eastAsiaTheme="majorEastAsia"/>
        </w:rPr>
      </w:pPr>
      <w:r>
        <w:rPr>
          <w:rFonts w:hint="eastAsia" w:cs="宋体" w:asciiTheme="majorEastAsia" w:hAnsiTheme="majorEastAsia" w:eastAsiaTheme="majorEastAsia"/>
        </w:rPr>
        <w:t>2</w:t>
      </w:r>
      <w:r>
        <w:rPr>
          <w:rFonts w:hint="eastAsia" w:cs="宋体" w:asciiTheme="majorEastAsia" w:hAnsiTheme="majorEastAsia" w:eastAsiaTheme="majorEastAsia"/>
          <w:b/>
          <w:szCs w:val="24"/>
        </w:rPr>
        <w:t>8.电子交易活动的中止。</w:t>
      </w:r>
      <w:r>
        <w:rPr>
          <w:rFonts w:hint="eastAsia" w:cs="宋体" w:asciiTheme="majorEastAsia" w:hAnsiTheme="majorEastAsia" w:eastAsiaTheme="majorEastAsia"/>
        </w:rPr>
        <w:t>采购过程中出现以下情形，导致电子交易平台无法正常运行，或者无法保证电子交易的公平、公正和安全时，采购代理机构可中止电子交易活动：</w:t>
      </w:r>
    </w:p>
    <w:p w14:paraId="586036AB">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 xml:space="preserve">28.1电子交易平台发生故障而无法登录访问的； </w:t>
      </w:r>
    </w:p>
    <w:p w14:paraId="72C6C063">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28.2电子交易平台应用或数据库出现错误，不能进行正常操作的；</w:t>
      </w:r>
    </w:p>
    <w:p w14:paraId="3AA2CE56">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28.3电子交易平台发现严重安全漏洞，有潜在泄密危险的；</w:t>
      </w:r>
    </w:p>
    <w:p w14:paraId="56CA713B">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 xml:space="preserve">28.4病毒发作导致不能进行正常操作的； </w:t>
      </w:r>
    </w:p>
    <w:p w14:paraId="5872F0D8">
      <w:pPr>
        <w:pStyle w:val="132"/>
        <w:snapToGrid w:val="0"/>
        <w:spacing w:before="0"/>
        <w:ind w:firstLine="480"/>
        <w:rPr>
          <w:rFonts w:cs="宋体" w:asciiTheme="majorEastAsia" w:hAnsiTheme="majorEastAsia" w:eastAsiaTheme="majorEastAsia"/>
        </w:rPr>
      </w:pPr>
      <w:r>
        <w:rPr>
          <w:rFonts w:hint="eastAsia" w:cs="宋体" w:asciiTheme="majorEastAsia" w:hAnsiTheme="majorEastAsia" w:eastAsiaTheme="majorEastAsia"/>
        </w:rPr>
        <w:t>28.5其他无法保证电子交易的公平、公正和安全的情况。</w:t>
      </w:r>
    </w:p>
    <w:p w14:paraId="3D002AC8">
      <w:pPr>
        <w:pStyle w:val="132"/>
        <w:snapToGrid w:val="0"/>
        <w:spacing w:before="0"/>
        <w:ind w:firstLine="0" w:firstLineChars="0"/>
        <w:rPr>
          <w:rFonts w:cs="宋体" w:asciiTheme="majorEastAsia" w:hAnsiTheme="majorEastAsia" w:eastAsiaTheme="majorEastAsia"/>
        </w:rPr>
      </w:pPr>
      <w:r>
        <w:rPr>
          <w:rFonts w:hint="eastAsia" w:cs="宋体" w:asciiTheme="majorEastAsia" w:hAnsiTheme="majorEastAsia" w:eastAsiaTheme="maj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A7CF62">
      <w:pPr>
        <w:tabs>
          <w:tab w:val="left" w:pos="0"/>
        </w:tabs>
        <w:snapToGrid w:val="0"/>
        <w:spacing w:line="360" w:lineRule="auto"/>
        <w:ind w:firstLine="480"/>
        <w:rPr>
          <w:rFonts w:cs="宋体" w:asciiTheme="majorEastAsia" w:hAnsiTheme="majorEastAsia" w:eastAsiaTheme="majorEastAsia"/>
          <w:sz w:val="24"/>
        </w:rPr>
      </w:pPr>
    </w:p>
    <w:p w14:paraId="51F883C2">
      <w:pPr>
        <w:snapToGrid w:val="0"/>
        <w:spacing w:line="360" w:lineRule="auto"/>
        <w:ind w:left="119" w:hanging="119" w:hangingChars="37"/>
        <w:jc w:val="center"/>
        <w:rPr>
          <w:rFonts w:cs="宋体" w:asciiTheme="majorEastAsia" w:hAnsiTheme="majorEastAsia" w:eastAsiaTheme="majorEastAsia"/>
          <w:b/>
          <w:sz w:val="32"/>
        </w:rPr>
      </w:pPr>
      <w:r>
        <w:rPr>
          <w:rFonts w:hint="eastAsia" w:cs="宋体" w:asciiTheme="majorEastAsia" w:hAnsiTheme="majorEastAsia" w:eastAsiaTheme="majorEastAsia"/>
          <w:b/>
          <w:sz w:val="32"/>
        </w:rPr>
        <w:t>九、验收</w:t>
      </w:r>
    </w:p>
    <w:p w14:paraId="7C92C4F3">
      <w:pPr>
        <w:pStyle w:val="24"/>
        <w:snapToGrid w:val="0"/>
        <w:spacing w:line="360" w:lineRule="auto"/>
        <w:ind w:firstLine="0" w:firstLineChars="0"/>
        <w:rPr>
          <w:rFonts w:cs="宋体" w:asciiTheme="majorEastAsia" w:hAnsiTheme="majorEastAsia" w:eastAsiaTheme="majorEastAsia"/>
          <w:b/>
        </w:rPr>
      </w:pPr>
      <w:r>
        <w:rPr>
          <w:rFonts w:hint="eastAsia" w:cs="宋体" w:asciiTheme="majorEastAsia" w:hAnsiTheme="majorEastAsia" w:eastAsiaTheme="majorEastAsia"/>
          <w:b/>
        </w:rPr>
        <w:t>30.验收</w:t>
      </w:r>
    </w:p>
    <w:p w14:paraId="4E5D1051">
      <w:pPr>
        <w:tabs>
          <w:tab w:val="left" w:pos="0"/>
        </w:tabs>
        <w:snapToGrid w:val="0"/>
        <w:spacing w:line="360" w:lineRule="auto"/>
        <w:ind w:firstLine="48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BC9CF4">
      <w:pPr>
        <w:tabs>
          <w:tab w:val="left" w:pos="0"/>
        </w:tabs>
        <w:snapToGrid w:val="0"/>
        <w:spacing w:line="360" w:lineRule="auto"/>
        <w:ind w:firstLine="48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D3A964">
      <w:pPr>
        <w:tabs>
          <w:tab w:val="left" w:pos="0"/>
        </w:tabs>
        <w:snapToGrid w:val="0"/>
        <w:spacing w:line="360" w:lineRule="auto"/>
        <w:ind w:firstLine="48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30.3采购人可以邀请参加本项目的其他投标人或者第三方机构参与验收。参与验收的投标人或者第三方机构的意见作为验收书的参考资料一并存档。</w:t>
      </w:r>
    </w:p>
    <w:p w14:paraId="78A210F7">
      <w:pPr>
        <w:tabs>
          <w:tab w:val="left" w:pos="0"/>
        </w:tabs>
        <w:snapToGrid w:val="0"/>
        <w:spacing w:line="360" w:lineRule="auto"/>
        <w:ind w:firstLine="48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DF134A">
      <w:pPr>
        <w:tabs>
          <w:tab w:val="left" w:pos="0"/>
        </w:tabs>
        <w:snapToGrid w:val="0"/>
        <w:spacing w:line="360" w:lineRule="auto"/>
        <w:ind w:firstLine="48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7CF292">
      <w:pPr>
        <w:pStyle w:val="2"/>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DB7399">
      <w:pPr>
        <w:rPr>
          <w:rFonts w:asciiTheme="majorEastAsia" w:hAnsiTheme="majorEastAsia" w:eastAsiaTheme="majorEastAsia"/>
        </w:rPr>
      </w:pPr>
    </w:p>
    <w:bookmarkEnd w:id="13"/>
    <w:p w14:paraId="500CC391">
      <w:pPr>
        <w:snapToGrid w:val="0"/>
        <w:spacing w:line="360" w:lineRule="auto"/>
        <w:ind w:left="120" w:leftChars="57" w:firstLine="482" w:firstLineChars="150"/>
        <w:jc w:val="center"/>
        <w:rPr>
          <w:rFonts w:cs="宋体" w:asciiTheme="majorEastAsia" w:hAnsiTheme="majorEastAsia" w:eastAsiaTheme="majorEastAsia"/>
          <w:b/>
          <w:sz w:val="32"/>
        </w:rPr>
      </w:pPr>
      <w:bookmarkStart w:id="15" w:name="_Hlt74707468"/>
      <w:bookmarkEnd w:id="15"/>
      <w:bookmarkStart w:id="16" w:name="_Hlt74730295"/>
      <w:bookmarkEnd w:id="16"/>
      <w:bookmarkStart w:id="17" w:name="_Hlt68403820"/>
      <w:bookmarkEnd w:id="17"/>
      <w:bookmarkStart w:id="18" w:name="_Hlt74714665"/>
      <w:bookmarkEnd w:id="18"/>
      <w:bookmarkStart w:id="19" w:name="_Hlt68072990"/>
      <w:bookmarkEnd w:id="19"/>
      <w:bookmarkStart w:id="20" w:name="_Hlt68072998"/>
      <w:bookmarkEnd w:id="20"/>
      <w:bookmarkStart w:id="21" w:name="_Hlt75236290"/>
      <w:bookmarkEnd w:id="21"/>
      <w:bookmarkStart w:id="22" w:name="_Hlt74729768"/>
      <w:bookmarkEnd w:id="22"/>
      <w:bookmarkStart w:id="23" w:name="_Hlt75236101"/>
      <w:bookmarkEnd w:id="23"/>
      <w:bookmarkStart w:id="24" w:name="_Hlt68073093"/>
      <w:bookmarkEnd w:id="24"/>
      <w:bookmarkStart w:id="25" w:name="_Hlt68057669"/>
      <w:bookmarkEnd w:id="25"/>
      <w:bookmarkStart w:id="26" w:name="_Hlt75236011"/>
      <w:bookmarkEnd w:id="26"/>
    </w:p>
    <w:p w14:paraId="2FCAE06F">
      <w:pPr>
        <w:tabs>
          <w:tab w:val="left" w:pos="0"/>
        </w:tabs>
        <w:spacing w:line="360" w:lineRule="auto"/>
        <w:ind w:firstLine="480"/>
        <w:rPr>
          <w:rFonts w:cs="宋体" w:asciiTheme="majorEastAsia" w:hAnsiTheme="majorEastAsia" w:eastAsiaTheme="majorEastAsia"/>
          <w:kern w:val="0"/>
          <w:sz w:val="24"/>
        </w:rPr>
        <w:sectPr>
          <w:footerReference r:id="rId6" w:type="first"/>
          <w:headerReference r:id="rId3" w:type="default"/>
          <w:footerReference r:id="rId4" w:type="default"/>
          <w:footerReference r:id="rId5" w:type="even"/>
          <w:pgSz w:w="11906" w:h="16838"/>
          <w:pgMar w:top="1096" w:right="1416" w:bottom="993" w:left="1560" w:header="851" w:footer="731" w:gutter="0"/>
          <w:cols w:space="720" w:num="1"/>
          <w:titlePg/>
          <w:docGrid w:linePitch="312" w:charSpace="0"/>
        </w:sectPr>
      </w:pPr>
    </w:p>
    <w:bookmarkEnd w:id="11"/>
    <w:bookmarkEnd w:id="12"/>
    <w:p w14:paraId="2BCA32E8">
      <w:pPr>
        <w:spacing w:line="360" w:lineRule="auto"/>
        <w:jc w:val="center"/>
        <w:outlineLvl w:val="0"/>
        <w:rPr>
          <w:rFonts w:cs="宋体" w:asciiTheme="majorEastAsia" w:hAnsiTheme="majorEastAsia" w:eastAsiaTheme="majorEastAsia"/>
          <w:b/>
          <w:sz w:val="36"/>
          <w:szCs w:val="36"/>
        </w:rPr>
      </w:pPr>
      <w:bookmarkStart w:id="27" w:name="第四部分"/>
      <w:r>
        <w:rPr>
          <w:rFonts w:hint="eastAsia" w:cs="宋体" w:asciiTheme="majorEastAsia" w:hAnsiTheme="majorEastAsia" w:eastAsiaTheme="majorEastAsia"/>
          <w:b/>
          <w:sz w:val="36"/>
          <w:szCs w:val="36"/>
        </w:rPr>
        <w:t>第三部分  采购需求</w:t>
      </w:r>
    </w:p>
    <w:p w14:paraId="08A8EC54">
      <w:pPr>
        <w:pStyle w:val="23"/>
        <w:snapToGrid w:val="0"/>
        <w:rPr>
          <w:rFonts w:cs="宋体" w:asciiTheme="majorEastAsia" w:hAnsiTheme="majorEastAsia" w:eastAsiaTheme="majorEastAsia"/>
          <w:b/>
          <w:bCs/>
          <w:szCs w:val="24"/>
        </w:rPr>
      </w:pPr>
      <w:bookmarkStart w:id="28" w:name="_Toc25981"/>
      <w:bookmarkStart w:id="29" w:name="_Toc11005"/>
      <w:bookmarkStart w:id="30" w:name="_Toc7485"/>
      <w:bookmarkStart w:id="31" w:name="_Toc22916"/>
      <w:bookmarkStart w:id="32" w:name="_Toc29638"/>
      <w:bookmarkStart w:id="33" w:name="_Toc7071"/>
      <w:bookmarkStart w:id="34" w:name="_Toc3472"/>
      <w:r>
        <w:rPr>
          <w:rFonts w:hint="eastAsia" w:cs="宋体" w:asciiTheme="majorEastAsia" w:hAnsiTheme="majorEastAsia" w:eastAsiaTheme="majorEastAsia"/>
          <w:b/>
          <w:bCs/>
          <w:szCs w:val="24"/>
        </w:rPr>
        <w:t>一、项目概况</w:t>
      </w:r>
    </w:p>
    <w:p w14:paraId="53DD537C">
      <w:pPr>
        <w:pStyle w:val="967"/>
        <w:keepNext/>
        <w:keepLines/>
        <w:autoSpaceDE w:val="0"/>
        <w:autoSpaceDN w:val="0"/>
        <w:adjustRightInd w:val="0"/>
        <w:snapToGrid w:val="0"/>
        <w:spacing w:line="360" w:lineRule="auto"/>
        <w:ind w:right="-512" w:firstLine="0" w:firstLineChars="0"/>
        <w:jc w:val="left"/>
        <w:outlineLvl w:val="1"/>
        <w:rPr>
          <w:rFonts w:ascii="宋体" w:hAnsi="宋体"/>
          <w:b/>
          <w:bCs/>
          <w:kern w:val="0"/>
          <w:sz w:val="24"/>
        </w:rPr>
      </w:pPr>
      <w:bookmarkStart w:id="35" w:name="_Toc23433"/>
      <w:bookmarkStart w:id="36" w:name="_Toc10380"/>
      <w:bookmarkStart w:id="37" w:name="_Toc24991"/>
      <w:bookmarkStart w:id="38" w:name="_Toc14921"/>
      <w:bookmarkStart w:id="39" w:name="_Toc7321"/>
      <w:bookmarkStart w:id="40" w:name="_Toc27424"/>
      <w:bookmarkStart w:id="41" w:name="_Toc7810"/>
      <w:r>
        <w:rPr>
          <w:rFonts w:ascii="宋体" w:hAnsi="宋体"/>
          <w:b/>
          <w:bCs/>
          <w:kern w:val="0"/>
          <w:sz w:val="24"/>
        </w:rPr>
        <w:t>1.1</w:t>
      </w:r>
      <w:r>
        <w:rPr>
          <w:rFonts w:hint="eastAsia" w:ascii="宋体" w:hAnsi="宋体"/>
          <w:b/>
          <w:bCs/>
          <w:kern w:val="0"/>
          <w:sz w:val="24"/>
        </w:rPr>
        <w:t xml:space="preserve"> </w:t>
      </w:r>
      <w:r>
        <w:rPr>
          <w:rFonts w:ascii="宋体" w:hAnsi="宋体"/>
          <w:b/>
          <w:bCs/>
          <w:kern w:val="0"/>
          <w:sz w:val="24"/>
        </w:rPr>
        <w:t>项目背景</w:t>
      </w:r>
      <w:bookmarkEnd w:id="35"/>
      <w:bookmarkEnd w:id="36"/>
      <w:bookmarkEnd w:id="37"/>
      <w:bookmarkEnd w:id="38"/>
      <w:bookmarkEnd w:id="39"/>
      <w:bookmarkEnd w:id="40"/>
      <w:bookmarkEnd w:id="41"/>
    </w:p>
    <w:p w14:paraId="4AE85663">
      <w:pPr>
        <w:snapToGrid w:val="0"/>
        <w:spacing w:line="360" w:lineRule="auto"/>
        <w:ind w:firstLine="470" w:firstLineChars="196"/>
        <w:rPr>
          <w:rFonts w:ascii="宋体" w:hAnsi="宋体"/>
          <w:bCs/>
          <w:sz w:val="24"/>
        </w:rPr>
      </w:pPr>
      <w:bookmarkStart w:id="42" w:name="_Toc26856"/>
      <w:bookmarkStart w:id="43" w:name="_Toc20232"/>
      <w:bookmarkStart w:id="44" w:name="_Toc19671"/>
      <w:bookmarkStart w:id="45" w:name="_Toc9069"/>
      <w:bookmarkStart w:id="46" w:name="_Toc26034"/>
      <w:bookmarkStart w:id="47" w:name="_Toc17461"/>
      <w:bookmarkStart w:id="48" w:name="_Toc5218"/>
      <w:r>
        <w:rPr>
          <w:rFonts w:ascii="宋体" w:hAnsi="宋体"/>
          <w:bCs/>
          <w:sz w:val="24"/>
        </w:rPr>
        <w:t>浙江省卫生健康委推行电子政务系统多年，在使用中节约了办公资源，提高了办事效率。现行的电子政务系统除了主要的门户网站、浙江省卫生健康领导决策支持系统、档案管理等功能外，根据卫生健康委办公室相关要求，拟在202</w:t>
      </w:r>
      <w:r>
        <w:rPr>
          <w:rFonts w:hint="eastAsia" w:ascii="宋体" w:hAnsi="宋体"/>
          <w:bCs/>
          <w:sz w:val="24"/>
        </w:rPr>
        <w:t>4</w:t>
      </w:r>
      <w:r>
        <w:rPr>
          <w:rFonts w:ascii="宋体" w:hAnsi="宋体"/>
          <w:bCs/>
          <w:sz w:val="24"/>
        </w:rPr>
        <w:t>年度对电子政务系统进行系统维保，以满足日常管理和办公需要。</w:t>
      </w:r>
    </w:p>
    <w:p w14:paraId="3A871718">
      <w:pPr>
        <w:keepNext/>
        <w:keepLines/>
        <w:autoSpaceDE w:val="0"/>
        <w:autoSpaceDN w:val="0"/>
        <w:snapToGrid w:val="0"/>
        <w:spacing w:line="360" w:lineRule="auto"/>
        <w:outlineLvl w:val="1"/>
        <w:rPr>
          <w:rFonts w:ascii="宋体" w:hAnsi="宋体"/>
          <w:b/>
          <w:bCs/>
          <w:kern w:val="0"/>
          <w:sz w:val="24"/>
        </w:rPr>
      </w:pPr>
      <w:r>
        <w:rPr>
          <w:rFonts w:ascii="宋体" w:hAnsi="宋体"/>
          <w:b/>
          <w:bCs/>
          <w:kern w:val="0"/>
          <w:sz w:val="24"/>
        </w:rPr>
        <w:t>1.2</w:t>
      </w:r>
      <w:r>
        <w:rPr>
          <w:rFonts w:hint="eastAsia" w:ascii="宋体" w:hAnsi="宋体"/>
          <w:b/>
          <w:bCs/>
          <w:kern w:val="0"/>
          <w:sz w:val="24"/>
        </w:rPr>
        <w:t xml:space="preserve"> </w:t>
      </w:r>
      <w:r>
        <w:rPr>
          <w:rFonts w:ascii="宋体" w:hAnsi="宋体"/>
          <w:b/>
          <w:bCs/>
          <w:kern w:val="0"/>
          <w:sz w:val="24"/>
        </w:rPr>
        <w:t>建</w:t>
      </w:r>
      <w:bookmarkEnd w:id="42"/>
      <w:bookmarkEnd w:id="43"/>
      <w:bookmarkEnd w:id="44"/>
      <w:bookmarkEnd w:id="45"/>
      <w:bookmarkEnd w:id="46"/>
      <w:bookmarkEnd w:id="47"/>
      <w:bookmarkEnd w:id="48"/>
      <w:r>
        <w:rPr>
          <w:rFonts w:ascii="宋体" w:hAnsi="宋体"/>
          <w:b/>
          <w:bCs/>
          <w:kern w:val="0"/>
          <w:sz w:val="24"/>
        </w:rPr>
        <w:t>设原则</w:t>
      </w:r>
    </w:p>
    <w:p w14:paraId="0DF517A0">
      <w:pPr>
        <w:snapToGrid w:val="0"/>
        <w:spacing w:line="360" w:lineRule="auto"/>
        <w:ind w:firstLine="470" w:firstLineChars="196"/>
        <w:rPr>
          <w:rFonts w:ascii="宋体" w:hAnsi="宋体"/>
          <w:bCs/>
          <w:sz w:val="24"/>
        </w:rPr>
      </w:pPr>
      <w:r>
        <w:rPr>
          <w:rFonts w:ascii="宋体" w:hAnsi="宋体"/>
          <w:bCs/>
          <w:sz w:val="24"/>
        </w:rPr>
        <w:t>（1）遵守浙江省卫生健康委系统维护的有关规定，特别是保密和安全规定。</w:t>
      </w:r>
    </w:p>
    <w:p w14:paraId="2240D5F6">
      <w:pPr>
        <w:snapToGrid w:val="0"/>
        <w:spacing w:line="360" w:lineRule="auto"/>
        <w:ind w:firstLine="470" w:firstLineChars="196"/>
        <w:rPr>
          <w:rFonts w:ascii="宋体" w:hAnsi="宋体"/>
          <w:bCs/>
          <w:sz w:val="24"/>
        </w:rPr>
      </w:pPr>
      <w:r>
        <w:rPr>
          <w:rFonts w:ascii="宋体" w:hAnsi="宋体"/>
          <w:bCs/>
          <w:sz w:val="24"/>
        </w:rPr>
        <w:t>（2）做到高效、快速、可靠地保障浙江省卫生健康委本次招标所涉及各应用软件正常运转。</w:t>
      </w:r>
    </w:p>
    <w:p w14:paraId="74856233">
      <w:pPr>
        <w:keepNext/>
        <w:keepLines/>
        <w:autoSpaceDE w:val="0"/>
        <w:autoSpaceDN w:val="0"/>
        <w:snapToGrid w:val="0"/>
        <w:spacing w:line="360" w:lineRule="auto"/>
        <w:outlineLvl w:val="1"/>
        <w:rPr>
          <w:rFonts w:ascii="宋体" w:hAnsi="宋体"/>
          <w:b/>
          <w:bCs/>
          <w:kern w:val="0"/>
          <w:sz w:val="24"/>
        </w:rPr>
      </w:pPr>
      <w:r>
        <w:rPr>
          <w:rFonts w:ascii="宋体" w:hAnsi="宋体"/>
          <w:b/>
          <w:bCs/>
          <w:kern w:val="0"/>
          <w:sz w:val="24"/>
        </w:rPr>
        <w:t>1.3</w:t>
      </w:r>
      <w:r>
        <w:rPr>
          <w:rFonts w:hint="eastAsia" w:ascii="宋体" w:hAnsi="宋体"/>
          <w:b/>
          <w:bCs/>
          <w:kern w:val="0"/>
          <w:sz w:val="24"/>
        </w:rPr>
        <w:t xml:space="preserve"> </w:t>
      </w:r>
      <w:r>
        <w:rPr>
          <w:rFonts w:ascii="宋体" w:hAnsi="宋体"/>
          <w:b/>
          <w:bCs/>
          <w:kern w:val="0"/>
          <w:sz w:val="24"/>
        </w:rPr>
        <w:t>建设目标</w:t>
      </w:r>
    </w:p>
    <w:p w14:paraId="09786546">
      <w:pPr>
        <w:snapToGrid w:val="0"/>
        <w:spacing w:line="360" w:lineRule="auto"/>
        <w:ind w:firstLine="470" w:firstLineChars="196"/>
        <w:rPr>
          <w:rFonts w:ascii="宋体" w:hAnsi="宋体"/>
          <w:bCs/>
          <w:sz w:val="24"/>
        </w:rPr>
      </w:pPr>
      <w:r>
        <w:rPr>
          <w:rFonts w:ascii="宋体" w:hAnsi="宋体"/>
          <w:bCs/>
          <w:sz w:val="24"/>
        </w:rPr>
        <w:t>通过日常及时维护和技术支持，保证系统的稳定运行，保障委机关日常办公的正常,根据委办202</w:t>
      </w:r>
      <w:r>
        <w:rPr>
          <w:rFonts w:hint="eastAsia" w:ascii="宋体" w:hAnsi="宋体"/>
          <w:bCs/>
          <w:sz w:val="24"/>
        </w:rPr>
        <w:t>4</w:t>
      </w:r>
      <w:r>
        <w:rPr>
          <w:rFonts w:ascii="宋体" w:hAnsi="宋体"/>
          <w:bCs/>
          <w:sz w:val="24"/>
        </w:rPr>
        <w:t>年的实际工作要求，对行政管理实现信息化功能进行扩充,维护浙江省卫生健康委办公系统和业务接口，配合硬件厂商、数据库维护厂商和安全服务厂商协同工作,达到加强卫生健康委电子政务的功能性、稳定性及实用性的目的。</w:t>
      </w:r>
    </w:p>
    <w:p w14:paraId="1FBDBF7F">
      <w:pPr>
        <w:keepNext/>
        <w:keepLines/>
        <w:autoSpaceDE w:val="0"/>
        <w:autoSpaceDN w:val="0"/>
        <w:snapToGrid w:val="0"/>
        <w:spacing w:line="360" w:lineRule="auto"/>
        <w:outlineLvl w:val="1"/>
        <w:rPr>
          <w:rFonts w:ascii="宋体" w:hAnsi="宋体"/>
          <w:b/>
          <w:bCs/>
          <w:kern w:val="0"/>
          <w:sz w:val="24"/>
        </w:rPr>
      </w:pPr>
      <w:r>
        <w:rPr>
          <w:rFonts w:ascii="宋体" w:hAnsi="宋体"/>
          <w:b/>
          <w:bCs/>
          <w:kern w:val="0"/>
          <w:sz w:val="24"/>
        </w:rPr>
        <w:t>1.4</w:t>
      </w:r>
      <w:r>
        <w:rPr>
          <w:rFonts w:hint="eastAsia" w:ascii="宋体" w:hAnsi="宋体"/>
          <w:b/>
          <w:bCs/>
          <w:kern w:val="0"/>
          <w:sz w:val="24"/>
        </w:rPr>
        <w:t xml:space="preserve"> </w:t>
      </w:r>
      <w:r>
        <w:rPr>
          <w:rFonts w:ascii="宋体" w:hAnsi="宋体"/>
          <w:b/>
          <w:bCs/>
          <w:kern w:val="0"/>
          <w:sz w:val="24"/>
        </w:rPr>
        <w:t>服务内容</w:t>
      </w:r>
    </w:p>
    <w:p w14:paraId="151F5C25">
      <w:pPr>
        <w:snapToGrid w:val="0"/>
        <w:spacing w:line="360" w:lineRule="auto"/>
        <w:ind w:firstLine="470" w:firstLineChars="196"/>
        <w:rPr>
          <w:rFonts w:ascii="宋体" w:hAnsi="宋体"/>
          <w:bCs/>
          <w:sz w:val="24"/>
        </w:rPr>
      </w:pPr>
      <w:r>
        <w:rPr>
          <w:rFonts w:ascii="宋体" w:hAnsi="宋体"/>
          <w:bCs/>
          <w:sz w:val="24"/>
        </w:rPr>
        <w:t>维护服务：</w:t>
      </w:r>
    </w:p>
    <w:p w14:paraId="5206369B">
      <w:pPr>
        <w:snapToGrid w:val="0"/>
        <w:spacing w:line="360" w:lineRule="auto"/>
        <w:ind w:firstLine="470" w:firstLineChars="196"/>
        <w:rPr>
          <w:rFonts w:ascii="宋体" w:hAnsi="宋体"/>
          <w:bCs/>
          <w:sz w:val="24"/>
        </w:rPr>
      </w:pPr>
      <w:r>
        <w:rPr>
          <w:rFonts w:ascii="宋体" w:hAnsi="宋体"/>
          <w:bCs/>
          <w:sz w:val="24"/>
        </w:rPr>
        <w:t>（1）公款竞争性存款维护；</w:t>
      </w:r>
    </w:p>
    <w:p w14:paraId="3BA178DA">
      <w:pPr>
        <w:snapToGrid w:val="0"/>
        <w:spacing w:line="360" w:lineRule="auto"/>
        <w:ind w:firstLine="480" w:firstLineChars="200"/>
        <w:rPr>
          <w:rFonts w:ascii="宋体" w:hAnsi="宋体"/>
          <w:bCs/>
          <w:sz w:val="24"/>
        </w:rPr>
      </w:pPr>
      <w:r>
        <w:rPr>
          <w:rFonts w:ascii="宋体" w:hAnsi="宋体"/>
          <w:bCs/>
          <w:sz w:val="24"/>
        </w:rPr>
        <w:t>（2）省卫生健康委202</w:t>
      </w:r>
      <w:r>
        <w:rPr>
          <w:rFonts w:hint="eastAsia" w:ascii="宋体" w:hAnsi="宋体"/>
          <w:bCs/>
          <w:sz w:val="24"/>
        </w:rPr>
        <w:t>3</w:t>
      </w:r>
      <w:r>
        <w:rPr>
          <w:rFonts w:ascii="宋体" w:hAnsi="宋体"/>
          <w:bCs/>
          <w:sz w:val="24"/>
        </w:rPr>
        <w:t>年度档案扫描服务；</w:t>
      </w:r>
    </w:p>
    <w:p w14:paraId="1FDEFA57">
      <w:pPr>
        <w:snapToGrid w:val="0"/>
        <w:spacing w:line="360" w:lineRule="auto"/>
        <w:ind w:firstLine="480" w:firstLineChars="200"/>
        <w:rPr>
          <w:rFonts w:ascii="宋体" w:hAnsi="宋体"/>
          <w:bCs/>
          <w:sz w:val="24"/>
        </w:rPr>
      </w:pPr>
      <w:r>
        <w:rPr>
          <w:rFonts w:ascii="宋体" w:hAnsi="宋体"/>
          <w:bCs/>
          <w:sz w:val="24"/>
        </w:rPr>
        <w:t>（3）机关处长和事业单位领导述职报告；</w:t>
      </w:r>
    </w:p>
    <w:p w14:paraId="4546B609">
      <w:pPr>
        <w:snapToGrid w:val="0"/>
        <w:spacing w:line="360" w:lineRule="auto"/>
        <w:ind w:firstLine="470" w:firstLineChars="196"/>
        <w:rPr>
          <w:rFonts w:ascii="宋体" w:hAnsi="宋体"/>
          <w:bCs/>
          <w:sz w:val="24"/>
        </w:rPr>
      </w:pPr>
      <w:r>
        <w:rPr>
          <w:rFonts w:ascii="宋体" w:hAnsi="宋体"/>
          <w:bCs/>
          <w:sz w:val="24"/>
        </w:rPr>
        <w:t>（4）省卫生健康委网站群运维监测平台服务；</w:t>
      </w:r>
    </w:p>
    <w:p w14:paraId="6612842A">
      <w:pPr>
        <w:snapToGrid w:val="0"/>
        <w:spacing w:line="360" w:lineRule="auto"/>
        <w:ind w:firstLine="470" w:firstLineChars="196"/>
        <w:rPr>
          <w:rFonts w:ascii="宋体" w:hAnsi="宋体"/>
          <w:bCs/>
          <w:sz w:val="24"/>
        </w:rPr>
      </w:pPr>
      <w:r>
        <w:rPr>
          <w:rFonts w:ascii="宋体" w:hAnsi="宋体"/>
          <w:bCs/>
          <w:sz w:val="24"/>
        </w:rPr>
        <w:t>（5）机关和退休干部考试学习维护；</w:t>
      </w:r>
    </w:p>
    <w:p w14:paraId="1AF115B2">
      <w:pPr>
        <w:pStyle w:val="23"/>
        <w:snapToGrid w:val="0"/>
        <w:ind w:firstLine="470" w:firstLineChars="196"/>
        <w:rPr>
          <w:rFonts w:cs="宋体" w:asciiTheme="majorEastAsia" w:hAnsiTheme="majorEastAsia" w:eastAsiaTheme="majorEastAsia"/>
          <w:lang w:val="zh-TW"/>
        </w:rPr>
      </w:pPr>
      <w:r>
        <w:rPr>
          <w:rFonts w:hAnsi="宋体"/>
          <w:bCs/>
          <w:szCs w:val="24"/>
        </w:rPr>
        <w:t>（6）</w:t>
      </w:r>
      <w:r>
        <w:rPr>
          <w:rFonts w:hint="eastAsia" w:hAnsi="宋体"/>
          <w:bCs/>
          <w:szCs w:val="24"/>
        </w:rPr>
        <w:t>行政办公一体化平台</w:t>
      </w:r>
      <w:r>
        <w:rPr>
          <w:rFonts w:hAnsi="宋体"/>
          <w:bCs/>
          <w:szCs w:val="24"/>
        </w:rPr>
        <w:t>系统运维；</w:t>
      </w:r>
    </w:p>
    <w:p w14:paraId="29CB77C8">
      <w:pPr>
        <w:pStyle w:val="23"/>
        <w:snapToGrid w:val="0"/>
        <w:rPr>
          <w:rFonts w:cs="宋体" w:asciiTheme="majorEastAsia" w:hAnsiTheme="majorEastAsia" w:eastAsiaTheme="majorEastAsia"/>
          <w:b/>
          <w:bCs/>
          <w:szCs w:val="24"/>
        </w:rPr>
      </w:pPr>
      <w:r>
        <w:rPr>
          <w:rFonts w:hint="eastAsia" w:cs="宋体" w:asciiTheme="majorEastAsia" w:hAnsiTheme="majorEastAsia" w:eastAsiaTheme="majorEastAsia"/>
          <w:b/>
          <w:bCs/>
          <w:szCs w:val="24"/>
        </w:rPr>
        <w:t>二、服务内容</w:t>
      </w:r>
    </w:p>
    <w:p w14:paraId="6BF29EE4">
      <w:pPr>
        <w:pStyle w:val="5"/>
        <w:snapToGrid w:val="0"/>
        <w:spacing w:before="0" w:after="0" w:line="360" w:lineRule="auto"/>
        <w:rPr>
          <w:rFonts w:ascii="宋体" w:hAnsi="宋体"/>
          <w:sz w:val="24"/>
          <w:szCs w:val="24"/>
        </w:rPr>
      </w:pPr>
      <w:r>
        <w:rPr>
          <w:rFonts w:ascii="宋体" w:hAnsi="宋体"/>
          <w:sz w:val="24"/>
          <w:szCs w:val="24"/>
        </w:rPr>
        <w:t>2.1.1公款竞争性存款运维</w:t>
      </w:r>
    </w:p>
    <w:p w14:paraId="08FDC4FB">
      <w:pPr>
        <w:pStyle w:val="600"/>
        <w:snapToGrid w:val="0"/>
        <w:spacing w:line="360" w:lineRule="auto"/>
        <w:ind w:firstLine="480" w:firstLineChars="200"/>
        <w:rPr>
          <w:rFonts w:ascii="宋体" w:hAnsi="宋体"/>
          <w:szCs w:val="24"/>
        </w:rPr>
      </w:pPr>
      <w:r>
        <w:rPr>
          <w:rFonts w:ascii="宋体" w:hAnsi="宋体"/>
          <w:szCs w:val="24"/>
        </w:rPr>
        <w:t>公款竞争性存款主要面向各个省直医院的财务工作人员，系统主要包括公款竞争性存款的登记、审核、统计分析、系统组织人员管理维护、权限菜单管理维护等功能</w:t>
      </w:r>
    </w:p>
    <w:p w14:paraId="1F3D0771">
      <w:pPr>
        <w:pStyle w:val="600"/>
        <w:snapToGrid w:val="0"/>
        <w:spacing w:line="360" w:lineRule="auto"/>
        <w:ind w:firstLine="480" w:firstLineChars="200"/>
        <w:rPr>
          <w:rFonts w:ascii="宋体" w:hAnsi="宋体"/>
          <w:szCs w:val="24"/>
        </w:rPr>
      </w:pPr>
      <w:r>
        <w:rPr>
          <w:rFonts w:ascii="宋体" w:hAnsi="宋体"/>
          <w:szCs w:val="24"/>
        </w:rPr>
        <w:t>此项内容主要是为保障公款竞争性存款的正常运行为宗旨，开展系统运维服务。</w:t>
      </w:r>
    </w:p>
    <w:p w14:paraId="4A905F13">
      <w:pPr>
        <w:snapToGrid w:val="0"/>
        <w:spacing w:line="360" w:lineRule="auto"/>
        <w:ind w:firstLine="480" w:firstLineChars="200"/>
        <w:rPr>
          <w:rFonts w:ascii="宋体" w:hAnsi="宋体"/>
          <w:kern w:val="0"/>
          <w:sz w:val="24"/>
        </w:rPr>
      </w:pPr>
      <w:r>
        <w:rPr>
          <w:rFonts w:ascii="宋体" w:hAnsi="宋体"/>
          <w:kern w:val="0"/>
          <w:sz w:val="24"/>
        </w:rPr>
        <w:t>维护内容主要包括：</w:t>
      </w:r>
    </w:p>
    <w:p w14:paraId="053C9F15">
      <w:pPr>
        <w:numPr>
          <w:ilvl w:val="0"/>
          <w:numId w:val="1"/>
        </w:numPr>
        <w:snapToGrid w:val="0"/>
        <w:spacing w:line="360" w:lineRule="auto"/>
        <w:ind w:firstLine="480" w:firstLineChars="200"/>
        <w:rPr>
          <w:rFonts w:ascii="宋体" w:hAnsi="宋体"/>
          <w:sz w:val="24"/>
        </w:rPr>
      </w:pPr>
      <w:r>
        <w:rPr>
          <w:rFonts w:ascii="宋体" w:hAnsi="宋体"/>
          <w:sz w:val="24"/>
        </w:rPr>
        <w:t>提供7*24的“公款竞争性存款”日常维护（含组织机构、人员管理、人员权限、字典表等的管理维护），针对采购单位系统使用人员提出的有关系统操作、审批流程等问题进行答疑，修复系统bug，保障系统的正常运行。</w:t>
      </w:r>
    </w:p>
    <w:p w14:paraId="7A5D6235">
      <w:pPr>
        <w:numPr>
          <w:ilvl w:val="0"/>
          <w:numId w:val="1"/>
        </w:numPr>
        <w:snapToGrid w:val="0"/>
        <w:spacing w:line="360" w:lineRule="auto"/>
        <w:ind w:firstLine="480" w:firstLineChars="200"/>
        <w:rPr>
          <w:rFonts w:ascii="宋体" w:hAnsi="宋体"/>
          <w:sz w:val="24"/>
        </w:rPr>
      </w:pPr>
      <w:r>
        <w:rPr>
          <w:rFonts w:ascii="宋体" w:hAnsi="宋体"/>
          <w:sz w:val="24"/>
        </w:rPr>
        <w:t>根据采购单位管理需要，提供功能微调和优化升级开发等服务。</w:t>
      </w:r>
    </w:p>
    <w:p w14:paraId="2055A0D9">
      <w:pPr>
        <w:snapToGrid w:val="0"/>
        <w:spacing w:line="360" w:lineRule="auto"/>
        <w:ind w:firstLine="480" w:firstLineChars="200"/>
        <w:rPr>
          <w:rFonts w:ascii="宋体" w:hAnsi="宋体"/>
          <w:sz w:val="24"/>
        </w:rPr>
      </w:pPr>
      <w:r>
        <w:rPr>
          <w:rFonts w:ascii="宋体" w:hAnsi="宋体"/>
          <w:sz w:val="24"/>
        </w:rPr>
        <w:t>3) 协助采购单位相关系统管理人员做好数据备份等安全保障工作（系统安全扫描及相关问题的整改）。</w:t>
      </w:r>
    </w:p>
    <w:p w14:paraId="68D804EF">
      <w:pPr>
        <w:snapToGrid w:val="0"/>
        <w:spacing w:line="360" w:lineRule="auto"/>
        <w:ind w:firstLine="480" w:firstLineChars="200"/>
        <w:rPr>
          <w:rFonts w:ascii="宋体" w:hAnsi="宋体"/>
          <w:sz w:val="24"/>
        </w:rPr>
      </w:pPr>
      <w:r>
        <w:rPr>
          <w:rFonts w:ascii="宋体" w:hAnsi="宋体"/>
          <w:sz w:val="24"/>
        </w:rPr>
        <w:t>4) 对维护工作记录留存，并提供年度维护报告。</w:t>
      </w:r>
    </w:p>
    <w:p w14:paraId="270180EB">
      <w:pPr>
        <w:snapToGrid w:val="0"/>
        <w:spacing w:line="360" w:lineRule="auto"/>
        <w:ind w:firstLine="480" w:firstLineChars="200"/>
        <w:rPr>
          <w:rFonts w:ascii="宋体" w:hAnsi="宋体"/>
          <w:sz w:val="24"/>
        </w:rPr>
      </w:pPr>
      <w:r>
        <w:rPr>
          <w:rFonts w:ascii="宋体" w:hAnsi="宋体"/>
          <w:sz w:val="24"/>
        </w:rPr>
        <w:t>5) 配合采购单位完成相关系统等保复测技术支持工作。</w:t>
      </w:r>
    </w:p>
    <w:p w14:paraId="536E30BA">
      <w:pPr>
        <w:pStyle w:val="5"/>
        <w:snapToGrid w:val="0"/>
        <w:spacing w:before="0" w:after="0" w:line="360" w:lineRule="auto"/>
        <w:rPr>
          <w:rFonts w:ascii="宋体" w:hAnsi="宋体"/>
          <w:sz w:val="24"/>
          <w:szCs w:val="24"/>
        </w:rPr>
      </w:pPr>
      <w:r>
        <w:rPr>
          <w:rFonts w:ascii="宋体" w:hAnsi="宋体"/>
          <w:sz w:val="24"/>
          <w:szCs w:val="24"/>
        </w:rPr>
        <w:t>2.1.2省卫生健康委202</w:t>
      </w:r>
      <w:r>
        <w:rPr>
          <w:rFonts w:hint="eastAsia" w:ascii="宋体" w:hAnsi="宋体"/>
          <w:sz w:val="24"/>
          <w:szCs w:val="24"/>
        </w:rPr>
        <w:t>3</w:t>
      </w:r>
      <w:r>
        <w:rPr>
          <w:rFonts w:ascii="宋体" w:hAnsi="宋体"/>
          <w:sz w:val="24"/>
          <w:szCs w:val="24"/>
        </w:rPr>
        <w:t>年度档案扫描服务</w:t>
      </w:r>
    </w:p>
    <w:p w14:paraId="56E1254D">
      <w:pPr>
        <w:snapToGrid w:val="0"/>
        <w:spacing w:line="360" w:lineRule="auto"/>
        <w:ind w:firstLine="480" w:firstLineChars="200"/>
        <w:rPr>
          <w:rFonts w:ascii="宋体" w:hAnsi="宋体"/>
          <w:sz w:val="24"/>
        </w:rPr>
      </w:pPr>
      <w:r>
        <w:rPr>
          <w:rFonts w:ascii="宋体" w:hAnsi="宋体"/>
          <w:sz w:val="24"/>
        </w:rPr>
        <w:t>扫描服务是指对浙江省卫生健康委202</w:t>
      </w:r>
      <w:r>
        <w:rPr>
          <w:rFonts w:hint="eastAsia" w:ascii="宋体" w:hAnsi="宋体"/>
          <w:sz w:val="24"/>
        </w:rPr>
        <w:t>3</w:t>
      </w:r>
      <w:r>
        <w:rPr>
          <w:rFonts w:ascii="宋体" w:hAnsi="宋体"/>
          <w:sz w:val="24"/>
        </w:rPr>
        <w:t>年1月1日至202</w:t>
      </w:r>
      <w:r>
        <w:rPr>
          <w:rFonts w:hint="eastAsia" w:ascii="宋体" w:hAnsi="宋体"/>
          <w:sz w:val="24"/>
        </w:rPr>
        <w:t>3</w:t>
      </w:r>
      <w:r>
        <w:rPr>
          <w:rFonts w:ascii="宋体" w:hAnsi="宋体"/>
          <w:sz w:val="24"/>
        </w:rPr>
        <w:t>年12月31日产生的具有10年以上保管期限的文书档案进行全文彩色扫描、数字化处理、建立全文数据库，每一页电子影像文件要与纸质档案实体一一对应。</w:t>
      </w:r>
    </w:p>
    <w:p w14:paraId="191D2AA1">
      <w:pPr>
        <w:snapToGrid w:val="0"/>
        <w:spacing w:line="360" w:lineRule="auto"/>
        <w:ind w:firstLine="480" w:firstLineChars="200"/>
        <w:rPr>
          <w:rFonts w:ascii="宋体" w:hAnsi="宋体"/>
          <w:sz w:val="24"/>
        </w:rPr>
      </w:pPr>
      <w:r>
        <w:rPr>
          <w:rFonts w:ascii="宋体" w:hAnsi="宋体"/>
          <w:sz w:val="24"/>
        </w:rPr>
        <w:t>档案扫描服务内容如下：</w:t>
      </w:r>
    </w:p>
    <w:p w14:paraId="484C5478">
      <w:pPr>
        <w:numPr>
          <w:ilvl w:val="0"/>
          <w:numId w:val="2"/>
        </w:numPr>
        <w:snapToGrid w:val="0"/>
        <w:spacing w:line="360" w:lineRule="auto"/>
        <w:ind w:firstLine="482" w:firstLineChars="200"/>
        <w:rPr>
          <w:rFonts w:ascii="宋体" w:hAnsi="宋体"/>
          <w:b/>
          <w:bCs/>
          <w:sz w:val="24"/>
        </w:rPr>
      </w:pPr>
      <w:r>
        <w:rPr>
          <w:rFonts w:ascii="宋体" w:hAnsi="宋体"/>
          <w:b/>
          <w:bCs/>
          <w:sz w:val="24"/>
        </w:rPr>
        <w:t>协助浙江省卫生健康委制定加工标准，核实加工标准可行性，提出建议。</w:t>
      </w:r>
    </w:p>
    <w:p w14:paraId="45912A2B">
      <w:pPr>
        <w:numPr>
          <w:ilvl w:val="0"/>
          <w:numId w:val="2"/>
        </w:numPr>
        <w:snapToGrid w:val="0"/>
        <w:spacing w:line="360" w:lineRule="auto"/>
        <w:ind w:firstLine="482" w:firstLineChars="200"/>
        <w:rPr>
          <w:rFonts w:ascii="宋体" w:hAnsi="宋体"/>
          <w:b/>
          <w:bCs/>
          <w:sz w:val="24"/>
        </w:rPr>
      </w:pPr>
      <w:r>
        <w:rPr>
          <w:rFonts w:ascii="宋体" w:hAnsi="宋体"/>
          <w:b/>
          <w:bCs/>
          <w:sz w:val="24"/>
        </w:rPr>
        <w:t>对浙江省卫生健康委实体档案进行调研。</w:t>
      </w:r>
      <w:r>
        <w:rPr>
          <w:rFonts w:ascii="宋体" w:hAnsi="宋体"/>
          <w:sz w:val="24"/>
        </w:rPr>
        <w:t>工作人员应明确全宗名、档案的类型、纸张质量等信息，清点案卷数量，进行整理、分件、贴标签等，清点每册案卷的页数，检查档案目录是否准确。重新编写未编写页码档案的页码，详细记录存在缺卷/件的档案，发现的问题要分类整理成情况说明表，提交给采购单位。</w:t>
      </w:r>
    </w:p>
    <w:p w14:paraId="246F91E5">
      <w:pPr>
        <w:numPr>
          <w:ilvl w:val="0"/>
          <w:numId w:val="2"/>
        </w:numPr>
        <w:snapToGrid w:val="0"/>
        <w:spacing w:line="360" w:lineRule="auto"/>
        <w:ind w:firstLine="482" w:firstLineChars="200"/>
        <w:rPr>
          <w:rFonts w:ascii="宋体" w:hAnsi="宋体"/>
          <w:b/>
          <w:bCs/>
          <w:sz w:val="24"/>
        </w:rPr>
      </w:pPr>
      <w:r>
        <w:rPr>
          <w:rFonts w:ascii="宋体" w:hAnsi="宋体"/>
          <w:b/>
          <w:bCs/>
          <w:sz w:val="24"/>
        </w:rPr>
        <w:t>对实体案卷进行条目录入。</w:t>
      </w:r>
      <w:r>
        <w:rPr>
          <w:rFonts w:ascii="宋体" w:hAnsi="宋体"/>
          <w:sz w:val="24"/>
        </w:rPr>
        <w:t>工作人员应认真阅读《浙江省省直单位档案室电子目录数据库结构与交换格式》，到采购单位档案室领取案卷，核实档案数量。录入人员首先依据情况说明表上的错误记录，修改、补录由采购单位提前提供的电子条目。档案条目录入完成后，按照领取档案时的每捆或每箱归还档案室。</w:t>
      </w:r>
    </w:p>
    <w:p w14:paraId="0645F000">
      <w:pPr>
        <w:numPr>
          <w:ilvl w:val="0"/>
          <w:numId w:val="2"/>
        </w:numPr>
        <w:snapToGrid w:val="0"/>
        <w:spacing w:line="360" w:lineRule="auto"/>
        <w:ind w:firstLine="482" w:firstLineChars="200"/>
        <w:rPr>
          <w:rFonts w:ascii="宋体" w:hAnsi="宋体"/>
          <w:b/>
          <w:bCs/>
          <w:sz w:val="24"/>
        </w:rPr>
      </w:pPr>
      <w:r>
        <w:rPr>
          <w:rFonts w:ascii="宋体" w:hAnsi="宋体"/>
          <w:b/>
          <w:bCs/>
          <w:sz w:val="24"/>
        </w:rPr>
        <w:t>对纸质档案进行影像扫描。</w:t>
      </w:r>
      <w:r>
        <w:rPr>
          <w:rFonts w:ascii="宋体" w:hAnsi="宋体"/>
          <w:sz w:val="24"/>
        </w:rPr>
        <w:t>工作人员到档案室领取案卷，核实档案数量。依据条目录入的信息对允许拆卷的实体档案进行分件扫描，过程须符合《影像扫描加工要求》，条目与影像要做到一一对应。影像扫描完成后，按照领取档案时的每捆或每箱归还档案室。</w:t>
      </w:r>
    </w:p>
    <w:p w14:paraId="4790AE58">
      <w:pPr>
        <w:numPr>
          <w:ilvl w:val="0"/>
          <w:numId w:val="2"/>
        </w:numPr>
        <w:snapToGrid w:val="0"/>
        <w:spacing w:line="360" w:lineRule="auto"/>
        <w:ind w:firstLine="482" w:firstLineChars="200"/>
        <w:rPr>
          <w:rFonts w:ascii="宋体" w:hAnsi="宋体"/>
          <w:b/>
          <w:bCs/>
          <w:sz w:val="24"/>
        </w:rPr>
      </w:pPr>
      <w:r>
        <w:rPr>
          <w:rFonts w:ascii="宋体" w:hAnsi="宋体"/>
          <w:b/>
          <w:bCs/>
          <w:sz w:val="24"/>
        </w:rPr>
        <w:t>对影像和件数进行核对和处理。</w:t>
      </w:r>
      <w:r>
        <w:rPr>
          <w:rFonts w:ascii="宋体" w:hAnsi="宋体"/>
          <w:sz w:val="24"/>
        </w:rPr>
        <w:t>工作人员到档案室领取案卷，核实档案数量，依据《影像处理和校对工作要求》对档案的扫描影像进行处理和校对。影像处理和校对完成后，按照领取档案时的每捆或每箱归还档案室。</w:t>
      </w:r>
    </w:p>
    <w:p w14:paraId="103E06FD">
      <w:pPr>
        <w:numPr>
          <w:ilvl w:val="0"/>
          <w:numId w:val="2"/>
        </w:numPr>
        <w:snapToGrid w:val="0"/>
        <w:spacing w:line="360" w:lineRule="auto"/>
        <w:ind w:firstLine="482" w:firstLineChars="200"/>
        <w:rPr>
          <w:rFonts w:ascii="宋体" w:hAnsi="宋体"/>
          <w:b/>
          <w:bCs/>
          <w:sz w:val="24"/>
        </w:rPr>
      </w:pPr>
      <w:r>
        <w:rPr>
          <w:rFonts w:ascii="宋体" w:hAnsi="宋体"/>
          <w:b/>
          <w:bCs/>
          <w:sz w:val="24"/>
        </w:rPr>
        <w:t>对录入的条目、扫描的影像的质量进行检查。</w:t>
      </w:r>
      <w:r>
        <w:rPr>
          <w:rFonts w:ascii="宋体" w:hAnsi="宋体"/>
          <w:sz w:val="24"/>
        </w:rPr>
        <w:t>工作人员到档案室领取案卷，核实档案数量，依据实体档案，检查电子条目是否严格按照《浙江省省直单位档案室电子目录数据库结构与交换格式》进行录入，检查扫描影像是否严格按照《影像扫描加工要求》进行扫描加工，检查电子目录与影像逻辑数量和对应关系，数据质检完成后，按照领取档案时的每捆或每箱归还档案室。</w:t>
      </w:r>
    </w:p>
    <w:p w14:paraId="7EE7C67F">
      <w:pPr>
        <w:numPr>
          <w:ilvl w:val="0"/>
          <w:numId w:val="2"/>
        </w:numPr>
        <w:snapToGrid w:val="0"/>
        <w:spacing w:line="360" w:lineRule="auto"/>
        <w:ind w:firstLine="482" w:firstLineChars="200"/>
        <w:rPr>
          <w:rFonts w:ascii="宋体" w:hAnsi="宋体"/>
          <w:b/>
          <w:bCs/>
          <w:sz w:val="24"/>
        </w:rPr>
      </w:pPr>
      <w:r>
        <w:rPr>
          <w:rFonts w:ascii="宋体" w:hAnsi="宋体"/>
          <w:b/>
          <w:bCs/>
          <w:sz w:val="24"/>
        </w:rPr>
        <w:t>检查最终数据质量。</w:t>
      </w:r>
      <w:r>
        <w:rPr>
          <w:rFonts w:ascii="宋体" w:hAnsi="宋体"/>
          <w:sz w:val="24"/>
        </w:rPr>
        <w:t>每天轮循检查并记录各个环节的加工标准落实情况。对提交验收的数据进行抽检，抽检率不小于10%。</w:t>
      </w:r>
    </w:p>
    <w:p w14:paraId="7A5191DA">
      <w:pPr>
        <w:numPr>
          <w:ilvl w:val="0"/>
          <w:numId w:val="2"/>
        </w:numPr>
        <w:snapToGrid w:val="0"/>
        <w:spacing w:line="360" w:lineRule="auto"/>
        <w:ind w:firstLine="482" w:firstLineChars="200"/>
        <w:rPr>
          <w:rFonts w:ascii="宋体" w:hAnsi="宋体"/>
          <w:b/>
          <w:bCs/>
          <w:sz w:val="24"/>
        </w:rPr>
      </w:pPr>
      <w:r>
        <w:rPr>
          <w:rFonts w:ascii="宋体" w:hAnsi="宋体"/>
          <w:b/>
          <w:bCs/>
          <w:sz w:val="24"/>
        </w:rPr>
        <w:t>将全部成品数据进行OCR识别，并生成PDF文件。</w:t>
      </w:r>
      <w:r>
        <w:rPr>
          <w:rFonts w:ascii="宋体" w:hAnsi="宋体"/>
          <w:sz w:val="24"/>
        </w:rPr>
        <w:t>解决识别率低、祛除乱码、公章补录、图像不能识别、无法生成PDF文件、压缩文件过大现象。如果发现识别率低、图像不能识别、无法生成PDF文件，应找到对应文件，重新处理并重新进行OCR识别，生成PDF文件。如果发现识别率仍旧不足，应直接采用人工补录方式，保障识别率高、无乱码、公章、成文日期等信息正确，直至无误。</w:t>
      </w:r>
    </w:p>
    <w:p w14:paraId="54441E8C">
      <w:pPr>
        <w:numPr>
          <w:ilvl w:val="0"/>
          <w:numId w:val="2"/>
        </w:numPr>
        <w:snapToGrid w:val="0"/>
        <w:spacing w:line="360" w:lineRule="auto"/>
        <w:ind w:firstLine="482" w:firstLineChars="200"/>
        <w:rPr>
          <w:rFonts w:ascii="宋体" w:hAnsi="宋体"/>
          <w:b/>
          <w:bCs/>
          <w:sz w:val="24"/>
        </w:rPr>
      </w:pPr>
      <w:r>
        <w:rPr>
          <w:rFonts w:ascii="宋体" w:hAnsi="宋体"/>
          <w:b/>
          <w:bCs/>
          <w:sz w:val="24"/>
        </w:rPr>
        <w:t>对成品条目和原文及OCR识别及PDF压缩数据抽查、并指导和监督各质检岗位。</w:t>
      </w:r>
      <w:r>
        <w:rPr>
          <w:rFonts w:ascii="宋体" w:hAnsi="宋体"/>
          <w:sz w:val="24"/>
        </w:rPr>
        <w:t>抽查的成品数据OCR识别情况，识别准确率要达到99%，将抽查通过的最终数据移交采购单位人员验收。</w:t>
      </w:r>
    </w:p>
    <w:p w14:paraId="07DB235F">
      <w:pPr>
        <w:snapToGrid w:val="0"/>
        <w:spacing w:line="360" w:lineRule="auto"/>
        <w:ind w:firstLine="560"/>
        <w:rPr>
          <w:rFonts w:ascii="宋体" w:hAnsi="宋体"/>
          <w:b/>
          <w:sz w:val="24"/>
        </w:rPr>
      </w:pPr>
      <w:r>
        <w:rPr>
          <w:rFonts w:ascii="宋体" w:hAnsi="宋体"/>
          <w:b/>
          <w:sz w:val="24"/>
        </w:rPr>
        <w:t>其他服务要求：</w:t>
      </w:r>
    </w:p>
    <w:p w14:paraId="09E7CF31">
      <w:pPr>
        <w:snapToGrid w:val="0"/>
        <w:spacing w:line="360" w:lineRule="auto"/>
        <w:ind w:firstLine="480" w:firstLineChars="200"/>
        <w:rPr>
          <w:rFonts w:ascii="宋体" w:hAnsi="宋体"/>
          <w:sz w:val="24"/>
        </w:rPr>
      </w:pPr>
      <w:r>
        <w:rPr>
          <w:rFonts w:ascii="宋体" w:hAnsi="宋体"/>
          <w:bCs/>
          <w:sz w:val="24"/>
        </w:rPr>
        <w:t>（1）使用流程表单，记录在各个环节中发现的情况和问题；（2）录入过程中遇到的问题应与采购单位确认，采购单位同意后方可继续执行；（3）做好数据备份工作和项目安全保密管理工作；（4）检查录入数据时，除每次完整的数据单独备份外，还需将每天录入数据单独备份；（5）</w:t>
      </w:r>
      <w:r>
        <w:rPr>
          <w:rFonts w:ascii="宋体" w:hAnsi="宋体"/>
          <w:sz w:val="24"/>
        </w:rPr>
        <w:t>投标人应提供项目安全保密管理方案，方案应包含保证纸质文件安全、数据安全、备份安全、电子文件安全等内容。</w:t>
      </w:r>
    </w:p>
    <w:p w14:paraId="68DA5226">
      <w:pPr>
        <w:snapToGrid w:val="0"/>
        <w:spacing w:line="360" w:lineRule="auto"/>
        <w:ind w:firstLine="560"/>
        <w:rPr>
          <w:rFonts w:ascii="宋体" w:hAnsi="宋体"/>
          <w:bCs/>
          <w:sz w:val="24"/>
        </w:rPr>
      </w:pPr>
      <w:r>
        <w:rPr>
          <w:rFonts w:ascii="宋体" w:hAnsi="宋体"/>
          <w:bCs/>
          <w:sz w:val="24"/>
        </w:rPr>
        <w:t>影像扫描加工要求：</w:t>
      </w:r>
    </w:p>
    <w:p w14:paraId="1C9EA802">
      <w:pPr>
        <w:numPr>
          <w:ilvl w:val="0"/>
          <w:numId w:val="3"/>
        </w:numPr>
        <w:snapToGrid w:val="0"/>
        <w:spacing w:line="360" w:lineRule="auto"/>
        <w:ind w:left="0" w:firstLine="560"/>
        <w:rPr>
          <w:rFonts w:ascii="宋体" w:hAnsi="宋体"/>
          <w:bCs/>
          <w:sz w:val="24"/>
        </w:rPr>
      </w:pPr>
      <w:r>
        <w:rPr>
          <w:rFonts w:ascii="宋体" w:hAnsi="宋体"/>
          <w:bCs/>
          <w:sz w:val="24"/>
        </w:rPr>
        <w:t>加工扫描档案文件的正稿、附件、轮阅单及草稿上领导签字的那一页、文件草稿、修改稿等。</w:t>
      </w:r>
    </w:p>
    <w:p w14:paraId="43B601E5">
      <w:pPr>
        <w:numPr>
          <w:ilvl w:val="0"/>
          <w:numId w:val="3"/>
        </w:numPr>
        <w:snapToGrid w:val="0"/>
        <w:spacing w:line="360" w:lineRule="auto"/>
        <w:ind w:left="0" w:firstLine="560"/>
        <w:rPr>
          <w:rFonts w:ascii="宋体" w:hAnsi="宋体"/>
          <w:bCs/>
          <w:sz w:val="24"/>
        </w:rPr>
      </w:pPr>
      <w:r>
        <w:rPr>
          <w:rFonts w:ascii="宋体" w:hAnsi="宋体"/>
          <w:bCs/>
          <w:sz w:val="24"/>
        </w:rPr>
        <w:t>扫描分辨率：按照浙江省档案局相关规定。</w:t>
      </w:r>
    </w:p>
    <w:p w14:paraId="2E4719E1">
      <w:pPr>
        <w:numPr>
          <w:ilvl w:val="0"/>
          <w:numId w:val="3"/>
        </w:numPr>
        <w:snapToGrid w:val="0"/>
        <w:spacing w:line="360" w:lineRule="auto"/>
        <w:ind w:left="0" w:firstLine="560"/>
        <w:rPr>
          <w:rFonts w:ascii="宋体" w:hAnsi="宋体"/>
          <w:bCs/>
          <w:sz w:val="24"/>
        </w:rPr>
      </w:pPr>
      <w:r>
        <w:rPr>
          <w:rFonts w:ascii="宋体" w:hAnsi="宋体"/>
          <w:bCs/>
          <w:sz w:val="24"/>
        </w:rPr>
        <w:t>扫描时必须按照页码顺序扫描，不能有漏页、少页、重页、次序颠倒、或扫错页等现象。</w:t>
      </w:r>
    </w:p>
    <w:p w14:paraId="7D2A84A9">
      <w:pPr>
        <w:numPr>
          <w:ilvl w:val="0"/>
          <w:numId w:val="3"/>
        </w:numPr>
        <w:snapToGrid w:val="0"/>
        <w:spacing w:line="360" w:lineRule="auto"/>
        <w:ind w:left="0" w:firstLine="426"/>
        <w:rPr>
          <w:rFonts w:ascii="宋体" w:hAnsi="宋体"/>
          <w:bCs/>
          <w:sz w:val="24"/>
        </w:rPr>
      </w:pPr>
      <w:r>
        <w:rPr>
          <w:rFonts w:ascii="宋体" w:hAnsi="宋体"/>
          <w:bCs/>
          <w:sz w:val="24"/>
        </w:rPr>
        <w:t>扫描内容要完整，包括文件上的文本图片、页码、有关标记等，都必须纳入扫描图像范围内。</w:t>
      </w:r>
    </w:p>
    <w:p w14:paraId="01421D12">
      <w:pPr>
        <w:numPr>
          <w:ilvl w:val="0"/>
          <w:numId w:val="3"/>
        </w:numPr>
        <w:snapToGrid w:val="0"/>
        <w:spacing w:line="360" w:lineRule="auto"/>
        <w:ind w:left="0" w:firstLine="426"/>
        <w:rPr>
          <w:rFonts w:ascii="宋体" w:hAnsi="宋体"/>
          <w:bCs/>
          <w:sz w:val="24"/>
        </w:rPr>
      </w:pPr>
      <w:r>
        <w:rPr>
          <w:rFonts w:ascii="宋体" w:hAnsi="宋体"/>
          <w:bCs/>
          <w:sz w:val="24"/>
        </w:rPr>
        <w:t>在扫描的过程中文件的起止页号一定要分辨清楚，杜绝出现错页现象，或扫描的电子文件份数与实物文件个数不对应现象。</w:t>
      </w:r>
    </w:p>
    <w:p w14:paraId="50CB5EC4">
      <w:pPr>
        <w:numPr>
          <w:ilvl w:val="0"/>
          <w:numId w:val="3"/>
        </w:numPr>
        <w:snapToGrid w:val="0"/>
        <w:spacing w:line="360" w:lineRule="auto"/>
        <w:ind w:left="0" w:firstLine="426"/>
        <w:rPr>
          <w:rFonts w:ascii="宋体" w:hAnsi="宋体"/>
          <w:bCs/>
          <w:sz w:val="24"/>
        </w:rPr>
      </w:pPr>
      <w:r>
        <w:rPr>
          <w:rFonts w:ascii="宋体" w:hAnsi="宋体"/>
          <w:bCs/>
          <w:sz w:val="24"/>
        </w:rPr>
        <w:t>扫描的主要幅面为A4，小于A4幅面的档案将统一为A4版面。</w:t>
      </w:r>
    </w:p>
    <w:p w14:paraId="3D16BC0E">
      <w:pPr>
        <w:snapToGrid w:val="0"/>
        <w:spacing w:line="360" w:lineRule="auto"/>
        <w:ind w:firstLine="426"/>
        <w:rPr>
          <w:rFonts w:ascii="宋体" w:hAnsi="宋体"/>
          <w:bCs/>
          <w:sz w:val="24"/>
        </w:rPr>
      </w:pPr>
      <w:r>
        <w:rPr>
          <w:rFonts w:ascii="宋体" w:hAnsi="宋体"/>
          <w:bCs/>
          <w:sz w:val="24"/>
        </w:rPr>
        <w:t>影像处理和校对的要求：</w:t>
      </w:r>
    </w:p>
    <w:p w14:paraId="292A8417">
      <w:pPr>
        <w:numPr>
          <w:ilvl w:val="0"/>
          <w:numId w:val="4"/>
        </w:numPr>
        <w:snapToGrid w:val="0"/>
        <w:spacing w:line="360" w:lineRule="auto"/>
        <w:ind w:left="0" w:firstLine="426"/>
        <w:rPr>
          <w:rFonts w:ascii="宋体" w:hAnsi="宋体"/>
          <w:bCs/>
          <w:sz w:val="24"/>
        </w:rPr>
      </w:pPr>
      <w:r>
        <w:rPr>
          <w:rFonts w:ascii="宋体" w:hAnsi="宋体"/>
          <w:bCs/>
          <w:sz w:val="24"/>
        </w:rPr>
        <w:t>图像处理时首先要检查电子文件的案卷号、卷内文件顺序号、总页数等信息与实物档案文件是否相对应。若不对应，则应记录在案，并将记录返回扫描环节，再进行修正处理。</w:t>
      </w:r>
    </w:p>
    <w:p w14:paraId="53A6E6F2">
      <w:pPr>
        <w:numPr>
          <w:ilvl w:val="0"/>
          <w:numId w:val="4"/>
        </w:numPr>
        <w:snapToGrid w:val="0"/>
        <w:spacing w:line="360" w:lineRule="auto"/>
        <w:ind w:left="0" w:firstLine="426"/>
        <w:rPr>
          <w:rFonts w:ascii="宋体" w:hAnsi="宋体"/>
          <w:bCs/>
          <w:sz w:val="24"/>
        </w:rPr>
      </w:pPr>
      <w:r>
        <w:rPr>
          <w:rFonts w:ascii="宋体" w:hAnsi="宋体"/>
          <w:bCs/>
          <w:sz w:val="24"/>
        </w:rPr>
        <w:t>图像处理时要仔细检查每页图像的页码是否准确、无漏失、清晰、不错页等现象，可以参考文件目录来判断。</w:t>
      </w:r>
    </w:p>
    <w:p w14:paraId="6C7E937B">
      <w:pPr>
        <w:numPr>
          <w:ilvl w:val="0"/>
          <w:numId w:val="4"/>
        </w:numPr>
        <w:snapToGrid w:val="0"/>
        <w:spacing w:line="360" w:lineRule="auto"/>
        <w:ind w:left="0" w:firstLine="426"/>
        <w:rPr>
          <w:rFonts w:ascii="宋体" w:hAnsi="宋体"/>
          <w:bCs/>
          <w:sz w:val="24"/>
        </w:rPr>
      </w:pPr>
      <w:r>
        <w:rPr>
          <w:rFonts w:ascii="宋体" w:hAnsi="宋体"/>
          <w:bCs/>
          <w:sz w:val="24"/>
        </w:rPr>
        <w:t>去污时杜绝把文字内容与正确的页码或其他有价值的原信息清除掉.确保图像文件的完整性。</w:t>
      </w:r>
    </w:p>
    <w:p w14:paraId="6B8BE6FA">
      <w:pPr>
        <w:numPr>
          <w:ilvl w:val="0"/>
          <w:numId w:val="4"/>
        </w:numPr>
        <w:snapToGrid w:val="0"/>
        <w:spacing w:line="360" w:lineRule="auto"/>
        <w:ind w:left="0" w:firstLine="426"/>
        <w:rPr>
          <w:rFonts w:ascii="宋体" w:hAnsi="宋体"/>
          <w:bCs/>
          <w:sz w:val="24"/>
        </w:rPr>
      </w:pPr>
      <w:r>
        <w:rPr>
          <w:rFonts w:ascii="宋体" w:hAnsi="宋体"/>
          <w:bCs/>
          <w:sz w:val="24"/>
        </w:rPr>
        <w:t>检查图像是否清晰，原件清晰而扫描图像不清晰的要负责重新扫描，确保图像文件清晰。</w:t>
      </w:r>
    </w:p>
    <w:p w14:paraId="3645BE1B">
      <w:pPr>
        <w:numPr>
          <w:ilvl w:val="0"/>
          <w:numId w:val="4"/>
        </w:numPr>
        <w:snapToGrid w:val="0"/>
        <w:spacing w:line="360" w:lineRule="auto"/>
        <w:ind w:left="0" w:firstLine="426"/>
        <w:rPr>
          <w:rFonts w:ascii="宋体" w:hAnsi="宋体"/>
          <w:bCs/>
          <w:sz w:val="24"/>
        </w:rPr>
      </w:pPr>
      <w:r>
        <w:rPr>
          <w:rFonts w:ascii="宋体" w:hAnsi="宋体"/>
          <w:bCs/>
          <w:sz w:val="24"/>
        </w:rPr>
        <w:t>去污要把每页图像周边的黑边，噪点等污点处理干净。确保图像清晰、干净。如原件是复印件或传真件只需去四边的污点或黑边即可。</w:t>
      </w:r>
    </w:p>
    <w:p w14:paraId="53D1B595">
      <w:pPr>
        <w:numPr>
          <w:ilvl w:val="0"/>
          <w:numId w:val="4"/>
        </w:numPr>
        <w:snapToGrid w:val="0"/>
        <w:spacing w:line="360" w:lineRule="auto"/>
        <w:ind w:left="0" w:firstLine="426"/>
        <w:rPr>
          <w:rFonts w:ascii="宋体" w:hAnsi="宋体"/>
          <w:bCs/>
          <w:sz w:val="24"/>
        </w:rPr>
      </w:pPr>
      <w:r>
        <w:rPr>
          <w:rFonts w:ascii="宋体" w:hAnsi="宋体"/>
          <w:bCs/>
          <w:sz w:val="24"/>
        </w:rPr>
        <w:t>在图像处理的过程中对页面歪斜的图像要进行纠偏处理。对于个别歪斜度较大的页面需要采用手动纠偏进行校正。纠偏处理后的图像歪斜度不能超出1°。</w:t>
      </w:r>
    </w:p>
    <w:p w14:paraId="7AC4D242">
      <w:pPr>
        <w:numPr>
          <w:ilvl w:val="0"/>
          <w:numId w:val="4"/>
        </w:numPr>
        <w:snapToGrid w:val="0"/>
        <w:spacing w:line="360" w:lineRule="auto"/>
        <w:ind w:left="0" w:firstLine="426"/>
        <w:rPr>
          <w:rFonts w:ascii="宋体" w:hAnsi="宋体"/>
          <w:sz w:val="24"/>
        </w:rPr>
      </w:pPr>
      <w:r>
        <w:rPr>
          <w:rFonts w:ascii="宋体" w:hAnsi="宋体"/>
          <w:bCs/>
          <w:sz w:val="24"/>
        </w:rPr>
        <w:t>处理图像文件时要严格注意电子文件的案卷号与档案卷皮上的案卷号是否相同；文件夹的命名是否准确（电子命名中不能出现空格等不规则符号）。</w:t>
      </w:r>
    </w:p>
    <w:p w14:paraId="0AB7589B">
      <w:pPr>
        <w:numPr>
          <w:ilvl w:val="0"/>
          <w:numId w:val="4"/>
        </w:numPr>
        <w:snapToGrid w:val="0"/>
        <w:spacing w:line="360" w:lineRule="auto"/>
        <w:ind w:left="0" w:firstLine="426"/>
        <w:rPr>
          <w:rFonts w:ascii="宋体" w:hAnsi="宋体"/>
          <w:sz w:val="24"/>
        </w:rPr>
      </w:pPr>
      <w:r>
        <w:rPr>
          <w:rFonts w:ascii="宋体" w:hAnsi="宋体"/>
          <w:bCs/>
          <w:sz w:val="24"/>
        </w:rPr>
        <w:t>对于扫描图像幅面大于档案实际纸张时，需要更改图像文件的属性，确保图像文件的幅面大小统一。</w:t>
      </w:r>
    </w:p>
    <w:p w14:paraId="759B998A">
      <w:pPr>
        <w:pStyle w:val="5"/>
        <w:snapToGrid w:val="0"/>
        <w:spacing w:before="0" w:after="0" w:line="360" w:lineRule="auto"/>
        <w:rPr>
          <w:rFonts w:ascii="宋体" w:hAnsi="宋体"/>
          <w:sz w:val="24"/>
          <w:szCs w:val="24"/>
        </w:rPr>
      </w:pPr>
      <w:r>
        <w:rPr>
          <w:rFonts w:ascii="宋体" w:hAnsi="宋体"/>
          <w:sz w:val="24"/>
          <w:szCs w:val="24"/>
        </w:rPr>
        <w:t>2.1.3机关处长和事业单位领导述职报告运维</w:t>
      </w:r>
    </w:p>
    <w:p w14:paraId="12A91826">
      <w:pPr>
        <w:pStyle w:val="600"/>
        <w:snapToGrid w:val="0"/>
        <w:spacing w:line="360" w:lineRule="auto"/>
        <w:ind w:firstLine="480" w:firstLineChars="200"/>
        <w:rPr>
          <w:rFonts w:ascii="宋体" w:hAnsi="宋体"/>
          <w:szCs w:val="24"/>
        </w:rPr>
      </w:pPr>
      <w:r>
        <w:rPr>
          <w:rFonts w:ascii="宋体" w:hAnsi="宋体"/>
          <w:szCs w:val="24"/>
        </w:rPr>
        <w:t>机关处长和事业单位领导述职报告主要面向各机关处长、事业单位领导及相关卫健委工作人员，各个机关处长、事业单位领导定期上传处室（单位）工作总结及述职报告，并对卫健委相关工作人员公开展示，并允许进行评论。</w:t>
      </w:r>
    </w:p>
    <w:p w14:paraId="05645694">
      <w:pPr>
        <w:pStyle w:val="600"/>
        <w:snapToGrid w:val="0"/>
        <w:spacing w:line="360" w:lineRule="auto"/>
        <w:ind w:firstLine="480" w:firstLineChars="200"/>
        <w:rPr>
          <w:rFonts w:ascii="宋体" w:hAnsi="宋体"/>
          <w:szCs w:val="24"/>
        </w:rPr>
      </w:pPr>
      <w:r>
        <w:rPr>
          <w:rFonts w:ascii="宋体" w:hAnsi="宋体"/>
          <w:szCs w:val="24"/>
        </w:rPr>
        <w:t>此项运维主要是为保障机关处长和事业单位领导述职报告的正常运行为宗旨，开展系统运维服务。</w:t>
      </w:r>
    </w:p>
    <w:p w14:paraId="6DC77F1F">
      <w:pPr>
        <w:snapToGrid w:val="0"/>
        <w:spacing w:line="360" w:lineRule="auto"/>
        <w:ind w:firstLine="480" w:firstLineChars="200"/>
        <w:rPr>
          <w:rFonts w:ascii="宋体" w:hAnsi="宋体"/>
          <w:sz w:val="24"/>
        </w:rPr>
      </w:pPr>
      <w:r>
        <w:rPr>
          <w:rFonts w:ascii="宋体" w:hAnsi="宋体"/>
          <w:kern w:val="0"/>
          <w:sz w:val="24"/>
        </w:rPr>
        <w:t>维护内容主要包括：</w:t>
      </w:r>
    </w:p>
    <w:p w14:paraId="23FFA849">
      <w:pPr>
        <w:numPr>
          <w:ilvl w:val="0"/>
          <w:numId w:val="5"/>
        </w:numPr>
        <w:snapToGrid w:val="0"/>
        <w:spacing w:line="360" w:lineRule="auto"/>
        <w:ind w:firstLine="480" w:firstLineChars="200"/>
        <w:rPr>
          <w:rFonts w:ascii="宋体" w:hAnsi="宋体"/>
          <w:sz w:val="24"/>
        </w:rPr>
      </w:pPr>
      <w:r>
        <w:rPr>
          <w:rFonts w:ascii="宋体" w:hAnsi="宋体"/>
          <w:sz w:val="24"/>
        </w:rPr>
        <w:t>提供7*24的“机关处长和事业单位领导述职报告”日常维护（含组织机构、人员管理、人员权限、字典表等的管理维护），保障系统的正常运行，并针对系统使用过程中出现的问题进行答疑及BUG问题修复；</w:t>
      </w:r>
    </w:p>
    <w:p w14:paraId="34E628AA">
      <w:pPr>
        <w:numPr>
          <w:ilvl w:val="0"/>
          <w:numId w:val="5"/>
        </w:numPr>
        <w:snapToGrid w:val="0"/>
        <w:spacing w:line="360" w:lineRule="auto"/>
        <w:ind w:firstLine="480" w:firstLineChars="200"/>
        <w:rPr>
          <w:rFonts w:ascii="宋体" w:hAnsi="宋体"/>
          <w:sz w:val="24"/>
        </w:rPr>
      </w:pPr>
      <w:r>
        <w:rPr>
          <w:rFonts w:ascii="宋体" w:hAnsi="宋体"/>
          <w:sz w:val="24"/>
        </w:rPr>
        <w:t>协助采购单位进行系统后台管理，包括系信息录入、更改、编辑或删除等的技术支持与操作指导；</w:t>
      </w:r>
    </w:p>
    <w:p w14:paraId="097134D3">
      <w:pPr>
        <w:numPr>
          <w:ilvl w:val="0"/>
          <w:numId w:val="5"/>
        </w:numPr>
        <w:snapToGrid w:val="0"/>
        <w:spacing w:line="360" w:lineRule="auto"/>
        <w:ind w:firstLine="480" w:firstLineChars="200"/>
        <w:rPr>
          <w:rFonts w:ascii="宋体" w:hAnsi="宋体"/>
          <w:sz w:val="24"/>
        </w:rPr>
      </w:pPr>
      <w:r>
        <w:rPr>
          <w:rFonts w:ascii="宋体" w:hAnsi="宋体"/>
          <w:sz w:val="24"/>
        </w:rPr>
        <w:t>协助采购单位相关系统管理人员做好数据备份等安全保障工作（系统安全扫描及相关问题的整改）；</w:t>
      </w:r>
    </w:p>
    <w:p w14:paraId="3DBBE959">
      <w:pPr>
        <w:numPr>
          <w:ilvl w:val="0"/>
          <w:numId w:val="5"/>
        </w:numPr>
        <w:snapToGrid w:val="0"/>
        <w:spacing w:line="360" w:lineRule="auto"/>
        <w:ind w:firstLine="480" w:firstLineChars="200"/>
        <w:rPr>
          <w:rFonts w:ascii="宋体" w:hAnsi="宋体"/>
          <w:sz w:val="24"/>
        </w:rPr>
      </w:pPr>
      <w:r>
        <w:rPr>
          <w:rFonts w:ascii="宋体" w:hAnsi="宋体"/>
          <w:sz w:val="24"/>
        </w:rPr>
        <w:t>配合采购单位完成相关系统等保复测技术支持工作；</w:t>
      </w:r>
    </w:p>
    <w:p w14:paraId="1424210B">
      <w:pPr>
        <w:pStyle w:val="5"/>
        <w:snapToGrid w:val="0"/>
        <w:spacing w:before="0" w:after="0" w:line="360" w:lineRule="auto"/>
        <w:rPr>
          <w:rFonts w:ascii="宋体" w:hAnsi="宋体"/>
          <w:sz w:val="24"/>
          <w:szCs w:val="24"/>
        </w:rPr>
      </w:pPr>
      <w:r>
        <w:rPr>
          <w:rFonts w:ascii="宋体" w:hAnsi="宋体"/>
          <w:sz w:val="24"/>
          <w:szCs w:val="24"/>
        </w:rPr>
        <w:t>2.1.4省卫生健康委网站群运维监测平台运维</w:t>
      </w:r>
    </w:p>
    <w:p w14:paraId="68E8FB94">
      <w:pPr>
        <w:snapToGrid w:val="0"/>
        <w:spacing w:line="360" w:lineRule="auto"/>
        <w:ind w:firstLine="480" w:firstLineChars="200"/>
        <w:rPr>
          <w:rFonts w:ascii="宋体" w:hAnsi="宋体"/>
          <w:sz w:val="24"/>
        </w:rPr>
      </w:pPr>
      <w:r>
        <w:rPr>
          <w:rFonts w:ascii="宋体" w:hAnsi="宋体"/>
          <w:sz w:val="24"/>
        </w:rPr>
        <w:t>省卫生健康委网站群运维监测平台主要功能是对浙江省卫生健康委门户网站进行网站错链监测，首页错链监测，无法下载附件监测，在线申报错误监测，网站错别字监测，网站更新性监测，空白栏目监测，长期未更新栏目，网站可用性监测，网站访问量监测，并提供人工评测情况，可以及时发现网站中的存在的问题。</w:t>
      </w:r>
    </w:p>
    <w:p w14:paraId="14EFBCBC">
      <w:pPr>
        <w:pStyle w:val="600"/>
        <w:snapToGrid w:val="0"/>
        <w:spacing w:line="360" w:lineRule="auto"/>
        <w:ind w:firstLine="480" w:firstLineChars="200"/>
        <w:rPr>
          <w:rFonts w:ascii="宋体" w:hAnsi="宋体"/>
          <w:szCs w:val="24"/>
        </w:rPr>
      </w:pPr>
      <w:r>
        <w:rPr>
          <w:rFonts w:ascii="宋体" w:hAnsi="宋体"/>
          <w:szCs w:val="24"/>
        </w:rPr>
        <w:t>此项内容主要是以保障省卫生健康委网站群运维监测平台的正常运行为宗旨，开展系统运维服务。</w:t>
      </w:r>
    </w:p>
    <w:p w14:paraId="199B7212">
      <w:pPr>
        <w:keepNext/>
        <w:keepLines/>
        <w:snapToGrid w:val="0"/>
        <w:spacing w:line="360" w:lineRule="auto"/>
        <w:ind w:firstLine="576" w:firstLineChars="239"/>
        <w:rPr>
          <w:rFonts w:ascii="宋体" w:hAnsi="宋体"/>
          <w:b/>
          <w:bCs/>
          <w:sz w:val="24"/>
        </w:rPr>
      </w:pPr>
      <w:r>
        <w:rPr>
          <w:rFonts w:ascii="宋体" w:hAnsi="宋体"/>
          <w:b/>
          <w:bCs/>
          <w:sz w:val="24"/>
        </w:rPr>
        <w:t>主要维护内容：</w:t>
      </w:r>
    </w:p>
    <w:p w14:paraId="531EA793">
      <w:pPr>
        <w:numPr>
          <w:ilvl w:val="0"/>
          <w:numId w:val="6"/>
        </w:numPr>
        <w:snapToGrid w:val="0"/>
        <w:spacing w:line="360" w:lineRule="auto"/>
        <w:ind w:firstLine="480" w:firstLineChars="200"/>
        <w:rPr>
          <w:rFonts w:ascii="宋体" w:hAnsi="宋体"/>
          <w:sz w:val="24"/>
        </w:rPr>
      </w:pPr>
      <w:r>
        <w:rPr>
          <w:rFonts w:ascii="宋体" w:hAnsi="宋体"/>
          <w:sz w:val="24"/>
        </w:rPr>
        <w:t>网站错链监测：确保系统能够按错误类型（网络错误、访问错误、服务错误等）、资源类型(比如链接、图片、脚本、框架、FLASH等)、站内外地址汇总展示网站的总体错链监测情况，根据系统提供分析功能，对此错链的标题、网址、深度、引用页等数据进行查看，配合采购单位定位追踪此错链在其引用页中的具体位置，协助解决错误链接问题。</w:t>
      </w:r>
    </w:p>
    <w:p w14:paraId="542A5404">
      <w:pPr>
        <w:numPr>
          <w:ilvl w:val="0"/>
          <w:numId w:val="6"/>
        </w:numPr>
        <w:snapToGrid w:val="0"/>
        <w:spacing w:line="360" w:lineRule="auto"/>
        <w:ind w:firstLine="480" w:firstLineChars="200"/>
        <w:rPr>
          <w:rFonts w:ascii="宋体" w:hAnsi="宋体"/>
          <w:sz w:val="24"/>
        </w:rPr>
      </w:pPr>
      <w:r>
        <w:rPr>
          <w:rFonts w:ascii="宋体" w:hAnsi="宋体"/>
          <w:sz w:val="24"/>
        </w:rPr>
        <w:t>首页错链监测：对网站首页的错链情况进行监测，巡查首页错链详情并对错链进行定位分析，协助解决。</w:t>
      </w:r>
    </w:p>
    <w:p w14:paraId="5A9FEB83">
      <w:pPr>
        <w:numPr>
          <w:ilvl w:val="0"/>
          <w:numId w:val="6"/>
        </w:numPr>
        <w:snapToGrid w:val="0"/>
        <w:spacing w:line="360" w:lineRule="auto"/>
        <w:ind w:firstLine="480" w:firstLineChars="200"/>
        <w:rPr>
          <w:rFonts w:ascii="宋体" w:hAnsi="宋体"/>
          <w:sz w:val="24"/>
        </w:rPr>
      </w:pPr>
      <w:r>
        <w:rPr>
          <w:rFonts w:ascii="宋体" w:hAnsi="宋体"/>
          <w:sz w:val="24"/>
        </w:rPr>
        <w:t>无法下载附件监测：对网站中存在的无法下载的办事表格、文件附件等的情况进行监测，巡查无法下载附件错链详情并对错链进行定位分析，协助解决。</w:t>
      </w:r>
    </w:p>
    <w:p w14:paraId="348A268E">
      <w:pPr>
        <w:numPr>
          <w:ilvl w:val="0"/>
          <w:numId w:val="6"/>
        </w:numPr>
        <w:snapToGrid w:val="0"/>
        <w:spacing w:line="360" w:lineRule="auto"/>
        <w:ind w:firstLine="480" w:firstLineChars="200"/>
        <w:rPr>
          <w:rFonts w:ascii="宋体" w:hAnsi="宋体"/>
          <w:sz w:val="24"/>
        </w:rPr>
      </w:pPr>
      <w:r>
        <w:rPr>
          <w:rFonts w:ascii="宋体" w:hAnsi="宋体"/>
          <w:sz w:val="24"/>
        </w:rPr>
        <w:t>在线申报错误监测：依据网站资源中的字段匹配出的疑似查询、申报系统链接，由系统对其可用性进行监测统计，技术发现问题，并协助解决。</w:t>
      </w:r>
    </w:p>
    <w:p w14:paraId="64A9253A">
      <w:pPr>
        <w:numPr>
          <w:ilvl w:val="0"/>
          <w:numId w:val="6"/>
        </w:numPr>
        <w:snapToGrid w:val="0"/>
        <w:spacing w:line="360" w:lineRule="auto"/>
        <w:ind w:firstLine="480" w:firstLineChars="200"/>
        <w:rPr>
          <w:rFonts w:ascii="宋体" w:hAnsi="宋体"/>
          <w:sz w:val="24"/>
        </w:rPr>
      </w:pPr>
      <w:r>
        <w:rPr>
          <w:rFonts w:ascii="宋体" w:hAnsi="宋体"/>
          <w:sz w:val="24"/>
        </w:rPr>
        <w:t>网站错别字监测：确保系统每日对网站中的错别字监测可用性，并对此错别字进行审核分类。及时定位位置，协助采购单位处理解决。</w:t>
      </w:r>
    </w:p>
    <w:p w14:paraId="71C4AA58">
      <w:pPr>
        <w:numPr>
          <w:ilvl w:val="0"/>
          <w:numId w:val="6"/>
        </w:numPr>
        <w:snapToGrid w:val="0"/>
        <w:spacing w:line="360" w:lineRule="auto"/>
        <w:ind w:firstLine="480" w:firstLineChars="200"/>
        <w:rPr>
          <w:rFonts w:ascii="宋体" w:hAnsi="宋体"/>
          <w:sz w:val="24"/>
        </w:rPr>
      </w:pPr>
      <w:r>
        <w:rPr>
          <w:rFonts w:ascii="宋体" w:hAnsi="宋体"/>
          <w:sz w:val="24"/>
        </w:rPr>
        <w:t>网站更新性监测：对网站群各子站的首页信息进行日常更新监测，确保系统能够统计网站的首页及全网信息更新量，监测过程中能够记录下更新信息的标题及所在页面网址。</w:t>
      </w:r>
    </w:p>
    <w:p w14:paraId="7C2C6C0A">
      <w:pPr>
        <w:numPr>
          <w:ilvl w:val="0"/>
          <w:numId w:val="6"/>
        </w:numPr>
        <w:snapToGrid w:val="0"/>
        <w:spacing w:line="360" w:lineRule="auto"/>
        <w:ind w:firstLine="480" w:firstLineChars="200"/>
        <w:rPr>
          <w:rFonts w:ascii="宋体" w:hAnsi="宋体"/>
          <w:sz w:val="24"/>
        </w:rPr>
      </w:pPr>
      <w:r>
        <w:rPr>
          <w:rFonts w:ascii="宋体" w:hAnsi="宋体"/>
          <w:sz w:val="24"/>
        </w:rPr>
        <w:t>空白栏目监测：保障网站的空白栏目进行监测可用性，根据各栏目内容数量进行识别，并对监测出的“疑似空白栏目”进行截图留证。然后经过人工审核确认，形成空白栏目列表。对监测出的栏目地址进行查询匹配与追踪定位，配合采购单位处理对应问题。</w:t>
      </w:r>
    </w:p>
    <w:p w14:paraId="5AC6AC86">
      <w:pPr>
        <w:numPr>
          <w:ilvl w:val="0"/>
          <w:numId w:val="6"/>
        </w:numPr>
        <w:snapToGrid w:val="0"/>
        <w:spacing w:line="360" w:lineRule="auto"/>
        <w:ind w:firstLine="480" w:firstLineChars="200"/>
        <w:rPr>
          <w:rFonts w:ascii="宋体" w:hAnsi="宋体"/>
          <w:sz w:val="24"/>
        </w:rPr>
      </w:pPr>
      <w:r>
        <w:rPr>
          <w:rFonts w:ascii="宋体" w:hAnsi="宋体"/>
          <w:sz w:val="24"/>
        </w:rPr>
        <w:t>长期未更新栏目：对网站的超期未更新栏目进行监测，根据信息更新时间进行识别，并对监测出的“疑似超期未更新栏目”进行截图留证。然后经过人工审核确认，形成长期未更新栏目列表。对监测出的栏目地址进行查询匹配与追踪定位，配合采购单位处理对应问题。</w:t>
      </w:r>
    </w:p>
    <w:p w14:paraId="29C1694C">
      <w:pPr>
        <w:numPr>
          <w:ilvl w:val="0"/>
          <w:numId w:val="6"/>
        </w:numPr>
        <w:snapToGrid w:val="0"/>
        <w:spacing w:line="360" w:lineRule="auto"/>
        <w:ind w:firstLine="480" w:firstLineChars="200"/>
        <w:rPr>
          <w:rFonts w:ascii="宋体" w:hAnsi="宋体"/>
          <w:sz w:val="24"/>
        </w:rPr>
      </w:pPr>
      <w:r>
        <w:rPr>
          <w:rFonts w:ascii="宋体" w:hAnsi="宋体"/>
          <w:sz w:val="24"/>
        </w:rPr>
        <w:t>网站可用性监测：每日实时（可自定义监测时间间隔）对门户网站的可用性情况进行自动监测，记录下网站首页的连接时间、响应时间、下载时间以及无法访问次数等，并统计分析得出网站的无法访问率（无法访问次数占全部监测次数的比例）。</w:t>
      </w:r>
    </w:p>
    <w:p w14:paraId="340264CD">
      <w:pPr>
        <w:numPr>
          <w:ilvl w:val="0"/>
          <w:numId w:val="6"/>
        </w:numPr>
        <w:snapToGrid w:val="0"/>
        <w:spacing w:line="360" w:lineRule="auto"/>
        <w:ind w:firstLine="480" w:firstLineChars="200"/>
        <w:rPr>
          <w:rFonts w:ascii="宋体" w:hAnsi="宋体"/>
          <w:sz w:val="24"/>
        </w:rPr>
      </w:pPr>
      <w:r>
        <w:rPr>
          <w:rFonts w:ascii="宋体" w:hAnsi="宋体"/>
          <w:sz w:val="24"/>
        </w:rPr>
        <w:t>网站访问量监测：对网站的访问情况进行统计分析，提供任一时间段内的访问量走势图、常规访统计报表、技术性能报表、用户行为路径报表等情况。</w:t>
      </w:r>
    </w:p>
    <w:p w14:paraId="08C32E99">
      <w:pPr>
        <w:numPr>
          <w:ilvl w:val="0"/>
          <w:numId w:val="6"/>
        </w:numPr>
        <w:snapToGrid w:val="0"/>
        <w:spacing w:line="360" w:lineRule="auto"/>
        <w:ind w:firstLine="480" w:firstLineChars="200"/>
        <w:rPr>
          <w:rFonts w:ascii="宋体" w:hAnsi="宋体"/>
          <w:sz w:val="24"/>
        </w:rPr>
      </w:pPr>
      <w:r>
        <w:rPr>
          <w:rFonts w:ascii="宋体" w:hAnsi="宋体"/>
          <w:sz w:val="24"/>
        </w:rPr>
        <w:t>提供人工评测情况：每月按照《全国政府网站普查评分表》中所有指标对浙江省卫生健康委门户网站进行评测、打分、并每月出具一次报告给普查单位。</w:t>
      </w:r>
    </w:p>
    <w:p w14:paraId="13556A1B">
      <w:pPr>
        <w:pStyle w:val="5"/>
        <w:snapToGrid w:val="0"/>
        <w:spacing w:before="0" w:after="0" w:line="360" w:lineRule="auto"/>
        <w:rPr>
          <w:rFonts w:ascii="宋体" w:hAnsi="宋体"/>
          <w:sz w:val="24"/>
          <w:szCs w:val="24"/>
        </w:rPr>
      </w:pPr>
      <w:r>
        <w:rPr>
          <w:rFonts w:ascii="宋体" w:hAnsi="宋体"/>
          <w:sz w:val="24"/>
          <w:szCs w:val="24"/>
        </w:rPr>
        <w:t>2.1.5机关和退休干部考试学习运维</w:t>
      </w:r>
    </w:p>
    <w:p w14:paraId="1157A3C0">
      <w:pPr>
        <w:pStyle w:val="600"/>
        <w:snapToGrid w:val="0"/>
        <w:spacing w:line="360" w:lineRule="auto"/>
        <w:ind w:firstLine="480" w:firstLineChars="200"/>
        <w:rPr>
          <w:rFonts w:ascii="宋体" w:hAnsi="宋体"/>
          <w:szCs w:val="24"/>
        </w:rPr>
      </w:pPr>
      <w:r>
        <w:rPr>
          <w:rFonts w:ascii="宋体" w:hAnsi="宋体"/>
          <w:szCs w:val="24"/>
        </w:rPr>
        <w:t>机关和退休干部考试学习面向委机关退休干部，系统主要包括考试管理、试题管理、试卷管理、人员管理、考试成绩管理等功能。</w:t>
      </w:r>
    </w:p>
    <w:p w14:paraId="6CB100F0">
      <w:pPr>
        <w:pStyle w:val="600"/>
        <w:snapToGrid w:val="0"/>
        <w:spacing w:line="360" w:lineRule="auto"/>
        <w:ind w:firstLine="480" w:firstLineChars="200"/>
        <w:rPr>
          <w:rFonts w:ascii="宋体" w:hAnsi="宋体"/>
          <w:szCs w:val="24"/>
        </w:rPr>
      </w:pPr>
      <w:r>
        <w:rPr>
          <w:rFonts w:ascii="宋体" w:hAnsi="宋体"/>
          <w:szCs w:val="24"/>
        </w:rPr>
        <w:t>此项运维主要是为保障机关和退休干部考试学习的正常运行为宗旨，开展系统运维服务。</w:t>
      </w:r>
    </w:p>
    <w:p w14:paraId="63F82469">
      <w:pPr>
        <w:snapToGrid w:val="0"/>
        <w:spacing w:line="360" w:lineRule="auto"/>
        <w:ind w:firstLine="480" w:firstLineChars="200"/>
        <w:rPr>
          <w:rFonts w:ascii="宋体" w:hAnsi="宋体"/>
          <w:kern w:val="0"/>
          <w:sz w:val="24"/>
        </w:rPr>
      </w:pPr>
      <w:r>
        <w:rPr>
          <w:rFonts w:ascii="宋体" w:hAnsi="宋体"/>
          <w:kern w:val="0"/>
          <w:sz w:val="24"/>
        </w:rPr>
        <w:t>维护内容主要包括：</w:t>
      </w:r>
    </w:p>
    <w:p w14:paraId="72EB393E">
      <w:pPr>
        <w:numPr>
          <w:ilvl w:val="0"/>
          <w:numId w:val="7"/>
        </w:numPr>
        <w:snapToGrid w:val="0"/>
        <w:spacing w:line="360" w:lineRule="auto"/>
        <w:ind w:firstLine="480" w:firstLineChars="200"/>
        <w:rPr>
          <w:rFonts w:ascii="宋体" w:hAnsi="宋体"/>
          <w:sz w:val="24"/>
        </w:rPr>
      </w:pPr>
      <w:r>
        <w:rPr>
          <w:rFonts w:ascii="宋体" w:hAnsi="宋体"/>
          <w:sz w:val="24"/>
        </w:rPr>
        <w:t>提供技术支持，包括对账户管理功能模块，进行包括创建、变更、删除的操作处理，规范项目系统的账户信息；运维人员登录系统后台管理协助，包括系统账号的创建、考试题目录入、编辑或删除、考试成绩的导出等操作指导；账户注册、登录方式变化及时与“卫健委办公OA”同步。要求提供7*24小时响应服务。</w:t>
      </w:r>
    </w:p>
    <w:p w14:paraId="0E7F8122">
      <w:pPr>
        <w:numPr>
          <w:ilvl w:val="0"/>
          <w:numId w:val="7"/>
        </w:numPr>
        <w:snapToGrid w:val="0"/>
        <w:spacing w:line="360" w:lineRule="auto"/>
        <w:ind w:firstLine="480" w:firstLineChars="200"/>
        <w:rPr>
          <w:rFonts w:ascii="宋体" w:hAnsi="宋体"/>
          <w:sz w:val="24"/>
        </w:rPr>
      </w:pPr>
      <w:r>
        <w:rPr>
          <w:rFonts w:ascii="宋体" w:hAnsi="宋体"/>
          <w:sz w:val="24"/>
        </w:rPr>
        <w:t>及时修复系统故障。对故障问题进行实时处理与反馈，直至问题解决。问题修复过程中，完成软件系统的优化升级，提高软件系统的正常使用率。对Bug进行维护管理，实时记录系统Bug，及时反馈给开发人员，进行Bug排查和修复，并记录存档。</w:t>
      </w:r>
    </w:p>
    <w:p w14:paraId="2ACB2B37">
      <w:pPr>
        <w:numPr>
          <w:ilvl w:val="0"/>
          <w:numId w:val="7"/>
        </w:numPr>
        <w:snapToGrid w:val="0"/>
        <w:spacing w:line="360" w:lineRule="auto"/>
        <w:ind w:firstLine="480" w:firstLineChars="200"/>
        <w:rPr>
          <w:rFonts w:ascii="宋体" w:hAnsi="宋体"/>
          <w:sz w:val="24"/>
        </w:rPr>
      </w:pPr>
      <w:r>
        <w:rPr>
          <w:rFonts w:ascii="宋体" w:hAnsi="宋体"/>
          <w:sz w:val="24"/>
        </w:rPr>
        <w:t>指导机关干部和退休干部熟练的使用该系统，解答使用系统过程中存在的问题。</w:t>
      </w:r>
    </w:p>
    <w:p w14:paraId="6402E58A">
      <w:pPr>
        <w:numPr>
          <w:ilvl w:val="0"/>
          <w:numId w:val="7"/>
        </w:numPr>
        <w:snapToGrid w:val="0"/>
        <w:spacing w:line="360" w:lineRule="auto"/>
        <w:ind w:firstLine="480" w:firstLineChars="200"/>
        <w:rPr>
          <w:rFonts w:ascii="宋体" w:hAnsi="宋体"/>
          <w:sz w:val="24"/>
        </w:rPr>
      </w:pPr>
      <w:r>
        <w:rPr>
          <w:rFonts w:ascii="宋体" w:hAnsi="宋体"/>
          <w:sz w:val="24"/>
        </w:rPr>
        <w:t>提供系统不定时更新升级，并保障系统升级前后的正常运行。</w:t>
      </w:r>
    </w:p>
    <w:p w14:paraId="6A75AC9F">
      <w:pPr>
        <w:numPr>
          <w:ilvl w:val="0"/>
          <w:numId w:val="7"/>
        </w:numPr>
        <w:snapToGrid w:val="0"/>
        <w:spacing w:line="360" w:lineRule="auto"/>
        <w:ind w:firstLine="480" w:firstLineChars="200"/>
        <w:rPr>
          <w:rFonts w:ascii="宋体" w:hAnsi="宋体"/>
          <w:sz w:val="24"/>
        </w:rPr>
      </w:pPr>
      <w:r>
        <w:rPr>
          <w:rFonts w:ascii="宋体" w:hAnsi="宋体"/>
          <w:sz w:val="24"/>
        </w:rPr>
        <w:t>安排巡检人员定期对系统、数据库进行巡检，提交维护报告。</w:t>
      </w:r>
    </w:p>
    <w:p w14:paraId="6CDAC2E5">
      <w:pPr>
        <w:pStyle w:val="5"/>
        <w:snapToGrid w:val="0"/>
        <w:spacing w:before="0" w:after="0" w:line="360" w:lineRule="auto"/>
        <w:rPr>
          <w:rFonts w:ascii="宋体" w:hAnsi="宋体"/>
          <w:sz w:val="24"/>
          <w:szCs w:val="24"/>
        </w:rPr>
      </w:pPr>
      <w:r>
        <w:rPr>
          <w:rFonts w:ascii="宋体" w:hAnsi="宋体"/>
          <w:sz w:val="24"/>
          <w:szCs w:val="24"/>
        </w:rPr>
        <w:t>2.1.6</w:t>
      </w:r>
      <w:r>
        <w:rPr>
          <w:rFonts w:hint="eastAsia" w:ascii="宋体" w:hAnsi="宋体"/>
          <w:sz w:val="24"/>
          <w:szCs w:val="24"/>
        </w:rPr>
        <w:t>行政办公一体化平台</w:t>
      </w:r>
      <w:r>
        <w:rPr>
          <w:rFonts w:ascii="宋体" w:hAnsi="宋体"/>
          <w:sz w:val="24"/>
          <w:szCs w:val="24"/>
        </w:rPr>
        <w:t>系统运维</w:t>
      </w:r>
    </w:p>
    <w:p w14:paraId="5CDC73E0">
      <w:pPr>
        <w:pStyle w:val="600"/>
        <w:snapToGrid w:val="0"/>
        <w:spacing w:line="360" w:lineRule="auto"/>
        <w:ind w:firstLine="480" w:firstLineChars="200"/>
        <w:rPr>
          <w:rFonts w:ascii="宋体" w:hAnsi="宋体"/>
          <w:szCs w:val="24"/>
        </w:rPr>
      </w:pPr>
      <w:r>
        <w:rPr>
          <w:rFonts w:hint="eastAsia" w:ascii="宋体" w:hAnsi="宋体"/>
          <w:szCs w:val="24"/>
        </w:rPr>
        <w:t>行政办公一体化平台</w:t>
      </w:r>
      <w:r>
        <w:rPr>
          <w:rFonts w:ascii="宋体" w:hAnsi="宋体"/>
          <w:szCs w:val="24"/>
        </w:rPr>
        <w:t>系统主要面向</w:t>
      </w:r>
      <w:r>
        <w:rPr>
          <w:rFonts w:hint="eastAsia" w:ascii="宋体" w:hAnsi="宋体"/>
          <w:szCs w:val="24"/>
        </w:rPr>
        <w:t>委机关相关工作人员</w:t>
      </w:r>
      <w:r>
        <w:rPr>
          <w:rFonts w:ascii="宋体" w:hAnsi="宋体"/>
          <w:szCs w:val="24"/>
        </w:rPr>
        <w:t>，系统主要包括</w:t>
      </w:r>
      <w:r>
        <w:rPr>
          <w:rFonts w:hint="eastAsia" w:ascii="宋体" w:hAnsi="宋体"/>
          <w:szCs w:val="24"/>
        </w:rPr>
        <w:t>公文管理、通知管理、领导批示件办理、会议室管理、请假管理</w:t>
      </w:r>
      <w:r>
        <w:rPr>
          <w:rFonts w:ascii="宋体" w:hAnsi="宋体"/>
          <w:szCs w:val="24"/>
        </w:rPr>
        <w:t>、系统组织人员管理维护、权限菜单管理维护等功能</w:t>
      </w:r>
    </w:p>
    <w:p w14:paraId="678E49BE">
      <w:pPr>
        <w:pStyle w:val="600"/>
        <w:snapToGrid w:val="0"/>
        <w:spacing w:line="360" w:lineRule="auto"/>
        <w:ind w:firstLine="480" w:firstLineChars="200"/>
        <w:rPr>
          <w:rFonts w:ascii="宋体" w:hAnsi="宋体"/>
          <w:szCs w:val="24"/>
        </w:rPr>
      </w:pPr>
      <w:r>
        <w:rPr>
          <w:rFonts w:ascii="宋体" w:hAnsi="宋体"/>
          <w:szCs w:val="24"/>
        </w:rPr>
        <w:t>此项内容主要是为保障</w:t>
      </w:r>
      <w:r>
        <w:rPr>
          <w:rFonts w:hint="eastAsia" w:ascii="宋体" w:hAnsi="宋体"/>
          <w:szCs w:val="24"/>
        </w:rPr>
        <w:t>行政办公一体化平台</w:t>
      </w:r>
      <w:r>
        <w:rPr>
          <w:rFonts w:ascii="宋体" w:hAnsi="宋体"/>
          <w:szCs w:val="24"/>
        </w:rPr>
        <w:t>系统的正常运行为宗旨，开展系统运维服务。</w:t>
      </w:r>
    </w:p>
    <w:p w14:paraId="0C7246B3">
      <w:pPr>
        <w:snapToGrid w:val="0"/>
        <w:spacing w:line="360" w:lineRule="auto"/>
        <w:ind w:firstLine="480" w:firstLineChars="200"/>
        <w:rPr>
          <w:rFonts w:ascii="宋体" w:hAnsi="宋体"/>
          <w:kern w:val="0"/>
          <w:sz w:val="24"/>
        </w:rPr>
      </w:pPr>
      <w:r>
        <w:rPr>
          <w:rFonts w:ascii="宋体" w:hAnsi="宋体"/>
          <w:kern w:val="0"/>
          <w:sz w:val="24"/>
        </w:rPr>
        <w:t>维护内容主要包括：</w:t>
      </w:r>
    </w:p>
    <w:p w14:paraId="508D4791">
      <w:pPr>
        <w:numPr>
          <w:ilvl w:val="0"/>
          <w:numId w:val="1"/>
        </w:numPr>
        <w:snapToGrid w:val="0"/>
        <w:spacing w:line="360" w:lineRule="auto"/>
        <w:ind w:firstLine="480" w:firstLineChars="200"/>
        <w:rPr>
          <w:rFonts w:ascii="宋体" w:hAnsi="宋体"/>
          <w:sz w:val="24"/>
        </w:rPr>
      </w:pPr>
      <w:r>
        <w:rPr>
          <w:rFonts w:ascii="宋体" w:hAnsi="宋体"/>
          <w:sz w:val="24"/>
        </w:rPr>
        <w:t>提供7*24的“</w:t>
      </w:r>
      <w:r>
        <w:rPr>
          <w:rFonts w:hint="eastAsia" w:ascii="宋体" w:hAnsi="宋体"/>
          <w:sz w:val="24"/>
        </w:rPr>
        <w:t>行政办公一体化平台</w:t>
      </w:r>
      <w:r>
        <w:rPr>
          <w:rFonts w:ascii="宋体" w:hAnsi="宋体"/>
          <w:sz w:val="24"/>
        </w:rPr>
        <w:t>”日常维护（含组织机构、人员管理、人员权限、字典表等的管理维护），针对采购单位系统使用人员提出的有关系统操作、审批流程等问题进行答疑，修复系统bug，保障系统的正常运行。</w:t>
      </w:r>
    </w:p>
    <w:p w14:paraId="16620349">
      <w:pPr>
        <w:numPr>
          <w:ilvl w:val="0"/>
          <w:numId w:val="1"/>
        </w:numPr>
        <w:snapToGrid w:val="0"/>
        <w:spacing w:line="360" w:lineRule="auto"/>
        <w:ind w:firstLine="480" w:firstLineChars="200"/>
        <w:rPr>
          <w:rFonts w:ascii="宋体" w:hAnsi="宋体"/>
          <w:sz w:val="24"/>
        </w:rPr>
      </w:pPr>
      <w:r>
        <w:rPr>
          <w:rFonts w:ascii="宋体" w:hAnsi="宋体"/>
          <w:sz w:val="24"/>
        </w:rPr>
        <w:t>根据采购单位管理需要，提供功能微调和优化升级开发等服务。</w:t>
      </w:r>
    </w:p>
    <w:p w14:paraId="1EBC2B35">
      <w:pPr>
        <w:snapToGrid w:val="0"/>
        <w:spacing w:line="360" w:lineRule="auto"/>
        <w:ind w:firstLine="480" w:firstLineChars="200"/>
        <w:rPr>
          <w:rFonts w:ascii="宋体" w:hAnsi="宋体"/>
          <w:sz w:val="24"/>
        </w:rPr>
      </w:pPr>
      <w:r>
        <w:rPr>
          <w:rFonts w:ascii="宋体" w:hAnsi="宋体"/>
          <w:sz w:val="24"/>
        </w:rPr>
        <w:t>3) 协助采购单位相关系统管理人员做好数据备份等安全保障工作（系统安全扫描及相关问题的整改）。</w:t>
      </w:r>
    </w:p>
    <w:p w14:paraId="2B0D4E4D">
      <w:pPr>
        <w:snapToGrid w:val="0"/>
        <w:spacing w:line="360" w:lineRule="auto"/>
        <w:ind w:firstLine="480" w:firstLineChars="200"/>
        <w:rPr>
          <w:rFonts w:ascii="宋体" w:hAnsi="宋体"/>
          <w:sz w:val="24"/>
        </w:rPr>
      </w:pPr>
      <w:r>
        <w:rPr>
          <w:rFonts w:ascii="宋体" w:hAnsi="宋体"/>
          <w:sz w:val="24"/>
        </w:rPr>
        <w:t>4) 对维护工作记录留存，并提供年度维护报告。</w:t>
      </w:r>
    </w:p>
    <w:p w14:paraId="5857FE63">
      <w:pPr>
        <w:snapToGrid w:val="0"/>
        <w:spacing w:line="360" w:lineRule="auto"/>
        <w:ind w:firstLine="480" w:firstLineChars="200"/>
        <w:rPr>
          <w:rFonts w:ascii="宋体" w:hAnsi="宋体"/>
          <w:sz w:val="24"/>
        </w:rPr>
      </w:pPr>
      <w:r>
        <w:rPr>
          <w:rFonts w:ascii="宋体" w:hAnsi="宋体"/>
          <w:sz w:val="24"/>
        </w:rPr>
        <w:t>5) 配合采购单位完成相关系统等保复测技术支持工作。</w:t>
      </w:r>
    </w:p>
    <w:p w14:paraId="2D8B573C">
      <w:pPr>
        <w:tabs>
          <w:tab w:val="left" w:pos="864"/>
        </w:tabs>
        <w:autoSpaceDE w:val="0"/>
        <w:autoSpaceDN w:val="0"/>
        <w:snapToGrid w:val="0"/>
        <w:spacing w:line="360" w:lineRule="auto"/>
        <w:jc w:val="left"/>
        <w:outlineLvl w:val="1"/>
        <w:rPr>
          <w:rFonts w:ascii="宋体" w:hAnsi="宋体"/>
          <w:b/>
          <w:bCs/>
          <w:kern w:val="0"/>
          <w:sz w:val="24"/>
        </w:rPr>
      </w:pPr>
      <w:r>
        <w:rPr>
          <w:rFonts w:ascii="宋体" w:hAnsi="宋体"/>
          <w:b/>
          <w:bCs/>
          <w:kern w:val="0"/>
          <w:sz w:val="24"/>
        </w:rPr>
        <w:t>2.2</w:t>
      </w:r>
      <w:r>
        <w:rPr>
          <w:rFonts w:hint="eastAsia" w:ascii="宋体" w:hAnsi="宋体"/>
          <w:b/>
          <w:bCs/>
          <w:kern w:val="0"/>
          <w:sz w:val="24"/>
        </w:rPr>
        <w:t xml:space="preserve"> </w:t>
      </w:r>
      <w:r>
        <w:rPr>
          <w:rFonts w:ascii="宋体" w:hAnsi="宋体"/>
          <w:b/>
          <w:bCs/>
          <w:kern w:val="0"/>
          <w:sz w:val="24"/>
        </w:rPr>
        <w:t>文档交付要求</w:t>
      </w:r>
    </w:p>
    <w:p w14:paraId="2F6C39F5">
      <w:pPr>
        <w:snapToGrid w:val="0"/>
        <w:spacing w:line="360" w:lineRule="auto"/>
        <w:ind w:firstLine="480" w:firstLineChars="200"/>
        <w:rPr>
          <w:rFonts w:ascii="宋体" w:hAnsi="宋体"/>
          <w:sz w:val="24"/>
        </w:rPr>
      </w:pPr>
      <w:r>
        <w:rPr>
          <w:rFonts w:ascii="宋体" w:hAnsi="宋体"/>
          <w:sz w:val="24"/>
        </w:rPr>
        <w:t>运维项目交付物包含并不限于：</w:t>
      </w:r>
    </w:p>
    <w:p w14:paraId="0E1F9D22">
      <w:pPr>
        <w:snapToGrid w:val="0"/>
        <w:spacing w:line="360" w:lineRule="auto"/>
        <w:ind w:firstLine="480" w:firstLineChars="200"/>
        <w:rPr>
          <w:rFonts w:ascii="宋体" w:hAnsi="宋体"/>
          <w:sz w:val="24"/>
        </w:rPr>
      </w:pPr>
      <w:r>
        <w:rPr>
          <w:rFonts w:ascii="宋体" w:hAnsi="宋体"/>
          <w:sz w:val="24"/>
        </w:rPr>
        <w:t>维护方案、维护日志、维护实施报告、维护与故障处理手册、培训手册、信息安全报告、保密承诺书、应急方案、用户报告。</w:t>
      </w:r>
    </w:p>
    <w:p w14:paraId="4404839F">
      <w:pPr>
        <w:tabs>
          <w:tab w:val="left" w:pos="864"/>
        </w:tabs>
        <w:autoSpaceDE w:val="0"/>
        <w:autoSpaceDN w:val="0"/>
        <w:snapToGrid w:val="0"/>
        <w:spacing w:line="360" w:lineRule="auto"/>
        <w:jc w:val="left"/>
        <w:outlineLvl w:val="1"/>
        <w:rPr>
          <w:rFonts w:ascii="宋体" w:hAnsi="宋体"/>
          <w:b/>
          <w:bCs/>
          <w:kern w:val="0"/>
          <w:sz w:val="24"/>
        </w:rPr>
      </w:pPr>
      <w:r>
        <w:rPr>
          <w:rFonts w:ascii="宋体" w:hAnsi="宋体"/>
          <w:b/>
          <w:bCs/>
          <w:kern w:val="0"/>
          <w:sz w:val="24"/>
        </w:rPr>
        <w:t>2.3</w:t>
      </w:r>
      <w:r>
        <w:rPr>
          <w:rFonts w:hint="eastAsia" w:ascii="宋体" w:hAnsi="宋体"/>
          <w:b/>
          <w:bCs/>
          <w:kern w:val="0"/>
          <w:sz w:val="24"/>
        </w:rPr>
        <w:t xml:space="preserve"> </w:t>
      </w:r>
      <w:r>
        <w:rPr>
          <w:rFonts w:ascii="宋体" w:hAnsi="宋体"/>
          <w:b/>
          <w:bCs/>
          <w:kern w:val="0"/>
          <w:sz w:val="24"/>
        </w:rPr>
        <w:t>实施与验收要求</w:t>
      </w:r>
    </w:p>
    <w:p w14:paraId="5D436DED">
      <w:pPr>
        <w:snapToGrid w:val="0"/>
        <w:spacing w:line="360" w:lineRule="auto"/>
        <w:ind w:firstLine="480" w:firstLineChars="200"/>
        <w:rPr>
          <w:rFonts w:ascii="宋体" w:hAnsi="宋体"/>
          <w:sz w:val="24"/>
        </w:rPr>
      </w:pPr>
      <w:r>
        <w:rPr>
          <w:rFonts w:ascii="宋体" w:hAnsi="宋体"/>
          <w:sz w:val="24"/>
        </w:rPr>
        <w:t>2.3.1</w:t>
      </w:r>
      <w:bookmarkStart w:id="49" w:name="_Toc225929899"/>
      <w:bookmarkStart w:id="50" w:name="_Toc229194176"/>
      <w:r>
        <w:rPr>
          <w:rFonts w:hint="eastAsia" w:ascii="宋体" w:hAnsi="宋体"/>
          <w:sz w:val="24"/>
        </w:rPr>
        <w:t xml:space="preserve"> </w:t>
      </w:r>
      <w:r>
        <w:rPr>
          <w:rFonts w:ascii="宋体" w:hAnsi="宋体"/>
          <w:sz w:val="24"/>
        </w:rPr>
        <w:t>成立专业团队组</w:t>
      </w:r>
    </w:p>
    <w:p w14:paraId="2F4C734B">
      <w:pPr>
        <w:snapToGrid w:val="0"/>
        <w:spacing w:line="360" w:lineRule="auto"/>
        <w:ind w:firstLine="480" w:firstLineChars="200"/>
        <w:rPr>
          <w:rFonts w:ascii="宋体" w:hAnsi="宋体"/>
          <w:sz w:val="24"/>
        </w:rPr>
      </w:pPr>
      <w:r>
        <w:rPr>
          <w:rFonts w:ascii="宋体" w:hAnsi="宋体"/>
          <w:sz w:val="24"/>
        </w:rPr>
        <w:t>供应商需为本次维护项目成立专门的服务团队，服务团队人员不少于</w:t>
      </w:r>
      <w:r>
        <w:rPr>
          <w:rFonts w:hint="eastAsia" w:ascii="宋体" w:hAnsi="宋体"/>
          <w:sz w:val="24"/>
        </w:rPr>
        <w:t>5</w:t>
      </w:r>
      <w:r>
        <w:rPr>
          <w:rFonts w:ascii="宋体" w:hAnsi="宋体"/>
          <w:sz w:val="24"/>
        </w:rPr>
        <w:t>人，包括项目经理，驻场工程师，远程售后人员。</w:t>
      </w:r>
    </w:p>
    <w:p w14:paraId="08DE87E3">
      <w:pPr>
        <w:snapToGrid w:val="0"/>
        <w:spacing w:line="360" w:lineRule="auto"/>
        <w:ind w:firstLine="480" w:firstLineChars="200"/>
        <w:rPr>
          <w:rFonts w:ascii="宋体" w:hAnsi="宋体"/>
          <w:sz w:val="24"/>
        </w:rPr>
      </w:pPr>
      <w:r>
        <w:rPr>
          <w:rFonts w:ascii="宋体" w:hAnsi="宋体"/>
          <w:sz w:val="24"/>
        </w:rPr>
        <w:t>★（1）指定专门的项目经理全程负责项目的实施维护</w:t>
      </w:r>
      <w:r>
        <w:rPr>
          <w:rFonts w:hint="eastAsia" w:ascii="宋体" w:hAnsi="宋体"/>
          <w:sz w:val="24"/>
        </w:rPr>
        <w:t>；</w:t>
      </w:r>
    </w:p>
    <w:p w14:paraId="428887AA">
      <w:pPr>
        <w:snapToGrid w:val="0"/>
        <w:spacing w:line="360" w:lineRule="auto"/>
        <w:ind w:firstLine="480" w:firstLineChars="200"/>
        <w:rPr>
          <w:rFonts w:ascii="宋体" w:hAnsi="宋体"/>
          <w:sz w:val="24"/>
        </w:rPr>
      </w:pPr>
      <w:r>
        <w:rPr>
          <w:rFonts w:ascii="宋体" w:hAnsi="宋体"/>
          <w:sz w:val="24"/>
        </w:rPr>
        <w:t>☆（2）承诺在合同延续期内，更换项目经理需首先向甲方提出书面申请并获得甲方的同意。</w:t>
      </w:r>
    </w:p>
    <w:p w14:paraId="75942DA5">
      <w:pPr>
        <w:snapToGrid w:val="0"/>
        <w:spacing w:line="360" w:lineRule="auto"/>
        <w:ind w:firstLine="480" w:firstLineChars="200"/>
        <w:rPr>
          <w:rFonts w:ascii="宋体" w:hAnsi="宋体"/>
          <w:sz w:val="24"/>
        </w:rPr>
      </w:pPr>
      <w:r>
        <w:rPr>
          <w:rFonts w:ascii="宋体" w:hAnsi="宋体"/>
          <w:sz w:val="24"/>
        </w:rPr>
        <w:t>☆（3）项目组需要配备专职各类技术人员，确保维护项目的顺利实施。</w:t>
      </w:r>
    </w:p>
    <w:bookmarkEnd w:id="49"/>
    <w:bookmarkEnd w:id="50"/>
    <w:p w14:paraId="05505E0E">
      <w:pPr>
        <w:tabs>
          <w:tab w:val="left" w:pos="864"/>
        </w:tabs>
        <w:snapToGrid w:val="0"/>
        <w:spacing w:line="360" w:lineRule="auto"/>
        <w:ind w:firstLine="480" w:firstLineChars="200"/>
        <w:jc w:val="left"/>
        <w:rPr>
          <w:rFonts w:ascii="宋体" w:hAnsi="宋体"/>
          <w:sz w:val="24"/>
        </w:rPr>
      </w:pPr>
      <w:r>
        <w:rPr>
          <w:rFonts w:ascii="宋体" w:hAnsi="宋体"/>
          <w:sz w:val="24"/>
        </w:rPr>
        <w:t>2.3.2</w:t>
      </w:r>
      <w:r>
        <w:rPr>
          <w:rFonts w:hint="eastAsia" w:ascii="宋体" w:hAnsi="宋体"/>
          <w:sz w:val="24"/>
        </w:rPr>
        <w:t xml:space="preserve"> </w:t>
      </w:r>
      <w:r>
        <w:rPr>
          <w:rFonts w:ascii="宋体" w:hAnsi="宋体"/>
          <w:sz w:val="24"/>
        </w:rPr>
        <w:t>系统最终验收要求</w:t>
      </w:r>
    </w:p>
    <w:p w14:paraId="5F81B502">
      <w:pPr>
        <w:snapToGrid w:val="0"/>
        <w:spacing w:line="360" w:lineRule="auto"/>
        <w:ind w:firstLine="480" w:firstLineChars="200"/>
        <w:rPr>
          <w:rFonts w:ascii="宋体" w:hAnsi="宋体"/>
          <w:sz w:val="24"/>
        </w:rPr>
      </w:pPr>
      <w:r>
        <w:rPr>
          <w:rFonts w:ascii="宋体" w:hAnsi="宋体"/>
          <w:sz w:val="24"/>
        </w:rPr>
        <w:t>完成年度维护任务，并提供相应的验收材料。</w:t>
      </w:r>
    </w:p>
    <w:p w14:paraId="3B9B5E89">
      <w:pPr>
        <w:tabs>
          <w:tab w:val="left" w:pos="864"/>
        </w:tabs>
        <w:autoSpaceDE w:val="0"/>
        <w:autoSpaceDN w:val="0"/>
        <w:snapToGrid w:val="0"/>
        <w:spacing w:line="360" w:lineRule="auto"/>
        <w:jc w:val="left"/>
        <w:outlineLvl w:val="1"/>
        <w:rPr>
          <w:rFonts w:ascii="宋体" w:hAnsi="宋体"/>
          <w:b/>
          <w:bCs/>
          <w:kern w:val="0"/>
          <w:sz w:val="24"/>
        </w:rPr>
      </w:pPr>
      <w:r>
        <w:rPr>
          <w:rFonts w:ascii="宋体" w:hAnsi="宋体"/>
          <w:b/>
          <w:bCs/>
          <w:kern w:val="0"/>
          <w:sz w:val="24"/>
        </w:rPr>
        <w:t>2.4</w:t>
      </w:r>
      <w:r>
        <w:rPr>
          <w:rFonts w:hint="eastAsia" w:ascii="宋体" w:hAnsi="宋体"/>
          <w:b/>
          <w:bCs/>
          <w:kern w:val="0"/>
          <w:sz w:val="24"/>
        </w:rPr>
        <w:t xml:space="preserve"> </w:t>
      </w:r>
      <w:r>
        <w:rPr>
          <w:rFonts w:ascii="宋体" w:hAnsi="宋体"/>
          <w:b/>
          <w:bCs/>
          <w:kern w:val="0"/>
          <w:sz w:val="24"/>
        </w:rPr>
        <w:t>技术支持服务要求</w:t>
      </w:r>
    </w:p>
    <w:p w14:paraId="58E009DA">
      <w:pPr>
        <w:snapToGrid w:val="0"/>
        <w:spacing w:line="360" w:lineRule="auto"/>
        <w:ind w:firstLine="480" w:firstLineChars="200"/>
        <w:rPr>
          <w:rFonts w:ascii="宋体" w:hAnsi="宋体"/>
          <w:sz w:val="24"/>
        </w:rPr>
      </w:pPr>
      <w:bookmarkStart w:id="51" w:name="_Toc26794"/>
      <w:bookmarkStart w:id="52" w:name="_Toc429645105"/>
      <w:r>
        <w:rPr>
          <w:rFonts w:ascii="宋体" w:hAnsi="宋体"/>
          <w:sz w:val="24"/>
        </w:rPr>
        <w:t>运维工作应根据系统自身特点，在不改变原有技术体系框架前提下，开展技术支持服务工作，定期对系统运行的主机、数据库、中间件等进行日常检查和评估，根据系统运行情况进行资源优化、定期备份数据，最大程度地预防系统故障发生。</w:t>
      </w:r>
    </w:p>
    <w:p w14:paraId="3B55DE6C">
      <w:pPr>
        <w:snapToGrid w:val="0"/>
        <w:spacing w:line="360" w:lineRule="auto"/>
        <w:ind w:firstLine="480" w:firstLineChars="200"/>
        <w:rPr>
          <w:rFonts w:ascii="宋体" w:hAnsi="宋体"/>
          <w:sz w:val="24"/>
        </w:rPr>
      </w:pPr>
      <w:r>
        <w:rPr>
          <w:rFonts w:ascii="宋体" w:hAnsi="宋体"/>
          <w:sz w:val="24"/>
        </w:rPr>
        <w:t>1）维护服务</w:t>
      </w:r>
    </w:p>
    <w:p w14:paraId="5C5A707F">
      <w:pPr>
        <w:snapToGrid w:val="0"/>
        <w:spacing w:line="360" w:lineRule="auto"/>
        <w:ind w:firstLine="480" w:firstLineChars="200"/>
        <w:rPr>
          <w:rFonts w:ascii="宋体" w:hAnsi="宋体"/>
          <w:sz w:val="24"/>
        </w:rPr>
      </w:pPr>
      <w:r>
        <w:rPr>
          <w:rFonts w:ascii="宋体" w:hAnsi="宋体"/>
          <w:sz w:val="24"/>
        </w:rPr>
        <w:t>①远程售后人员至少包含2人，成立A、B岗负责制。</w:t>
      </w:r>
    </w:p>
    <w:p w14:paraId="1445CFAA">
      <w:pPr>
        <w:snapToGrid w:val="0"/>
        <w:spacing w:line="360" w:lineRule="auto"/>
        <w:ind w:firstLine="480" w:firstLineChars="200"/>
        <w:rPr>
          <w:rFonts w:ascii="宋体" w:hAnsi="宋体"/>
          <w:sz w:val="24"/>
        </w:rPr>
      </w:pPr>
      <w:r>
        <w:rPr>
          <w:rFonts w:ascii="宋体" w:hAnsi="宋体"/>
          <w:sz w:val="24"/>
        </w:rPr>
        <w:t>②在维护期内中标人应响应7×24小时电话或电子邮件服务，1小时内做出明确响应和安排，2小时内做出故障诊断报告，如需现场服务的，具有解决故障能力的工程师应在2小时内到达现场。</w:t>
      </w:r>
    </w:p>
    <w:p w14:paraId="7FB0B7F9">
      <w:pPr>
        <w:snapToGrid w:val="0"/>
        <w:spacing w:line="360" w:lineRule="auto"/>
        <w:ind w:firstLine="480" w:firstLineChars="200"/>
        <w:rPr>
          <w:rFonts w:ascii="宋体" w:hAnsi="宋体"/>
          <w:sz w:val="24"/>
        </w:rPr>
      </w:pPr>
      <w:r>
        <w:rPr>
          <w:rFonts w:ascii="宋体" w:hAnsi="宋体"/>
          <w:sz w:val="24"/>
        </w:rPr>
        <w:t>③如维护期内，运维服务不响应及未在规定时间内完成修复，发生一次从履约保证金中扣除履约保证金的5%。连续三次未在规定时间内完成修复的且影响系统正常运行的，采购人有权解除合同。</w:t>
      </w:r>
    </w:p>
    <w:p w14:paraId="4AB9DF68">
      <w:pPr>
        <w:snapToGrid w:val="0"/>
        <w:spacing w:line="360" w:lineRule="auto"/>
        <w:ind w:firstLine="470" w:firstLineChars="196"/>
        <w:rPr>
          <w:rFonts w:ascii="宋体" w:hAnsi="宋体"/>
          <w:bCs/>
          <w:sz w:val="24"/>
        </w:rPr>
      </w:pPr>
      <w:r>
        <w:rPr>
          <w:rFonts w:ascii="宋体" w:hAnsi="宋体"/>
          <w:sz w:val="24"/>
        </w:rPr>
        <w:t>2）</w:t>
      </w:r>
      <w:r>
        <w:rPr>
          <w:rFonts w:ascii="宋体" w:hAnsi="宋体"/>
          <w:bCs/>
          <w:sz w:val="24"/>
        </w:rPr>
        <w:t>驻场服务</w:t>
      </w:r>
    </w:p>
    <w:p w14:paraId="108DBD10">
      <w:pPr>
        <w:snapToGrid w:val="0"/>
        <w:spacing w:line="360" w:lineRule="auto"/>
        <w:ind w:firstLine="470" w:firstLineChars="196"/>
        <w:rPr>
          <w:rFonts w:ascii="宋体" w:hAnsi="宋体"/>
          <w:bCs/>
          <w:sz w:val="24"/>
        </w:rPr>
      </w:pPr>
      <w:r>
        <w:rPr>
          <w:rFonts w:ascii="宋体" w:hAnsi="宋体"/>
          <w:bCs/>
          <w:sz w:val="24"/>
        </w:rPr>
        <w:t>系统维护期内，供应商须派驻</w:t>
      </w:r>
      <w:r>
        <w:rPr>
          <w:rFonts w:hint="eastAsia" w:ascii="宋体" w:hAnsi="宋体"/>
          <w:bCs/>
          <w:sz w:val="24"/>
        </w:rPr>
        <w:t>二</w:t>
      </w:r>
      <w:r>
        <w:rPr>
          <w:rFonts w:ascii="宋体" w:hAnsi="宋体"/>
          <w:bCs/>
          <w:sz w:val="24"/>
        </w:rPr>
        <w:t>名</w:t>
      </w:r>
      <w:r>
        <w:rPr>
          <w:rFonts w:hint="eastAsia" w:ascii="宋体" w:hAnsi="宋体"/>
          <w:bCs/>
          <w:sz w:val="24"/>
        </w:rPr>
        <w:t>应用系统运维</w:t>
      </w:r>
      <w:r>
        <w:rPr>
          <w:rFonts w:ascii="宋体" w:hAnsi="宋体"/>
          <w:bCs/>
          <w:sz w:val="24"/>
        </w:rPr>
        <w:t>工程师常驻省卫生健康信息中心。</w:t>
      </w:r>
    </w:p>
    <w:p w14:paraId="7C07A3DA">
      <w:pPr>
        <w:numPr>
          <w:ilvl w:val="0"/>
          <w:numId w:val="8"/>
        </w:numPr>
        <w:tabs>
          <w:tab w:val="left" w:pos="0"/>
          <w:tab w:val="clear" w:pos="846"/>
        </w:tabs>
        <w:snapToGrid w:val="0"/>
        <w:spacing w:line="360" w:lineRule="auto"/>
        <w:ind w:left="0" w:firstLine="426"/>
        <w:rPr>
          <w:rFonts w:ascii="宋体" w:hAnsi="宋体"/>
          <w:sz w:val="24"/>
        </w:rPr>
      </w:pPr>
      <w:r>
        <w:rPr>
          <w:rFonts w:ascii="宋体" w:hAnsi="宋体"/>
          <w:sz w:val="24"/>
        </w:rPr>
        <w:t>系统维护：</w:t>
      </w:r>
    </w:p>
    <w:p w14:paraId="07BA7837">
      <w:pPr>
        <w:numPr>
          <w:ilvl w:val="0"/>
          <w:numId w:val="9"/>
        </w:numPr>
        <w:tabs>
          <w:tab w:val="left" w:pos="0"/>
        </w:tabs>
        <w:snapToGrid w:val="0"/>
        <w:spacing w:line="360" w:lineRule="auto"/>
        <w:ind w:left="0" w:firstLine="426"/>
        <w:rPr>
          <w:rFonts w:ascii="宋体" w:hAnsi="宋体"/>
          <w:sz w:val="24"/>
        </w:rPr>
      </w:pPr>
      <w:r>
        <w:rPr>
          <w:rFonts w:ascii="宋体" w:hAnsi="宋体"/>
          <w:sz w:val="24"/>
        </w:rPr>
        <w:t>·完成基本的系统维护及其他交办的相关事项,为期一年。</w:t>
      </w:r>
    </w:p>
    <w:p w14:paraId="3A6FDD54">
      <w:pPr>
        <w:numPr>
          <w:ilvl w:val="0"/>
          <w:numId w:val="9"/>
        </w:numPr>
        <w:tabs>
          <w:tab w:val="left" w:pos="0"/>
        </w:tabs>
        <w:snapToGrid w:val="0"/>
        <w:spacing w:line="360" w:lineRule="auto"/>
        <w:ind w:left="0" w:firstLine="426"/>
        <w:rPr>
          <w:rFonts w:ascii="宋体" w:hAnsi="宋体"/>
          <w:sz w:val="24"/>
        </w:rPr>
      </w:pPr>
      <w:r>
        <w:rPr>
          <w:rFonts w:ascii="宋体" w:hAnsi="宋体"/>
          <w:sz w:val="24"/>
        </w:rPr>
        <w:t>·应在投标人单位就职</w:t>
      </w:r>
      <w:r>
        <w:rPr>
          <w:rFonts w:hint="eastAsia" w:ascii="宋体" w:hAnsi="宋体"/>
          <w:sz w:val="24"/>
        </w:rPr>
        <w:t>5</w:t>
      </w:r>
      <w:r>
        <w:rPr>
          <w:rFonts w:ascii="宋体" w:hAnsi="宋体"/>
          <w:sz w:val="24"/>
        </w:rPr>
        <w:t>年以上时间，并从事技术、开发等相关岗位；</w:t>
      </w:r>
    </w:p>
    <w:p w14:paraId="0BB8D902">
      <w:pPr>
        <w:numPr>
          <w:ilvl w:val="0"/>
          <w:numId w:val="9"/>
        </w:numPr>
        <w:tabs>
          <w:tab w:val="left" w:pos="0"/>
        </w:tabs>
        <w:snapToGrid w:val="0"/>
        <w:spacing w:line="360" w:lineRule="auto"/>
        <w:ind w:left="0" w:firstLine="426"/>
        <w:rPr>
          <w:rFonts w:ascii="宋体" w:hAnsi="宋体"/>
          <w:sz w:val="24"/>
        </w:rPr>
      </w:pPr>
      <w:r>
        <w:rPr>
          <w:rFonts w:ascii="宋体" w:hAnsi="宋体"/>
          <w:sz w:val="24"/>
        </w:rPr>
        <w:t>·熟悉浙江省卫生健康委电子政务类相关应用系统的操作与维护；能独立配合各个处室处理系统运行中碰到的问题；能独立维修计算机，打印机等硬件设备；能独立修复完善系统在运行中碰到的BUG并且具有一定的软件开发能力，能开发完成一些新增的功能模块。</w:t>
      </w:r>
    </w:p>
    <w:p w14:paraId="1D0F6A7A">
      <w:pPr>
        <w:numPr>
          <w:ilvl w:val="0"/>
          <w:numId w:val="9"/>
        </w:numPr>
        <w:tabs>
          <w:tab w:val="left" w:pos="0"/>
        </w:tabs>
        <w:snapToGrid w:val="0"/>
        <w:spacing w:line="360" w:lineRule="auto"/>
        <w:ind w:left="0" w:firstLine="426"/>
        <w:rPr>
          <w:rFonts w:ascii="宋体" w:hAnsi="宋体"/>
          <w:sz w:val="24"/>
        </w:rPr>
      </w:pPr>
      <w:r>
        <w:rPr>
          <w:rFonts w:ascii="宋体" w:hAnsi="宋体"/>
          <w:sz w:val="24"/>
        </w:rPr>
        <w:t>·具有3年以上相关行业工作经验；</w:t>
      </w:r>
    </w:p>
    <w:p w14:paraId="71E51360">
      <w:pPr>
        <w:numPr>
          <w:ilvl w:val="0"/>
          <w:numId w:val="9"/>
        </w:numPr>
        <w:tabs>
          <w:tab w:val="left" w:pos="0"/>
        </w:tabs>
        <w:snapToGrid w:val="0"/>
        <w:spacing w:line="360" w:lineRule="auto"/>
        <w:ind w:left="0" w:firstLine="426"/>
        <w:rPr>
          <w:rFonts w:ascii="宋体" w:hAnsi="宋体"/>
          <w:sz w:val="24"/>
        </w:rPr>
      </w:pPr>
      <w:r>
        <w:rPr>
          <w:rFonts w:ascii="宋体" w:hAnsi="宋体"/>
          <w:sz w:val="24"/>
        </w:rPr>
        <w:t>·投标单位应在应标文件中提供详细人员资质资料；</w:t>
      </w:r>
    </w:p>
    <w:p w14:paraId="3E5822AD">
      <w:pPr>
        <w:numPr>
          <w:ilvl w:val="0"/>
          <w:numId w:val="9"/>
        </w:numPr>
        <w:tabs>
          <w:tab w:val="left" w:pos="0"/>
        </w:tabs>
        <w:snapToGrid w:val="0"/>
        <w:spacing w:line="360" w:lineRule="auto"/>
        <w:ind w:left="0" w:firstLine="426"/>
        <w:rPr>
          <w:rFonts w:ascii="宋体" w:hAnsi="宋体"/>
          <w:sz w:val="24"/>
        </w:rPr>
      </w:pPr>
      <w:r>
        <w:rPr>
          <w:rFonts w:ascii="宋体" w:hAnsi="宋体"/>
          <w:sz w:val="24"/>
        </w:rPr>
        <w:t>·该人员在未经采购单位允许，不得进行随意变更，如需变更应提前3个月告知，并经采购人确认后在后续工作人员到岗后方可变更。</w:t>
      </w:r>
    </w:p>
    <w:p w14:paraId="147A4DA0">
      <w:pPr>
        <w:numPr>
          <w:ilvl w:val="0"/>
          <w:numId w:val="8"/>
        </w:numPr>
        <w:tabs>
          <w:tab w:val="left" w:pos="0"/>
          <w:tab w:val="clear" w:pos="846"/>
        </w:tabs>
        <w:snapToGrid w:val="0"/>
        <w:spacing w:line="360" w:lineRule="auto"/>
        <w:ind w:left="0" w:firstLine="426"/>
        <w:rPr>
          <w:rFonts w:ascii="宋体" w:hAnsi="宋体"/>
          <w:sz w:val="24"/>
        </w:rPr>
      </w:pPr>
      <w:r>
        <w:rPr>
          <w:rFonts w:hint="eastAsia" w:ascii="宋体" w:hAnsi="宋体"/>
          <w:sz w:val="24"/>
        </w:rPr>
        <w:t>信息宣传驻场人员</w:t>
      </w:r>
    </w:p>
    <w:p w14:paraId="231177AD">
      <w:pPr>
        <w:numPr>
          <w:ilvl w:val="0"/>
          <w:numId w:val="9"/>
        </w:numPr>
        <w:tabs>
          <w:tab w:val="left" w:pos="0"/>
        </w:tabs>
        <w:snapToGrid w:val="0"/>
        <w:spacing w:line="360" w:lineRule="auto"/>
        <w:ind w:left="0" w:firstLine="426"/>
        <w:rPr>
          <w:rFonts w:ascii="宋体" w:hAnsi="宋体"/>
          <w:sz w:val="24"/>
        </w:rPr>
      </w:pPr>
      <w:r>
        <w:rPr>
          <w:rFonts w:ascii="宋体" w:hAnsi="宋体"/>
          <w:sz w:val="24"/>
        </w:rPr>
        <w:t>应在投标人单位就职3年以上时间，并从事美工、编辑等相关岗位；</w:t>
      </w:r>
    </w:p>
    <w:p w14:paraId="18F3E29D">
      <w:pPr>
        <w:numPr>
          <w:ilvl w:val="0"/>
          <w:numId w:val="9"/>
        </w:numPr>
        <w:tabs>
          <w:tab w:val="left" w:pos="0"/>
        </w:tabs>
        <w:snapToGrid w:val="0"/>
        <w:spacing w:line="360" w:lineRule="auto"/>
        <w:ind w:left="0" w:firstLine="426"/>
        <w:rPr>
          <w:rFonts w:ascii="宋体" w:hAnsi="宋体"/>
          <w:sz w:val="24"/>
        </w:rPr>
      </w:pPr>
      <w:r>
        <w:rPr>
          <w:rFonts w:ascii="宋体" w:hAnsi="宋体"/>
          <w:sz w:val="24"/>
        </w:rPr>
        <w:t>熟悉浙江省卫生健康委门户网站的信息管理操作与维护。</w:t>
      </w:r>
    </w:p>
    <w:p w14:paraId="652C60EE">
      <w:pPr>
        <w:numPr>
          <w:ilvl w:val="0"/>
          <w:numId w:val="9"/>
        </w:numPr>
        <w:tabs>
          <w:tab w:val="left" w:pos="0"/>
        </w:tabs>
        <w:snapToGrid w:val="0"/>
        <w:spacing w:line="360" w:lineRule="auto"/>
        <w:ind w:left="0" w:firstLine="426"/>
        <w:rPr>
          <w:rFonts w:ascii="宋体" w:hAnsi="宋体"/>
          <w:sz w:val="24"/>
        </w:rPr>
      </w:pPr>
      <w:r>
        <w:rPr>
          <w:rFonts w:ascii="宋体" w:hAnsi="宋体"/>
          <w:sz w:val="24"/>
        </w:rPr>
        <w:t>具有3年以上相关行业工作经验；</w:t>
      </w:r>
    </w:p>
    <w:p w14:paraId="5F347B9E">
      <w:pPr>
        <w:numPr>
          <w:ilvl w:val="0"/>
          <w:numId w:val="9"/>
        </w:numPr>
        <w:tabs>
          <w:tab w:val="left" w:pos="0"/>
        </w:tabs>
        <w:snapToGrid w:val="0"/>
        <w:spacing w:line="360" w:lineRule="auto"/>
        <w:ind w:left="0" w:firstLine="426"/>
        <w:rPr>
          <w:rFonts w:ascii="宋体" w:hAnsi="宋体"/>
          <w:sz w:val="24"/>
        </w:rPr>
      </w:pPr>
      <w:r>
        <w:rPr>
          <w:rFonts w:ascii="宋体" w:hAnsi="宋体"/>
          <w:sz w:val="24"/>
        </w:rPr>
        <w:t>投标单位应在应标文件中提供详细人员资质资料；</w:t>
      </w:r>
    </w:p>
    <w:p w14:paraId="0E3460D0">
      <w:pPr>
        <w:tabs>
          <w:tab w:val="left" w:pos="980"/>
        </w:tabs>
        <w:snapToGrid w:val="0"/>
        <w:spacing w:line="360" w:lineRule="auto"/>
        <w:ind w:firstLine="360" w:firstLineChars="150"/>
        <w:jc w:val="left"/>
        <w:rPr>
          <w:rFonts w:ascii="宋体" w:hAnsi="宋体"/>
          <w:kern w:val="0"/>
          <w:sz w:val="24"/>
        </w:rPr>
      </w:pPr>
      <w:r>
        <w:rPr>
          <w:rFonts w:ascii="宋体" w:hAnsi="宋体"/>
          <w:kern w:val="0"/>
          <w:sz w:val="24"/>
        </w:rPr>
        <w:t>该人员在未经采购单位允许，不得进行随意变更，如需变更应提前3个月告知，并经采购人确认后在后续工作人员到岗后方可变更。</w:t>
      </w:r>
    </w:p>
    <w:p w14:paraId="469DB45B">
      <w:pPr>
        <w:snapToGrid w:val="0"/>
        <w:spacing w:line="360" w:lineRule="auto"/>
        <w:ind w:firstLine="480" w:firstLineChars="200"/>
        <w:rPr>
          <w:rFonts w:ascii="宋体" w:hAnsi="宋体"/>
          <w:sz w:val="24"/>
        </w:rPr>
      </w:pPr>
      <w:r>
        <w:rPr>
          <w:rFonts w:ascii="宋体" w:hAnsi="宋体"/>
          <w:sz w:val="24"/>
        </w:rPr>
        <w:t>3）版本升级服务</w:t>
      </w:r>
    </w:p>
    <w:p w14:paraId="5A17670C">
      <w:pPr>
        <w:snapToGrid w:val="0"/>
        <w:spacing w:line="360" w:lineRule="auto"/>
        <w:ind w:firstLine="480" w:firstLineChars="200"/>
        <w:rPr>
          <w:rFonts w:ascii="宋体" w:hAnsi="宋体"/>
          <w:sz w:val="24"/>
        </w:rPr>
      </w:pPr>
      <w:r>
        <w:rPr>
          <w:rFonts w:ascii="宋体" w:hAnsi="宋体"/>
          <w:sz w:val="24"/>
        </w:rPr>
        <w:t>保证相关系统版本的正常升级。升级工作应在非工作时间完成，不会对甲方的正常办公活动造成影响。</w:t>
      </w:r>
    </w:p>
    <w:p w14:paraId="1985E481">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）服务质量要求</w:t>
      </w:r>
    </w:p>
    <w:p w14:paraId="3F5EEC21">
      <w:pPr>
        <w:snapToGrid w:val="0"/>
        <w:spacing w:line="360" w:lineRule="auto"/>
        <w:ind w:firstLine="480" w:firstLineChars="200"/>
        <w:rPr>
          <w:rFonts w:ascii="宋体" w:hAnsi="宋体"/>
          <w:sz w:val="24"/>
        </w:rPr>
      </w:pPr>
      <w:r>
        <w:rPr>
          <w:rFonts w:ascii="宋体" w:hAnsi="宋体"/>
          <w:sz w:val="24"/>
        </w:rPr>
        <w:t>①系统发生的影响正常使用1小时及以上的故障，维护服务期内不多于2次；短时间（1小时以内）影响正常使用的故障，维护服务期内不多于5次；累计运行维护服务时间内的故障时间不超过10小时。</w:t>
      </w:r>
    </w:p>
    <w:p w14:paraId="68B6F313">
      <w:pPr>
        <w:snapToGrid w:val="0"/>
        <w:spacing w:line="360" w:lineRule="auto"/>
        <w:ind w:firstLine="480" w:firstLineChars="200"/>
        <w:rPr>
          <w:rFonts w:ascii="宋体" w:hAnsi="宋体"/>
          <w:sz w:val="24"/>
        </w:rPr>
      </w:pPr>
      <w:r>
        <w:rPr>
          <w:rFonts w:ascii="宋体" w:hAnsi="宋体"/>
          <w:sz w:val="24"/>
        </w:rPr>
        <w:t>②对于系统的修改调整，应符合国家和行业标准，中标方应根据用户方的需求或事先征得用户方的同意，并在测试服务器上进行测试，测试成功后，方可在正式生产环境进行部署。</w:t>
      </w:r>
    </w:p>
    <w:p w14:paraId="3685DBB0">
      <w:pPr>
        <w:snapToGrid w:val="0"/>
        <w:spacing w:line="360" w:lineRule="auto"/>
        <w:ind w:firstLine="480" w:firstLineChars="200"/>
        <w:rPr>
          <w:rFonts w:ascii="宋体" w:hAnsi="宋体"/>
          <w:sz w:val="24"/>
        </w:rPr>
      </w:pPr>
      <w:r>
        <w:rPr>
          <w:rFonts w:ascii="宋体" w:hAnsi="宋体"/>
          <w:sz w:val="24"/>
        </w:rPr>
        <w:t>③中标方应建立完善的运行维护服务台帐，认真详实填报有关维护资料；对服务期间发生的各项运行维护事宜，做好相应的详细工作情况记录；每月及时上报运行维护月报。</w:t>
      </w:r>
    </w:p>
    <w:p w14:paraId="43EC9111">
      <w:pPr>
        <w:snapToGrid w:val="0"/>
        <w:spacing w:line="360" w:lineRule="auto"/>
        <w:ind w:firstLine="480" w:firstLineChars="200"/>
        <w:rPr>
          <w:rFonts w:ascii="宋体" w:hAnsi="宋体"/>
          <w:sz w:val="24"/>
        </w:rPr>
      </w:pPr>
      <w:r>
        <w:rPr>
          <w:rFonts w:ascii="宋体" w:hAnsi="宋体"/>
          <w:sz w:val="24"/>
        </w:rPr>
        <w:t>④中标方在项目中提供的交付物在维护期内因交付物本身的质量问题发生故障，中标方应负责免费更换。对达不到技术要求者，根据实际情况，经双方协商，可按以下办法处理：</w:t>
      </w:r>
    </w:p>
    <w:p w14:paraId="5EE37387">
      <w:pPr>
        <w:snapToGrid w:val="0"/>
        <w:spacing w:line="360" w:lineRule="auto"/>
        <w:ind w:firstLine="480" w:firstLineChars="200"/>
        <w:rPr>
          <w:rFonts w:ascii="宋体" w:hAnsi="宋体"/>
          <w:sz w:val="24"/>
        </w:rPr>
      </w:pPr>
      <w:r>
        <w:rPr>
          <w:rFonts w:ascii="宋体" w:hAnsi="宋体"/>
          <w:sz w:val="24"/>
        </w:rPr>
        <w:t>（1）更换：由中标方承担所发生的全部费用。</w:t>
      </w:r>
    </w:p>
    <w:p w14:paraId="65C3F54F">
      <w:pPr>
        <w:snapToGrid w:val="0"/>
        <w:spacing w:line="360" w:lineRule="auto"/>
        <w:ind w:firstLine="480" w:firstLineChars="200"/>
        <w:rPr>
          <w:rFonts w:ascii="宋体" w:hAnsi="宋体"/>
          <w:sz w:val="24"/>
        </w:rPr>
      </w:pPr>
      <w:r>
        <w:rPr>
          <w:rFonts w:ascii="宋体" w:hAnsi="宋体"/>
          <w:sz w:val="24"/>
        </w:rPr>
        <w:t>（2）贬值处理：由双方合议定价。</w:t>
      </w:r>
    </w:p>
    <w:p w14:paraId="6FE4C7C6">
      <w:pPr>
        <w:snapToGrid w:val="0"/>
        <w:spacing w:line="360" w:lineRule="auto"/>
        <w:ind w:firstLine="480" w:firstLineChars="200"/>
        <w:rPr>
          <w:rFonts w:ascii="宋体" w:hAnsi="宋体"/>
          <w:sz w:val="24"/>
        </w:rPr>
      </w:pPr>
      <w:r>
        <w:rPr>
          <w:rFonts w:ascii="宋体" w:hAnsi="宋体"/>
          <w:sz w:val="24"/>
        </w:rPr>
        <w:t>（3）退回处理：中标方应退还甲方支付的合同款，同时应承担该交付物的直接费用（运输、保险、检验、款项利息及银行手续费等）。</w:t>
      </w:r>
    </w:p>
    <w:p w14:paraId="7C61C5D1">
      <w:pPr>
        <w:tabs>
          <w:tab w:val="left" w:pos="864"/>
        </w:tabs>
        <w:autoSpaceDE w:val="0"/>
        <w:autoSpaceDN w:val="0"/>
        <w:snapToGrid w:val="0"/>
        <w:spacing w:line="360" w:lineRule="auto"/>
        <w:jc w:val="left"/>
        <w:outlineLvl w:val="1"/>
        <w:rPr>
          <w:rFonts w:ascii="宋体" w:hAnsi="宋体"/>
          <w:b/>
          <w:bCs/>
          <w:kern w:val="0"/>
          <w:sz w:val="24"/>
        </w:rPr>
      </w:pPr>
      <w:r>
        <w:rPr>
          <w:rFonts w:hint="eastAsia" w:ascii="宋体" w:hAnsi="宋体"/>
          <w:b/>
          <w:bCs/>
          <w:kern w:val="0"/>
          <w:sz w:val="24"/>
        </w:rPr>
        <w:t xml:space="preserve">2.5 </w:t>
      </w:r>
      <w:r>
        <w:rPr>
          <w:rFonts w:ascii="宋体" w:hAnsi="宋体"/>
          <w:b/>
          <w:bCs/>
          <w:kern w:val="0"/>
          <w:sz w:val="24"/>
        </w:rPr>
        <w:t>定期巡检服务</w:t>
      </w:r>
    </w:p>
    <w:p w14:paraId="254EF1F1">
      <w:pPr>
        <w:snapToGrid w:val="0"/>
        <w:spacing w:line="360" w:lineRule="auto"/>
        <w:ind w:firstLine="480" w:firstLineChars="200"/>
        <w:rPr>
          <w:rFonts w:ascii="宋体" w:hAnsi="宋体"/>
          <w:sz w:val="24"/>
        </w:rPr>
      </w:pPr>
      <w:r>
        <w:rPr>
          <w:rFonts w:ascii="宋体" w:hAnsi="宋体"/>
          <w:sz w:val="24"/>
        </w:rPr>
        <w:t>定期对核心设备/软件进行预防性维护服务，排查故障和隐患，保证系统设备/软件的正常运行，服务内容包括但不限于：</w:t>
      </w:r>
    </w:p>
    <w:p w14:paraId="0164A531">
      <w:pPr>
        <w:snapToGrid w:val="0"/>
        <w:spacing w:line="360" w:lineRule="auto"/>
        <w:ind w:firstLine="480" w:firstLineChars="200"/>
        <w:rPr>
          <w:rFonts w:ascii="宋体" w:hAnsi="宋体"/>
          <w:sz w:val="24"/>
        </w:rPr>
      </w:pPr>
      <w:r>
        <w:rPr>
          <w:rFonts w:ascii="宋体" w:hAnsi="宋体"/>
          <w:sz w:val="24"/>
        </w:rPr>
        <w:t>①中标单位应对本系统每月巡检一次，查看设备硬件、软件系统及数据库是否运行良好；</w:t>
      </w:r>
    </w:p>
    <w:p w14:paraId="250F39B2">
      <w:pPr>
        <w:snapToGrid w:val="0"/>
        <w:spacing w:line="360" w:lineRule="auto"/>
        <w:ind w:firstLine="480" w:firstLineChars="200"/>
        <w:rPr>
          <w:rFonts w:ascii="宋体" w:hAnsi="宋体"/>
          <w:sz w:val="24"/>
        </w:rPr>
      </w:pPr>
      <w:r>
        <w:rPr>
          <w:rFonts w:ascii="宋体" w:hAnsi="宋体"/>
          <w:sz w:val="24"/>
        </w:rPr>
        <w:t>②建立维护档案，填写设备/软件维护记录；</w:t>
      </w:r>
    </w:p>
    <w:p w14:paraId="2AB1F561">
      <w:pPr>
        <w:snapToGrid w:val="0"/>
        <w:spacing w:line="360" w:lineRule="auto"/>
        <w:ind w:firstLine="480" w:firstLineChars="200"/>
      </w:pPr>
      <w:r>
        <w:rPr>
          <w:rFonts w:ascii="宋体" w:hAnsi="宋体"/>
          <w:sz w:val="24"/>
        </w:rPr>
        <w:t>③备份系统日志，登记错误日志。</w:t>
      </w:r>
    </w:p>
    <w:bookmarkEnd w:id="51"/>
    <w:bookmarkEnd w:id="52"/>
    <w:p w14:paraId="2E52FA68">
      <w:pPr>
        <w:keepNext/>
        <w:keepLines/>
        <w:autoSpaceDE w:val="0"/>
        <w:autoSpaceDN w:val="0"/>
        <w:snapToGrid w:val="0"/>
        <w:spacing w:line="360" w:lineRule="auto"/>
        <w:jc w:val="left"/>
        <w:outlineLvl w:val="0"/>
        <w:rPr>
          <w:rFonts w:ascii="宋体" w:hAnsi="宋体"/>
          <w:b/>
          <w:kern w:val="44"/>
          <w:sz w:val="24"/>
        </w:rPr>
      </w:pPr>
      <w:bookmarkStart w:id="53" w:name="_Toc29857"/>
      <w:bookmarkStart w:id="54" w:name="_Toc23807"/>
      <w:bookmarkStart w:id="55" w:name="_Toc3098"/>
      <w:bookmarkStart w:id="56" w:name="_Toc22447"/>
      <w:bookmarkStart w:id="57" w:name="_Toc2829"/>
      <w:bookmarkStart w:id="58" w:name="_Toc23564"/>
      <w:bookmarkStart w:id="59" w:name="_Toc11287"/>
      <w:r>
        <w:rPr>
          <w:rFonts w:hint="eastAsia" w:ascii="宋体" w:hAnsi="宋体"/>
          <w:b/>
          <w:kern w:val="44"/>
          <w:sz w:val="24"/>
        </w:rPr>
        <w:t>三、</w:t>
      </w:r>
      <w:r>
        <w:rPr>
          <w:rFonts w:ascii="宋体" w:hAnsi="宋体"/>
          <w:b/>
          <w:kern w:val="44"/>
          <w:sz w:val="24"/>
        </w:rPr>
        <w:t>安全保密要求</w:t>
      </w:r>
    </w:p>
    <w:bookmarkEnd w:id="53"/>
    <w:bookmarkEnd w:id="54"/>
    <w:bookmarkEnd w:id="55"/>
    <w:bookmarkEnd w:id="56"/>
    <w:bookmarkEnd w:id="57"/>
    <w:bookmarkEnd w:id="58"/>
    <w:bookmarkEnd w:id="59"/>
    <w:p w14:paraId="477A69F5">
      <w:pPr>
        <w:keepNext/>
        <w:keepLines/>
        <w:autoSpaceDE w:val="0"/>
        <w:autoSpaceDN w:val="0"/>
        <w:snapToGrid w:val="0"/>
        <w:spacing w:line="360" w:lineRule="auto"/>
        <w:jc w:val="left"/>
        <w:outlineLvl w:val="1"/>
        <w:rPr>
          <w:rFonts w:ascii="宋体" w:hAnsi="宋体"/>
          <w:b/>
          <w:bCs/>
          <w:kern w:val="0"/>
          <w:sz w:val="24"/>
        </w:rPr>
      </w:pPr>
      <w:r>
        <w:rPr>
          <w:rFonts w:ascii="宋体" w:hAnsi="宋体"/>
          <w:b/>
          <w:bCs/>
          <w:kern w:val="0"/>
          <w:sz w:val="24"/>
        </w:rPr>
        <w:t>3.1</w:t>
      </w:r>
      <w:r>
        <w:rPr>
          <w:rFonts w:hint="eastAsia" w:ascii="宋体" w:hAnsi="宋体"/>
          <w:b/>
          <w:bCs/>
          <w:kern w:val="0"/>
          <w:sz w:val="24"/>
        </w:rPr>
        <w:t xml:space="preserve"> </w:t>
      </w:r>
      <w:r>
        <w:rPr>
          <w:rFonts w:ascii="宋体" w:hAnsi="宋体"/>
          <w:b/>
          <w:bCs/>
          <w:kern w:val="0"/>
          <w:sz w:val="24"/>
        </w:rPr>
        <w:t>服务保密要求</w:t>
      </w:r>
    </w:p>
    <w:p w14:paraId="2BFC568D">
      <w:pPr>
        <w:snapToGrid w:val="0"/>
        <w:spacing w:line="360" w:lineRule="auto"/>
        <w:ind w:firstLine="480" w:firstLineChars="200"/>
        <w:rPr>
          <w:rFonts w:ascii="宋体" w:hAnsi="宋体"/>
          <w:sz w:val="24"/>
        </w:rPr>
      </w:pPr>
      <w:r>
        <w:rPr>
          <w:rFonts w:ascii="宋体" w:hAnsi="宋体"/>
          <w:sz w:val="24"/>
        </w:rPr>
        <w:t>中标方须与业主单位签订保密协议。</w:t>
      </w:r>
    </w:p>
    <w:p w14:paraId="7F2B0C2E">
      <w:pPr>
        <w:pStyle w:val="967"/>
        <w:keepNext/>
        <w:keepLines/>
        <w:autoSpaceDE w:val="0"/>
        <w:autoSpaceDN w:val="0"/>
        <w:adjustRightInd w:val="0"/>
        <w:snapToGrid w:val="0"/>
        <w:spacing w:line="360" w:lineRule="auto"/>
        <w:ind w:right="-512" w:firstLine="0" w:firstLineChars="0"/>
        <w:outlineLvl w:val="1"/>
        <w:rPr>
          <w:rFonts w:ascii="宋体" w:hAnsi="宋体"/>
          <w:b/>
          <w:bCs/>
          <w:kern w:val="0"/>
          <w:sz w:val="24"/>
        </w:rPr>
      </w:pPr>
      <w:r>
        <w:rPr>
          <w:rFonts w:ascii="宋体" w:hAnsi="宋体"/>
          <w:b/>
          <w:bCs/>
          <w:kern w:val="0"/>
          <w:sz w:val="24"/>
        </w:rPr>
        <w:t>3.2</w:t>
      </w:r>
      <w:bookmarkStart w:id="60" w:name="_Toc18643"/>
      <w:bookmarkStart w:id="61" w:name="_Toc11503"/>
      <w:bookmarkStart w:id="62" w:name="_Toc14596"/>
      <w:bookmarkStart w:id="63" w:name="_Toc31230"/>
      <w:bookmarkStart w:id="64" w:name="_Toc6627"/>
      <w:bookmarkStart w:id="65" w:name="_Toc10140"/>
      <w:bookmarkStart w:id="66" w:name="_Toc3305"/>
      <w:r>
        <w:rPr>
          <w:rFonts w:hint="eastAsia" w:ascii="宋体" w:hAnsi="宋体"/>
          <w:b/>
          <w:bCs/>
          <w:kern w:val="0"/>
          <w:sz w:val="24"/>
        </w:rPr>
        <w:t xml:space="preserve"> </w:t>
      </w:r>
      <w:r>
        <w:rPr>
          <w:rFonts w:ascii="宋体" w:hAnsi="宋体"/>
          <w:b/>
          <w:bCs/>
          <w:kern w:val="0"/>
          <w:sz w:val="24"/>
        </w:rPr>
        <w:t>安全性、功能性能测试要求</w:t>
      </w:r>
      <w:bookmarkEnd w:id="60"/>
      <w:bookmarkEnd w:id="61"/>
      <w:bookmarkEnd w:id="62"/>
      <w:bookmarkEnd w:id="63"/>
      <w:bookmarkEnd w:id="64"/>
      <w:bookmarkEnd w:id="65"/>
      <w:bookmarkEnd w:id="66"/>
    </w:p>
    <w:p w14:paraId="56EC0C62">
      <w:pPr>
        <w:snapToGrid w:val="0"/>
        <w:spacing w:line="360" w:lineRule="auto"/>
        <w:ind w:firstLine="480" w:firstLineChars="200"/>
        <w:rPr>
          <w:rFonts w:ascii="宋体" w:hAnsi="宋体"/>
          <w:sz w:val="24"/>
        </w:rPr>
      </w:pPr>
      <w:r>
        <w:rPr>
          <w:rFonts w:ascii="宋体" w:hAnsi="宋体"/>
          <w:sz w:val="24"/>
        </w:rPr>
        <w:t>系统须避免各种信息安全漏洞，加强安全性防护，有完善的安全解决方案。采购方可委托第三方进行安全和性能测试，如果测试中发现存在问题，中标方需尽快解决。测试费用由中标方承担。</w:t>
      </w:r>
    </w:p>
    <w:p w14:paraId="33BCC0FE">
      <w:pPr>
        <w:pStyle w:val="967"/>
        <w:keepNext/>
        <w:keepLines/>
        <w:autoSpaceDE w:val="0"/>
        <w:autoSpaceDN w:val="0"/>
        <w:adjustRightInd w:val="0"/>
        <w:snapToGrid w:val="0"/>
        <w:spacing w:line="360" w:lineRule="auto"/>
        <w:ind w:right="-512" w:firstLine="0" w:firstLineChars="0"/>
        <w:outlineLvl w:val="1"/>
        <w:rPr>
          <w:rFonts w:ascii="宋体" w:hAnsi="宋体"/>
          <w:b/>
          <w:bCs/>
          <w:kern w:val="0"/>
          <w:sz w:val="24"/>
        </w:rPr>
      </w:pPr>
      <w:r>
        <w:rPr>
          <w:rFonts w:ascii="宋体" w:hAnsi="宋体"/>
          <w:b/>
          <w:bCs/>
          <w:kern w:val="0"/>
          <w:sz w:val="24"/>
        </w:rPr>
        <w:t>3.3</w:t>
      </w:r>
      <w:r>
        <w:rPr>
          <w:rFonts w:hint="eastAsia" w:ascii="宋体" w:hAnsi="宋体"/>
          <w:b/>
          <w:bCs/>
          <w:kern w:val="0"/>
          <w:sz w:val="24"/>
        </w:rPr>
        <w:t xml:space="preserve"> </w:t>
      </w:r>
      <w:r>
        <w:rPr>
          <w:rFonts w:ascii="宋体" w:hAnsi="宋体"/>
          <w:b/>
          <w:bCs/>
          <w:kern w:val="0"/>
          <w:sz w:val="24"/>
        </w:rPr>
        <w:t>信息安全承诺保障</w:t>
      </w:r>
    </w:p>
    <w:p w14:paraId="43C256BF">
      <w:pPr>
        <w:snapToGrid w:val="0"/>
        <w:spacing w:line="360" w:lineRule="auto"/>
        <w:ind w:firstLine="480" w:firstLineChars="200"/>
        <w:rPr>
          <w:rFonts w:ascii="宋体" w:hAnsi="宋体"/>
          <w:sz w:val="24"/>
        </w:rPr>
      </w:pPr>
      <w:bookmarkStart w:id="67" w:name="_Toc3777"/>
      <w:r>
        <w:rPr>
          <w:rFonts w:ascii="宋体" w:hAnsi="宋体"/>
          <w:sz w:val="24"/>
        </w:rPr>
        <w:t>中标方承诺严格把控运维人员安全风险及系统安全风险，每月对系统进行安全监测和巡检，出具安全巡检报告。及时修复系统存在的各类安全漏洞。在政府重要活动、会议召开期间对系统进行7*24小时严密监控，一旦发现问题，要求在第一时间内关停或恢复正常服务，并尽可能的消除影响。中标方承担因系统本身漏洞所引发的信息安全事件而带来的相关法律责任。</w:t>
      </w:r>
    </w:p>
    <w:p w14:paraId="2F09CD3B">
      <w:pPr>
        <w:snapToGrid w:val="0"/>
        <w:spacing w:line="360" w:lineRule="auto"/>
        <w:ind w:firstLine="480" w:firstLineChars="200"/>
        <w:rPr>
          <w:rFonts w:ascii="宋体" w:hAnsi="宋体"/>
          <w:sz w:val="24"/>
        </w:rPr>
      </w:pPr>
      <w:r>
        <w:rPr>
          <w:rFonts w:ascii="宋体" w:hAnsi="宋体"/>
          <w:sz w:val="24"/>
        </w:rPr>
        <w:t>运维期如发生重大信息安全事件，被上级单位或公安机关通报一次，从履约保证金中扣除5000元。如发生被悬挂反动标语、赌博色情等非法暗链事件，则履约保证金全部罚没。因运维人员管理疏忽导致的上述信息安全事件，采购方保留追诉中标方连带法律责任的权力。</w:t>
      </w:r>
    </w:p>
    <w:p w14:paraId="5E0D39DD">
      <w:pPr>
        <w:pStyle w:val="967"/>
        <w:keepNext/>
        <w:keepLines/>
        <w:autoSpaceDE w:val="0"/>
        <w:autoSpaceDN w:val="0"/>
        <w:adjustRightInd w:val="0"/>
        <w:snapToGrid w:val="0"/>
        <w:spacing w:line="360" w:lineRule="auto"/>
        <w:ind w:right="-512" w:firstLine="0" w:firstLineChars="0"/>
        <w:outlineLvl w:val="1"/>
        <w:rPr>
          <w:rFonts w:ascii="宋体" w:hAnsi="宋体"/>
          <w:b/>
          <w:bCs/>
          <w:kern w:val="0"/>
          <w:sz w:val="24"/>
        </w:rPr>
      </w:pPr>
      <w:r>
        <w:rPr>
          <w:rFonts w:ascii="宋体" w:hAnsi="宋体"/>
          <w:b/>
          <w:bCs/>
          <w:kern w:val="0"/>
          <w:sz w:val="24"/>
        </w:rPr>
        <w:t>3.4</w:t>
      </w:r>
      <w:r>
        <w:rPr>
          <w:rFonts w:hint="eastAsia" w:ascii="宋体" w:hAnsi="宋体"/>
          <w:b/>
          <w:bCs/>
          <w:kern w:val="0"/>
          <w:sz w:val="24"/>
        </w:rPr>
        <w:t xml:space="preserve"> </w:t>
      </w:r>
      <w:r>
        <w:rPr>
          <w:rFonts w:ascii="宋体" w:hAnsi="宋体"/>
          <w:b/>
          <w:bCs/>
          <w:kern w:val="0"/>
          <w:sz w:val="24"/>
        </w:rPr>
        <w:t>软件安全要求</w:t>
      </w:r>
    </w:p>
    <w:p w14:paraId="2EB5B43C">
      <w:pPr>
        <w:snapToGrid w:val="0"/>
        <w:spacing w:line="360" w:lineRule="auto"/>
        <w:ind w:firstLine="480" w:firstLineChars="200"/>
        <w:rPr>
          <w:rFonts w:ascii="宋体" w:hAnsi="宋体"/>
          <w:sz w:val="24"/>
        </w:rPr>
      </w:pPr>
      <w:r>
        <w:rPr>
          <w:rFonts w:ascii="宋体" w:hAnsi="宋体"/>
          <w:sz w:val="24"/>
        </w:rPr>
        <w:t>要求系统能够具有业务负载均衡功能，具有完善的安全解决方案，确保敏感数据的机密性和完整性，要求系统在数据库、数据、应用系统方面实现权限限制和身份认证，同时结合客户网络环境、硬件配置给予安全建议。</w:t>
      </w:r>
    </w:p>
    <w:p w14:paraId="5D6CD25D">
      <w:pPr>
        <w:pStyle w:val="967"/>
        <w:keepNext/>
        <w:keepLines/>
        <w:autoSpaceDE w:val="0"/>
        <w:autoSpaceDN w:val="0"/>
        <w:adjustRightInd w:val="0"/>
        <w:snapToGrid w:val="0"/>
        <w:spacing w:line="360" w:lineRule="auto"/>
        <w:ind w:right="-512" w:firstLine="0" w:firstLineChars="0"/>
        <w:outlineLvl w:val="1"/>
        <w:rPr>
          <w:rFonts w:ascii="宋体" w:hAnsi="宋体"/>
          <w:b/>
          <w:bCs/>
          <w:kern w:val="0"/>
          <w:sz w:val="24"/>
        </w:rPr>
      </w:pPr>
      <w:r>
        <w:rPr>
          <w:rFonts w:ascii="宋体" w:hAnsi="宋体"/>
          <w:b/>
          <w:bCs/>
          <w:kern w:val="0"/>
          <w:sz w:val="24"/>
        </w:rPr>
        <w:t>3</w:t>
      </w:r>
      <w:r>
        <w:rPr>
          <w:rFonts w:ascii="宋体" w:hAnsi="宋体"/>
          <w:b/>
          <w:bCs/>
          <w:kern w:val="0"/>
          <w:sz w:val="24"/>
          <w:lang w:eastAsia="zh-Hans"/>
        </w:rPr>
        <w:t>.</w:t>
      </w:r>
      <w:r>
        <w:rPr>
          <w:rFonts w:hint="eastAsia" w:ascii="宋体" w:hAnsi="宋体"/>
          <w:b/>
          <w:bCs/>
          <w:kern w:val="0"/>
          <w:sz w:val="24"/>
        </w:rPr>
        <w:t xml:space="preserve">5 </w:t>
      </w:r>
      <w:r>
        <w:rPr>
          <w:rFonts w:ascii="宋体" w:hAnsi="宋体"/>
          <w:b/>
          <w:bCs/>
          <w:kern w:val="0"/>
          <w:sz w:val="24"/>
        </w:rPr>
        <w:t>软件应急方案</w:t>
      </w:r>
    </w:p>
    <w:p w14:paraId="0D9104C9">
      <w:pPr>
        <w:snapToGrid w:val="0"/>
        <w:spacing w:line="360" w:lineRule="auto"/>
        <w:ind w:firstLine="480" w:firstLineChars="200"/>
        <w:rPr>
          <w:rFonts w:ascii="宋体" w:hAnsi="宋体"/>
          <w:sz w:val="24"/>
        </w:rPr>
      </w:pPr>
      <w:r>
        <w:rPr>
          <w:rFonts w:hint="eastAsia" w:ascii="宋体" w:hAnsi="宋体"/>
          <w:color w:val="000000"/>
          <w:sz w:val="24"/>
        </w:rPr>
        <w:t>中标人必须提供系统应急方案，并得到业主方的批准，此为验收通过的必备条件之一。应急方案需考虑各种故障类型（包括数据库崩溃、业务系统遭受攻击），分别给出解决方案。</w:t>
      </w:r>
    </w:p>
    <w:p w14:paraId="270CF851">
      <w:pPr>
        <w:keepNext/>
        <w:keepLines/>
        <w:autoSpaceDE w:val="0"/>
        <w:autoSpaceDN w:val="0"/>
        <w:snapToGrid w:val="0"/>
        <w:spacing w:line="360" w:lineRule="auto"/>
        <w:jc w:val="left"/>
        <w:outlineLvl w:val="0"/>
        <w:rPr>
          <w:rFonts w:ascii="宋体" w:hAnsi="宋体"/>
          <w:b/>
          <w:kern w:val="44"/>
          <w:sz w:val="24"/>
        </w:rPr>
      </w:pPr>
      <w:r>
        <w:rPr>
          <w:rFonts w:hint="eastAsia" w:ascii="宋体" w:hAnsi="宋体"/>
          <w:b/>
          <w:kern w:val="44"/>
          <w:sz w:val="24"/>
        </w:rPr>
        <w:t>四、</w:t>
      </w:r>
      <w:r>
        <w:rPr>
          <w:rFonts w:ascii="宋体" w:hAnsi="宋体"/>
          <w:b/>
          <w:kern w:val="44"/>
          <w:sz w:val="24"/>
        </w:rPr>
        <w:t>知识产权要求</w:t>
      </w:r>
      <w:bookmarkEnd w:id="67"/>
    </w:p>
    <w:p w14:paraId="714B84E8">
      <w:pPr>
        <w:snapToGrid w:val="0"/>
        <w:spacing w:line="360" w:lineRule="auto"/>
        <w:ind w:firstLine="480" w:firstLineChars="200"/>
        <w:jc w:val="left"/>
        <w:rPr>
          <w:rFonts w:ascii="宋体" w:hAnsi="宋体"/>
          <w:sz w:val="24"/>
        </w:rPr>
      </w:pPr>
      <w:r>
        <w:rPr>
          <w:rFonts w:ascii="宋体" w:hAnsi="宋体"/>
          <w:sz w:val="24"/>
        </w:rPr>
        <w:t>中标方应保证所提供的系统或其任何一部分均不会侵犯任何第三方的知识产权。</w:t>
      </w:r>
    </w:p>
    <w:p w14:paraId="60320829">
      <w:pPr>
        <w:snapToGrid w:val="0"/>
        <w:spacing w:line="360" w:lineRule="auto"/>
        <w:ind w:firstLine="480" w:firstLineChars="200"/>
        <w:jc w:val="left"/>
        <w:rPr>
          <w:rFonts w:ascii="宋体" w:hAnsi="宋体"/>
          <w:sz w:val="24"/>
        </w:rPr>
      </w:pPr>
      <w:r>
        <w:rPr>
          <w:rFonts w:ascii="宋体" w:hAnsi="宋体"/>
          <w:sz w:val="24"/>
        </w:rPr>
        <w:t>本项目所有成果知识产权归采购方所有，采购方有权在其他项目上运用该项目成果。未经采购方书面同意，成果不得擅自扩散或提供给第三方使用。</w:t>
      </w:r>
    </w:p>
    <w:p w14:paraId="2830B354">
      <w:pPr>
        <w:pStyle w:val="23"/>
        <w:snapToGrid w:val="0"/>
        <w:ind w:firstLine="564" w:firstLineChars="235"/>
        <w:rPr>
          <w:rFonts w:cs="宋体" w:asciiTheme="majorEastAsia" w:hAnsiTheme="majorEastAsia" w:eastAsiaTheme="majorEastAsia"/>
          <w:color w:val="FF0000"/>
          <w:spacing w:val="-6"/>
        </w:rPr>
      </w:pPr>
      <w:r>
        <w:rPr>
          <w:rFonts w:hAnsi="宋体"/>
          <w:szCs w:val="24"/>
        </w:rPr>
        <w:t>中标方应保证采购方在软件使用过程中，免受第三方提出的侵权起诉。如发生此类纠纷，由中标方承担一切责任并负责解决。</w:t>
      </w:r>
    </w:p>
    <w:p w14:paraId="31F827CE">
      <w:pPr>
        <w:keepNext/>
        <w:keepLines/>
        <w:autoSpaceDE w:val="0"/>
        <w:autoSpaceDN w:val="0"/>
        <w:snapToGrid w:val="0"/>
        <w:spacing w:line="360" w:lineRule="auto"/>
        <w:jc w:val="left"/>
        <w:outlineLvl w:val="0"/>
        <w:rPr>
          <w:rFonts w:ascii="宋体" w:hAnsi="宋体"/>
          <w:b/>
          <w:kern w:val="44"/>
          <w:sz w:val="24"/>
        </w:rPr>
      </w:pPr>
      <w:r>
        <w:rPr>
          <w:rFonts w:hint="eastAsia" w:ascii="宋体" w:hAnsi="宋体"/>
          <w:b/>
          <w:kern w:val="44"/>
          <w:sz w:val="24"/>
        </w:rPr>
        <w:t>五、服务期限</w:t>
      </w:r>
    </w:p>
    <w:p w14:paraId="36D14654">
      <w:pPr>
        <w:pStyle w:val="60"/>
        <w:snapToGrid w:val="0"/>
        <w:ind w:firstLine="422"/>
        <w:rPr>
          <w:rFonts w:cs="宋体" w:asciiTheme="majorEastAsia" w:hAnsiTheme="majorEastAsia" w:eastAsiaTheme="majorEastAsia"/>
        </w:rPr>
      </w:pPr>
      <w:r>
        <w:rPr>
          <w:rFonts w:hint="eastAsia" w:cs="宋体" w:asciiTheme="majorEastAsia" w:hAnsiTheme="majorEastAsia" w:eastAsiaTheme="majorEastAsia"/>
        </w:rPr>
        <w:t>服务期限一年。时间范围按照合同约定执行。</w:t>
      </w:r>
    </w:p>
    <w:bookmarkEnd w:id="28"/>
    <w:bookmarkEnd w:id="29"/>
    <w:bookmarkEnd w:id="30"/>
    <w:bookmarkEnd w:id="31"/>
    <w:bookmarkEnd w:id="32"/>
    <w:bookmarkEnd w:id="33"/>
    <w:bookmarkEnd w:id="34"/>
    <w:p w14:paraId="625D548A">
      <w:pPr>
        <w:keepNext/>
        <w:keepLines/>
        <w:autoSpaceDE w:val="0"/>
        <w:autoSpaceDN w:val="0"/>
        <w:snapToGrid w:val="0"/>
        <w:spacing w:line="360" w:lineRule="auto"/>
        <w:jc w:val="left"/>
        <w:outlineLvl w:val="0"/>
        <w:rPr>
          <w:rFonts w:cs="宋体" w:asciiTheme="majorEastAsia" w:hAnsiTheme="majorEastAsia" w:eastAsiaTheme="majorEastAsia"/>
          <w:b/>
          <w:bCs/>
        </w:rPr>
      </w:pPr>
      <w:r>
        <w:rPr>
          <w:rFonts w:hint="eastAsia" w:cs="宋体" w:asciiTheme="majorEastAsia" w:hAnsiTheme="majorEastAsia" w:eastAsiaTheme="majorEastAsia"/>
          <w:b/>
          <w:bCs/>
        </w:rPr>
        <w:t>六、合同款项支付</w:t>
      </w:r>
    </w:p>
    <w:p w14:paraId="494B2D41">
      <w:pPr>
        <w:pStyle w:val="23"/>
        <w:snapToGrid w:val="0"/>
        <w:ind w:firstLine="470" w:firstLineChars="196"/>
        <w:rPr>
          <w:rFonts w:asciiTheme="majorEastAsia" w:hAnsiTheme="majorEastAsia" w:eastAsiaTheme="majorEastAsia"/>
          <w:szCs w:val="24"/>
        </w:rPr>
      </w:pPr>
      <w:r>
        <w:rPr>
          <w:rFonts w:hint="eastAsia" w:asciiTheme="majorEastAsia" w:hAnsiTheme="majorEastAsia" w:eastAsiaTheme="majorEastAsia"/>
          <w:szCs w:val="24"/>
        </w:rPr>
        <w:t>（1）合同签订后，中标人需向采购人提交合同总金额的1%作为项目履约保证金。验收合格后无息退还。</w:t>
      </w:r>
    </w:p>
    <w:p w14:paraId="00E7BDF6">
      <w:pPr>
        <w:pStyle w:val="23"/>
        <w:snapToGrid w:val="0"/>
        <w:ind w:firstLine="470" w:firstLineChars="196"/>
        <w:rPr>
          <w:rFonts w:cs="宋体" w:asciiTheme="majorEastAsia" w:hAnsiTheme="majorEastAsia" w:eastAsiaTheme="majorEastAsia"/>
          <w:szCs w:val="24"/>
          <w:lang w:val="zh-TW" w:eastAsia="zh-TW"/>
        </w:rPr>
      </w:pPr>
      <w:r>
        <w:rPr>
          <w:rFonts w:hint="eastAsia" w:asciiTheme="majorEastAsia" w:hAnsiTheme="majorEastAsia" w:eastAsiaTheme="majorEastAsia"/>
          <w:szCs w:val="24"/>
        </w:rPr>
        <w:t>（2）合同签订后，甲方在收到乙方发票并确认无误支付合同的60%；运维工作稳定并经用户确认后，支付合同价的35%；验收合格后支付合同价的5%。</w:t>
      </w:r>
    </w:p>
    <w:p w14:paraId="7B71FC22">
      <w:pPr>
        <w:keepNext/>
        <w:keepLines/>
        <w:autoSpaceDE w:val="0"/>
        <w:autoSpaceDN w:val="0"/>
        <w:snapToGrid w:val="0"/>
        <w:spacing w:line="360" w:lineRule="auto"/>
        <w:jc w:val="left"/>
        <w:outlineLvl w:val="0"/>
        <w:rPr>
          <w:rFonts w:asciiTheme="majorEastAsia" w:hAnsiTheme="majorEastAsia" w:eastAsiaTheme="majorEastAsia"/>
          <w:b/>
          <w:bCs/>
        </w:rPr>
      </w:pPr>
      <w:r>
        <w:rPr>
          <w:rFonts w:hint="eastAsia" w:asciiTheme="majorEastAsia" w:hAnsiTheme="majorEastAsia" w:eastAsiaTheme="majorEastAsia"/>
          <w:b/>
          <w:bCs/>
        </w:rPr>
        <w:t>七、验收标准</w:t>
      </w:r>
    </w:p>
    <w:p w14:paraId="409DA8E3">
      <w:pPr>
        <w:pStyle w:val="23"/>
        <w:snapToGrid w:val="0"/>
        <w:ind w:firstLine="470" w:firstLineChars="196"/>
        <w:rPr>
          <w:rFonts w:asciiTheme="majorEastAsia" w:hAnsiTheme="majorEastAsia" w:eastAsiaTheme="majorEastAsia"/>
          <w:szCs w:val="24"/>
        </w:rPr>
      </w:pPr>
      <w:r>
        <w:rPr>
          <w:rFonts w:hint="eastAsia" w:asciiTheme="majorEastAsia" w:hAnsiTheme="majorEastAsia" w:eastAsiaTheme="majorEastAsia"/>
          <w:szCs w:val="24"/>
        </w:rPr>
        <w:t>根据采购文件及合同内容。有关本项目实施所涉及的一切费用均由中标方承担。</w:t>
      </w:r>
    </w:p>
    <w:p w14:paraId="1F80D009">
      <w:pPr>
        <w:pStyle w:val="23"/>
        <w:snapToGrid w:val="0"/>
        <w:ind w:firstLine="470" w:firstLineChars="196"/>
        <w:rPr>
          <w:rFonts w:asciiTheme="majorEastAsia" w:hAnsiTheme="majorEastAsia" w:eastAsiaTheme="majorEastAsia"/>
          <w:szCs w:val="24"/>
        </w:rPr>
      </w:pPr>
      <w:r>
        <w:rPr>
          <w:rFonts w:hint="eastAsia" w:asciiTheme="majorEastAsia" w:hAnsiTheme="majorEastAsia" w:eastAsiaTheme="majorEastAsia"/>
          <w:szCs w:val="24"/>
        </w:rPr>
        <w:t>项目实施过程中，采购人对供应商履约情况进行实地验收。</w:t>
      </w:r>
    </w:p>
    <w:p w14:paraId="1203577C">
      <w:pPr>
        <w:pStyle w:val="23"/>
        <w:snapToGrid w:val="0"/>
        <w:ind w:firstLine="410" w:firstLineChars="171"/>
        <w:rPr>
          <w:rFonts w:asciiTheme="majorEastAsia" w:hAnsiTheme="majorEastAsia" w:eastAsiaTheme="majorEastAsia"/>
          <w:szCs w:val="24"/>
        </w:rPr>
      </w:pPr>
      <w:r>
        <w:rPr>
          <w:rFonts w:hint="eastAsia" w:asciiTheme="majorEastAsia" w:hAnsiTheme="majorEastAsia" w:eastAsiaTheme="majorEastAsia"/>
          <w:szCs w:val="24"/>
        </w:rPr>
        <w:t>项目实施完成后，由采购人组织中标人、监理，邀请相关专家组织项目验收会议。验收标准：招标文件、投标文件、政府采购合同规定的标准。</w:t>
      </w:r>
    </w:p>
    <w:p w14:paraId="59410ED1">
      <w:pPr>
        <w:keepNext/>
        <w:keepLines/>
        <w:autoSpaceDE w:val="0"/>
        <w:autoSpaceDN w:val="0"/>
        <w:snapToGrid w:val="0"/>
        <w:spacing w:line="360" w:lineRule="auto"/>
        <w:jc w:val="left"/>
        <w:outlineLvl w:val="0"/>
        <w:rPr>
          <w:rFonts w:asciiTheme="majorEastAsia" w:hAnsiTheme="majorEastAsia" w:eastAsiaTheme="majorEastAsia"/>
          <w:b/>
          <w:bCs/>
        </w:rPr>
      </w:pPr>
      <w:r>
        <w:rPr>
          <w:rFonts w:hint="eastAsia" w:asciiTheme="majorEastAsia" w:hAnsiTheme="majorEastAsia" w:eastAsiaTheme="majorEastAsia"/>
          <w:b/>
          <w:bCs/>
        </w:rPr>
        <w:t>八、服务标准</w:t>
      </w:r>
    </w:p>
    <w:p w14:paraId="608A3168">
      <w:pPr>
        <w:pStyle w:val="23"/>
        <w:snapToGrid w:val="0"/>
        <w:ind w:firstLine="470" w:firstLineChars="196"/>
        <w:rPr>
          <w:rFonts w:asciiTheme="majorEastAsia" w:hAnsiTheme="majorEastAsia" w:eastAsiaTheme="majorEastAsia"/>
          <w:szCs w:val="24"/>
        </w:rPr>
      </w:pPr>
      <w:r>
        <w:rPr>
          <w:rFonts w:hint="eastAsia" w:asciiTheme="majorEastAsia" w:hAnsiTheme="majorEastAsia" w:eastAsiaTheme="majorEastAsia"/>
          <w:szCs w:val="24"/>
        </w:rPr>
        <w:t>本项目需执行的国家相关标准、行业标准、地方标准或者其他标准、规范。</w:t>
      </w:r>
    </w:p>
    <w:p w14:paraId="5C28503D">
      <w:pPr>
        <w:pageBreakBefore/>
        <w:spacing w:line="360" w:lineRule="auto"/>
        <w:jc w:val="center"/>
        <w:outlineLvl w:val="0"/>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 xml:space="preserve">第四部分   </w:t>
      </w:r>
      <w:bookmarkStart w:id="68" w:name="_Toc184314478"/>
      <w:bookmarkEnd w:id="68"/>
      <w:bookmarkStart w:id="69" w:name="_Toc184312126"/>
      <w:bookmarkEnd w:id="69"/>
      <w:bookmarkStart w:id="70" w:name="_Toc184308105"/>
      <w:bookmarkEnd w:id="70"/>
      <w:bookmarkStart w:id="71" w:name="_Toc184314468"/>
      <w:bookmarkEnd w:id="71"/>
      <w:bookmarkStart w:id="72" w:name="_Toc184312123"/>
      <w:bookmarkEnd w:id="72"/>
      <w:bookmarkStart w:id="73" w:name="_Toc184310343"/>
      <w:bookmarkEnd w:id="73"/>
      <w:bookmarkStart w:id="74" w:name="_Toc184313306"/>
      <w:bookmarkEnd w:id="74"/>
      <w:bookmarkStart w:id="75" w:name="_Toc184312079"/>
      <w:bookmarkEnd w:id="75"/>
      <w:bookmarkStart w:id="76" w:name="_Toc184313298"/>
      <w:bookmarkEnd w:id="76"/>
      <w:bookmarkStart w:id="77" w:name="_Toc184308074"/>
      <w:bookmarkEnd w:id="77"/>
      <w:bookmarkStart w:id="78" w:name="_Toc184314421"/>
      <w:bookmarkEnd w:id="78"/>
      <w:bookmarkStart w:id="79" w:name="_Toc184314454"/>
      <w:bookmarkEnd w:id="79"/>
      <w:bookmarkStart w:id="80" w:name="_Toc184310299"/>
      <w:bookmarkEnd w:id="80"/>
      <w:bookmarkStart w:id="81" w:name="_Toc184313262"/>
      <w:bookmarkEnd w:id="81"/>
      <w:bookmarkStart w:id="82" w:name="_Toc184313293"/>
      <w:bookmarkEnd w:id="82"/>
      <w:bookmarkStart w:id="83" w:name="_Toc184310279"/>
      <w:bookmarkEnd w:id="83"/>
      <w:bookmarkStart w:id="84" w:name="_Toc184310301"/>
      <w:bookmarkEnd w:id="84"/>
      <w:bookmarkStart w:id="85" w:name="_Toc184312114"/>
      <w:bookmarkEnd w:id="85"/>
      <w:bookmarkStart w:id="86" w:name="_Toc184313296"/>
      <w:bookmarkEnd w:id="86"/>
      <w:bookmarkStart w:id="87" w:name="_Toc184313308"/>
      <w:bookmarkEnd w:id="87"/>
      <w:bookmarkStart w:id="88" w:name="_Toc184310321"/>
      <w:bookmarkEnd w:id="88"/>
      <w:bookmarkStart w:id="89" w:name="_Toc184314463"/>
      <w:bookmarkEnd w:id="89"/>
      <w:bookmarkStart w:id="90" w:name="_Toc184313309"/>
      <w:bookmarkEnd w:id="90"/>
      <w:bookmarkStart w:id="91" w:name="_Toc184312128"/>
      <w:bookmarkEnd w:id="91"/>
      <w:bookmarkStart w:id="92" w:name="_Toc184313305"/>
      <w:bookmarkEnd w:id="92"/>
      <w:bookmarkStart w:id="93" w:name="_Toc184312081"/>
      <w:bookmarkEnd w:id="93"/>
      <w:bookmarkStart w:id="94" w:name="_Toc184308087"/>
      <w:bookmarkEnd w:id="94"/>
      <w:bookmarkStart w:id="95" w:name="_Toc184313253"/>
      <w:bookmarkEnd w:id="95"/>
      <w:bookmarkStart w:id="96" w:name="_Toc184312110"/>
      <w:bookmarkEnd w:id="96"/>
      <w:bookmarkStart w:id="97" w:name="_Toc184313285"/>
      <w:bookmarkEnd w:id="97"/>
      <w:bookmarkStart w:id="98" w:name="_Toc184312138"/>
      <w:bookmarkEnd w:id="98"/>
      <w:bookmarkStart w:id="99" w:name="_Toc184308044"/>
      <w:bookmarkEnd w:id="99"/>
      <w:bookmarkStart w:id="100" w:name="_Toc184312101"/>
      <w:bookmarkEnd w:id="100"/>
      <w:bookmarkStart w:id="101" w:name="_Toc184310338"/>
      <w:bookmarkEnd w:id="101"/>
      <w:bookmarkStart w:id="102" w:name="_Toc184314469"/>
      <w:bookmarkEnd w:id="102"/>
      <w:bookmarkStart w:id="103" w:name="_Toc184308090"/>
      <w:bookmarkEnd w:id="103"/>
      <w:bookmarkStart w:id="104" w:name="_Toc184313247"/>
      <w:bookmarkEnd w:id="104"/>
      <w:bookmarkStart w:id="105" w:name="_Toc184308057"/>
      <w:bookmarkEnd w:id="105"/>
      <w:bookmarkStart w:id="106" w:name="_Toc184312082"/>
      <w:bookmarkEnd w:id="106"/>
      <w:bookmarkStart w:id="107" w:name="_Toc184310330"/>
      <w:bookmarkEnd w:id="107"/>
      <w:bookmarkStart w:id="108" w:name="_Toc184313241"/>
      <w:bookmarkEnd w:id="108"/>
      <w:bookmarkStart w:id="109" w:name="_Toc184310294"/>
      <w:bookmarkEnd w:id="109"/>
      <w:bookmarkStart w:id="110" w:name="_Toc184308077"/>
      <w:bookmarkEnd w:id="110"/>
      <w:bookmarkStart w:id="111" w:name="_Toc184313240"/>
      <w:bookmarkEnd w:id="111"/>
      <w:bookmarkStart w:id="112" w:name="_Toc184312095"/>
      <w:bookmarkEnd w:id="112"/>
      <w:bookmarkStart w:id="113" w:name="_Toc184312137"/>
      <w:bookmarkEnd w:id="113"/>
      <w:bookmarkStart w:id="114" w:name="_Toc184310313"/>
      <w:bookmarkEnd w:id="114"/>
      <w:bookmarkStart w:id="115" w:name="_Toc184314442"/>
      <w:bookmarkEnd w:id="115"/>
      <w:bookmarkStart w:id="116" w:name="_Toc184313290"/>
      <w:bookmarkEnd w:id="116"/>
      <w:bookmarkStart w:id="117" w:name="_Toc184313284"/>
      <w:bookmarkEnd w:id="117"/>
      <w:bookmarkStart w:id="118" w:name="_Toc184312087"/>
      <w:bookmarkEnd w:id="118"/>
      <w:bookmarkStart w:id="119" w:name="_Toc184313286"/>
      <w:bookmarkEnd w:id="119"/>
      <w:bookmarkStart w:id="120" w:name="_Toc184312120"/>
      <w:bookmarkEnd w:id="120"/>
      <w:bookmarkStart w:id="121" w:name="_Toc184314480"/>
      <w:bookmarkEnd w:id="121"/>
      <w:bookmarkStart w:id="122" w:name="_Toc184312100"/>
      <w:bookmarkEnd w:id="122"/>
      <w:bookmarkStart w:id="123" w:name="_Toc184314470"/>
      <w:bookmarkEnd w:id="123"/>
      <w:bookmarkStart w:id="124" w:name="_Toc184314451"/>
      <w:bookmarkEnd w:id="124"/>
      <w:bookmarkStart w:id="125" w:name="_Toc184313276"/>
      <w:bookmarkEnd w:id="125"/>
      <w:bookmarkStart w:id="126" w:name="_Toc184310274"/>
      <w:bookmarkEnd w:id="126"/>
      <w:bookmarkStart w:id="127" w:name="_Toc184313289"/>
      <w:bookmarkEnd w:id="127"/>
      <w:bookmarkStart w:id="128" w:name="_Toc184310323"/>
      <w:bookmarkEnd w:id="128"/>
      <w:bookmarkStart w:id="129" w:name="_Toc184310320"/>
      <w:bookmarkEnd w:id="129"/>
      <w:bookmarkStart w:id="130" w:name="_Toc184310317"/>
      <w:bookmarkEnd w:id="130"/>
      <w:bookmarkStart w:id="131" w:name="_Toc184312104"/>
      <w:bookmarkEnd w:id="131"/>
      <w:bookmarkStart w:id="132" w:name="_Toc184312116"/>
      <w:bookmarkEnd w:id="132"/>
      <w:bookmarkStart w:id="133" w:name="_Toc184308078"/>
      <w:bookmarkEnd w:id="133"/>
      <w:bookmarkStart w:id="134" w:name="_Toc184313265"/>
      <w:bookmarkEnd w:id="134"/>
      <w:bookmarkStart w:id="135" w:name="_Toc184310302"/>
      <w:bookmarkEnd w:id="135"/>
      <w:bookmarkStart w:id="136" w:name="_Toc184312076"/>
      <w:bookmarkEnd w:id="136"/>
      <w:bookmarkStart w:id="137" w:name="_Toc184312111"/>
      <w:bookmarkEnd w:id="137"/>
      <w:bookmarkStart w:id="138" w:name="_Toc184308080"/>
      <w:bookmarkEnd w:id="138"/>
      <w:bookmarkStart w:id="139" w:name="_Toc184314479"/>
      <w:bookmarkEnd w:id="139"/>
      <w:bookmarkStart w:id="140" w:name="_Toc184314426"/>
      <w:bookmarkEnd w:id="140"/>
      <w:bookmarkStart w:id="141" w:name="_Toc184312115"/>
      <w:bookmarkEnd w:id="141"/>
      <w:bookmarkStart w:id="142" w:name="_Toc184310308"/>
      <w:bookmarkEnd w:id="142"/>
      <w:bookmarkStart w:id="143" w:name="_Toc184312136"/>
      <w:bookmarkEnd w:id="143"/>
      <w:bookmarkStart w:id="144" w:name="_Toc184314458"/>
      <w:bookmarkEnd w:id="144"/>
      <w:bookmarkStart w:id="145" w:name="_Toc184313297"/>
      <w:bookmarkEnd w:id="145"/>
      <w:bookmarkStart w:id="146" w:name="_Toc184310327"/>
      <w:bookmarkEnd w:id="146"/>
      <w:bookmarkStart w:id="147" w:name="_Toc184308049"/>
      <w:bookmarkEnd w:id="147"/>
      <w:bookmarkStart w:id="148" w:name="_Toc184308062"/>
      <w:bookmarkEnd w:id="148"/>
      <w:bookmarkStart w:id="149" w:name="_Toc184308070"/>
      <w:bookmarkEnd w:id="149"/>
      <w:bookmarkStart w:id="150" w:name="_Toc184308042"/>
      <w:bookmarkEnd w:id="150"/>
      <w:bookmarkStart w:id="151" w:name="_Toc184314410"/>
      <w:bookmarkEnd w:id="151"/>
      <w:bookmarkStart w:id="152" w:name="_Toc184308052"/>
      <w:bookmarkEnd w:id="152"/>
      <w:bookmarkStart w:id="153" w:name="_Toc184310283"/>
      <w:bookmarkEnd w:id="153"/>
      <w:bookmarkStart w:id="154" w:name="_Toc184310336"/>
      <w:bookmarkEnd w:id="154"/>
      <w:bookmarkStart w:id="155" w:name="_Toc184308108"/>
      <w:bookmarkEnd w:id="155"/>
      <w:bookmarkStart w:id="156" w:name="_Toc184308067"/>
      <w:bookmarkEnd w:id="156"/>
      <w:bookmarkStart w:id="157" w:name="_Toc184313259"/>
      <w:bookmarkEnd w:id="157"/>
      <w:bookmarkStart w:id="158" w:name="_Toc184312075"/>
      <w:bookmarkEnd w:id="158"/>
      <w:bookmarkStart w:id="159" w:name="_Toc184310305"/>
      <w:bookmarkEnd w:id="159"/>
      <w:bookmarkStart w:id="160" w:name="_Toc184308104"/>
      <w:bookmarkEnd w:id="160"/>
      <w:bookmarkStart w:id="161" w:name="_Toc184310331"/>
      <w:bookmarkEnd w:id="161"/>
      <w:bookmarkStart w:id="162" w:name="_Toc184312102"/>
      <w:bookmarkEnd w:id="162"/>
      <w:bookmarkStart w:id="163" w:name="_Toc184310342"/>
      <w:bookmarkEnd w:id="163"/>
      <w:bookmarkStart w:id="164" w:name="_Toc184312096"/>
      <w:bookmarkEnd w:id="164"/>
      <w:bookmarkStart w:id="165" w:name="_Toc184308045"/>
      <w:bookmarkEnd w:id="165"/>
      <w:bookmarkStart w:id="166" w:name="_Toc184314450"/>
      <w:bookmarkEnd w:id="166"/>
      <w:bookmarkStart w:id="167" w:name="_Toc184310275"/>
      <w:bookmarkEnd w:id="167"/>
      <w:bookmarkStart w:id="168" w:name="_Toc184313243"/>
      <w:bookmarkEnd w:id="168"/>
      <w:bookmarkStart w:id="169" w:name="_Toc184313256"/>
      <w:bookmarkEnd w:id="169"/>
      <w:bookmarkStart w:id="170" w:name="_Toc184313299"/>
      <w:bookmarkEnd w:id="170"/>
      <w:bookmarkStart w:id="171" w:name="_Toc184308093"/>
      <w:bookmarkEnd w:id="171"/>
      <w:bookmarkStart w:id="172" w:name="_Toc184313267"/>
      <w:bookmarkEnd w:id="172"/>
      <w:bookmarkStart w:id="173" w:name="_Toc184313279"/>
      <w:bookmarkEnd w:id="173"/>
      <w:bookmarkStart w:id="174" w:name="_Toc184314467"/>
      <w:bookmarkEnd w:id="174"/>
      <w:bookmarkStart w:id="175" w:name="_Toc184313303"/>
      <w:bookmarkEnd w:id="175"/>
      <w:bookmarkStart w:id="176" w:name="_Toc184310326"/>
      <w:bookmarkEnd w:id="176"/>
      <w:bookmarkStart w:id="177" w:name="_Toc184313301"/>
      <w:bookmarkEnd w:id="177"/>
      <w:bookmarkStart w:id="178" w:name="_Toc184313242"/>
      <w:bookmarkEnd w:id="178"/>
      <w:bookmarkStart w:id="179" w:name="_Toc184310312"/>
      <w:bookmarkEnd w:id="179"/>
      <w:bookmarkStart w:id="180" w:name="_Toc184310296"/>
      <w:bookmarkEnd w:id="180"/>
      <w:bookmarkStart w:id="181" w:name="_Toc184308061"/>
      <w:bookmarkEnd w:id="181"/>
      <w:bookmarkStart w:id="182" w:name="_Toc184314453"/>
      <w:bookmarkEnd w:id="182"/>
      <w:bookmarkStart w:id="183" w:name="_Toc184310340"/>
      <w:bookmarkEnd w:id="183"/>
      <w:bookmarkStart w:id="184" w:name="_Toc184314411"/>
      <w:bookmarkEnd w:id="184"/>
      <w:bookmarkStart w:id="185" w:name="_Toc184314422"/>
      <w:bookmarkEnd w:id="185"/>
      <w:bookmarkStart w:id="186" w:name="_Toc184308106"/>
      <w:bookmarkEnd w:id="186"/>
      <w:bookmarkStart w:id="187" w:name="_Toc184313252"/>
      <w:bookmarkEnd w:id="187"/>
      <w:bookmarkStart w:id="188" w:name="_Toc184314428"/>
      <w:bookmarkEnd w:id="188"/>
      <w:bookmarkStart w:id="189" w:name="_Toc184313249"/>
      <w:bookmarkEnd w:id="189"/>
      <w:bookmarkStart w:id="190" w:name="_Toc184308089"/>
      <w:bookmarkEnd w:id="190"/>
      <w:bookmarkStart w:id="191" w:name="_Toc184312119"/>
      <w:bookmarkEnd w:id="191"/>
      <w:bookmarkStart w:id="192" w:name="_Toc184308054"/>
      <w:bookmarkEnd w:id="192"/>
      <w:bookmarkStart w:id="193" w:name="_Toc184308053"/>
      <w:bookmarkEnd w:id="193"/>
      <w:bookmarkStart w:id="194" w:name="_Toc184313288"/>
      <w:bookmarkEnd w:id="194"/>
      <w:bookmarkStart w:id="195" w:name="_Toc184313291"/>
      <w:bookmarkEnd w:id="195"/>
      <w:bookmarkStart w:id="196" w:name="_Toc184308097"/>
      <w:bookmarkEnd w:id="196"/>
      <w:bookmarkStart w:id="197" w:name="_Toc184312085"/>
      <w:bookmarkEnd w:id="197"/>
      <w:bookmarkStart w:id="198" w:name="_Toc184314481"/>
      <w:bookmarkEnd w:id="198"/>
      <w:bookmarkStart w:id="199" w:name="_Toc184310319"/>
      <w:bookmarkEnd w:id="199"/>
      <w:bookmarkStart w:id="200" w:name="_Toc184308065"/>
      <w:bookmarkEnd w:id="200"/>
      <w:bookmarkStart w:id="201" w:name="_Toc184314419"/>
      <w:bookmarkEnd w:id="201"/>
      <w:bookmarkStart w:id="202" w:name="_Toc184313255"/>
      <w:bookmarkEnd w:id="202"/>
      <w:bookmarkStart w:id="203" w:name="_Toc184308043"/>
      <w:bookmarkEnd w:id="203"/>
      <w:bookmarkStart w:id="204" w:name="_Toc184314473"/>
      <w:bookmarkEnd w:id="204"/>
      <w:bookmarkStart w:id="205" w:name="_Toc184310333"/>
      <w:bookmarkEnd w:id="205"/>
      <w:bookmarkStart w:id="206" w:name="_Toc184308085"/>
      <w:bookmarkEnd w:id="206"/>
      <w:bookmarkStart w:id="207" w:name="_Toc184308092"/>
      <w:bookmarkEnd w:id="207"/>
      <w:bookmarkStart w:id="208" w:name="_Toc184313257"/>
      <w:bookmarkEnd w:id="208"/>
      <w:bookmarkStart w:id="209" w:name="_Toc184314472"/>
      <w:bookmarkEnd w:id="209"/>
      <w:bookmarkStart w:id="210" w:name="_Toc184314460"/>
      <w:bookmarkEnd w:id="210"/>
      <w:bookmarkStart w:id="211" w:name="_Toc184310298"/>
      <w:bookmarkEnd w:id="211"/>
      <w:bookmarkStart w:id="212" w:name="_Toc184308102"/>
      <w:bookmarkEnd w:id="212"/>
      <w:bookmarkStart w:id="213" w:name="_Toc184312132"/>
      <w:bookmarkEnd w:id="213"/>
      <w:bookmarkStart w:id="214" w:name="_Toc184313271"/>
      <w:bookmarkEnd w:id="214"/>
      <w:bookmarkStart w:id="215" w:name="_Toc184308088"/>
      <w:bookmarkEnd w:id="215"/>
      <w:bookmarkStart w:id="216" w:name="_Toc184312088"/>
      <w:bookmarkEnd w:id="216"/>
      <w:bookmarkStart w:id="217" w:name="_Toc184308069"/>
      <w:bookmarkEnd w:id="217"/>
      <w:bookmarkStart w:id="218" w:name="_Toc184314412"/>
      <w:bookmarkEnd w:id="218"/>
      <w:bookmarkStart w:id="219" w:name="_Toc184314430"/>
      <w:bookmarkEnd w:id="219"/>
      <w:bookmarkStart w:id="220" w:name="_Toc184313278"/>
      <w:bookmarkEnd w:id="220"/>
      <w:bookmarkStart w:id="221" w:name="_Toc184314435"/>
      <w:bookmarkEnd w:id="221"/>
      <w:bookmarkStart w:id="222" w:name="_Toc184313307"/>
      <w:bookmarkEnd w:id="222"/>
      <w:bookmarkStart w:id="223" w:name="_Toc184313248"/>
      <w:bookmarkEnd w:id="223"/>
      <w:bookmarkStart w:id="224" w:name="_Toc184308099"/>
      <w:bookmarkEnd w:id="224"/>
      <w:bookmarkStart w:id="225" w:name="_Toc184308036"/>
      <w:bookmarkEnd w:id="225"/>
      <w:bookmarkStart w:id="226" w:name="_Toc184308046"/>
      <w:bookmarkEnd w:id="226"/>
      <w:bookmarkStart w:id="227" w:name="_Toc184314444"/>
      <w:bookmarkEnd w:id="227"/>
      <w:bookmarkStart w:id="228" w:name="_Toc184310285"/>
      <w:bookmarkEnd w:id="228"/>
      <w:bookmarkStart w:id="229" w:name="_Toc184308056"/>
      <w:bookmarkEnd w:id="229"/>
      <w:bookmarkStart w:id="230" w:name="_Toc184310287"/>
      <w:bookmarkEnd w:id="230"/>
      <w:bookmarkStart w:id="231" w:name="_Toc184310344"/>
      <w:bookmarkEnd w:id="231"/>
      <w:bookmarkStart w:id="232" w:name="_Toc184310272"/>
      <w:bookmarkEnd w:id="232"/>
      <w:bookmarkStart w:id="233" w:name="_Toc184314449"/>
      <w:bookmarkEnd w:id="233"/>
      <w:bookmarkStart w:id="234" w:name="_Toc184313302"/>
      <w:bookmarkEnd w:id="234"/>
      <w:bookmarkStart w:id="235" w:name="_Toc184313246"/>
      <w:bookmarkEnd w:id="235"/>
      <w:bookmarkStart w:id="236" w:name="_Toc184310328"/>
      <w:bookmarkEnd w:id="236"/>
      <w:bookmarkStart w:id="237" w:name="_Toc184314474"/>
      <w:bookmarkEnd w:id="237"/>
      <w:bookmarkStart w:id="238" w:name="_Toc184312068"/>
      <w:bookmarkEnd w:id="238"/>
      <w:bookmarkStart w:id="239" w:name="_Toc184310282"/>
      <w:bookmarkEnd w:id="239"/>
      <w:bookmarkStart w:id="240" w:name="_Toc184310289"/>
      <w:bookmarkEnd w:id="240"/>
      <w:bookmarkStart w:id="241" w:name="_Toc184313264"/>
      <w:bookmarkEnd w:id="241"/>
      <w:bookmarkStart w:id="242" w:name="_Toc184310318"/>
      <w:bookmarkEnd w:id="242"/>
      <w:bookmarkStart w:id="243" w:name="_Toc184312135"/>
      <w:bookmarkEnd w:id="243"/>
      <w:bookmarkStart w:id="244" w:name="_Toc184308047"/>
      <w:bookmarkEnd w:id="244"/>
      <w:bookmarkStart w:id="245" w:name="_Toc184314441"/>
      <w:bookmarkEnd w:id="245"/>
      <w:bookmarkStart w:id="246" w:name="_Toc184314438"/>
      <w:bookmarkEnd w:id="246"/>
      <w:bookmarkStart w:id="247" w:name="_Toc184308041"/>
      <w:bookmarkEnd w:id="247"/>
      <w:bookmarkStart w:id="248" w:name="_Toc184310291"/>
      <w:bookmarkEnd w:id="248"/>
      <w:bookmarkStart w:id="249" w:name="_Toc184314429"/>
      <w:bookmarkEnd w:id="249"/>
      <w:bookmarkStart w:id="250" w:name="_Toc184312099"/>
      <w:bookmarkEnd w:id="250"/>
      <w:bookmarkStart w:id="251" w:name="_Toc184312133"/>
      <w:bookmarkEnd w:id="251"/>
      <w:bookmarkStart w:id="252" w:name="_Toc184312069"/>
      <w:bookmarkEnd w:id="252"/>
      <w:bookmarkStart w:id="253" w:name="_Toc184312091"/>
      <w:bookmarkEnd w:id="253"/>
      <w:bookmarkStart w:id="254" w:name="_Toc184312130"/>
      <w:bookmarkEnd w:id="254"/>
      <w:bookmarkStart w:id="255" w:name="_Toc184314462"/>
      <w:bookmarkEnd w:id="255"/>
      <w:bookmarkStart w:id="256" w:name="_Toc184308103"/>
      <w:bookmarkEnd w:id="256"/>
      <w:bookmarkStart w:id="257" w:name="_Toc184313280"/>
      <w:bookmarkEnd w:id="257"/>
      <w:bookmarkStart w:id="258" w:name="_Toc184313292"/>
      <w:bookmarkEnd w:id="258"/>
      <w:bookmarkStart w:id="259" w:name="_Toc184310277"/>
      <w:bookmarkEnd w:id="259"/>
      <w:bookmarkStart w:id="260" w:name="_Toc184308066"/>
      <w:bookmarkEnd w:id="260"/>
      <w:bookmarkStart w:id="261" w:name="_Toc184312077"/>
      <w:bookmarkEnd w:id="261"/>
      <w:bookmarkStart w:id="262" w:name="_Toc184314455"/>
      <w:bookmarkEnd w:id="262"/>
      <w:bookmarkStart w:id="263" w:name="_Toc184308082"/>
      <w:bookmarkEnd w:id="263"/>
      <w:bookmarkStart w:id="264" w:name="_Toc184314415"/>
      <w:bookmarkEnd w:id="264"/>
      <w:bookmarkStart w:id="265" w:name="_Toc184314436"/>
      <w:bookmarkEnd w:id="265"/>
      <w:bookmarkStart w:id="266" w:name="_Toc184310276"/>
      <w:bookmarkEnd w:id="266"/>
      <w:bookmarkStart w:id="267" w:name="_Toc184310292"/>
      <w:bookmarkEnd w:id="267"/>
      <w:bookmarkStart w:id="268" w:name="_Toc184310297"/>
      <w:bookmarkEnd w:id="268"/>
      <w:bookmarkStart w:id="269" w:name="_Toc184314476"/>
      <w:bookmarkEnd w:id="269"/>
      <w:bookmarkStart w:id="270" w:name="_Toc184313263"/>
      <w:bookmarkEnd w:id="270"/>
      <w:bookmarkStart w:id="271" w:name="_Toc184312125"/>
      <w:bookmarkEnd w:id="271"/>
      <w:bookmarkStart w:id="272" w:name="_Toc184313304"/>
      <w:bookmarkEnd w:id="272"/>
      <w:bookmarkStart w:id="273" w:name="_Toc184314417"/>
      <w:bookmarkEnd w:id="273"/>
      <w:bookmarkStart w:id="274" w:name="_Toc184314482"/>
      <w:bookmarkEnd w:id="274"/>
      <w:bookmarkStart w:id="275" w:name="_Toc184312106"/>
      <w:bookmarkEnd w:id="275"/>
      <w:bookmarkStart w:id="276" w:name="_Toc184313261"/>
      <w:bookmarkEnd w:id="276"/>
      <w:bookmarkStart w:id="277" w:name="_Toc184312083"/>
      <w:bookmarkEnd w:id="277"/>
      <w:bookmarkStart w:id="278" w:name="_Toc184314439"/>
      <w:bookmarkEnd w:id="278"/>
      <w:bookmarkStart w:id="279" w:name="_Toc184313258"/>
      <w:bookmarkEnd w:id="279"/>
      <w:bookmarkStart w:id="280" w:name="_Toc184314466"/>
      <w:bookmarkEnd w:id="280"/>
      <w:bookmarkStart w:id="281" w:name="_Toc184308050"/>
      <w:bookmarkEnd w:id="281"/>
      <w:bookmarkStart w:id="282" w:name="_Toc184312089"/>
      <w:bookmarkEnd w:id="282"/>
      <w:bookmarkStart w:id="283" w:name="_Toc184314431"/>
      <w:bookmarkEnd w:id="283"/>
      <w:bookmarkStart w:id="284" w:name="_Toc184308060"/>
      <w:bookmarkEnd w:id="284"/>
      <w:bookmarkStart w:id="285" w:name="_Toc184314427"/>
      <w:bookmarkEnd w:id="285"/>
      <w:bookmarkStart w:id="286" w:name="_Toc184310315"/>
      <w:bookmarkEnd w:id="286"/>
      <w:bookmarkStart w:id="287" w:name="_Toc184314434"/>
      <w:bookmarkEnd w:id="287"/>
      <w:bookmarkStart w:id="288" w:name="_Toc184310273"/>
      <w:bookmarkEnd w:id="288"/>
      <w:bookmarkStart w:id="289" w:name="_Toc184314465"/>
      <w:bookmarkEnd w:id="289"/>
      <w:bookmarkStart w:id="290" w:name="_Toc184310314"/>
      <w:bookmarkEnd w:id="290"/>
      <w:bookmarkStart w:id="291" w:name="_Toc184308094"/>
      <w:bookmarkEnd w:id="291"/>
      <w:bookmarkStart w:id="292" w:name="_Toc184308059"/>
      <w:bookmarkEnd w:id="292"/>
      <w:bookmarkStart w:id="293" w:name="_Toc184312139"/>
      <w:bookmarkEnd w:id="293"/>
      <w:bookmarkStart w:id="294" w:name="_Toc184308039"/>
      <w:bookmarkEnd w:id="294"/>
      <w:bookmarkStart w:id="295" w:name="_Toc184312090"/>
      <w:bookmarkEnd w:id="295"/>
      <w:bookmarkStart w:id="296" w:name="_Toc184312129"/>
      <w:bookmarkEnd w:id="296"/>
      <w:bookmarkStart w:id="297" w:name="_Toc184308086"/>
      <w:bookmarkEnd w:id="297"/>
      <w:bookmarkStart w:id="298" w:name="_Toc184310341"/>
      <w:bookmarkEnd w:id="298"/>
      <w:bookmarkStart w:id="299" w:name="_Toc184312118"/>
      <w:bookmarkEnd w:id="299"/>
      <w:bookmarkStart w:id="300" w:name="_Toc184310286"/>
      <w:bookmarkEnd w:id="300"/>
      <w:bookmarkStart w:id="301" w:name="_Toc184310316"/>
      <w:bookmarkEnd w:id="301"/>
      <w:bookmarkStart w:id="302" w:name="_Toc184314471"/>
      <w:bookmarkEnd w:id="302"/>
      <w:bookmarkStart w:id="303" w:name="_Toc184312117"/>
      <w:bookmarkEnd w:id="303"/>
      <w:bookmarkStart w:id="304" w:name="_Toc184308079"/>
      <w:bookmarkEnd w:id="304"/>
      <w:bookmarkStart w:id="305" w:name="_Toc184308038"/>
      <w:bookmarkEnd w:id="305"/>
      <w:bookmarkStart w:id="306" w:name="_Toc184308072"/>
      <w:bookmarkEnd w:id="306"/>
      <w:bookmarkStart w:id="307" w:name="_Toc184314413"/>
      <w:bookmarkEnd w:id="307"/>
      <w:bookmarkStart w:id="308" w:name="_Toc184312109"/>
      <w:bookmarkEnd w:id="308"/>
      <w:bookmarkStart w:id="309" w:name="_Toc184310280"/>
      <w:bookmarkEnd w:id="309"/>
      <w:bookmarkStart w:id="310" w:name="_Toc184312105"/>
      <w:bookmarkEnd w:id="310"/>
      <w:bookmarkStart w:id="311" w:name="_Toc184312092"/>
      <w:bookmarkEnd w:id="311"/>
      <w:bookmarkStart w:id="312" w:name="_Toc184313283"/>
      <w:bookmarkEnd w:id="312"/>
      <w:bookmarkStart w:id="313" w:name="_Toc184310278"/>
      <w:bookmarkEnd w:id="313"/>
      <w:bookmarkStart w:id="314" w:name="_Toc184314448"/>
      <w:bookmarkEnd w:id="314"/>
      <w:bookmarkStart w:id="315" w:name="_Toc184313300"/>
      <w:bookmarkEnd w:id="315"/>
      <w:bookmarkStart w:id="316" w:name="_Toc184313251"/>
      <w:bookmarkEnd w:id="316"/>
      <w:bookmarkStart w:id="317" w:name="_Toc184313272"/>
      <w:bookmarkEnd w:id="317"/>
      <w:bookmarkStart w:id="318" w:name="_Toc184310293"/>
      <w:bookmarkEnd w:id="318"/>
      <w:bookmarkStart w:id="319" w:name="_Toc184314432"/>
      <w:bookmarkEnd w:id="319"/>
      <w:bookmarkStart w:id="320" w:name="_Toc184314464"/>
      <w:bookmarkEnd w:id="320"/>
      <w:bookmarkStart w:id="321" w:name="_Toc184308083"/>
      <w:bookmarkEnd w:id="321"/>
      <w:bookmarkStart w:id="322" w:name="_Toc184308095"/>
      <w:bookmarkEnd w:id="322"/>
      <w:bookmarkStart w:id="323" w:name="_Toc184308098"/>
      <w:bookmarkEnd w:id="323"/>
      <w:bookmarkStart w:id="324" w:name="_Toc184314418"/>
      <w:bookmarkEnd w:id="324"/>
      <w:bookmarkStart w:id="325" w:name="_Toc184314443"/>
      <w:bookmarkEnd w:id="325"/>
      <w:bookmarkStart w:id="326" w:name="_Toc184314446"/>
      <w:bookmarkEnd w:id="326"/>
      <w:bookmarkStart w:id="327" w:name="_Toc184308064"/>
      <w:bookmarkEnd w:id="327"/>
      <w:bookmarkStart w:id="328" w:name="_Toc184312094"/>
      <w:bookmarkEnd w:id="328"/>
      <w:bookmarkStart w:id="329" w:name="_Toc184310290"/>
      <w:bookmarkEnd w:id="329"/>
      <w:bookmarkStart w:id="330" w:name="_Toc184314423"/>
      <w:bookmarkEnd w:id="330"/>
      <w:bookmarkStart w:id="331" w:name="_Toc184308055"/>
      <w:bookmarkEnd w:id="331"/>
      <w:bookmarkStart w:id="332" w:name="_Toc184308075"/>
      <w:bookmarkEnd w:id="332"/>
      <w:bookmarkStart w:id="333" w:name="_Toc184314475"/>
      <w:bookmarkEnd w:id="333"/>
      <w:bookmarkStart w:id="334" w:name="_Toc184312134"/>
      <w:bookmarkEnd w:id="334"/>
      <w:bookmarkStart w:id="335" w:name="_Toc184308051"/>
      <w:bookmarkEnd w:id="335"/>
      <w:bookmarkStart w:id="336" w:name="_Toc184310284"/>
      <w:bookmarkEnd w:id="336"/>
      <w:bookmarkStart w:id="337" w:name="_Toc184314456"/>
      <w:bookmarkEnd w:id="337"/>
      <w:bookmarkStart w:id="338" w:name="_Toc184312086"/>
      <w:bookmarkEnd w:id="338"/>
      <w:bookmarkStart w:id="339" w:name="_Toc184314459"/>
      <w:bookmarkEnd w:id="339"/>
      <w:bookmarkStart w:id="340" w:name="_Toc184310310"/>
      <w:bookmarkEnd w:id="340"/>
      <w:bookmarkStart w:id="341" w:name="_Toc184310288"/>
      <w:bookmarkEnd w:id="341"/>
      <w:bookmarkStart w:id="342" w:name="_Toc184308058"/>
      <w:bookmarkEnd w:id="342"/>
      <w:bookmarkStart w:id="343" w:name="_Toc184313238"/>
      <w:bookmarkEnd w:id="343"/>
      <w:bookmarkStart w:id="344" w:name="_Toc184314414"/>
      <w:bookmarkEnd w:id="344"/>
      <w:bookmarkStart w:id="345" w:name="_Toc184312072"/>
      <w:bookmarkEnd w:id="345"/>
      <w:bookmarkStart w:id="346" w:name="_Toc184310281"/>
      <w:bookmarkEnd w:id="346"/>
      <w:bookmarkStart w:id="347" w:name="_Toc184313270"/>
      <w:bookmarkEnd w:id="347"/>
      <w:bookmarkStart w:id="348" w:name="_Toc184308107"/>
      <w:bookmarkEnd w:id="348"/>
      <w:bookmarkStart w:id="349" w:name="_Toc184314447"/>
      <w:bookmarkEnd w:id="349"/>
      <w:bookmarkStart w:id="350" w:name="_Toc184308063"/>
      <w:bookmarkEnd w:id="350"/>
      <w:bookmarkStart w:id="351" w:name="_Toc184313269"/>
      <w:bookmarkEnd w:id="351"/>
      <w:bookmarkStart w:id="352" w:name="_Toc184312073"/>
      <w:bookmarkEnd w:id="352"/>
      <w:bookmarkStart w:id="353" w:name="_Toc184308071"/>
      <w:bookmarkEnd w:id="353"/>
      <w:bookmarkStart w:id="354" w:name="_Toc184313294"/>
      <w:bookmarkEnd w:id="354"/>
      <w:bookmarkStart w:id="355" w:name="_Toc184308101"/>
      <w:bookmarkEnd w:id="355"/>
      <w:bookmarkStart w:id="356" w:name="_Toc184313287"/>
      <w:bookmarkEnd w:id="356"/>
      <w:bookmarkStart w:id="357" w:name="_Toc184310306"/>
      <w:bookmarkEnd w:id="357"/>
      <w:bookmarkStart w:id="358" w:name="_Toc184314437"/>
      <w:bookmarkEnd w:id="358"/>
      <w:bookmarkStart w:id="359" w:name="_Toc184308048"/>
      <w:bookmarkEnd w:id="359"/>
      <w:bookmarkStart w:id="360" w:name="_Toc184314461"/>
      <w:bookmarkEnd w:id="360"/>
      <w:bookmarkStart w:id="361" w:name="_Toc184308068"/>
      <w:bookmarkEnd w:id="361"/>
      <w:bookmarkStart w:id="362" w:name="_Toc184312078"/>
      <w:bookmarkEnd w:id="362"/>
      <w:bookmarkStart w:id="363" w:name="_Toc184312098"/>
      <w:bookmarkEnd w:id="363"/>
      <w:bookmarkStart w:id="364" w:name="_Toc184310334"/>
      <w:bookmarkEnd w:id="364"/>
      <w:bookmarkStart w:id="365" w:name="_Toc184312084"/>
      <w:bookmarkEnd w:id="365"/>
      <w:bookmarkStart w:id="366" w:name="_Toc184312121"/>
      <w:bookmarkEnd w:id="366"/>
      <w:bookmarkStart w:id="367" w:name="_Toc184312071"/>
      <w:bookmarkEnd w:id="367"/>
      <w:bookmarkStart w:id="368" w:name="_Toc184310311"/>
      <w:bookmarkEnd w:id="368"/>
      <w:bookmarkStart w:id="369" w:name="_Toc184313281"/>
      <w:bookmarkEnd w:id="369"/>
      <w:bookmarkStart w:id="370" w:name="_Toc184308081"/>
      <w:bookmarkEnd w:id="370"/>
      <w:bookmarkStart w:id="371" w:name="_Toc184312093"/>
      <w:bookmarkEnd w:id="371"/>
      <w:bookmarkStart w:id="372" w:name="_Toc184314433"/>
      <w:bookmarkEnd w:id="372"/>
      <w:bookmarkStart w:id="373" w:name="_Toc184312113"/>
      <w:bookmarkEnd w:id="373"/>
      <w:bookmarkStart w:id="374" w:name="_Toc184308100"/>
      <w:bookmarkEnd w:id="374"/>
      <w:bookmarkStart w:id="375" w:name="_Toc184308037"/>
      <w:bookmarkEnd w:id="375"/>
      <w:bookmarkStart w:id="376" w:name="_Toc184313275"/>
      <w:bookmarkEnd w:id="376"/>
      <w:bookmarkStart w:id="377" w:name="_Toc184310329"/>
      <w:bookmarkEnd w:id="377"/>
      <w:bookmarkStart w:id="378" w:name="_Toc184313245"/>
      <w:bookmarkEnd w:id="378"/>
      <w:bookmarkStart w:id="379" w:name="_Toc184314477"/>
      <w:bookmarkEnd w:id="379"/>
      <w:bookmarkStart w:id="380" w:name="_Toc184314457"/>
      <w:bookmarkEnd w:id="380"/>
      <w:bookmarkStart w:id="381" w:name="_Toc184310303"/>
      <w:bookmarkEnd w:id="381"/>
      <w:bookmarkStart w:id="382" w:name="_Toc184312112"/>
      <w:bookmarkEnd w:id="382"/>
      <w:bookmarkStart w:id="383" w:name="_Toc184312124"/>
      <w:bookmarkEnd w:id="383"/>
      <w:bookmarkStart w:id="384" w:name="_Toc184312127"/>
      <w:bookmarkEnd w:id="384"/>
      <w:bookmarkStart w:id="385" w:name="_Toc184313266"/>
      <w:bookmarkEnd w:id="385"/>
      <w:bookmarkStart w:id="386" w:name="_Toc184313277"/>
      <w:bookmarkEnd w:id="386"/>
      <w:bookmarkStart w:id="387" w:name="_Toc184310332"/>
      <w:bookmarkEnd w:id="387"/>
      <w:bookmarkStart w:id="388" w:name="_Toc184313244"/>
      <w:bookmarkEnd w:id="388"/>
      <w:bookmarkStart w:id="389" w:name="_Toc184313310"/>
      <w:bookmarkEnd w:id="389"/>
      <w:bookmarkStart w:id="390" w:name="_Toc184312074"/>
      <w:bookmarkEnd w:id="390"/>
      <w:bookmarkStart w:id="391" w:name="_Toc184310307"/>
      <w:bookmarkEnd w:id="391"/>
      <w:bookmarkStart w:id="392" w:name="_Toc184314424"/>
      <w:bookmarkEnd w:id="392"/>
      <w:bookmarkStart w:id="393" w:name="_Toc184308091"/>
      <w:bookmarkEnd w:id="393"/>
      <w:bookmarkStart w:id="394" w:name="_Toc184310304"/>
      <w:bookmarkEnd w:id="394"/>
      <w:bookmarkStart w:id="395" w:name="_Toc184313295"/>
      <w:bookmarkEnd w:id="395"/>
      <w:bookmarkStart w:id="396" w:name="_Toc184312067"/>
      <w:bookmarkEnd w:id="396"/>
      <w:bookmarkStart w:id="397" w:name="_Toc184312103"/>
      <w:bookmarkEnd w:id="397"/>
      <w:bookmarkStart w:id="398" w:name="_Toc184313254"/>
      <w:bookmarkEnd w:id="398"/>
      <w:bookmarkStart w:id="399" w:name="_Toc184312097"/>
      <w:bookmarkEnd w:id="399"/>
      <w:bookmarkStart w:id="400" w:name="_Toc184314452"/>
      <w:bookmarkEnd w:id="400"/>
      <w:bookmarkStart w:id="401" w:name="_Toc184310337"/>
      <w:bookmarkEnd w:id="401"/>
      <w:bookmarkStart w:id="402" w:name="_Toc184313282"/>
      <w:bookmarkEnd w:id="402"/>
      <w:bookmarkStart w:id="403" w:name="_Toc184314425"/>
      <w:bookmarkEnd w:id="403"/>
      <w:bookmarkStart w:id="404" w:name="_Toc184313260"/>
      <w:bookmarkEnd w:id="404"/>
      <w:bookmarkStart w:id="405" w:name="_Toc184310322"/>
      <w:bookmarkEnd w:id="405"/>
      <w:bookmarkStart w:id="406" w:name="_Toc184313268"/>
      <w:bookmarkEnd w:id="406"/>
      <w:bookmarkStart w:id="407" w:name="_Toc184313274"/>
      <w:bookmarkEnd w:id="407"/>
      <w:bookmarkStart w:id="408" w:name="_Toc184310300"/>
      <w:bookmarkEnd w:id="408"/>
      <w:bookmarkStart w:id="409" w:name="_Toc184314445"/>
      <w:bookmarkEnd w:id="409"/>
      <w:bookmarkStart w:id="410" w:name="_Toc184310335"/>
      <w:bookmarkEnd w:id="410"/>
      <w:bookmarkStart w:id="411" w:name="_Toc184312122"/>
      <w:bookmarkEnd w:id="411"/>
      <w:bookmarkStart w:id="412" w:name="_Toc184308073"/>
      <w:bookmarkEnd w:id="412"/>
      <w:bookmarkStart w:id="413" w:name="_Toc184308040"/>
      <w:bookmarkEnd w:id="413"/>
      <w:bookmarkStart w:id="414" w:name="_Toc184313250"/>
      <w:bookmarkEnd w:id="414"/>
      <w:bookmarkStart w:id="415" w:name="_Toc184308096"/>
      <w:bookmarkEnd w:id="415"/>
      <w:bookmarkStart w:id="416" w:name="_Toc184308076"/>
      <w:bookmarkEnd w:id="416"/>
      <w:bookmarkStart w:id="417" w:name="_Toc184312108"/>
      <w:bookmarkEnd w:id="417"/>
      <w:bookmarkStart w:id="418" w:name="_Toc184308084"/>
      <w:bookmarkEnd w:id="418"/>
      <w:bookmarkStart w:id="419" w:name="_Toc184314440"/>
      <w:bookmarkEnd w:id="419"/>
      <w:bookmarkStart w:id="420" w:name="_Toc184310325"/>
      <w:bookmarkEnd w:id="420"/>
      <w:bookmarkStart w:id="421" w:name="_Toc184312080"/>
      <w:bookmarkEnd w:id="421"/>
      <w:bookmarkStart w:id="422" w:name="_Toc184310295"/>
      <w:bookmarkEnd w:id="422"/>
      <w:bookmarkStart w:id="423" w:name="_Toc184310309"/>
      <w:bookmarkEnd w:id="423"/>
      <w:bookmarkStart w:id="424" w:name="_Toc184313273"/>
      <w:bookmarkEnd w:id="424"/>
      <w:bookmarkStart w:id="425" w:name="_Toc184312131"/>
      <w:bookmarkEnd w:id="425"/>
      <w:bookmarkStart w:id="426" w:name="_Toc184314420"/>
      <w:bookmarkEnd w:id="426"/>
      <w:bookmarkStart w:id="427" w:name="_Toc184314416"/>
      <w:bookmarkEnd w:id="427"/>
      <w:bookmarkStart w:id="428" w:name="_Toc184312107"/>
      <w:bookmarkEnd w:id="428"/>
      <w:bookmarkStart w:id="429" w:name="_Toc184312070"/>
      <w:bookmarkEnd w:id="429"/>
      <w:bookmarkStart w:id="430" w:name="_Toc184310324"/>
      <w:bookmarkEnd w:id="430"/>
      <w:bookmarkStart w:id="431" w:name="_Toc184310339"/>
      <w:bookmarkEnd w:id="431"/>
      <w:bookmarkStart w:id="432" w:name="_Toc184313239"/>
      <w:bookmarkEnd w:id="432"/>
      <w:r>
        <w:rPr>
          <w:rFonts w:hint="eastAsia" w:cs="宋体" w:asciiTheme="majorEastAsia" w:hAnsiTheme="majorEastAsia" w:eastAsiaTheme="majorEastAsia"/>
          <w:b/>
          <w:sz w:val="36"/>
          <w:szCs w:val="36"/>
        </w:rPr>
        <w:t>评标办法</w:t>
      </w:r>
    </w:p>
    <w:p w14:paraId="4BD2813C">
      <w:pPr>
        <w:snapToGrid w:val="0"/>
        <w:spacing w:line="360" w:lineRule="auto"/>
        <w:jc w:val="center"/>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评标办法前附表</w:t>
      </w:r>
    </w:p>
    <w:tbl>
      <w:tblPr>
        <w:tblStyle w:val="62"/>
        <w:tblW w:w="4996" w:type="pct"/>
        <w:tblInd w:w="0" w:type="dxa"/>
        <w:tblLayout w:type="autofit"/>
        <w:tblCellMar>
          <w:top w:w="0" w:type="dxa"/>
          <w:left w:w="108" w:type="dxa"/>
          <w:bottom w:w="0" w:type="dxa"/>
          <w:right w:w="108" w:type="dxa"/>
        </w:tblCellMar>
      </w:tblPr>
      <w:tblGrid>
        <w:gridCol w:w="1256"/>
        <w:gridCol w:w="7152"/>
        <w:gridCol w:w="871"/>
      </w:tblGrid>
      <w:tr w14:paraId="10CFC258">
        <w:tblPrEx>
          <w:tblCellMar>
            <w:top w:w="0" w:type="dxa"/>
            <w:left w:w="108" w:type="dxa"/>
            <w:bottom w:w="0" w:type="dxa"/>
            <w:right w:w="108" w:type="dxa"/>
          </w:tblCellMar>
        </w:tblPrEx>
        <w:trPr>
          <w:trHeight w:val="400"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D088">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评审内容</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E209">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评分依据</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803E">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分值</w:t>
            </w:r>
          </w:p>
        </w:tc>
      </w:tr>
      <w:tr w14:paraId="3E576122">
        <w:tblPrEx>
          <w:tblCellMar>
            <w:top w:w="0" w:type="dxa"/>
            <w:left w:w="108" w:type="dxa"/>
            <w:bottom w:w="0" w:type="dxa"/>
            <w:right w:w="108" w:type="dxa"/>
          </w:tblCellMar>
        </w:tblPrEx>
        <w:trPr>
          <w:trHeight w:val="855"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0EE7">
            <w:pPr>
              <w:widowControl/>
              <w:spacing w:line="360" w:lineRule="auto"/>
              <w:jc w:val="center"/>
              <w:textAlignment w:val="center"/>
              <w:rPr>
                <w:rFonts w:ascii="宋体" w:hAnsi="宋体" w:cs="宋体"/>
                <w:sz w:val="24"/>
              </w:rPr>
            </w:pPr>
            <w:r>
              <w:rPr>
                <w:rFonts w:hint="eastAsia" w:ascii="宋体" w:hAnsi="宋体" w:cs="宋体"/>
                <w:kern w:val="0"/>
                <w:sz w:val="24"/>
                <w:lang w:bidi="ar"/>
              </w:rPr>
              <w:t>1、业绩</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71AD">
            <w:pPr>
              <w:widowControl/>
              <w:spacing w:line="360" w:lineRule="auto"/>
              <w:jc w:val="left"/>
              <w:textAlignment w:val="center"/>
              <w:rPr>
                <w:rFonts w:ascii="宋体" w:hAnsi="宋体" w:cs="宋体"/>
                <w:sz w:val="24"/>
              </w:rPr>
            </w:pPr>
            <w:r>
              <w:rPr>
                <w:rFonts w:hint="eastAsia" w:ascii="宋体" w:hAnsi="宋体" w:cs="宋体"/>
                <w:kern w:val="0"/>
                <w:sz w:val="24"/>
                <w:lang w:bidi="ar"/>
              </w:rPr>
              <w:t>【客观分】</w:t>
            </w:r>
            <w:r>
              <w:rPr>
                <w:rFonts w:hint="eastAsia" w:ascii="宋体" w:hAnsi="宋体" w:cs="宋体"/>
                <w:kern w:val="0"/>
                <w:sz w:val="24"/>
                <w:lang w:bidi="ar"/>
              </w:rPr>
              <w:br w:type="textWrapping"/>
            </w:r>
            <w:r>
              <w:rPr>
                <w:rFonts w:hint="eastAsia" w:ascii="宋体" w:hAnsi="宋体" w:cs="宋体"/>
                <w:kern w:val="0"/>
                <w:sz w:val="24"/>
                <w:lang w:bidi="ar"/>
              </w:rPr>
              <w:t>自2021年1月1日（以合同最终签订时间为准）以来，投标人具有类似软件项目维护业绩，每提供一个合同得0.5分，满分1分。</w:t>
            </w:r>
            <w:r>
              <w:rPr>
                <w:rFonts w:hint="eastAsia" w:ascii="宋体" w:hAnsi="宋体" w:cs="宋体"/>
                <w:kern w:val="0"/>
                <w:sz w:val="24"/>
                <w:lang w:bidi="ar"/>
              </w:rPr>
              <w:br w:type="textWrapping"/>
            </w:r>
            <w:r>
              <w:rPr>
                <w:rFonts w:hint="eastAsia" w:ascii="宋体" w:hAnsi="宋体" w:cs="宋体"/>
                <w:kern w:val="0"/>
                <w:sz w:val="24"/>
                <w:lang w:bidi="ar"/>
              </w:rPr>
              <w:t>【证明材料：提供合同复印件，加盖公章】</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A88A">
            <w:pPr>
              <w:widowControl/>
              <w:spacing w:line="360" w:lineRule="auto"/>
              <w:jc w:val="center"/>
              <w:textAlignment w:val="center"/>
              <w:rPr>
                <w:rFonts w:ascii="宋体" w:hAnsi="宋体" w:cs="宋体"/>
                <w:sz w:val="24"/>
              </w:rPr>
            </w:pPr>
            <w:r>
              <w:rPr>
                <w:rFonts w:hint="eastAsia" w:ascii="宋体" w:hAnsi="宋体" w:cs="宋体"/>
                <w:kern w:val="0"/>
                <w:sz w:val="24"/>
                <w:lang w:bidi="ar"/>
              </w:rPr>
              <w:t>1</w:t>
            </w:r>
          </w:p>
        </w:tc>
      </w:tr>
      <w:tr w14:paraId="037E11B3">
        <w:tblPrEx>
          <w:tblCellMar>
            <w:top w:w="0" w:type="dxa"/>
            <w:left w:w="108" w:type="dxa"/>
            <w:bottom w:w="0" w:type="dxa"/>
            <w:right w:w="108" w:type="dxa"/>
          </w:tblCellMar>
        </w:tblPrEx>
        <w:trPr>
          <w:trHeight w:val="855"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432F">
            <w:pPr>
              <w:widowControl/>
              <w:spacing w:line="360" w:lineRule="auto"/>
              <w:jc w:val="center"/>
              <w:textAlignment w:val="center"/>
              <w:rPr>
                <w:rFonts w:ascii="宋体" w:hAnsi="宋体" w:cs="宋体"/>
                <w:sz w:val="24"/>
              </w:rPr>
            </w:pPr>
            <w:r>
              <w:rPr>
                <w:rFonts w:hint="eastAsia" w:ascii="宋体" w:hAnsi="宋体" w:cs="宋体"/>
                <w:kern w:val="0"/>
                <w:sz w:val="24"/>
                <w:lang w:bidi="ar"/>
              </w:rPr>
              <w:t>2、投标综合实力</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37DA">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【客观分】</w:t>
            </w:r>
            <w:r>
              <w:rPr>
                <w:rFonts w:hint="eastAsia" w:ascii="宋体" w:hAnsi="宋体" w:cs="宋体"/>
                <w:kern w:val="0"/>
                <w:sz w:val="24"/>
                <w:lang w:bidi="ar"/>
              </w:rPr>
              <w:br w:type="textWrapping"/>
            </w:r>
            <w:r>
              <w:rPr>
                <w:rFonts w:hint="eastAsia" w:ascii="宋体" w:hAnsi="宋体" w:cs="宋体"/>
                <w:kern w:val="0"/>
                <w:sz w:val="24"/>
                <w:lang w:bidi="ar"/>
              </w:rPr>
              <w:t>1）具有有效期内ISO27001信息安全管理体系资质证书，得2分。</w:t>
            </w:r>
          </w:p>
          <w:p w14:paraId="6AAC3113">
            <w:pPr>
              <w:widowControl/>
              <w:spacing w:line="360" w:lineRule="auto"/>
              <w:jc w:val="left"/>
              <w:textAlignment w:val="center"/>
              <w:rPr>
                <w:rFonts w:ascii="宋体" w:hAnsi="宋体" w:cs="宋体"/>
                <w:sz w:val="24"/>
              </w:rPr>
            </w:pPr>
            <w:r>
              <w:rPr>
                <w:rFonts w:hint="eastAsia" w:ascii="宋体" w:hAnsi="宋体" w:cs="宋体"/>
                <w:kern w:val="0"/>
                <w:sz w:val="24"/>
                <w:lang w:bidi="ar"/>
              </w:rPr>
              <w:t>2)具有有效期内ISO9001质量管理体系认证质证书，得2分。</w:t>
            </w:r>
            <w:r>
              <w:rPr>
                <w:rFonts w:hint="eastAsia" w:ascii="宋体" w:hAnsi="宋体" w:cs="宋体"/>
                <w:kern w:val="0"/>
                <w:sz w:val="24"/>
                <w:lang w:bidi="ar"/>
              </w:rPr>
              <w:br w:type="textWrapping"/>
            </w:r>
            <w:r>
              <w:rPr>
                <w:rFonts w:hint="eastAsia" w:ascii="宋体" w:hAnsi="宋体" w:cs="宋体"/>
                <w:kern w:val="0"/>
                <w:sz w:val="24"/>
                <w:lang w:bidi="ar"/>
              </w:rPr>
              <w:t>【证明材料：有效期内的资质证书】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C427">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p>
        </w:tc>
      </w:tr>
      <w:tr w14:paraId="3112D115">
        <w:tblPrEx>
          <w:tblCellMar>
            <w:top w:w="0" w:type="dxa"/>
            <w:left w:w="108" w:type="dxa"/>
            <w:bottom w:w="0" w:type="dxa"/>
            <w:right w:w="108" w:type="dxa"/>
          </w:tblCellMar>
        </w:tblPrEx>
        <w:trPr>
          <w:trHeight w:val="1710"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70E8">
            <w:pPr>
              <w:widowControl/>
              <w:spacing w:line="360" w:lineRule="auto"/>
              <w:jc w:val="center"/>
              <w:textAlignment w:val="center"/>
              <w:rPr>
                <w:rFonts w:ascii="宋体" w:hAnsi="宋体" w:cs="宋体"/>
                <w:sz w:val="24"/>
              </w:rPr>
            </w:pPr>
            <w:r>
              <w:rPr>
                <w:rFonts w:hint="eastAsia" w:ascii="宋体" w:hAnsi="宋体" w:cs="宋体"/>
                <w:kern w:val="0"/>
                <w:sz w:val="24"/>
                <w:lang w:bidi="ar"/>
              </w:rPr>
              <w:t>3、项目团队</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5ABC">
            <w:pPr>
              <w:widowControl/>
              <w:spacing w:line="360" w:lineRule="auto"/>
              <w:jc w:val="left"/>
              <w:textAlignment w:val="center"/>
              <w:rPr>
                <w:rFonts w:ascii="宋体" w:hAnsi="宋体" w:cs="宋体"/>
                <w:sz w:val="24"/>
              </w:rPr>
            </w:pPr>
            <w:r>
              <w:rPr>
                <w:rFonts w:hint="eastAsia" w:ascii="宋体" w:hAnsi="宋体" w:cs="宋体"/>
                <w:kern w:val="0"/>
                <w:sz w:val="24"/>
                <w:lang w:bidi="ar"/>
              </w:rPr>
              <w:t>【客观分】</w:t>
            </w:r>
            <w:r>
              <w:rPr>
                <w:rFonts w:hint="eastAsia" w:ascii="宋体" w:hAnsi="宋体" w:cs="宋体"/>
                <w:kern w:val="0"/>
                <w:sz w:val="24"/>
                <w:lang w:bidi="ar"/>
              </w:rPr>
              <w:br w:type="textWrapping"/>
            </w:r>
            <w:r>
              <w:rPr>
                <w:rFonts w:hint="eastAsia" w:ascii="宋体" w:hAnsi="宋体" w:cs="宋体"/>
                <w:kern w:val="0"/>
                <w:sz w:val="24"/>
                <w:lang w:bidi="ar"/>
              </w:rPr>
              <w:t>评标专家根据投标人对2.3.1成立专业团队组所有需求和要求的点对点应答情况及提供的服务团队配备方案进行逐项评分：</w:t>
            </w:r>
            <w:r>
              <w:rPr>
                <w:rFonts w:hint="eastAsia" w:ascii="宋体" w:hAnsi="宋体" w:cs="宋体"/>
                <w:kern w:val="0"/>
                <w:sz w:val="24"/>
                <w:lang w:bidi="ar"/>
              </w:rPr>
              <w:br w:type="textWrapping"/>
            </w:r>
            <w:r>
              <w:rPr>
                <w:rFonts w:hint="eastAsia" w:ascii="宋体" w:hAnsi="宋体" w:cs="宋体"/>
                <w:kern w:val="0"/>
                <w:sz w:val="24"/>
                <w:lang w:bidi="ar"/>
              </w:rPr>
              <w:t>1）对招标需求中带★的内容，每项未应答、应答不满足或应答满足但实际提供的情况与招标需求不符的扣2分；</w:t>
            </w:r>
            <w:r>
              <w:rPr>
                <w:rFonts w:hint="eastAsia" w:ascii="宋体" w:hAnsi="宋体" w:cs="宋体"/>
                <w:kern w:val="0"/>
                <w:sz w:val="24"/>
                <w:lang w:bidi="ar"/>
              </w:rPr>
              <w:br w:type="textWrapping"/>
            </w:r>
            <w:r>
              <w:rPr>
                <w:rFonts w:hint="eastAsia" w:ascii="宋体" w:hAnsi="宋体" w:cs="宋体"/>
                <w:kern w:val="0"/>
                <w:sz w:val="24"/>
                <w:lang w:bidi="ar"/>
              </w:rPr>
              <w:t>2）对招标需求中带☆的内容，每项未应答、应答不满足或应答满足但实际提供的情况与招标需求不符的扣1.5分。</w:t>
            </w:r>
            <w:r>
              <w:rPr>
                <w:rFonts w:hint="eastAsia" w:ascii="宋体" w:hAnsi="宋体" w:cs="宋体"/>
                <w:kern w:val="0"/>
                <w:sz w:val="24"/>
                <w:lang w:bidi="ar"/>
              </w:rPr>
              <w:br w:type="textWrapping"/>
            </w:r>
            <w:r>
              <w:rPr>
                <w:rFonts w:hint="eastAsia" w:ascii="宋体" w:hAnsi="宋体" w:cs="宋体"/>
                <w:kern w:val="0"/>
                <w:sz w:val="24"/>
                <w:lang w:bidi="ar"/>
              </w:rPr>
              <w:t>累计扣分至0分止，扣至0分的投标文件无效。</w:t>
            </w:r>
            <w:r>
              <w:rPr>
                <w:rFonts w:hint="eastAsia" w:ascii="宋体" w:hAnsi="宋体" w:cs="宋体"/>
                <w:kern w:val="0"/>
                <w:sz w:val="24"/>
                <w:lang w:bidi="ar"/>
              </w:rPr>
              <w:br w:type="textWrapping"/>
            </w:r>
            <w:r>
              <w:rPr>
                <w:rFonts w:hint="eastAsia" w:ascii="宋体" w:hAnsi="宋体" w:cs="宋体"/>
                <w:kern w:val="0"/>
                <w:sz w:val="24"/>
                <w:lang w:bidi="ar"/>
              </w:rPr>
              <w:t>【证明材料：投标人点对点应答情况】</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7DDC">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p>
        </w:tc>
      </w:tr>
      <w:tr w14:paraId="44886096">
        <w:tblPrEx>
          <w:tblCellMar>
            <w:top w:w="0" w:type="dxa"/>
            <w:left w:w="108" w:type="dxa"/>
            <w:bottom w:w="0" w:type="dxa"/>
            <w:right w:w="108" w:type="dxa"/>
          </w:tblCellMar>
        </w:tblPrEx>
        <w:trPr>
          <w:trHeight w:val="1335"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6CCA">
            <w:pPr>
              <w:widowControl/>
              <w:spacing w:line="360" w:lineRule="auto"/>
              <w:jc w:val="left"/>
              <w:textAlignment w:val="center"/>
              <w:rPr>
                <w:rFonts w:ascii="宋体" w:hAnsi="宋体" w:cs="宋体"/>
                <w:sz w:val="24"/>
              </w:rPr>
            </w:pPr>
            <w:r>
              <w:rPr>
                <w:rFonts w:hint="eastAsia" w:ascii="宋体" w:hAnsi="宋体" w:cs="宋体"/>
                <w:kern w:val="0"/>
                <w:sz w:val="24"/>
                <w:lang w:bidi="ar"/>
              </w:rPr>
              <w:t>4、技术支持服务要求承诺</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DFC3">
            <w:pPr>
              <w:widowControl/>
              <w:spacing w:line="360" w:lineRule="auto"/>
              <w:jc w:val="left"/>
              <w:textAlignment w:val="center"/>
              <w:rPr>
                <w:rFonts w:ascii="宋体" w:hAnsi="宋体" w:cs="宋体"/>
                <w:sz w:val="24"/>
              </w:rPr>
            </w:pPr>
            <w:r>
              <w:rPr>
                <w:rFonts w:hint="eastAsia" w:ascii="宋体" w:hAnsi="宋体" w:cs="宋体"/>
                <w:kern w:val="0"/>
                <w:sz w:val="24"/>
                <w:lang w:bidi="ar"/>
              </w:rPr>
              <w:t>【客观分】</w:t>
            </w:r>
            <w:r>
              <w:rPr>
                <w:rFonts w:hint="eastAsia" w:ascii="宋体" w:hAnsi="宋体" w:cs="宋体"/>
                <w:kern w:val="0"/>
                <w:sz w:val="24"/>
                <w:lang w:bidi="ar"/>
              </w:rPr>
              <w:br w:type="textWrapping"/>
            </w:r>
            <w:r>
              <w:rPr>
                <w:rFonts w:hint="eastAsia" w:ascii="宋体" w:hAnsi="宋体" w:cs="宋体"/>
                <w:kern w:val="0"/>
                <w:sz w:val="24"/>
                <w:lang w:bidi="ar"/>
              </w:rPr>
              <w:t>（1）承诺两名售后人员成立A、B岗负责制提供维护服务；</w:t>
            </w:r>
            <w:r>
              <w:rPr>
                <w:rFonts w:hint="eastAsia" w:ascii="宋体" w:hAnsi="宋体" w:cs="宋体"/>
                <w:kern w:val="0"/>
                <w:sz w:val="24"/>
                <w:lang w:bidi="ar"/>
              </w:rPr>
              <w:br w:type="textWrapping"/>
            </w:r>
            <w:r>
              <w:rPr>
                <w:rFonts w:hint="eastAsia" w:ascii="宋体" w:hAnsi="宋体" w:cs="宋体"/>
                <w:kern w:val="0"/>
                <w:sz w:val="24"/>
                <w:lang w:bidi="ar"/>
              </w:rPr>
              <w:t>（2）承诺派驻二名应用系统运维工程师常驻；</w:t>
            </w:r>
            <w:r>
              <w:rPr>
                <w:rFonts w:hint="eastAsia" w:ascii="宋体" w:hAnsi="宋体" w:cs="宋体"/>
                <w:kern w:val="0"/>
                <w:sz w:val="24"/>
                <w:lang w:bidi="ar"/>
              </w:rPr>
              <w:br w:type="textWrapping"/>
            </w:r>
            <w:r>
              <w:rPr>
                <w:rFonts w:hint="eastAsia" w:ascii="宋体" w:hAnsi="宋体" w:cs="宋体"/>
                <w:kern w:val="0"/>
                <w:sz w:val="24"/>
                <w:lang w:bidi="ar"/>
              </w:rPr>
              <w:t>（3）承诺提供维护期内版本升级服务；</w:t>
            </w:r>
            <w:r>
              <w:rPr>
                <w:rFonts w:hint="eastAsia" w:ascii="宋体" w:hAnsi="宋体" w:cs="宋体"/>
                <w:kern w:val="0"/>
                <w:sz w:val="24"/>
                <w:lang w:bidi="ar"/>
              </w:rPr>
              <w:br w:type="textWrapping"/>
            </w:r>
            <w:r>
              <w:rPr>
                <w:rFonts w:hint="eastAsia" w:ascii="宋体" w:hAnsi="宋体" w:cs="宋体"/>
                <w:kern w:val="0"/>
                <w:sz w:val="24"/>
                <w:lang w:bidi="ar"/>
              </w:rPr>
              <w:t>（4）承诺提供的技术服务满足招标文件服务质量要求。</w:t>
            </w:r>
            <w:r>
              <w:rPr>
                <w:rFonts w:hint="eastAsia" w:ascii="宋体" w:hAnsi="宋体" w:cs="宋体"/>
                <w:kern w:val="0"/>
                <w:sz w:val="24"/>
                <w:lang w:bidi="ar"/>
              </w:rPr>
              <w:br w:type="textWrapping"/>
            </w:r>
            <w:r>
              <w:rPr>
                <w:rFonts w:hint="eastAsia" w:ascii="宋体" w:hAnsi="宋体" w:cs="宋体"/>
                <w:kern w:val="0"/>
                <w:sz w:val="24"/>
                <w:lang w:bidi="ar"/>
              </w:rPr>
              <w:t>针对以上4项逐一做出承诺，每小项承诺得1分，不承诺不得分。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CC12">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p>
        </w:tc>
      </w:tr>
      <w:tr w14:paraId="7FA04D0E">
        <w:tblPrEx>
          <w:tblCellMar>
            <w:top w:w="0" w:type="dxa"/>
            <w:left w:w="108" w:type="dxa"/>
            <w:bottom w:w="0" w:type="dxa"/>
            <w:right w:w="108" w:type="dxa"/>
          </w:tblCellMar>
        </w:tblPrEx>
        <w:trPr>
          <w:trHeight w:val="1335"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0B29">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5、定期巡检服务</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1F5D">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提供定期巡检服务方案，方案科学合理，保障措施全面、科学有效。</w:t>
            </w:r>
            <w:r>
              <w:rPr>
                <w:rFonts w:hint="eastAsia" w:ascii="宋体" w:hAnsi="宋体" w:cs="宋体"/>
                <w:kern w:val="0"/>
                <w:sz w:val="24"/>
                <w:lang w:bidi="ar"/>
              </w:rPr>
              <w:br w:type="textWrapping"/>
            </w:r>
            <w:r>
              <w:rPr>
                <w:rFonts w:hint="eastAsia" w:ascii="宋体" w:hAnsi="宋体" w:cs="宋体"/>
                <w:kern w:val="0"/>
                <w:sz w:val="24"/>
                <w:lang w:bidi="ar"/>
              </w:rPr>
              <w:t>打分区间：0分、1分、2分、3分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37C5">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w:t>
            </w:r>
          </w:p>
        </w:tc>
      </w:tr>
      <w:tr w14:paraId="025E6849">
        <w:tblPrEx>
          <w:tblCellMar>
            <w:top w:w="0" w:type="dxa"/>
            <w:left w:w="108" w:type="dxa"/>
            <w:bottom w:w="0" w:type="dxa"/>
            <w:right w:w="108" w:type="dxa"/>
          </w:tblCellMar>
        </w:tblPrEx>
        <w:trPr>
          <w:trHeight w:val="2450" w:hRule="atLeast"/>
        </w:trPr>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4A239">
            <w:pPr>
              <w:widowControl/>
              <w:spacing w:line="360" w:lineRule="auto"/>
              <w:jc w:val="center"/>
              <w:textAlignment w:val="center"/>
              <w:rPr>
                <w:rFonts w:ascii="宋体" w:hAnsi="宋体" w:cs="宋体"/>
                <w:sz w:val="24"/>
              </w:rPr>
            </w:pPr>
            <w:r>
              <w:rPr>
                <w:rFonts w:hint="eastAsia" w:ascii="宋体" w:hAnsi="宋体" w:cs="宋体"/>
                <w:kern w:val="0"/>
                <w:sz w:val="24"/>
                <w:lang w:bidi="ar"/>
              </w:rPr>
              <w:t>6、系统运维方案</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00AD">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提供公款竞争性存款运维方案：</w:t>
            </w:r>
            <w:r>
              <w:rPr>
                <w:rFonts w:hint="eastAsia" w:ascii="宋体" w:hAnsi="宋体" w:cs="宋体"/>
                <w:kern w:val="0"/>
                <w:sz w:val="24"/>
                <w:lang w:bidi="ar"/>
              </w:rPr>
              <w:br w:type="textWrapping"/>
            </w:r>
            <w:r>
              <w:rPr>
                <w:rFonts w:hint="eastAsia" w:ascii="宋体" w:hAnsi="宋体" w:cs="宋体"/>
                <w:kern w:val="0"/>
                <w:sz w:val="24"/>
                <w:lang w:bidi="ar"/>
              </w:rPr>
              <w:t>①日常维护服务方案（3分）；</w:t>
            </w:r>
            <w:r>
              <w:rPr>
                <w:rFonts w:hint="eastAsia" w:ascii="宋体" w:hAnsi="宋体" w:cs="宋体"/>
                <w:kern w:val="0"/>
                <w:sz w:val="24"/>
                <w:lang w:bidi="ar"/>
              </w:rPr>
              <w:br w:type="textWrapping"/>
            </w:r>
            <w:r>
              <w:rPr>
                <w:rFonts w:hint="eastAsia" w:ascii="宋体" w:hAnsi="宋体" w:cs="宋体"/>
                <w:kern w:val="0"/>
                <w:sz w:val="24"/>
                <w:lang w:bidi="ar"/>
              </w:rPr>
              <w:t>②数据备份等安全保障工作方案（3分）；</w:t>
            </w:r>
          </w:p>
          <w:p w14:paraId="6925C357">
            <w:pPr>
              <w:widowControl/>
              <w:spacing w:line="360" w:lineRule="auto"/>
              <w:jc w:val="left"/>
              <w:textAlignment w:val="center"/>
              <w:rPr>
                <w:rFonts w:ascii="宋体" w:hAnsi="宋体" w:cs="宋体"/>
                <w:sz w:val="24"/>
              </w:rPr>
            </w:pPr>
            <w:r>
              <w:rPr>
                <w:rFonts w:hint="eastAsia" w:ascii="宋体" w:hAnsi="宋体" w:cs="宋体"/>
                <w:kern w:val="0"/>
                <w:sz w:val="24"/>
                <w:lang w:bidi="ar"/>
              </w:rPr>
              <w:t>③实施过程中所有服务详细工作安排，包括工作留存及维护报告等（3分）。</w:t>
            </w:r>
            <w:r>
              <w:rPr>
                <w:rFonts w:hint="eastAsia" w:ascii="宋体" w:hAnsi="宋体" w:cs="宋体"/>
                <w:kern w:val="0"/>
                <w:sz w:val="24"/>
                <w:lang w:bidi="ar"/>
              </w:rPr>
              <w:br w:type="textWrapping"/>
            </w:r>
            <w:r>
              <w:rPr>
                <w:rFonts w:hint="eastAsia" w:ascii="宋体" w:hAnsi="宋体" w:cs="宋体"/>
                <w:kern w:val="0"/>
                <w:sz w:val="24"/>
                <w:lang w:bidi="ar"/>
              </w:rPr>
              <w:t>以上每小项打分区间：0分、1分、2分、3分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6433">
            <w:pPr>
              <w:widowControl/>
              <w:spacing w:line="360" w:lineRule="auto"/>
              <w:jc w:val="center"/>
              <w:textAlignment w:val="center"/>
              <w:rPr>
                <w:rFonts w:ascii="宋体" w:hAnsi="宋体" w:cs="宋体"/>
                <w:sz w:val="24"/>
              </w:rPr>
            </w:pPr>
            <w:r>
              <w:rPr>
                <w:rFonts w:hint="eastAsia" w:ascii="宋体" w:hAnsi="宋体" w:cs="宋体"/>
                <w:kern w:val="0"/>
                <w:sz w:val="24"/>
                <w:lang w:bidi="ar"/>
              </w:rPr>
              <w:t>9</w:t>
            </w:r>
          </w:p>
        </w:tc>
      </w:tr>
      <w:tr w14:paraId="1F276BAF">
        <w:tblPrEx>
          <w:tblCellMar>
            <w:top w:w="0" w:type="dxa"/>
            <w:left w:w="108" w:type="dxa"/>
            <w:bottom w:w="0" w:type="dxa"/>
            <w:right w:w="108" w:type="dxa"/>
          </w:tblCellMar>
        </w:tblPrEx>
        <w:trPr>
          <w:trHeight w:val="2600" w:hRule="atLeast"/>
        </w:trPr>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B2A3">
            <w:pPr>
              <w:spacing w:line="360" w:lineRule="auto"/>
              <w:jc w:val="center"/>
              <w:rPr>
                <w:rFonts w:ascii="宋体" w:hAnsi="宋体" w:cs="宋体"/>
                <w:sz w:val="24"/>
              </w:rPr>
            </w:pP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B342">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提供机关处长和事业单位领导述职报告运维运维方案：</w:t>
            </w:r>
            <w:r>
              <w:rPr>
                <w:rFonts w:hint="eastAsia" w:ascii="宋体" w:hAnsi="宋体" w:cs="宋体"/>
                <w:kern w:val="0"/>
                <w:sz w:val="24"/>
                <w:lang w:bidi="ar"/>
              </w:rPr>
              <w:br w:type="textWrapping"/>
            </w:r>
            <w:r>
              <w:rPr>
                <w:rFonts w:hint="eastAsia" w:ascii="宋体" w:hAnsi="宋体" w:cs="宋体"/>
                <w:kern w:val="0"/>
                <w:sz w:val="24"/>
                <w:lang w:bidi="ar"/>
              </w:rPr>
              <w:t>①日常维护服务方案（4分）；</w:t>
            </w:r>
            <w:r>
              <w:rPr>
                <w:rFonts w:hint="eastAsia" w:ascii="宋体" w:hAnsi="宋体" w:cs="宋体"/>
                <w:kern w:val="0"/>
                <w:sz w:val="24"/>
                <w:lang w:bidi="ar"/>
              </w:rPr>
              <w:br w:type="textWrapping"/>
            </w:r>
            <w:r>
              <w:rPr>
                <w:rFonts w:hint="eastAsia" w:ascii="宋体" w:hAnsi="宋体" w:cs="宋体"/>
                <w:kern w:val="0"/>
                <w:sz w:val="24"/>
                <w:lang w:bidi="ar"/>
              </w:rPr>
              <w:t>②系统后台管理，包括系信息录入、更改、编辑或删除等的技术支持与操作指导方案（4分）；</w:t>
            </w:r>
          </w:p>
          <w:p w14:paraId="127F20EB">
            <w:pPr>
              <w:widowControl/>
              <w:spacing w:line="360" w:lineRule="auto"/>
              <w:jc w:val="left"/>
              <w:textAlignment w:val="center"/>
              <w:rPr>
                <w:rFonts w:ascii="宋体" w:hAnsi="宋体" w:cs="宋体"/>
                <w:sz w:val="24"/>
              </w:rPr>
            </w:pPr>
            <w:r>
              <w:rPr>
                <w:rFonts w:hint="eastAsia" w:ascii="宋体" w:hAnsi="宋体" w:cs="宋体"/>
                <w:kern w:val="0"/>
                <w:sz w:val="24"/>
                <w:lang w:bidi="ar"/>
              </w:rPr>
              <w:t>③数据备份等安全保障工作方案，包括等保复测技术支持工作（4分）。</w:t>
            </w:r>
            <w:r>
              <w:rPr>
                <w:rFonts w:hint="eastAsia" w:ascii="宋体" w:hAnsi="宋体" w:cs="宋体"/>
                <w:kern w:val="0"/>
                <w:sz w:val="24"/>
                <w:lang w:bidi="ar"/>
              </w:rPr>
              <w:br w:type="textWrapping"/>
            </w:r>
            <w:r>
              <w:rPr>
                <w:rFonts w:hint="eastAsia" w:ascii="宋体" w:hAnsi="宋体" w:cs="宋体"/>
                <w:kern w:val="0"/>
                <w:sz w:val="24"/>
                <w:lang w:bidi="ar"/>
              </w:rPr>
              <w:t>以上每小项打分区间：0分、1分、2分、3分、4分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A267">
            <w:pPr>
              <w:widowControl/>
              <w:spacing w:line="360" w:lineRule="auto"/>
              <w:jc w:val="center"/>
              <w:textAlignment w:val="center"/>
              <w:rPr>
                <w:rFonts w:ascii="宋体" w:hAnsi="宋体" w:cs="宋体"/>
                <w:sz w:val="24"/>
              </w:rPr>
            </w:pPr>
            <w:r>
              <w:rPr>
                <w:rFonts w:hint="eastAsia" w:ascii="宋体" w:hAnsi="宋体" w:cs="宋体"/>
                <w:kern w:val="0"/>
                <w:sz w:val="24"/>
                <w:lang w:bidi="ar"/>
              </w:rPr>
              <w:t>12</w:t>
            </w:r>
          </w:p>
        </w:tc>
      </w:tr>
      <w:tr w14:paraId="3F67B8DF">
        <w:tblPrEx>
          <w:tblCellMar>
            <w:top w:w="0" w:type="dxa"/>
            <w:left w:w="108" w:type="dxa"/>
            <w:bottom w:w="0" w:type="dxa"/>
            <w:right w:w="108" w:type="dxa"/>
          </w:tblCellMar>
        </w:tblPrEx>
        <w:trPr>
          <w:trHeight w:val="467" w:hRule="atLeast"/>
        </w:trPr>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BE4E">
            <w:pPr>
              <w:spacing w:line="360" w:lineRule="auto"/>
              <w:jc w:val="center"/>
              <w:rPr>
                <w:rFonts w:ascii="宋体" w:hAnsi="宋体" w:cs="宋体"/>
                <w:sz w:val="24"/>
              </w:rPr>
            </w:pPr>
          </w:p>
        </w:tc>
        <w:tc>
          <w:tcPr>
            <w:tcW w:w="3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71B34">
            <w:pPr>
              <w:widowControl/>
              <w:spacing w:line="360" w:lineRule="auto"/>
              <w:jc w:val="left"/>
              <w:textAlignment w:val="center"/>
              <w:rPr>
                <w:rFonts w:ascii="宋体" w:hAnsi="宋体" w:cs="宋体"/>
                <w:sz w:val="24"/>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提供省卫生健康委网站群运维监测平台运维方案：</w:t>
            </w:r>
            <w:r>
              <w:rPr>
                <w:rFonts w:hint="eastAsia" w:ascii="宋体" w:hAnsi="宋体" w:cs="宋体"/>
                <w:kern w:val="0"/>
                <w:sz w:val="24"/>
                <w:lang w:bidi="ar"/>
              </w:rPr>
              <w:br w:type="textWrapping"/>
            </w:r>
            <w:r>
              <w:rPr>
                <w:rFonts w:hint="eastAsia" w:ascii="宋体" w:hAnsi="宋体" w:cs="宋体"/>
                <w:kern w:val="0"/>
                <w:sz w:val="24"/>
                <w:lang w:bidi="ar"/>
              </w:rPr>
              <w:t>①日常运维服务方案（5分）；</w:t>
            </w:r>
            <w:r>
              <w:rPr>
                <w:rFonts w:hint="eastAsia" w:ascii="宋体" w:hAnsi="宋体" w:cs="宋体"/>
                <w:kern w:val="0"/>
                <w:sz w:val="24"/>
                <w:lang w:bidi="ar"/>
              </w:rPr>
              <w:br w:type="textWrapping"/>
            </w:r>
            <w:r>
              <w:rPr>
                <w:rFonts w:hint="eastAsia" w:ascii="宋体" w:hAnsi="宋体" w:cs="宋体"/>
                <w:kern w:val="0"/>
                <w:sz w:val="24"/>
                <w:lang w:bidi="ar"/>
              </w:rPr>
              <w:t>②月度评测服务方案，内容需包括测评依据、测评流程、测评方法、测评报告示例等内容（5分）。</w:t>
            </w:r>
            <w:r>
              <w:rPr>
                <w:rFonts w:hint="eastAsia" w:ascii="宋体" w:hAnsi="宋体" w:cs="宋体"/>
                <w:kern w:val="0"/>
                <w:sz w:val="24"/>
                <w:lang w:bidi="ar"/>
              </w:rPr>
              <w:br w:type="textWrapping"/>
            </w:r>
            <w:r>
              <w:rPr>
                <w:rFonts w:hint="eastAsia" w:ascii="宋体" w:hAnsi="宋体" w:cs="宋体"/>
                <w:kern w:val="0"/>
                <w:sz w:val="24"/>
                <w:lang w:bidi="ar"/>
              </w:rPr>
              <w:t>以上每小项打分区间: 0分、1分、2分、3分、4分、5分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BD4F">
            <w:pPr>
              <w:widowControl/>
              <w:spacing w:line="360" w:lineRule="auto"/>
              <w:jc w:val="center"/>
              <w:textAlignment w:val="center"/>
              <w:rPr>
                <w:rFonts w:ascii="宋体" w:hAnsi="宋体" w:cs="宋体"/>
                <w:sz w:val="24"/>
              </w:rPr>
            </w:pPr>
            <w:r>
              <w:rPr>
                <w:rFonts w:hint="eastAsia" w:ascii="宋体" w:hAnsi="宋体" w:cs="宋体"/>
                <w:kern w:val="0"/>
                <w:sz w:val="24"/>
                <w:lang w:bidi="ar"/>
              </w:rPr>
              <w:t>10</w:t>
            </w:r>
          </w:p>
        </w:tc>
      </w:tr>
      <w:tr w14:paraId="3DD1FABF">
        <w:tblPrEx>
          <w:tblCellMar>
            <w:top w:w="0" w:type="dxa"/>
            <w:left w:w="108" w:type="dxa"/>
            <w:bottom w:w="0" w:type="dxa"/>
            <w:right w:w="108" w:type="dxa"/>
          </w:tblCellMar>
        </w:tblPrEx>
        <w:trPr>
          <w:trHeight w:val="1680" w:hRule="atLeast"/>
        </w:trPr>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635B">
            <w:pPr>
              <w:spacing w:line="360" w:lineRule="auto"/>
              <w:jc w:val="center"/>
              <w:rPr>
                <w:rFonts w:ascii="宋体" w:hAnsi="宋体" w:cs="宋体"/>
                <w:sz w:val="24"/>
              </w:rPr>
            </w:pPr>
          </w:p>
        </w:tc>
        <w:tc>
          <w:tcPr>
            <w:tcW w:w="3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C9429">
            <w:pPr>
              <w:spacing w:line="360" w:lineRule="auto"/>
              <w:jc w:val="left"/>
              <w:rPr>
                <w:rFonts w:ascii="宋体" w:hAnsi="宋体" w:cs="宋体"/>
                <w:sz w:val="24"/>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4E57">
            <w:pPr>
              <w:spacing w:line="360" w:lineRule="auto"/>
              <w:jc w:val="center"/>
              <w:rPr>
                <w:rFonts w:ascii="宋体" w:hAnsi="宋体" w:cs="宋体"/>
                <w:sz w:val="24"/>
              </w:rPr>
            </w:pPr>
          </w:p>
        </w:tc>
      </w:tr>
      <w:tr w14:paraId="4AE96BCC">
        <w:tblPrEx>
          <w:tblCellMar>
            <w:top w:w="0" w:type="dxa"/>
            <w:left w:w="108" w:type="dxa"/>
            <w:bottom w:w="0" w:type="dxa"/>
            <w:right w:w="108" w:type="dxa"/>
          </w:tblCellMar>
        </w:tblPrEx>
        <w:trPr>
          <w:trHeight w:val="915" w:hRule="atLeast"/>
        </w:trPr>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614D">
            <w:pPr>
              <w:spacing w:line="360" w:lineRule="auto"/>
              <w:jc w:val="center"/>
              <w:rPr>
                <w:rFonts w:ascii="宋体" w:hAnsi="宋体" w:cs="宋体"/>
                <w:sz w:val="24"/>
              </w:rPr>
            </w:pP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9892">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提供行政办公一体化平台系统运维方案：</w:t>
            </w:r>
            <w:r>
              <w:rPr>
                <w:rFonts w:hint="eastAsia" w:ascii="宋体" w:hAnsi="宋体" w:cs="宋体"/>
                <w:kern w:val="0"/>
                <w:sz w:val="24"/>
                <w:lang w:bidi="ar"/>
              </w:rPr>
              <w:br w:type="textWrapping"/>
            </w:r>
            <w:r>
              <w:rPr>
                <w:rFonts w:hint="eastAsia" w:ascii="宋体" w:hAnsi="宋体" w:cs="宋体"/>
                <w:kern w:val="0"/>
                <w:sz w:val="24"/>
                <w:lang w:bidi="ar"/>
              </w:rPr>
              <w:t>①日常维护服务方案（4分）；</w:t>
            </w:r>
          </w:p>
          <w:p w14:paraId="09464D8A">
            <w:pPr>
              <w:widowControl/>
              <w:spacing w:line="360" w:lineRule="auto"/>
              <w:jc w:val="left"/>
              <w:textAlignment w:val="center"/>
              <w:rPr>
                <w:rFonts w:ascii="宋体" w:hAnsi="宋体" w:cs="宋体"/>
                <w:sz w:val="24"/>
              </w:rPr>
            </w:pPr>
            <w:r>
              <w:rPr>
                <w:rFonts w:hint="eastAsia" w:ascii="宋体" w:hAnsi="宋体" w:cs="宋体"/>
                <w:kern w:val="0"/>
                <w:sz w:val="24"/>
                <w:lang w:bidi="ar"/>
              </w:rPr>
              <w:t>②系统后台管理，包括系统组织、人员管理、流程管理的技术支持与操作指导方案（4分）；</w:t>
            </w:r>
            <w:r>
              <w:rPr>
                <w:rFonts w:hint="eastAsia" w:ascii="宋体" w:hAnsi="宋体" w:cs="宋体"/>
                <w:kern w:val="0"/>
                <w:sz w:val="24"/>
                <w:lang w:bidi="ar"/>
              </w:rPr>
              <w:br w:type="textWrapping"/>
            </w:r>
            <w:r>
              <w:rPr>
                <w:rFonts w:hint="eastAsia" w:ascii="宋体" w:hAnsi="宋体" w:cs="宋体"/>
                <w:kern w:val="0"/>
                <w:sz w:val="24"/>
                <w:lang w:bidi="ar"/>
              </w:rPr>
              <w:t>③数据备份等安全保障工作方案，包括等保复测技术支持工作（4分）。</w:t>
            </w:r>
            <w:r>
              <w:rPr>
                <w:rFonts w:hint="eastAsia" w:ascii="宋体" w:hAnsi="宋体" w:cs="宋体"/>
                <w:kern w:val="0"/>
                <w:sz w:val="24"/>
                <w:lang w:bidi="ar"/>
              </w:rPr>
              <w:br w:type="textWrapping"/>
            </w:r>
            <w:r>
              <w:rPr>
                <w:rFonts w:hint="eastAsia" w:ascii="宋体" w:hAnsi="宋体" w:cs="宋体"/>
                <w:kern w:val="0"/>
                <w:sz w:val="24"/>
                <w:lang w:bidi="ar"/>
              </w:rPr>
              <w:t>以上每小项打分区间：0分、1分、2分、3分、4分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4443">
            <w:pPr>
              <w:widowControl/>
              <w:spacing w:line="360" w:lineRule="auto"/>
              <w:jc w:val="center"/>
              <w:textAlignment w:val="center"/>
              <w:rPr>
                <w:rFonts w:ascii="宋体" w:hAnsi="宋体" w:cs="宋体"/>
                <w:sz w:val="24"/>
              </w:rPr>
            </w:pPr>
            <w:r>
              <w:rPr>
                <w:rFonts w:hint="eastAsia" w:ascii="宋体" w:hAnsi="宋体" w:cs="宋体"/>
                <w:kern w:val="0"/>
                <w:sz w:val="24"/>
                <w:lang w:bidi="ar"/>
              </w:rPr>
              <w:t>12</w:t>
            </w:r>
          </w:p>
        </w:tc>
      </w:tr>
      <w:tr w14:paraId="3E839DC2">
        <w:tblPrEx>
          <w:tblCellMar>
            <w:top w:w="0" w:type="dxa"/>
            <w:left w:w="108" w:type="dxa"/>
            <w:bottom w:w="0" w:type="dxa"/>
            <w:right w:w="108" w:type="dxa"/>
          </w:tblCellMar>
        </w:tblPrEx>
        <w:trPr>
          <w:trHeight w:val="2840"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2493">
            <w:pPr>
              <w:widowControl/>
              <w:spacing w:line="360" w:lineRule="auto"/>
              <w:jc w:val="center"/>
              <w:textAlignment w:val="center"/>
              <w:rPr>
                <w:rFonts w:ascii="宋体" w:hAnsi="宋体" w:cs="宋体"/>
                <w:sz w:val="24"/>
              </w:rPr>
            </w:pPr>
            <w:r>
              <w:rPr>
                <w:rFonts w:hint="eastAsia" w:ascii="宋体" w:hAnsi="宋体" w:cs="宋体"/>
                <w:kern w:val="0"/>
                <w:sz w:val="24"/>
                <w:lang w:bidi="ar"/>
              </w:rPr>
              <w:t>7、档案扫描服务方案</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EA3F">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1）针对省卫健委实体档案特点，提供调研建设方案，呈现调研思路具有可行，操作性，专业性（5分）；</w:t>
            </w:r>
          </w:p>
          <w:p w14:paraId="51F0A932">
            <w:pPr>
              <w:widowControl/>
              <w:spacing w:line="360" w:lineRule="auto"/>
              <w:jc w:val="left"/>
              <w:textAlignment w:val="center"/>
              <w:rPr>
                <w:rFonts w:ascii="宋体" w:hAnsi="宋体" w:cs="宋体"/>
                <w:sz w:val="24"/>
              </w:rPr>
            </w:pPr>
            <w:r>
              <w:rPr>
                <w:rFonts w:hint="eastAsia" w:ascii="宋体" w:hAnsi="宋体" w:cs="宋体"/>
                <w:kern w:val="0"/>
                <w:sz w:val="24"/>
                <w:lang w:bidi="ar"/>
              </w:rPr>
              <w:t>2）针对文字档案情况，提供的梳理服务方案，并制作加工标准和建议方案，服务方案完善详细，切实可行（5分）；</w:t>
            </w:r>
            <w:r>
              <w:rPr>
                <w:rFonts w:hint="eastAsia" w:ascii="宋体" w:hAnsi="宋体" w:cs="宋体"/>
                <w:kern w:val="0"/>
                <w:sz w:val="24"/>
                <w:lang w:bidi="ar"/>
              </w:rPr>
              <w:br w:type="textWrapping"/>
            </w:r>
            <w:r>
              <w:rPr>
                <w:rFonts w:hint="eastAsia" w:ascii="宋体" w:hAnsi="宋体" w:cs="宋体"/>
                <w:kern w:val="0"/>
                <w:sz w:val="24"/>
                <w:lang w:bidi="ar"/>
              </w:rPr>
              <w:t>3）通过档案梳理情况，提供档案扫描服务方案，包括影像扫描，影像数据处理，数据质量检查等，服务方案完善详细，切实可行（5分）。</w:t>
            </w:r>
            <w:r>
              <w:rPr>
                <w:rFonts w:hint="eastAsia" w:ascii="宋体" w:hAnsi="宋体" w:cs="宋体"/>
                <w:kern w:val="0"/>
                <w:sz w:val="24"/>
                <w:lang w:bidi="ar"/>
              </w:rPr>
              <w:br w:type="textWrapping"/>
            </w:r>
            <w:r>
              <w:rPr>
                <w:rFonts w:hint="eastAsia" w:ascii="宋体" w:hAnsi="宋体" w:cs="宋体"/>
                <w:kern w:val="0"/>
                <w:sz w:val="24"/>
                <w:lang w:bidi="ar"/>
              </w:rPr>
              <w:t>以上每小项打分区间：0分、1分、2分、3分、4分、5分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E6B7">
            <w:pPr>
              <w:widowControl/>
              <w:spacing w:line="360" w:lineRule="auto"/>
              <w:jc w:val="center"/>
              <w:textAlignment w:val="center"/>
              <w:rPr>
                <w:rFonts w:ascii="宋体" w:hAnsi="宋体" w:cs="宋体"/>
                <w:sz w:val="24"/>
              </w:rPr>
            </w:pPr>
            <w:r>
              <w:rPr>
                <w:rFonts w:hint="eastAsia" w:ascii="宋体" w:hAnsi="宋体" w:cs="宋体"/>
                <w:kern w:val="0"/>
                <w:sz w:val="24"/>
                <w:lang w:bidi="ar"/>
              </w:rPr>
              <w:t>15</w:t>
            </w:r>
          </w:p>
        </w:tc>
      </w:tr>
      <w:tr w14:paraId="3DF1D393">
        <w:tblPrEx>
          <w:tblCellMar>
            <w:top w:w="0" w:type="dxa"/>
            <w:left w:w="108" w:type="dxa"/>
            <w:bottom w:w="0" w:type="dxa"/>
            <w:right w:w="108" w:type="dxa"/>
          </w:tblCellMar>
        </w:tblPrEx>
        <w:trPr>
          <w:trHeight w:val="2760"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7A8F">
            <w:pPr>
              <w:widowControl/>
              <w:spacing w:line="360" w:lineRule="auto"/>
              <w:jc w:val="center"/>
              <w:textAlignment w:val="center"/>
              <w:rPr>
                <w:rFonts w:ascii="宋体" w:hAnsi="宋体" w:cs="宋体"/>
                <w:sz w:val="24"/>
              </w:rPr>
            </w:pPr>
            <w:r>
              <w:rPr>
                <w:rFonts w:hint="eastAsia" w:ascii="宋体" w:hAnsi="宋体" w:cs="宋体"/>
                <w:kern w:val="0"/>
                <w:sz w:val="24"/>
                <w:lang w:bidi="ar"/>
              </w:rPr>
              <w:t>8、应急响应服务方案</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2816">
            <w:pPr>
              <w:widowControl/>
              <w:spacing w:line="360" w:lineRule="auto"/>
              <w:jc w:val="left"/>
              <w:textAlignment w:val="center"/>
              <w:rPr>
                <w:rFonts w:ascii="宋体" w:hAnsi="宋体" w:cs="宋体"/>
                <w:sz w:val="24"/>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提供安全及应急服务方案，包括</w:t>
            </w:r>
            <w:r>
              <w:rPr>
                <w:rFonts w:hint="eastAsia" w:ascii="宋体" w:hAnsi="宋体" w:cs="宋体"/>
                <w:kern w:val="0"/>
                <w:sz w:val="24"/>
                <w:lang w:bidi="ar"/>
              </w:rPr>
              <w:br w:type="textWrapping"/>
            </w:r>
            <w:r>
              <w:rPr>
                <w:rFonts w:hint="eastAsia" w:ascii="宋体" w:hAnsi="宋体" w:cs="宋体"/>
                <w:kern w:val="0"/>
                <w:sz w:val="24"/>
                <w:lang w:bidi="ar"/>
              </w:rPr>
              <w:t>①应急事件分类及响应级别要求（详细说明分类标准和响应级别处置标准）（3分）；</w:t>
            </w:r>
            <w:r>
              <w:rPr>
                <w:rFonts w:hint="eastAsia" w:ascii="宋体" w:hAnsi="宋体" w:cs="宋体"/>
                <w:kern w:val="0"/>
                <w:sz w:val="24"/>
                <w:lang w:bidi="ar"/>
              </w:rPr>
              <w:br w:type="textWrapping"/>
            </w:r>
            <w:r>
              <w:rPr>
                <w:rFonts w:hint="eastAsia" w:ascii="宋体" w:hAnsi="宋体" w:cs="宋体"/>
                <w:kern w:val="0"/>
                <w:sz w:val="24"/>
                <w:lang w:bidi="ar"/>
              </w:rPr>
              <w:t>②重要时期安全保障方案（要求详细说明在重大节假日或节假日中如何保障）（3分）。</w:t>
            </w:r>
            <w:r>
              <w:rPr>
                <w:rFonts w:hint="eastAsia" w:ascii="宋体" w:hAnsi="宋体" w:cs="宋体"/>
                <w:kern w:val="0"/>
                <w:sz w:val="24"/>
                <w:lang w:bidi="ar"/>
              </w:rPr>
              <w:br w:type="textWrapping"/>
            </w:r>
            <w:r>
              <w:rPr>
                <w:rFonts w:hint="eastAsia" w:ascii="宋体" w:hAnsi="宋体" w:cs="宋体"/>
                <w:kern w:val="0"/>
                <w:sz w:val="24"/>
                <w:lang w:bidi="ar"/>
              </w:rPr>
              <w:t>提供的应急响应服务方案，应急事件管理方案细致、全面、切实可行。</w:t>
            </w:r>
            <w:r>
              <w:rPr>
                <w:rFonts w:hint="eastAsia" w:ascii="宋体" w:hAnsi="宋体" w:cs="宋体"/>
                <w:kern w:val="0"/>
                <w:sz w:val="24"/>
                <w:lang w:bidi="ar"/>
              </w:rPr>
              <w:br w:type="textWrapping"/>
            </w:r>
            <w:r>
              <w:rPr>
                <w:rFonts w:hint="eastAsia" w:ascii="宋体" w:hAnsi="宋体" w:cs="宋体"/>
                <w:kern w:val="0"/>
                <w:sz w:val="24"/>
                <w:lang w:bidi="ar"/>
              </w:rPr>
              <w:t>打分区间：0分、1分、2分、3分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CD6B">
            <w:pPr>
              <w:widowControl/>
              <w:spacing w:line="360" w:lineRule="auto"/>
              <w:jc w:val="center"/>
              <w:textAlignment w:val="center"/>
              <w:rPr>
                <w:rFonts w:ascii="宋体" w:hAnsi="宋体" w:cs="宋体"/>
                <w:sz w:val="24"/>
              </w:rPr>
            </w:pPr>
            <w:r>
              <w:rPr>
                <w:rFonts w:hint="eastAsia" w:ascii="宋体" w:hAnsi="宋体" w:cs="宋体"/>
                <w:kern w:val="0"/>
                <w:sz w:val="24"/>
                <w:lang w:bidi="ar"/>
              </w:rPr>
              <w:t>6</w:t>
            </w:r>
          </w:p>
        </w:tc>
      </w:tr>
      <w:tr w14:paraId="21D3F325">
        <w:tblPrEx>
          <w:tblCellMar>
            <w:top w:w="0" w:type="dxa"/>
            <w:left w:w="108" w:type="dxa"/>
            <w:bottom w:w="0" w:type="dxa"/>
            <w:right w:w="108" w:type="dxa"/>
          </w:tblCellMar>
        </w:tblPrEx>
        <w:trPr>
          <w:trHeight w:val="1357"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FA09">
            <w:pPr>
              <w:widowControl/>
              <w:spacing w:line="360" w:lineRule="auto"/>
              <w:jc w:val="center"/>
              <w:textAlignment w:val="center"/>
              <w:rPr>
                <w:rFonts w:ascii="宋体" w:hAnsi="宋体" w:cs="宋体"/>
                <w:sz w:val="24"/>
              </w:rPr>
            </w:pPr>
            <w:r>
              <w:rPr>
                <w:rFonts w:hint="eastAsia" w:ascii="宋体" w:hAnsi="宋体" w:cs="宋体"/>
                <w:kern w:val="0"/>
                <w:sz w:val="24"/>
                <w:lang w:bidi="ar"/>
              </w:rPr>
              <w:t>9、售后服务方案</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78D2">
            <w:pPr>
              <w:widowControl/>
              <w:spacing w:line="360" w:lineRule="auto"/>
              <w:jc w:val="left"/>
              <w:textAlignment w:val="center"/>
              <w:rPr>
                <w:rFonts w:ascii="宋体" w:hAnsi="宋体" w:cs="宋体"/>
                <w:sz w:val="24"/>
              </w:rPr>
            </w:pPr>
            <w:r>
              <w:rPr>
                <w:rFonts w:hint="eastAsia" w:ascii="宋体" w:hAnsi="宋体" w:cs="宋体"/>
                <w:kern w:val="0"/>
                <w:sz w:val="24"/>
                <w:lang w:bidi="ar"/>
              </w:rPr>
              <w:t>【主观分】</w:t>
            </w:r>
            <w:r>
              <w:rPr>
                <w:rFonts w:hint="eastAsia" w:ascii="宋体" w:hAnsi="宋体" w:cs="宋体"/>
                <w:kern w:val="0"/>
                <w:sz w:val="24"/>
                <w:lang w:bidi="ar"/>
              </w:rPr>
              <w:br w:type="textWrapping"/>
            </w:r>
            <w:r>
              <w:rPr>
                <w:rFonts w:hint="eastAsia" w:ascii="宋体" w:hAnsi="宋体" w:cs="宋体"/>
                <w:kern w:val="0"/>
                <w:sz w:val="24"/>
                <w:lang w:bidi="ar"/>
              </w:rPr>
              <w:t>提供完整可行的售后服务方案，从具体的服务措施、响应时间、服务承诺等内容，方案具有可行性。</w:t>
            </w:r>
            <w:r>
              <w:rPr>
                <w:rFonts w:hint="eastAsia" w:ascii="宋体" w:hAnsi="宋体" w:cs="宋体"/>
                <w:kern w:val="0"/>
                <w:sz w:val="24"/>
                <w:lang w:bidi="ar"/>
              </w:rPr>
              <w:br w:type="textWrapping"/>
            </w:r>
            <w:r>
              <w:rPr>
                <w:rFonts w:hint="eastAsia" w:ascii="宋体" w:hAnsi="宋体" w:cs="宋体"/>
                <w:kern w:val="0"/>
                <w:sz w:val="24"/>
                <w:lang w:bidi="ar"/>
              </w:rPr>
              <w:t>打分区间：0分、1分、2分、3分、4分、5分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AC9F">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p>
        </w:tc>
      </w:tr>
      <w:tr w14:paraId="5327B1D2">
        <w:tblPrEx>
          <w:tblCellMar>
            <w:top w:w="0" w:type="dxa"/>
            <w:left w:w="108" w:type="dxa"/>
            <w:bottom w:w="0" w:type="dxa"/>
            <w:right w:w="108" w:type="dxa"/>
          </w:tblCellMar>
        </w:tblPrEx>
        <w:trPr>
          <w:trHeight w:val="1397"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3077">
            <w:pPr>
              <w:widowControl/>
              <w:spacing w:line="360" w:lineRule="auto"/>
              <w:jc w:val="left"/>
              <w:textAlignment w:val="center"/>
              <w:rPr>
                <w:rFonts w:ascii="宋体" w:hAnsi="宋体" w:cs="宋体"/>
                <w:sz w:val="24"/>
              </w:rPr>
            </w:pPr>
            <w:r>
              <w:rPr>
                <w:rFonts w:hint="eastAsia" w:ascii="宋体" w:hAnsi="宋体" w:cs="宋体"/>
                <w:kern w:val="0"/>
                <w:sz w:val="24"/>
                <w:lang w:bidi="ar"/>
              </w:rPr>
              <w:t>10、项目质量保证措施</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FE2D">
            <w:pPr>
              <w:widowControl/>
              <w:spacing w:line="360" w:lineRule="auto"/>
              <w:jc w:val="left"/>
              <w:textAlignment w:val="center"/>
              <w:rPr>
                <w:rFonts w:ascii="宋体" w:hAnsi="宋体" w:cs="宋体"/>
                <w:sz w:val="24"/>
              </w:rPr>
            </w:pPr>
            <w:r>
              <w:rPr>
                <w:rFonts w:hint="eastAsia" w:ascii="宋体" w:hAnsi="宋体" w:cs="宋体"/>
                <w:kern w:val="0"/>
                <w:sz w:val="24"/>
                <w:lang w:bidi="ar"/>
              </w:rPr>
              <w:t>【主观分】</w:t>
            </w:r>
            <w:r>
              <w:rPr>
                <w:rFonts w:hint="eastAsia" w:ascii="宋体" w:hAnsi="宋体" w:cs="宋体"/>
                <w:kern w:val="0"/>
                <w:sz w:val="24"/>
                <w:lang w:bidi="ar"/>
              </w:rPr>
              <w:br w:type="textWrapping"/>
            </w:r>
            <w:bookmarkStart w:id="445" w:name="_GoBack"/>
            <w:r>
              <w:rPr>
                <w:rFonts w:hint="eastAsia" w:ascii="宋体" w:hAnsi="宋体" w:cs="宋体"/>
                <w:kern w:val="0"/>
                <w:sz w:val="24"/>
                <w:lang w:bidi="ar"/>
              </w:rPr>
              <w:t>提供本项目质量保证措施，方案科学合理，保障措施全面、科学有效。</w:t>
            </w:r>
            <w:r>
              <w:rPr>
                <w:rFonts w:hint="eastAsia" w:ascii="宋体" w:hAnsi="宋体" w:cs="宋体"/>
                <w:kern w:val="0"/>
                <w:sz w:val="24"/>
                <w:lang w:bidi="ar"/>
              </w:rPr>
              <w:br w:type="textWrapping"/>
            </w:r>
            <w:r>
              <w:rPr>
                <w:rFonts w:hint="eastAsia" w:ascii="宋体" w:hAnsi="宋体" w:cs="宋体"/>
                <w:kern w:val="0"/>
                <w:sz w:val="24"/>
                <w:lang w:bidi="ar"/>
              </w:rPr>
              <w:t>打分区间：0分、1分、2分、3分、4分</w:t>
            </w:r>
            <w:bookmarkEnd w:id="445"/>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9FB8">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p>
        </w:tc>
      </w:tr>
      <w:tr w14:paraId="0361178B">
        <w:tblPrEx>
          <w:tblCellMar>
            <w:top w:w="0" w:type="dxa"/>
            <w:left w:w="108" w:type="dxa"/>
            <w:bottom w:w="0" w:type="dxa"/>
            <w:right w:w="108" w:type="dxa"/>
          </w:tblCellMar>
        </w:tblPrEx>
        <w:trPr>
          <w:trHeight w:val="2560" w:hRule="atLeast"/>
        </w:trPr>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65E0">
            <w:pPr>
              <w:widowControl/>
              <w:spacing w:line="360" w:lineRule="auto"/>
              <w:jc w:val="center"/>
              <w:textAlignment w:val="center"/>
              <w:rPr>
                <w:rFonts w:ascii="宋体" w:hAnsi="宋体" w:cs="宋体"/>
                <w:sz w:val="24"/>
              </w:rPr>
            </w:pPr>
            <w:r>
              <w:rPr>
                <w:rFonts w:hint="eastAsia" w:ascii="宋体" w:hAnsi="宋体" w:cs="宋体"/>
                <w:kern w:val="0"/>
                <w:sz w:val="24"/>
                <w:lang w:bidi="ar"/>
              </w:rPr>
              <w:t>11、报价</w:t>
            </w:r>
          </w:p>
        </w:tc>
        <w:tc>
          <w:tcPr>
            <w:tcW w:w="3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0AFA">
            <w:pPr>
              <w:widowControl/>
              <w:spacing w:line="360" w:lineRule="auto"/>
              <w:jc w:val="left"/>
              <w:textAlignment w:val="center"/>
              <w:rPr>
                <w:rFonts w:ascii="宋体" w:hAnsi="宋体" w:cs="宋体"/>
                <w:sz w:val="24"/>
              </w:rPr>
            </w:pPr>
            <w:r>
              <w:rPr>
                <w:rFonts w:hint="eastAsia" w:ascii="宋体" w:hAnsi="宋体" w:cs="宋体"/>
                <w:kern w:val="0"/>
                <w:sz w:val="24"/>
                <w:lang w:bidi="ar"/>
              </w:rPr>
              <w:t>有效投标报价的最低价作为评标基准价，其最低报价为满分；按［投标报价得分=（评标基准价/投标报价）*权重］的计算公式计算。</w:t>
            </w:r>
            <w:r>
              <w:rPr>
                <w:rFonts w:hint="eastAsia" w:ascii="宋体" w:hAnsi="宋体" w:cs="宋体"/>
                <w:kern w:val="0"/>
                <w:sz w:val="24"/>
                <w:lang w:bidi="ar"/>
              </w:rPr>
              <w:br w:type="textWrapping"/>
            </w:r>
            <w:r>
              <w:rPr>
                <w:rFonts w:hint="eastAsia" w:ascii="宋体" w:hAnsi="宋体" w:cs="宋体"/>
                <w:kern w:val="0"/>
                <w:sz w:val="24"/>
                <w:lang w:bidi="ar"/>
              </w:rPr>
              <w:t>评标过程中，不得去掉报价中的最高报价和最低报价。</w:t>
            </w:r>
            <w:r>
              <w:rPr>
                <w:rFonts w:hint="eastAsia" w:ascii="宋体" w:hAnsi="宋体" w:cs="宋体"/>
                <w:kern w:val="0"/>
                <w:sz w:val="24"/>
                <w:lang w:bidi="ar"/>
              </w:rPr>
              <w:br w:type="textWrapping"/>
            </w:r>
            <w:r>
              <w:rPr>
                <w:rFonts w:hint="eastAsia" w:ascii="宋体" w:hAnsi="宋体" w:cs="宋体"/>
                <w:kern w:val="0"/>
                <w:sz w:val="24"/>
                <w:lang w:bidi="ar"/>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DF40">
            <w:pPr>
              <w:widowControl/>
              <w:spacing w:line="360" w:lineRule="auto"/>
              <w:jc w:val="center"/>
              <w:textAlignment w:val="center"/>
              <w:rPr>
                <w:rFonts w:ascii="宋体" w:hAnsi="宋体" w:cs="宋体"/>
                <w:sz w:val="24"/>
              </w:rPr>
            </w:pPr>
            <w:r>
              <w:rPr>
                <w:rFonts w:hint="eastAsia" w:ascii="宋体" w:hAnsi="宋体" w:cs="宋体"/>
                <w:kern w:val="0"/>
                <w:sz w:val="24"/>
                <w:lang w:bidi="ar"/>
              </w:rPr>
              <w:t>10</w:t>
            </w:r>
          </w:p>
        </w:tc>
      </w:tr>
    </w:tbl>
    <w:p w14:paraId="1CEC37CF">
      <w:pPr>
        <w:snapToGrid w:val="0"/>
        <w:spacing w:line="360" w:lineRule="auto"/>
        <w:rPr>
          <w:rFonts w:cs="宋体" w:asciiTheme="majorEastAsia" w:hAnsiTheme="majorEastAsia" w:eastAsiaTheme="majorEastAsia"/>
          <w:sz w:val="20"/>
          <w:szCs w:val="20"/>
          <w:shd w:val="clear" w:color="auto" w:fill="FFFFFF"/>
        </w:rPr>
      </w:pPr>
    </w:p>
    <w:p w14:paraId="0D9B065D">
      <w:pPr>
        <w:snapToGrid w:val="0"/>
        <w:spacing w:line="360" w:lineRule="auto"/>
        <w:rPr>
          <w:rFonts w:cs="宋体" w:asciiTheme="majorEastAsia" w:hAnsiTheme="majorEastAsia" w:eastAsiaTheme="majorEastAsia"/>
          <w:b/>
          <w:sz w:val="24"/>
        </w:rPr>
      </w:pPr>
      <w:r>
        <w:rPr>
          <w:rFonts w:hint="eastAsia" w:cs="宋体" w:asciiTheme="majorEastAsia" w:hAnsiTheme="majorEastAsia" w:eastAsiaTheme="majorEastAsia"/>
          <w:sz w:val="20"/>
          <w:szCs w:val="20"/>
          <w:shd w:val="clear" w:color="auto" w:fill="FFFFFF"/>
        </w:rPr>
        <w:t>*</w:t>
      </w:r>
      <w:r>
        <w:rPr>
          <w:rFonts w:hint="eastAsia" w:cs="宋体" w:asciiTheme="majorEastAsia" w:hAnsiTheme="majorEastAsia" w:eastAsiaTheme="majorEastAsia"/>
          <w:b/>
          <w:sz w:val="24"/>
        </w:rPr>
        <w:t>备注：</w:t>
      </w:r>
      <w:r>
        <w:rPr>
          <w:rFonts w:hint="eastAsia" w:cs="宋体" w:asciiTheme="majorEastAsia" w:hAnsiTheme="majorEastAsia" w:eastAsiaTheme="majorEastAsia"/>
          <w:sz w:val="24"/>
        </w:rPr>
        <w:t>投标人编制投标文件（商务技术文件部分）时，建议按此目录（序号和内容）提供评标标准相应的商务技术资料。 </w:t>
      </w:r>
    </w:p>
    <w:p w14:paraId="63C5878C">
      <w:pPr>
        <w:snapToGrid w:val="0"/>
        <w:spacing w:line="360" w:lineRule="auto"/>
        <w:rPr>
          <w:rFonts w:cs="宋体" w:asciiTheme="majorEastAsia" w:hAnsiTheme="majorEastAsia" w:eastAsiaTheme="majorEastAsia"/>
          <w:b/>
          <w:sz w:val="28"/>
          <w:szCs w:val="28"/>
        </w:rPr>
      </w:pPr>
      <w:r>
        <w:rPr>
          <w:rFonts w:hint="eastAsia" w:cs="宋体" w:asciiTheme="majorEastAsia" w:hAnsiTheme="majorEastAsia" w:eastAsiaTheme="majorEastAsia"/>
          <w:b/>
          <w:sz w:val="32"/>
        </w:rPr>
        <w:t>一、评标方法</w:t>
      </w:r>
    </w:p>
    <w:p w14:paraId="0DCF2B1A">
      <w:pPr>
        <w:adjustRightInd/>
        <w:spacing w:line="360" w:lineRule="auto"/>
        <w:ind w:firstLine="472" w:firstLineChars="196"/>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1.本项目采用综合评分法。</w:t>
      </w:r>
      <w:r>
        <w:rPr>
          <w:rFonts w:hint="eastAsia" w:cs="宋体" w:asciiTheme="majorEastAsia" w:hAnsiTheme="majorEastAsia" w:eastAsiaTheme="majorEastAsia"/>
          <w:kern w:val="0"/>
          <w:sz w:val="24"/>
        </w:rPr>
        <w:t>综合评分法，是指投标文件满足招标文件全部实质性要求，且按照评审因素的量化指标评审得分最高的投标人为中标候选人的评标方法。</w:t>
      </w:r>
    </w:p>
    <w:p w14:paraId="70162C7A">
      <w:pPr>
        <w:adjustRightInd/>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b/>
          <w:sz w:val="32"/>
        </w:rPr>
        <w:t>二、评标标准</w:t>
      </w:r>
    </w:p>
    <w:p w14:paraId="013D6ABD">
      <w:pPr>
        <w:spacing w:line="360" w:lineRule="auto"/>
        <w:ind w:firstLine="472" w:firstLineChars="196"/>
        <w:rPr>
          <w:rFonts w:cs="宋体" w:asciiTheme="majorEastAsia" w:hAnsiTheme="majorEastAsia" w:eastAsiaTheme="majorEastAsia"/>
          <w:b/>
          <w:sz w:val="24"/>
        </w:rPr>
      </w:pPr>
      <w:r>
        <w:rPr>
          <w:rFonts w:hint="eastAsia" w:cs="宋体" w:asciiTheme="majorEastAsia" w:hAnsiTheme="majorEastAsia" w:eastAsiaTheme="majorEastAsia"/>
          <w:b/>
          <w:sz w:val="24"/>
        </w:rPr>
        <w:t>2.评标标准：</w:t>
      </w:r>
      <w:r>
        <w:rPr>
          <w:rFonts w:hint="eastAsia" w:cs="宋体" w:asciiTheme="majorEastAsia" w:hAnsiTheme="majorEastAsia" w:eastAsiaTheme="majorEastAsia"/>
          <w:kern w:val="0"/>
          <w:sz w:val="24"/>
        </w:rPr>
        <w:t>见评标办法前附表。</w:t>
      </w:r>
    </w:p>
    <w:p w14:paraId="52618E16">
      <w:pPr>
        <w:adjustRightInd/>
        <w:spacing w:line="360" w:lineRule="auto"/>
        <w:rPr>
          <w:rFonts w:cs="宋体" w:asciiTheme="majorEastAsia" w:hAnsiTheme="majorEastAsia" w:eastAsiaTheme="majorEastAsia"/>
          <w:b/>
          <w:sz w:val="32"/>
        </w:rPr>
      </w:pPr>
      <w:r>
        <w:rPr>
          <w:rFonts w:hint="eastAsia" w:cs="宋体" w:asciiTheme="majorEastAsia" w:hAnsiTheme="majorEastAsia" w:eastAsiaTheme="majorEastAsia"/>
          <w:b/>
          <w:sz w:val="32"/>
        </w:rPr>
        <w:t>三、评标程序</w:t>
      </w:r>
    </w:p>
    <w:p w14:paraId="0B0B9B80">
      <w:pPr>
        <w:spacing w:line="360" w:lineRule="auto"/>
        <w:ind w:firstLine="472" w:firstLineChars="196"/>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3.1符合性审查。</w:t>
      </w:r>
      <w:r>
        <w:rPr>
          <w:rFonts w:hint="eastAsia" w:cs="宋体" w:asciiTheme="majorEastAsia" w:hAnsiTheme="majorEastAsia" w:eastAsiaTheme="majorEastAsia"/>
          <w:kern w:val="0"/>
          <w:sz w:val="24"/>
        </w:rPr>
        <w:t>评标委员会应当对符合资格的投标人的投标文件进行符合性审查，以确定其是否满足招标文件的实质性要求。不满足招标文件的实质性要求的，投标无效。</w:t>
      </w:r>
    </w:p>
    <w:p w14:paraId="10B01681">
      <w:pPr>
        <w:spacing w:line="360" w:lineRule="auto"/>
        <w:ind w:firstLine="472" w:firstLineChars="196"/>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3.2 比较与评价。</w:t>
      </w:r>
      <w:r>
        <w:rPr>
          <w:rFonts w:hint="eastAsia" w:cs="宋体" w:asciiTheme="majorEastAsia" w:hAnsiTheme="majorEastAsia" w:eastAsiaTheme="majorEastAsia"/>
          <w:kern w:val="0"/>
          <w:sz w:val="24"/>
        </w:rPr>
        <w:t>评标委员会应当按照招标文件中规定的评标方法和标准，对符合性审查合格的投标文件进行商务和技术评估，综合比较与评价。</w:t>
      </w:r>
    </w:p>
    <w:p w14:paraId="4494833D">
      <w:pPr>
        <w:spacing w:line="360" w:lineRule="auto"/>
        <w:ind w:firstLine="472" w:firstLineChars="196"/>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3.3汇总商务技术得分。</w:t>
      </w:r>
      <w:r>
        <w:rPr>
          <w:rFonts w:hint="eastAsia" w:cs="宋体" w:asciiTheme="majorEastAsia" w:hAnsiTheme="majorEastAsia" w:eastAsiaTheme="majorEastAsia"/>
          <w:kern w:val="0"/>
          <w:sz w:val="24"/>
        </w:rPr>
        <w:t>评标委员会各成员应当独立对每个投标人的商务和技术文件进行评价，并汇总商务技术得分情况。</w:t>
      </w:r>
    </w:p>
    <w:p w14:paraId="4BD1823C">
      <w:pPr>
        <w:spacing w:line="360" w:lineRule="auto"/>
        <w:ind w:firstLine="472" w:firstLineChars="196"/>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3.4报价评审。</w:t>
      </w:r>
    </w:p>
    <w:p w14:paraId="2A2CC40B">
      <w:pPr>
        <w:pStyle w:val="132"/>
        <w:spacing w:before="0"/>
        <w:ind w:firstLine="508" w:firstLineChars="212"/>
        <w:rPr>
          <w:rFonts w:cs="宋体" w:asciiTheme="majorEastAsia" w:hAnsiTheme="majorEastAsia" w:eastAsiaTheme="majorEastAsia"/>
          <w:kern w:val="0"/>
        </w:rPr>
      </w:pPr>
      <w:r>
        <w:rPr>
          <w:rFonts w:hint="eastAsia" w:cs="宋体" w:asciiTheme="majorEastAsia" w:hAnsiTheme="majorEastAsia" w:eastAsiaTheme="majorEastAsia"/>
          <w:kern w:val="0"/>
        </w:rPr>
        <w:t>3.4.1投标文件报价出现前后不一致的，按照下列规定修正：</w:t>
      </w:r>
    </w:p>
    <w:p w14:paraId="6554ECE9">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3.4.1.1投标文件中开标一览表(报价表)内容与投标文件中相应内容不一致的，以开标一览表(报价表)为准;</w:t>
      </w:r>
    </w:p>
    <w:p w14:paraId="5CA42593">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3.4.1.2大写金额和小写金额不一致的，以大写金额为准;</w:t>
      </w:r>
    </w:p>
    <w:p w14:paraId="1EFA0CC9">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3.4.1.3单价金额小数点或者百分比有明显错位的，以开标一览表的总价为准，并修改单价;</w:t>
      </w:r>
    </w:p>
    <w:p w14:paraId="7B22A8FA">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3.4.1.4总价金额与按单价汇总金额不一致的，以单价金额计算结果为准。</w:t>
      </w:r>
    </w:p>
    <w:p w14:paraId="0C5A6F38">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EE0C6A">
      <w:pPr>
        <w:snapToGrid w:val="0"/>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3.4.2投标文件出现不是唯一的、有选择性投标报价的，投标无效。</w:t>
      </w:r>
    </w:p>
    <w:p w14:paraId="1281ABFD">
      <w:pPr>
        <w:snapToGrid w:val="0"/>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3.4.3投标报价超过招标文件中规定的预算金额或者最高限价的，投标无效。</w:t>
      </w:r>
    </w:p>
    <w:p w14:paraId="60CA2F8E">
      <w:pPr>
        <w:pStyle w:val="132"/>
        <w:spacing w:before="0"/>
        <w:ind w:firstLine="480"/>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4A4B1C">
      <w:pPr>
        <w:pStyle w:val="132"/>
        <w:spacing w:before="0"/>
        <w:ind w:firstLine="480"/>
        <w:jc w:val="left"/>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3.4.5对于未预留份额专门面向中小企业的政府采购服务项目，以及预留份额政府采购服务项目中的非预留部分标项，对小型和微型企业的投标报价给予</w:t>
      </w:r>
      <w:r>
        <w:rPr>
          <w:rFonts w:hint="eastAsia" w:cs="宋体" w:asciiTheme="majorEastAsia" w:hAnsiTheme="majorEastAsia" w:eastAsiaTheme="majorEastAsia"/>
          <w:kern w:val="0"/>
          <w:szCs w:val="24"/>
          <w:u w:val="single"/>
        </w:rPr>
        <w:t>20%</w:t>
      </w:r>
      <w:r>
        <w:rPr>
          <w:rFonts w:hint="eastAsia" w:cs="宋体" w:asciiTheme="majorEastAsia" w:hAnsiTheme="majorEastAsia" w:eastAsiaTheme="major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asciiTheme="majorEastAsia" w:hAnsiTheme="majorEastAsia" w:eastAsiaTheme="majorEastAsia"/>
          <w:kern w:val="0"/>
          <w:szCs w:val="24"/>
          <w:u w:val="single"/>
        </w:rPr>
        <w:t>6%</w:t>
      </w:r>
      <w:r>
        <w:rPr>
          <w:rFonts w:hint="eastAsia" w:cs="宋体" w:asciiTheme="majorEastAsia" w:hAnsiTheme="majorEastAsia" w:eastAsiaTheme="majorEastAsia"/>
          <w:kern w:val="0"/>
          <w:szCs w:val="24"/>
        </w:rPr>
        <w:t>的扣除，用扣除后的价格参加评审。组成联合体或者接受分包的小微企业与联合体内其他企业、分包企业之间存在直接控股、管理关系的，不享受价格扣除优惠政策。</w:t>
      </w:r>
    </w:p>
    <w:p w14:paraId="59A27779">
      <w:pPr>
        <w:spacing w:line="360" w:lineRule="auto"/>
        <w:ind w:firstLine="482" w:firstLineChars="200"/>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3.5排序与推荐。</w:t>
      </w:r>
      <w:r>
        <w:rPr>
          <w:rFonts w:hint="eastAsia" w:cs="宋体" w:asciiTheme="majorEastAsia" w:hAnsiTheme="majorEastAsia" w:eastAsiaTheme="maj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D6E54B">
      <w:pPr>
        <w:spacing w:line="360" w:lineRule="auto"/>
        <w:ind w:firstLine="480" w:firstLineChars="200"/>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C114E6">
      <w:pPr>
        <w:spacing w:line="360" w:lineRule="auto"/>
        <w:ind w:firstLine="472" w:firstLineChars="196"/>
        <w:rPr>
          <w:rFonts w:cs="宋体" w:asciiTheme="majorEastAsia" w:hAnsiTheme="majorEastAsia" w:eastAsiaTheme="majorEastAsia"/>
          <w:kern w:val="0"/>
          <w:sz w:val="24"/>
        </w:rPr>
      </w:pPr>
      <w:r>
        <w:rPr>
          <w:rFonts w:hint="eastAsia" w:cs="宋体" w:asciiTheme="majorEastAsia" w:hAnsiTheme="majorEastAsia" w:eastAsiaTheme="majorEastAsia"/>
          <w:b/>
          <w:kern w:val="0"/>
          <w:sz w:val="24"/>
        </w:rPr>
        <w:t>3.6编写评标报告。</w:t>
      </w:r>
      <w:r>
        <w:rPr>
          <w:rFonts w:hint="eastAsia" w:cs="宋体" w:asciiTheme="majorEastAsia" w:hAnsiTheme="majorEastAsia" w:eastAsiaTheme="majorEastAsia"/>
          <w:kern w:val="0"/>
          <w:sz w:val="24"/>
        </w:rPr>
        <w:t>评标委员会按照评审得分由高到低顺序推荐1名中标候选人，并编写评标报告。评标委员会成员对需要共同认定的事项存在争议的，应当按照少数服从多数的原则作出结论。持不同意见的评标委员会成员应当在评标报告上签署不同意见及理由，否则视为同意评标报告。</w:t>
      </w:r>
    </w:p>
    <w:p w14:paraId="4DC11F21">
      <w:pPr>
        <w:widowControl/>
        <w:shd w:val="clear" w:color="auto" w:fill="FFFFFF"/>
        <w:adjustRightInd/>
        <w:spacing w:after="225" w:line="315" w:lineRule="atLeast"/>
        <w:jc w:val="left"/>
        <w:rPr>
          <w:rFonts w:cs="宋体" w:asciiTheme="majorEastAsia" w:hAnsiTheme="majorEastAsia" w:eastAsiaTheme="majorEastAsia"/>
          <w:b/>
          <w:sz w:val="32"/>
        </w:rPr>
      </w:pPr>
      <w:r>
        <w:rPr>
          <w:rFonts w:hint="eastAsia" w:cs="宋体" w:asciiTheme="majorEastAsia" w:hAnsiTheme="majorEastAsia" w:eastAsiaTheme="majorEastAsia"/>
          <w:b/>
          <w:sz w:val="32"/>
        </w:rPr>
        <w:t>四、评标中的其他事项</w:t>
      </w:r>
    </w:p>
    <w:p w14:paraId="06F81E52">
      <w:pPr>
        <w:pStyle w:val="132"/>
        <w:spacing w:before="0"/>
        <w:ind w:firstLine="472" w:firstLineChars="196"/>
        <w:rPr>
          <w:rFonts w:cs="宋体" w:asciiTheme="majorEastAsia" w:hAnsiTheme="majorEastAsia" w:eastAsiaTheme="majorEastAsia"/>
          <w:kern w:val="0"/>
          <w:szCs w:val="24"/>
        </w:rPr>
      </w:pPr>
      <w:r>
        <w:rPr>
          <w:rFonts w:hint="eastAsia" w:cs="宋体" w:asciiTheme="majorEastAsia" w:hAnsiTheme="majorEastAsia" w:eastAsiaTheme="majorEastAsia"/>
          <w:b/>
          <w:kern w:val="0"/>
          <w:szCs w:val="24"/>
        </w:rPr>
        <w:t>4.1投标人澄清、说明或者补正。</w:t>
      </w:r>
      <w:r>
        <w:rPr>
          <w:rFonts w:hint="eastAsia" w:cs="宋体" w:asciiTheme="majorEastAsia" w:hAnsiTheme="majorEastAsia" w:eastAsiaTheme="maj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13F314">
      <w:pPr>
        <w:pStyle w:val="24"/>
        <w:spacing w:line="360" w:lineRule="auto"/>
        <w:ind w:left="954" w:leftChars="226" w:hanging="479" w:firstLineChars="0"/>
        <w:rPr>
          <w:rFonts w:cs="宋体" w:asciiTheme="majorEastAsia" w:hAnsiTheme="majorEastAsia" w:eastAsiaTheme="majorEastAsia"/>
          <w:szCs w:val="21"/>
        </w:rPr>
      </w:pPr>
      <w:r>
        <w:rPr>
          <w:rFonts w:hint="eastAsia" w:cs="宋体" w:asciiTheme="majorEastAsia" w:hAnsiTheme="majorEastAsia" w:eastAsiaTheme="majorEastAsia"/>
          <w:b/>
          <w:kern w:val="0"/>
        </w:rPr>
        <w:t>4.2投标无效。</w:t>
      </w:r>
      <w:r>
        <w:rPr>
          <w:rFonts w:hint="eastAsia" w:cs="宋体" w:asciiTheme="majorEastAsia" w:hAnsiTheme="majorEastAsia" w:eastAsiaTheme="majorEastAsia"/>
          <w:szCs w:val="21"/>
        </w:rPr>
        <w:t>有下列情形之一的，投标无效：</w:t>
      </w:r>
    </w:p>
    <w:p w14:paraId="510118DF">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4.2.1投标人不具备招标文件中规定的资格要求的（投标人未提供有效的资格文件的，视为投标人不具备招标文件中规定的资格要求）；</w:t>
      </w:r>
    </w:p>
    <w:p w14:paraId="7C7456E4">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4.2.2投标文件未按照招标文件要求签署、盖章的；</w:t>
      </w:r>
    </w:p>
    <w:p w14:paraId="6572BA20">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4.2.3采购人拟采购的产品属于政府强制采购的节能产品品目清单范围的，投标人相应的投标产品未获得国家确定的认证机构出具的、处于有效期之内的节能产品认证证书的；</w:t>
      </w:r>
    </w:p>
    <w:p w14:paraId="3802467C">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4.2.4投标文件含有采购人不能接受的附加条件的；</w:t>
      </w:r>
    </w:p>
    <w:p w14:paraId="2D08CEC0">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4.2.5投标文件中承诺的投标有效期少于招标文件中载明的投标有效期的；</w:t>
      </w:r>
    </w:p>
    <w:p w14:paraId="5E9070A8">
      <w:pPr>
        <w:snapToGrid w:val="0"/>
        <w:spacing w:line="360" w:lineRule="auto"/>
        <w:ind w:firstLine="120" w:firstLineChars="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   4.2.6投标文件出现不是唯一的、有选择性投标报价的;</w:t>
      </w:r>
    </w:p>
    <w:p w14:paraId="17124655">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4.2.7投标报价超过招标文件中规定的预算金额或者最高限价的;</w:t>
      </w:r>
    </w:p>
    <w:p w14:paraId="6F6FC648">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4.2.8报价明显低于其他通过符合性审查投标人的报价，有可能影响产品质量或者不能诚信履约的，未能按要求提供书面说明或者提交相关证明材料，不能证明其报价合理性的;</w:t>
      </w:r>
    </w:p>
    <w:p w14:paraId="187BCE68">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4.2.9投标人对根据修正原则修正后的报价不确认的；</w:t>
      </w:r>
    </w:p>
    <w:p w14:paraId="1ABECF67">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4.2.10投标人提供虚假材料投标的；</w:t>
      </w:r>
    </w:p>
    <w:p w14:paraId="1CCF0607">
      <w:pPr>
        <w:spacing w:line="360" w:lineRule="auto"/>
        <w:ind w:firstLine="240" w:firstLineChars="1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  4.2.11投标人有恶意串通、妨碍其他投标人的竞争行为、损害采购人或者其他投标人的合法权益情形的；</w:t>
      </w:r>
    </w:p>
    <w:p w14:paraId="6FADFAAB">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4.2.12投标人仅提交备份投标文件，未在电子交易平台传输递交投标文件的，投标无效；</w:t>
      </w:r>
    </w:p>
    <w:p w14:paraId="7E540009">
      <w:pPr>
        <w:spacing w:line="360" w:lineRule="auto"/>
        <w:ind w:firstLine="480" w:firstLineChars="200"/>
      </w:pPr>
      <w:r>
        <w:rPr>
          <w:rFonts w:hint="eastAsia" w:cs="宋体" w:asciiTheme="majorEastAsia" w:hAnsiTheme="majorEastAsia" w:eastAsiaTheme="majorEastAsia"/>
          <w:kern w:val="0"/>
          <w:sz w:val="24"/>
        </w:rPr>
        <w:t>4.2.13 投标文件不满足招标文件的其它实质性要求的；</w:t>
      </w:r>
    </w:p>
    <w:p w14:paraId="5135481F">
      <w:pPr>
        <w:spacing w:line="360" w:lineRule="auto"/>
        <w:ind w:firstLine="480" w:firstLineChars="200"/>
        <w:rPr>
          <w:rFonts w:hint="eastAsia" w:cs="宋体" w:asciiTheme="majorEastAsia" w:hAnsiTheme="majorEastAsia" w:eastAsiaTheme="majorEastAsia"/>
          <w:kern w:val="0"/>
          <w:sz w:val="24"/>
          <w:lang w:val="en-US" w:eastAsia="zh-CN"/>
        </w:rPr>
      </w:pPr>
      <w:r>
        <w:rPr>
          <w:rFonts w:hint="eastAsia" w:cs="宋体" w:asciiTheme="majorEastAsia" w:hAnsiTheme="majorEastAsia" w:eastAsiaTheme="majorEastAsia"/>
          <w:kern w:val="0"/>
          <w:sz w:val="24"/>
        </w:rPr>
        <w:t>4.2.14</w:t>
      </w:r>
      <w:r>
        <w:rPr>
          <w:rFonts w:hint="eastAsia" w:cs="宋体" w:asciiTheme="majorEastAsia" w:hAnsiTheme="majorEastAsia" w:eastAsiaTheme="majorEastAsia"/>
          <w:kern w:val="0"/>
          <w:sz w:val="24"/>
          <w:lang w:val="en-US" w:eastAsia="zh-CN"/>
        </w:rPr>
        <w:t xml:space="preserve"> 参与同一标段（包）的投标人（供应商）存在MAC地址相同、计算机硬盘序列号相同、响应文件细节错误一致且无合理解释、供应商手机号相同等情形的，其响应文件无效；</w:t>
      </w:r>
    </w:p>
    <w:p w14:paraId="110527EA">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en-US" w:eastAsia="zh-CN"/>
        </w:rPr>
        <w:t xml:space="preserve">4.2.15 </w:t>
      </w:r>
      <w:r>
        <w:rPr>
          <w:rFonts w:hint="eastAsia" w:cs="宋体" w:asciiTheme="majorEastAsia" w:hAnsiTheme="majorEastAsia" w:eastAsiaTheme="majorEastAsia"/>
          <w:kern w:val="0"/>
          <w:sz w:val="24"/>
        </w:rPr>
        <w:t>法律、法规、规章及省级以上规范性文件（适用本市的）规定的其他无效情形。</w:t>
      </w:r>
    </w:p>
    <w:p w14:paraId="63A49FE1">
      <w:pPr>
        <w:pStyle w:val="24"/>
        <w:snapToGrid w:val="0"/>
        <w:spacing w:line="360" w:lineRule="auto"/>
        <w:ind w:firstLine="472" w:firstLineChars="196"/>
        <w:rPr>
          <w:rFonts w:cs="宋体" w:asciiTheme="majorEastAsia" w:hAnsiTheme="majorEastAsia" w:eastAsiaTheme="majorEastAsia"/>
        </w:rPr>
      </w:pPr>
      <w:r>
        <w:rPr>
          <w:rFonts w:hint="eastAsia" w:cs="宋体" w:asciiTheme="majorEastAsia" w:hAnsiTheme="majorEastAsia" w:eastAsiaTheme="majorEastAsia"/>
          <w:b/>
        </w:rPr>
        <w:t>5.废标。</w:t>
      </w:r>
      <w:r>
        <w:rPr>
          <w:rFonts w:hint="eastAsia" w:cs="宋体" w:asciiTheme="majorEastAsia" w:hAnsiTheme="majorEastAsia" w:eastAsiaTheme="majorEastAsia"/>
        </w:rPr>
        <w:t>根据《中华人民共和国政府采购法》第三十六条之规定，在采购中，出现下列情形之一的，应予废标：</w:t>
      </w:r>
    </w:p>
    <w:p w14:paraId="0D8E9BEC">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5.1符合专业条件的供应商或者对招标文件作实质响应的供应商不足3家的；</w:t>
      </w:r>
    </w:p>
    <w:p w14:paraId="35DC187D">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5.2出现影响采购公正的违法、违规行为的；</w:t>
      </w:r>
    </w:p>
    <w:p w14:paraId="1D967A8F">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5.3投标人的报价均超过了采购预算，采购人不能支付的；</w:t>
      </w:r>
    </w:p>
    <w:p w14:paraId="376242F1">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5.4因重大变故，采购任务取消的。</w:t>
      </w:r>
    </w:p>
    <w:p w14:paraId="0CD746F1">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废标后，采购代理机构应当将废标理由通知所有投标人。</w:t>
      </w:r>
    </w:p>
    <w:p w14:paraId="4607B2B7">
      <w:pPr>
        <w:pStyle w:val="24"/>
        <w:snapToGrid w:val="0"/>
        <w:spacing w:line="360" w:lineRule="auto"/>
        <w:ind w:firstLine="590" w:firstLineChars="245"/>
        <w:rPr>
          <w:rFonts w:cs="宋体" w:asciiTheme="majorEastAsia" w:hAnsiTheme="majorEastAsia" w:eastAsiaTheme="majorEastAsia"/>
        </w:rPr>
      </w:pPr>
      <w:r>
        <w:rPr>
          <w:rFonts w:hint="eastAsia" w:cs="宋体" w:asciiTheme="majorEastAsia" w:hAnsiTheme="majorEastAsia" w:eastAsiaTheme="majorEastAsia"/>
          <w:b/>
        </w:rPr>
        <w:t>6.修改招标文件，重新组织采购活动。</w:t>
      </w:r>
      <w:r>
        <w:rPr>
          <w:rFonts w:hint="eastAsia" w:cs="宋体"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0A3108">
      <w:pPr>
        <w:pStyle w:val="24"/>
        <w:snapToGrid w:val="0"/>
        <w:spacing w:line="360" w:lineRule="auto"/>
        <w:ind w:firstLine="482"/>
        <w:rPr>
          <w:rFonts w:cs="宋体" w:asciiTheme="majorEastAsia" w:hAnsiTheme="majorEastAsia" w:eastAsiaTheme="majorEastAsia"/>
        </w:rPr>
      </w:pPr>
      <w:r>
        <w:rPr>
          <w:rFonts w:hint="eastAsia" w:cs="宋体" w:asciiTheme="majorEastAsia" w:hAnsiTheme="majorEastAsia" w:eastAsiaTheme="majorEastAsia"/>
          <w:b/>
          <w:kern w:val="0"/>
        </w:rPr>
        <w:t>7.重新开展采购。</w:t>
      </w:r>
      <w:r>
        <w:rPr>
          <w:rFonts w:hint="eastAsia" w:cs="宋体" w:asciiTheme="majorEastAsia" w:hAnsiTheme="majorEastAsia" w:eastAsiaTheme="majorEastAsia"/>
        </w:rPr>
        <w:t>有政府采购法第七十一条、第七十二条规定的违法行为之一，影响或者可能影响中标结果的，依照下列规定处理：</w:t>
      </w:r>
    </w:p>
    <w:p w14:paraId="3E66ABF7">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7.1未确定中标供应商的，终止本次政府采购活动，重新开展政府采购活动。</w:t>
      </w:r>
    </w:p>
    <w:p w14:paraId="3205F394">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7.2已确定中标供应商但尚未签订政府采购合同的，中标结果无效，从合格的中标候选人中另行确定中标供应商；没有合格的中标候选人的，重新开展政府采购活动。</w:t>
      </w:r>
    </w:p>
    <w:p w14:paraId="77FBA0E6">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7.3政府采购合同已签订但尚未履行的，撤销合同，从合格的中标候选人中另行确定中标供应商；没有合格的中标候选人的，重新开展政府采购活动。</w:t>
      </w:r>
    </w:p>
    <w:p w14:paraId="652EBB5B">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7.4政府采购合同已经履行，给采购人、供应商造成损失的，由责任人承担赔偿责任。</w:t>
      </w:r>
    </w:p>
    <w:p w14:paraId="3FFD45AE">
      <w:pPr>
        <w:pStyle w:val="24"/>
        <w:snapToGrid w:val="0"/>
        <w:spacing w:line="360" w:lineRule="auto"/>
        <w:rPr>
          <w:rFonts w:cs="宋体" w:asciiTheme="majorEastAsia" w:hAnsiTheme="majorEastAsia" w:eastAsiaTheme="majorEastAsia"/>
        </w:rPr>
      </w:pPr>
      <w:r>
        <w:rPr>
          <w:rFonts w:hint="eastAsia" w:cs="宋体" w:asciiTheme="majorEastAsia" w:hAnsiTheme="majorEastAsia" w:eastAsiaTheme="majorEastAsia"/>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B84C4D4">
      <w:pPr>
        <w:pageBreakBefore/>
        <w:spacing w:line="360" w:lineRule="auto"/>
        <w:jc w:val="center"/>
        <w:outlineLvl w:val="0"/>
        <w:rPr>
          <w:rFonts w:cs="宋体" w:asciiTheme="majorEastAsia" w:hAnsiTheme="majorEastAsia" w:eastAsiaTheme="majorEastAsia"/>
          <w:b/>
          <w:sz w:val="36"/>
          <w:szCs w:val="36"/>
        </w:rPr>
      </w:pPr>
      <w:bookmarkStart w:id="433" w:name="_Toc86217003"/>
      <w:bookmarkStart w:id="434" w:name="第五部分"/>
      <w:r>
        <w:rPr>
          <w:rFonts w:hint="eastAsia" w:cs="宋体" w:asciiTheme="majorEastAsia" w:hAnsiTheme="majorEastAsia" w:eastAsiaTheme="majorEastAsia"/>
          <w:b/>
          <w:sz w:val="36"/>
          <w:szCs w:val="36"/>
        </w:rPr>
        <w:t>第五部分  拟签订的合同文本</w:t>
      </w:r>
    </w:p>
    <w:p w14:paraId="555E74F1">
      <w:pPr>
        <w:jc w:val="center"/>
        <w:rPr>
          <w:rFonts w:asciiTheme="majorEastAsia" w:hAnsiTheme="majorEastAsia" w:eastAsiaTheme="majorEastAsia"/>
          <w:b/>
          <w:bCs/>
          <w:color w:val="000000"/>
          <w:sz w:val="30"/>
          <w:szCs w:val="30"/>
        </w:rPr>
      </w:pPr>
    </w:p>
    <w:p w14:paraId="2CF85E83">
      <w:pPr>
        <w:jc w:val="center"/>
        <w:rPr>
          <w:rFonts w:asciiTheme="majorEastAsia" w:hAnsiTheme="majorEastAsia" w:eastAsiaTheme="majorEastAsia"/>
          <w:b/>
          <w:bCs/>
          <w:color w:val="000000"/>
          <w:sz w:val="30"/>
          <w:szCs w:val="30"/>
        </w:rPr>
      </w:pPr>
    </w:p>
    <w:p w14:paraId="5C2CB08A">
      <w:pPr>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浙江省政府采购合同</w:t>
      </w:r>
    </w:p>
    <w:p w14:paraId="29E9795D">
      <w:pPr>
        <w:jc w:val="center"/>
        <w:rPr>
          <w:rFonts w:asciiTheme="majorEastAsia" w:hAnsiTheme="majorEastAsia" w:eastAsiaTheme="majorEastAsia"/>
          <w:color w:val="000000"/>
          <w:sz w:val="44"/>
          <w:szCs w:val="44"/>
        </w:rPr>
      </w:pPr>
    </w:p>
    <w:p w14:paraId="0E3A0772">
      <w:pPr>
        <w:jc w:val="center"/>
        <w:rPr>
          <w:rFonts w:asciiTheme="majorEastAsia" w:hAnsiTheme="majorEastAsia" w:eastAsiaTheme="majorEastAsia"/>
          <w:color w:val="000000"/>
          <w:sz w:val="44"/>
          <w:szCs w:val="44"/>
        </w:rPr>
      </w:pPr>
    </w:p>
    <w:p w14:paraId="5CB0CC04">
      <w:pPr>
        <w:jc w:val="left"/>
        <w:rPr>
          <w:rFonts w:asciiTheme="majorEastAsia" w:hAnsiTheme="majorEastAsia" w:eastAsiaTheme="majorEastAsia"/>
          <w:color w:val="000000"/>
          <w:sz w:val="44"/>
          <w:szCs w:val="44"/>
        </w:rPr>
      </w:pPr>
    </w:p>
    <w:p w14:paraId="5BE9F7D5">
      <w:pPr>
        <w:spacing w:before="120" w:beforeLines="50" w:line="360" w:lineRule="auto"/>
        <w:rPr>
          <w:rFonts w:asciiTheme="majorEastAsia" w:hAnsiTheme="majorEastAsia" w:eastAsiaTheme="majorEastAsia"/>
          <w:color w:val="000000"/>
          <w:sz w:val="44"/>
          <w:szCs w:val="44"/>
        </w:rPr>
      </w:pPr>
    </w:p>
    <w:p w14:paraId="1635DAEF">
      <w:pPr>
        <w:spacing w:before="120" w:beforeLines="50" w:line="360" w:lineRule="auto"/>
        <w:ind w:firstLine="560" w:firstLineChars="200"/>
        <w:rPr>
          <w:rFonts w:asciiTheme="majorEastAsia" w:hAnsiTheme="majorEastAsia" w:eastAsiaTheme="majorEastAsia"/>
          <w:color w:val="000000"/>
          <w:sz w:val="28"/>
          <w:szCs w:val="28"/>
          <w:u w:val="single"/>
        </w:rPr>
      </w:pPr>
      <w:r>
        <w:rPr>
          <w:rFonts w:hint="eastAsia" w:asciiTheme="majorEastAsia" w:hAnsiTheme="majorEastAsia" w:eastAsiaTheme="majorEastAsia"/>
          <w:color w:val="000000"/>
          <w:sz w:val="28"/>
          <w:szCs w:val="28"/>
        </w:rPr>
        <w:t>项目名称：</w:t>
      </w:r>
    </w:p>
    <w:p w14:paraId="34F2B641">
      <w:pPr>
        <w:spacing w:before="120" w:beforeLines="50" w:line="360" w:lineRule="auto"/>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确认号： </w:t>
      </w:r>
    </w:p>
    <w:p w14:paraId="5A903FD9">
      <w:pPr>
        <w:spacing w:before="120" w:beforeLines="50" w:line="360" w:lineRule="auto"/>
        <w:ind w:firstLine="560" w:firstLineChars="200"/>
        <w:rPr>
          <w:rFonts w:asciiTheme="majorEastAsia" w:hAnsiTheme="majorEastAsia" w:eastAsiaTheme="majorEastAsia"/>
          <w:color w:val="000000"/>
          <w:sz w:val="28"/>
          <w:szCs w:val="28"/>
          <w:u w:val="single"/>
        </w:rPr>
      </w:pPr>
      <w:r>
        <w:rPr>
          <w:rFonts w:hint="eastAsia" w:asciiTheme="majorEastAsia" w:hAnsiTheme="majorEastAsia" w:eastAsiaTheme="majorEastAsia"/>
          <w:color w:val="000000"/>
          <w:sz w:val="28"/>
          <w:szCs w:val="28"/>
        </w:rPr>
        <w:t>项目编号：</w:t>
      </w:r>
    </w:p>
    <w:p w14:paraId="7CDDA501">
      <w:pPr>
        <w:spacing w:before="120" w:beforeLines="50" w:line="360" w:lineRule="auto"/>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合同编号：</w:t>
      </w:r>
    </w:p>
    <w:p w14:paraId="1BD82954">
      <w:pPr>
        <w:jc w:val="left"/>
        <w:rPr>
          <w:rFonts w:asciiTheme="majorEastAsia" w:hAnsiTheme="majorEastAsia" w:eastAsiaTheme="majorEastAsia"/>
          <w:color w:val="000000"/>
          <w:sz w:val="28"/>
          <w:szCs w:val="28"/>
        </w:rPr>
      </w:pPr>
    </w:p>
    <w:p w14:paraId="49025D03">
      <w:pPr>
        <w:jc w:val="left"/>
        <w:rPr>
          <w:rFonts w:asciiTheme="majorEastAsia" w:hAnsiTheme="majorEastAsia" w:eastAsiaTheme="majorEastAsia"/>
          <w:color w:val="000000"/>
          <w:sz w:val="28"/>
          <w:szCs w:val="28"/>
        </w:rPr>
      </w:pPr>
    </w:p>
    <w:p w14:paraId="026E19BE">
      <w:pPr>
        <w:pStyle w:val="2"/>
        <w:rPr>
          <w:rFonts w:asciiTheme="majorEastAsia" w:hAnsiTheme="majorEastAsia" w:eastAsiaTheme="majorEastAsia"/>
          <w:szCs w:val="28"/>
        </w:rPr>
      </w:pPr>
    </w:p>
    <w:p w14:paraId="21FFFB5F">
      <w:pPr>
        <w:rPr>
          <w:rFonts w:asciiTheme="majorEastAsia" w:hAnsiTheme="majorEastAsia" w:eastAsiaTheme="majorEastAsia"/>
        </w:rPr>
      </w:pPr>
    </w:p>
    <w:p w14:paraId="73F9E62B">
      <w:pPr>
        <w:jc w:val="left"/>
        <w:rPr>
          <w:rFonts w:asciiTheme="majorEastAsia" w:hAnsiTheme="majorEastAsia" w:eastAsiaTheme="majorEastAsia"/>
          <w:color w:val="000000"/>
          <w:sz w:val="28"/>
          <w:szCs w:val="28"/>
        </w:rPr>
      </w:pPr>
    </w:p>
    <w:p w14:paraId="6A748EAD">
      <w:pPr>
        <w:spacing w:before="120" w:beforeLines="50" w:line="360" w:lineRule="auto"/>
        <w:ind w:firstLine="560" w:firstLineChars="200"/>
        <w:rPr>
          <w:rFonts w:asciiTheme="majorEastAsia" w:hAnsiTheme="majorEastAsia" w:eastAsiaTheme="majorEastAsia"/>
          <w:color w:val="000000"/>
          <w:sz w:val="28"/>
          <w:szCs w:val="28"/>
          <w:u w:val="single"/>
        </w:rPr>
      </w:pPr>
      <w:r>
        <w:rPr>
          <w:rFonts w:hint="eastAsia" w:asciiTheme="majorEastAsia" w:hAnsiTheme="majorEastAsia" w:eastAsiaTheme="majorEastAsia"/>
          <w:color w:val="000000"/>
          <w:sz w:val="28"/>
          <w:szCs w:val="28"/>
          <w:u w:val="single"/>
        </w:rPr>
        <w:t>甲方：</w:t>
      </w:r>
    </w:p>
    <w:p w14:paraId="72C5F62A">
      <w:pPr>
        <w:spacing w:before="120" w:beforeLines="50" w:line="360" w:lineRule="auto"/>
        <w:ind w:firstLine="560" w:firstLineChars="200"/>
        <w:rPr>
          <w:rFonts w:asciiTheme="majorEastAsia" w:hAnsiTheme="majorEastAsia" w:eastAsiaTheme="majorEastAsia"/>
          <w:color w:val="000000"/>
          <w:sz w:val="28"/>
          <w:szCs w:val="28"/>
          <w:u w:val="single"/>
        </w:rPr>
      </w:pPr>
      <w:r>
        <w:rPr>
          <w:rFonts w:hint="eastAsia" w:asciiTheme="majorEastAsia" w:hAnsiTheme="majorEastAsia" w:eastAsiaTheme="majorEastAsia"/>
          <w:color w:val="000000"/>
          <w:sz w:val="28"/>
          <w:szCs w:val="28"/>
          <w:u w:val="single"/>
        </w:rPr>
        <w:t>乙方：</w:t>
      </w:r>
    </w:p>
    <w:p w14:paraId="21F14C13">
      <w:pPr>
        <w:spacing w:before="120" w:beforeLines="50" w:line="360" w:lineRule="auto"/>
        <w:ind w:firstLine="560" w:firstLineChars="200"/>
        <w:rPr>
          <w:rFonts w:asciiTheme="majorEastAsia" w:hAnsiTheme="majorEastAsia" w:eastAsiaTheme="majorEastAsia"/>
          <w:color w:val="000000"/>
          <w:sz w:val="28"/>
          <w:szCs w:val="28"/>
          <w:u w:val="single"/>
        </w:rPr>
      </w:pPr>
    </w:p>
    <w:p w14:paraId="3A8CECDA">
      <w:pPr>
        <w:pStyle w:val="2"/>
        <w:rPr>
          <w:rFonts w:asciiTheme="majorEastAsia" w:hAnsiTheme="majorEastAsia" w:eastAsiaTheme="majorEastAsia"/>
          <w:szCs w:val="28"/>
          <w:u w:val="single"/>
        </w:rPr>
      </w:pPr>
    </w:p>
    <w:p w14:paraId="5D926F96">
      <w:pPr>
        <w:rPr>
          <w:rFonts w:asciiTheme="majorEastAsia" w:hAnsiTheme="majorEastAsia" w:eastAsiaTheme="majorEastAsia"/>
          <w:color w:val="000000"/>
          <w:sz w:val="28"/>
          <w:szCs w:val="28"/>
          <w:u w:val="single"/>
        </w:rPr>
      </w:pPr>
    </w:p>
    <w:p w14:paraId="0A2EB9DA">
      <w:pPr>
        <w:pStyle w:val="2"/>
        <w:rPr>
          <w:rFonts w:asciiTheme="majorEastAsia" w:hAnsiTheme="majorEastAsia" w:eastAsiaTheme="majorEastAsia"/>
        </w:rPr>
      </w:pPr>
    </w:p>
    <w:p w14:paraId="439D79CD">
      <w:pPr>
        <w:snapToGrid w:val="0"/>
        <w:spacing w:before="120" w:beforeLines="50" w:line="360" w:lineRule="auto"/>
        <w:jc w:val="center"/>
        <w:rPr>
          <w:rFonts w:asciiTheme="majorEastAsia" w:hAnsiTheme="majorEastAsia" w:eastAsiaTheme="majorEastAsia"/>
          <w:color w:val="000000"/>
          <w:sz w:val="28"/>
          <w:szCs w:val="28"/>
          <w:u w:val="single"/>
        </w:rPr>
      </w:pPr>
      <w:r>
        <w:rPr>
          <w:rFonts w:hint="eastAsia" w:asciiTheme="majorEastAsia" w:hAnsiTheme="majorEastAsia" w:eastAsiaTheme="majorEastAsia"/>
          <w:color w:val="000000"/>
          <w:sz w:val="28"/>
          <w:szCs w:val="28"/>
        </w:rPr>
        <w:t>签署日期：</w:t>
      </w:r>
      <w:r>
        <w:rPr>
          <w:rFonts w:asciiTheme="majorEastAsia" w:hAnsiTheme="majorEastAsia" w:eastAsiaTheme="majorEastAsia"/>
          <w:color w:val="000000"/>
          <w:sz w:val="28"/>
          <w:szCs w:val="28"/>
          <w:u w:val="single"/>
        </w:rPr>
        <w:t>202</w:t>
      </w:r>
      <w:r>
        <w:rPr>
          <w:rFonts w:hint="eastAsia" w:asciiTheme="majorEastAsia" w:hAnsiTheme="majorEastAsia" w:eastAsiaTheme="majorEastAsia"/>
          <w:color w:val="000000"/>
          <w:sz w:val="28"/>
          <w:szCs w:val="28"/>
          <w:u w:val="single"/>
        </w:rPr>
        <w:t>4年  月  日</w:t>
      </w:r>
    </w:p>
    <w:p w14:paraId="6C272EC1">
      <w:pPr>
        <w:spacing w:before="120"/>
        <w:jc w:val="left"/>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br w:type="page"/>
      </w:r>
    </w:p>
    <w:p w14:paraId="2B81FE83">
      <w:pPr>
        <w:snapToGrid w:val="0"/>
        <w:spacing w:before="120" w:beforeLines="50" w:line="360" w:lineRule="auto"/>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浙江省政府采购合同</w:t>
      </w:r>
    </w:p>
    <w:p w14:paraId="470E5342">
      <w:pPr>
        <w:snapToGrid w:val="0"/>
        <w:spacing w:before="120" w:beforeLines="50"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项目名称：</w:t>
      </w:r>
    </w:p>
    <w:p w14:paraId="589082C3">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确认号：</w:t>
      </w:r>
    </w:p>
    <w:p w14:paraId="0B3C36BC">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项目编号：</w:t>
      </w:r>
    </w:p>
    <w:p w14:paraId="7EC4CE52">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合同编号：</w:t>
      </w:r>
    </w:p>
    <w:p w14:paraId="06563FA6">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甲方：（采购人）</w:t>
      </w:r>
    </w:p>
    <w:p w14:paraId="42882ABF">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乙方：（供应商）</w:t>
      </w:r>
    </w:p>
    <w:p w14:paraId="0D1D5C71">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甲、乙双方根据XXX有限公司关于</w:t>
      </w:r>
      <w:r>
        <w:rPr>
          <w:rFonts w:hint="eastAsia" w:asciiTheme="majorEastAsia" w:hAnsiTheme="majorEastAsia" w:eastAsiaTheme="majorEastAsia"/>
          <w:color w:val="000000"/>
          <w:szCs w:val="21"/>
          <w:u w:val="single"/>
        </w:rPr>
        <w:t>2024年省卫生健康信息中心电子政务维护服务项目</w:t>
      </w:r>
      <w:r>
        <w:rPr>
          <w:rFonts w:hint="eastAsia" w:asciiTheme="majorEastAsia" w:hAnsiTheme="majorEastAsia" w:eastAsiaTheme="majorEastAsia"/>
          <w:color w:val="000000"/>
          <w:szCs w:val="21"/>
        </w:rPr>
        <w:t>公开招标结果，签署本合同。</w:t>
      </w:r>
    </w:p>
    <w:p w14:paraId="408664F5">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一、项目内容及合同总价</w:t>
      </w:r>
    </w:p>
    <w:p w14:paraId="4B2C6EED">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金额单位：元</w:t>
      </w:r>
    </w:p>
    <w:tbl>
      <w:tblPr>
        <w:tblStyle w:val="6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027"/>
        <w:gridCol w:w="1097"/>
        <w:gridCol w:w="1925"/>
      </w:tblGrid>
      <w:tr w14:paraId="76A2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11" w:type="dxa"/>
            <w:noWrap/>
            <w:vAlign w:val="center"/>
          </w:tcPr>
          <w:p w14:paraId="671F9E7F">
            <w:pPr>
              <w:spacing w:line="360" w:lineRule="auto"/>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项目名称</w:t>
            </w:r>
          </w:p>
        </w:tc>
        <w:tc>
          <w:tcPr>
            <w:tcW w:w="3027" w:type="dxa"/>
            <w:noWrap/>
            <w:vAlign w:val="center"/>
          </w:tcPr>
          <w:p w14:paraId="6A384B7F">
            <w:pPr>
              <w:spacing w:line="360" w:lineRule="auto"/>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内容</w:t>
            </w:r>
          </w:p>
        </w:tc>
        <w:tc>
          <w:tcPr>
            <w:tcW w:w="1097" w:type="dxa"/>
            <w:noWrap/>
            <w:vAlign w:val="center"/>
          </w:tcPr>
          <w:p w14:paraId="7E087C2D">
            <w:pPr>
              <w:spacing w:line="360" w:lineRule="auto"/>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数量</w:t>
            </w:r>
          </w:p>
        </w:tc>
        <w:tc>
          <w:tcPr>
            <w:tcW w:w="1925" w:type="dxa"/>
            <w:noWrap/>
            <w:vAlign w:val="center"/>
          </w:tcPr>
          <w:p w14:paraId="1B78FC42">
            <w:pPr>
              <w:spacing w:line="360" w:lineRule="auto"/>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单价</w:t>
            </w:r>
          </w:p>
        </w:tc>
      </w:tr>
      <w:tr w14:paraId="5EDD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3211" w:type="dxa"/>
            <w:noWrap/>
            <w:vAlign w:val="center"/>
          </w:tcPr>
          <w:p w14:paraId="2AFB9578">
            <w:pPr>
              <w:spacing w:line="360" w:lineRule="auto"/>
              <w:rPr>
                <w:rFonts w:asciiTheme="majorEastAsia" w:hAnsiTheme="majorEastAsia" w:eastAsiaTheme="majorEastAsia"/>
                <w:color w:val="000000"/>
                <w:szCs w:val="21"/>
              </w:rPr>
            </w:pPr>
            <w:r>
              <w:rPr>
                <w:rFonts w:asciiTheme="majorEastAsia" w:hAnsiTheme="majorEastAsia" w:eastAsiaTheme="majorEastAsia"/>
                <w:color w:val="000000"/>
                <w:szCs w:val="21"/>
              </w:rPr>
              <w:t>XXXXX</w:t>
            </w:r>
          </w:p>
        </w:tc>
        <w:tc>
          <w:tcPr>
            <w:tcW w:w="3027" w:type="dxa"/>
            <w:noWrap/>
            <w:vAlign w:val="center"/>
          </w:tcPr>
          <w:p w14:paraId="303C6AB3">
            <w:pPr>
              <w:spacing w:line="360" w:lineRule="auto"/>
              <w:rPr>
                <w:rFonts w:asciiTheme="majorEastAsia" w:hAnsiTheme="majorEastAsia" w:eastAsiaTheme="majorEastAsia"/>
                <w:color w:val="000000"/>
                <w:szCs w:val="21"/>
              </w:rPr>
            </w:pPr>
            <w:r>
              <w:rPr>
                <w:rFonts w:asciiTheme="majorEastAsia" w:hAnsiTheme="majorEastAsia" w:eastAsiaTheme="majorEastAsia"/>
                <w:color w:val="000000"/>
                <w:szCs w:val="21"/>
              </w:rPr>
              <w:t>XXX</w:t>
            </w:r>
          </w:p>
          <w:p w14:paraId="7C18F37B">
            <w:pPr>
              <w:spacing w:line="360" w:lineRule="auto"/>
              <w:rPr>
                <w:rFonts w:asciiTheme="majorEastAsia" w:hAnsiTheme="majorEastAsia" w:eastAsiaTheme="majorEastAsia"/>
                <w:color w:val="000000"/>
                <w:szCs w:val="21"/>
              </w:rPr>
            </w:pPr>
            <w:r>
              <w:rPr>
                <w:rFonts w:asciiTheme="majorEastAsia" w:hAnsiTheme="majorEastAsia" w:eastAsiaTheme="majorEastAsia"/>
                <w:color w:val="000000"/>
                <w:szCs w:val="21"/>
              </w:rPr>
              <w:t>XXX</w:t>
            </w:r>
          </w:p>
        </w:tc>
        <w:tc>
          <w:tcPr>
            <w:tcW w:w="1097" w:type="dxa"/>
            <w:noWrap/>
            <w:vAlign w:val="center"/>
          </w:tcPr>
          <w:p w14:paraId="1DA64CB3">
            <w:pPr>
              <w:spacing w:line="360" w:lineRule="auto"/>
              <w:jc w:val="center"/>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项</w:t>
            </w:r>
          </w:p>
        </w:tc>
        <w:tc>
          <w:tcPr>
            <w:tcW w:w="1925" w:type="dxa"/>
            <w:noWrap/>
            <w:vAlign w:val="center"/>
          </w:tcPr>
          <w:p w14:paraId="3A168AA0">
            <w:pPr>
              <w:spacing w:line="360" w:lineRule="auto"/>
              <w:jc w:val="center"/>
              <w:rPr>
                <w:rFonts w:asciiTheme="majorEastAsia" w:hAnsiTheme="majorEastAsia" w:eastAsiaTheme="majorEastAsia"/>
                <w:color w:val="000000"/>
                <w:szCs w:val="21"/>
              </w:rPr>
            </w:pPr>
            <w:r>
              <w:rPr>
                <w:rFonts w:asciiTheme="majorEastAsia" w:hAnsiTheme="majorEastAsia" w:eastAsiaTheme="majorEastAsia"/>
                <w:color w:val="000000"/>
                <w:szCs w:val="21"/>
              </w:rPr>
              <w:t>XXXXX</w:t>
            </w:r>
          </w:p>
        </w:tc>
      </w:tr>
      <w:tr w14:paraId="6AD6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238" w:type="dxa"/>
            <w:gridSpan w:val="2"/>
            <w:noWrap/>
            <w:vAlign w:val="center"/>
          </w:tcPr>
          <w:p w14:paraId="43BAB393">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合计</w:t>
            </w:r>
          </w:p>
        </w:tc>
        <w:tc>
          <w:tcPr>
            <w:tcW w:w="1097" w:type="dxa"/>
            <w:noWrap/>
            <w:vAlign w:val="center"/>
          </w:tcPr>
          <w:p w14:paraId="592138C8">
            <w:pPr>
              <w:spacing w:line="360" w:lineRule="auto"/>
              <w:jc w:val="center"/>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项</w:t>
            </w:r>
          </w:p>
        </w:tc>
        <w:tc>
          <w:tcPr>
            <w:tcW w:w="1925" w:type="dxa"/>
            <w:noWrap/>
            <w:vAlign w:val="center"/>
          </w:tcPr>
          <w:p w14:paraId="3E67ED00">
            <w:pPr>
              <w:spacing w:line="360" w:lineRule="auto"/>
              <w:jc w:val="center"/>
              <w:rPr>
                <w:rFonts w:asciiTheme="majorEastAsia" w:hAnsiTheme="majorEastAsia" w:eastAsiaTheme="majorEastAsia"/>
                <w:color w:val="000000"/>
                <w:szCs w:val="21"/>
              </w:rPr>
            </w:pPr>
            <w:r>
              <w:rPr>
                <w:rFonts w:asciiTheme="majorEastAsia" w:hAnsiTheme="majorEastAsia" w:eastAsiaTheme="majorEastAsia"/>
                <w:color w:val="000000"/>
                <w:szCs w:val="21"/>
              </w:rPr>
              <w:t>XXXXX</w:t>
            </w:r>
          </w:p>
        </w:tc>
      </w:tr>
      <w:tr w14:paraId="59B1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260" w:type="dxa"/>
            <w:gridSpan w:val="4"/>
            <w:noWrap/>
            <w:vAlign w:val="center"/>
          </w:tcPr>
          <w:p w14:paraId="4214DCA8">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合同总价大写：</w:t>
            </w:r>
            <w:r>
              <w:rPr>
                <w:rFonts w:asciiTheme="majorEastAsia" w:hAnsiTheme="majorEastAsia" w:eastAsiaTheme="majorEastAsia"/>
                <w:color w:val="000000"/>
                <w:szCs w:val="21"/>
              </w:rPr>
              <w:t xml:space="preserve">XXXXX        </w:t>
            </w:r>
            <w:r>
              <w:rPr>
                <w:rFonts w:hint="eastAsia" w:asciiTheme="majorEastAsia" w:hAnsiTheme="majorEastAsia" w:eastAsiaTheme="majorEastAsia"/>
                <w:color w:val="000000"/>
                <w:szCs w:val="21"/>
              </w:rPr>
              <w:t>小写：</w:t>
            </w:r>
            <w:r>
              <w:rPr>
                <w:rFonts w:asciiTheme="majorEastAsia" w:hAnsiTheme="majorEastAsia" w:eastAsiaTheme="majorEastAsia"/>
                <w:color w:val="000000"/>
                <w:szCs w:val="21"/>
              </w:rPr>
              <w:t>XXXXXX</w:t>
            </w:r>
            <w:r>
              <w:rPr>
                <w:rFonts w:hint="eastAsia" w:asciiTheme="majorEastAsia" w:hAnsiTheme="majorEastAsia" w:eastAsiaTheme="majorEastAsia"/>
                <w:color w:val="000000"/>
                <w:szCs w:val="21"/>
              </w:rPr>
              <w:t>元</w:t>
            </w:r>
          </w:p>
        </w:tc>
      </w:tr>
    </w:tbl>
    <w:p w14:paraId="1423C575">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注：</w:t>
      </w: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、服务内容、数量、要求等详见XXX。</w:t>
      </w:r>
    </w:p>
    <w:p w14:paraId="091DCA0E">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w:t>
      </w:r>
      <w:r>
        <w:rPr>
          <w:rFonts w:asciiTheme="majorEastAsia" w:hAnsiTheme="majorEastAsia" w:eastAsiaTheme="majorEastAsia"/>
          <w:color w:val="000000"/>
          <w:szCs w:val="21"/>
        </w:rPr>
        <w:t xml:space="preserve">  2</w:t>
      </w:r>
      <w:r>
        <w:rPr>
          <w:rFonts w:hint="eastAsia" w:asciiTheme="majorEastAsia" w:hAnsiTheme="majorEastAsia" w:eastAsiaTheme="majorEastAsia"/>
          <w:color w:val="000000"/>
          <w:szCs w:val="21"/>
        </w:rPr>
        <w:t>、以上合同总价包含交付物到达用户并能正常使用所需的一切费用。</w:t>
      </w:r>
    </w:p>
    <w:p w14:paraId="44923C81">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二、服务期和履约保证金</w:t>
      </w:r>
    </w:p>
    <w:p w14:paraId="27F8C0DC">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合同签订后，乙方向甲方交纳合同总金额的1</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，即人民币</w:t>
      </w:r>
      <w:r>
        <w:rPr>
          <w:rFonts w:asciiTheme="majorEastAsia" w:hAnsiTheme="majorEastAsia" w:eastAsiaTheme="majorEastAsia"/>
          <w:color w:val="000000"/>
          <w:szCs w:val="21"/>
          <w:u w:val="single"/>
        </w:rPr>
        <w:t xml:space="preserve"> XXXXXXX </w:t>
      </w:r>
      <w:r>
        <w:rPr>
          <w:rFonts w:hint="eastAsia" w:asciiTheme="majorEastAsia" w:hAnsiTheme="majorEastAsia" w:eastAsiaTheme="majorEastAsia"/>
          <w:color w:val="000000"/>
          <w:szCs w:val="21"/>
        </w:rPr>
        <w:t>（</w:t>
      </w:r>
      <w:r>
        <w:rPr>
          <w:rFonts w:hint="eastAsia" w:asciiTheme="majorEastAsia" w:hAnsiTheme="majorEastAsia" w:eastAsiaTheme="majorEastAsia"/>
          <w:color w:val="000000"/>
          <w:szCs w:val="21"/>
          <w:u w:val="single"/>
        </w:rPr>
        <w:t>¥</w:t>
      </w:r>
      <w:r>
        <w:rPr>
          <w:rFonts w:asciiTheme="majorEastAsia" w:hAnsiTheme="majorEastAsia" w:eastAsiaTheme="majorEastAsia"/>
          <w:color w:val="000000"/>
          <w:szCs w:val="21"/>
          <w:u w:val="single"/>
        </w:rPr>
        <w:t>XXXXXX</w:t>
      </w:r>
      <w:r>
        <w:rPr>
          <w:rFonts w:hint="eastAsia" w:asciiTheme="majorEastAsia" w:hAnsiTheme="majorEastAsia" w:eastAsiaTheme="majorEastAsia"/>
          <w:color w:val="000000"/>
          <w:szCs w:val="21"/>
          <w:u w:val="single"/>
        </w:rPr>
        <w:t>元</w:t>
      </w:r>
      <w:r>
        <w:rPr>
          <w:rFonts w:hint="eastAsia" w:asciiTheme="majorEastAsia" w:hAnsiTheme="majorEastAsia" w:eastAsiaTheme="majorEastAsia"/>
          <w:color w:val="000000"/>
          <w:szCs w:val="21"/>
        </w:rPr>
        <w:t>）作为本合同的履约保证金。履约保证金可采用电汇、支票、汇票、履约保函等形式，验收结束后无息退还（扣除违约款）。</w:t>
      </w:r>
    </w:p>
    <w:p w14:paraId="0CB98566">
      <w:pPr>
        <w:spacing w:line="360" w:lineRule="auto"/>
        <w:ind w:firstLine="367" w:firstLineChars="175"/>
        <w:rPr>
          <w:rFonts w:asciiTheme="majorEastAsia" w:hAnsiTheme="majorEastAsia" w:eastAsiaTheme="majorEastAsia"/>
          <w:color w:val="000000"/>
          <w:szCs w:val="21"/>
          <w:u w:val="single"/>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服务期：合同自</w:t>
      </w:r>
      <w:r>
        <w:rPr>
          <w:rFonts w:asciiTheme="majorEastAsia" w:hAnsiTheme="majorEastAsia" w:eastAsiaTheme="majorEastAsia"/>
          <w:color w:val="000000"/>
          <w:szCs w:val="21"/>
          <w:u w:val="single"/>
        </w:rPr>
        <w:t>XXXXXXXX</w:t>
      </w:r>
      <w:r>
        <w:rPr>
          <w:rFonts w:hint="eastAsia" w:asciiTheme="majorEastAsia" w:hAnsiTheme="majorEastAsia" w:eastAsiaTheme="majorEastAsia"/>
          <w:color w:val="000000"/>
          <w:szCs w:val="21"/>
        </w:rPr>
        <w:t>起</w:t>
      </w:r>
      <w:r>
        <w:rPr>
          <w:rFonts w:hint="eastAsia" w:asciiTheme="majorEastAsia" w:hAnsiTheme="majorEastAsia" w:eastAsiaTheme="majorEastAsia"/>
          <w:color w:val="000000"/>
          <w:szCs w:val="21"/>
          <w:u w:val="single"/>
        </w:rPr>
        <w:t>至</w:t>
      </w:r>
      <w:r>
        <w:rPr>
          <w:rFonts w:asciiTheme="majorEastAsia" w:hAnsiTheme="majorEastAsia" w:eastAsiaTheme="majorEastAsia"/>
          <w:color w:val="000000"/>
          <w:szCs w:val="21"/>
          <w:u w:val="single"/>
        </w:rPr>
        <w:t>XXXXXXXX</w:t>
      </w:r>
      <w:r>
        <w:rPr>
          <w:rFonts w:hint="eastAsia" w:asciiTheme="majorEastAsia" w:hAnsiTheme="majorEastAsia" w:eastAsiaTheme="majorEastAsia"/>
          <w:color w:val="000000"/>
          <w:szCs w:val="21"/>
          <w:u w:val="single"/>
        </w:rPr>
        <w:t>。</w:t>
      </w:r>
    </w:p>
    <w:p w14:paraId="545B4CEE">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三、款项支付</w:t>
      </w:r>
    </w:p>
    <w:p w14:paraId="334A75C9">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szCs w:val="21"/>
        </w:rPr>
        <w:t>签订合同后，甲方在收到乙方</w:t>
      </w:r>
      <w:r>
        <w:rPr>
          <w:rFonts w:hint="eastAsia" w:asciiTheme="majorEastAsia" w:hAnsiTheme="majorEastAsia" w:eastAsiaTheme="majorEastAsia"/>
          <w:szCs w:val="21"/>
        </w:rPr>
        <w:t>履约保证金和</w:t>
      </w:r>
      <w:r>
        <w:rPr>
          <w:rFonts w:asciiTheme="majorEastAsia" w:hAnsiTheme="majorEastAsia" w:eastAsiaTheme="majorEastAsia"/>
          <w:szCs w:val="21"/>
        </w:rPr>
        <w:t>发票并确认无误，甲方向乙方支付合同总额的</w:t>
      </w:r>
      <w:r>
        <w:rPr>
          <w:rFonts w:hint="eastAsia" w:asciiTheme="majorEastAsia" w:hAnsiTheme="majorEastAsia" w:eastAsiaTheme="majorEastAsia"/>
          <w:szCs w:val="21"/>
        </w:rPr>
        <w:t>6</w:t>
      </w:r>
      <w:r>
        <w:rPr>
          <w:rFonts w:asciiTheme="majorEastAsia" w:hAnsiTheme="majorEastAsia" w:eastAsiaTheme="majorEastAsia"/>
          <w:szCs w:val="21"/>
        </w:rPr>
        <w:t>0%，</w:t>
      </w:r>
      <w:r>
        <w:rPr>
          <w:rFonts w:hint="eastAsia" w:asciiTheme="majorEastAsia" w:hAnsiTheme="majorEastAsia" w:eastAsiaTheme="majorEastAsia"/>
        </w:rPr>
        <w:t>运维服务经过甲方认可后，甲</w:t>
      </w:r>
      <w:r>
        <w:rPr>
          <w:rFonts w:asciiTheme="majorEastAsia" w:hAnsiTheme="majorEastAsia" w:eastAsiaTheme="majorEastAsia"/>
          <w:szCs w:val="21"/>
        </w:rPr>
        <w:t>方向乙方</w:t>
      </w:r>
      <w:r>
        <w:rPr>
          <w:rFonts w:hint="eastAsia" w:asciiTheme="majorEastAsia" w:hAnsiTheme="majorEastAsia" w:eastAsiaTheme="majorEastAsia"/>
          <w:szCs w:val="21"/>
        </w:rPr>
        <w:t>支付合同价的35%，验收合格后</w:t>
      </w:r>
      <w:r>
        <w:rPr>
          <w:rFonts w:asciiTheme="majorEastAsia" w:hAnsiTheme="majorEastAsia" w:eastAsiaTheme="majorEastAsia"/>
          <w:szCs w:val="21"/>
        </w:rPr>
        <w:t>甲方向乙方</w:t>
      </w:r>
      <w:r>
        <w:rPr>
          <w:rFonts w:hint="eastAsia" w:asciiTheme="majorEastAsia" w:hAnsiTheme="majorEastAsia" w:eastAsiaTheme="majorEastAsia"/>
          <w:szCs w:val="21"/>
        </w:rPr>
        <w:t>支付合同价的5%。</w:t>
      </w:r>
    </w:p>
    <w:p w14:paraId="5A2C991F">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甲方账户信息：</w:t>
      </w:r>
    </w:p>
    <w:p w14:paraId="67A830B5">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甲方：【浙江省卫生健康信息中心】</w:t>
      </w:r>
    </w:p>
    <w:p w14:paraId="560C34AA">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开户行：【华夏银行杭州分行武林支行】</w:t>
      </w:r>
    </w:p>
    <w:p w14:paraId="22DA598C">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帐户名称：【浙江省卫生健康信息中心】</w:t>
      </w:r>
    </w:p>
    <w:p w14:paraId="4AEC5672">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帐号：【66050181990000455】</w:t>
      </w:r>
    </w:p>
    <w:p w14:paraId="21816CBA">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乙方账户信息：</w:t>
      </w:r>
    </w:p>
    <w:p w14:paraId="4E4CFB1F">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乙方： </w:t>
      </w:r>
      <w:r>
        <w:rPr>
          <w:rFonts w:asciiTheme="majorEastAsia" w:hAnsiTheme="majorEastAsia" w:eastAsiaTheme="majorEastAsia"/>
          <w:color w:val="000000"/>
          <w:szCs w:val="21"/>
        </w:rPr>
        <w:t>XXXXXX</w:t>
      </w:r>
    </w:p>
    <w:p w14:paraId="15AB9925">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开户行：【】</w:t>
      </w:r>
    </w:p>
    <w:p w14:paraId="4113DF32">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帐户名称：</w:t>
      </w:r>
      <w:r>
        <w:rPr>
          <w:rFonts w:asciiTheme="majorEastAsia" w:hAnsiTheme="majorEastAsia" w:eastAsiaTheme="majorEastAsia"/>
          <w:color w:val="000000"/>
          <w:szCs w:val="21"/>
        </w:rPr>
        <w:t>XXXXX</w:t>
      </w:r>
    </w:p>
    <w:p w14:paraId="380E8A55">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帐号：【】</w:t>
      </w:r>
    </w:p>
    <w:p w14:paraId="09126A39">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四、交付期、交付方式及交付地点</w:t>
      </w:r>
    </w:p>
    <w:p w14:paraId="318DA25D">
      <w:pPr>
        <w:spacing w:line="360" w:lineRule="auto"/>
        <w:ind w:firstLine="367" w:firstLineChars="175"/>
        <w:rPr>
          <w:rFonts w:asciiTheme="majorEastAsia" w:hAnsiTheme="majorEastAsia" w:eastAsiaTheme="majorEastAsia"/>
          <w:color w:val="000000"/>
          <w:szCs w:val="21"/>
          <w:u w:val="single"/>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、交付期：合同签订之日起1年。其中驻场运维服务为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年</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日至</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年</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日。</w:t>
      </w:r>
    </w:p>
    <w:p w14:paraId="27F4FB73">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、交付方式：</w:t>
      </w:r>
      <w:r>
        <w:rPr>
          <w:rFonts w:asciiTheme="majorEastAsia" w:hAnsiTheme="majorEastAsia" w:eastAsiaTheme="majorEastAsia"/>
          <w:szCs w:val="21"/>
        </w:rPr>
        <w:t>乙方应按照合同及其附件所约定的内容进行交付。</w:t>
      </w:r>
    </w:p>
    <w:p w14:paraId="41B5F342">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、交付地点：甲方指定的地点。</w:t>
      </w:r>
    </w:p>
    <w:p w14:paraId="589ABA36">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五、技术资料</w:t>
      </w:r>
    </w:p>
    <w:p w14:paraId="2C47D853">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、乙方应按招标文件规定的时间向甲方提供项目的有关技术资料。</w:t>
      </w:r>
    </w:p>
    <w:p w14:paraId="799459ED">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1E93BF6">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六、知识产权</w:t>
      </w:r>
    </w:p>
    <w:p w14:paraId="11B714EE">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乙方应保证所提供的项目相关交付物或其任何一部分均不会侵犯任何第三方的知识产权。如第三方提出侵权起诉，由乙方承担一切责任并负责解决。</w:t>
      </w:r>
    </w:p>
    <w:p w14:paraId="5C786759">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本项目所有成果知识产权归甲方所有，甲方有权在其他项目上运用该项目成果。未经甲方书面同意，成果不得擅自扩散或提供给第三方使用。</w:t>
      </w:r>
    </w:p>
    <w:p w14:paraId="541E8F34">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七、产权担保</w:t>
      </w:r>
    </w:p>
    <w:p w14:paraId="347CB35D">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乙方保证交付物的所有权完全属于乙方且无任何抵押、查封等产权瑕疵。</w:t>
      </w:r>
    </w:p>
    <w:p w14:paraId="0B261417">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八、转包或分包</w:t>
      </w:r>
    </w:p>
    <w:p w14:paraId="60ECED20">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本合同范围的交付物，</w:t>
      </w:r>
      <w:r>
        <w:rPr>
          <w:rFonts w:hint="eastAsia" w:asciiTheme="majorEastAsia" w:hAnsiTheme="majorEastAsia" w:eastAsiaTheme="majorEastAsia"/>
          <w:szCs w:val="21"/>
        </w:rPr>
        <w:t>乙方应按投标文件中的约定供应</w:t>
      </w:r>
      <w:r>
        <w:rPr>
          <w:rFonts w:hint="eastAsia" w:asciiTheme="majorEastAsia" w:hAnsiTheme="majorEastAsia" w:eastAsiaTheme="majorEastAsia"/>
          <w:color w:val="000000"/>
          <w:szCs w:val="21"/>
        </w:rPr>
        <w:t>，不得转让他人供应，否则，甲方有权解除合同，并追究乙方的违约责任。</w:t>
      </w:r>
    </w:p>
    <w:p w14:paraId="58E738AA">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九、安全保密要求</w:t>
      </w:r>
    </w:p>
    <w:p w14:paraId="43757758">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系统的安全性是项目稳定运行实施的基础，既要保证信息共享利用，又满足安全管理的需要。本项目建设需符合国家《信息安全等级保护管理办法》、浙江省大数据局关于电子政务外网安全评估指标体系考核要求及其他相关文件要求，开展全方位的安全体系建设，满足网络安全、管理安全、系统安全和数据安全等各方面要求。</w:t>
      </w:r>
    </w:p>
    <w:p w14:paraId="58D413A9">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、服务保密要求</w:t>
      </w:r>
    </w:p>
    <w:p w14:paraId="5865C7E4">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中标方须在签订合同后与业主单位签订保密协议。</w:t>
      </w:r>
    </w:p>
    <w:p w14:paraId="0407B144">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、安全性、功能性能测试要求</w:t>
      </w:r>
    </w:p>
    <w:p w14:paraId="74A22C3C">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系统须避免各种信息安全漏洞，对应用系统和数据开展全生命周期安全防护，有完善的安全解决方案。甲方可委托第三方进行安全和性能测试，如果测试中发现存在问题，乙方需尽快解决。测试及漏洞修复所产生的费用由乙方承担。</w:t>
      </w:r>
    </w:p>
    <w:p w14:paraId="4BCE594F">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3、信息安全承诺保障</w:t>
      </w:r>
    </w:p>
    <w:p w14:paraId="70282472">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乙方承诺严格把控运维人员安全风险及系统安全风险，提供核心运维人员背景审查材料，每月对系统进行安全监测和巡检，出具安全巡检报告。及时修复系统存在的各类安全漏洞。在政府重要活动、会议召开期间对系统进行</w:t>
      </w:r>
      <w:r>
        <w:rPr>
          <w:rFonts w:asciiTheme="majorEastAsia" w:hAnsiTheme="majorEastAsia" w:eastAsiaTheme="majorEastAsia"/>
          <w:color w:val="000000"/>
          <w:szCs w:val="21"/>
        </w:rPr>
        <w:t>7*24</w:t>
      </w:r>
      <w:r>
        <w:rPr>
          <w:rFonts w:hint="eastAsia" w:asciiTheme="majorEastAsia" w:hAnsiTheme="majorEastAsia" w:eastAsiaTheme="majorEastAsia"/>
          <w:color w:val="000000"/>
          <w:szCs w:val="21"/>
        </w:rPr>
        <w:t>小时严密监控，一旦发现问题，要求在第一时间内关停或恢复正常服务，并尽可能的消除影响。乙方承担因系统本身漏洞所引发的信息安全事件而带来的相关法律责任。</w:t>
      </w:r>
    </w:p>
    <w:p w14:paraId="53F56929">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合同约定的建设和免费维护期内如发生重大信息安全事件，被上级单位或公安机关通报一次，罚款</w:t>
      </w:r>
      <w:r>
        <w:rPr>
          <w:rFonts w:asciiTheme="majorEastAsia" w:hAnsiTheme="majorEastAsia" w:eastAsiaTheme="majorEastAsia"/>
          <w:color w:val="000000"/>
          <w:szCs w:val="21"/>
        </w:rPr>
        <w:t>5000</w:t>
      </w:r>
      <w:r>
        <w:rPr>
          <w:rFonts w:hint="eastAsia" w:asciiTheme="majorEastAsia" w:hAnsiTheme="majorEastAsia" w:eastAsiaTheme="majorEastAsia"/>
          <w:color w:val="000000"/>
          <w:szCs w:val="21"/>
        </w:rPr>
        <w:t>元。如发生被悬挂反动标语、赌博色情、数据泄漏等安全事件，视情节严重程度罚款1-5万元。因运维人员管理疏忽导致的上述信息安全事件，甲方保留追诉乙方连带法律责任的权力。</w:t>
      </w:r>
    </w:p>
    <w:p w14:paraId="229D1380">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十、应急响应机制要求</w:t>
      </w:r>
    </w:p>
    <w:p w14:paraId="28BAA82C">
      <w:pPr>
        <w:pStyle w:val="258"/>
        <w:ind w:firstLine="367" w:firstLineChars="175"/>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要求承建方在项目验收前提供完整详细的系统故障维护应急响应机制说明文档，并得到业主方的批准，此为验收通过的必备条件之一。</w:t>
      </w:r>
    </w:p>
    <w:p w14:paraId="602F9CE8">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十一、关于实施费用</w:t>
      </w:r>
    </w:p>
    <w:p w14:paraId="2BB468FA">
      <w:pPr>
        <w:pStyle w:val="258"/>
        <w:ind w:firstLine="367" w:firstLineChars="175"/>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有关本项目实施、等保测评等所涉及的费用均由乙方承担。本合同执行中相关的一切税费均由乙方负担。</w:t>
      </w:r>
    </w:p>
    <w:p w14:paraId="526F27E1">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十二、质量保证及售后服务</w:t>
      </w:r>
    </w:p>
    <w:p w14:paraId="222F10B4">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szCs w:val="21"/>
        </w:rPr>
        <w:t>1、乙方保证本合同中所供应的交付物是符合国家相关软件技术标准和质量标准的合格产品。</w:t>
      </w:r>
    </w:p>
    <w:p w14:paraId="5827384A">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szCs w:val="21"/>
        </w:rPr>
        <w:t>2、在</w:t>
      </w:r>
      <w:r>
        <w:rPr>
          <w:rFonts w:hint="eastAsia" w:asciiTheme="majorEastAsia" w:hAnsiTheme="majorEastAsia" w:eastAsiaTheme="majorEastAsia"/>
          <w:szCs w:val="21"/>
        </w:rPr>
        <w:t>服务</w:t>
      </w:r>
      <w:r>
        <w:rPr>
          <w:rFonts w:asciiTheme="majorEastAsia" w:hAnsiTheme="majorEastAsia" w:eastAsiaTheme="majorEastAsia"/>
          <w:szCs w:val="21"/>
        </w:rPr>
        <w:t>期内乙方应响应7×24小时电话或电子邮件服务，1小时内做出明确响应和安排，2小时内做出故障诊断报告，如需现场服务的，具有解决故障能力的工程师应在2小时内到达现场。</w:t>
      </w:r>
    </w:p>
    <w:p w14:paraId="25AEEAE9">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szCs w:val="21"/>
        </w:rPr>
        <w:t>3、在</w:t>
      </w:r>
      <w:r>
        <w:rPr>
          <w:rFonts w:hint="eastAsia" w:asciiTheme="majorEastAsia" w:hAnsiTheme="majorEastAsia" w:eastAsiaTheme="majorEastAsia"/>
          <w:szCs w:val="21"/>
        </w:rPr>
        <w:t>服务</w:t>
      </w:r>
      <w:r>
        <w:rPr>
          <w:rFonts w:asciiTheme="majorEastAsia" w:hAnsiTheme="majorEastAsia" w:eastAsiaTheme="majorEastAsia"/>
          <w:szCs w:val="21"/>
        </w:rPr>
        <w:t>期内，乙方应对</w:t>
      </w:r>
      <w:r>
        <w:rPr>
          <w:rFonts w:hint="eastAsia" w:asciiTheme="majorEastAsia" w:hAnsiTheme="majorEastAsia" w:eastAsiaTheme="majorEastAsia"/>
          <w:szCs w:val="21"/>
        </w:rPr>
        <w:t>等保测评等安全服务</w:t>
      </w:r>
      <w:r>
        <w:rPr>
          <w:rFonts w:asciiTheme="majorEastAsia" w:hAnsiTheme="majorEastAsia" w:eastAsiaTheme="majorEastAsia"/>
          <w:szCs w:val="21"/>
        </w:rPr>
        <w:t>出现的质量及安全问题负责</w:t>
      </w:r>
      <w:r>
        <w:rPr>
          <w:rFonts w:hint="eastAsia" w:asciiTheme="majorEastAsia" w:hAnsiTheme="majorEastAsia" w:eastAsiaTheme="majorEastAsia"/>
          <w:szCs w:val="21"/>
        </w:rPr>
        <w:t>，</w:t>
      </w:r>
      <w:r>
        <w:rPr>
          <w:rFonts w:asciiTheme="majorEastAsia" w:hAnsiTheme="majorEastAsia" w:eastAsiaTheme="majorEastAsia"/>
          <w:szCs w:val="21"/>
        </w:rPr>
        <w:t>处理解决并承担相关费用。</w:t>
      </w:r>
    </w:p>
    <w:p w14:paraId="6723A74F">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十三、调试和验收</w:t>
      </w:r>
    </w:p>
    <w:p w14:paraId="11580F01">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、乙方可派遣技术人员组成工作小组到甲方指定的现场实施技术服务，包括安全服务、机房巡检、安全评估、现场培训等服务。</w:t>
      </w:r>
    </w:p>
    <w:p w14:paraId="46EB09F7">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、乙方应向甲方提供网络安全培训，通过安全技能、实战演练等多维度的安全培训，提升员工网络安全意识和安全技能。</w:t>
      </w:r>
    </w:p>
    <w:p w14:paraId="5B5C01A6">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3、乙方交付前应对交付物作出全面检查和对验收文件进行整理，并列出清单，作为甲方接收交付物验收和使用的技术条件依据，检验的结果应随软件交付甲方。验收合格的条件必须至少满足：</w:t>
      </w:r>
    </w:p>
    <w:p w14:paraId="15BFE99D">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①合同规定任务已经完成，提供了本项目的全部交付物和资料；</w:t>
      </w:r>
    </w:p>
    <w:p w14:paraId="413F997D">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②项目试运行期</w:t>
      </w:r>
      <w:r>
        <w:rPr>
          <w:rFonts w:asciiTheme="majorEastAsia" w:hAnsiTheme="majorEastAsia" w:eastAsiaTheme="majorEastAsia"/>
          <w:color w:val="000000"/>
          <w:szCs w:val="21"/>
        </w:rPr>
        <w:t>内</w:t>
      </w:r>
      <w:r>
        <w:rPr>
          <w:rFonts w:hint="eastAsia" w:asciiTheme="majorEastAsia" w:hAnsiTheme="majorEastAsia" w:eastAsiaTheme="majorEastAsia"/>
          <w:color w:val="000000"/>
          <w:szCs w:val="21"/>
        </w:rPr>
        <w:t>，系统各功能模块正常运行无误；</w:t>
      </w:r>
    </w:p>
    <w:p w14:paraId="248AF894">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③试运行期出现的问题已被解决，得到用户认可，出具了使用报告；</w:t>
      </w:r>
    </w:p>
    <w:p w14:paraId="1C621B11">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④已递交完整验收文档。</w:t>
      </w:r>
    </w:p>
    <w:p w14:paraId="63D5E818">
      <w:pPr>
        <w:spacing w:line="360" w:lineRule="auto"/>
        <w:ind w:firstLine="367" w:firstLineChars="175"/>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4、验收时乙方必须在现场，验收完毕后作出验收结果报告；</w:t>
      </w:r>
    </w:p>
    <w:p w14:paraId="00D57AB8">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十四、违约责任</w:t>
      </w:r>
    </w:p>
    <w:p w14:paraId="743ECAC5">
      <w:pPr>
        <w:spacing w:line="360" w:lineRule="auto"/>
        <w:ind w:firstLine="367" w:firstLineChars="175"/>
        <w:rPr>
          <w:rFonts w:asciiTheme="majorEastAsia" w:hAnsiTheme="majorEastAsia" w:eastAsiaTheme="majorEastAsia"/>
          <w:szCs w:val="21"/>
        </w:rPr>
      </w:pPr>
      <w:r>
        <w:rPr>
          <w:rFonts w:hint="eastAsia" w:asciiTheme="majorEastAsia" w:hAnsiTheme="majorEastAsia" w:eastAsiaTheme="majorEastAsia"/>
          <w:szCs w:val="21"/>
        </w:rPr>
        <w:t>1、甲方无正当理由拒收交付物的，甲方向乙方偿付拒收款总值的百分之五的违约金。</w:t>
      </w:r>
    </w:p>
    <w:p w14:paraId="7F56F041">
      <w:pPr>
        <w:spacing w:line="360" w:lineRule="auto"/>
        <w:ind w:firstLine="367" w:firstLineChars="175"/>
        <w:rPr>
          <w:rFonts w:asciiTheme="majorEastAsia" w:hAnsiTheme="majorEastAsia" w:eastAsiaTheme="majorEastAsia"/>
          <w:szCs w:val="21"/>
        </w:rPr>
      </w:pPr>
      <w:r>
        <w:rPr>
          <w:rFonts w:hint="eastAsia" w:asciiTheme="majorEastAsia" w:hAnsiTheme="majorEastAsia" w:eastAsiaTheme="majorEastAsia"/>
          <w:szCs w:val="21"/>
        </w:rPr>
        <w:t>2、甲方无故逾期验收和办理款项支付手续的，甲方应按逾期付款总额每日万分之五向乙方支付违约金。</w:t>
      </w:r>
    </w:p>
    <w:p w14:paraId="7C0B7CC9">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szCs w:val="21"/>
        </w:rPr>
        <w:t>3、乙方逾期提供交付物的，乙方应按逾期交付交付物总额每日千分之</w:t>
      </w:r>
      <w:r>
        <w:rPr>
          <w:rFonts w:hint="eastAsia" w:asciiTheme="majorEastAsia" w:hAnsiTheme="majorEastAsia" w:eastAsiaTheme="majorEastAsia"/>
          <w:szCs w:val="21"/>
        </w:rPr>
        <w:t>五</w:t>
      </w:r>
      <w:r>
        <w:rPr>
          <w:rFonts w:asciiTheme="majorEastAsia" w:hAnsiTheme="majorEastAsia" w:eastAsiaTheme="majorEastAsia"/>
          <w:szCs w:val="21"/>
        </w:rPr>
        <w:t>向甲方支付违约金，由甲方从待付款项中扣除。逾期超过约定日期10个工作日的，甲方可解除本合同。乙方因逾期提交交付物或因其他违约行为导致甲方解除合同的，乙方应向甲方支付合同总值5%的违约金，如造成甲方损失超过违约金的，超出部分由乙方继续承担赔偿责任。</w:t>
      </w:r>
    </w:p>
    <w:p w14:paraId="38946FD4">
      <w:pPr>
        <w:spacing w:line="360" w:lineRule="auto"/>
        <w:ind w:firstLine="367" w:firstLineChars="175"/>
        <w:rPr>
          <w:rFonts w:asciiTheme="majorEastAsia" w:hAnsiTheme="majorEastAsia" w:eastAsiaTheme="majorEastAsia"/>
          <w:szCs w:val="21"/>
        </w:rPr>
      </w:pPr>
      <w:r>
        <w:rPr>
          <w:rFonts w:asciiTheme="majorEastAsia" w:hAnsiTheme="majorEastAsia" w:eastAsiaTheme="majorEastAsia"/>
          <w:szCs w:val="21"/>
        </w:rPr>
        <w:t>4、项目服务期内，因乙方安全服务能力存在问题或</w:t>
      </w:r>
      <w:r>
        <w:rPr>
          <w:rFonts w:hint="eastAsia" w:asciiTheme="majorEastAsia" w:hAnsiTheme="majorEastAsia" w:eastAsiaTheme="majorEastAsia"/>
          <w:szCs w:val="21"/>
        </w:rPr>
        <w:t>服务</w:t>
      </w:r>
      <w:r>
        <w:rPr>
          <w:rFonts w:asciiTheme="majorEastAsia" w:hAnsiTheme="majorEastAsia" w:eastAsiaTheme="majorEastAsia"/>
          <w:szCs w:val="21"/>
        </w:rPr>
        <w:t>人员工作疏忽，导致用户网站发生被黑客攻击未能及时响应或处置造成重大影响，被上级单位或者公安机关通报的，</w:t>
      </w:r>
      <w:r>
        <w:rPr>
          <w:rFonts w:hint="eastAsia" w:asciiTheme="majorEastAsia" w:hAnsiTheme="majorEastAsia" w:eastAsiaTheme="majorEastAsia"/>
          <w:szCs w:val="21"/>
        </w:rPr>
        <w:t>甲</w:t>
      </w:r>
      <w:r>
        <w:rPr>
          <w:rFonts w:asciiTheme="majorEastAsia" w:hAnsiTheme="majorEastAsia" w:eastAsiaTheme="majorEastAsia"/>
          <w:szCs w:val="21"/>
        </w:rPr>
        <w:t>方有权从</w:t>
      </w:r>
      <w:r>
        <w:rPr>
          <w:rFonts w:hint="eastAsia" w:asciiTheme="majorEastAsia" w:hAnsiTheme="majorEastAsia" w:eastAsiaTheme="majorEastAsia"/>
          <w:szCs w:val="21"/>
        </w:rPr>
        <w:t>履约保证金</w:t>
      </w:r>
      <w:r>
        <w:rPr>
          <w:rFonts w:asciiTheme="majorEastAsia" w:hAnsiTheme="majorEastAsia" w:eastAsiaTheme="majorEastAsia"/>
          <w:szCs w:val="21"/>
        </w:rPr>
        <w:t>扣除违约金</w:t>
      </w:r>
      <w:r>
        <w:rPr>
          <w:rFonts w:hint="eastAsia" w:asciiTheme="majorEastAsia" w:hAnsiTheme="majorEastAsia" w:eastAsiaTheme="majorEastAsia"/>
          <w:szCs w:val="21"/>
        </w:rPr>
        <w:t>5</w:t>
      </w:r>
      <w:r>
        <w:rPr>
          <w:rFonts w:asciiTheme="majorEastAsia" w:hAnsiTheme="majorEastAsia" w:eastAsiaTheme="majorEastAsia"/>
          <w:szCs w:val="21"/>
        </w:rPr>
        <w:t>000元/次；</w:t>
      </w:r>
      <w:r>
        <w:rPr>
          <w:rFonts w:hint="eastAsia" w:asciiTheme="majorEastAsia" w:hAnsiTheme="majorEastAsia" w:eastAsiaTheme="majorEastAsia"/>
          <w:szCs w:val="21"/>
        </w:rPr>
        <w:t>如</w:t>
      </w:r>
      <w:r>
        <w:rPr>
          <w:rFonts w:asciiTheme="majorEastAsia" w:hAnsiTheme="majorEastAsia" w:eastAsiaTheme="majorEastAsia"/>
          <w:szCs w:val="21"/>
        </w:rPr>
        <w:t>发生被悬挂反动标语、赌博色情等非法暗链事件，</w:t>
      </w:r>
      <w:r>
        <w:rPr>
          <w:rFonts w:hint="eastAsia" w:asciiTheme="majorEastAsia" w:hAnsiTheme="majorEastAsia" w:eastAsiaTheme="majorEastAsia"/>
          <w:szCs w:val="21"/>
        </w:rPr>
        <w:t>则履约保证金全部罚没。因运维人员管理疏忽导致的上述信息安全事件，甲方</w:t>
      </w:r>
      <w:r>
        <w:rPr>
          <w:rFonts w:asciiTheme="majorEastAsia" w:hAnsiTheme="majorEastAsia" w:eastAsiaTheme="majorEastAsia"/>
          <w:szCs w:val="21"/>
        </w:rPr>
        <w:t>保留追诉</w:t>
      </w:r>
      <w:r>
        <w:rPr>
          <w:rFonts w:hint="eastAsia" w:asciiTheme="majorEastAsia" w:hAnsiTheme="majorEastAsia" w:eastAsiaTheme="majorEastAsia"/>
          <w:szCs w:val="21"/>
        </w:rPr>
        <w:t>乙</w:t>
      </w:r>
      <w:r>
        <w:rPr>
          <w:rFonts w:asciiTheme="majorEastAsia" w:hAnsiTheme="majorEastAsia" w:eastAsiaTheme="majorEastAsia"/>
          <w:szCs w:val="21"/>
        </w:rPr>
        <w:t>方连带法律责任的权</w:t>
      </w:r>
      <w:r>
        <w:rPr>
          <w:rFonts w:hint="eastAsia" w:asciiTheme="majorEastAsia" w:hAnsiTheme="majorEastAsia" w:eastAsiaTheme="majorEastAsia"/>
          <w:szCs w:val="21"/>
        </w:rPr>
        <w:t>力</w:t>
      </w:r>
      <w:r>
        <w:rPr>
          <w:rFonts w:asciiTheme="majorEastAsia" w:hAnsiTheme="majorEastAsia" w:eastAsiaTheme="majorEastAsia"/>
          <w:szCs w:val="21"/>
        </w:rPr>
        <w:t>。</w:t>
      </w:r>
    </w:p>
    <w:p w14:paraId="5321AAAA">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十六、合同的变更和转让</w:t>
      </w:r>
    </w:p>
    <w:p w14:paraId="4EB71A89">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本合同履行期间，发生特殊情况时，甲、乙任何一方需变更本合同的，要求变更一方应及时书面通知对方，征得对方同意后，双方在规定的时限内（书面通知发出_20_天内）签订书面变更协议，协议内容包括该变更对合同价格、项目交付日期、项目技术参数的影响和变化以及对合同条款的影响等，</w:t>
      </w:r>
    </w:p>
    <w:p w14:paraId="411A2CA9">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2、该协议将成为合同不可分割的部分。未经双方签署书面文件，任何一方无权变更本合同，否则，由此造成对方的经济损失，由责任方承担。</w:t>
      </w:r>
    </w:p>
    <w:p w14:paraId="5D540AAA">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3、除合同中另有规定或经双方协商同意外，本合同所规定的双方权利和义务，任何一方在未经另一方书面同意前，不得转让给第三者。任何转让，未经另一方书面明确同意，均属无效。</w:t>
      </w:r>
    </w:p>
    <w:p w14:paraId="0DEA9F37">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十七、补充与附件</w:t>
      </w:r>
    </w:p>
    <w:p w14:paraId="1253C187">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本合同未尽事宜，依照有关法律、法规执行，法律、法规未作明确规定的，甲乙双方可以形成书面补充协议。本合同的附件和补充协议均为本合同不可分割的组成部分，与本合同具有同等法律效力。</w:t>
      </w:r>
    </w:p>
    <w:p w14:paraId="5B07BB78">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十八、不可抗力事件处理</w:t>
      </w:r>
    </w:p>
    <w:p w14:paraId="3184F27E">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、在合同有效期内，任何一方因不可抗力事件导致不能履行合同，则合同履行期可延长，其延长期与不可抗力影响期相同。</w:t>
      </w:r>
    </w:p>
    <w:p w14:paraId="41EC9823">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、不可抗力事件发生后，应立即通知对方，并寄送有关权威机构出具的证明。</w:t>
      </w:r>
    </w:p>
    <w:p w14:paraId="74768357">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、不可抗力事件延续</w:t>
      </w:r>
      <w:r>
        <w:rPr>
          <w:rFonts w:asciiTheme="majorEastAsia" w:hAnsiTheme="majorEastAsia" w:eastAsiaTheme="majorEastAsia"/>
          <w:color w:val="000000"/>
          <w:szCs w:val="21"/>
        </w:rPr>
        <w:t>120</w:t>
      </w:r>
      <w:r>
        <w:rPr>
          <w:rFonts w:hint="eastAsia" w:asciiTheme="majorEastAsia" w:hAnsiTheme="majorEastAsia" w:eastAsiaTheme="majorEastAsia"/>
          <w:color w:val="000000"/>
          <w:szCs w:val="21"/>
        </w:rPr>
        <w:t>天以上，双方应通过友好协商，确定是否继续履行合同。</w:t>
      </w:r>
    </w:p>
    <w:p w14:paraId="4C056C48">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十九、诉讼</w:t>
      </w:r>
    </w:p>
    <w:p w14:paraId="520B7EEA">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双方在执行合同中所发生的一切争议，应通过协商解决。如协商不成，可向甲方所在地法院起诉。</w:t>
      </w:r>
    </w:p>
    <w:p w14:paraId="268EA1E9">
      <w:pPr>
        <w:spacing w:line="360" w:lineRule="auto"/>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二十、合同生效及其它</w:t>
      </w:r>
    </w:p>
    <w:p w14:paraId="166F5241">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、合同经双方法定代表人或授权代表签字并加盖单位公章后生效。</w:t>
      </w:r>
    </w:p>
    <w:p w14:paraId="0A926011">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、合同执行中涉及采购资金和采购内容修改或补充的，须经财政部门审批，并签书面补充协议报政府采购监督管理部门备案，方可作为主合同不可分割的一部分。</w:t>
      </w:r>
    </w:p>
    <w:p w14:paraId="11B53203">
      <w:pPr>
        <w:spacing w:line="360" w:lineRule="auto"/>
        <w:ind w:firstLine="367" w:firstLineChars="175"/>
        <w:rPr>
          <w:rFonts w:asciiTheme="majorEastAsia" w:hAnsiTheme="majorEastAsia" w:eastAsiaTheme="majorEastAsia"/>
        </w:rPr>
      </w:pPr>
      <w:r>
        <w:rPr>
          <w:rFonts w:asciiTheme="majorEastAsia" w:hAnsiTheme="majorEastAsia" w:eastAsiaTheme="majorEastAsia"/>
          <w:color w:val="000000"/>
          <w:szCs w:val="21"/>
        </w:rPr>
        <w:t>3、招标文件和投标文件及补充文件、承诺书等与本合同具有同等法律效力。</w:t>
      </w:r>
    </w:p>
    <w:p w14:paraId="419CC30E">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4</w:t>
      </w:r>
      <w:r>
        <w:rPr>
          <w:rFonts w:hint="eastAsia" w:asciiTheme="majorEastAsia" w:hAnsiTheme="majorEastAsia" w:eastAsiaTheme="majorEastAsia"/>
          <w:color w:val="000000"/>
          <w:szCs w:val="21"/>
        </w:rPr>
        <w:t>、本合同未尽事宜，遵照《中华人民共和国民法典》有关条文执行。</w:t>
      </w:r>
    </w:p>
    <w:p w14:paraId="5CB8C044">
      <w:pPr>
        <w:spacing w:line="360" w:lineRule="auto"/>
        <w:ind w:firstLine="367" w:firstLineChars="175"/>
        <w:rPr>
          <w:rFonts w:asciiTheme="majorEastAsia" w:hAnsiTheme="majorEastAsia" w:eastAsiaTheme="majorEastAsia"/>
          <w:color w:val="000000"/>
          <w:szCs w:val="21"/>
        </w:rPr>
      </w:pPr>
      <w:r>
        <w:rPr>
          <w:rFonts w:asciiTheme="majorEastAsia" w:hAnsiTheme="majorEastAsia" w:eastAsiaTheme="majorEastAsia"/>
          <w:color w:val="000000"/>
          <w:szCs w:val="21"/>
        </w:rPr>
        <w:t>5、</w:t>
      </w:r>
      <w:r>
        <w:rPr>
          <w:rFonts w:hint="eastAsia" w:asciiTheme="majorEastAsia" w:hAnsiTheme="majorEastAsia" w:eastAsiaTheme="majorEastAsia"/>
          <w:color w:val="000000"/>
          <w:szCs w:val="21"/>
        </w:rPr>
        <w:t>本合同文件的优先次序</w:t>
      </w:r>
    </w:p>
    <w:p w14:paraId="612E0064">
      <w:pPr>
        <w:widowControl/>
        <w:spacing w:line="480" w:lineRule="exact"/>
        <w:ind w:firstLine="367" w:firstLineChars="175"/>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合同文件由以下文件组成，如存在歧义或不一致则根据以下优先次序来判断：</w:t>
      </w:r>
    </w:p>
    <w:p w14:paraId="424F2382">
      <w:pPr>
        <w:widowControl/>
        <w:spacing w:line="480" w:lineRule="exact"/>
        <w:ind w:firstLine="367" w:firstLineChars="175"/>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1</w:t>
      </w:r>
      <w:r>
        <w:rPr>
          <w:rFonts w:hint="eastAsia" w:asciiTheme="majorEastAsia" w:hAnsiTheme="majorEastAsia" w:eastAsiaTheme="majorEastAsia"/>
          <w:color w:val="000000"/>
          <w:kern w:val="0"/>
          <w:szCs w:val="21"/>
        </w:rPr>
        <w:t>）合同书及合同补充条款或说明</w:t>
      </w:r>
    </w:p>
    <w:p w14:paraId="5E288F0E">
      <w:pPr>
        <w:widowControl/>
        <w:spacing w:line="480" w:lineRule="exact"/>
        <w:ind w:firstLine="367" w:firstLineChars="175"/>
        <w:rPr>
          <w:rFonts w:asciiTheme="majorEastAsia" w:hAnsiTheme="majorEastAsia" w:eastAsiaTheme="majorEastAsia"/>
          <w:color w:val="000000"/>
          <w:kern w:val="0"/>
          <w:szCs w:val="21"/>
        </w:rPr>
      </w:pPr>
      <w:r>
        <w:rPr>
          <w:rFonts w:asciiTheme="majorEastAsia" w:hAnsiTheme="majorEastAsia" w:eastAsiaTheme="majorEastAsia"/>
          <w:color w:val="000000"/>
          <w:kern w:val="0"/>
          <w:szCs w:val="21"/>
        </w:rPr>
        <w:t>2</w:t>
      </w:r>
      <w:r>
        <w:rPr>
          <w:rFonts w:hint="eastAsia" w:asciiTheme="majorEastAsia" w:hAnsiTheme="majorEastAsia" w:eastAsiaTheme="majorEastAsia"/>
          <w:color w:val="000000"/>
          <w:kern w:val="0"/>
          <w:szCs w:val="21"/>
        </w:rPr>
        <w:t>）成交通知书</w:t>
      </w:r>
    </w:p>
    <w:p w14:paraId="112118D6">
      <w:pPr>
        <w:pStyle w:val="57"/>
        <w:spacing w:before="0" w:beforeAutospacing="0" w:after="0" w:afterAutospacing="0" w:line="480" w:lineRule="exact"/>
        <w:ind w:firstLine="367" w:firstLineChars="175"/>
        <w:jc w:val="both"/>
        <w:rPr>
          <w:rFonts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）响应现场承诺书（含询问记录和优惠条款）</w:t>
      </w:r>
    </w:p>
    <w:p w14:paraId="7FFCB97C">
      <w:pPr>
        <w:pStyle w:val="57"/>
        <w:spacing w:before="0" w:beforeAutospacing="0" w:after="0" w:afterAutospacing="0" w:line="480" w:lineRule="exact"/>
        <w:ind w:firstLine="367" w:firstLineChars="175"/>
        <w:jc w:val="both"/>
        <w:rPr>
          <w:rFonts w:asciiTheme="majorEastAsia" w:hAnsiTheme="majorEastAsia" w:eastAsiaTheme="majorEastAsia"/>
          <w:sz w:val="21"/>
          <w:szCs w:val="21"/>
        </w:rPr>
      </w:pPr>
      <w:r>
        <w:rPr>
          <w:rFonts w:asciiTheme="majorEastAsia" w:hAnsiTheme="majorEastAsia" w:eastAsiaTheme="majorEastAsia"/>
          <w:sz w:val="21"/>
          <w:szCs w:val="21"/>
        </w:rPr>
        <w:t>4</w:t>
      </w:r>
      <w:r>
        <w:rPr>
          <w:rFonts w:hint="eastAsia" w:asciiTheme="majorEastAsia" w:hAnsiTheme="majorEastAsia" w:eastAsiaTheme="majorEastAsia"/>
          <w:sz w:val="21"/>
          <w:szCs w:val="21"/>
        </w:rPr>
        <w:t>）响应文件</w:t>
      </w:r>
    </w:p>
    <w:p w14:paraId="5C5AAED7">
      <w:pPr>
        <w:pStyle w:val="57"/>
        <w:spacing w:before="0" w:beforeAutospacing="0" w:after="0" w:afterAutospacing="0" w:line="480" w:lineRule="exact"/>
        <w:ind w:firstLine="367" w:firstLineChars="175"/>
        <w:jc w:val="both"/>
        <w:rPr>
          <w:rFonts w:asciiTheme="majorEastAsia" w:hAnsiTheme="majorEastAsia" w:eastAsiaTheme="majorEastAsia"/>
          <w:sz w:val="21"/>
          <w:szCs w:val="21"/>
        </w:rPr>
      </w:pPr>
      <w:r>
        <w:rPr>
          <w:rFonts w:asciiTheme="majorEastAsia" w:hAnsiTheme="majorEastAsia" w:eastAsiaTheme="majorEastAsia"/>
          <w:sz w:val="21"/>
          <w:szCs w:val="21"/>
        </w:rPr>
        <w:t>5</w:t>
      </w:r>
      <w:r>
        <w:rPr>
          <w:rFonts w:hint="eastAsia" w:asciiTheme="majorEastAsia" w:hAnsiTheme="majorEastAsia" w:eastAsiaTheme="majorEastAsia"/>
          <w:sz w:val="21"/>
          <w:szCs w:val="21"/>
        </w:rPr>
        <w:t>）采购文件</w:t>
      </w:r>
    </w:p>
    <w:p w14:paraId="01205D07">
      <w:pPr>
        <w:pStyle w:val="32"/>
        <w:snapToGrid w:val="0"/>
        <w:spacing w:before="156" w:after="156" w:line="480" w:lineRule="exact"/>
        <w:ind w:firstLine="367" w:firstLineChars="175"/>
        <w:rPr>
          <w:rFonts w:asciiTheme="majorEastAsia" w:hAnsiTheme="majorEastAsia" w:eastAsiaTheme="majorEastAsia"/>
          <w:color w:val="000000"/>
        </w:rPr>
      </w:pPr>
      <w:r>
        <w:rPr>
          <w:rFonts w:asciiTheme="majorEastAsia" w:hAnsiTheme="majorEastAsia" w:eastAsiaTheme="majorEastAsia"/>
          <w:color w:val="000000"/>
        </w:rPr>
        <w:t>6、</w:t>
      </w:r>
      <w:r>
        <w:rPr>
          <w:rFonts w:hint="eastAsia" w:asciiTheme="majorEastAsia" w:hAnsiTheme="majorEastAsia" w:eastAsiaTheme="majorEastAsia"/>
          <w:color w:val="000000"/>
        </w:rPr>
        <w:t>本合同正本一式肆份，具有同等法律效力，甲乙双方各执贰份。</w:t>
      </w:r>
    </w:p>
    <w:p w14:paraId="438EEBFA">
      <w:pPr>
        <w:spacing w:line="360" w:lineRule="auto"/>
        <w:rPr>
          <w:rFonts w:asciiTheme="majorEastAsia" w:hAnsiTheme="majorEastAsia" w:eastAsiaTheme="majorEastAsia"/>
          <w:color w:val="000000"/>
          <w:szCs w:val="21"/>
        </w:rPr>
      </w:pPr>
    </w:p>
    <w:p w14:paraId="02BD0786">
      <w:pPr>
        <w:pStyle w:val="2"/>
      </w:pPr>
    </w:p>
    <w:p w14:paraId="0F2DE0A2"/>
    <w:p w14:paraId="5582CB05">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甲方：浙江省卫生健康信息中心        乙方：</w:t>
      </w:r>
      <w:r>
        <w:rPr>
          <w:rFonts w:asciiTheme="majorEastAsia" w:hAnsiTheme="majorEastAsia" w:eastAsiaTheme="majorEastAsia"/>
          <w:color w:val="000000"/>
          <w:szCs w:val="21"/>
        </w:rPr>
        <w:t>XXXXXXXXXXXXX</w:t>
      </w:r>
    </w:p>
    <w:p w14:paraId="4C194CA1">
      <w:pPr>
        <w:spacing w:line="360" w:lineRule="auto"/>
        <w:ind w:left="4200" w:hanging="4200" w:hangingChars="20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地址：杭州市庆春路</w:t>
      </w:r>
      <w:r>
        <w:rPr>
          <w:rFonts w:asciiTheme="majorEastAsia" w:hAnsiTheme="majorEastAsia" w:eastAsiaTheme="majorEastAsia"/>
          <w:color w:val="000000"/>
          <w:szCs w:val="21"/>
        </w:rPr>
        <w:t>216</w:t>
      </w:r>
      <w:r>
        <w:rPr>
          <w:rFonts w:hint="eastAsia" w:asciiTheme="majorEastAsia" w:hAnsiTheme="majorEastAsia" w:eastAsiaTheme="majorEastAsia"/>
          <w:color w:val="000000"/>
          <w:szCs w:val="21"/>
        </w:rPr>
        <w:t>号            地址：</w:t>
      </w:r>
      <w:r>
        <w:rPr>
          <w:rFonts w:asciiTheme="majorEastAsia" w:hAnsiTheme="majorEastAsia" w:eastAsiaTheme="majorEastAsia"/>
          <w:color w:val="000000"/>
          <w:szCs w:val="21"/>
        </w:rPr>
        <w:t xml:space="preserve"> XXXXXXXXXXXXXXXX</w:t>
      </w:r>
    </w:p>
    <w:p w14:paraId="152D61AC">
      <w:pPr>
        <w:snapToGrid w:val="0"/>
        <w:spacing w:before="120" w:beforeLines="50" w:after="120" w:afterLines="50"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法定（授权）代表人：                法定（授权）代表人：</w:t>
      </w:r>
    </w:p>
    <w:p w14:paraId="61518F50">
      <w:pPr>
        <w:snapToGrid w:val="0"/>
        <w:spacing w:before="50" w:after="50" w:line="360" w:lineRule="auto"/>
        <w:rPr>
          <w:rFonts w:asciiTheme="majorEastAsia" w:hAnsiTheme="majorEastAsia" w:eastAsiaTheme="majorEastAsia"/>
          <w:szCs w:val="21"/>
        </w:rPr>
      </w:pPr>
      <w:r>
        <w:rPr>
          <w:rFonts w:asciiTheme="majorEastAsia" w:hAnsiTheme="majorEastAsia" w:eastAsiaTheme="majorEastAsia"/>
          <w:szCs w:val="21"/>
        </w:rPr>
        <w:t>日期： 202</w:t>
      </w:r>
      <w:r>
        <w:rPr>
          <w:rFonts w:hint="eastAsia" w:asciiTheme="majorEastAsia" w:hAnsiTheme="majorEastAsia" w:eastAsiaTheme="majorEastAsia"/>
          <w:szCs w:val="21"/>
        </w:rPr>
        <w:t>4</w:t>
      </w:r>
      <w:r>
        <w:rPr>
          <w:rFonts w:asciiTheme="majorEastAsia" w:hAnsiTheme="majorEastAsia" w:eastAsiaTheme="majorEastAsia"/>
          <w:szCs w:val="21"/>
        </w:rPr>
        <w:t>年   月   日</w:t>
      </w:r>
      <w:r>
        <w:rPr>
          <w:rFonts w:hint="eastAsia" w:asciiTheme="majorEastAsia" w:hAnsiTheme="majorEastAsia" w:eastAsiaTheme="majorEastAsia"/>
          <w:szCs w:val="21"/>
        </w:rPr>
        <w:t xml:space="preserve">            </w:t>
      </w:r>
      <w:r>
        <w:rPr>
          <w:rFonts w:asciiTheme="majorEastAsia" w:hAnsiTheme="majorEastAsia" w:eastAsiaTheme="majorEastAsia"/>
          <w:szCs w:val="21"/>
        </w:rPr>
        <w:t>日期： 202</w:t>
      </w:r>
      <w:r>
        <w:rPr>
          <w:rFonts w:hint="eastAsia" w:asciiTheme="majorEastAsia" w:hAnsiTheme="majorEastAsia" w:eastAsiaTheme="majorEastAsia"/>
          <w:szCs w:val="21"/>
        </w:rPr>
        <w:t>4</w:t>
      </w:r>
      <w:r>
        <w:rPr>
          <w:rFonts w:asciiTheme="majorEastAsia" w:hAnsiTheme="majorEastAsia" w:eastAsiaTheme="majorEastAsia"/>
          <w:szCs w:val="21"/>
        </w:rPr>
        <w:t>年   月   日</w:t>
      </w:r>
    </w:p>
    <w:p w14:paraId="786C1F30">
      <w:pPr>
        <w:snapToGrid w:val="0"/>
        <w:spacing w:before="50" w:after="50" w:line="360" w:lineRule="auto"/>
        <w:rPr>
          <w:rFonts w:asciiTheme="majorEastAsia" w:hAnsiTheme="majorEastAsia" w:eastAsiaTheme="majorEastAsia"/>
          <w:szCs w:val="21"/>
        </w:rPr>
      </w:pPr>
    </w:p>
    <w:p w14:paraId="65E0D6C8">
      <w:pPr>
        <w:pStyle w:val="2"/>
        <w:rPr>
          <w:rFonts w:asciiTheme="majorEastAsia" w:hAnsiTheme="majorEastAsia" w:eastAsiaTheme="majorEastAsia"/>
        </w:rPr>
      </w:pPr>
    </w:p>
    <w:p w14:paraId="348E362F">
      <w:pPr>
        <w:spacing w:line="360" w:lineRule="auto"/>
        <w:rPr>
          <w:rFonts w:asciiTheme="majorEastAsia" w:hAnsiTheme="majorEastAsia" w:eastAsiaTheme="majorEastAsia"/>
          <w:b/>
          <w:sz w:val="24"/>
        </w:rPr>
      </w:pPr>
    </w:p>
    <w:p w14:paraId="26F4B708">
      <w:pPr>
        <w:pageBreakBefore/>
        <w:spacing w:line="360" w:lineRule="auto"/>
        <w:jc w:val="center"/>
        <w:outlineLvl w:val="0"/>
        <w:rPr>
          <w:rFonts w:cs="宋体" w:asciiTheme="majorEastAsia" w:hAnsiTheme="majorEastAsia" w:eastAsiaTheme="majorEastAsia"/>
          <w:b/>
          <w:sz w:val="36"/>
          <w:szCs w:val="20"/>
        </w:rPr>
      </w:pPr>
      <w:r>
        <w:rPr>
          <w:rFonts w:hint="eastAsia" w:cs="宋体" w:asciiTheme="majorEastAsia" w:hAnsiTheme="majorEastAsia" w:eastAsiaTheme="majorEastAsia"/>
          <w:b/>
          <w:sz w:val="36"/>
          <w:szCs w:val="20"/>
        </w:rPr>
        <w:t>第六部分</w:t>
      </w:r>
      <w:bookmarkEnd w:id="433"/>
      <w:bookmarkEnd w:id="434"/>
      <w:r>
        <w:rPr>
          <w:rFonts w:hint="eastAsia" w:cs="宋体" w:asciiTheme="majorEastAsia" w:hAnsiTheme="majorEastAsia" w:eastAsiaTheme="majorEastAsia"/>
          <w:b/>
          <w:sz w:val="36"/>
          <w:szCs w:val="20"/>
        </w:rPr>
        <w:t>应提交的有关格式范例</w:t>
      </w:r>
    </w:p>
    <w:p w14:paraId="67AF76E6">
      <w:pPr>
        <w:adjustRightInd/>
        <w:spacing w:line="360" w:lineRule="auto"/>
        <w:jc w:val="center"/>
        <w:rPr>
          <w:rFonts w:cs="仿宋_GB2312" w:asciiTheme="majorEastAsia" w:hAnsiTheme="majorEastAsia" w:eastAsiaTheme="majorEastAsia"/>
          <w:b/>
          <w:sz w:val="48"/>
          <w:szCs w:val="48"/>
        </w:rPr>
      </w:pPr>
    </w:p>
    <w:p w14:paraId="02D792F2">
      <w:pPr>
        <w:spacing w:line="360" w:lineRule="auto"/>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资格文件部分</w:t>
      </w:r>
    </w:p>
    <w:p w14:paraId="6E1B53E2">
      <w:pPr>
        <w:spacing w:line="360" w:lineRule="auto"/>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目录</w:t>
      </w:r>
    </w:p>
    <w:p w14:paraId="42CFC6BF">
      <w:pPr>
        <w:adjustRightInd/>
        <w:spacing w:line="360" w:lineRule="auto"/>
        <w:jc w:val="center"/>
        <w:rPr>
          <w:rFonts w:cs="仿宋_GB2312" w:asciiTheme="majorEastAsia" w:hAnsiTheme="majorEastAsia" w:eastAsiaTheme="majorEastAsia"/>
          <w:b/>
          <w:sz w:val="48"/>
          <w:szCs w:val="48"/>
        </w:rPr>
      </w:pPr>
    </w:p>
    <w:p w14:paraId="02D0DF0B">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（1）符合参加政府采购活动应当具备的一般条件的承诺函……………（页码）</w:t>
      </w:r>
    </w:p>
    <w:p w14:paraId="10BEC403">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napToGrid w:val="0"/>
          <w:kern w:val="28"/>
          <w:sz w:val="24"/>
          <w:szCs w:val="20"/>
        </w:rPr>
        <w:t>（2）联合协议</w:t>
      </w:r>
      <w:r>
        <w:rPr>
          <w:rFonts w:hint="eastAsia" w:cs="宋体" w:asciiTheme="majorEastAsia" w:hAnsiTheme="majorEastAsia" w:eastAsiaTheme="majorEastAsia"/>
          <w:sz w:val="24"/>
        </w:rPr>
        <w:t>………………………………………………………………（页码）</w:t>
      </w:r>
    </w:p>
    <w:p w14:paraId="1AA02FE1">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3</w:t>
      </w:r>
      <w:r>
        <w:rPr>
          <w:rFonts w:hint="eastAsia" w:cs="宋体" w:asciiTheme="majorEastAsia" w:hAnsiTheme="majorEastAsia" w:eastAsiaTheme="majorEastAsia"/>
          <w:sz w:val="24"/>
        </w:rPr>
        <w:t>）落实政府采购政策需满足的资格要求………………………………（页码）</w:t>
      </w:r>
    </w:p>
    <w:p w14:paraId="474E64E4">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cs="宋体" w:asciiTheme="majorEastAsia" w:hAnsiTheme="majorEastAsia" w:eastAsiaTheme="majorEastAsia"/>
          <w:sz w:val="24"/>
        </w:rPr>
        <w:t>4</w:t>
      </w:r>
      <w:r>
        <w:rPr>
          <w:rFonts w:hint="eastAsia" w:cs="宋体" w:asciiTheme="majorEastAsia" w:hAnsiTheme="majorEastAsia" w:eastAsiaTheme="majorEastAsia"/>
          <w:sz w:val="24"/>
        </w:rPr>
        <w:t>）本项目的特定资格要求………………………………………………（页码）</w:t>
      </w:r>
    </w:p>
    <w:p w14:paraId="2590500E">
      <w:pPr>
        <w:snapToGrid w:val="0"/>
        <w:spacing w:line="360" w:lineRule="auto"/>
        <w:ind w:firstLine="480" w:firstLineChars="200"/>
        <w:rPr>
          <w:rFonts w:cs="宋体" w:asciiTheme="majorEastAsia" w:hAnsiTheme="majorEastAsia" w:eastAsiaTheme="majorEastAsia"/>
          <w:sz w:val="24"/>
        </w:rPr>
      </w:pPr>
    </w:p>
    <w:p w14:paraId="0329F955">
      <w:pPr>
        <w:spacing w:line="360" w:lineRule="auto"/>
        <w:ind w:firstLine="480" w:firstLineChars="200"/>
        <w:rPr>
          <w:rFonts w:cs="宋体" w:asciiTheme="majorEastAsia" w:hAnsiTheme="majorEastAsia" w:eastAsiaTheme="majorEastAsia"/>
          <w:sz w:val="24"/>
        </w:rPr>
      </w:pPr>
    </w:p>
    <w:p w14:paraId="72E2D06E">
      <w:pPr>
        <w:snapToGrid w:val="0"/>
        <w:spacing w:line="360" w:lineRule="auto"/>
        <w:ind w:right="48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kern w:val="0"/>
          <w:sz w:val="24"/>
        </w:rPr>
        <w:br w:type="page"/>
      </w:r>
      <w:r>
        <w:rPr>
          <w:rFonts w:hint="eastAsia" w:cs="宋体" w:asciiTheme="majorEastAsia" w:hAnsiTheme="majorEastAsia" w:eastAsiaTheme="majorEastAsia"/>
          <w:b/>
          <w:kern w:val="0"/>
          <w:sz w:val="32"/>
          <w:szCs w:val="32"/>
        </w:rPr>
        <w:t xml:space="preserve">  一、 符合参加政府采购活动应当具备的一般条件的承诺函</w:t>
      </w:r>
    </w:p>
    <w:p w14:paraId="3009A30C">
      <w:pPr>
        <w:snapToGrid w:val="0"/>
        <w:spacing w:line="360" w:lineRule="auto"/>
        <w:rPr>
          <w:rFonts w:cs="宋体" w:asciiTheme="majorEastAsia" w:hAnsiTheme="majorEastAsia" w:eastAsiaTheme="majorEastAsia"/>
          <w:sz w:val="24"/>
        </w:rPr>
      </w:pPr>
      <w:r>
        <w:rPr>
          <w:rFonts w:hint="eastAsia" w:cs="仿宋" w:asciiTheme="majorEastAsia" w:hAnsiTheme="majorEastAsia" w:eastAsiaTheme="majorEastAsia"/>
          <w:sz w:val="24"/>
        </w:rPr>
        <w:t>浙江省卫生健康信息中心、浙江省成套招标代理有限公司：</w:t>
      </w:r>
    </w:p>
    <w:p w14:paraId="03DC4944">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我方参与</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sz w:val="24"/>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】政府采购活动，郑重承诺：</w:t>
      </w:r>
    </w:p>
    <w:p w14:paraId="4413880E">
      <w:pPr>
        <w:snapToGrid w:val="0"/>
        <w:spacing w:line="360" w:lineRule="auto"/>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rPr>
        <w:t>（一）具备《中华人民共和国政府采购法》第二十二条第一款规定的条件：</w:t>
      </w:r>
    </w:p>
    <w:p w14:paraId="7C9E5946">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1、具有独立承担民事责任的能力；</w:t>
      </w:r>
    </w:p>
    <w:p w14:paraId="62D327D3">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2、具有良好的商业信誉和健全的财务会计制度； </w:t>
      </w:r>
    </w:p>
    <w:p w14:paraId="7A3EB098">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3、具有履行合同所必需的设备和专业技术能力；</w:t>
      </w:r>
    </w:p>
    <w:p w14:paraId="3D6ADC40">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4、有依法缴纳税收和社会保障资金的良好记录；</w:t>
      </w:r>
    </w:p>
    <w:p w14:paraId="639FE837">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5、参加政府采购活动前三年内，在经营活动中没有重大违法记录；</w:t>
      </w:r>
    </w:p>
    <w:p w14:paraId="3FEEF783">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6、具有法律、行政法规规定的其他条件。</w:t>
      </w:r>
    </w:p>
    <w:p w14:paraId="2A67A8A9">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（二）未被信用中国（www.creditchina.gov.cn)、中国政府采购网（www.ccgp.gov.cn）列入失信被执行人、重大税收违法案件当事人名单、政府采购严重违法失信行为记录名单。</w:t>
      </w:r>
    </w:p>
    <w:p w14:paraId="602CF71F">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（三）不存在以下情况：</w:t>
      </w:r>
    </w:p>
    <w:p w14:paraId="564C5B63">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1、单位负责人为同一人或者存在直接控股、管理关系的不同供应商参加同一合同项下的政府采购活动的；</w:t>
      </w:r>
    </w:p>
    <w:p w14:paraId="22749504">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2、为采购项目提供整体设计、规范编制或者项目管理、监理、检测等服务后再参加该采购项目的其他采购活动的。</w:t>
      </w:r>
    </w:p>
    <w:p w14:paraId="13801E51">
      <w:pPr>
        <w:adjustRightInd/>
        <w:spacing w:line="360" w:lineRule="auto"/>
        <w:jc w:val="center"/>
        <w:rPr>
          <w:rFonts w:cs="仿宋_GB2312" w:asciiTheme="majorEastAsia" w:hAnsiTheme="majorEastAsia" w:eastAsiaTheme="majorEastAsia"/>
          <w:b/>
          <w:sz w:val="48"/>
          <w:szCs w:val="48"/>
        </w:rPr>
      </w:pPr>
    </w:p>
    <w:p w14:paraId="196A2F94">
      <w:pPr>
        <w:snapToGrid w:val="0"/>
        <w:spacing w:line="360" w:lineRule="auto"/>
        <w:ind w:firstLine="5520" w:firstLineChars="230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投标人名称(电子签名)：</w:t>
      </w:r>
    </w:p>
    <w:p w14:paraId="1E413D68">
      <w:pPr>
        <w:snapToGrid w:val="0"/>
        <w:spacing w:line="360" w:lineRule="auto"/>
        <w:ind w:firstLine="5520" w:firstLineChars="230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日期</w:t>
      </w:r>
      <w:r>
        <w:rPr>
          <w:rFonts w:hint="eastAsia" w:cs="宋体" w:asciiTheme="majorEastAsia" w:hAnsiTheme="majorEastAsia" w:eastAsiaTheme="majorEastAsia"/>
          <w:kern w:val="0"/>
          <w:sz w:val="24"/>
        </w:rPr>
        <w:t xml:space="preserve">：  年  </w:t>
      </w:r>
      <w:r>
        <w:rPr>
          <w:rFonts w:hint="eastAsia" w:cs="宋体" w:asciiTheme="majorEastAsia" w:hAnsiTheme="majorEastAsia" w:eastAsiaTheme="majorEastAsia"/>
          <w:kern w:val="0"/>
          <w:sz w:val="24"/>
          <w:lang w:val="zh-CN"/>
        </w:rPr>
        <w:t>月日</w:t>
      </w:r>
    </w:p>
    <w:p w14:paraId="3652A287">
      <w:pPr>
        <w:snapToGrid w:val="0"/>
        <w:spacing w:line="360" w:lineRule="auto"/>
        <w:ind w:right="480"/>
        <w:jc w:val="center"/>
        <w:rPr>
          <w:rFonts w:cs="宋体" w:asciiTheme="majorEastAsia" w:hAnsiTheme="majorEastAsia" w:eastAsiaTheme="majorEastAsia"/>
          <w:b/>
          <w:kern w:val="0"/>
          <w:sz w:val="32"/>
          <w:szCs w:val="32"/>
        </w:rPr>
      </w:pPr>
    </w:p>
    <w:p w14:paraId="6C9B1763">
      <w:pPr>
        <w:snapToGrid w:val="0"/>
        <w:spacing w:line="360" w:lineRule="auto"/>
        <w:ind w:right="480"/>
        <w:jc w:val="center"/>
        <w:rPr>
          <w:rFonts w:cs="宋体" w:asciiTheme="majorEastAsia" w:hAnsiTheme="majorEastAsia" w:eastAsiaTheme="majorEastAsia"/>
          <w:b/>
          <w:kern w:val="0"/>
          <w:sz w:val="32"/>
          <w:szCs w:val="32"/>
        </w:rPr>
      </w:pPr>
    </w:p>
    <w:p w14:paraId="0040AEB1">
      <w:pPr>
        <w:snapToGrid w:val="0"/>
        <w:spacing w:line="360" w:lineRule="auto"/>
        <w:ind w:right="480"/>
        <w:jc w:val="center"/>
        <w:rPr>
          <w:rFonts w:cs="宋体" w:asciiTheme="majorEastAsia" w:hAnsiTheme="majorEastAsia" w:eastAsiaTheme="majorEastAsia"/>
          <w:b/>
          <w:kern w:val="0"/>
          <w:sz w:val="32"/>
          <w:szCs w:val="32"/>
        </w:rPr>
      </w:pPr>
    </w:p>
    <w:p w14:paraId="3F66D714">
      <w:pPr>
        <w:rPr>
          <w:rFonts w:cs="宋体" w:asciiTheme="majorEastAsia" w:hAnsiTheme="majorEastAsia" w:eastAsiaTheme="majorEastAsia"/>
        </w:rPr>
      </w:pPr>
    </w:p>
    <w:p w14:paraId="2D808DA3">
      <w:pPr>
        <w:snapToGrid w:val="0"/>
        <w:spacing w:line="360" w:lineRule="auto"/>
        <w:ind w:right="480"/>
        <w:jc w:val="center"/>
        <w:rPr>
          <w:rFonts w:cs="宋体" w:asciiTheme="majorEastAsia" w:hAnsiTheme="majorEastAsia" w:eastAsiaTheme="majorEastAsia"/>
          <w:b/>
          <w:kern w:val="0"/>
          <w:sz w:val="32"/>
          <w:szCs w:val="32"/>
        </w:rPr>
      </w:pPr>
    </w:p>
    <w:p w14:paraId="25EC3141">
      <w:pPr>
        <w:widowControl/>
        <w:adjustRightInd/>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49A11067">
      <w:pPr>
        <w:widowControl/>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二、联合协议（如果有）</w:t>
      </w:r>
    </w:p>
    <w:p w14:paraId="1D4B7A4D">
      <w:pPr>
        <w:widowControl/>
        <w:spacing w:line="360" w:lineRule="auto"/>
        <w:ind w:firstLine="482" w:firstLineChars="200"/>
        <w:jc w:val="left"/>
        <w:rPr>
          <w:rFonts w:cs="宋体" w:asciiTheme="majorEastAsia" w:hAnsiTheme="majorEastAsia" w:eastAsiaTheme="majorEastAsia"/>
          <w:b/>
          <w:sz w:val="24"/>
        </w:rPr>
      </w:pPr>
      <w:r>
        <w:rPr>
          <w:rFonts w:hint="eastAsia" w:cs="宋体" w:asciiTheme="majorEastAsia" w:hAnsiTheme="majorEastAsia" w:eastAsiaTheme="majorEastAsia"/>
          <w:b/>
          <w:sz w:val="24"/>
        </w:rPr>
        <w:t>[以联合体形式投标的，提供联合协议（附件5）；本项目不接受联合体投标或者投标人不以联合体形式投标的，则不需要提供）]</w:t>
      </w:r>
    </w:p>
    <w:p w14:paraId="3766391A">
      <w:pPr>
        <w:snapToGrid w:val="0"/>
        <w:spacing w:line="360" w:lineRule="auto"/>
        <w:ind w:right="480"/>
        <w:jc w:val="center"/>
        <w:rPr>
          <w:rFonts w:cs="宋体" w:asciiTheme="majorEastAsia" w:hAnsiTheme="majorEastAsia" w:eastAsiaTheme="majorEastAsia"/>
          <w:b/>
          <w:kern w:val="0"/>
          <w:sz w:val="32"/>
          <w:szCs w:val="32"/>
        </w:rPr>
      </w:pPr>
    </w:p>
    <w:p w14:paraId="2462BE13">
      <w:pPr>
        <w:snapToGrid w:val="0"/>
        <w:spacing w:line="360" w:lineRule="auto"/>
        <w:ind w:right="480"/>
        <w:jc w:val="center"/>
        <w:rPr>
          <w:rFonts w:cs="宋体" w:asciiTheme="majorEastAsia" w:hAnsiTheme="majorEastAsia" w:eastAsiaTheme="majorEastAsia"/>
          <w:b/>
          <w:kern w:val="0"/>
          <w:sz w:val="32"/>
          <w:szCs w:val="32"/>
        </w:rPr>
      </w:pPr>
    </w:p>
    <w:p w14:paraId="04EEC9F1">
      <w:pPr>
        <w:snapToGrid w:val="0"/>
        <w:spacing w:line="360" w:lineRule="auto"/>
        <w:ind w:right="48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三、落实政府采购政策需满足的资格要求</w:t>
      </w:r>
    </w:p>
    <w:p w14:paraId="4B03C65E">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（根据招标公告落实政府采购政策需满足的资格要求选择提供相应的材料；未要求的，无需提供）</w:t>
      </w:r>
    </w:p>
    <w:p w14:paraId="1E7EE605">
      <w:pPr>
        <w:snapToGrid w:val="0"/>
        <w:spacing w:before="50" w:after="50" w:line="360" w:lineRule="auto"/>
        <w:ind w:firstLine="472" w:firstLineChars="196"/>
        <w:jc w:val="left"/>
        <w:rPr>
          <w:rFonts w:cs="宋体" w:asciiTheme="majorEastAsia" w:hAnsiTheme="majorEastAsia" w:eastAsiaTheme="majorEastAsia"/>
          <w:sz w:val="24"/>
        </w:rPr>
      </w:pPr>
      <w:r>
        <w:rPr>
          <w:rFonts w:hint="eastAsia" w:cs="宋体" w:asciiTheme="majorEastAsia" w:hAnsiTheme="majorEastAsia" w:eastAsiaTheme="majorEastAsia"/>
          <w:b/>
          <w:sz w:val="24"/>
        </w:rPr>
        <w:t>A</w:t>
      </w:r>
      <w:r>
        <w:rPr>
          <w:rFonts w:hint="eastAsia" w:cs="宋体" w:asciiTheme="majorEastAsia" w:hAnsiTheme="majorEastAsia" w:eastAsiaTheme="majorEastAsia"/>
          <w:sz w:val="24"/>
        </w:rPr>
        <w:t>.专门面向中小企业，服务全部由符合政策要求的中小企业（或小微企业）承接的，提供相应的中小企业声明函（附件</w:t>
      </w:r>
      <w:r>
        <w:rPr>
          <w:rFonts w:cs="宋体" w:asciiTheme="majorEastAsia" w:hAnsiTheme="majorEastAsia" w:eastAsiaTheme="majorEastAsia"/>
          <w:sz w:val="24"/>
        </w:rPr>
        <w:t>7</w:t>
      </w:r>
      <w:r>
        <w:rPr>
          <w:rFonts w:hint="eastAsia" w:cs="宋体" w:asciiTheme="majorEastAsia" w:hAnsiTheme="majorEastAsia" w:eastAsiaTheme="majorEastAsia"/>
          <w:sz w:val="24"/>
        </w:rPr>
        <w:t xml:space="preserve">）。 </w:t>
      </w:r>
    </w:p>
    <w:p w14:paraId="07A75A15">
      <w:pPr>
        <w:widowControl/>
        <w:spacing w:line="360" w:lineRule="auto"/>
        <w:ind w:firstLine="480"/>
        <w:jc w:val="left"/>
        <w:rPr>
          <w:rFonts w:cs="宋体" w:asciiTheme="majorEastAsia" w:hAnsiTheme="majorEastAsia" w:eastAsiaTheme="majorEastAsia"/>
          <w:sz w:val="24"/>
        </w:rPr>
      </w:pPr>
    </w:p>
    <w:p w14:paraId="6A5EC55E">
      <w:pPr>
        <w:widowControl/>
        <w:spacing w:line="360" w:lineRule="auto"/>
        <w:ind w:firstLine="472" w:firstLineChars="196"/>
        <w:jc w:val="left"/>
        <w:rPr>
          <w:rFonts w:cs="宋体" w:asciiTheme="majorEastAsia" w:hAnsiTheme="majorEastAsia" w:eastAsiaTheme="majorEastAsia"/>
          <w:sz w:val="24"/>
        </w:rPr>
      </w:pPr>
      <w:r>
        <w:rPr>
          <w:rFonts w:hint="eastAsia" w:cs="宋体" w:asciiTheme="majorEastAsia" w:hAnsiTheme="majorEastAsia" w:eastAsiaTheme="majorEastAsia"/>
          <w:b/>
          <w:sz w:val="24"/>
        </w:rPr>
        <w:t>B.</w:t>
      </w:r>
      <w:r>
        <w:rPr>
          <w:rFonts w:hint="eastAsia" w:cs="宋体" w:asciiTheme="majorEastAsia" w:hAnsiTheme="majorEastAsia" w:eastAsiaTheme="majorEastAsia"/>
          <w:sz w:val="24"/>
        </w:rPr>
        <w:t>要求以联合体形式参加的，提供联合协议（附件</w:t>
      </w:r>
      <w:r>
        <w:rPr>
          <w:rFonts w:cs="宋体" w:asciiTheme="majorEastAsia" w:hAnsiTheme="majorEastAsia" w:eastAsiaTheme="majorEastAsia"/>
          <w:sz w:val="24"/>
        </w:rPr>
        <w:t>5</w:t>
      </w:r>
      <w:r>
        <w:rPr>
          <w:rFonts w:hint="eastAsia" w:cs="宋体" w:asciiTheme="majorEastAsia" w:hAnsiTheme="majorEastAsia" w:eastAsiaTheme="majorEastAsia"/>
          <w:sz w:val="24"/>
        </w:rPr>
        <w:t>）和中小企业声明函（附件</w:t>
      </w:r>
      <w:r>
        <w:rPr>
          <w:rFonts w:cs="宋体" w:asciiTheme="majorEastAsia" w:hAnsiTheme="majorEastAsia" w:eastAsiaTheme="majorEastAsia"/>
          <w:sz w:val="24"/>
        </w:rPr>
        <w:t>7</w:t>
      </w:r>
      <w:r>
        <w:rPr>
          <w:rFonts w:hint="eastAsia" w:cs="宋体" w:asciiTheme="majorEastAsia" w:hAnsiTheme="majorEastAsia" w:eastAsiaTheme="majorEastAsia"/>
          <w:sz w:val="24"/>
        </w:rPr>
        <w:t>），联合协议中中小企业合同金额应当达到招标公告载明的比例；如果供应商本身提供所有标的均由中小企业承接的，</w:t>
      </w:r>
      <w:r>
        <w:rPr>
          <w:rFonts w:hint="eastAsia" w:cs="宋体" w:asciiTheme="majorEastAsia" w:hAnsiTheme="majorEastAsia" w:eastAsiaTheme="majorEastAsia"/>
          <w:spacing w:val="8"/>
          <w:kern w:val="0"/>
          <w:sz w:val="24"/>
        </w:rPr>
        <w:t>并相应达到了前述比例要求，</w:t>
      </w:r>
      <w:r>
        <w:rPr>
          <w:rFonts w:hint="eastAsia" w:cs="宋体" w:asciiTheme="majorEastAsia" w:hAnsiTheme="majorEastAsia" w:eastAsiaTheme="majorEastAsia"/>
          <w:sz w:val="24"/>
        </w:rPr>
        <w:t>视同符合了资格条件，无需再与其他中小企业组成联合体参加政府采购活动，无需提供联合协议。</w:t>
      </w:r>
    </w:p>
    <w:p w14:paraId="5B63E86D">
      <w:pPr>
        <w:snapToGrid w:val="0"/>
        <w:spacing w:before="50" w:after="50" w:line="360" w:lineRule="auto"/>
        <w:jc w:val="center"/>
        <w:rPr>
          <w:rFonts w:cs="宋体" w:asciiTheme="majorEastAsia" w:hAnsiTheme="majorEastAsia" w:eastAsiaTheme="majorEastAsia"/>
          <w:sz w:val="24"/>
        </w:rPr>
      </w:pPr>
    </w:p>
    <w:p w14:paraId="6C084917">
      <w:pPr>
        <w:spacing w:line="360" w:lineRule="auto"/>
        <w:ind w:firstLine="482" w:firstLineChars="200"/>
        <w:rPr>
          <w:rFonts w:cs="宋体" w:asciiTheme="majorEastAsia" w:hAnsiTheme="majorEastAsia" w:eastAsiaTheme="majorEastAsia"/>
          <w:sz w:val="24"/>
        </w:rPr>
      </w:pPr>
      <w:r>
        <w:rPr>
          <w:rFonts w:hint="eastAsia" w:cs="宋体" w:asciiTheme="majorEastAsia" w:hAnsiTheme="majorEastAsia" w:eastAsiaTheme="majorEastAsia"/>
          <w:b/>
          <w:sz w:val="24"/>
        </w:rPr>
        <w:t>C、</w:t>
      </w:r>
      <w:r>
        <w:rPr>
          <w:rFonts w:hint="eastAsia" w:cs="宋体" w:asciiTheme="majorEastAsia" w:hAnsiTheme="majorEastAsia" w:eastAsiaTheme="majorEastAsia"/>
          <w:sz w:val="24"/>
        </w:rPr>
        <w:t>要求合同分包的，提供分包意向协议（附件6）和中小企业声明函（附件</w:t>
      </w:r>
      <w:r>
        <w:rPr>
          <w:rFonts w:cs="宋体" w:asciiTheme="majorEastAsia" w:hAnsiTheme="majorEastAsia" w:eastAsiaTheme="majorEastAsia"/>
          <w:sz w:val="24"/>
        </w:rPr>
        <w:t>7</w:t>
      </w:r>
      <w:r>
        <w:rPr>
          <w:rFonts w:hint="eastAsia" w:cs="宋体" w:asciiTheme="majorEastAsia" w:hAnsiTheme="majorEastAsia" w:eastAsiaTheme="majorEastAsia"/>
          <w:sz w:val="24"/>
        </w:rPr>
        <w:t>），分包意向协议中中小企业合同金额应当达到招标公告载明的比例；如果供应商本身提供所有标的均由中小企业承接的，</w:t>
      </w:r>
      <w:r>
        <w:rPr>
          <w:rFonts w:hint="eastAsia" w:cs="宋体" w:asciiTheme="majorEastAsia" w:hAnsiTheme="majorEastAsia" w:eastAsiaTheme="majorEastAsia"/>
          <w:spacing w:val="8"/>
          <w:kern w:val="0"/>
          <w:sz w:val="24"/>
        </w:rPr>
        <w:t>并相应达到了前述比例要求，</w:t>
      </w:r>
      <w:r>
        <w:rPr>
          <w:rFonts w:hint="eastAsia" w:cs="宋体" w:asciiTheme="majorEastAsia" w:hAnsiTheme="majorEastAsia" w:eastAsiaTheme="majorEastAsia"/>
          <w:sz w:val="24"/>
        </w:rPr>
        <w:t>视同符合了资格条件，无需再向中小企业分包，无需提供分包意向协议。</w:t>
      </w:r>
    </w:p>
    <w:p w14:paraId="674E766F">
      <w:pPr>
        <w:widowControl/>
        <w:spacing w:line="360" w:lineRule="auto"/>
        <w:ind w:left="150"/>
        <w:jc w:val="center"/>
        <w:rPr>
          <w:rFonts w:cs="宋体" w:asciiTheme="majorEastAsia" w:hAnsiTheme="majorEastAsia" w:eastAsiaTheme="majorEastAsia"/>
          <w:b/>
          <w:kern w:val="0"/>
          <w:sz w:val="32"/>
          <w:szCs w:val="32"/>
        </w:rPr>
      </w:pPr>
    </w:p>
    <w:p w14:paraId="76F9DE13">
      <w:pPr>
        <w:widowControl/>
        <w:spacing w:line="360" w:lineRule="auto"/>
        <w:ind w:left="15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四、本项目的特定资格要求</w:t>
      </w:r>
    </w:p>
    <w:p w14:paraId="3EFA21ED">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（根据招标公告本项目的特定资格要求提供相应的材料；未要求的，无需提供）</w:t>
      </w:r>
    </w:p>
    <w:p w14:paraId="64C4F82E">
      <w:pPr>
        <w:rPr>
          <w:rFonts w:cs="宋体" w:asciiTheme="majorEastAsia" w:hAnsiTheme="majorEastAsia" w:eastAsiaTheme="majorEastAsia"/>
        </w:rPr>
      </w:pPr>
    </w:p>
    <w:p w14:paraId="31C4278F">
      <w:pPr>
        <w:snapToGrid w:val="0"/>
        <w:spacing w:line="360" w:lineRule="auto"/>
        <w:ind w:right="480"/>
        <w:jc w:val="center"/>
        <w:rPr>
          <w:rFonts w:cs="宋体" w:asciiTheme="majorEastAsia" w:hAnsiTheme="majorEastAsia" w:eastAsiaTheme="majorEastAsia"/>
          <w:b/>
          <w:kern w:val="0"/>
          <w:sz w:val="32"/>
          <w:szCs w:val="32"/>
        </w:rPr>
      </w:pPr>
    </w:p>
    <w:p w14:paraId="19BDE4DE">
      <w:pPr>
        <w:widowControl/>
        <w:adjustRightInd/>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14:paraId="61F8DF75">
      <w:pPr>
        <w:spacing w:line="360" w:lineRule="auto"/>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商务技术文件部分</w:t>
      </w:r>
    </w:p>
    <w:p w14:paraId="72BBDCFD">
      <w:pPr>
        <w:adjustRightInd/>
        <w:spacing w:line="360" w:lineRule="auto"/>
        <w:jc w:val="center"/>
        <w:rPr>
          <w:rFonts w:cs="仿宋_GB2312" w:asciiTheme="majorEastAsia" w:hAnsiTheme="majorEastAsia" w:eastAsiaTheme="majorEastAsia"/>
          <w:b/>
          <w:sz w:val="48"/>
          <w:szCs w:val="48"/>
        </w:rPr>
      </w:pPr>
    </w:p>
    <w:p w14:paraId="04CCDCA6">
      <w:pPr>
        <w:spacing w:line="360" w:lineRule="auto"/>
        <w:jc w:val="center"/>
        <w:outlineLvl w:val="0"/>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目录</w:t>
      </w:r>
    </w:p>
    <w:p w14:paraId="3CBF9C59">
      <w:pPr>
        <w:snapToGrid w:val="0"/>
        <w:spacing w:line="360" w:lineRule="auto"/>
        <w:ind w:left="479" w:leftChars="228"/>
        <w:rPr>
          <w:rFonts w:cs="宋体" w:asciiTheme="majorEastAsia" w:hAnsiTheme="majorEastAsia" w:eastAsiaTheme="majorEastAsia"/>
        </w:rPr>
      </w:pPr>
      <w:r>
        <w:rPr>
          <w:rFonts w:hint="eastAsia" w:cs="宋体" w:asciiTheme="majorEastAsia" w:hAnsiTheme="majorEastAsia" w:eastAsiaTheme="majorEastAsia"/>
          <w:sz w:val="24"/>
        </w:rPr>
        <w:t>（1）投标函</w:t>
      </w:r>
      <w:r>
        <w:rPr>
          <w:rFonts w:hint="eastAsia" w:cs="宋体" w:asciiTheme="majorEastAsia" w:hAnsiTheme="majorEastAsia" w:eastAsiaTheme="majorEastAsia"/>
        </w:rPr>
        <w:t>…………………………………………………………………………………（页码）</w:t>
      </w:r>
      <w:r>
        <w:rPr>
          <w:rFonts w:hint="eastAsia" w:cs="宋体" w:asciiTheme="majorEastAsia" w:hAnsiTheme="majorEastAsia" w:eastAsiaTheme="majorEastAsia"/>
          <w:sz w:val="24"/>
        </w:rPr>
        <w:t>（2）授权委托书或法定代表人（单位负责人、自然人本人）身份证明</w:t>
      </w:r>
      <w:r>
        <w:rPr>
          <w:rFonts w:hint="eastAsia" w:cs="宋体" w:asciiTheme="majorEastAsia" w:hAnsiTheme="majorEastAsia" w:eastAsiaTheme="majorEastAsia"/>
        </w:rPr>
        <w:t>………（页码）</w:t>
      </w:r>
    </w:p>
    <w:p w14:paraId="4346746E">
      <w:pPr>
        <w:snapToGrid w:val="0"/>
        <w:spacing w:line="360" w:lineRule="auto"/>
        <w:ind w:left="479" w:leftChars="228"/>
        <w:rPr>
          <w:rFonts w:cs="宋体" w:asciiTheme="majorEastAsia" w:hAnsiTheme="majorEastAsia" w:eastAsiaTheme="majorEastAsia"/>
        </w:rPr>
      </w:pPr>
      <w:r>
        <w:rPr>
          <w:rFonts w:hint="eastAsia" w:cs="宋体" w:asciiTheme="majorEastAsia" w:hAnsiTheme="majorEastAsia" w:eastAsiaTheme="majorEastAsia"/>
          <w:sz w:val="24"/>
        </w:rPr>
        <w:t>（</w:t>
      </w:r>
      <w:r>
        <w:rPr>
          <w:rFonts w:cs="宋体" w:asciiTheme="majorEastAsia" w:hAnsiTheme="majorEastAsia" w:eastAsiaTheme="majorEastAsia"/>
          <w:sz w:val="24"/>
        </w:rPr>
        <w:t>3</w:t>
      </w:r>
      <w:r>
        <w:rPr>
          <w:rFonts w:hint="eastAsia" w:cs="宋体" w:asciiTheme="majorEastAsia" w:hAnsiTheme="majorEastAsia" w:eastAsiaTheme="majorEastAsia"/>
          <w:sz w:val="24"/>
        </w:rPr>
        <w:t>）分包意向协议</w:t>
      </w:r>
      <w:r>
        <w:rPr>
          <w:rFonts w:hint="eastAsia" w:cs="宋体" w:asciiTheme="majorEastAsia" w:hAnsiTheme="majorEastAsia" w:eastAsiaTheme="majorEastAsia"/>
        </w:rPr>
        <w:t>…………………………………………………………………………（页码）</w:t>
      </w:r>
    </w:p>
    <w:p w14:paraId="065ECF23">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sz w:val="24"/>
        </w:rPr>
        <w:t>（</w:t>
      </w:r>
      <w:r>
        <w:rPr>
          <w:rFonts w:cs="宋体" w:asciiTheme="majorEastAsia" w:hAnsiTheme="majorEastAsia" w:eastAsiaTheme="majorEastAsia"/>
          <w:sz w:val="24"/>
        </w:rPr>
        <w:t>4</w:t>
      </w:r>
      <w:r>
        <w:rPr>
          <w:rFonts w:hint="eastAsia" w:cs="宋体" w:asciiTheme="majorEastAsia" w:hAnsiTheme="majorEastAsia" w:eastAsiaTheme="majorEastAsia"/>
          <w:sz w:val="24"/>
        </w:rPr>
        <w:t>）符合性审查资料</w:t>
      </w:r>
      <w:r>
        <w:rPr>
          <w:rFonts w:hint="eastAsia" w:cs="宋体" w:asciiTheme="majorEastAsia" w:hAnsiTheme="majorEastAsia" w:eastAsiaTheme="majorEastAsia"/>
        </w:rPr>
        <w:t>………………………………………………………………………（页码）</w:t>
      </w:r>
    </w:p>
    <w:p w14:paraId="7EB0F633">
      <w:pPr>
        <w:snapToGrid w:val="0"/>
        <w:spacing w:line="360" w:lineRule="auto"/>
        <w:ind w:left="479" w:leftChars="228"/>
        <w:rPr>
          <w:rFonts w:cs="宋体" w:asciiTheme="majorEastAsia" w:hAnsiTheme="majorEastAsia" w:eastAsiaTheme="majorEastAsia"/>
        </w:rPr>
      </w:pPr>
      <w:r>
        <w:rPr>
          <w:rFonts w:hint="eastAsia" w:cs="宋体" w:asciiTheme="majorEastAsia" w:hAnsiTheme="majorEastAsia" w:eastAsiaTheme="majorEastAsia"/>
          <w:sz w:val="24"/>
        </w:rPr>
        <w:t>（</w:t>
      </w:r>
      <w:r>
        <w:rPr>
          <w:rFonts w:cs="宋体" w:asciiTheme="majorEastAsia" w:hAnsiTheme="majorEastAsia" w:eastAsiaTheme="majorEastAsia"/>
          <w:sz w:val="24"/>
        </w:rPr>
        <w:t>5</w:t>
      </w:r>
      <w:r>
        <w:rPr>
          <w:rFonts w:hint="eastAsia" w:cs="宋体" w:asciiTheme="majorEastAsia" w:hAnsiTheme="majorEastAsia" w:eastAsiaTheme="majorEastAsia"/>
          <w:sz w:val="24"/>
        </w:rPr>
        <w:t>）评标标准相应的商务技术资料</w:t>
      </w:r>
      <w:r>
        <w:rPr>
          <w:rFonts w:hint="eastAsia" w:cs="宋体" w:asciiTheme="majorEastAsia" w:hAnsiTheme="majorEastAsia" w:eastAsiaTheme="majorEastAsia"/>
        </w:rPr>
        <w:t>……………………………………………………（页码）</w:t>
      </w:r>
      <w:r>
        <w:rPr>
          <w:rFonts w:hint="eastAsia" w:cs="宋体" w:asciiTheme="majorEastAsia" w:hAnsiTheme="majorEastAsia" w:eastAsiaTheme="majorEastAsia"/>
          <w:sz w:val="24"/>
        </w:rPr>
        <w:t>（</w:t>
      </w:r>
      <w:r>
        <w:rPr>
          <w:rFonts w:cs="宋体" w:asciiTheme="majorEastAsia" w:hAnsiTheme="majorEastAsia" w:eastAsiaTheme="majorEastAsia"/>
          <w:sz w:val="24"/>
        </w:rPr>
        <w:t>6</w:t>
      </w:r>
      <w:r>
        <w:rPr>
          <w:rFonts w:hint="eastAsia" w:cs="宋体" w:asciiTheme="majorEastAsia" w:hAnsiTheme="majorEastAsia" w:eastAsiaTheme="majorEastAsia"/>
          <w:sz w:val="24"/>
        </w:rPr>
        <w:t>）投标标的清单</w:t>
      </w:r>
      <w:r>
        <w:rPr>
          <w:rFonts w:hint="eastAsia" w:cs="宋体" w:asciiTheme="majorEastAsia" w:hAnsiTheme="majorEastAsia" w:eastAsiaTheme="majorEastAsia"/>
        </w:rPr>
        <w:t>…………………………………………………………………………（页码）</w:t>
      </w:r>
      <w:r>
        <w:rPr>
          <w:rFonts w:hint="eastAsia" w:cs="宋体" w:asciiTheme="majorEastAsia" w:hAnsiTheme="majorEastAsia" w:eastAsiaTheme="majorEastAsia"/>
          <w:sz w:val="24"/>
        </w:rPr>
        <w:t>（</w:t>
      </w:r>
      <w:r>
        <w:rPr>
          <w:rFonts w:cs="宋体" w:asciiTheme="majorEastAsia" w:hAnsiTheme="majorEastAsia" w:eastAsiaTheme="majorEastAsia"/>
          <w:sz w:val="24"/>
        </w:rPr>
        <w:t>7</w:t>
      </w:r>
      <w:r>
        <w:rPr>
          <w:rFonts w:hint="eastAsia" w:cs="宋体" w:asciiTheme="majorEastAsia" w:hAnsiTheme="majorEastAsia" w:eastAsiaTheme="majorEastAsia"/>
          <w:sz w:val="24"/>
        </w:rPr>
        <w:t>）商务技术偏离表</w:t>
      </w:r>
      <w:r>
        <w:rPr>
          <w:rFonts w:hint="eastAsia" w:cs="宋体" w:asciiTheme="majorEastAsia" w:hAnsiTheme="majorEastAsia" w:eastAsiaTheme="majorEastAsia"/>
        </w:rPr>
        <w:t>………………………………………………………………………（页码）</w:t>
      </w:r>
    </w:p>
    <w:p w14:paraId="7A880E4C">
      <w:pPr>
        <w:snapToGrid w:val="0"/>
        <w:spacing w:line="360" w:lineRule="auto"/>
        <w:ind w:left="479" w:leftChars="228"/>
        <w:rPr>
          <w:rFonts w:cs="宋体" w:asciiTheme="majorEastAsia" w:hAnsiTheme="majorEastAsia" w:eastAsiaTheme="majorEastAsia"/>
        </w:rPr>
      </w:pPr>
      <w:r>
        <w:rPr>
          <w:rFonts w:hint="eastAsia" w:cs="宋体" w:asciiTheme="majorEastAsia" w:hAnsiTheme="majorEastAsia" w:eastAsiaTheme="majorEastAsia"/>
          <w:sz w:val="24"/>
          <w:lang w:val="zh-CN"/>
        </w:rPr>
        <w:t>（</w:t>
      </w:r>
      <w:r>
        <w:rPr>
          <w:rFonts w:cs="宋体" w:asciiTheme="majorEastAsia" w:hAnsiTheme="majorEastAsia" w:eastAsiaTheme="majorEastAsia"/>
          <w:sz w:val="24"/>
        </w:rPr>
        <w:t>8</w:t>
      </w:r>
      <w:r>
        <w:rPr>
          <w:rFonts w:hint="eastAsia" w:cs="宋体" w:asciiTheme="majorEastAsia" w:hAnsiTheme="majorEastAsia" w:eastAsiaTheme="majorEastAsia"/>
          <w:sz w:val="24"/>
          <w:lang w:val="zh-CN"/>
        </w:rPr>
        <w:t>）政府采购供应商廉洁自律承诺书</w:t>
      </w:r>
      <w:r>
        <w:rPr>
          <w:rFonts w:hint="eastAsia" w:cs="宋体" w:asciiTheme="majorEastAsia" w:hAnsiTheme="majorEastAsia" w:eastAsiaTheme="majorEastAsia"/>
        </w:rPr>
        <w:t>…………………………………………………（页码）</w:t>
      </w:r>
    </w:p>
    <w:p w14:paraId="758F92DB">
      <w:pPr>
        <w:snapToGrid w:val="0"/>
        <w:spacing w:line="360" w:lineRule="auto"/>
        <w:jc w:val="center"/>
        <w:rPr>
          <w:rFonts w:cs="宋体" w:asciiTheme="majorEastAsia" w:hAnsiTheme="majorEastAsia" w:eastAsiaTheme="majorEastAsia"/>
          <w:b/>
          <w:kern w:val="0"/>
          <w:sz w:val="32"/>
          <w:szCs w:val="32"/>
          <w:lang w:val="zh-CN"/>
        </w:rPr>
      </w:pPr>
    </w:p>
    <w:p w14:paraId="1CA4426F">
      <w:pPr>
        <w:snapToGrid w:val="0"/>
        <w:spacing w:line="360" w:lineRule="auto"/>
        <w:jc w:val="center"/>
        <w:rPr>
          <w:rFonts w:cs="宋体" w:asciiTheme="majorEastAsia" w:hAnsiTheme="majorEastAsia" w:eastAsiaTheme="majorEastAsia"/>
          <w:b/>
          <w:kern w:val="0"/>
          <w:sz w:val="32"/>
          <w:szCs w:val="32"/>
          <w:lang w:val="zh-CN"/>
        </w:rPr>
      </w:pPr>
    </w:p>
    <w:p w14:paraId="77487597">
      <w:pPr>
        <w:snapToGrid w:val="0"/>
        <w:spacing w:line="360" w:lineRule="auto"/>
        <w:jc w:val="center"/>
        <w:rPr>
          <w:rFonts w:cs="宋体" w:asciiTheme="majorEastAsia" w:hAnsiTheme="majorEastAsia" w:eastAsiaTheme="majorEastAsia"/>
          <w:b/>
          <w:kern w:val="0"/>
          <w:sz w:val="32"/>
          <w:szCs w:val="32"/>
          <w:lang w:val="zh-CN"/>
        </w:rPr>
      </w:pPr>
    </w:p>
    <w:p w14:paraId="4DC0AFC5">
      <w:pPr>
        <w:snapToGrid w:val="0"/>
        <w:spacing w:line="360" w:lineRule="auto"/>
        <w:jc w:val="center"/>
        <w:rPr>
          <w:rFonts w:cs="宋体" w:asciiTheme="majorEastAsia" w:hAnsiTheme="majorEastAsia" w:eastAsiaTheme="majorEastAsia"/>
          <w:b/>
          <w:kern w:val="0"/>
          <w:sz w:val="32"/>
          <w:szCs w:val="32"/>
          <w:lang w:val="zh-CN"/>
        </w:rPr>
      </w:pPr>
    </w:p>
    <w:p w14:paraId="4FD3D0DD">
      <w:pPr>
        <w:snapToGrid w:val="0"/>
        <w:spacing w:line="360" w:lineRule="auto"/>
        <w:jc w:val="center"/>
        <w:rPr>
          <w:rFonts w:cs="宋体" w:asciiTheme="majorEastAsia" w:hAnsiTheme="majorEastAsia" w:eastAsiaTheme="majorEastAsia"/>
          <w:b/>
          <w:kern w:val="0"/>
          <w:sz w:val="32"/>
          <w:szCs w:val="32"/>
          <w:lang w:val="zh-CN"/>
        </w:rPr>
      </w:pPr>
    </w:p>
    <w:p w14:paraId="6610DBF8">
      <w:pPr>
        <w:snapToGrid w:val="0"/>
        <w:spacing w:line="360" w:lineRule="auto"/>
        <w:jc w:val="center"/>
        <w:rPr>
          <w:rFonts w:cs="宋体" w:asciiTheme="majorEastAsia" w:hAnsiTheme="majorEastAsia" w:eastAsiaTheme="majorEastAsia"/>
          <w:b/>
          <w:kern w:val="0"/>
          <w:sz w:val="32"/>
          <w:szCs w:val="32"/>
          <w:lang w:val="zh-CN"/>
        </w:rPr>
      </w:pPr>
    </w:p>
    <w:p w14:paraId="7CA7EC0B">
      <w:pPr>
        <w:snapToGrid w:val="0"/>
        <w:spacing w:line="360" w:lineRule="auto"/>
        <w:jc w:val="center"/>
        <w:rPr>
          <w:rFonts w:cs="宋体" w:asciiTheme="majorEastAsia" w:hAnsiTheme="majorEastAsia" w:eastAsiaTheme="majorEastAsia"/>
          <w:b/>
          <w:kern w:val="0"/>
          <w:sz w:val="32"/>
          <w:szCs w:val="32"/>
          <w:lang w:val="zh-CN"/>
        </w:rPr>
      </w:pPr>
    </w:p>
    <w:p w14:paraId="27D17106">
      <w:pPr>
        <w:snapToGrid w:val="0"/>
        <w:spacing w:line="360" w:lineRule="auto"/>
        <w:jc w:val="center"/>
        <w:rPr>
          <w:rFonts w:cs="宋体" w:asciiTheme="majorEastAsia" w:hAnsiTheme="majorEastAsia" w:eastAsiaTheme="majorEastAsia"/>
          <w:b/>
          <w:kern w:val="0"/>
          <w:sz w:val="32"/>
          <w:szCs w:val="32"/>
          <w:lang w:val="zh-CN"/>
        </w:rPr>
      </w:pPr>
    </w:p>
    <w:p w14:paraId="04920367">
      <w:pPr>
        <w:snapToGrid w:val="0"/>
        <w:spacing w:line="360" w:lineRule="auto"/>
        <w:jc w:val="center"/>
        <w:rPr>
          <w:rFonts w:cs="宋体" w:asciiTheme="majorEastAsia" w:hAnsiTheme="majorEastAsia" w:eastAsiaTheme="majorEastAsia"/>
          <w:b/>
          <w:kern w:val="0"/>
          <w:sz w:val="32"/>
          <w:szCs w:val="32"/>
          <w:lang w:val="zh-CN"/>
        </w:rPr>
      </w:pPr>
    </w:p>
    <w:p w14:paraId="49DF37BC">
      <w:pPr>
        <w:snapToGrid w:val="0"/>
        <w:spacing w:line="360" w:lineRule="auto"/>
        <w:jc w:val="center"/>
        <w:rPr>
          <w:rFonts w:cs="宋体" w:asciiTheme="majorEastAsia" w:hAnsiTheme="majorEastAsia" w:eastAsiaTheme="majorEastAsia"/>
          <w:b/>
          <w:kern w:val="0"/>
          <w:sz w:val="32"/>
          <w:szCs w:val="32"/>
          <w:lang w:val="zh-CN"/>
        </w:rPr>
      </w:pPr>
    </w:p>
    <w:p w14:paraId="010CAF3A">
      <w:pPr>
        <w:snapToGrid w:val="0"/>
        <w:spacing w:line="360" w:lineRule="auto"/>
        <w:jc w:val="center"/>
        <w:rPr>
          <w:rFonts w:cs="宋体" w:asciiTheme="majorEastAsia" w:hAnsiTheme="majorEastAsia" w:eastAsiaTheme="majorEastAsia"/>
          <w:b/>
          <w:kern w:val="0"/>
          <w:sz w:val="32"/>
          <w:szCs w:val="32"/>
          <w:lang w:val="zh-CN"/>
        </w:rPr>
      </w:pPr>
    </w:p>
    <w:p w14:paraId="3B5EB6F6">
      <w:pPr>
        <w:snapToGrid w:val="0"/>
        <w:spacing w:line="360" w:lineRule="auto"/>
        <w:jc w:val="center"/>
        <w:rPr>
          <w:rFonts w:cs="宋体" w:asciiTheme="majorEastAsia" w:hAnsiTheme="majorEastAsia" w:eastAsiaTheme="majorEastAsia"/>
          <w:b/>
          <w:kern w:val="0"/>
          <w:sz w:val="32"/>
          <w:szCs w:val="32"/>
          <w:lang w:val="zh-CN"/>
        </w:rPr>
      </w:pPr>
    </w:p>
    <w:p w14:paraId="22B2330D">
      <w:pPr>
        <w:rPr>
          <w:rFonts w:cs="宋体" w:asciiTheme="majorEastAsia" w:hAnsiTheme="majorEastAsia" w:eastAsiaTheme="majorEastAsia"/>
          <w:b/>
          <w:kern w:val="0"/>
          <w:sz w:val="32"/>
          <w:szCs w:val="32"/>
          <w:lang w:val="zh-CN"/>
        </w:rPr>
      </w:pPr>
    </w:p>
    <w:p w14:paraId="7C8DDA43">
      <w:pPr>
        <w:widowControl/>
        <w:adjustRightInd/>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5F1B2DA0">
      <w:pPr>
        <w:snapToGrid w:val="0"/>
        <w:spacing w:line="360" w:lineRule="auto"/>
        <w:jc w:val="center"/>
        <w:outlineLvl w:val="0"/>
        <w:rPr>
          <w:rFonts w:cs="宋体" w:asciiTheme="majorEastAsia" w:hAnsiTheme="majorEastAsia" w:eastAsiaTheme="majorEastAsia"/>
          <w:b/>
          <w:sz w:val="32"/>
          <w:szCs w:val="32"/>
        </w:rPr>
      </w:pPr>
      <w:r>
        <w:rPr>
          <w:rFonts w:hint="eastAsia" w:cs="宋体" w:asciiTheme="majorEastAsia" w:hAnsiTheme="majorEastAsia" w:eastAsiaTheme="majorEastAsia"/>
          <w:b/>
          <w:kern w:val="0"/>
          <w:sz w:val="32"/>
          <w:szCs w:val="32"/>
        </w:rPr>
        <w:t>一、投标</w:t>
      </w:r>
      <w:r>
        <w:rPr>
          <w:rFonts w:hint="eastAsia" w:cs="宋体" w:asciiTheme="majorEastAsia" w:hAnsiTheme="majorEastAsia" w:eastAsiaTheme="majorEastAsia"/>
          <w:b/>
          <w:sz w:val="32"/>
          <w:szCs w:val="32"/>
        </w:rPr>
        <w:t>函</w:t>
      </w:r>
    </w:p>
    <w:p w14:paraId="2635310C">
      <w:pPr>
        <w:snapToGrid w:val="0"/>
        <w:spacing w:line="360" w:lineRule="auto"/>
        <w:rPr>
          <w:rFonts w:cs="宋体" w:asciiTheme="majorEastAsia" w:hAnsiTheme="majorEastAsia" w:eastAsiaTheme="majorEastAsia"/>
          <w:sz w:val="24"/>
        </w:rPr>
      </w:pPr>
      <w:r>
        <w:rPr>
          <w:rFonts w:hint="eastAsia" w:cs="仿宋" w:asciiTheme="majorEastAsia" w:hAnsiTheme="majorEastAsia" w:eastAsiaTheme="majorEastAsia"/>
          <w:sz w:val="24"/>
        </w:rPr>
        <w:t>浙江省卫生健康信息中心、浙江省成套招标代理有限公司：</w:t>
      </w:r>
    </w:p>
    <w:p w14:paraId="54D324FE">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我方参加你方组织的</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sz w:val="24"/>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】招标的有关活动，并对此项目进行投标。为此：</w:t>
      </w:r>
    </w:p>
    <w:p w14:paraId="1E26D035">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1、我方承诺投标有效期从提交投标文件的截止之日起</w:t>
      </w:r>
      <w:r>
        <w:rPr>
          <w:rFonts w:hint="eastAsia" w:cs="宋体" w:asciiTheme="majorEastAsia" w:hAnsiTheme="majorEastAsia" w:eastAsiaTheme="majorEastAsia"/>
          <w:sz w:val="24"/>
          <w:u w:val="single"/>
        </w:rPr>
        <w:t xml:space="preserve"> 90 </w:t>
      </w:r>
      <w:r>
        <w:rPr>
          <w:rFonts w:hint="eastAsia" w:cs="宋体" w:asciiTheme="majorEastAsia" w:hAnsiTheme="majorEastAsia" w:eastAsiaTheme="majorEastAsia"/>
          <w:sz w:val="24"/>
        </w:rPr>
        <w:t>天（不少于90天）</w:t>
      </w:r>
      <w:r>
        <w:rPr>
          <w:rFonts w:hint="eastAsia" w:cs="宋体" w:asciiTheme="majorEastAsia" w:hAnsiTheme="majorEastAsia" w:eastAsiaTheme="majorEastAsia"/>
        </w:rPr>
        <w:t>，</w:t>
      </w:r>
      <w:r>
        <w:rPr>
          <w:rFonts w:hint="eastAsia" w:cs="宋体" w:asciiTheme="majorEastAsia" w:hAnsiTheme="majorEastAsia" w:eastAsiaTheme="majorEastAsia"/>
          <w:sz w:val="24"/>
        </w:rPr>
        <w:t>本投标文件在投标有效期满之前均具有约束力。</w:t>
      </w:r>
    </w:p>
    <w:p w14:paraId="42994EF4">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2、我方的投标文件包括以下内容：</w:t>
      </w:r>
    </w:p>
    <w:p w14:paraId="35A5F320">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2.1资格文件：</w:t>
      </w:r>
    </w:p>
    <w:p w14:paraId="3E27CFF0">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2.1.1承诺函；</w:t>
      </w:r>
    </w:p>
    <w:p w14:paraId="2247EB89">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2.1.2</w:t>
      </w:r>
      <w:r>
        <w:rPr>
          <w:rFonts w:hint="eastAsia" w:cs="宋体" w:asciiTheme="majorEastAsia" w:hAnsiTheme="majorEastAsia" w:eastAsiaTheme="majorEastAsia"/>
          <w:snapToGrid w:val="0"/>
          <w:kern w:val="28"/>
          <w:sz w:val="24"/>
          <w:szCs w:val="20"/>
        </w:rPr>
        <w:t>联合协议</w:t>
      </w:r>
      <w:bookmarkStart w:id="435" w:name="_Hlk101257010"/>
      <w:r>
        <w:rPr>
          <w:rFonts w:hint="eastAsia" w:cs="宋体" w:asciiTheme="majorEastAsia" w:hAnsiTheme="majorEastAsia" w:eastAsiaTheme="majorEastAsia"/>
          <w:sz w:val="24"/>
        </w:rPr>
        <w:t>（如果有)</w:t>
      </w:r>
      <w:bookmarkEnd w:id="435"/>
      <w:r>
        <w:rPr>
          <w:rFonts w:hint="eastAsia" w:cs="宋体" w:asciiTheme="majorEastAsia" w:hAnsiTheme="majorEastAsia" w:eastAsiaTheme="majorEastAsia"/>
          <w:snapToGrid w:val="0"/>
          <w:kern w:val="28"/>
          <w:sz w:val="24"/>
          <w:szCs w:val="20"/>
        </w:rPr>
        <w:t>；</w:t>
      </w:r>
    </w:p>
    <w:p w14:paraId="419F6F61">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cs="宋体" w:asciiTheme="majorEastAsia" w:hAnsiTheme="majorEastAsia" w:eastAsiaTheme="majorEastAsia"/>
          <w:sz w:val="24"/>
        </w:rPr>
        <w:t>.1.3</w:t>
      </w:r>
      <w:r>
        <w:rPr>
          <w:rFonts w:hint="eastAsia" w:cs="宋体" w:asciiTheme="majorEastAsia" w:hAnsiTheme="majorEastAsia" w:eastAsiaTheme="majorEastAsia"/>
          <w:sz w:val="24"/>
        </w:rPr>
        <w:t>落实政府采购政策需满足的资格要求（如果有）；</w:t>
      </w:r>
    </w:p>
    <w:p w14:paraId="08F3EDC4">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2.1.</w:t>
      </w:r>
      <w:r>
        <w:rPr>
          <w:rFonts w:cs="宋体" w:asciiTheme="majorEastAsia" w:hAnsiTheme="majorEastAsia" w:eastAsiaTheme="majorEastAsia"/>
          <w:sz w:val="24"/>
        </w:rPr>
        <w:t>4</w:t>
      </w:r>
      <w:r>
        <w:rPr>
          <w:rFonts w:hint="eastAsia" w:cs="宋体" w:asciiTheme="majorEastAsia" w:hAnsiTheme="majorEastAsia" w:eastAsiaTheme="majorEastAsia"/>
          <w:sz w:val="24"/>
        </w:rPr>
        <w:t>本项目的特定资格要求（如果有)。</w:t>
      </w:r>
    </w:p>
    <w:p w14:paraId="251138DE">
      <w:pPr>
        <w:snapToGrid w:val="0"/>
        <w:spacing w:line="360" w:lineRule="auto"/>
        <w:ind w:left="210" w:leftChars="100" w:firstLine="480" w:firstLineChars="200"/>
        <w:rPr>
          <w:rFonts w:cs="宋体" w:asciiTheme="majorEastAsia" w:hAnsiTheme="majorEastAsia" w:eastAsiaTheme="majorEastAsia"/>
          <w:sz w:val="24"/>
          <w:lang w:val="zh-CN"/>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zh-CN"/>
        </w:rPr>
        <w:t>.</w:t>
      </w:r>
      <w:r>
        <w:rPr>
          <w:rFonts w:hint="eastAsia" w:cs="宋体" w:asciiTheme="majorEastAsia" w:hAnsiTheme="majorEastAsia" w:eastAsiaTheme="majorEastAsia"/>
          <w:sz w:val="24"/>
        </w:rPr>
        <w:t>2商务技术</w:t>
      </w:r>
      <w:r>
        <w:rPr>
          <w:rFonts w:hint="eastAsia" w:cs="宋体" w:asciiTheme="majorEastAsia" w:hAnsiTheme="majorEastAsia" w:eastAsiaTheme="majorEastAsia"/>
          <w:sz w:val="24"/>
          <w:lang w:val="zh-CN"/>
        </w:rPr>
        <w:t>文件：</w:t>
      </w:r>
    </w:p>
    <w:p w14:paraId="7DB35EBE">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2.2.1投标函；</w:t>
      </w:r>
    </w:p>
    <w:p w14:paraId="7411A932">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2.2.2授权委托书或法定代表人（单位负责人）身份证明；</w:t>
      </w:r>
    </w:p>
    <w:p w14:paraId="15B753EC">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w:t>
      </w:r>
      <w:r>
        <w:rPr>
          <w:rFonts w:cs="宋体" w:asciiTheme="majorEastAsia" w:hAnsiTheme="majorEastAsia" w:eastAsiaTheme="majorEastAsia"/>
          <w:sz w:val="24"/>
        </w:rPr>
        <w:t>3</w:t>
      </w:r>
      <w:r>
        <w:rPr>
          <w:rFonts w:hint="eastAsia" w:cs="宋体" w:asciiTheme="majorEastAsia" w:hAnsiTheme="majorEastAsia" w:eastAsiaTheme="majorEastAsia"/>
          <w:sz w:val="24"/>
        </w:rPr>
        <w:t>分包意向协议（如果有)；</w:t>
      </w:r>
    </w:p>
    <w:p w14:paraId="0D3A15C8">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w:t>
      </w:r>
      <w:r>
        <w:rPr>
          <w:rFonts w:cs="宋体" w:asciiTheme="majorEastAsia" w:hAnsiTheme="majorEastAsia" w:eastAsiaTheme="majorEastAsia"/>
          <w:sz w:val="24"/>
        </w:rPr>
        <w:t>4</w:t>
      </w:r>
      <w:r>
        <w:rPr>
          <w:rFonts w:hint="eastAsia" w:cs="宋体" w:asciiTheme="majorEastAsia" w:hAnsiTheme="majorEastAsia" w:eastAsiaTheme="majorEastAsia"/>
          <w:sz w:val="24"/>
        </w:rPr>
        <w:t>符合性审查资料；</w:t>
      </w:r>
    </w:p>
    <w:p w14:paraId="6817CC68">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w:t>
      </w:r>
      <w:r>
        <w:rPr>
          <w:rFonts w:cs="宋体" w:asciiTheme="majorEastAsia" w:hAnsiTheme="majorEastAsia" w:eastAsiaTheme="majorEastAsia"/>
          <w:sz w:val="24"/>
        </w:rPr>
        <w:t>5</w:t>
      </w:r>
      <w:r>
        <w:rPr>
          <w:rFonts w:hint="eastAsia" w:cs="宋体" w:asciiTheme="majorEastAsia" w:hAnsiTheme="majorEastAsia" w:eastAsiaTheme="majorEastAsia"/>
          <w:sz w:val="24"/>
        </w:rPr>
        <w:t>评标标准相应的商务技术资料；</w:t>
      </w:r>
    </w:p>
    <w:p w14:paraId="4BB477CA">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w:t>
      </w:r>
      <w:r>
        <w:rPr>
          <w:rFonts w:cs="宋体" w:asciiTheme="majorEastAsia" w:hAnsiTheme="majorEastAsia" w:eastAsiaTheme="majorEastAsia"/>
          <w:sz w:val="24"/>
        </w:rPr>
        <w:t>6</w:t>
      </w:r>
      <w:r>
        <w:rPr>
          <w:rFonts w:hint="eastAsia" w:cs="宋体" w:asciiTheme="majorEastAsia" w:hAnsiTheme="majorEastAsia" w:eastAsiaTheme="majorEastAsia"/>
          <w:sz w:val="24"/>
        </w:rPr>
        <w:t>投标标的清单；</w:t>
      </w:r>
    </w:p>
    <w:p w14:paraId="4F6F3052">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2.2.</w:t>
      </w:r>
      <w:r>
        <w:rPr>
          <w:rFonts w:cs="宋体" w:asciiTheme="majorEastAsia" w:hAnsiTheme="majorEastAsia" w:eastAsiaTheme="majorEastAsia"/>
          <w:sz w:val="24"/>
        </w:rPr>
        <w:t>7</w:t>
      </w:r>
      <w:r>
        <w:rPr>
          <w:rFonts w:hint="eastAsia" w:cs="宋体" w:asciiTheme="majorEastAsia" w:hAnsiTheme="majorEastAsia" w:eastAsiaTheme="majorEastAsia"/>
          <w:sz w:val="24"/>
        </w:rPr>
        <w:t>商务技术偏离表；</w:t>
      </w:r>
    </w:p>
    <w:p w14:paraId="142D0BE2">
      <w:pPr>
        <w:snapToGrid w:val="0"/>
        <w:spacing w:line="360" w:lineRule="auto"/>
        <w:ind w:left="420" w:leftChars="200" w:firstLine="480" w:firstLineChars="200"/>
        <w:rPr>
          <w:rFonts w:cs="宋体" w:asciiTheme="majorEastAsia" w:hAnsiTheme="majorEastAsia" w:eastAsiaTheme="majorEastAsia"/>
          <w:sz w:val="24"/>
          <w:lang w:val="zh-CN"/>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zh-CN"/>
        </w:rPr>
        <w:t>.</w:t>
      </w: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zh-CN"/>
        </w:rPr>
        <w:t>.</w:t>
      </w:r>
      <w:r>
        <w:rPr>
          <w:rFonts w:cs="宋体" w:asciiTheme="majorEastAsia" w:hAnsiTheme="majorEastAsia" w:eastAsiaTheme="majorEastAsia"/>
          <w:sz w:val="24"/>
        </w:rPr>
        <w:t>8</w:t>
      </w:r>
      <w:r>
        <w:rPr>
          <w:rFonts w:hint="eastAsia" w:cs="宋体" w:asciiTheme="majorEastAsia" w:hAnsiTheme="majorEastAsia" w:eastAsiaTheme="majorEastAsia"/>
          <w:sz w:val="24"/>
          <w:lang w:val="zh-CN"/>
        </w:rPr>
        <w:t>政府采购供应商廉洁自律承诺书；</w:t>
      </w:r>
    </w:p>
    <w:p w14:paraId="2111C6B5">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zh-CN"/>
        </w:rPr>
        <w:t>.</w:t>
      </w:r>
      <w:r>
        <w:rPr>
          <w:rFonts w:hint="eastAsia" w:cs="宋体" w:asciiTheme="majorEastAsia" w:hAnsiTheme="majorEastAsia" w:eastAsiaTheme="majorEastAsia"/>
          <w:sz w:val="24"/>
        </w:rPr>
        <w:t>3报价文件</w:t>
      </w:r>
    </w:p>
    <w:p w14:paraId="08EA8443">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2.3.1开标一览表（报价表）；</w:t>
      </w:r>
    </w:p>
    <w:p w14:paraId="2291D222">
      <w:pPr>
        <w:snapToGrid w:val="0"/>
        <w:spacing w:line="360" w:lineRule="auto"/>
        <w:ind w:left="420" w:leftChars="2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2.3.2中小企业声明函（如果有）。</w:t>
      </w:r>
    </w:p>
    <w:p w14:paraId="06FDA349">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3、我方承诺除商务技术偏离表列出的偏离外，我方响应招标文件的全部要求。对投标文件中材料的真实性、合法性负责。</w:t>
      </w:r>
    </w:p>
    <w:p w14:paraId="73C37ED7">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4、如我方中标，我方承诺：</w:t>
      </w:r>
    </w:p>
    <w:p w14:paraId="0D318B2E">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4.1在收到中标通知书后，在中标通知书规定的期限内与你方签订合同； </w:t>
      </w:r>
    </w:p>
    <w:p w14:paraId="4283C567">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4.2在签订合同时不向你方提出附加条件； </w:t>
      </w:r>
    </w:p>
    <w:p w14:paraId="17E1C1FC">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4.3按照招标文件要求提交履约保证金； </w:t>
      </w:r>
    </w:p>
    <w:p w14:paraId="2C192E67">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4.4在合同约定的期限内完成合同规定的全部义务。 </w:t>
      </w:r>
    </w:p>
    <w:p w14:paraId="259F720F">
      <w:pPr>
        <w:snapToGrid w:val="0"/>
        <w:spacing w:line="360" w:lineRule="auto"/>
        <w:ind w:left="210" w:leftChars="10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5、其他补充说明:</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p>
    <w:p w14:paraId="566FA408">
      <w:pPr>
        <w:spacing w:line="360" w:lineRule="auto"/>
        <w:ind w:firstLine="3600" w:firstLineChars="1500"/>
        <w:rPr>
          <w:rFonts w:cs="宋体" w:asciiTheme="majorEastAsia" w:hAnsiTheme="majorEastAsia" w:eastAsiaTheme="majorEastAsia"/>
          <w:sz w:val="24"/>
        </w:rPr>
      </w:pPr>
    </w:p>
    <w:p w14:paraId="4FD5DC7E">
      <w:pPr>
        <w:spacing w:line="360" w:lineRule="auto"/>
        <w:ind w:firstLine="3600" w:firstLineChars="1500"/>
        <w:rPr>
          <w:rFonts w:cs="宋体" w:asciiTheme="majorEastAsia" w:hAnsiTheme="majorEastAsia" w:eastAsiaTheme="majorEastAsia"/>
          <w:sz w:val="24"/>
        </w:rPr>
      </w:pPr>
    </w:p>
    <w:p w14:paraId="74FB4054">
      <w:pPr>
        <w:spacing w:line="360" w:lineRule="auto"/>
        <w:ind w:firstLine="3600" w:firstLineChars="1500"/>
        <w:rPr>
          <w:rFonts w:cs="宋体" w:asciiTheme="majorEastAsia" w:hAnsiTheme="majorEastAsia" w:eastAsiaTheme="majorEastAsia"/>
          <w:sz w:val="24"/>
        </w:rPr>
      </w:pPr>
    </w:p>
    <w:p w14:paraId="0C4D21B0">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 xml:space="preserve">                                                 投标人名称(电子签名)：</w:t>
      </w:r>
    </w:p>
    <w:p w14:paraId="4FB17609">
      <w:pPr>
        <w:snapToGrid w:val="0"/>
        <w:spacing w:line="360" w:lineRule="auto"/>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签发日期：  年  月   日</w:t>
      </w:r>
    </w:p>
    <w:p w14:paraId="6CC096F6">
      <w:pPr>
        <w:snapToGrid w:val="0"/>
        <w:spacing w:line="360" w:lineRule="auto"/>
        <w:ind w:left="420" w:leftChars="200" w:firstLine="4200" w:firstLineChars="1750"/>
        <w:rPr>
          <w:rFonts w:cs="宋体" w:asciiTheme="majorEastAsia" w:hAnsiTheme="majorEastAsia" w:eastAsiaTheme="majorEastAsia"/>
          <w:kern w:val="0"/>
          <w:sz w:val="24"/>
          <w:u w:val="single"/>
        </w:rPr>
      </w:pPr>
    </w:p>
    <w:p w14:paraId="38A4DE04">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0462058A">
      <w:pPr>
        <w:snapToGrid w:val="0"/>
        <w:spacing w:line="360" w:lineRule="auto"/>
        <w:rPr>
          <w:rFonts w:cs="宋体" w:asciiTheme="majorEastAsia" w:hAnsiTheme="majorEastAsia" w:eastAsiaTheme="majorEastAsia"/>
          <w:sz w:val="24"/>
        </w:rPr>
      </w:pPr>
    </w:p>
    <w:p w14:paraId="1111BD5A">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7A42755C">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二、授权委托书或法定代表人（单位负责人、自然人本人）身份证明</w:t>
      </w:r>
    </w:p>
    <w:p w14:paraId="3679D5B0">
      <w:pPr>
        <w:snapToGrid w:val="0"/>
        <w:spacing w:line="360" w:lineRule="auto"/>
        <w:rPr>
          <w:rFonts w:cs="宋体" w:asciiTheme="majorEastAsia" w:hAnsiTheme="majorEastAsia" w:eastAsiaTheme="majorEastAsia"/>
          <w:sz w:val="24"/>
        </w:rPr>
      </w:pPr>
    </w:p>
    <w:p w14:paraId="1ED186E8">
      <w:pPr>
        <w:snapToGrid w:val="0"/>
        <w:spacing w:line="360" w:lineRule="auto"/>
        <w:ind w:firstLine="2872" w:firstLineChars="894"/>
        <w:rPr>
          <w:rFonts w:cs="宋体" w:asciiTheme="majorEastAsia" w:hAnsiTheme="majorEastAsia" w:eastAsiaTheme="majorEastAsia"/>
        </w:rPr>
      </w:pPr>
      <w:r>
        <w:rPr>
          <w:rFonts w:hint="eastAsia" w:cs="宋体" w:asciiTheme="majorEastAsia" w:hAnsiTheme="majorEastAsia" w:eastAsiaTheme="majorEastAsia"/>
          <w:b/>
          <w:kern w:val="0"/>
          <w:sz w:val="32"/>
          <w:szCs w:val="32"/>
          <w:lang w:val="zh-CN"/>
        </w:rPr>
        <w:t>授权委托书（适用于非联合体投标）</w:t>
      </w:r>
    </w:p>
    <w:p w14:paraId="01FD7FBA">
      <w:pPr>
        <w:snapToGrid w:val="0"/>
        <w:spacing w:line="360" w:lineRule="auto"/>
        <w:rPr>
          <w:rFonts w:cs="宋体" w:asciiTheme="majorEastAsia" w:hAnsiTheme="majorEastAsia" w:eastAsiaTheme="majorEastAsia"/>
          <w:kern w:val="0"/>
          <w:sz w:val="24"/>
        </w:rPr>
      </w:pPr>
      <w:r>
        <w:rPr>
          <w:rFonts w:hint="eastAsia" w:cs="仿宋" w:asciiTheme="majorEastAsia" w:hAnsiTheme="majorEastAsia" w:eastAsiaTheme="majorEastAsia"/>
          <w:sz w:val="24"/>
        </w:rPr>
        <w:t>浙江省卫生健康信息中心、浙江省成套招标代理有限公司</w:t>
      </w:r>
      <w:r>
        <w:rPr>
          <w:rFonts w:hint="eastAsia" w:cs="仿宋" w:asciiTheme="majorEastAsia" w:hAnsiTheme="majorEastAsia" w:eastAsiaTheme="majorEastAsia"/>
          <w:kern w:val="0"/>
          <w:sz w:val="24"/>
          <w:lang w:val="zh-CN"/>
        </w:rPr>
        <w:t>：</w:t>
      </w:r>
    </w:p>
    <w:p w14:paraId="092234B9">
      <w:pPr>
        <w:snapToGrid w:val="0"/>
        <w:spacing w:line="360" w:lineRule="auto"/>
        <w:ind w:firstLine="576"/>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w:t>
      </w:r>
      <w:r>
        <w:rPr>
          <w:rFonts w:hint="eastAsia" w:cs="宋体" w:asciiTheme="majorEastAsia" w:hAnsiTheme="majorEastAsia" w:eastAsiaTheme="majorEastAsia"/>
          <w:kern w:val="0"/>
          <w:sz w:val="24"/>
          <w:lang w:val="zh-CN"/>
        </w:rPr>
        <w:t>委托</w:t>
      </w:r>
      <w:r>
        <w:rPr>
          <w:rFonts w:hint="eastAsia" w:cs="宋体" w:asciiTheme="majorEastAsia" w:hAnsiTheme="majorEastAsia" w:eastAsiaTheme="majorEastAsia"/>
          <w:kern w:val="0"/>
          <w:sz w:val="24"/>
          <w:u w:val="single"/>
          <w:lang w:val="zh-CN"/>
        </w:rPr>
        <w:t>（姓名）</w:t>
      </w:r>
      <w:r>
        <w:rPr>
          <w:rFonts w:hint="eastAsia" w:cs="宋体" w:asciiTheme="majorEastAsia" w:hAnsiTheme="majorEastAsia" w:eastAsiaTheme="majorEastAsia"/>
          <w:kern w:val="0"/>
          <w:sz w:val="24"/>
          <w:lang w:val="zh-CN"/>
        </w:rPr>
        <w:t>为我方代理人（身份证号码：</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，手机：</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，所在单位：</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），以我方名义处理</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sz w:val="24"/>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政府采购投标的一切事项，其法律后果由我方承担。</w:t>
      </w:r>
    </w:p>
    <w:p w14:paraId="3F29EEB9">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委托期限</w:t>
      </w:r>
      <w:r>
        <w:rPr>
          <w:rFonts w:hint="eastAsia" w:cs="宋体" w:asciiTheme="majorEastAsia" w:hAnsiTheme="majorEastAsia" w:eastAsiaTheme="majorEastAsia"/>
          <w:kern w:val="0"/>
          <w:sz w:val="24"/>
        </w:rPr>
        <w:t>：</w:t>
      </w:r>
      <w:r>
        <w:rPr>
          <w:rFonts w:hint="eastAsia" w:cs="宋体" w:asciiTheme="majorEastAsia" w:hAnsiTheme="majorEastAsia" w:eastAsiaTheme="majorEastAsia"/>
          <w:kern w:val="0"/>
          <w:sz w:val="24"/>
          <w:lang w:val="zh-CN"/>
        </w:rPr>
        <w:t>自</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年</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月</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日起至</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年</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月</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日止。</w:t>
      </w:r>
    </w:p>
    <w:p w14:paraId="0D7364A4">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特此告知。</w:t>
      </w:r>
    </w:p>
    <w:p w14:paraId="3BFB92FA">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 xml:space="preserve">                                                 投标人名称(电子签名)：</w:t>
      </w:r>
    </w:p>
    <w:p w14:paraId="0F407D87">
      <w:pPr>
        <w:snapToGrid w:val="0"/>
        <w:spacing w:line="360" w:lineRule="auto"/>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签发日期：  年  月   日</w:t>
      </w:r>
    </w:p>
    <w:p w14:paraId="2FC994C7">
      <w:pPr>
        <w:snapToGrid w:val="0"/>
        <w:spacing w:line="360" w:lineRule="auto"/>
        <w:rPr>
          <w:rFonts w:cs="宋体" w:asciiTheme="majorEastAsia" w:hAnsiTheme="majorEastAsia" w:eastAsiaTheme="majorEastAsia"/>
          <w:sz w:val="24"/>
        </w:rPr>
      </w:pPr>
    </w:p>
    <w:p w14:paraId="18EB5A93">
      <w:pPr>
        <w:spacing w:line="276" w:lineRule="auto"/>
        <w:ind w:firstLine="3600" w:firstLineChars="1500"/>
        <w:rPr>
          <w:rFonts w:cs="宋体" w:asciiTheme="majorEastAsia" w:hAnsiTheme="majorEastAsia" w:eastAsiaTheme="majorEastAsia"/>
          <w:sz w:val="24"/>
        </w:rPr>
      </w:pPr>
    </w:p>
    <w:p w14:paraId="2AAD8D17">
      <w:pPr>
        <w:snapToGrid w:val="0"/>
        <w:spacing w:line="360" w:lineRule="auto"/>
        <w:rPr>
          <w:rFonts w:cs="宋体" w:asciiTheme="majorEastAsia" w:hAnsiTheme="majorEastAsia" w:eastAsiaTheme="majorEastAsia"/>
          <w:sz w:val="24"/>
        </w:rPr>
      </w:pPr>
    </w:p>
    <w:p w14:paraId="2D570029">
      <w:pPr>
        <w:rPr>
          <w:rFonts w:asciiTheme="majorEastAsia" w:hAnsiTheme="majorEastAsia" w:eastAsiaTheme="majorEastAsia"/>
        </w:rPr>
      </w:pPr>
    </w:p>
    <w:p w14:paraId="1DB4E82B">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zh-CN"/>
        </w:rPr>
        <w:t>授权委托书（适用于联合体投标）</w:t>
      </w:r>
    </w:p>
    <w:p w14:paraId="48870B77">
      <w:pPr>
        <w:snapToGrid w:val="0"/>
        <w:spacing w:line="360" w:lineRule="auto"/>
        <w:rPr>
          <w:rFonts w:cs="宋体" w:asciiTheme="majorEastAsia" w:hAnsiTheme="majorEastAsia" w:eastAsiaTheme="majorEastAsia"/>
          <w:kern w:val="0"/>
          <w:sz w:val="24"/>
        </w:rPr>
      </w:pPr>
      <w:r>
        <w:rPr>
          <w:rFonts w:hint="eastAsia" w:cs="仿宋" w:asciiTheme="majorEastAsia" w:hAnsiTheme="majorEastAsia" w:eastAsiaTheme="majorEastAsia"/>
          <w:sz w:val="24"/>
        </w:rPr>
        <w:t>浙江省卫生健康信息中心、浙江省成套招标代理有限公司</w:t>
      </w:r>
      <w:r>
        <w:rPr>
          <w:rFonts w:hint="eastAsia" w:cs="仿宋" w:asciiTheme="majorEastAsia" w:hAnsiTheme="majorEastAsia" w:eastAsiaTheme="majorEastAsia"/>
          <w:kern w:val="0"/>
          <w:sz w:val="24"/>
          <w:lang w:val="zh-CN"/>
        </w:rPr>
        <w:t>：</w:t>
      </w:r>
    </w:p>
    <w:p w14:paraId="5E1E6B21">
      <w:pPr>
        <w:snapToGrid w:val="0"/>
        <w:spacing w:line="360" w:lineRule="auto"/>
        <w:ind w:firstLine="576"/>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w:t>
      </w:r>
      <w:r>
        <w:rPr>
          <w:rFonts w:hint="eastAsia" w:cs="宋体" w:asciiTheme="majorEastAsia" w:hAnsiTheme="majorEastAsia" w:eastAsiaTheme="majorEastAsia"/>
          <w:kern w:val="0"/>
          <w:sz w:val="24"/>
          <w:lang w:val="zh-CN"/>
        </w:rPr>
        <w:t>委托</w:t>
      </w:r>
      <w:r>
        <w:rPr>
          <w:rFonts w:hint="eastAsia" w:cs="宋体" w:asciiTheme="majorEastAsia" w:hAnsiTheme="majorEastAsia" w:eastAsiaTheme="majorEastAsia"/>
          <w:kern w:val="0"/>
          <w:sz w:val="24"/>
          <w:u w:val="single"/>
          <w:lang w:val="zh-CN"/>
        </w:rPr>
        <w:t>（姓名）</w:t>
      </w:r>
      <w:r>
        <w:rPr>
          <w:rFonts w:hint="eastAsia" w:cs="宋体" w:asciiTheme="majorEastAsia" w:hAnsiTheme="majorEastAsia" w:eastAsiaTheme="majorEastAsia"/>
          <w:kern w:val="0"/>
          <w:sz w:val="24"/>
          <w:lang w:val="zh-CN"/>
        </w:rPr>
        <w:t>为我方代理人（身份证号码：</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，手机：</w:t>
      </w:r>
      <w:r>
        <w:rPr>
          <w:rFonts w:hint="eastAsia" w:cs="宋体" w:asciiTheme="majorEastAsia" w:hAnsiTheme="majorEastAsia" w:eastAsiaTheme="majorEastAsia"/>
          <w:kern w:val="0"/>
          <w:sz w:val="24"/>
          <w:u w:val="single"/>
          <w:lang w:val="zh-CN"/>
        </w:rPr>
        <w:t xml:space="preserve">       </w:t>
      </w:r>
      <w:r>
        <w:rPr>
          <w:rFonts w:hint="eastAsia" w:cs="宋体" w:asciiTheme="majorEastAsia" w:hAnsiTheme="majorEastAsia" w:eastAsiaTheme="majorEastAsia"/>
          <w:kern w:val="0"/>
          <w:sz w:val="24"/>
          <w:lang w:val="zh-CN"/>
        </w:rPr>
        <w:t>），以我方名义处理</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sz w:val="24"/>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政府采购投标的一切事项，其法律后果由我方承担。</w:t>
      </w:r>
    </w:p>
    <w:p w14:paraId="63313111">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委托期限</w:t>
      </w:r>
      <w:r>
        <w:rPr>
          <w:rFonts w:hint="eastAsia" w:cs="宋体" w:asciiTheme="majorEastAsia" w:hAnsiTheme="majorEastAsia" w:eastAsiaTheme="majorEastAsia"/>
          <w:kern w:val="0"/>
          <w:sz w:val="24"/>
        </w:rPr>
        <w:t>：</w:t>
      </w:r>
      <w:r>
        <w:rPr>
          <w:rFonts w:hint="eastAsia" w:cs="宋体" w:asciiTheme="majorEastAsia" w:hAnsiTheme="majorEastAsia" w:eastAsiaTheme="majorEastAsia"/>
          <w:kern w:val="0"/>
          <w:sz w:val="24"/>
          <w:lang w:val="zh-CN"/>
        </w:rPr>
        <w:t>自</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年</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月</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日起至</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年</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月</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lang w:val="zh-CN"/>
        </w:rPr>
        <w:t>日止。</w:t>
      </w:r>
    </w:p>
    <w:p w14:paraId="47D3B8C6">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特此告知。</w:t>
      </w:r>
    </w:p>
    <w:p w14:paraId="2E2BF945">
      <w:pPr>
        <w:jc w:val="center"/>
        <w:rPr>
          <w:rFonts w:cs="宋体" w:asciiTheme="majorEastAsia" w:hAnsiTheme="majorEastAsia" w:eastAsiaTheme="majorEastAsia"/>
          <w:b/>
          <w:kern w:val="0"/>
          <w:sz w:val="32"/>
          <w:szCs w:val="32"/>
        </w:rPr>
      </w:pPr>
    </w:p>
    <w:p w14:paraId="418D7919">
      <w:pPr>
        <w:rPr>
          <w:rFonts w:cs="宋体" w:asciiTheme="majorEastAsia" w:hAnsiTheme="majorEastAsia" w:eastAsiaTheme="majorEastAsia"/>
        </w:rPr>
      </w:pPr>
    </w:p>
    <w:p w14:paraId="5982899A">
      <w:pPr>
        <w:snapToGrid w:val="0"/>
        <w:spacing w:line="360" w:lineRule="auto"/>
        <w:ind w:firstLine="5040" w:firstLineChars="2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2ABE0669">
      <w:pPr>
        <w:snapToGrid w:val="0"/>
        <w:spacing w:line="360" w:lineRule="auto"/>
        <w:ind w:firstLine="5040" w:firstLineChars="2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6B66261A">
      <w:pPr>
        <w:snapToGrid w:val="0"/>
        <w:spacing w:line="360" w:lineRule="auto"/>
        <w:ind w:firstLine="5760" w:firstLineChars="2400"/>
        <w:rPr>
          <w:rFonts w:cs="宋体" w:asciiTheme="majorEastAsia" w:hAnsiTheme="majorEastAsia" w:eastAsiaTheme="majorEastAsia"/>
        </w:rPr>
      </w:pPr>
      <w:r>
        <w:rPr>
          <w:rFonts w:hint="eastAsia" w:cs="宋体" w:asciiTheme="majorEastAsia" w:hAnsiTheme="majorEastAsia" w:eastAsiaTheme="majorEastAsia"/>
          <w:kern w:val="0"/>
          <w:sz w:val="24"/>
          <w:lang w:val="zh-CN"/>
        </w:rPr>
        <w:t>……</w:t>
      </w:r>
    </w:p>
    <w:p w14:paraId="4D573040">
      <w:pPr>
        <w:snapToGrid w:val="0"/>
        <w:spacing w:line="360" w:lineRule="auto"/>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日期：  年  月   日</w:t>
      </w:r>
    </w:p>
    <w:p w14:paraId="5F291BF5">
      <w:pPr>
        <w:pageBreakBefore/>
        <w:autoSpaceDE w:val="0"/>
        <w:autoSpaceDN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kern w:val="0"/>
          <w:sz w:val="32"/>
          <w:szCs w:val="32"/>
          <w:lang w:val="zh-CN"/>
        </w:rPr>
        <w:t>法定代表人、单位负责人或自然人本人</w:t>
      </w:r>
      <w:r>
        <w:rPr>
          <w:rFonts w:hint="eastAsia" w:cs="宋体" w:asciiTheme="majorEastAsia" w:hAnsiTheme="majorEastAsia" w:eastAsiaTheme="majorEastAsia"/>
          <w:b/>
          <w:sz w:val="30"/>
          <w:szCs w:val="30"/>
        </w:rPr>
        <w:t>的身份证明（适用于法定代表人、单位负责人或者自然人本人代表投标人参加投标）</w:t>
      </w:r>
    </w:p>
    <w:p w14:paraId="0D4FDF3A">
      <w:pPr>
        <w:pStyle w:val="150"/>
        <w:spacing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A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BFD894">
            <w:pPr>
              <w:pStyle w:val="150"/>
              <w:adjustRightInd w:val="0"/>
              <w:spacing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正面：                                 反面：</w:t>
            </w:r>
          </w:p>
          <w:p w14:paraId="7BB18D5B">
            <w:pPr>
              <w:pStyle w:val="150"/>
              <w:adjustRightInd w:val="0"/>
              <w:spacing w:line="360" w:lineRule="auto"/>
              <w:rPr>
                <w:rFonts w:cs="宋体" w:asciiTheme="majorEastAsia" w:hAnsiTheme="majorEastAsia" w:eastAsiaTheme="majorEastAsia"/>
                <w:bCs/>
                <w:sz w:val="24"/>
              </w:rPr>
            </w:pPr>
          </w:p>
        </w:tc>
      </w:tr>
    </w:tbl>
    <w:p w14:paraId="4B1D0B27">
      <w:pPr>
        <w:snapToGrid w:val="0"/>
        <w:spacing w:line="360" w:lineRule="auto"/>
        <w:ind w:firstLine="576"/>
        <w:jc w:val="center"/>
        <w:rPr>
          <w:rFonts w:cs="宋体" w:asciiTheme="majorEastAsia" w:hAnsiTheme="majorEastAsia" w:eastAsiaTheme="majorEastAsia"/>
          <w:kern w:val="0"/>
          <w:sz w:val="24"/>
          <w:lang w:val="zh-CN"/>
        </w:rPr>
      </w:pPr>
    </w:p>
    <w:p w14:paraId="6C4D9A4E">
      <w:pPr>
        <w:snapToGrid w:val="0"/>
        <w:spacing w:line="360" w:lineRule="auto"/>
        <w:ind w:firstLine="576"/>
        <w:jc w:val="center"/>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投标人名称(电子签名)：                              </w:t>
      </w:r>
    </w:p>
    <w:p w14:paraId="134C05C3">
      <w:pPr>
        <w:spacing w:line="360" w:lineRule="auto"/>
        <w:jc w:val="center"/>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日期：  年  月  日</w:t>
      </w:r>
    </w:p>
    <w:p w14:paraId="598617A4">
      <w:pPr>
        <w:jc w:val="center"/>
        <w:rPr>
          <w:rFonts w:cs="宋体" w:asciiTheme="majorEastAsia" w:hAnsiTheme="majorEastAsia" w:eastAsiaTheme="majorEastAsia"/>
          <w:b/>
          <w:kern w:val="0"/>
          <w:sz w:val="32"/>
          <w:szCs w:val="32"/>
        </w:rPr>
      </w:pPr>
    </w:p>
    <w:p w14:paraId="4BBCCEDE">
      <w:pPr>
        <w:jc w:val="center"/>
        <w:rPr>
          <w:rFonts w:cs="宋体" w:asciiTheme="majorEastAsia" w:hAnsiTheme="majorEastAsia" w:eastAsiaTheme="majorEastAsia"/>
          <w:b/>
          <w:kern w:val="0"/>
          <w:sz w:val="32"/>
          <w:szCs w:val="32"/>
        </w:rPr>
      </w:pPr>
    </w:p>
    <w:p w14:paraId="77185466">
      <w:pPr>
        <w:jc w:val="center"/>
        <w:rPr>
          <w:rFonts w:cs="宋体" w:asciiTheme="majorEastAsia" w:hAnsiTheme="majorEastAsia" w:eastAsiaTheme="majorEastAsia"/>
          <w:b/>
          <w:kern w:val="0"/>
          <w:sz w:val="32"/>
          <w:szCs w:val="32"/>
        </w:rPr>
      </w:pPr>
    </w:p>
    <w:p w14:paraId="41B5797E">
      <w:pPr>
        <w:jc w:val="center"/>
        <w:rPr>
          <w:rFonts w:cs="宋体" w:asciiTheme="majorEastAsia" w:hAnsiTheme="majorEastAsia" w:eastAsiaTheme="majorEastAsia"/>
          <w:b/>
          <w:kern w:val="0"/>
          <w:sz w:val="32"/>
          <w:szCs w:val="32"/>
        </w:rPr>
      </w:pPr>
    </w:p>
    <w:p w14:paraId="2700EB69">
      <w:pPr>
        <w:jc w:val="center"/>
        <w:rPr>
          <w:rFonts w:cs="宋体" w:asciiTheme="majorEastAsia" w:hAnsiTheme="majorEastAsia" w:eastAsiaTheme="majorEastAsia"/>
          <w:b/>
          <w:kern w:val="0"/>
          <w:sz w:val="32"/>
          <w:szCs w:val="32"/>
        </w:rPr>
      </w:pPr>
    </w:p>
    <w:p w14:paraId="701F61DB">
      <w:pPr>
        <w:jc w:val="center"/>
        <w:rPr>
          <w:rFonts w:cs="宋体" w:asciiTheme="majorEastAsia" w:hAnsiTheme="majorEastAsia" w:eastAsiaTheme="majorEastAsia"/>
          <w:b/>
          <w:kern w:val="0"/>
          <w:sz w:val="32"/>
          <w:szCs w:val="32"/>
        </w:rPr>
      </w:pPr>
    </w:p>
    <w:p w14:paraId="1EF88CD0">
      <w:pPr>
        <w:jc w:val="center"/>
        <w:rPr>
          <w:rFonts w:cs="宋体" w:asciiTheme="majorEastAsia" w:hAnsiTheme="majorEastAsia" w:eastAsiaTheme="majorEastAsia"/>
          <w:b/>
          <w:kern w:val="0"/>
          <w:sz w:val="32"/>
          <w:szCs w:val="32"/>
        </w:rPr>
      </w:pPr>
    </w:p>
    <w:p w14:paraId="596C464D">
      <w:pPr>
        <w:jc w:val="center"/>
        <w:rPr>
          <w:rFonts w:cs="宋体" w:asciiTheme="majorEastAsia" w:hAnsiTheme="majorEastAsia" w:eastAsiaTheme="majorEastAsia"/>
          <w:b/>
          <w:kern w:val="0"/>
          <w:sz w:val="32"/>
          <w:szCs w:val="32"/>
        </w:rPr>
      </w:pPr>
    </w:p>
    <w:p w14:paraId="46CC656E">
      <w:pPr>
        <w:jc w:val="center"/>
        <w:rPr>
          <w:rFonts w:cs="宋体" w:asciiTheme="majorEastAsia" w:hAnsiTheme="majorEastAsia" w:eastAsiaTheme="majorEastAsia"/>
          <w:b/>
          <w:kern w:val="0"/>
          <w:sz w:val="32"/>
          <w:szCs w:val="32"/>
        </w:rPr>
      </w:pPr>
    </w:p>
    <w:p w14:paraId="4E7F8C8D">
      <w:pPr>
        <w:jc w:val="center"/>
        <w:rPr>
          <w:rFonts w:cs="宋体" w:asciiTheme="majorEastAsia" w:hAnsiTheme="majorEastAsia" w:eastAsiaTheme="majorEastAsia"/>
          <w:b/>
          <w:kern w:val="0"/>
          <w:sz w:val="32"/>
          <w:szCs w:val="32"/>
        </w:rPr>
      </w:pPr>
    </w:p>
    <w:p w14:paraId="587463B5">
      <w:pPr>
        <w:snapToGrid w:val="0"/>
        <w:spacing w:line="360" w:lineRule="auto"/>
        <w:ind w:right="480"/>
        <w:rPr>
          <w:rFonts w:cs="宋体" w:asciiTheme="majorEastAsia" w:hAnsiTheme="majorEastAsia" w:eastAsiaTheme="majorEastAsia"/>
          <w:b/>
          <w:kern w:val="0"/>
          <w:sz w:val="32"/>
          <w:szCs w:val="32"/>
        </w:rPr>
        <w:sectPr>
          <w:headerReference r:id="rId8" w:type="first"/>
          <w:footerReference r:id="rId10" w:type="first"/>
          <w:headerReference r:id="rId7" w:type="default"/>
          <w:footerReference r:id="rId9" w:type="default"/>
          <w:pgSz w:w="11906" w:h="16838"/>
          <w:pgMar w:top="1276" w:right="1418" w:bottom="1135" w:left="1418" w:header="851" w:footer="580" w:gutter="0"/>
          <w:cols w:space="720" w:num="1"/>
          <w:titlePg/>
          <w:docGrid w:linePitch="312" w:charSpace="0"/>
        </w:sectPr>
      </w:pPr>
    </w:p>
    <w:p w14:paraId="22A3DDC3">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三、分包意向协议（如果有）</w:t>
      </w:r>
    </w:p>
    <w:p w14:paraId="563E7967">
      <w:pPr>
        <w:widowControl/>
        <w:spacing w:line="360" w:lineRule="auto"/>
        <w:ind w:firstLine="120" w:firstLineChars="50"/>
        <w:jc w:val="left"/>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hint="eastAsia" w:cs="宋体" w:asciiTheme="majorEastAsia" w:hAnsiTheme="majorEastAsia" w:eastAsiaTheme="majorEastAsia"/>
          <w:b/>
          <w:sz w:val="24"/>
        </w:rPr>
        <w:t>中标后以分包方式履行合同的，提供分包意向协议(附件6</w:t>
      </w:r>
      <w:r>
        <w:rPr>
          <w:rFonts w:cs="宋体" w:asciiTheme="majorEastAsia" w:hAnsiTheme="majorEastAsia" w:eastAsiaTheme="majorEastAsia"/>
          <w:b/>
          <w:sz w:val="24"/>
        </w:rPr>
        <w:t>)</w:t>
      </w:r>
      <w:r>
        <w:rPr>
          <w:rFonts w:hint="eastAsia" w:cs="宋体" w:asciiTheme="majorEastAsia" w:hAnsiTheme="majorEastAsia" w:eastAsiaTheme="majorEastAsia"/>
          <w:b/>
          <w:sz w:val="24"/>
        </w:rPr>
        <w:t>；采购人不同意分包或者投标人中标后不以分包方式履行合同的，则不需要提供。</w:t>
      </w:r>
      <w:r>
        <w:rPr>
          <w:rFonts w:hint="eastAsia" w:cs="宋体" w:asciiTheme="majorEastAsia" w:hAnsiTheme="majorEastAsia" w:eastAsiaTheme="majorEastAsia"/>
          <w:sz w:val="24"/>
        </w:rPr>
        <w:t>]</w:t>
      </w:r>
    </w:p>
    <w:p w14:paraId="5893C3D5">
      <w:pPr>
        <w:snapToGrid w:val="0"/>
        <w:spacing w:line="360" w:lineRule="auto"/>
        <w:rPr>
          <w:rFonts w:cs="宋体" w:asciiTheme="majorEastAsia" w:hAnsiTheme="majorEastAsia" w:eastAsiaTheme="majorEastAsia"/>
          <w:kern w:val="0"/>
          <w:sz w:val="24"/>
        </w:rPr>
      </w:pPr>
    </w:p>
    <w:p w14:paraId="79868183">
      <w:pPr>
        <w:jc w:val="center"/>
        <w:rPr>
          <w:rFonts w:cs="宋体" w:asciiTheme="majorEastAsia" w:hAnsiTheme="majorEastAsia" w:eastAsiaTheme="majorEastAsia"/>
          <w:b/>
          <w:kern w:val="0"/>
          <w:sz w:val="32"/>
          <w:szCs w:val="32"/>
        </w:rPr>
      </w:pPr>
    </w:p>
    <w:p w14:paraId="72661C67">
      <w:pPr>
        <w:rPr>
          <w:rFonts w:asciiTheme="majorEastAsia" w:hAnsiTheme="majorEastAsia" w:eastAsiaTheme="majorEastAsia"/>
        </w:rPr>
      </w:pPr>
    </w:p>
    <w:p w14:paraId="58215EBA">
      <w:pPr>
        <w:jc w:val="center"/>
        <w:rPr>
          <w:rFonts w:cs="宋体" w:asciiTheme="majorEastAsia" w:hAnsiTheme="majorEastAsia" w:eastAsiaTheme="majorEastAsia"/>
          <w:b/>
          <w:kern w:val="0"/>
          <w:sz w:val="32"/>
          <w:szCs w:val="32"/>
        </w:rPr>
      </w:pPr>
    </w:p>
    <w:p w14:paraId="7CEBC8C3">
      <w:pPr>
        <w:spacing w:line="276" w:lineRule="auto"/>
        <w:ind w:firstLine="3600" w:firstLineChars="1500"/>
        <w:rPr>
          <w:rFonts w:cs="宋体" w:asciiTheme="majorEastAsia" w:hAnsiTheme="majorEastAsia" w:eastAsiaTheme="majorEastAsia"/>
          <w:sz w:val="24"/>
        </w:rPr>
      </w:pPr>
    </w:p>
    <w:p w14:paraId="4C37C942">
      <w:pPr>
        <w:jc w:val="center"/>
        <w:rPr>
          <w:rFonts w:cs="宋体" w:asciiTheme="majorEastAsia" w:hAnsiTheme="majorEastAsia" w:eastAsiaTheme="majorEastAsia"/>
          <w:b/>
          <w:kern w:val="0"/>
          <w:sz w:val="32"/>
          <w:szCs w:val="32"/>
        </w:rPr>
      </w:pPr>
    </w:p>
    <w:p w14:paraId="4EAD741C">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四、符合性审查资料</w:t>
      </w:r>
    </w:p>
    <w:p w14:paraId="79067ACC">
      <w:pPr>
        <w:jc w:val="center"/>
        <w:rPr>
          <w:rFonts w:cs="宋体" w:asciiTheme="majorEastAsia" w:hAnsiTheme="majorEastAsia" w:eastAsiaTheme="maj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5D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F568C9">
            <w:pPr>
              <w:snapToGrid w:val="0"/>
              <w:spacing w:line="240" w:lineRule="atLeas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4991" w:type="dxa"/>
            <w:vAlign w:val="center"/>
          </w:tcPr>
          <w:p w14:paraId="29503A12">
            <w:pPr>
              <w:snapToGrid w:val="0"/>
              <w:spacing w:line="240" w:lineRule="atLeas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实质性要求</w:t>
            </w:r>
          </w:p>
        </w:tc>
        <w:tc>
          <w:tcPr>
            <w:tcW w:w="2551" w:type="dxa"/>
            <w:vAlign w:val="center"/>
          </w:tcPr>
          <w:p w14:paraId="5FC68D39">
            <w:pPr>
              <w:snapToGrid w:val="0"/>
              <w:spacing w:line="240" w:lineRule="atLeas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需要提供的符合性审查资料</w:t>
            </w:r>
          </w:p>
        </w:tc>
        <w:tc>
          <w:tcPr>
            <w:tcW w:w="1418" w:type="dxa"/>
            <w:vAlign w:val="center"/>
          </w:tcPr>
          <w:p w14:paraId="2DFA77A9">
            <w:pPr>
              <w:snapToGrid w:val="0"/>
              <w:spacing w:line="240" w:lineRule="atLeas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投标文件中的</w:t>
            </w:r>
          </w:p>
          <w:p w14:paraId="2E0C81DA">
            <w:pPr>
              <w:snapToGrid w:val="0"/>
              <w:spacing w:line="240" w:lineRule="atLeas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页码位置</w:t>
            </w:r>
          </w:p>
        </w:tc>
      </w:tr>
      <w:tr w14:paraId="1E55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4AFA41">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4991" w:type="dxa"/>
            <w:vAlign w:val="center"/>
          </w:tcPr>
          <w:p w14:paraId="21708972">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投标文件按照招标文件要求签署、盖章。</w:t>
            </w:r>
          </w:p>
        </w:tc>
        <w:tc>
          <w:tcPr>
            <w:tcW w:w="2551" w:type="dxa"/>
            <w:vAlign w:val="center"/>
          </w:tcPr>
          <w:p w14:paraId="66AFD419">
            <w:pPr>
              <w:rPr>
                <w:rFonts w:cs="宋体" w:asciiTheme="majorEastAsia" w:hAnsiTheme="majorEastAsia" w:eastAsiaTheme="majorEastAsia"/>
                <w:sz w:val="24"/>
              </w:rPr>
            </w:pPr>
            <w:r>
              <w:rPr>
                <w:rFonts w:hint="eastAsia" w:cs="宋体" w:asciiTheme="majorEastAsia" w:hAnsiTheme="majorEastAsia" w:eastAsiaTheme="majorEastAsia"/>
                <w:sz w:val="24"/>
              </w:rPr>
              <w:t>需要使用电子签名或者签字盖章的投标文件的组成部分</w:t>
            </w:r>
          </w:p>
        </w:tc>
        <w:tc>
          <w:tcPr>
            <w:tcW w:w="1418" w:type="dxa"/>
            <w:vAlign w:val="center"/>
          </w:tcPr>
          <w:p w14:paraId="23CE5B29">
            <w:pPr>
              <w:rPr>
                <w:rFonts w:cs="宋体" w:asciiTheme="majorEastAsia" w:hAnsiTheme="majorEastAsia" w:eastAsiaTheme="majorEastAsia"/>
                <w:sz w:val="24"/>
              </w:rPr>
            </w:pPr>
            <w:r>
              <w:rPr>
                <w:rFonts w:hint="eastAsia" w:cs="宋体" w:asciiTheme="majorEastAsia" w:hAnsiTheme="majorEastAsia" w:eastAsiaTheme="majorEastAsia"/>
                <w:sz w:val="24"/>
              </w:rPr>
              <w:t>见投标文件</w:t>
            </w:r>
          </w:p>
          <w:p w14:paraId="06D2620E">
            <w:pPr>
              <w:rPr>
                <w:rFonts w:cs="宋体" w:asciiTheme="majorEastAsia" w:hAnsiTheme="majorEastAsia" w:eastAsiaTheme="majorEastAsia"/>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2DFD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BB05C7">
            <w:pPr>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4991" w:type="dxa"/>
            <w:vAlign w:val="center"/>
          </w:tcPr>
          <w:p w14:paraId="130040D6">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投标文件中承诺的投标有效期不少于招标文件中载明的投标有效期。</w:t>
            </w:r>
          </w:p>
        </w:tc>
        <w:tc>
          <w:tcPr>
            <w:tcW w:w="2551" w:type="dxa"/>
            <w:vAlign w:val="center"/>
          </w:tcPr>
          <w:p w14:paraId="41F33D89">
            <w:pPr>
              <w:rPr>
                <w:rFonts w:cs="宋体" w:asciiTheme="majorEastAsia" w:hAnsiTheme="majorEastAsia" w:eastAsiaTheme="majorEastAsia"/>
                <w:sz w:val="24"/>
              </w:rPr>
            </w:pPr>
            <w:r>
              <w:rPr>
                <w:rFonts w:hint="eastAsia" w:cs="宋体" w:asciiTheme="majorEastAsia" w:hAnsiTheme="majorEastAsia" w:eastAsiaTheme="majorEastAsia"/>
                <w:sz w:val="24"/>
              </w:rPr>
              <w:t>投标函</w:t>
            </w:r>
          </w:p>
        </w:tc>
        <w:tc>
          <w:tcPr>
            <w:tcW w:w="1418" w:type="dxa"/>
            <w:vAlign w:val="center"/>
          </w:tcPr>
          <w:p w14:paraId="6CFA3443">
            <w:pPr>
              <w:rPr>
                <w:rFonts w:cs="宋体" w:asciiTheme="majorEastAsia" w:hAnsiTheme="majorEastAsia" w:eastAsiaTheme="majorEastAsia"/>
              </w:rPr>
            </w:pPr>
            <w:r>
              <w:rPr>
                <w:rFonts w:hint="eastAsia" w:cs="宋体" w:asciiTheme="majorEastAsia" w:hAnsiTheme="majorEastAsia" w:eastAsiaTheme="majorEastAsia"/>
                <w:sz w:val="24"/>
              </w:rPr>
              <w:t>见投标文件第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60AD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12C30">
            <w:pPr>
              <w:jc w:val="center"/>
              <w:rPr>
                <w:rFonts w:cs="宋体" w:asciiTheme="majorEastAsia" w:hAnsiTheme="majorEastAsia" w:eastAsiaTheme="majorEastAsia"/>
                <w:sz w:val="24"/>
              </w:rPr>
            </w:pPr>
            <w:r>
              <w:rPr>
                <w:rFonts w:hint="eastAsia" w:cs="宋体" w:asciiTheme="majorEastAsia" w:hAnsiTheme="majorEastAsia" w:eastAsiaTheme="majorEastAsia"/>
                <w:sz w:val="24"/>
              </w:rPr>
              <w:t>3</w:t>
            </w:r>
          </w:p>
        </w:tc>
        <w:tc>
          <w:tcPr>
            <w:tcW w:w="4991" w:type="dxa"/>
            <w:vAlign w:val="center"/>
          </w:tcPr>
          <w:p w14:paraId="301968D9">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投标文件满足招标文件的其它实质性要求。</w:t>
            </w:r>
          </w:p>
        </w:tc>
        <w:tc>
          <w:tcPr>
            <w:tcW w:w="2551" w:type="dxa"/>
            <w:vAlign w:val="center"/>
          </w:tcPr>
          <w:p w14:paraId="188BE7DC">
            <w:pPr>
              <w:rPr>
                <w:rFonts w:cs="宋体" w:asciiTheme="majorEastAsia" w:hAnsiTheme="majorEastAsia" w:eastAsiaTheme="majorEastAsia"/>
                <w:sz w:val="24"/>
              </w:rPr>
            </w:pPr>
            <w:r>
              <w:rPr>
                <w:rFonts w:hint="eastAsia" w:cs="宋体" w:asciiTheme="majorEastAsia" w:hAnsiTheme="majorEastAsia" w:eastAsiaTheme="majorEastAsia"/>
                <w:kern w:val="0"/>
                <w:sz w:val="24"/>
              </w:rPr>
              <w:t>招标文件其它实质性要求相应的材料（“▲” 系指实质性要求条款，招标文件无其它实质性要求的，无需提供）</w:t>
            </w:r>
          </w:p>
        </w:tc>
        <w:tc>
          <w:tcPr>
            <w:tcW w:w="1418" w:type="dxa"/>
            <w:vAlign w:val="center"/>
          </w:tcPr>
          <w:p w14:paraId="6383E810">
            <w:pPr>
              <w:rPr>
                <w:rFonts w:cs="宋体" w:asciiTheme="majorEastAsia" w:hAnsiTheme="majorEastAsia" w:eastAsiaTheme="majorEastAsia"/>
              </w:rPr>
            </w:pPr>
            <w:r>
              <w:rPr>
                <w:rFonts w:hint="eastAsia" w:cs="宋体" w:asciiTheme="majorEastAsia" w:hAnsiTheme="majorEastAsia" w:eastAsiaTheme="majorEastAsia"/>
                <w:sz w:val="24"/>
              </w:rPr>
              <w:t>见投标文件第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bl>
    <w:p w14:paraId="7263B322">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2391219A">
      <w:pPr>
        <w:jc w:val="center"/>
        <w:rPr>
          <w:rFonts w:cs="宋体" w:asciiTheme="majorEastAsia" w:hAnsiTheme="majorEastAsia" w:eastAsiaTheme="majorEastAsia"/>
          <w:b/>
          <w:kern w:val="0"/>
          <w:sz w:val="32"/>
          <w:szCs w:val="32"/>
        </w:rPr>
      </w:pPr>
    </w:p>
    <w:p w14:paraId="77893850">
      <w:pPr>
        <w:jc w:val="center"/>
        <w:rPr>
          <w:rFonts w:cs="宋体" w:asciiTheme="majorEastAsia" w:hAnsiTheme="majorEastAsia" w:eastAsiaTheme="majorEastAsia"/>
          <w:b/>
          <w:kern w:val="0"/>
          <w:sz w:val="32"/>
          <w:szCs w:val="32"/>
        </w:rPr>
      </w:pPr>
    </w:p>
    <w:p w14:paraId="247FCCCE">
      <w:pPr>
        <w:jc w:val="center"/>
        <w:rPr>
          <w:rFonts w:cs="宋体" w:asciiTheme="majorEastAsia" w:hAnsiTheme="majorEastAsia" w:eastAsiaTheme="majorEastAsia"/>
          <w:b/>
          <w:kern w:val="0"/>
          <w:sz w:val="32"/>
          <w:szCs w:val="32"/>
        </w:rPr>
      </w:pPr>
    </w:p>
    <w:p w14:paraId="3A6A93A1">
      <w:pPr>
        <w:jc w:val="center"/>
        <w:rPr>
          <w:rFonts w:cs="宋体" w:asciiTheme="majorEastAsia" w:hAnsiTheme="majorEastAsia" w:eastAsiaTheme="majorEastAsia"/>
          <w:b/>
          <w:kern w:val="0"/>
          <w:sz w:val="32"/>
          <w:szCs w:val="32"/>
        </w:rPr>
      </w:pPr>
    </w:p>
    <w:p w14:paraId="0A535EA5">
      <w:pPr>
        <w:jc w:val="center"/>
        <w:rPr>
          <w:rFonts w:cs="宋体" w:asciiTheme="majorEastAsia" w:hAnsiTheme="majorEastAsia" w:eastAsiaTheme="majorEastAsia"/>
          <w:b/>
          <w:kern w:val="0"/>
          <w:sz w:val="32"/>
          <w:szCs w:val="32"/>
        </w:rPr>
      </w:pPr>
    </w:p>
    <w:p w14:paraId="15197886">
      <w:pPr>
        <w:jc w:val="center"/>
        <w:rPr>
          <w:rFonts w:cs="宋体" w:asciiTheme="majorEastAsia" w:hAnsiTheme="majorEastAsia" w:eastAsiaTheme="majorEastAsia"/>
          <w:b/>
          <w:kern w:val="0"/>
          <w:sz w:val="32"/>
          <w:szCs w:val="32"/>
        </w:rPr>
      </w:pPr>
    </w:p>
    <w:p w14:paraId="0BBC560B">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五、评标标准相应的商务技术资料</w:t>
      </w:r>
    </w:p>
    <w:p w14:paraId="1D3909B9">
      <w:pPr>
        <w:snapToGrid w:val="0"/>
        <w:spacing w:line="360" w:lineRule="auto"/>
        <w:jc w:val="left"/>
        <w:rPr>
          <w:rFonts w:cs="宋体" w:asciiTheme="majorEastAsia" w:hAnsiTheme="majorEastAsia" w:eastAsiaTheme="majorEastAsia"/>
          <w:b/>
          <w:sz w:val="24"/>
        </w:rPr>
      </w:pPr>
      <w:r>
        <w:rPr>
          <w:rFonts w:hint="eastAsia" w:cs="宋体" w:asciiTheme="majorEastAsia" w:hAnsiTheme="majorEastAsia" w:eastAsiaTheme="majorEastAsia"/>
          <w:b/>
          <w:sz w:val="24"/>
        </w:rPr>
        <w:t>（按招标文件第四部分评标办法前附表中“投标文件中评标标准相应的商务技术资料目录”提供资料。）</w:t>
      </w:r>
    </w:p>
    <w:p w14:paraId="0EFAE0DA">
      <w:pPr>
        <w:jc w:val="center"/>
        <w:rPr>
          <w:rFonts w:cs="宋体" w:asciiTheme="majorEastAsia" w:hAnsiTheme="majorEastAsia" w:eastAsiaTheme="majorEastAsia"/>
          <w:b/>
          <w:kern w:val="0"/>
          <w:sz w:val="32"/>
          <w:szCs w:val="32"/>
        </w:rPr>
      </w:pPr>
    </w:p>
    <w:p w14:paraId="6BCFAD48">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六、投标标的清单</w:t>
      </w:r>
    </w:p>
    <w:tbl>
      <w:tblPr>
        <w:tblStyle w:val="6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369"/>
        <w:gridCol w:w="1451"/>
        <w:gridCol w:w="2225"/>
        <w:gridCol w:w="2381"/>
      </w:tblGrid>
      <w:tr w14:paraId="6544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42FBF136">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8ED8B9">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服务名称</w:t>
            </w:r>
          </w:p>
        </w:tc>
        <w:tc>
          <w:tcPr>
            <w:tcW w:w="1451" w:type="dxa"/>
            <w:tcBorders>
              <w:top w:val="single" w:color="auto" w:sz="4" w:space="0"/>
              <w:left w:val="single" w:color="auto" w:sz="4" w:space="0"/>
              <w:bottom w:val="single" w:color="auto" w:sz="4" w:space="0"/>
              <w:right w:val="single" w:color="auto" w:sz="4" w:space="0"/>
            </w:tcBorders>
            <w:vAlign w:val="center"/>
          </w:tcPr>
          <w:p w14:paraId="75C80313">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服务内容</w:t>
            </w:r>
          </w:p>
        </w:tc>
        <w:tc>
          <w:tcPr>
            <w:tcW w:w="2225" w:type="dxa"/>
            <w:tcBorders>
              <w:top w:val="single" w:color="auto" w:sz="4" w:space="0"/>
              <w:left w:val="single" w:color="auto" w:sz="4" w:space="0"/>
              <w:bottom w:val="single" w:color="auto" w:sz="4" w:space="0"/>
              <w:right w:val="single" w:color="auto" w:sz="4" w:space="0"/>
            </w:tcBorders>
            <w:vAlign w:val="center"/>
          </w:tcPr>
          <w:p w14:paraId="39994174">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服务时间</w:t>
            </w:r>
          </w:p>
        </w:tc>
        <w:tc>
          <w:tcPr>
            <w:tcW w:w="2381" w:type="dxa"/>
            <w:tcBorders>
              <w:top w:val="single" w:color="auto" w:sz="4" w:space="0"/>
              <w:left w:val="single" w:color="auto" w:sz="4" w:space="0"/>
              <w:bottom w:val="single" w:color="auto" w:sz="4" w:space="0"/>
              <w:right w:val="single" w:color="auto" w:sz="4" w:space="0"/>
            </w:tcBorders>
            <w:vAlign w:val="center"/>
          </w:tcPr>
          <w:p w14:paraId="3133BF4F">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备注（如果有）</w:t>
            </w:r>
          </w:p>
        </w:tc>
      </w:tr>
      <w:tr w14:paraId="69D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48B16756">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B18B6C">
            <w:pPr>
              <w:snapToGrid w:val="0"/>
              <w:spacing w:line="360" w:lineRule="auto"/>
              <w:jc w:val="center"/>
              <w:rPr>
                <w:rFonts w:cs="宋体" w:asciiTheme="majorEastAsia" w:hAnsiTheme="majorEastAsia" w:eastAsiaTheme="maj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14:paraId="318912B0">
            <w:pPr>
              <w:snapToGrid w:val="0"/>
              <w:spacing w:line="360" w:lineRule="auto"/>
              <w:jc w:val="center"/>
              <w:rPr>
                <w:rFonts w:cs="宋体" w:asciiTheme="majorEastAsia" w:hAnsiTheme="majorEastAsia" w:eastAsiaTheme="majorEastAsia"/>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71EC0DE2">
            <w:pPr>
              <w:spacing w:line="360" w:lineRule="auto"/>
              <w:jc w:val="center"/>
              <w:rPr>
                <w:rFonts w:cs="宋体" w:asciiTheme="majorEastAsia" w:hAnsiTheme="majorEastAsia" w:eastAsiaTheme="majorEastAsia"/>
                <w:sz w:val="24"/>
              </w:rPr>
            </w:pPr>
          </w:p>
        </w:tc>
        <w:tc>
          <w:tcPr>
            <w:tcW w:w="2381" w:type="dxa"/>
            <w:tcBorders>
              <w:top w:val="single" w:color="auto" w:sz="4" w:space="0"/>
              <w:left w:val="single" w:color="auto" w:sz="4" w:space="0"/>
              <w:bottom w:val="single" w:color="auto" w:sz="4" w:space="0"/>
              <w:right w:val="single" w:color="auto" w:sz="4" w:space="0"/>
            </w:tcBorders>
            <w:vAlign w:val="center"/>
          </w:tcPr>
          <w:p w14:paraId="54FB334B">
            <w:pPr>
              <w:spacing w:line="360" w:lineRule="auto"/>
              <w:jc w:val="center"/>
              <w:rPr>
                <w:rFonts w:cs="宋体" w:asciiTheme="majorEastAsia" w:hAnsiTheme="majorEastAsia" w:eastAsiaTheme="majorEastAsia"/>
                <w:sz w:val="24"/>
              </w:rPr>
            </w:pPr>
          </w:p>
        </w:tc>
      </w:tr>
      <w:tr w14:paraId="138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32431498">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D2D0E5">
            <w:pPr>
              <w:snapToGrid w:val="0"/>
              <w:spacing w:line="360" w:lineRule="auto"/>
              <w:jc w:val="center"/>
              <w:rPr>
                <w:rFonts w:cs="宋体" w:asciiTheme="majorEastAsia" w:hAnsiTheme="majorEastAsia" w:eastAsiaTheme="maj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14:paraId="6F0E0198">
            <w:pPr>
              <w:snapToGrid w:val="0"/>
              <w:spacing w:line="360" w:lineRule="auto"/>
              <w:jc w:val="center"/>
              <w:rPr>
                <w:rFonts w:cs="宋体" w:asciiTheme="majorEastAsia" w:hAnsiTheme="majorEastAsia" w:eastAsiaTheme="majorEastAsia"/>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3832D0DA">
            <w:pPr>
              <w:spacing w:line="360" w:lineRule="auto"/>
              <w:jc w:val="center"/>
              <w:rPr>
                <w:rFonts w:cs="宋体" w:asciiTheme="majorEastAsia" w:hAnsiTheme="majorEastAsia" w:eastAsiaTheme="majorEastAsia"/>
                <w:sz w:val="24"/>
              </w:rPr>
            </w:pPr>
          </w:p>
        </w:tc>
        <w:tc>
          <w:tcPr>
            <w:tcW w:w="2381" w:type="dxa"/>
            <w:tcBorders>
              <w:top w:val="single" w:color="auto" w:sz="4" w:space="0"/>
              <w:left w:val="single" w:color="auto" w:sz="4" w:space="0"/>
              <w:bottom w:val="single" w:color="auto" w:sz="4" w:space="0"/>
              <w:right w:val="single" w:color="auto" w:sz="4" w:space="0"/>
            </w:tcBorders>
            <w:vAlign w:val="center"/>
          </w:tcPr>
          <w:p w14:paraId="53D22155">
            <w:pPr>
              <w:spacing w:line="360" w:lineRule="auto"/>
              <w:jc w:val="center"/>
              <w:rPr>
                <w:rFonts w:cs="宋体" w:asciiTheme="majorEastAsia" w:hAnsiTheme="majorEastAsia" w:eastAsiaTheme="majorEastAsia"/>
                <w:sz w:val="24"/>
              </w:rPr>
            </w:pPr>
          </w:p>
        </w:tc>
      </w:tr>
      <w:tr w14:paraId="3C8D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2A62C604">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9D4A4E">
            <w:pPr>
              <w:snapToGrid w:val="0"/>
              <w:spacing w:line="360" w:lineRule="auto"/>
              <w:jc w:val="center"/>
              <w:rPr>
                <w:rFonts w:cs="宋体" w:asciiTheme="majorEastAsia" w:hAnsiTheme="majorEastAsia" w:eastAsiaTheme="maj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14:paraId="3D8C95BF">
            <w:pPr>
              <w:snapToGrid w:val="0"/>
              <w:spacing w:line="360" w:lineRule="auto"/>
              <w:jc w:val="center"/>
              <w:rPr>
                <w:rFonts w:cs="宋体" w:asciiTheme="majorEastAsia" w:hAnsiTheme="majorEastAsia" w:eastAsiaTheme="majorEastAsia"/>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D906A13">
            <w:pPr>
              <w:spacing w:line="360" w:lineRule="auto"/>
              <w:jc w:val="center"/>
              <w:rPr>
                <w:rFonts w:cs="宋体" w:asciiTheme="majorEastAsia" w:hAnsiTheme="majorEastAsia" w:eastAsiaTheme="majorEastAsia"/>
                <w:sz w:val="24"/>
              </w:rPr>
            </w:pPr>
          </w:p>
        </w:tc>
        <w:tc>
          <w:tcPr>
            <w:tcW w:w="2381" w:type="dxa"/>
            <w:tcBorders>
              <w:top w:val="single" w:color="auto" w:sz="4" w:space="0"/>
              <w:left w:val="single" w:color="auto" w:sz="4" w:space="0"/>
              <w:bottom w:val="single" w:color="auto" w:sz="4" w:space="0"/>
              <w:right w:val="single" w:color="auto" w:sz="4" w:space="0"/>
            </w:tcBorders>
            <w:vAlign w:val="center"/>
          </w:tcPr>
          <w:p w14:paraId="1F5AEAEC">
            <w:pPr>
              <w:spacing w:line="360" w:lineRule="auto"/>
              <w:jc w:val="center"/>
              <w:rPr>
                <w:rFonts w:cs="宋体" w:asciiTheme="majorEastAsia" w:hAnsiTheme="majorEastAsia" w:eastAsiaTheme="majorEastAsia"/>
                <w:sz w:val="24"/>
              </w:rPr>
            </w:pPr>
          </w:p>
        </w:tc>
      </w:tr>
    </w:tbl>
    <w:p w14:paraId="5CA5D219">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618D66C4">
      <w:pPr>
        <w:jc w:val="center"/>
        <w:rPr>
          <w:rFonts w:cs="宋体" w:asciiTheme="majorEastAsia" w:hAnsiTheme="majorEastAsia" w:eastAsiaTheme="majorEastAsia"/>
          <w:b/>
          <w:kern w:val="0"/>
          <w:sz w:val="32"/>
          <w:szCs w:val="32"/>
        </w:rPr>
      </w:pPr>
    </w:p>
    <w:p w14:paraId="5B6D312B">
      <w:pPr>
        <w:jc w:val="center"/>
        <w:rPr>
          <w:rFonts w:cs="宋体" w:asciiTheme="majorEastAsia" w:hAnsiTheme="majorEastAsia" w:eastAsiaTheme="majorEastAsia"/>
          <w:b/>
          <w:kern w:val="0"/>
          <w:sz w:val="32"/>
          <w:szCs w:val="32"/>
        </w:rPr>
      </w:pPr>
    </w:p>
    <w:p w14:paraId="1CFE634C">
      <w:pPr>
        <w:spacing w:line="276" w:lineRule="auto"/>
        <w:ind w:firstLine="3600" w:firstLineChars="1500"/>
        <w:rPr>
          <w:rFonts w:cs="宋体" w:asciiTheme="majorEastAsia" w:hAnsiTheme="majorEastAsia" w:eastAsiaTheme="majorEastAsia"/>
          <w:sz w:val="24"/>
        </w:rPr>
      </w:pPr>
    </w:p>
    <w:p w14:paraId="0EDB191C">
      <w:pPr>
        <w:rPr>
          <w:rFonts w:asciiTheme="majorEastAsia" w:hAnsiTheme="majorEastAsia" w:eastAsiaTheme="majorEastAsia"/>
        </w:rPr>
      </w:pPr>
    </w:p>
    <w:p w14:paraId="72FBA4F6">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D3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C7B89">
            <w:pPr>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序号</w:t>
            </w:r>
          </w:p>
        </w:tc>
        <w:tc>
          <w:tcPr>
            <w:tcW w:w="3683" w:type="dxa"/>
          </w:tcPr>
          <w:p w14:paraId="78337B32">
            <w:pPr>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招标文件章节及具体内容</w:t>
            </w:r>
          </w:p>
        </w:tc>
        <w:tc>
          <w:tcPr>
            <w:tcW w:w="3546" w:type="dxa"/>
          </w:tcPr>
          <w:p w14:paraId="5A71834E">
            <w:pPr>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投标文件章节及具体内容</w:t>
            </w:r>
          </w:p>
        </w:tc>
        <w:tc>
          <w:tcPr>
            <w:tcW w:w="1276" w:type="dxa"/>
          </w:tcPr>
          <w:p w14:paraId="5B568ACE">
            <w:pPr>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偏离说明</w:t>
            </w:r>
          </w:p>
        </w:tc>
      </w:tr>
      <w:tr w14:paraId="7C69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7AB5F9">
            <w:pPr>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3683" w:type="dxa"/>
          </w:tcPr>
          <w:p w14:paraId="249D310F">
            <w:pPr>
              <w:jc w:val="center"/>
              <w:rPr>
                <w:rFonts w:cs="宋体" w:asciiTheme="majorEastAsia" w:hAnsiTheme="majorEastAsia" w:eastAsiaTheme="majorEastAsia"/>
                <w:b/>
                <w:kern w:val="0"/>
                <w:sz w:val="32"/>
                <w:szCs w:val="32"/>
              </w:rPr>
            </w:pPr>
          </w:p>
        </w:tc>
        <w:tc>
          <w:tcPr>
            <w:tcW w:w="3546" w:type="dxa"/>
          </w:tcPr>
          <w:p w14:paraId="5163C9BE">
            <w:pPr>
              <w:jc w:val="center"/>
              <w:rPr>
                <w:rFonts w:cs="宋体" w:asciiTheme="majorEastAsia" w:hAnsiTheme="majorEastAsia" w:eastAsiaTheme="majorEastAsia"/>
                <w:b/>
                <w:kern w:val="0"/>
                <w:sz w:val="32"/>
                <w:szCs w:val="32"/>
              </w:rPr>
            </w:pPr>
          </w:p>
        </w:tc>
        <w:tc>
          <w:tcPr>
            <w:tcW w:w="1276" w:type="dxa"/>
          </w:tcPr>
          <w:p w14:paraId="019D42C6">
            <w:pPr>
              <w:jc w:val="center"/>
              <w:rPr>
                <w:rFonts w:cs="宋体" w:asciiTheme="majorEastAsia" w:hAnsiTheme="majorEastAsia" w:eastAsiaTheme="majorEastAsia"/>
                <w:b/>
                <w:kern w:val="0"/>
                <w:sz w:val="32"/>
                <w:szCs w:val="32"/>
              </w:rPr>
            </w:pPr>
          </w:p>
        </w:tc>
      </w:tr>
      <w:tr w14:paraId="152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1F5FF6">
            <w:pPr>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3683" w:type="dxa"/>
          </w:tcPr>
          <w:p w14:paraId="6FB06C38">
            <w:pPr>
              <w:jc w:val="center"/>
              <w:rPr>
                <w:rFonts w:cs="宋体" w:asciiTheme="majorEastAsia" w:hAnsiTheme="majorEastAsia" w:eastAsiaTheme="majorEastAsia"/>
                <w:b/>
                <w:kern w:val="0"/>
                <w:sz w:val="32"/>
                <w:szCs w:val="32"/>
              </w:rPr>
            </w:pPr>
          </w:p>
        </w:tc>
        <w:tc>
          <w:tcPr>
            <w:tcW w:w="3546" w:type="dxa"/>
          </w:tcPr>
          <w:p w14:paraId="3B0112A0">
            <w:pPr>
              <w:jc w:val="center"/>
              <w:rPr>
                <w:rFonts w:cs="宋体" w:asciiTheme="majorEastAsia" w:hAnsiTheme="majorEastAsia" w:eastAsiaTheme="majorEastAsia"/>
                <w:b/>
                <w:kern w:val="0"/>
                <w:sz w:val="32"/>
                <w:szCs w:val="32"/>
              </w:rPr>
            </w:pPr>
          </w:p>
        </w:tc>
        <w:tc>
          <w:tcPr>
            <w:tcW w:w="1276" w:type="dxa"/>
          </w:tcPr>
          <w:p w14:paraId="55C172FF">
            <w:pPr>
              <w:jc w:val="center"/>
              <w:rPr>
                <w:rFonts w:cs="宋体" w:asciiTheme="majorEastAsia" w:hAnsiTheme="majorEastAsia" w:eastAsiaTheme="majorEastAsia"/>
                <w:b/>
                <w:kern w:val="0"/>
                <w:sz w:val="32"/>
                <w:szCs w:val="32"/>
              </w:rPr>
            </w:pPr>
          </w:p>
        </w:tc>
      </w:tr>
      <w:tr w14:paraId="3F18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5D351">
            <w:pPr>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3683" w:type="dxa"/>
          </w:tcPr>
          <w:p w14:paraId="24E9B1C8">
            <w:pPr>
              <w:jc w:val="center"/>
              <w:rPr>
                <w:rFonts w:cs="宋体" w:asciiTheme="majorEastAsia" w:hAnsiTheme="majorEastAsia" w:eastAsiaTheme="majorEastAsia"/>
                <w:b/>
                <w:kern w:val="0"/>
                <w:sz w:val="32"/>
                <w:szCs w:val="32"/>
              </w:rPr>
            </w:pPr>
          </w:p>
        </w:tc>
        <w:tc>
          <w:tcPr>
            <w:tcW w:w="3546" w:type="dxa"/>
          </w:tcPr>
          <w:p w14:paraId="00A5697C">
            <w:pPr>
              <w:jc w:val="center"/>
              <w:rPr>
                <w:rFonts w:cs="宋体" w:asciiTheme="majorEastAsia" w:hAnsiTheme="majorEastAsia" w:eastAsiaTheme="majorEastAsia"/>
                <w:b/>
                <w:kern w:val="0"/>
                <w:sz w:val="32"/>
                <w:szCs w:val="32"/>
              </w:rPr>
            </w:pPr>
          </w:p>
        </w:tc>
        <w:tc>
          <w:tcPr>
            <w:tcW w:w="1276" w:type="dxa"/>
          </w:tcPr>
          <w:p w14:paraId="48BCECD1">
            <w:pPr>
              <w:jc w:val="center"/>
              <w:rPr>
                <w:rFonts w:cs="宋体" w:asciiTheme="majorEastAsia" w:hAnsiTheme="majorEastAsia" w:eastAsiaTheme="majorEastAsia"/>
                <w:b/>
                <w:kern w:val="0"/>
                <w:sz w:val="32"/>
                <w:szCs w:val="32"/>
              </w:rPr>
            </w:pPr>
          </w:p>
        </w:tc>
      </w:tr>
    </w:tbl>
    <w:p w14:paraId="31171715">
      <w:pPr>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投标人保证：除商务技术偏离表列出的偏离外，投标人响应招标文件的全部要求</w:t>
      </w:r>
    </w:p>
    <w:p w14:paraId="54A294B7">
      <w:pPr>
        <w:jc w:val="center"/>
        <w:rPr>
          <w:rFonts w:cs="宋体" w:asciiTheme="majorEastAsia" w:hAnsiTheme="majorEastAsia" w:eastAsiaTheme="majorEastAsia"/>
          <w:b/>
          <w:kern w:val="0"/>
          <w:sz w:val="32"/>
          <w:szCs w:val="32"/>
        </w:rPr>
      </w:pPr>
    </w:p>
    <w:p w14:paraId="015036F3">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26BDCB17">
      <w:pPr>
        <w:ind w:firstLine="1911" w:firstLineChars="595"/>
        <w:rPr>
          <w:rFonts w:cs="宋体" w:asciiTheme="majorEastAsia" w:hAnsiTheme="majorEastAsia" w:eastAsiaTheme="majorEastAsia"/>
          <w:b/>
          <w:bCs/>
          <w:sz w:val="32"/>
          <w:szCs w:val="32"/>
        </w:rPr>
      </w:pPr>
    </w:p>
    <w:p w14:paraId="737D74B6">
      <w:pPr>
        <w:widowControl/>
        <w:adjustRightInd/>
        <w:jc w:val="left"/>
        <w:rPr>
          <w:rFonts w:cs="宋体" w:asciiTheme="majorEastAsia" w:hAnsiTheme="majorEastAsia" w:eastAsiaTheme="majorEastAsia"/>
          <w:b/>
          <w:bCs/>
          <w:sz w:val="32"/>
          <w:szCs w:val="32"/>
        </w:rPr>
      </w:pPr>
      <w:r>
        <w:rPr>
          <w:rFonts w:cs="宋体" w:asciiTheme="majorEastAsia" w:hAnsiTheme="majorEastAsia" w:eastAsiaTheme="majorEastAsia"/>
          <w:b/>
          <w:bCs/>
          <w:sz w:val="32"/>
          <w:szCs w:val="32"/>
        </w:rPr>
        <w:br w:type="page"/>
      </w:r>
    </w:p>
    <w:p w14:paraId="10EA4723">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八、政府采购供应商廉洁自律承诺书</w:t>
      </w:r>
    </w:p>
    <w:p w14:paraId="02F6FB71">
      <w:pPr>
        <w:snapToGrid w:val="0"/>
        <w:spacing w:line="360" w:lineRule="auto"/>
        <w:rPr>
          <w:rFonts w:cs="宋体" w:asciiTheme="majorEastAsia" w:hAnsiTheme="majorEastAsia" w:eastAsiaTheme="majorEastAsia"/>
          <w:sz w:val="24"/>
        </w:rPr>
      </w:pPr>
    </w:p>
    <w:p w14:paraId="29347EBF">
      <w:pPr>
        <w:snapToGrid w:val="0"/>
        <w:spacing w:line="360" w:lineRule="auto"/>
        <w:rPr>
          <w:rFonts w:cs="宋体" w:asciiTheme="majorEastAsia" w:hAnsiTheme="majorEastAsia" w:eastAsiaTheme="majorEastAsia"/>
          <w:kern w:val="0"/>
          <w:sz w:val="24"/>
        </w:rPr>
      </w:pPr>
      <w:r>
        <w:rPr>
          <w:rFonts w:hint="eastAsia" w:cs="仿宋" w:asciiTheme="majorEastAsia" w:hAnsiTheme="majorEastAsia" w:eastAsiaTheme="majorEastAsia"/>
          <w:sz w:val="24"/>
        </w:rPr>
        <w:t>浙江省卫生健康信息中心、浙江省成套招标代理有限公司</w:t>
      </w:r>
      <w:r>
        <w:rPr>
          <w:rFonts w:hint="eastAsia" w:cs="宋体" w:asciiTheme="majorEastAsia" w:hAnsiTheme="majorEastAsia" w:eastAsiaTheme="majorEastAsia"/>
          <w:kern w:val="0"/>
          <w:sz w:val="24"/>
          <w:lang w:val="zh-CN"/>
        </w:rPr>
        <w:t>：</w:t>
      </w:r>
    </w:p>
    <w:p w14:paraId="475693C7">
      <w:pPr>
        <w:autoSpaceDE w:val="0"/>
        <w:autoSpaceDN w:val="0"/>
        <w:spacing w:line="360" w:lineRule="auto"/>
        <w:ind w:left="2" w:leftChars="1"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我单位响应你</w:t>
      </w:r>
      <w:r>
        <w:rPr>
          <w:rFonts w:hint="eastAsia" w:cs="宋体" w:asciiTheme="majorEastAsia" w:hAnsiTheme="majorEastAsia" w:eastAsiaTheme="majorEastAsia"/>
          <w:sz w:val="24"/>
        </w:rPr>
        <w:t>单位</w:t>
      </w:r>
      <w:r>
        <w:rPr>
          <w:rFonts w:hint="eastAsia" w:cs="宋体" w:asciiTheme="majorEastAsia" w:hAnsiTheme="majorEastAsia" w:eastAsiaTheme="majorEastAsia"/>
          <w:kern w:val="0"/>
          <w:sz w:val="24"/>
          <w:lang w:val="zh-CN"/>
        </w:rPr>
        <w:t>项目招标要求参加投标。在这次投标过程中和中标后，我们将严格遵守国家法律法规要求，并郑重承诺：</w:t>
      </w:r>
    </w:p>
    <w:p w14:paraId="6552C39C">
      <w:pPr>
        <w:autoSpaceDE w:val="0"/>
        <w:autoSpaceDN w:val="0"/>
        <w:spacing w:line="360" w:lineRule="auto"/>
        <w:ind w:left="2" w:leftChars="1"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2B34FB01">
      <w:pPr>
        <w:autoSpaceDE w:val="0"/>
        <w:autoSpaceDN w:val="0"/>
        <w:spacing w:line="360" w:lineRule="auto"/>
        <w:ind w:left="2" w:leftChars="1"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二、不为项目有关人员及部门报销应由你方单位或个人支付的费用； </w:t>
      </w:r>
    </w:p>
    <w:p w14:paraId="7FDF9048">
      <w:pPr>
        <w:autoSpaceDE w:val="0"/>
        <w:autoSpaceDN w:val="0"/>
        <w:spacing w:line="360" w:lineRule="auto"/>
        <w:ind w:left="2" w:leftChars="1"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三、不向项目有关人员及部门提供有可能影响公正的宴请和健身娱乐等活动； </w:t>
      </w:r>
    </w:p>
    <w:p w14:paraId="2D5AE568">
      <w:pPr>
        <w:autoSpaceDE w:val="0"/>
        <w:autoSpaceDN w:val="0"/>
        <w:spacing w:line="360" w:lineRule="auto"/>
        <w:ind w:left="2" w:leftChars="1"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四、不为项目有关人员及部门出国（境）、旅游等提供方便；</w:t>
      </w:r>
    </w:p>
    <w:p w14:paraId="0D6853B2">
      <w:pPr>
        <w:autoSpaceDE w:val="0"/>
        <w:autoSpaceDN w:val="0"/>
        <w:spacing w:line="360" w:lineRule="auto"/>
        <w:ind w:left="481" w:leftChars="229"/>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五、不为项目有关人员个人装修住房、婚丧嫁娶、配偶子女工作安排等提供</w:t>
      </w:r>
    </w:p>
    <w:p w14:paraId="217F91B9">
      <w:pPr>
        <w:autoSpaceDE w:val="0"/>
        <w:autoSpaceDN w:val="0"/>
        <w:spacing w:line="360" w:lineRule="auto"/>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好处；</w:t>
      </w:r>
    </w:p>
    <w:p w14:paraId="626E406A">
      <w:pPr>
        <w:autoSpaceDE w:val="0"/>
        <w:autoSpaceDN w:val="0"/>
        <w:spacing w:line="360" w:lineRule="auto"/>
        <w:ind w:left="481" w:leftChars="229"/>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六、严格遵守《</w:t>
      </w:r>
      <w:r>
        <w:rPr>
          <w:rFonts w:hint="eastAsia" w:cs="宋体" w:asciiTheme="majorEastAsia" w:hAnsiTheme="majorEastAsia" w:eastAsiaTheme="majorEastAsia"/>
          <w:sz w:val="24"/>
          <w:lang w:val="zh-CN"/>
        </w:rPr>
        <w:t>中华人民共和国</w:t>
      </w:r>
      <w:r>
        <w:rPr>
          <w:rFonts w:hint="eastAsia" w:cs="宋体" w:asciiTheme="majorEastAsia" w:hAnsiTheme="majorEastAsia" w:eastAsiaTheme="majorEastAsia"/>
          <w:kern w:val="0"/>
          <w:sz w:val="24"/>
          <w:lang w:val="zh-CN"/>
        </w:rPr>
        <w:t>政府采购法》《</w:t>
      </w:r>
      <w:r>
        <w:rPr>
          <w:rFonts w:hint="eastAsia" w:cs="宋体" w:asciiTheme="majorEastAsia" w:hAnsiTheme="majorEastAsia" w:eastAsiaTheme="majorEastAsia"/>
          <w:sz w:val="24"/>
          <w:lang w:val="zh-CN"/>
        </w:rPr>
        <w:t>中华人民共和国</w:t>
      </w:r>
      <w:r>
        <w:rPr>
          <w:rFonts w:hint="eastAsia" w:cs="宋体" w:asciiTheme="majorEastAsia" w:hAnsiTheme="majorEastAsia" w:eastAsiaTheme="majorEastAsia"/>
          <w:kern w:val="0"/>
          <w:sz w:val="24"/>
          <w:lang w:val="zh-CN"/>
        </w:rPr>
        <w:t>招标投标</w:t>
      </w:r>
    </w:p>
    <w:p w14:paraId="4F48F08A">
      <w:pPr>
        <w:autoSpaceDE w:val="0"/>
        <w:autoSpaceDN w:val="0"/>
        <w:spacing w:line="360" w:lineRule="auto"/>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法》</w:t>
      </w:r>
      <w:r>
        <w:rPr>
          <w:rFonts w:hint="eastAsia" w:cs="宋体" w:asciiTheme="majorEastAsia" w:hAnsiTheme="majorEastAsia" w:eastAsiaTheme="majorEastAsia"/>
          <w:sz w:val="24"/>
          <w:lang w:val="zh-CN"/>
        </w:rPr>
        <w:t>《中华人民共和国民法典》</w:t>
      </w:r>
      <w:r>
        <w:rPr>
          <w:rFonts w:hint="eastAsia" w:cs="宋体" w:asciiTheme="majorEastAsia" w:hAnsiTheme="majorEastAsia" w:eastAsiaTheme="majorEastAsia"/>
          <w:kern w:val="0"/>
          <w:sz w:val="24"/>
          <w:lang w:val="zh-CN"/>
        </w:rPr>
        <w:t xml:space="preserve">等法律法规，诚实守信，合法经营，坚决抵制各种违法违纪行为。 </w:t>
      </w:r>
    </w:p>
    <w:p w14:paraId="54EDAF48">
      <w:pPr>
        <w:autoSpaceDE w:val="0"/>
        <w:autoSpaceDN w:val="0"/>
        <w:spacing w:line="360" w:lineRule="auto"/>
        <w:ind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如违反上述承诺，你</w:t>
      </w:r>
      <w:r>
        <w:rPr>
          <w:rFonts w:hint="eastAsia" w:cs="宋体" w:asciiTheme="majorEastAsia" w:hAnsiTheme="majorEastAsia" w:eastAsiaTheme="majorEastAsia"/>
          <w:sz w:val="24"/>
        </w:rPr>
        <w:t>单位</w:t>
      </w:r>
      <w:r>
        <w:rPr>
          <w:rFonts w:hint="eastAsia" w:cs="宋体"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宋体" w:asciiTheme="majorEastAsia" w:hAnsiTheme="majorEastAsia" w:eastAsiaTheme="majorEastAsia"/>
          <w:sz w:val="24"/>
        </w:rPr>
        <w:t>单位</w:t>
      </w:r>
      <w:r>
        <w:rPr>
          <w:rFonts w:hint="eastAsia" w:cs="宋体" w:asciiTheme="majorEastAsia" w:hAnsiTheme="majorEastAsia" w:eastAsiaTheme="majorEastAsia"/>
          <w:kern w:val="0"/>
          <w:sz w:val="24"/>
          <w:lang w:val="zh-CN"/>
        </w:rPr>
        <w:t>进行项目建设或其他经营活动，并通报</w:t>
      </w:r>
      <w:r>
        <w:rPr>
          <w:rFonts w:hint="eastAsia" w:cs="宋体" w:asciiTheme="majorEastAsia" w:hAnsiTheme="majorEastAsia" w:eastAsiaTheme="majorEastAsia"/>
          <w:kern w:val="0"/>
          <w:sz w:val="24"/>
        </w:rPr>
        <w:t>省</w:t>
      </w:r>
      <w:r>
        <w:rPr>
          <w:rFonts w:hint="eastAsia" w:cs="宋体" w:asciiTheme="majorEastAsia" w:hAnsiTheme="majorEastAsia" w:eastAsiaTheme="majorEastAsia"/>
          <w:kern w:val="0"/>
          <w:sz w:val="24"/>
          <w:lang w:val="zh-CN"/>
        </w:rPr>
        <w:t>财政</w:t>
      </w:r>
      <w:r>
        <w:rPr>
          <w:rFonts w:hint="eastAsia" w:cs="宋体" w:asciiTheme="majorEastAsia" w:hAnsiTheme="majorEastAsia" w:eastAsiaTheme="majorEastAsia"/>
          <w:kern w:val="0"/>
          <w:sz w:val="24"/>
        </w:rPr>
        <w:t>厅</w:t>
      </w:r>
      <w:r>
        <w:rPr>
          <w:rFonts w:hint="eastAsia" w:cs="宋体" w:asciiTheme="majorEastAsia" w:hAnsiTheme="majorEastAsia" w:eastAsiaTheme="majorEastAsia"/>
          <w:kern w:val="0"/>
          <w:sz w:val="24"/>
          <w:lang w:val="zh-CN"/>
        </w:rPr>
        <w:t>。由此引起的相应损失均由我单位承担。</w:t>
      </w:r>
    </w:p>
    <w:p w14:paraId="193B1F74">
      <w:pPr>
        <w:autoSpaceDE w:val="0"/>
        <w:autoSpaceDN w:val="0"/>
        <w:spacing w:line="360" w:lineRule="auto"/>
        <w:ind w:left="2"/>
        <w:jc w:val="left"/>
        <w:rPr>
          <w:rFonts w:cs="宋体" w:asciiTheme="majorEastAsia" w:hAnsiTheme="majorEastAsia" w:eastAsiaTheme="majorEastAsia"/>
          <w:kern w:val="0"/>
          <w:sz w:val="24"/>
          <w:lang w:val="zh-CN"/>
        </w:rPr>
      </w:pPr>
    </w:p>
    <w:p w14:paraId="73D1167F">
      <w:pPr>
        <w:autoSpaceDE w:val="0"/>
        <w:autoSpaceDN w:val="0"/>
        <w:spacing w:line="360" w:lineRule="auto"/>
        <w:ind w:left="2"/>
        <w:jc w:val="left"/>
        <w:rPr>
          <w:rFonts w:cs="宋体" w:asciiTheme="majorEastAsia" w:hAnsiTheme="majorEastAsia" w:eastAsiaTheme="majorEastAsia"/>
          <w:kern w:val="0"/>
          <w:sz w:val="24"/>
          <w:lang w:val="zh-CN"/>
        </w:rPr>
      </w:pPr>
    </w:p>
    <w:p w14:paraId="2C643A07">
      <w:pPr>
        <w:autoSpaceDE w:val="0"/>
        <w:autoSpaceDN w:val="0"/>
        <w:spacing w:line="360" w:lineRule="auto"/>
        <w:ind w:left="2"/>
        <w:jc w:val="left"/>
        <w:rPr>
          <w:rFonts w:cs="宋体" w:asciiTheme="majorEastAsia" w:hAnsiTheme="majorEastAsia" w:eastAsiaTheme="majorEastAsia"/>
          <w:kern w:val="0"/>
          <w:sz w:val="24"/>
          <w:lang w:val="zh-CN"/>
        </w:rPr>
      </w:pPr>
    </w:p>
    <w:p w14:paraId="167D5C3C">
      <w:pPr>
        <w:autoSpaceDE w:val="0"/>
        <w:autoSpaceDN w:val="0"/>
        <w:spacing w:line="360" w:lineRule="auto"/>
        <w:ind w:left="2" w:leftChars="1" w:right="1120" w:firstLine="4560" w:firstLineChars="19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投标人名称（</w:t>
      </w:r>
      <w:r>
        <w:rPr>
          <w:rFonts w:hint="eastAsia" w:cs="宋体" w:asciiTheme="majorEastAsia" w:hAnsiTheme="majorEastAsia" w:eastAsiaTheme="majorEastAsia"/>
          <w:sz w:val="24"/>
        </w:rPr>
        <w:t>电子签名</w:t>
      </w:r>
      <w:r>
        <w:rPr>
          <w:rFonts w:hint="eastAsia" w:cs="宋体" w:asciiTheme="majorEastAsia" w:hAnsiTheme="majorEastAsia" w:eastAsiaTheme="majorEastAsia"/>
          <w:kern w:val="0"/>
          <w:sz w:val="24"/>
          <w:lang w:val="zh-CN"/>
        </w:rPr>
        <w:t xml:space="preserve">）：                                                                                                                                                                                                               </w:t>
      </w:r>
    </w:p>
    <w:p w14:paraId="7274AFE5">
      <w:pPr>
        <w:spacing w:line="360" w:lineRule="auto"/>
        <w:ind w:left="4620" w:leftChars="2200"/>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日期</w:t>
      </w:r>
      <w:r>
        <w:rPr>
          <w:rFonts w:hint="eastAsia" w:cs="宋体" w:asciiTheme="majorEastAsia" w:hAnsiTheme="majorEastAsia" w:eastAsiaTheme="majorEastAsia"/>
          <w:kern w:val="0"/>
          <w:sz w:val="24"/>
        </w:rPr>
        <w:t>：</w:t>
      </w:r>
      <w:r>
        <w:rPr>
          <w:rFonts w:hint="eastAsia" w:cs="宋体" w:asciiTheme="majorEastAsia" w:hAnsiTheme="majorEastAsia" w:eastAsiaTheme="majorEastAsia"/>
          <w:kern w:val="0"/>
          <w:sz w:val="24"/>
          <w:lang w:val="zh-CN"/>
        </w:rPr>
        <w:t xml:space="preserve">   年   月   日</w:t>
      </w:r>
    </w:p>
    <w:p w14:paraId="28A4DB26">
      <w:pPr>
        <w:spacing w:line="360" w:lineRule="auto"/>
        <w:jc w:val="center"/>
        <w:rPr>
          <w:rFonts w:cs="宋体" w:asciiTheme="majorEastAsia" w:hAnsiTheme="majorEastAsia" w:eastAsiaTheme="majorEastAsia"/>
          <w:b/>
          <w:bCs/>
          <w:sz w:val="24"/>
        </w:rPr>
      </w:pPr>
    </w:p>
    <w:p w14:paraId="399C72D6">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1616370A">
      <w:pPr>
        <w:spacing w:line="360" w:lineRule="auto"/>
        <w:jc w:val="center"/>
        <w:rPr>
          <w:rFonts w:cs="宋体" w:asciiTheme="majorEastAsia" w:hAnsiTheme="majorEastAsia" w:eastAsiaTheme="majorEastAsia"/>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58876E1">
      <w:pPr>
        <w:spacing w:line="360" w:lineRule="auto"/>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报价文件部分</w:t>
      </w:r>
    </w:p>
    <w:p w14:paraId="06F717A3">
      <w:pPr>
        <w:spacing w:line="360" w:lineRule="auto"/>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目录</w:t>
      </w:r>
    </w:p>
    <w:p w14:paraId="3CEF286E">
      <w:pPr>
        <w:spacing w:line="276" w:lineRule="auto"/>
        <w:ind w:firstLine="3600" w:firstLineChars="1500"/>
        <w:rPr>
          <w:rFonts w:cs="宋体" w:asciiTheme="majorEastAsia" w:hAnsiTheme="majorEastAsia" w:eastAsiaTheme="majorEastAsia"/>
          <w:sz w:val="24"/>
        </w:rPr>
      </w:pPr>
    </w:p>
    <w:p w14:paraId="2CA5EE4D">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（1）开标一览表（报价表）………………………………………………………（页码）</w:t>
      </w:r>
    </w:p>
    <w:p w14:paraId="5C28992D">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（2）报价情况说明…………………………………………………………………（页码）</w:t>
      </w:r>
    </w:p>
    <w:p w14:paraId="561E65F5">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（3）中小企业声明函………………………………………………………………（页码）</w:t>
      </w:r>
    </w:p>
    <w:p w14:paraId="0EF7270C">
      <w:pPr>
        <w:snapToGrid w:val="0"/>
        <w:spacing w:line="360" w:lineRule="auto"/>
        <w:ind w:right="480"/>
        <w:jc w:val="center"/>
        <w:rPr>
          <w:rFonts w:cs="宋体" w:asciiTheme="majorEastAsia" w:hAnsiTheme="majorEastAsia" w:eastAsiaTheme="majorEastAsia"/>
          <w:b/>
          <w:kern w:val="0"/>
          <w:sz w:val="32"/>
          <w:szCs w:val="32"/>
        </w:rPr>
      </w:pPr>
    </w:p>
    <w:p w14:paraId="48C8A7DF">
      <w:pPr>
        <w:snapToGrid w:val="0"/>
        <w:spacing w:line="360" w:lineRule="auto"/>
        <w:ind w:right="480"/>
        <w:jc w:val="center"/>
        <w:rPr>
          <w:rFonts w:cs="宋体" w:asciiTheme="majorEastAsia" w:hAnsiTheme="majorEastAsia" w:eastAsiaTheme="majorEastAsia"/>
          <w:b/>
          <w:kern w:val="0"/>
          <w:sz w:val="32"/>
          <w:szCs w:val="32"/>
        </w:rPr>
      </w:pPr>
    </w:p>
    <w:p w14:paraId="033C3D95">
      <w:pPr>
        <w:snapToGrid w:val="0"/>
        <w:spacing w:line="360" w:lineRule="auto"/>
        <w:ind w:right="480"/>
        <w:jc w:val="center"/>
        <w:rPr>
          <w:rFonts w:cs="宋体" w:asciiTheme="majorEastAsia" w:hAnsiTheme="majorEastAsia" w:eastAsiaTheme="majorEastAsia"/>
          <w:b/>
          <w:kern w:val="0"/>
          <w:sz w:val="32"/>
          <w:szCs w:val="32"/>
        </w:rPr>
      </w:pPr>
    </w:p>
    <w:p w14:paraId="29BF89EF">
      <w:pPr>
        <w:snapToGrid w:val="0"/>
        <w:spacing w:line="360" w:lineRule="auto"/>
        <w:ind w:right="480"/>
        <w:jc w:val="center"/>
        <w:rPr>
          <w:rFonts w:cs="宋体" w:asciiTheme="majorEastAsia" w:hAnsiTheme="majorEastAsia" w:eastAsiaTheme="majorEastAsia"/>
          <w:b/>
          <w:kern w:val="0"/>
          <w:sz w:val="32"/>
          <w:szCs w:val="32"/>
        </w:rPr>
      </w:pPr>
    </w:p>
    <w:p w14:paraId="2D83BEFF">
      <w:pPr>
        <w:snapToGrid w:val="0"/>
        <w:spacing w:line="360" w:lineRule="auto"/>
        <w:ind w:right="480"/>
        <w:jc w:val="center"/>
        <w:rPr>
          <w:rFonts w:cs="宋体" w:asciiTheme="majorEastAsia" w:hAnsiTheme="majorEastAsia" w:eastAsiaTheme="majorEastAsia"/>
          <w:b/>
          <w:kern w:val="0"/>
          <w:sz w:val="32"/>
          <w:szCs w:val="32"/>
        </w:rPr>
      </w:pPr>
    </w:p>
    <w:p w14:paraId="0D17740B">
      <w:pPr>
        <w:snapToGrid w:val="0"/>
        <w:spacing w:line="360" w:lineRule="auto"/>
        <w:ind w:right="480"/>
        <w:jc w:val="center"/>
        <w:rPr>
          <w:rFonts w:cs="宋体" w:asciiTheme="majorEastAsia" w:hAnsiTheme="majorEastAsia" w:eastAsiaTheme="majorEastAsia"/>
          <w:b/>
          <w:kern w:val="0"/>
          <w:sz w:val="32"/>
          <w:szCs w:val="32"/>
        </w:rPr>
      </w:pPr>
    </w:p>
    <w:p w14:paraId="218AD37B">
      <w:pPr>
        <w:snapToGrid w:val="0"/>
        <w:spacing w:line="360" w:lineRule="auto"/>
        <w:ind w:right="480"/>
        <w:jc w:val="center"/>
        <w:rPr>
          <w:rFonts w:cs="宋体" w:asciiTheme="majorEastAsia" w:hAnsiTheme="majorEastAsia" w:eastAsiaTheme="majorEastAsia"/>
          <w:b/>
          <w:kern w:val="0"/>
          <w:sz w:val="32"/>
          <w:szCs w:val="32"/>
        </w:rPr>
      </w:pPr>
    </w:p>
    <w:p w14:paraId="52D38A0C">
      <w:pPr>
        <w:snapToGrid w:val="0"/>
        <w:spacing w:line="360" w:lineRule="auto"/>
        <w:ind w:right="480"/>
        <w:jc w:val="center"/>
        <w:rPr>
          <w:rFonts w:cs="宋体" w:asciiTheme="majorEastAsia" w:hAnsiTheme="majorEastAsia" w:eastAsiaTheme="majorEastAsia"/>
          <w:b/>
          <w:kern w:val="0"/>
          <w:sz w:val="32"/>
          <w:szCs w:val="32"/>
        </w:rPr>
      </w:pPr>
    </w:p>
    <w:p w14:paraId="601DD723">
      <w:pPr>
        <w:snapToGrid w:val="0"/>
        <w:spacing w:line="360" w:lineRule="auto"/>
        <w:ind w:right="480"/>
        <w:jc w:val="center"/>
        <w:rPr>
          <w:rFonts w:cs="宋体" w:asciiTheme="majorEastAsia" w:hAnsiTheme="majorEastAsia" w:eastAsiaTheme="majorEastAsia"/>
          <w:b/>
          <w:kern w:val="0"/>
          <w:sz w:val="32"/>
          <w:szCs w:val="32"/>
        </w:rPr>
      </w:pPr>
    </w:p>
    <w:p w14:paraId="4ECBF7B3">
      <w:pPr>
        <w:snapToGrid w:val="0"/>
        <w:spacing w:line="360" w:lineRule="auto"/>
        <w:ind w:right="480"/>
        <w:jc w:val="center"/>
        <w:rPr>
          <w:rFonts w:cs="宋体" w:asciiTheme="majorEastAsia" w:hAnsiTheme="majorEastAsia" w:eastAsiaTheme="majorEastAsia"/>
          <w:b/>
          <w:kern w:val="0"/>
          <w:sz w:val="32"/>
          <w:szCs w:val="32"/>
        </w:rPr>
      </w:pPr>
    </w:p>
    <w:p w14:paraId="0A68A8EF">
      <w:pPr>
        <w:snapToGrid w:val="0"/>
        <w:spacing w:line="360" w:lineRule="auto"/>
        <w:ind w:right="480"/>
        <w:jc w:val="center"/>
        <w:rPr>
          <w:rFonts w:cs="宋体" w:asciiTheme="majorEastAsia" w:hAnsiTheme="majorEastAsia" w:eastAsiaTheme="majorEastAsia"/>
          <w:b/>
          <w:kern w:val="0"/>
          <w:sz w:val="32"/>
          <w:szCs w:val="32"/>
        </w:rPr>
      </w:pPr>
    </w:p>
    <w:p w14:paraId="3126DDDF">
      <w:pPr>
        <w:snapToGrid w:val="0"/>
        <w:spacing w:line="360" w:lineRule="auto"/>
        <w:ind w:right="480"/>
        <w:jc w:val="center"/>
        <w:rPr>
          <w:rFonts w:cs="宋体" w:asciiTheme="majorEastAsia" w:hAnsiTheme="majorEastAsia" w:eastAsiaTheme="majorEastAsia"/>
          <w:b/>
          <w:kern w:val="0"/>
          <w:sz w:val="32"/>
          <w:szCs w:val="32"/>
        </w:rPr>
      </w:pPr>
    </w:p>
    <w:p w14:paraId="470348AC">
      <w:pPr>
        <w:snapToGrid w:val="0"/>
        <w:spacing w:line="360" w:lineRule="auto"/>
        <w:ind w:right="480"/>
        <w:jc w:val="center"/>
        <w:rPr>
          <w:rFonts w:cs="宋体" w:asciiTheme="majorEastAsia" w:hAnsiTheme="majorEastAsia" w:eastAsiaTheme="majorEastAsia"/>
          <w:b/>
          <w:kern w:val="0"/>
          <w:sz w:val="32"/>
          <w:szCs w:val="32"/>
        </w:rPr>
      </w:pPr>
    </w:p>
    <w:p w14:paraId="45A7ABB5">
      <w:pPr>
        <w:snapToGrid w:val="0"/>
        <w:spacing w:line="360" w:lineRule="auto"/>
        <w:ind w:right="480"/>
        <w:jc w:val="center"/>
        <w:rPr>
          <w:rFonts w:cs="宋体" w:asciiTheme="majorEastAsia" w:hAnsiTheme="majorEastAsia" w:eastAsiaTheme="majorEastAsia"/>
          <w:b/>
          <w:kern w:val="0"/>
          <w:sz w:val="32"/>
          <w:szCs w:val="32"/>
        </w:rPr>
      </w:pPr>
    </w:p>
    <w:p w14:paraId="5389B1A2">
      <w:pPr>
        <w:snapToGrid w:val="0"/>
        <w:spacing w:line="360" w:lineRule="auto"/>
        <w:ind w:right="480"/>
        <w:jc w:val="center"/>
        <w:rPr>
          <w:rFonts w:cs="宋体" w:asciiTheme="majorEastAsia" w:hAnsiTheme="majorEastAsia" w:eastAsiaTheme="majorEastAsia"/>
          <w:b/>
          <w:kern w:val="0"/>
          <w:sz w:val="32"/>
          <w:szCs w:val="32"/>
        </w:rPr>
      </w:pPr>
    </w:p>
    <w:p w14:paraId="31C957E3">
      <w:pPr>
        <w:pStyle w:val="690"/>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314C7E39">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一、开标一览表（报价表）</w:t>
      </w:r>
    </w:p>
    <w:p w14:paraId="431926BE">
      <w:pPr>
        <w:snapToGrid w:val="0"/>
        <w:spacing w:line="360" w:lineRule="auto"/>
        <w:rPr>
          <w:rFonts w:cs="宋体" w:asciiTheme="majorEastAsia" w:hAnsiTheme="majorEastAsia" w:eastAsiaTheme="majorEastAsia"/>
          <w:kern w:val="0"/>
          <w:sz w:val="24"/>
        </w:rPr>
      </w:pPr>
      <w:r>
        <w:rPr>
          <w:rFonts w:hint="eastAsia" w:cs="仿宋" w:asciiTheme="majorEastAsia" w:hAnsiTheme="majorEastAsia" w:eastAsiaTheme="majorEastAsia"/>
          <w:sz w:val="24"/>
        </w:rPr>
        <w:t>浙江省卫生健康信息中心、浙江省成套招标代理有限公司</w:t>
      </w:r>
      <w:r>
        <w:rPr>
          <w:rFonts w:hint="eastAsia" w:cs="仿宋" w:asciiTheme="majorEastAsia" w:hAnsiTheme="majorEastAsia" w:eastAsiaTheme="majorEastAsia"/>
          <w:kern w:val="0"/>
          <w:sz w:val="24"/>
          <w:lang w:val="zh-CN"/>
        </w:rPr>
        <w:t>：</w:t>
      </w:r>
    </w:p>
    <w:p w14:paraId="4B385603">
      <w:pPr>
        <w:snapToGrid w:val="0"/>
        <w:spacing w:line="360" w:lineRule="auto"/>
        <w:ind w:firstLine="482"/>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kern w:val="0"/>
          <w:sz w:val="24"/>
          <w:lang w:val="zh-CN"/>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】的实施</w:t>
      </w:r>
      <w:r>
        <w:rPr>
          <w:rFonts w:hint="eastAsia" w:cs="宋体" w:asciiTheme="majorEastAsia" w:hAnsiTheme="majorEastAsia" w:eastAsiaTheme="majorEastAsia"/>
          <w:kern w:val="0"/>
          <w:sz w:val="24"/>
          <w:lang w:val="zh-CN"/>
        </w:rPr>
        <w:t>。</w:t>
      </w:r>
    </w:p>
    <w:p w14:paraId="6681DFB7">
      <w:pPr>
        <w:spacing w:line="360" w:lineRule="auto"/>
        <w:jc w:val="center"/>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开标一览表（报价表）(单位均为人民币元)</w:t>
      </w:r>
    </w:p>
    <w:tbl>
      <w:tblPr>
        <w:tblStyle w:val="62"/>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693"/>
        <w:gridCol w:w="2410"/>
        <w:gridCol w:w="2268"/>
        <w:gridCol w:w="2126"/>
        <w:gridCol w:w="850"/>
        <w:gridCol w:w="1418"/>
      </w:tblGrid>
      <w:tr w14:paraId="396F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17" w:type="dxa"/>
            <w:vAlign w:val="center"/>
          </w:tcPr>
          <w:p w14:paraId="6E3BCE2D">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2268" w:type="dxa"/>
            <w:vAlign w:val="center"/>
          </w:tcPr>
          <w:p w14:paraId="18D89D99">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分项名称</w:t>
            </w:r>
          </w:p>
        </w:tc>
        <w:tc>
          <w:tcPr>
            <w:tcW w:w="2693" w:type="dxa"/>
            <w:vAlign w:val="center"/>
          </w:tcPr>
          <w:p w14:paraId="2C90F248">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服务范围</w:t>
            </w:r>
          </w:p>
        </w:tc>
        <w:tc>
          <w:tcPr>
            <w:tcW w:w="2410" w:type="dxa"/>
            <w:vAlign w:val="center"/>
          </w:tcPr>
          <w:p w14:paraId="63AB3F34">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服务要求</w:t>
            </w:r>
          </w:p>
        </w:tc>
        <w:tc>
          <w:tcPr>
            <w:tcW w:w="2268" w:type="dxa"/>
            <w:vAlign w:val="center"/>
          </w:tcPr>
          <w:p w14:paraId="7F35AA6A">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服务时间</w:t>
            </w:r>
          </w:p>
        </w:tc>
        <w:tc>
          <w:tcPr>
            <w:tcW w:w="2126" w:type="dxa"/>
            <w:vAlign w:val="center"/>
          </w:tcPr>
          <w:p w14:paraId="1EB7478D">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服务标准</w:t>
            </w:r>
          </w:p>
        </w:tc>
        <w:tc>
          <w:tcPr>
            <w:tcW w:w="850" w:type="dxa"/>
            <w:vAlign w:val="center"/>
          </w:tcPr>
          <w:p w14:paraId="655D06A0">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服务人数</w:t>
            </w:r>
          </w:p>
        </w:tc>
        <w:tc>
          <w:tcPr>
            <w:tcW w:w="1418" w:type="dxa"/>
            <w:vAlign w:val="center"/>
          </w:tcPr>
          <w:p w14:paraId="3C48C217">
            <w:pPr>
              <w:spacing w:line="276"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分项金额（元</w:t>
            </w:r>
            <w:r>
              <w:rPr>
                <w:rFonts w:cs="宋体" w:asciiTheme="majorEastAsia" w:hAnsiTheme="majorEastAsia" w:eastAsiaTheme="majorEastAsia"/>
                <w:b/>
                <w:sz w:val="24"/>
              </w:rPr>
              <w:t>）</w:t>
            </w:r>
          </w:p>
        </w:tc>
      </w:tr>
      <w:tr w14:paraId="42F0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6D24C8">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2268" w:type="dxa"/>
            <w:vAlign w:val="center"/>
          </w:tcPr>
          <w:p w14:paraId="2AEF8F4A">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X</w:t>
            </w:r>
            <w:r>
              <w:rPr>
                <w:rFonts w:cs="宋体" w:asciiTheme="majorEastAsia" w:hAnsiTheme="majorEastAsia" w:eastAsiaTheme="majorEastAsia"/>
                <w:sz w:val="24"/>
              </w:rPr>
              <w:t>X</w:t>
            </w:r>
          </w:p>
        </w:tc>
        <w:tc>
          <w:tcPr>
            <w:tcW w:w="2693" w:type="dxa"/>
            <w:vAlign w:val="center"/>
          </w:tcPr>
          <w:p w14:paraId="3A6CFC04">
            <w:pPr>
              <w:snapToGrid w:val="0"/>
              <w:spacing w:line="360" w:lineRule="auto"/>
              <w:jc w:val="center"/>
              <w:rPr>
                <w:rFonts w:cs="宋体" w:asciiTheme="majorEastAsia" w:hAnsiTheme="majorEastAsia" w:eastAsiaTheme="majorEastAsia"/>
                <w:sz w:val="24"/>
              </w:rPr>
            </w:pPr>
          </w:p>
        </w:tc>
        <w:tc>
          <w:tcPr>
            <w:tcW w:w="2410" w:type="dxa"/>
            <w:vAlign w:val="center"/>
          </w:tcPr>
          <w:p w14:paraId="69552187">
            <w:pPr>
              <w:snapToGrid w:val="0"/>
              <w:spacing w:line="360" w:lineRule="auto"/>
              <w:jc w:val="center"/>
              <w:rPr>
                <w:rFonts w:cs="宋体" w:asciiTheme="majorEastAsia" w:hAnsiTheme="majorEastAsia" w:eastAsiaTheme="majorEastAsia"/>
                <w:sz w:val="24"/>
              </w:rPr>
            </w:pPr>
          </w:p>
        </w:tc>
        <w:tc>
          <w:tcPr>
            <w:tcW w:w="2268" w:type="dxa"/>
            <w:vAlign w:val="center"/>
          </w:tcPr>
          <w:p w14:paraId="78EABD31">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响应招标文件要求</w:t>
            </w:r>
          </w:p>
        </w:tc>
        <w:tc>
          <w:tcPr>
            <w:tcW w:w="2126" w:type="dxa"/>
            <w:vAlign w:val="center"/>
          </w:tcPr>
          <w:p w14:paraId="4CD50A90">
            <w:pPr>
              <w:spacing w:line="360" w:lineRule="auto"/>
              <w:jc w:val="center"/>
              <w:rPr>
                <w:rFonts w:cs="宋体" w:asciiTheme="majorEastAsia" w:hAnsiTheme="majorEastAsia" w:eastAsiaTheme="majorEastAsia"/>
                <w:sz w:val="24"/>
              </w:rPr>
            </w:pPr>
          </w:p>
        </w:tc>
        <w:tc>
          <w:tcPr>
            <w:tcW w:w="850" w:type="dxa"/>
          </w:tcPr>
          <w:p w14:paraId="77AE61A9">
            <w:pPr>
              <w:spacing w:line="360" w:lineRule="auto"/>
              <w:jc w:val="center"/>
              <w:rPr>
                <w:rFonts w:cs="宋体" w:asciiTheme="majorEastAsia" w:hAnsiTheme="majorEastAsia" w:eastAsiaTheme="majorEastAsia"/>
                <w:sz w:val="24"/>
              </w:rPr>
            </w:pPr>
          </w:p>
        </w:tc>
        <w:tc>
          <w:tcPr>
            <w:tcW w:w="1418" w:type="dxa"/>
            <w:vAlign w:val="center"/>
          </w:tcPr>
          <w:p w14:paraId="22F24B45">
            <w:pPr>
              <w:spacing w:line="360" w:lineRule="auto"/>
              <w:jc w:val="center"/>
              <w:rPr>
                <w:rFonts w:cs="宋体" w:asciiTheme="majorEastAsia" w:hAnsiTheme="majorEastAsia" w:eastAsiaTheme="majorEastAsia"/>
                <w:sz w:val="24"/>
              </w:rPr>
            </w:pPr>
          </w:p>
        </w:tc>
      </w:tr>
      <w:tr w14:paraId="59C4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692B20">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2268" w:type="dxa"/>
            <w:vAlign w:val="center"/>
          </w:tcPr>
          <w:p w14:paraId="2E409D09">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X</w:t>
            </w:r>
            <w:r>
              <w:rPr>
                <w:rFonts w:cs="宋体" w:asciiTheme="majorEastAsia" w:hAnsiTheme="majorEastAsia" w:eastAsiaTheme="majorEastAsia"/>
                <w:sz w:val="24"/>
              </w:rPr>
              <w:t>X</w:t>
            </w:r>
          </w:p>
        </w:tc>
        <w:tc>
          <w:tcPr>
            <w:tcW w:w="2693" w:type="dxa"/>
            <w:vAlign w:val="center"/>
          </w:tcPr>
          <w:p w14:paraId="3DAB20B9">
            <w:pPr>
              <w:snapToGrid w:val="0"/>
              <w:spacing w:line="360" w:lineRule="auto"/>
              <w:jc w:val="center"/>
              <w:rPr>
                <w:rFonts w:cs="宋体" w:asciiTheme="majorEastAsia" w:hAnsiTheme="majorEastAsia" w:eastAsiaTheme="majorEastAsia"/>
                <w:sz w:val="24"/>
              </w:rPr>
            </w:pPr>
          </w:p>
        </w:tc>
        <w:tc>
          <w:tcPr>
            <w:tcW w:w="2410" w:type="dxa"/>
            <w:vAlign w:val="center"/>
          </w:tcPr>
          <w:p w14:paraId="7E154AC2">
            <w:pPr>
              <w:snapToGrid w:val="0"/>
              <w:spacing w:line="360" w:lineRule="auto"/>
              <w:jc w:val="center"/>
              <w:rPr>
                <w:rFonts w:cs="宋体" w:asciiTheme="majorEastAsia" w:hAnsiTheme="majorEastAsia" w:eastAsiaTheme="majorEastAsia"/>
                <w:sz w:val="24"/>
              </w:rPr>
            </w:pPr>
          </w:p>
        </w:tc>
        <w:tc>
          <w:tcPr>
            <w:tcW w:w="2268" w:type="dxa"/>
            <w:vAlign w:val="center"/>
          </w:tcPr>
          <w:p w14:paraId="526F8A52">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响应招标文件要求</w:t>
            </w:r>
          </w:p>
        </w:tc>
        <w:tc>
          <w:tcPr>
            <w:tcW w:w="2126" w:type="dxa"/>
            <w:vAlign w:val="center"/>
          </w:tcPr>
          <w:p w14:paraId="5C32F585">
            <w:pPr>
              <w:spacing w:line="360" w:lineRule="auto"/>
              <w:jc w:val="center"/>
              <w:rPr>
                <w:rFonts w:cs="宋体" w:asciiTheme="majorEastAsia" w:hAnsiTheme="majorEastAsia" w:eastAsiaTheme="majorEastAsia"/>
                <w:sz w:val="24"/>
              </w:rPr>
            </w:pPr>
          </w:p>
        </w:tc>
        <w:tc>
          <w:tcPr>
            <w:tcW w:w="850" w:type="dxa"/>
          </w:tcPr>
          <w:p w14:paraId="4C169C26">
            <w:pPr>
              <w:spacing w:line="360" w:lineRule="auto"/>
              <w:jc w:val="center"/>
              <w:rPr>
                <w:rFonts w:cs="宋体" w:asciiTheme="majorEastAsia" w:hAnsiTheme="majorEastAsia" w:eastAsiaTheme="majorEastAsia"/>
                <w:sz w:val="24"/>
              </w:rPr>
            </w:pPr>
          </w:p>
        </w:tc>
        <w:tc>
          <w:tcPr>
            <w:tcW w:w="1418" w:type="dxa"/>
            <w:vAlign w:val="center"/>
          </w:tcPr>
          <w:p w14:paraId="13A50341">
            <w:pPr>
              <w:spacing w:line="360" w:lineRule="auto"/>
              <w:jc w:val="center"/>
              <w:rPr>
                <w:rFonts w:cs="宋体" w:asciiTheme="majorEastAsia" w:hAnsiTheme="majorEastAsia" w:eastAsiaTheme="majorEastAsia"/>
                <w:sz w:val="24"/>
              </w:rPr>
            </w:pPr>
          </w:p>
        </w:tc>
      </w:tr>
      <w:tr w14:paraId="5180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913974">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w:t>
            </w:r>
          </w:p>
        </w:tc>
        <w:tc>
          <w:tcPr>
            <w:tcW w:w="2268" w:type="dxa"/>
            <w:vAlign w:val="center"/>
          </w:tcPr>
          <w:p w14:paraId="4460665F">
            <w:pPr>
              <w:snapToGrid w:val="0"/>
              <w:spacing w:line="360" w:lineRule="auto"/>
              <w:jc w:val="center"/>
              <w:rPr>
                <w:rFonts w:cs="宋体" w:asciiTheme="majorEastAsia" w:hAnsiTheme="majorEastAsia" w:eastAsiaTheme="majorEastAsia"/>
                <w:sz w:val="24"/>
              </w:rPr>
            </w:pPr>
          </w:p>
        </w:tc>
        <w:tc>
          <w:tcPr>
            <w:tcW w:w="2693" w:type="dxa"/>
            <w:vAlign w:val="center"/>
          </w:tcPr>
          <w:p w14:paraId="3E23E6C9">
            <w:pPr>
              <w:snapToGrid w:val="0"/>
              <w:spacing w:line="360" w:lineRule="auto"/>
              <w:jc w:val="center"/>
              <w:rPr>
                <w:rFonts w:cs="宋体" w:asciiTheme="majorEastAsia" w:hAnsiTheme="majorEastAsia" w:eastAsiaTheme="majorEastAsia"/>
                <w:sz w:val="24"/>
              </w:rPr>
            </w:pPr>
          </w:p>
        </w:tc>
        <w:tc>
          <w:tcPr>
            <w:tcW w:w="2410" w:type="dxa"/>
            <w:vAlign w:val="center"/>
          </w:tcPr>
          <w:p w14:paraId="59D9848F">
            <w:pPr>
              <w:snapToGrid w:val="0"/>
              <w:spacing w:line="360" w:lineRule="auto"/>
              <w:jc w:val="center"/>
              <w:rPr>
                <w:rFonts w:cs="宋体" w:asciiTheme="majorEastAsia" w:hAnsiTheme="majorEastAsia" w:eastAsiaTheme="majorEastAsia"/>
                <w:sz w:val="24"/>
              </w:rPr>
            </w:pPr>
          </w:p>
        </w:tc>
        <w:tc>
          <w:tcPr>
            <w:tcW w:w="2268" w:type="dxa"/>
            <w:vAlign w:val="center"/>
          </w:tcPr>
          <w:p w14:paraId="6BCDF994">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响应招标文件要求</w:t>
            </w:r>
          </w:p>
        </w:tc>
        <w:tc>
          <w:tcPr>
            <w:tcW w:w="2126" w:type="dxa"/>
            <w:vAlign w:val="center"/>
          </w:tcPr>
          <w:p w14:paraId="212231A9">
            <w:pPr>
              <w:spacing w:line="360" w:lineRule="auto"/>
              <w:jc w:val="center"/>
              <w:rPr>
                <w:rFonts w:cs="宋体" w:asciiTheme="majorEastAsia" w:hAnsiTheme="majorEastAsia" w:eastAsiaTheme="majorEastAsia"/>
                <w:sz w:val="24"/>
              </w:rPr>
            </w:pPr>
          </w:p>
        </w:tc>
        <w:tc>
          <w:tcPr>
            <w:tcW w:w="850" w:type="dxa"/>
          </w:tcPr>
          <w:p w14:paraId="2FC8BF66">
            <w:pPr>
              <w:spacing w:line="360" w:lineRule="auto"/>
              <w:jc w:val="center"/>
              <w:rPr>
                <w:rFonts w:cs="宋体" w:asciiTheme="majorEastAsia" w:hAnsiTheme="majorEastAsia" w:eastAsiaTheme="majorEastAsia"/>
                <w:sz w:val="24"/>
              </w:rPr>
            </w:pPr>
          </w:p>
        </w:tc>
        <w:tc>
          <w:tcPr>
            <w:tcW w:w="1418" w:type="dxa"/>
            <w:vAlign w:val="center"/>
          </w:tcPr>
          <w:p w14:paraId="094F4342">
            <w:pPr>
              <w:spacing w:line="360" w:lineRule="auto"/>
              <w:jc w:val="center"/>
              <w:rPr>
                <w:rFonts w:cs="宋体" w:asciiTheme="majorEastAsia" w:hAnsiTheme="majorEastAsia" w:eastAsiaTheme="majorEastAsia"/>
                <w:sz w:val="24"/>
              </w:rPr>
            </w:pPr>
          </w:p>
        </w:tc>
      </w:tr>
      <w:tr w14:paraId="2403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E1132B">
            <w:pPr>
              <w:spacing w:line="360" w:lineRule="auto"/>
              <w:jc w:val="center"/>
              <w:rPr>
                <w:rFonts w:cs="宋体" w:asciiTheme="majorEastAsia" w:hAnsiTheme="majorEastAsia" w:eastAsiaTheme="majorEastAsia"/>
                <w:sz w:val="24"/>
              </w:rPr>
            </w:pPr>
          </w:p>
        </w:tc>
        <w:tc>
          <w:tcPr>
            <w:tcW w:w="2268" w:type="dxa"/>
            <w:vAlign w:val="center"/>
          </w:tcPr>
          <w:p w14:paraId="7BD71A9A">
            <w:pPr>
              <w:snapToGrid w:val="0"/>
              <w:spacing w:line="360" w:lineRule="auto"/>
              <w:jc w:val="center"/>
              <w:rPr>
                <w:rFonts w:cs="宋体" w:asciiTheme="majorEastAsia" w:hAnsiTheme="majorEastAsia" w:eastAsiaTheme="majorEastAsia"/>
                <w:sz w:val="24"/>
              </w:rPr>
            </w:pPr>
          </w:p>
        </w:tc>
        <w:tc>
          <w:tcPr>
            <w:tcW w:w="2693" w:type="dxa"/>
            <w:vAlign w:val="center"/>
          </w:tcPr>
          <w:p w14:paraId="4CE5672E">
            <w:pPr>
              <w:snapToGrid w:val="0"/>
              <w:spacing w:line="360" w:lineRule="auto"/>
              <w:jc w:val="center"/>
              <w:rPr>
                <w:rFonts w:cs="宋体" w:asciiTheme="majorEastAsia" w:hAnsiTheme="majorEastAsia" w:eastAsiaTheme="majorEastAsia"/>
                <w:sz w:val="24"/>
              </w:rPr>
            </w:pPr>
          </w:p>
        </w:tc>
        <w:tc>
          <w:tcPr>
            <w:tcW w:w="2410" w:type="dxa"/>
            <w:vAlign w:val="center"/>
          </w:tcPr>
          <w:p w14:paraId="2FEBFB70">
            <w:pPr>
              <w:snapToGrid w:val="0"/>
              <w:spacing w:line="360" w:lineRule="auto"/>
              <w:jc w:val="center"/>
              <w:rPr>
                <w:rFonts w:cs="宋体" w:asciiTheme="majorEastAsia" w:hAnsiTheme="majorEastAsia" w:eastAsiaTheme="majorEastAsia"/>
                <w:sz w:val="24"/>
              </w:rPr>
            </w:pPr>
          </w:p>
        </w:tc>
        <w:tc>
          <w:tcPr>
            <w:tcW w:w="2268" w:type="dxa"/>
            <w:vAlign w:val="center"/>
          </w:tcPr>
          <w:p w14:paraId="22B22B87">
            <w:pPr>
              <w:snapToGrid w:val="0"/>
              <w:spacing w:line="360" w:lineRule="auto"/>
              <w:jc w:val="center"/>
              <w:rPr>
                <w:rFonts w:cs="宋体" w:asciiTheme="majorEastAsia" w:hAnsiTheme="majorEastAsia" w:eastAsiaTheme="majorEastAsia"/>
                <w:sz w:val="24"/>
              </w:rPr>
            </w:pPr>
          </w:p>
        </w:tc>
        <w:tc>
          <w:tcPr>
            <w:tcW w:w="2126" w:type="dxa"/>
            <w:vAlign w:val="center"/>
          </w:tcPr>
          <w:p w14:paraId="39EAD4A9">
            <w:pPr>
              <w:spacing w:line="360" w:lineRule="auto"/>
              <w:jc w:val="center"/>
              <w:rPr>
                <w:rFonts w:cs="宋体" w:asciiTheme="majorEastAsia" w:hAnsiTheme="majorEastAsia" w:eastAsiaTheme="majorEastAsia"/>
                <w:sz w:val="24"/>
              </w:rPr>
            </w:pPr>
          </w:p>
        </w:tc>
        <w:tc>
          <w:tcPr>
            <w:tcW w:w="850" w:type="dxa"/>
          </w:tcPr>
          <w:p w14:paraId="6C69356D">
            <w:pPr>
              <w:spacing w:line="360" w:lineRule="auto"/>
              <w:jc w:val="center"/>
              <w:rPr>
                <w:rFonts w:cs="宋体" w:asciiTheme="majorEastAsia" w:hAnsiTheme="majorEastAsia" w:eastAsiaTheme="majorEastAsia"/>
                <w:sz w:val="24"/>
              </w:rPr>
            </w:pPr>
          </w:p>
        </w:tc>
        <w:tc>
          <w:tcPr>
            <w:tcW w:w="1418" w:type="dxa"/>
            <w:vAlign w:val="center"/>
          </w:tcPr>
          <w:p w14:paraId="0701DCE6">
            <w:pPr>
              <w:spacing w:line="360" w:lineRule="auto"/>
              <w:jc w:val="center"/>
              <w:rPr>
                <w:rFonts w:cs="宋体" w:asciiTheme="majorEastAsia" w:hAnsiTheme="majorEastAsia" w:eastAsiaTheme="majorEastAsia"/>
                <w:sz w:val="24"/>
              </w:rPr>
            </w:pPr>
          </w:p>
        </w:tc>
      </w:tr>
      <w:tr w14:paraId="3B44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ED624C">
            <w:pPr>
              <w:spacing w:line="360" w:lineRule="auto"/>
              <w:jc w:val="center"/>
              <w:rPr>
                <w:rFonts w:cs="宋体" w:asciiTheme="majorEastAsia" w:hAnsiTheme="majorEastAsia" w:eastAsiaTheme="majorEastAsia"/>
                <w:sz w:val="24"/>
              </w:rPr>
            </w:pPr>
          </w:p>
        </w:tc>
        <w:tc>
          <w:tcPr>
            <w:tcW w:w="2268" w:type="dxa"/>
            <w:vAlign w:val="center"/>
          </w:tcPr>
          <w:p w14:paraId="78C28A69">
            <w:pPr>
              <w:snapToGrid w:val="0"/>
              <w:spacing w:line="360" w:lineRule="auto"/>
              <w:jc w:val="center"/>
              <w:rPr>
                <w:rFonts w:cs="宋体" w:asciiTheme="majorEastAsia" w:hAnsiTheme="majorEastAsia" w:eastAsiaTheme="majorEastAsia"/>
                <w:sz w:val="24"/>
              </w:rPr>
            </w:pPr>
          </w:p>
        </w:tc>
        <w:tc>
          <w:tcPr>
            <w:tcW w:w="2693" w:type="dxa"/>
            <w:vAlign w:val="center"/>
          </w:tcPr>
          <w:p w14:paraId="5A8D9FB9">
            <w:pPr>
              <w:snapToGrid w:val="0"/>
              <w:spacing w:line="360" w:lineRule="auto"/>
              <w:jc w:val="center"/>
              <w:rPr>
                <w:rFonts w:cs="宋体" w:asciiTheme="majorEastAsia" w:hAnsiTheme="majorEastAsia" w:eastAsiaTheme="majorEastAsia"/>
                <w:sz w:val="24"/>
              </w:rPr>
            </w:pPr>
          </w:p>
        </w:tc>
        <w:tc>
          <w:tcPr>
            <w:tcW w:w="2410" w:type="dxa"/>
            <w:vAlign w:val="center"/>
          </w:tcPr>
          <w:p w14:paraId="101FBFDD">
            <w:pPr>
              <w:snapToGrid w:val="0"/>
              <w:spacing w:line="360" w:lineRule="auto"/>
              <w:jc w:val="center"/>
              <w:rPr>
                <w:rFonts w:cs="宋体" w:asciiTheme="majorEastAsia" w:hAnsiTheme="majorEastAsia" w:eastAsiaTheme="majorEastAsia"/>
                <w:sz w:val="24"/>
              </w:rPr>
            </w:pPr>
          </w:p>
        </w:tc>
        <w:tc>
          <w:tcPr>
            <w:tcW w:w="2268" w:type="dxa"/>
            <w:vAlign w:val="center"/>
          </w:tcPr>
          <w:p w14:paraId="30C1F7DE">
            <w:pPr>
              <w:snapToGrid w:val="0"/>
              <w:spacing w:line="360" w:lineRule="auto"/>
              <w:jc w:val="center"/>
              <w:rPr>
                <w:rFonts w:cs="宋体" w:asciiTheme="majorEastAsia" w:hAnsiTheme="majorEastAsia" w:eastAsiaTheme="majorEastAsia"/>
                <w:sz w:val="24"/>
              </w:rPr>
            </w:pPr>
          </w:p>
        </w:tc>
        <w:tc>
          <w:tcPr>
            <w:tcW w:w="2126" w:type="dxa"/>
            <w:vAlign w:val="center"/>
          </w:tcPr>
          <w:p w14:paraId="296662D4">
            <w:pPr>
              <w:spacing w:line="360" w:lineRule="auto"/>
              <w:jc w:val="center"/>
              <w:rPr>
                <w:rFonts w:cs="宋体" w:asciiTheme="majorEastAsia" w:hAnsiTheme="majorEastAsia" w:eastAsiaTheme="majorEastAsia"/>
                <w:sz w:val="24"/>
              </w:rPr>
            </w:pPr>
          </w:p>
        </w:tc>
        <w:tc>
          <w:tcPr>
            <w:tcW w:w="850" w:type="dxa"/>
          </w:tcPr>
          <w:p w14:paraId="11DFFDA4">
            <w:pPr>
              <w:spacing w:line="360" w:lineRule="auto"/>
              <w:jc w:val="center"/>
              <w:rPr>
                <w:rFonts w:cs="宋体" w:asciiTheme="majorEastAsia" w:hAnsiTheme="majorEastAsia" w:eastAsiaTheme="majorEastAsia"/>
                <w:sz w:val="24"/>
              </w:rPr>
            </w:pPr>
          </w:p>
        </w:tc>
        <w:tc>
          <w:tcPr>
            <w:tcW w:w="1418" w:type="dxa"/>
            <w:vAlign w:val="center"/>
          </w:tcPr>
          <w:p w14:paraId="295A34E0">
            <w:pPr>
              <w:spacing w:line="360" w:lineRule="auto"/>
              <w:jc w:val="center"/>
              <w:rPr>
                <w:rFonts w:cs="宋体" w:asciiTheme="majorEastAsia" w:hAnsiTheme="majorEastAsia" w:eastAsiaTheme="majorEastAsia"/>
                <w:sz w:val="24"/>
              </w:rPr>
            </w:pPr>
          </w:p>
        </w:tc>
      </w:tr>
      <w:tr w14:paraId="6854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88" w:type="dxa"/>
            <w:gridSpan w:val="4"/>
            <w:vAlign w:val="center"/>
          </w:tcPr>
          <w:p w14:paraId="11903CF1">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投标报价（小写）</w:t>
            </w:r>
          </w:p>
        </w:tc>
        <w:tc>
          <w:tcPr>
            <w:tcW w:w="6662" w:type="dxa"/>
            <w:gridSpan w:val="4"/>
          </w:tcPr>
          <w:p w14:paraId="767EE831">
            <w:pPr>
              <w:spacing w:line="360" w:lineRule="auto"/>
              <w:jc w:val="center"/>
              <w:rPr>
                <w:rFonts w:cs="宋体" w:asciiTheme="majorEastAsia" w:hAnsiTheme="majorEastAsia" w:eastAsiaTheme="majorEastAsia"/>
                <w:sz w:val="24"/>
              </w:rPr>
            </w:pPr>
          </w:p>
        </w:tc>
      </w:tr>
      <w:tr w14:paraId="2CE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88" w:type="dxa"/>
            <w:gridSpan w:val="4"/>
            <w:vAlign w:val="center"/>
          </w:tcPr>
          <w:p w14:paraId="6E3E3A9B">
            <w:pPr>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投标报价（大写）</w:t>
            </w:r>
          </w:p>
        </w:tc>
        <w:tc>
          <w:tcPr>
            <w:tcW w:w="6662" w:type="dxa"/>
            <w:gridSpan w:val="4"/>
          </w:tcPr>
          <w:p w14:paraId="5AD8D58F">
            <w:pPr>
              <w:spacing w:line="360" w:lineRule="auto"/>
              <w:jc w:val="center"/>
              <w:rPr>
                <w:rFonts w:cs="宋体" w:asciiTheme="majorEastAsia" w:hAnsiTheme="majorEastAsia" w:eastAsiaTheme="majorEastAsia"/>
                <w:sz w:val="24"/>
              </w:rPr>
            </w:pPr>
          </w:p>
        </w:tc>
      </w:tr>
    </w:tbl>
    <w:p w14:paraId="04A76594">
      <w:pPr>
        <w:snapToGrid w:val="0"/>
        <w:spacing w:line="360" w:lineRule="auto"/>
        <w:ind w:left="480"/>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注：</w:t>
      </w:r>
    </w:p>
    <w:p w14:paraId="3F41136C">
      <w:pPr>
        <w:spacing w:line="360" w:lineRule="auto"/>
        <w:ind w:left="-2" w:leftChars="-1" w:firstLine="480" w:firstLineChars="2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1、投标人需按本表格式填写</w:t>
      </w:r>
      <w:r>
        <w:rPr>
          <w:rFonts w:hint="eastAsia" w:cs="宋体" w:asciiTheme="majorEastAsia" w:hAnsiTheme="majorEastAsia" w:eastAsiaTheme="majorEastAsia"/>
          <w:b/>
          <w:kern w:val="0"/>
          <w:sz w:val="24"/>
          <w:lang w:val="zh-CN"/>
        </w:rPr>
        <w:t>，</w:t>
      </w:r>
      <w:r>
        <w:rPr>
          <w:rFonts w:hint="eastAsia" w:cs="宋体" w:asciiTheme="majorEastAsia" w:hAnsiTheme="majorEastAsia" w:eastAsiaTheme="majorEastAsia"/>
          <w:b/>
          <w:kern w:val="0"/>
          <w:sz w:val="24"/>
        </w:rPr>
        <w:t>否则视为</w:t>
      </w:r>
      <w:r>
        <w:rPr>
          <w:rFonts w:hint="eastAsia" w:cs="宋体" w:asciiTheme="majorEastAsia" w:hAnsiTheme="majorEastAsia" w:eastAsiaTheme="majorEastAsia"/>
          <w:b/>
          <w:sz w:val="24"/>
        </w:rPr>
        <w:t>投标文件含有采购人不能接受的附加条件，投标无效</w:t>
      </w:r>
      <w:r>
        <w:rPr>
          <w:rFonts w:hint="eastAsia" w:cs="宋体" w:asciiTheme="majorEastAsia" w:hAnsiTheme="majorEastAsia" w:eastAsiaTheme="majorEastAsia"/>
          <w:b/>
          <w:kern w:val="0"/>
          <w:sz w:val="24"/>
          <w:lang w:val="zh-CN"/>
        </w:rPr>
        <w:t>；</w:t>
      </w:r>
      <w:r>
        <w:rPr>
          <w:rFonts w:hint="eastAsia" w:cs="宋体" w:asciiTheme="majorEastAsia" w:hAnsiTheme="majorEastAsia" w:eastAsiaTheme="majorEastAsia"/>
          <w:kern w:val="0"/>
          <w:sz w:val="24"/>
          <w:lang w:val="zh-CN"/>
        </w:rPr>
        <w:t>。</w:t>
      </w:r>
    </w:p>
    <w:p w14:paraId="1B2E04EF">
      <w:pPr>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2、有关本项目实施所涉及的一切费用均计入报价。</w:t>
      </w:r>
      <w:r>
        <w:rPr>
          <w:rFonts w:hint="eastAsia" w:cs="宋体" w:asciiTheme="majorEastAsia" w:hAnsiTheme="majorEastAsia" w:eastAsiaTheme="majorEastAsia"/>
          <w:b/>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kern w:val="0"/>
          <w:sz w:val="24"/>
          <w:lang w:val="zh-CN"/>
        </w:rPr>
        <w:t>采购内容未包含在《开标一览表（报价表）》名称栏中，投标人不能作出合理解释的，视为投标文件含有采购人不能接受的附加条件的，投标无效。</w:t>
      </w:r>
    </w:p>
    <w:p w14:paraId="5C2BF801">
      <w:pPr>
        <w:snapToGrid w:val="0"/>
        <w:spacing w:line="360" w:lineRule="auto"/>
        <w:ind w:firstLine="480" w:firstLineChars="2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3、特别提示：采购代理机构将对项目名称和项目编号，中标供应商名称、地址和中标金额，主要中标标的名称、服务范围、服务要求、服务时间、服务标准等予以公示。</w:t>
      </w:r>
    </w:p>
    <w:p w14:paraId="06FFA490">
      <w:pPr>
        <w:snapToGrid w:val="0"/>
        <w:spacing w:line="360" w:lineRule="auto"/>
        <w:ind w:firstLine="480" w:firstLineChars="200"/>
        <w:jc w:val="left"/>
        <w:rPr>
          <w:rFonts w:cs="宋体" w:asciiTheme="majorEastAsia" w:hAnsiTheme="majorEastAsia" w:eastAsiaTheme="majorEastAsia"/>
          <w:kern w:val="0"/>
          <w:sz w:val="24"/>
          <w:lang w:val="zh-CN"/>
        </w:rPr>
      </w:pPr>
      <w:r>
        <w:rPr>
          <w:rFonts w:cs="宋体" w:asciiTheme="majorEastAsia" w:hAnsiTheme="majorEastAsia" w:eastAsiaTheme="majorEastAsia"/>
          <w:kern w:val="0"/>
          <w:sz w:val="24"/>
          <w:szCs w:val="22"/>
          <w:lang w:val="zh-CN"/>
        </w:rPr>
        <w:t>4</w:t>
      </w:r>
      <w:r>
        <w:rPr>
          <w:rFonts w:hint="eastAsia" w:cs="宋体" w:asciiTheme="majorEastAsia" w:hAnsiTheme="majorEastAsia" w:eastAsiaTheme="majorEastAsia"/>
          <w:kern w:val="0"/>
          <w:sz w:val="24"/>
          <w:szCs w:val="22"/>
          <w:lang w:val="zh-CN"/>
        </w:rPr>
        <w:t>、</w:t>
      </w:r>
      <w:r>
        <w:rPr>
          <w:rFonts w:hint="eastAsia" w:cs="宋体" w:asciiTheme="majorEastAsia" w:hAnsiTheme="majorEastAsia" w:eastAsiaTheme="maj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0029C4">
      <w:pPr>
        <w:pStyle w:val="690"/>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rPr>
      </w:pPr>
    </w:p>
    <w:p w14:paraId="0E01A24F">
      <w:pPr>
        <w:pStyle w:val="690"/>
        <w:keepNext w:val="0"/>
        <w:pageBreakBefore w:val="0"/>
        <w:tabs>
          <w:tab w:val="clear" w:pos="720"/>
        </w:tabs>
        <w:snapToGrid w:val="0"/>
        <w:spacing w:before="120" w:after="120"/>
        <w:ind w:firstLine="643"/>
        <w:outlineLvl w:val="9"/>
        <w:rPr>
          <w:rFonts w:cs="宋体" w:asciiTheme="majorEastAsia" w:hAnsiTheme="majorEastAsia" w:eastAsiaTheme="majorEastAsia"/>
          <w:kern w:val="2"/>
          <w:sz w:val="32"/>
          <w:szCs w:val="32"/>
        </w:rPr>
        <w:sectPr>
          <w:pgSz w:w="16838" w:h="11906" w:orient="landscape"/>
          <w:pgMar w:top="1418" w:right="1247" w:bottom="1418" w:left="1276" w:header="851" w:footer="992" w:gutter="0"/>
          <w:cols w:space="720" w:num="1"/>
          <w:titlePg/>
          <w:docGrid w:linePitch="312" w:charSpace="0"/>
        </w:sectPr>
      </w:pPr>
    </w:p>
    <w:p w14:paraId="0F13743D">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二、报价情况说明</w:t>
      </w:r>
    </w:p>
    <w:p w14:paraId="3C069651">
      <w:pPr>
        <w:pStyle w:val="2"/>
        <w:rPr>
          <w:rFonts w:asciiTheme="majorEastAsia" w:hAnsiTheme="majorEastAsia" w:eastAsiaTheme="majorEastAsia"/>
          <w:color w:val="auto"/>
        </w:rPr>
      </w:pPr>
      <w:r>
        <w:rPr>
          <w:rFonts w:hint="eastAsia" w:cs="宋体" w:asciiTheme="majorEastAsia" w:hAnsiTheme="majorEastAsia" w:eastAsiaTheme="majorEastAsia"/>
          <w:color w:val="auto"/>
          <w:sz w:val="24"/>
        </w:rPr>
        <w:t>（如供应商报价低于项目预算50%的，应当提交本文档，详细阐述不影响产品质量或者诚信履约的具体原因）</w:t>
      </w:r>
    </w:p>
    <w:p w14:paraId="5B551B10">
      <w:pPr>
        <w:rPr>
          <w:rFonts w:asciiTheme="majorEastAsia" w:hAnsiTheme="majorEastAsia" w:eastAsiaTheme="majorEastAsia"/>
        </w:rPr>
      </w:pPr>
    </w:p>
    <w:p w14:paraId="545FCCDB">
      <w:pPr>
        <w:pStyle w:val="2"/>
        <w:rPr>
          <w:rFonts w:asciiTheme="majorEastAsia" w:hAnsiTheme="majorEastAsia" w:eastAsiaTheme="majorEastAsia"/>
        </w:rPr>
      </w:pPr>
    </w:p>
    <w:p w14:paraId="434851D2">
      <w:pPr>
        <w:rPr>
          <w:rFonts w:asciiTheme="majorEastAsia" w:hAnsiTheme="majorEastAsia" w:eastAsiaTheme="majorEastAsia"/>
        </w:rPr>
      </w:pPr>
    </w:p>
    <w:p w14:paraId="2B458FD1">
      <w:pPr>
        <w:rPr>
          <w:rFonts w:asciiTheme="majorEastAsia" w:hAnsiTheme="majorEastAsia" w:eastAsiaTheme="majorEastAsia"/>
        </w:rPr>
      </w:pPr>
    </w:p>
    <w:p w14:paraId="14843201">
      <w:pPr>
        <w:pStyle w:val="2"/>
        <w:rPr>
          <w:rFonts w:asciiTheme="majorEastAsia" w:hAnsiTheme="majorEastAsia" w:eastAsiaTheme="majorEastAsia"/>
        </w:rPr>
      </w:pPr>
    </w:p>
    <w:p w14:paraId="6EBEF675">
      <w:pPr>
        <w:rPr>
          <w:rFonts w:asciiTheme="majorEastAsia" w:hAnsiTheme="majorEastAsia" w:eastAsiaTheme="majorEastAsia"/>
        </w:rPr>
      </w:pPr>
    </w:p>
    <w:p w14:paraId="669F42E9">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三、中小企业声明函（如果有）</w:t>
      </w:r>
    </w:p>
    <w:p w14:paraId="6EE290E1">
      <w:pPr>
        <w:widowControl/>
        <w:spacing w:line="360" w:lineRule="auto"/>
        <w:ind w:firstLine="120" w:firstLineChars="50"/>
        <w:jc w:val="left"/>
        <w:rPr>
          <w:rFonts w:cs="宋体" w:asciiTheme="majorEastAsia" w:hAnsiTheme="majorEastAsia" w:eastAsiaTheme="majorEastAsia"/>
          <w:b/>
          <w:sz w:val="24"/>
        </w:rPr>
      </w:pPr>
      <w:r>
        <w:rPr>
          <w:rFonts w:hint="eastAsia" w:cs="宋体"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ajorEastAsia" w:hAnsiTheme="majorEastAsia" w:eastAsiaTheme="majorEastAsia"/>
          <w:b/>
          <w:sz w:val="24"/>
        </w:rPr>
        <w:t>7</w:t>
      </w:r>
      <w:r>
        <w:rPr>
          <w:rFonts w:hint="eastAsia" w:cs="宋体" w:asciiTheme="majorEastAsia" w:hAnsiTheme="majorEastAsia" w:eastAsiaTheme="majorEastAsia"/>
          <w:b/>
          <w:sz w:val="24"/>
        </w:rPr>
        <w:t>）。]</w:t>
      </w:r>
    </w:p>
    <w:p w14:paraId="4C658E63">
      <w:pPr>
        <w:pStyle w:val="690"/>
        <w:keepNext w:val="0"/>
        <w:pageBreakBefore w:val="0"/>
        <w:tabs>
          <w:tab w:val="clear" w:pos="720"/>
        </w:tabs>
        <w:snapToGrid w:val="0"/>
        <w:spacing w:before="120" w:after="120"/>
        <w:ind w:firstLine="643"/>
        <w:outlineLvl w:val="9"/>
        <w:rPr>
          <w:rFonts w:cs="宋体" w:asciiTheme="majorEastAsia" w:hAnsiTheme="majorEastAsia" w:eastAsiaTheme="majorEastAsia"/>
          <w:b w:val="0"/>
          <w:sz w:val="32"/>
          <w:szCs w:val="32"/>
        </w:rPr>
      </w:pPr>
    </w:p>
    <w:p w14:paraId="1D116D70">
      <w:pPr>
        <w:spacing w:line="360" w:lineRule="auto"/>
        <w:ind w:right="420" w:firstLine="3614" w:firstLineChars="1000"/>
        <w:rPr>
          <w:rFonts w:cs="宋体" w:asciiTheme="majorEastAsia" w:hAnsiTheme="majorEastAsia" w:eastAsiaTheme="majorEastAsia"/>
          <w:b/>
          <w:kern w:val="0"/>
          <w:sz w:val="36"/>
          <w:szCs w:val="36"/>
        </w:rPr>
      </w:pPr>
    </w:p>
    <w:p w14:paraId="14D9865E">
      <w:pPr>
        <w:spacing w:line="360" w:lineRule="auto"/>
        <w:ind w:right="420" w:firstLine="3614" w:firstLineChars="1000"/>
        <w:rPr>
          <w:rFonts w:cs="宋体" w:asciiTheme="majorEastAsia" w:hAnsiTheme="majorEastAsia" w:eastAsiaTheme="majorEastAsia"/>
          <w:b/>
          <w:kern w:val="0"/>
          <w:sz w:val="36"/>
          <w:szCs w:val="36"/>
        </w:rPr>
      </w:pPr>
    </w:p>
    <w:p w14:paraId="106237E0">
      <w:pPr>
        <w:spacing w:line="360" w:lineRule="auto"/>
        <w:ind w:right="420" w:firstLine="3614" w:firstLineChars="1000"/>
        <w:rPr>
          <w:rFonts w:cs="宋体" w:asciiTheme="majorEastAsia" w:hAnsiTheme="majorEastAsia" w:eastAsiaTheme="majorEastAsia"/>
          <w:b/>
          <w:kern w:val="0"/>
          <w:sz w:val="36"/>
          <w:szCs w:val="36"/>
        </w:rPr>
      </w:pPr>
    </w:p>
    <w:p w14:paraId="5D023F34">
      <w:pPr>
        <w:spacing w:line="360" w:lineRule="auto"/>
        <w:ind w:right="420" w:firstLine="3614" w:firstLineChars="1000"/>
        <w:rPr>
          <w:rFonts w:cs="宋体" w:asciiTheme="majorEastAsia" w:hAnsiTheme="majorEastAsia" w:eastAsiaTheme="majorEastAsia"/>
          <w:b/>
          <w:kern w:val="0"/>
          <w:sz w:val="36"/>
          <w:szCs w:val="36"/>
        </w:rPr>
      </w:pPr>
    </w:p>
    <w:p w14:paraId="562F6390">
      <w:pPr>
        <w:spacing w:line="360" w:lineRule="auto"/>
        <w:ind w:right="420" w:firstLine="3614" w:firstLineChars="1000"/>
        <w:rPr>
          <w:rFonts w:cs="宋体" w:asciiTheme="majorEastAsia" w:hAnsiTheme="majorEastAsia" w:eastAsiaTheme="majorEastAsia"/>
          <w:b/>
          <w:kern w:val="0"/>
          <w:sz w:val="36"/>
          <w:szCs w:val="36"/>
        </w:rPr>
      </w:pPr>
    </w:p>
    <w:p w14:paraId="5061E00C">
      <w:pPr>
        <w:spacing w:line="360" w:lineRule="auto"/>
        <w:ind w:right="420" w:firstLine="3614" w:firstLineChars="1000"/>
        <w:rPr>
          <w:rFonts w:cs="宋体" w:asciiTheme="majorEastAsia" w:hAnsiTheme="majorEastAsia" w:eastAsiaTheme="majorEastAsia"/>
          <w:b/>
          <w:kern w:val="0"/>
          <w:sz w:val="36"/>
          <w:szCs w:val="36"/>
        </w:rPr>
      </w:pPr>
    </w:p>
    <w:p w14:paraId="05AF21A1">
      <w:pPr>
        <w:spacing w:line="360" w:lineRule="auto"/>
        <w:ind w:right="420" w:firstLine="3614" w:firstLineChars="1000"/>
        <w:rPr>
          <w:rFonts w:cs="宋体" w:asciiTheme="majorEastAsia" w:hAnsiTheme="majorEastAsia" w:eastAsiaTheme="majorEastAsia"/>
          <w:b/>
          <w:kern w:val="0"/>
          <w:sz w:val="36"/>
          <w:szCs w:val="36"/>
        </w:rPr>
      </w:pPr>
    </w:p>
    <w:p w14:paraId="5A22E543">
      <w:pPr>
        <w:spacing w:line="360" w:lineRule="auto"/>
        <w:ind w:right="420" w:firstLine="3614" w:firstLineChars="1000"/>
        <w:rPr>
          <w:rFonts w:cs="宋体" w:asciiTheme="majorEastAsia" w:hAnsiTheme="majorEastAsia" w:eastAsiaTheme="majorEastAsia"/>
          <w:b/>
          <w:kern w:val="0"/>
          <w:sz w:val="36"/>
          <w:szCs w:val="36"/>
        </w:rPr>
      </w:pPr>
    </w:p>
    <w:p w14:paraId="0E989C47">
      <w:pPr>
        <w:spacing w:line="360" w:lineRule="auto"/>
        <w:ind w:right="420" w:firstLine="3614" w:firstLineChars="1000"/>
        <w:rPr>
          <w:rFonts w:cs="宋体" w:asciiTheme="majorEastAsia" w:hAnsiTheme="majorEastAsia" w:eastAsiaTheme="majorEastAsia"/>
          <w:b/>
          <w:kern w:val="0"/>
          <w:sz w:val="36"/>
          <w:szCs w:val="36"/>
        </w:rPr>
      </w:pPr>
    </w:p>
    <w:p w14:paraId="4BB3C66F">
      <w:pPr>
        <w:spacing w:line="360" w:lineRule="auto"/>
        <w:ind w:right="420" w:firstLine="3614" w:firstLineChars="1000"/>
        <w:rPr>
          <w:rFonts w:cs="宋体" w:asciiTheme="majorEastAsia" w:hAnsiTheme="majorEastAsia" w:eastAsiaTheme="majorEastAsia"/>
          <w:b/>
          <w:kern w:val="0"/>
          <w:sz w:val="36"/>
          <w:szCs w:val="36"/>
        </w:rPr>
      </w:pPr>
    </w:p>
    <w:p w14:paraId="26A07542">
      <w:pPr>
        <w:spacing w:line="360" w:lineRule="auto"/>
        <w:ind w:right="420" w:firstLine="3614" w:firstLineChars="1000"/>
        <w:rPr>
          <w:rFonts w:cs="宋体" w:asciiTheme="majorEastAsia" w:hAnsiTheme="majorEastAsia" w:eastAsiaTheme="majorEastAsia"/>
          <w:b/>
          <w:kern w:val="0"/>
          <w:sz w:val="36"/>
          <w:szCs w:val="36"/>
        </w:rPr>
      </w:pPr>
    </w:p>
    <w:p w14:paraId="47CA4651">
      <w:pPr>
        <w:pStyle w:val="3"/>
        <w:keepNext w:val="0"/>
        <w:keepLines w:val="0"/>
        <w:pageBreakBefore/>
        <w:widowControl/>
        <w:spacing w:before="100" w:beforeAutospacing="1" w:after="100" w:afterAutospacing="1" w:line="360" w:lineRule="auto"/>
        <w:ind w:left="1290" w:firstLine="3092" w:firstLineChars="700"/>
        <w:rPr>
          <w:rFonts w:cs="宋体" w:asciiTheme="majorEastAsia" w:hAnsiTheme="majorEastAsia" w:eastAsiaTheme="majorEastAsia"/>
        </w:rPr>
      </w:pPr>
      <w:r>
        <w:rPr>
          <w:rFonts w:hint="eastAsia" w:cs="宋体" w:asciiTheme="majorEastAsia" w:hAnsiTheme="majorEastAsia" w:eastAsiaTheme="majorEastAsia"/>
        </w:rPr>
        <w:t>附件</w:t>
      </w:r>
    </w:p>
    <w:p w14:paraId="07396025">
      <w:pPr>
        <w:snapToGrid w:val="0"/>
        <w:spacing w:line="360" w:lineRule="auto"/>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附件1：</w:t>
      </w:r>
    </w:p>
    <w:p w14:paraId="75587EF9">
      <w:pPr>
        <w:snapToGrid w:val="0"/>
        <w:spacing w:line="360" w:lineRule="auto"/>
        <w:jc w:val="center"/>
        <w:outlineLvl w:val="0"/>
        <w:rPr>
          <w:rFonts w:cs="宋体" w:asciiTheme="majorEastAsia" w:hAnsiTheme="majorEastAsia" w:eastAsiaTheme="majorEastAsia"/>
          <w:b/>
          <w:kern w:val="0"/>
          <w:sz w:val="32"/>
          <w:szCs w:val="32"/>
        </w:rPr>
      </w:pPr>
      <w:bookmarkStart w:id="436" w:name="OLE_LINK13"/>
      <w:bookmarkStart w:id="437" w:name="OLE_LINK14"/>
      <w:r>
        <w:rPr>
          <w:rFonts w:hint="eastAsia" w:cs="宋体" w:asciiTheme="majorEastAsia" w:hAnsiTheme="majorEastAsia" w:eastAsiaTheme="majorEastAsia"/>
          <w:b/>
          <w:kern w:val="0"/>
          <w:sz w:val="32"/>
          <w:szCs w:val="32"/>
        </w:rPr>
        <w:t>残疾人福利性单位声明函</w:t>
      </w:r>
    </w:p>
    <w:bookmarkEnd w:id="436"/>
    <w:bookmarkEnd w:id="437"/>
    <w:p w14:paraId="67D729AF">
      <w:pPr>
        <w:spacing w:line="360" w:lineRule="auto"/>
        <w:rPr>
          <w:rFonts w:cs="宋体" w:asciiTheme="majorEastAsia" w:hAnsiTheme="majorEastAsia" w:eastAsiaTheme="majorEastAsia"/>
          <w:b/>
          <w:spacing w:val="6"/>
          <w:sz w:val="30"/>
          <w:szCs w:val="30"/>
        </w:rPr>
      </w:pPr>
    </w:p>
    <w:p w14:paraId="4C7BE80C">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ajorEastAsia" w:hAnsiTheme="majorEastAsia" w:eastAsiaTheme="majorEastAsia"/>
          <w:sz w:val="24"/>
          <w:u w:val="single"/>
        </w:rPr>
        <w:t>(采购人)</w:t>
      </w:r>
      <w:r>
        <w:rPr>
          <w:rFonts w:hint="eastAsia" w:cs="宋体" w:asciiTheme="majorEastAsia" w:hAnsiTheme="majorEastAsia" w:eastAsiaTheme="majorEastAsia"/>
          <w:sz w:val="24"/>
        </w:rPr>
        <w:t>_单位的_</w:t>
      </w:r>
      <w:r>
        <w:rPr>
          <w:rFonts w:hint="eastAsia" w:cs="宋体" w:asciiTheme="majorEastAsia" w:hAnsiTheme="majorEastAsia" w:eastAsiaTheme="majorEastAsia"/>
          <w:sz w:val="24"/>
          <w:u w:val="single"/>
        </w:rPr>
        <w:t>（项目名称）</w:t>
      </w:r>
      <w:r>
        <w:rPr>
          <w:rFonts w:hint="eastAsia" w:cs="宋体" w:asciiTheme="majorEastAsia" w:hAnsiTheme="majorEastAsia" w:eastAsiaTheme="majorEastAsia"/>
          <w:sz w:val="24"/>
        </w:rPr>
        <w:t>__项目采购活动提供本单位制造的货物（由本单位承担工程/提供服务），或者提供其他残疾人福利性单位制造的货物（不包括使用非残疾人福利性单位注册商标的货物）。</w:t>
      </w:r>
    </w:p>
    <w:p w14:paraId="5DF0FB34">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本单位对上述声明的真实性负责。如有虚假，将依法承担相应责任。</w:t>
      </w:r>
    </w:p>
    <w:p w14:paraId="3E26C2EC">
      <w:pPr>
        <w:spacing w:line="360" w:lineRule="auto"/>
        <w:ind w:firstLine="480" w:firstLineChars="200"/>
        <w:rPr>
          <w:rFonts w:cs="宋体" w:asciiTheme="majorEastAsia" w:hAnsiTheme="majorEastAsia" w:eastAsiaTheme="majorEastAsia"/>
          <w:sz w:val="24"/>
        </w:rPr>
      </w:pPr>
    </w:p>
    <w:p w14:paraId="77E47A8B">
      <w:pPr>
        <w:spacing w:line="360" w:lineRule="auto"/>
        <w:ind w:firstLine="480" w:firstLineChars="200"/>
        <w:rPr>
          <w:rFonts w:cs="宋体" w:asciiTheme="majorEastAsia" w:hAnsiTheme="majorEastAsia" w:eastAsiaTheme="majorEastAsia"/>
          <w:sz w:val="24"/>
        </w:rPr>
      </w:pPr>
    </w:p>
    <w:p w14:paraId="123EFE15">
      <w:pPr>
        <w:tabs>
          <w:tab w:val="left" w:pos="4860"/>
        </w:tabs>
        <w:spacing w:line="360" w:lineRule="auto"/>
        <w:ind w:right="1560" w:firstLine="480" w:firstLineChars="200"/>
        <w:jc w:val="center"/>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投标人名称（电子签名）</w:t>
      </w:r>
      <w:r>
        <w:rPr>
          <w:rFonts w:hint="eastAsia" w:cs="宋体" w:asciiTheme="majorEastAsia" w:hAnsiTheme="majorEastAsia" w:eastAsiaTheme="majorEastAsia"/>
          <w:sz w:val="24"/>
        </w:rPr>
        <w:t>：</w:t>
      </w:r>
    </w:p>
    <w:p w14:paraId="28FDE12B">
      <w:pPr>
        <w:tabs>
          <w:tab w:val="left" w:pos="4860"/>
        </w:tabs>
        <w:spacing w:line="360" w:lineRule="auto"/>
        <w:ind w:right="1560" w:firstLine="480" w:firstLineChars="200"/>
        <w:jc w:val="center"/>
        <w:rPr>
          <w:rFonts w:cs="宋体" w:asciiTheme="majorEastAsia" w:hAnsiTheme="majorEastAsia" w:eastAsiaTheme="majorEastAsia"/>
          <w:sz w:val="24"/>
        </w:rPr>
      </w:pPr>
      <w:r>
        <w:rPr>
          <w:rFonts w:hint="eastAsia" w:cs="宋体" w:asciiTheme="majorEastAsia" w:hAnsiTheme="majorEastAsia" w:eastAsiaTheme="majorEastAsia"/>
          <w:sz w:val="24"/>
        </w:rPr>
        <w:t>日  期：</w:t>
      </w:r>
    </w:p>
    <w:p w14:paraId="3D36F511">
      <w:pPr>
        <w:spacing w:line="360" w:lineRule="auto"/>
        <w:ind w:firstLine="480" w:firstLineChars="200"/>
        <w:rPr>
          <w:rFonts w:cs="宋体" w:asciiTheme="majorEastAsia" w:hAnsiTheme="majorEastAsia" w:eastAsiaTheme="majorEastAsia"/>
          <w:sz w:val="24"/>
        </w:rPr>
      </w:pPr>
    </w:p>
    <w:p w14:paraId="3FF41FC9">
      <w:pPr>
        <w:spacing w:line="360" w:lineRule="auto"/>
        <w:ind w:firstLine="420" w:firstLineChars="200"/>
        <w:rPr>
          <w:rFonts w:cs="宋体" w:asciiTheme="majorEastAsia" w:hAnsiTheme="majorEastAsia" w:eastAsiaTheme="majorEastAsia"/>
        </w:rPr>
      </w:pPr>
    </w:p>
    <w:p w14:paraId="2E66CAAC">
      <w:pPr>
        <w:spacing w:line="360" w:lineRule="auto"/>
        <w:ind w:firstLine="420" w:firstLineChars="200"/>
        <w:rPr>
          <w:rFonts w:cs="宋体" w:asciiTheme="majorEastAsia" w:hAnsiTheme="majorEastAsia" w:eastAsiaTheme="majorEastAsia"/>
        </w:rPr>
      </w:pPr>
    </w:p>
    <w:p w14:paraId="564DCAE4">
      <w:pPr>
        <w:spacing w:line="360" w:lineRule="auto"/>
        <w:ind w:firstLine="420" w:firstLineChars="200"/>
        <w:rPr>
          <w:rFonts w:cs="宋体" w:asciiTheme="majorEastAsia" w:hAnsiTheme="majorEastAsia" w:eastAsiaTheme="majorEastAsia"/>
        </w:rPr>
      </w:pPr>
    </w:p>
    <w:p w14:paraId="36008789">
      <w:pPr>
        <w:spacing w:line="360" w:lineRule="auto"/>
        <w:ind w:firstLine="420" w:firstLineChars="200"/>
        <w:rPr>
          <w:rFonts w:cs="宋体" w:asciiTheme="majorEastAsia" w:hAnsiTheme="majorEastAsia" w:eastAsiaTheme="majorEastAsia"/>
        </w:rPr>
      </w:pPr>
    </w:p>
    <w:p w14:paraId="62B8DF3F">
      <w:pPr>
        <w:spacing w:line="360" w:lineRule="auto"/>
        <w:rPr>
          <w:rFonts w:cs="宋体" w:asciiTheme="majorEastAsia" w:hAnsiTheme="majorEastAsia" w:eastAsiaTheme="majorEastAsia"/>
          <w:b/>
          <w:sz w:val="24"/>
        </w:rPr>
      </w:pPr>
    </w:p>
    <w:p w14:paraId="6D3F3C7F">
      <w:pPr>
        <w:spacing w:line="360" w:lineRule="auto"/>
        <w:rPr>
          <w:rFonts w:cs="宋体" w:asciiTheme="majorEastAsia" w:hAnsiTheme="majorEastAsia" w:eastAsiaTheme="majorEastAsia"/>
          <w:b/>
          <w:sz w:val="24"/>
        </w:rPr>
      </w:pPr>
    </w:p>
    <w:p w14:paraId="24526175">
      <w:pPr>
        <w:spacing w:line="360" w:lineRule="auto"/>
        <w:rPr>
          <w:rFonts w:cs="宋体" w:asciiTheme="majorEastAsia" w:hAnsiTheme="majorEastAsia" w:eastAsiaTheme="majorEastAsia"/>
          <w:b/>
          <w:sz w:val="24"/>
        </w:rPr>
      </w:pPr>
    </w:p>
    <w:p w14:paraId="07C882D2">
      <w:pPr>
        <w:spacing w:line="360" w:lineRule="auto"/>
        <w:rPr>
          <w:rFonts w:cs="宋体" w:asciiTheme="majorEastAsia" w:hAnsiTheme="majorEastAsia" w:eastAsiaTheme="majorEastAsia"/>
          <w:b/>
          <w:sz w:val="24"/>
        </w:rPr>
      </w:pPr>
    </w:p>
    <w:p w14:paraId="637CDE22">
      <w:pPr>
        <w:spacing w:line="360" w:lineRule="auto"/>
        <w:rPr>
          <w:rFonts w:cs="宋体" w:asciiTheme="majorEastAsia" w:hAnsiTheme="majorEastAsia" w:eastAsiaTheme="majorEastAsia"/>
          <w:b/>
          <w:sz w:val="24"/>
        </w:rPr>
      </w:pPr>
    </w:p>
    <w:p w14:paraId="4C81CDE2">
      <w:pPr>
        <w:spacing w:line="360" w:lineRule="auto"/>
        <w:rPr>
          <w:rFonts w:cs="宋体" w:asciiTheme="majorEastAsia" w:hAnsiTheme="majorEastAsia" w:eastAsiaTheme="majorEastAsia"/>
          <w:b/>
          <w:sz w:val="24"/>
        </w:rPr>
      </w:pPr>
    </w:p>
    <w:p w14:paraId="1BC2783F">
      <w:pPr>
        <w:spacing w:line="360" w:lineRule="auto"/>
        <w:rPr>
          <w:rFonts w:cs="宋体" w:asciiTheme="majorEastAsia" w:hAnsiTheme="majorEastAsia" w:eastAsiaTheme="majorEastAsia"/>
          <w:b/>
          <w:sz w:val="24"/>
        </w:rPr>
      </w:pPr>
    </w:p>
    <w:p w14:paraId="1451126E">
      <w:pPr>
        <w:spacing w:line="360" w:lineRule="auto"/>
        <w:rPr>
          <w:rFonts w:cs="宋体" w:asciiTheme="majorEastAsia" w:hAnsiTheme="majorEastAsia" w:eastAsiaTheme="majorEastAsia"/>
          <w:b/>
          <w:sz w:val="24"/>
        </w:rPr>
      </w:pPr>
    </w:p>
    <w:p w14:paraId="7E0F48FC">
      <w:pPr>
        <w:spacing w:line="360" w:lineRule="auto"/>
        <w:rPr>
          <w:rFonts w:cs="宋体" w:asciiTheme="majorEastAsia" w:hAnsiTheme="majorEastAsia" w:eastAsiaTheme="majorEastAsia"/>
          <w:b/>
          <w:sz w:val="24"/>
        </w:rPr>
      </w:pPr>
    </w:p>
    <w:p w14:paraId="474B2515">
      <w:pPr>
        <w:snapToGrid w:val="0"/>
        <w:spacing w:line="360" w:lineRule="auto"/>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附件2：质疑函范本及制作说明</w:t>
      </w:r>
    </w:p>
    <w:p w14:paraId="208E85A3">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质疑函范本</w:t>
      </w:r>
    </w:p>
    <w:p w14:paraId="4745CCE3">
      <w:pPr>
        <w:snapToGrid w:val="0"/>
        <w:spacing w:before="240" w:beforeLines="100"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一、质疑供应商基本信息</w:t>
      </w:r>
    </w:p>
    <w:p w14:paraId="2EFFE82E">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质疑供应商：</w:t>
      </w:r>
      <w:r>
        <w:rPr>
          <w:rFonts w:hint="eastAsia" w:cs="宋体" w:asciiTheme="majorEastAsia" w:hAnsiTheme="majorEastAsia" w:eastAsiaTheme="majorEastAsia"/>
          <w:sz w:val="24"/>
          <w:u w:val="dotted"/>
        </w:rPr>
        <w:t xml:space="preserve">                                        </w:t>
      </w:r>
    </w:p>
    <w:p w14:paraId="64F263A7">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地址：</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6FB3B46A">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联系人：</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p>
    <w:p w14:paraId="430803FB">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授权代表：</w:t>
      </w:r>
      <w:r>
        <w:rPr>
          <w:rFonts w:hint="eastAsia" w:cs="宋体" w:asciiTheme="majorEastAsia" w:hAnsiTheme="majorEastAsia" w:eastAsiaTheme="majorEastAsia"/>
          <w:sz w:val="24"/>
          <w:u w:val="dotted"/>
        </w:rPr>
        <w:t xml:space="preserve">                                          </w:t>
      </w:r>
    </w:p>
    <w:p w14:paraId="65129E40">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 xml:space="preserve"> </w:t>
      </w:r>
    </w:p>
    <w:p w14:paraId="4A13664E">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地址： </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0710D882">
      <w:pPr>
        <w:snapToGrid w:val="0"/>
        <w:spacing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二、质疑项目基本情况</w:t>
      </w:r>
    </w:p>
    <w:p w14:paraId="5C1822B9">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质疑项目的名称：</w:t>
      </w:r>
      <w:r>
        <w:rPr>
          <w:rFonts w:hint="eastAsia" w:cs="宋体" w:asciiTheme="majorEastAsia" w:hAnsiTheme="majorEastAsia" w:eastAsiaTheme="majorEastAsia"/>
          <w:sz w:val="24"/>
          <w:u w:val="dotted"/>
        </w:rPr>
        <w:t xml:space="preserve">                                      </w:t>
      </w:r>
    </w:p>
    <w:p w14:paraId="488C0D7F">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质疑项目的编号：</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包号：</w:t>
      </w:r>
      <w:r>
        <w:rPr>
          <w:rFonts w:hint="eastAsia" w:cs="宋体" w:asciiTheme="majorEastAsia" w:hAnsiTheme="majorEastAsia" w:eastAsiaTheme="majorEastAsia"/>
          <w:sz w:val="24"/>
          <w:u w:val="dotted"/>
        </w:rPr>
        <w:t xml:space="preserve">                 </w:t>
      </w:r>
    </w:p>
    <w:p w14:paraId="4F9B5683">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采购人名称：</w:t>
      </w:r>
      <w:r>
        <w:rPr>
          <w:rFonts w:hint="eastAsia" w:cs="宋体" w:asciiTheme="majorEastAsia" w:hAnsiTheme="majorEastAsia" w:eastAsiaTheme="majorEastAsia"/>
          <w:sz w:val="24"/>
          <w:u w:val="dotted"/>
        </w:rPr>
        <w:t xml:space="preserve">                                         </w:t>
      </w:r>
    </w:p>
    <w:p w14:paraId="47C076D9">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采购文件获取日期：</w:t>
      </w:r>
      <w:r>
        <w:rPr>
          <w:rFonts w:hint="eastAsia" w:cs="宋体" w:asciiTheme="majorEastAsia" w:hAnsiTheme="majorEastAsia" w:eastAsiaTheme="majorEastAsia"/>
          <w:sz w:val="24"/>
          <w:u w:val="dotted"/>
        </w:rPr>
        <w:t xml:space="preserve">                                    </w:t>
      </w:r>
    </w:p>
    <w:p w14:paraId="75C1A673">
      <w:pPr>
        <w:snapToGrid w:val="0"/>
        <w:spacing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三、质疑事项具体内容</w:t>
      </w:r>
    </w:p>
    <w:p w14:paraId="528ECC45">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质疑事项1：</w:t>
      </w:r>
      <w:r>
        <w:rPr>
          <w:rFonts w:hint="eastAsia" w:cs="宋体" w:asciiTheme="majorEastAsia" w:hAnsiTheme="majorEastAsia" w:eastAsiaTheme="majorEastAsia"/>
          <w:sz w:val="24"/>
          <w:u w:val="dotted"/>
        </w:rPr>
        <w:t xml:space="preserve">                                         </w:t>
      </w:r>
    </w:p>
    <w:p w14:paraId="634E954F">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事实依据：</w:t>
      </w:r>
      <w:r>
        <w:rPr>
          <w:rFonts w:hint="eastAsia" w:cs="宋体" w:asciiTheme="majorEastAsia" w:hAnsiTheme="majorEastAsia" w:eastAsiaTheme="majorEastAsia"/>
          <w:sz w:val="24"/>
          <w:u w:val="dotted"/>
        </w:rPr>
        <w:t xml:space="preserve">                                          </w:t>
      </w:r>
    </w:p>
    <w:p w14:paraId="0D5414C8">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u w:val="dotted"/>
        </w:rPr>
        <w:t xml:space="preserve">                                                       </w:t>
      </w:r>
    </w:p>
    <w:p w14:paraId="3C28DBFD">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法律依据：</w:t>
      </w:r>
      <w:r>
        <w:rPr>
          <w:rFonts w:hint="eastAsia" w:cs="宋体" w:asciiTheme="majorEastAsia" w:hAnsiTheme="majorEastAsia" w:eastAsiaTheme="majorEastAsia"/>
          <w:sz w:val="24"/>
          <w:u w:val="dotted"/>
        </w:rPr>
        <w:t xml:space="preserve">                                          </w:t>
      </w:r>
    </w:p>
    <w:p w14:paraId="2CD20BFB">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u w:val="dotted"/>
        </w:rPr>
        <w:t xml:space="preserve">                                                     </w:t>
      </w:r>
    </w:p>
    <w:p w14:paraId="08BE486E">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质疑事项2</w:t>
      </w:r>
    </w:p>
    <w:p w14:paraId="208E685F">
      <w:pPr>
        <w:snapToGrid w:val="0"/>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w:t>
      </w:r>
    </w:p>
    <w:p w14:paraId="714D0AD5">
      <w:pPr>
        <w:snapToGrid w:val="0"/>
        <w:spacing w:line="360" w:lineRule="auto"/>
        <w:rPr>
          <w:rFonts w:cs="宋体" w:asciiTheme="majorEastAsia" w:hAnsiTheme="majorEastAsia" w:eastAsiaTheme="majorEastAsia"/>
          <w:bCs/>
          <w:sz w:val="24"/>
        </w:rPr>
      </w:pPr>
      <w:r>
        <w:rPr>
          <w:rFonts w:hint="eastAsia" w:cs="宋体" w:asciiTheme="majorEastAsia" w:hAnsiTheme="majorEastAsia" w:eastAsiaTheme="majorEastAsia"/>
          <w:bCs/>
          <w:sz w:val="24"/>
        </w:rPr>
        <w:t>四、与质疑事项相关的质疑请求</w:t>
      </w:r>
    </w:p>
    <w:p w14:paraId="2854B781">
      <w:pPr>
        <w:snapToGrid w:val="0"/>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请求：</w:t>
      </w:r>
      <w:r>
        <w:rPr>
          <w:rFonts w:hint="eastAsia" w:cs="宋体" w:asciiTheme="majorEastAsia" w:hAnsiTheme="majorEastAsia" w:eastAsiaTheme="majorEastAsia"/>
          <w:sz w:val="24"/>
          <w:u w:val="dotted"/>
        </w:rPr>
        <w:t xml:space="preserve">                                               </w:t>
      </w:r>
    </w:p>
    <w:p w14:paraId="066E3505">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签字(签章)：                   公章：                      </w:t>
      </w:r>
    </w:p>
    <w:p w14:paraId="4C5D8852">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日期：</w:t>
      </w:r>
    </w:p>
    <w:p w14:paraId="636EDD94">
      <w:pPr>
        <w:spacing w:line="360" w:lineRule="auto"/>
        <w:jc w:val="center"/>
        <w:rPr>
          <w:rFonts w:cs="宋体" w:asciiTheme="majorEastAsia" w:hAnsiTheme="majorEastAsia" w:eastAsiaTheme="majorEastAsia"/>
          <w:b/>
          <w:bCs/>
          <w:sz w:val="24"/>
        </w:rPr>
      </w:pPr>
    </w:p>
    <w:p w14:paraId="6FB1C49B">
      <w:pPr>
        <w:spacing w:line="360" w:lineRule="auto"/>
        <w:rPr>
          <w:rFonts w:cs="宋体" w:asciiTheme="majorEastAsia" w:hAnsiTheme="majorEastAsia" w:eastAsiaTheme="majorEastAsia"/>
          <w:b/>
          <w:sz w:val="24"/>
        </w:rPr>
      </w:pPr>
    </w:p>
    <w:p w14:paraId="26BBC8B3">
      <w:pPr>
        <w:spacing w:line="360" w:lineRule="auto"/>
        <w:rPr>
          <w:rFonts w:cs="宋体" w:asciiTheme="majorEastAsia" w:hAnsiTheme="majorEastAsia" w:eastAsiaTheme="majorEastAsia"/>
          <w:b/>
          <w:sz w:val="24"/>
        </w:rPr>
      </w:pPr>
    </w:p>
    <w:p w14:paraId="3EB18E93">
      <w:pPr>
        <w:spacing w:line="360" w:lineRule="auto"/>
        <w:rPr>
          <w:rFonts w:cs="宋体" w:asciiTheme="majorEastAsia" w:hAnsiTheme="majorEastAsia" w:eastAsiaTheme="majorEastAsia"/>
          <w:b/>
          <w:sz w:val="24"/>
        </w:rPr>
      </w:pPr>
    </w:p>
    <w:p w14:paraId="12FE0326">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质疑函制作说明：</w:t>
      </w:r>
    </w:p>
    <w:p w14:paraId="4C3E5A57">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1.供应商提出质疑时，应提交质疑函和必要的证明材料。</w:t>
      </w:r>
    </w:p>
    <w:p w14:paraId="16E43E15">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14:paraId="2A2A81C9">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3.质疑供应商若对项目的某一分包进行质疑，质疑函中应列明具体分包号。</w:t>
      </w:r>
    </w:p>
    <w:p w14:paraId="38454945">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4.质疑函的质疑事项应具体、明确，并有必要的事实依据和法律依据。</w:t>
      </w:r>
    </w:p>
    <w:p w14:paraId="0F2195BA">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5.质疑函的质疑请求应与质疑事项相关。</w:t>
      </w:r>
    </w:p>
    <w:p w14:paraId="27CBA08C">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14:paraId="57993E20">
      <w:pPr>
        <w:widowControl/>
        <w:spacing w:line="360" w:lineRule="auto"/>
        <w:ind w:firstLine="600" w:firstLineChars="200"/>
        <w:jc w:val="left"/>
        <w:rPr>
          <w:rFonts w:cs="宋体" w:asciiTheme="majorEastAsia" w:hAnsiTheme="majorEastAsia" w:eastAsiaTheme="majorEastAsia"/>
          <w:sz w:val="30"/>
          <w:szCs w:val="30"/>
        </w:rPr>
      </w:pPr>
    </w:p>
    <w:p w14:paraId="74EA23E1">
      <w:pPr>
        <w:spacing w:line="360" w:lineRule="auto"/>
        <w:jc w:val="center"/>
        <w:rPr>
          <w:rFonts w:cs="宋体" w:asciiTheme="majorEastAsia" w:hAnsiTheme="majorEastAsia" w:eastAsiaTheme="majorEastAsia"/>
          <w:b/>
          <w:spacing w:val="6"/>
          <w:sz w:val="32"/>
          <w:szCs w:val="32"/>
        </w:rPr>
      </w:pPr>
    </w:p>
    <w:p w14:paraId="34E9E370">
      <w:pPr>
        <w:spacing w:line="360" w:lineRule="auto"/>
        <w:jc w:val="center"/>
        <w:rPr>
          <w:rFonts w:cs="宋体" w:asciiTheme="majorEastAsia" w:hAnsiTheme="majorEastAsia" w:eastAsiaTheme="majorEastAsia"/>
          <w:b/>
          <w:spacing w:val="6"/>
          <w:sz w:val="32"/>
          <w:szCs w:val="32"/>
        </w:rPr>
      </w:pPr>
    </w:p>
    <w:p w14:paraId="3CCF0A7E">
      <w:pPr>
        <w:spacing w:line="360" w:lineRule="auto"/>
        <w:jc w:val="center"/>
        <w:rPr>
          <w:rFonts w:cs="宋体" w:asciiTheme="majorEastAsia" w:hAnsiTheme="majorEastAsia" w:eastAsiaTheme="majorEastAsia"/>
          <w:b/>
          <w:spacing w:val="6"/>
          <w:sz w:val="32"/>
          <w:szCs w:val="32"/>
        </w:rPr>
      </w:pPr>
    </w:p>
    <w:p w14:paraId="4EE7D9C4">
      <w:pPr>
        <w:spacing w:line="360" w:lineRule="auto"/>
        <w:jc w:val="center"/>
        <w:rPr>
          <w:rFonts w:cs="宋体" w:asciiTheme="majorEastAsia" w:hAnsiTheme="majorEastAsia" w:eastAsiaTheme="majorEastAsia"/>
          <w:b/>
          <w:spacing w:val="6"/>
          <w:sz w:val="32"/>
          <w:szCs w:val="32"/>
        </w:rPr>
      </w:pPr>
    </w:p>
    <w:p w14:paraId="69FB748F">
      <w:pPr>
        <w:spacing w:line="360" w:lineRule="auto"/>
        <w:jc w:val="center"/>
        <w:rPr>
          <w:rFonts w:cs="宋体" w:asciiTheme="majorEastAsia" w:hAnsiTheme="majorEastAsia" w:eastAsiaTheme="majorEastAsia"/>
          <w:b/>
          <w:spacing w:val="6"/>
          <w:sz w:val="32"/>
          <w:szCs w:val="32"/>
        </w:rPr>
      </w:pPr>
    </w:p>
    <w:p w14:paraId="0F062986">
      <w:pPr>
        <w:spacing w:line="360" w:lineRule="auto"/>
        <w:jc w:val="center"/>
        <w:rPr>
          <w:rFonts w:cs="宋体" w:asciiTheme="majorEastAsia" w:hAnsiTheme="majorEastAsia" w:eastAsiaTheme="majorEastAsia"/>
          <w:b/>
          <w:spacing w:val="6"/>
          <w:sz w:val="32"/>
          <w:szCs w:val="32"/>
        </w:rPr>
      </w:pPr>
    </w:p>
    <w:p w14:paraId="5640ED45">
      <w:pPr>
        <w:spacing w:line="360" w:lineRule="auto"/>
        <w:jc w:val="center"/>
        <w:rPr>
          <w:rFonts w:cs="宋体" w:asciiTheme="majorEastAsia" w:hAnsiTheme="majorEastAsia" w:eastAsiaTheme="majorEastAsia"/>
          <w:b/>
          <w:spacing w:val="6"/>
          <w:sz w:val="32"/>
          <w:szCs w:val="32"/>
        </w:rPr>
      </w:pPr>
    </w:p>
    <w:p w14:paraId="4513E89A">
      <w:pPr>
        <w:spacing w:line="360" w:lineRule="auto"/>
        <w:jc w:val="center"/>
        <w:rPr>
          <w:rFonts w:cs="宋体" w:asciiTheme="majorEastAsia" w:hAnsiTheme="majorEastAsia" w:eastAsiaTheme="majorEastAsia"/>
          <w:b/>
          <w:spacing w:val="6"/>
          <w:sz w:val="32"/>
          <w:szCs w:val="32"/>
        </w:rPr>
      </w:pPr>
    </w:p>
    <w:p w14:paraId="18277E54">
      <w:pPr>
        <w:spacing w:line="360" w:lineRule="auto"/>
        <w:jc w:val="center"/>
        <w:rPr>
          <w:rFonts w:cs="宋体" w:asciiTheme="majorEastAsia" w:hAnsiTheme="majorEastAsia" w:eastAsiaTheme="majorEastAsia"/>
          <w:b/>
          <w:spacing w:val="6"/>
          <w:sz w:val="32"/>
          <w:szCs w:val="32"/>
        </w:rPr>
      </w:pPr>
    </w:p>
    <w:p w14:paraId="5D07F1DB">
      <w:pPr>
        <w:spacing w:line="360" w:lineRule="auto"/>
        <w:jc w:val="center"/>
        <w:rPr>
          <w:rFonts w:cs="宋体" w:asciiTheme="majorEastAsia" w:hAnsiTheme="majorEastAsia" w:eastAsiaTheme="majorEastAsia"/>
          <w:b/>
          <w:spacing w:val="6"/>
          <w:sz w:val="32"/>
          <w:szCs w:val="32"/>
        </w:rPr>
      </w:pPr>
    </w:p>
    <w:p w14:paraId="74C7A240">
      <w:pPr>
        <w:spacing w:line="360" w:lineRule="auto"/>
        <w:jc w:val="center"/>
        <w:rPr>
          <w:rFonts w:cs="宋体" w:asciiTheme="majorEastAsia" w:hAnsiTheme="majorEastAsia" w:eastAsiaTheme="majorEastAsia"/>
          <w:b/>
          <w:spacing w:val="6"/>
          <w:sz w:val="32"/>
          <w:szCs w:val="32"/>
        </w:rPr>
      </w:pPr>
    </w:p>
    <w:p w14:paraId="2B7467F8">
      <w:pPr>
        <w:spacing w:line="360" w:lineRule="auto"/>
        <w:jc w:val="center"/>
        <w:rPr>
          <w:rFonts w:cs="宋体" w:asciiTheme="majorEastAsia" w:hAnsiTheme="majorEastAsia" w:eastAsiaTheme="majorEastAsia"/>
          <w:b/>
          <w:spacing w:val="6"/>
          <w:sz w:val="32"/>
          <w:szCs w:val="32"/>
        </w:rPr>
      </w:pPr>
    </w:p>
    <w:p w14:paraId="06209EB2">
      <w:pPr>
        <w:spacing w:line="360" w:lineRule="auto"/>
        <w:jc w:val="left"/>
        <w:rPr>
          <w:rFonts w:cs="宋体" w:asciiTheme="majorEastAsia" w:hAnsiTheme="majorEastAsia" w:eastAsiaTheme="majorEastAsia"/>
          <w:b/>
          <w:spacing w:val="6"/>
          <w:sz w:val="32"/>
          <w:szCs w:val="32"/>
        </w:rPr>
      </w:pPr>
    </w:p>
    <w:p w14:paraId="7EAA1F1C">
      <w:pPr>
        <w:spacing w:line="360" w:lineRule="auto"/>
        <w:jc w:val="left"/>
        <w:rPr>
          <w:rFonts w:cs="宋体" w:asciiTheme="majorEastAsia" w:hAnsiTheme="majorEastAsia" w:eastAsiaTheme="majorEastAsia"/>
          <w:b/>
          <w:spacing w:val="6"/>
          <w:sz w:val="32"/>
          <w:szCs w:val="32"/>
        </w:rPr>
      </w:pPr>
    </w:p>
    <w:p w14:paraId="5A4B7DE1">
      <w:pPr>
        <w:snapToGrid w:val="0"/>
        <w:spacing w:line="360" w:lineRule="auto"/>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附件3：投诉书范本及制作说明</w:t>
      </w:r>
    </w:p>
    <w:p w14:paraId="7497F38F">
      <w:pPr>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投诉书范本</w:t>
      </w:r>
    </w:p>
    <w:p w14:paraId="65C053BA">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一、投诉相关主体基本情况</w:t>
      </w:r>
    </w:p>
    <w:p w14:paraId="3038AEF0">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投诉人：</w:t>
      </w:r>
      <w:r>
        <w:rPr>
          <w:rFonts w:hint="eastAsia" w:cs="宋体" w:asciiTheme="majorEastAsia" w:hAnsiTheme="majorEastAsia" w:eastAsiaTheme="majorEastAsia"/>
          <w:sz w:val="24"/>
          <w:u w:val="dotted"/>
        </w:rPr>
        <w:t xml:space="preserve">                                               </w:t>
      </w:r>
    </w:p>
    <w:p w14:paraId="1B8D2B90">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地     址：</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413EDD2E">
      <w:pPr>
        <w:tabs>
          <w:tab w:val="left" w:pos="6510"/>
        </w:tabs>
        <w:spacing w:line="360" w:lineRule="auto"/>
        <w:jc w:val="left"/>
        <w:rPr>
          <w:rFonts w:cs="宋体" w:asciiTheme="majorEastAsia" w:hAnsiTheme="majorEastAsia" w:eastAsiaTheme="majorEastAsia"/>
          <w:sz w:val="24"/>
        </w:rPr>
      </w:pPr>
      <w:r>
        <w:rPr>
          <w:rFonts w:hint="eastAsia" w:cs="宋体" w:asciiTheme="majorEastAsia" w:hAnsiTheme="majorEastAsia" w:eastAsiaTheme="majorEastAsia"/>
          <w:sz w:val="24"/>
        </w:rPr>
        <w:t>法定代表人/主要负责人：</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 xml:space="preserve">  </w:t>
      </w:r>
    </w:p>
    <w:p w14:paraId="2A5CE24B">
      <w:pPr>
        <w:tabs>
          <w:tab w:val="left" w:pos="6510"/>
        </w:tabs>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p>
    <w:p w14:paraId="1B4237CB">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授权代表：</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p>
    <w:p w14:paraId="25CD1576">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地     址：</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449AB52D">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被投诉人1：</w:t>
      </w:r>
      <w:r>
        <w:rPr>
          <w:rFonts w:hint="eastAsia" w:cs="宋体" w:asciiTheme="majorEastAsia" w:hAnsiTheme="majorEastAsia" w:eastAsiaTheme="majorEastAsia"/>
          <w:sz w:val="24"/>
          <w:u w:val="dotted"/>
        </w:rPr>
        <w:t xml:space="preserve">                                           </w:t>
      </w:r>
    </w:p>
    <w:p w14:paraId="1D947B19">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地     址：</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19633488">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联系人：</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p>
    <w:p w14:paraId="35F15E06">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被投诉人2</w:t>
      </w:r>
    </w:p>
    <w:p w14:paraId="4B69F4C8">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w:t>
      </w:r>
    </w:p>
    <w:p w14:paraId="7C3AE79E">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相关供应商：</w:t>
      </w:r>
      <w:r>
        <w:rPr>
          <w:rFonts w:hint="eastAsia" w:cs="宋体" w:asciiTheme="majorEastAsia" w:hAnsiTheme="majorEastAsia" w:eastAsiaTheme="majorEastAsia"/>
          <w:sz w:val="24"/>
          <w:u w:val="dotted"/>
        </w:rPr>
        <w:t xml:space="preserve">                                           </w:t>
      </w:r>
    </w:p>
    <w:p w14:paraId="29558068">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地     址：</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邮编：</w:t>
      </w:r>
      <w:r>
        <w:rPr>
          <w:rFonts w:hint="eastAsia" w:cs="宋体" w:asciiTheme="majorEastAsia" w:hAnsiTheme="majorEastAsia" w:eastAsiaTheme="majorEastAsia"/>
          <w:sz w:val="24"/>
          <w:u w:val="dotted"/>
        </w:rPr>
        <w:t xml:space="preserve">          </w:t>
      </w:r>
    </w:p>
    <w:p w14:paraId="012E2A18">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联系人：</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联系电话：</w:t>
      </w:r>
      <w:r>
        <w:rPr>
          <w:rFonts w:hint="eastAsia" w:cs="宋体" w:asciiTheme="majorEastAsia" w:hAnsiTheme="majorEastAsia" w:eastAsiaTheme="majorEastAsia"/>
          <w:sz w:val="24"/>
          <w:u w:val="dotted"/>
        </w:rPr>
        <w:t xml:space="preserve">                      </w:t>
      </w:r>
    </w:p>
    <w:p w14:paraId="49F362FC">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二、投诉项目基本情况</w:t>
      </w:r>
    </w:p>
    <w:p w14:paraId="44C4485B">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采购项目名称：</w:t>
      </w:r>
      <w:r>
        <w:rPr>
          <w:rFonts w:hint="eastAsia" w:cs="宋体" w:asciiTheme="majorEastAsia" w:hAnsiTheme="majorEastAsia" w:eastAsiaTheme="majorEastAsia"/>
          <w:sz w:val="24"/>
          <w:u w:val="dotted"/>
        </w:rPr>
        <w:t xml:space="preserve">                                        </w:t>
      </w:r>
    </w:p>
    <w:p w14:paraId="233F37F1">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采购项目编号：</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包号：</w:t>
      </w:r>
      <w:r>
        <w:rPr>
          <w:rFonts w:hint="eastAsia" w:cs="宋体" w:asciiTheme="majorEastAsia" w:hAnsiTheme="majorEastAsia" w:eastAsiaTheme="majorEastAsia"/>
          <w:sz w:val="24"/>
          <w:u w:val="dotted"/>
        </w:rPr>
        <w:t xml:space="preserve">              </w:t>
      </w:r>
    </w:p>
    <w:p w14:paraId="4510328E">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采购人名称：</w:t>
      </w:r>
      <w:r>
        <w:rPr>
          <w:rFonts w:hint="eastAsia" w:cs="宋体" w:asciiTheme="majorEastAsia" w:hAnsiTheme="majorEastAsia" w:eastAsiaTheme="majorEastAsia"/>
          <w:sz w:val="24"/>
          <w:u w:val="dotted"/>
        </w:rPr>
        <w:t xml:space="preserve">                                           </w:t>
      </w:r>
    </w:p>
    <w:p w14:paraId="65641662">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代理机构名称：</w:t>
      </w:r>
      <w:r>
        <w:rPr>
          <w:rFonts w:hint="eastAsia" w:cs="宋体" w:asciiTheme="majorEastAsia" w:hAnsiTheme="majorEastAsia" w:eastAsiaTheme="majorEastAsia"/>
          <w:sz w:val="24"/>
          <w:u w:val="dotted"/>
        </w:rPr>
        <w:t xml:space="preserve">                                         </w:t>
      </w:r>
    </w:p>
    <w:p w14:paraId="7D3F8374">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采购文件公告:</w:t>
      </w:r>
      <w:r>
        <w:rPr>
          <w:rFonts w:hint="eastAsia" w:cs="宋体" w:asciiTheme="majorEastAsia" w:hAnsiTheme="majorEastAsia" w:eastAsiaTheme="majorEastAsia"/>
          <w:sz w:val="24"/>
          <w:u w:val="dotted"/>
        </w:rPr>
        <w:t xml:space="preserve">是/否 </w:t>
      </w:r>
      <w:r>
        <w:rPr>
          <w:rFonts w:hint="eastAsia" w:cs="宋体" w:asciiTheme="majorEastAsia" w:hAnsiTheme="majorEastAsia" w:eastAsiaTheme="majorEastAsia"/>
          <w:sz w:val="24"/>
        </w:rPr>
        <w:t>公告期限：</w:t>
      </w:r>
      <w:r>
        <w:rPr>
          <w:rFonts w:hint="eastAsia" w:cs="宋体" w:asciiTheme="majorEastAsia" w:hAnsiTheme="majorEastAsia" w:eastAsiaTheme="majorEastAsia"/>
          <w:sz w:val="24"/>
          <w:u w:val="dotted"/>
        </w:rPr>
        <w:t xml:space="preserve">                           </w:t>
      </w:r>
    </w:p>
    <w:p w14:paraId="4042B768">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采购结果公告:</w:t>
      </w:r>
      <w:r>
        <w:rPr>
          <w:rFonts w:hint="eastAsia" w:cs="宋体" w:asciiTheme="majorEastAsia" w:hAnsiTheme="majorEastAsia" w:eastAsiaTheme="majorEastAsia"/>
          <w:sz w:val="24"/>
          <w:u w:val="dotted"/>
        </w:rPr>
        <w:t xml:space="preserve">是/否 </w:t>
      </w:r>
      <w:r>
        <w:rPr>
          <w:rFonts w:hint="eastAsia" w:cs="宋体" w:asciiTheme="majorEastAsia" w:hAnsiTheme="majorEastAsia" w:eastAsiaTheme="majorEastAsia"/>
          <w:sz w:val="24"/>
        </w:rPr>
        <w:t>公告期限：</w:t>
      </w:r>
      <w:r>
        <w:rPr>
          <w:rFonts w:hint="eastAsia" w:cs="宋体" w:asciiTheme="majorEastAsia" w:hAnsiTheme="majorEastAsia" w:eastAsiaTheme="majorEastAsia"/>
          <w:sz w:val="24"/>
          <w:u w:val="dotted"/>
        </w:rPr>
        <w:t xml:space="preserve">                        </w:t>
      </w:r>
    </w:p>
    <w:p w14:paraId="10C90782">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三、质疑基本情况</w:t>
      </w:r>
    </w:p>
    <w:p w14:paraId="0A1A61E1">
      <w:pPr>
        <w:spacing w:line="360" w:lineRule="auto"/>
        <w:ind w:firstLine="480" w:firstLineChars="200"/>
        <w:rPr>
          <w:rFonts w:cs="宋体" w:asciiTheme="majorEastAsia" w:hAnsiTheme="majorEastAsia" w:eastAsiaTheme="majorEastAsia"/>
          <w:sz w:val="24"/>
          <w:u w:val="dotted"/>
        </w:rPr>
      </w:pPr>
      <w:r>
        <w:rPr>
          <w:rFonts w:hint="eastAsia" w:cs="宋体" w:asciiTheme="majorEastAsia" w:hAnsiTheme="majorEastAsia" w:eastAsiaTheme="majorEastAsia"/>
          <w:sz w:val="24"/>
        </w:rPr>
        <w:t>投诉人于</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年</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月</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日,向</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提出质疑，质疑事项为：</w:t>
      </w:r>
      <w:r>
        <w:rPr>
          <w:rFonts w:hint="eastAsia" w:cs="宋体" w:asciiTheme="majorEastAsia" w:hAnsiTheme="majorEastAsia" w:eastAsiaTheme="majorEastAsia"/>
          <w:sz w:val="24"/>
          <w:u w:val="dotted"/>
        </w:rPr>
        <w:t xml:space="preserve">                                </w:t>
      </w:r>
    </w:p>
    <w:p w14:paraId="44B79EFF">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 xml:space="preserve">  </w:t>
      </w:r>
    </w:p>
    <w:p w14:paraId="13E30AFF">
      <w:pPr>
        <w:spacing w:line="360" w:lineRule="auto"/>
        <w:ind w:firstLine="360" w:firstLineChars="150"/>
        <w:rPr>
          <w:rFonts w:cs="宋体" w:asciiTheme="majorEastAsia" w:hAnsiTheme="majorEastAsia" w:eastAsiaTheme="majorEastAsia"/>
          <w:sz w:val="24"/>
        </w:rPr>
      </w:pPr>
      <w:r>
        <w:rPr>
          <w:rFonts w:hint="eastAsia" w:cs="宋体" w:asciiTheme="majorEastAsia" w:hAnsiTheme="majorEastAsia" w:eastAsiaTheme="majorEastAsia"/>
          <w:sz w:val="24"/>
          <w:u w:val="dotted"/>
        </w:rPr>
        <w:t>采购人/代理机构</w:t>
      </w:r>
      <w:r>
        <w:rPr>
          <w:rFonts w:hint="eastAsia" w:cs="宋体" w:asciiTheme="majorEastAsia" w:hAnsiTheme="majorEastAsia" w:eastAsiaTheme="majorEastAsia"/>
          <w:sz w:val="24"/>
        </w:rPr>
        <w:t>于</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年</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月</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日,就质疑事项作出了答复/没有在法定期限内作出答复。</w:t>
      </w:r>
    </w:p>
    <w:p w14:paraId="09A2E0FC">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四、投诉事项具体内容</w:t>
      </w:r>
    </w:p>
    <w:p w14:paraId="649AAF86">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投诉事项 1：</w:t>
      </w:r>
      <w:r>
        <w:rPr>
          <w:rFonts w:hint="eastAsia" w:cs="宋体" w:asciiTheme="majorEastAsia" w:hAnsiTheme="majorEastAsia" w:eastAsiaTheme="majorEastAsia"/>
          <w:sz w:val="24"/>
          <w:u w:val="dotted"/>
        </w:rPr>
        <w:t xml:space="preserve">                                       </w:t>
      </w:r>
    </w:p>
    <w:p w14:paraId="01CE929A">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事实依据：</w:t>
      </w:r>
      <w:r>
        <w:rPr>
          <w:rFonts w:hint="eastAsia" w:cs="宋体" w:asciiTheme="majorEastAsia" w:hAnsiTheme="majorEastAsia" w:eastAsiaTheme="majorEastAsia"/>
          <w:sz w:val="24"/>
          <w:u w:val="dotted"/>
        </w:rPr>
        <w:t xml:space="preserve">                                         </w:t>
      </w:r>
    </w:p>
    <w:p w14:paraId="34FC6D11">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u w:val="dotted"/>
        </w:rPr>
        <w:t xml:space="preserve">                                                      </w:t>
      </w:r>
    </w:p>
    <w:p w14:paraId="77780CC4">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法律依据：</w:t>
      </w:r>
      <w:r>
        <w:rPr>
          <w:rFonts w:hint="eastAsia" w:cs="宋体" w:asciiTheme="majorEastAsia" w:hAnsiTheme="majorEastAsia" w:eastAsiaTheme="majorEastAsia"/>
          <w:sz w:val="24"/>
          <w:u w:val="dotted"/>
        </w:rPr>
        <w:t xml:space="preserve">                                          </w:t>
      </w:r>
    </w:p>
    <w:p w14:paraId="4BEB1D7A">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u w:val="dotted"/>
        </w:rPr>
        <w:t xml:space="preserve">                                                      </w:t>
      </w:r>
    </w:p>
    <w:p w14:paraId="4176C59B">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投诉事项2</w:t>
      </w:r>
    </w:p>
    <w:p w14:paraId="4632AE4D">
      <w:pPr>
        <w:spacing w:line="360" w:lineRule="auto"/>
        <w:rPr>
          <w:rFonts w:cs="宋体" w:asciiTheme="majorEastAsia" w:hAnsiTheme="majorEastAsia" w:eastAsiaTheme="majorEastAsia"/>
          <w:sz w:val="24"/>
          <w:u w:val="dotted"/>
        </w:rPr>
      </w:pPr>
      <w:r>
        <w:rPr>
          <w:rFonts w:hint="eastAsia" w:cs="宋体" w:asciiTheme="majorEastAsia" w:hAnsiTheme="majorEastAsia" w:eastAsiaTheme="majorEastAsia"/>
          <w:sz w:val="24"/>
        </w:rPr>
        <w:t>……</w:t>
      </w:r>
    </w:p>
    <w:p w14:paraId="690C2C73">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五、与投诉事项相关的投诉请求</w:t>
      </w:r>
    </w:p>
    <w:p w14:paraId="7E6712F6">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请求：</w:t>
      </w:r>
      <w:r>
        <w:rPr>
          <w:rFonts w:hint="eastAsia" w:cs="宋体" w:asciiTheme="majorEastAsia" w:hAnsiTheme="majorEastAsia" w:eastAsiaTheme="majorEastAsia"/>
          <w:sz w:val="24"/>
          <w:u w:val="dotted"/>
        </w:rPr>
        <w:t xml:space="preserve">                                              </w:t>
      </w:r>
      <w:r>
        <w:rPr>
          <w:rFonts w:hint="eastAsia" w:cs="宋体" w:asciiTheme="majorEastAsia" w:hAnsiTheme="majorEastAsia" w:eastAsiaTheme="majorEastAsia"/>
          <w:sz w:val="24"/>
        </w:rPr>
        <w:t xml:space="preserve"> </w:t>
      </w:r>
    </w:p>
    <w:p w14:paraId="5B735C86">
      <w:pPr>
        <w:spacing w:line="360" w:lineRule="auto"/>
        <w:rPr>
          <w:rFonts w:cs="宋体" w:asciiTheme="majorEastAsia" w:hAnsiTheme="majorEastAsia" w:eastAsiaTheme="majorEastAsia"/>
          <w:sz w:val="24"/>
          <w:u w:val="single"/>
        </w:rPr>
      </w:pPr>
      <w:r>
        <w:rPr>
          <w:rFonts w:hint="eastAsia" w:cs="宋体" w:asciiTheme="majorEastAsia" w:hAnsiTheme="majorEastAsia" w:eastAsiaTheme="majorEastAsia"/>
          <w:sz w:val="24"/>
        </w:rPr>
        <w:t xml:space="preserve">                                                                                                    </w:t>
      </w:r>
    </w:p>
    <w:p w14:paraId="75D7D713">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签字(签章)：                   公章：                      </w:t>
      </w:r>
    </w:p>
    <w:p w14:paraId="05C30D7D">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日期：    </w:t>
      </w:r>
    </w:p>
    <w:p w14:paraId="7551215F">
      <w:pPr>
        <w:spacing w:line="360" w:lineRule="auto"/>
        <w:rPr>
          <w:rFonts w:cs="宋体" w:asciiTheme="majorEastAsia" w:hAnsiTheme="majorEastAsia" w:eastAsiaTheme="majorEastAsia"/>
          <w:b/>
          <w:sz w:val="24"/>
        </w:rPr>
      </w:pPr>
    </w:p>
    <w:p w14:paraId="213B15A5">
      <w:pPr>
        <w:spacing w:line="360" w:lineRule="auto"/>
        <w:rPr>
          <w:rFonts w:cs="宋体" w:asciiTheme="majorEastAsia" w:hAnsiTheme="majorEastAsia" w:eastAsiaTheme="majorEastAsia"/>
          <w:b/>
          <w:sz w:val="24"/>
        </w:rPr>
      </w:pPr>
    </w:p>
    <w:p w14:paraId="3BE8F6F1">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b/>
          <w:sz w:val="24"/>
        </w:rPr>
        <w:t>投诉书制作说明：</w:t>
      </w:r>
    </w:p>
    <w:p w14:paraId="2B471705">
      <w:pPr>
        <w:widowControl/>
        <w:spacing w:line="360"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sz w:val="24"/>
        </w:rPr>
        <w:t>1.投诉人提起投诉时，应当提交投诉书和必要的证明材料，并按照被投诉人和与投诉事项有关的供应商数量提供投诉书副本。</w:t>
      </w:r>
    </w:p>
    <w:p w14:paraId="0BCF7394">
      <w:pPr>
        <w:widowControl/>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14:paraId="1AF0C264">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3.投诉人若对项目的某一分包进行投诉，投诉书应列明具体分包号。</w:t>
      </w:r>
    </w:p>
    <w:p w14:paraId="14B1D3B5">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4.投诉书应简要列明质疑事项，质疑函、质疑答复等作为附件材料提供。</w:t>
      </w:r>
    </w:p>
    <w:p w14:paraId="6C70B53A">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5.投诉书的投诉事项应具体、明确，并有必要的事实依据和法律依据。</w:t>
      </w:r>
    </w:p>
    <w:p w14:paraId="6FAAF8E1">
      <w:pPr>
        <w:widowControl/>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6.投诉书的投诉请求应与投诉事项相关。</w:t>
      </w:r>
    </w:p>
    <w:p w14:paraId="01EF46F0">
      <w:pPr>
        <w:widowControl/>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14:paraId="7362EF86">
      <w:pPr>
        <w:spacing w:line="360" w:lineRule="auto"/>
        <w:rPr>
          <w:rFonts w:cs="宋体" w:asciiTheme="majorEastAsia" w:hAnsiTheme="majorEastAsia" w:eastAsiaTheme="majorEastAsia"/>
          <w:b/>
          <w:sz w:val="24"/>
        </w:rPr>
      </w:pPr>
    </w:p>
    <w:p w14:paraId="52E2B950">
      <w:pPr>
        <w:autoSpaceDE w:val="0"/>
        <w:autoSpaceDN w:val="0"/>
        <w:jc w:val="center"/>
        <w:rPr>
          <w:rFonts w:cs="宋体" w:asciiTheme="majorEastAsia" w:hAnsiTheme="majorEastAsia" w:eastAsiaTheme="majorEastAsia"/>
          <w:b/>
          <w:spacing w:val="6"/>
          <w:sz w:val="32"/>
          <w:szCs w:val="32"/>
        </w:rPr>
      </w:pPr>
    </w:p>
    <w:p w14:paraId="3A61AF8A">
      <w:pPr>
        <w:autoSpaceDE w:val="0"/>
        <w:autoSpaceDN w:val="0"/>
        <w:jc w:val="center"/>
        <w:rPr>
          <w:rFonts w:cs="宋体" w:asciiTheme="majorEastAsia" w:hAnsiTheme="majorEastAsia" w:eastAsiaTheme="majorEastAsia"/>
          <w:b/>
          <w:spacing w:val="6"/>
          <w:sz w:val="32"/>
          <w:szCs w:val="32"/>
        </w:rPr>
      </w:pPr>
    </w:p>
    <w:p w14:paraId="64F8B3E9">
      <w:pPr>
        <w:autoSpaceDE w:val="0"/>
        <w:autoSpaceDN w:val="0"/>
        <w:jc w:val="center"/>
        <w:rPr>
          <w:rFonts w:cs="宋体" w:asciiTheme="majorEastAsia" w:hAnsiTheme="majorEastAsia" w:eastAsiaTheme="majorEastAsia"/>
          <w:b/>
          <w:spacing w:val="6"/>
          <w:sz w:val="32"/>
          <w:szCs w:val="32"/>
        </w:rPr>
      </w:pPr>
    </w:p>
    <w:p w14:paraId="39FDDC30">
      <w:pPr>
        <w:pageBreakBefore/>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附件4：业务专用章使用说明函</w:t>
      </w:r>
    </w:p>
    <w:p w14:paraId="3BCF0141">
      <w:pPr>
        <w:spacing w:line="360" w:lineRule="auto"/>
        <w:rPr>
          <w:rFonts w:cs="宋体" w:asciiTheme="majorEastAsia" w:hAnsiTheme="majorEastAsia" w:eastAsiaTheme="majorEastAsia"/>
          <w:sz w:val="24"/>
          <w:u w:val="single"/>
        </w:rPr>
      </w:pPr>
    </w:p>
    <w:p w14:paraId="589F6BB2">
      <w:pPr>
        <w:spacing w:line="360" w:lineRule="auto"/>
        <w:rPr>
          <w:rFonts w:cs="宋体" w:asciiTheme="majorEastAsia" w:hAnsiTheme="majorEastAsia" w:eastAsiaTheme="majorEastAsia"/>
          <w:sz w:val="24"/>
        </w:rPr>
      </w:pPr>
      <w:r>
        <w:rPr>
          <w:rFonts w:hint="eastAsia" w:cs="仿宋" w:asciiTheme="majorEastAsia" w:hAnsiTheme="majorEastAsia" w:eastAsiaTheme="majorEastAsia"/>
          <w:sz w:val="24"/>
          <w:u w:val="single"/>
        </w:rPr>
        <w:t>浙江省卫生健康信息中心、浙江省成套招标代理有限公司</w:t>
      </w:r>
    </w:p>
    <w:p w14:paraId="01D030FF">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我方</w:t>
      </w:r>
      <w:r>
        <w:rPr>
          <w:rFonts w:hint="eastAsia" w:cs="宋体" w:asciiTheme="majorEastAsia" w:hAnsiTheme="majorEastAsia" w:eastAsiaTheme="majorEastAsia"/>
          <w:sz w:val="24"/>
        </w:rPr>
        <w:t>(投标人全称)是中华人民共和国依法登记注册的合法企业，</w:t>
      </w:r>
      <w:r>
        <w:rPr>
          <w:rFonts w:hint="eastAsia" w:cs="宋体" w:asciiTheme="majorEastAsia" w:hAnsiTheme="majorEastAsia" w:eastAsiaTheme="majorEastAsia"/>
          <w:bCs/>
          <w:sz w:val="24"/>
        </w:rPr>
        <w:t>在参加</w:t>
      </w:r>
      <w:r>
        <w:rPr>
          <w:rFonts w:hint="eastAsia" w:cs="宋体" w:asciiTheme="majorEastAsia" w:hAnsiTheme="majorEastAsia" w:eastAsiaTheme="majorEastAsia"/>
          <w:sz w:val="24"/>
        </w:rPr>
        <w:t>你方组织的2024年省卫生健康信息中心电子政务维护服务项目【招标编号：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w:t>
      </w:r>
      <w:r>
        <w:rPr>
          <w:rFonts w:hint="eastAsia" w:cs="宋体" w:asciiTheme="majorEastAsia" w:hAnsiTheme="majorEastAsia" w:eastAsiaTheme="majorEastAsia"/>
          <w:bCs/>
          <w:sz w:val="24"/>
        </w:rPr>
        <w:t>投标活动中作如下说明：</w:t>
      </w:r>
      <w:r>
        <w:rPr>
          <w:rFonts w:hint="eastAsia" w:cs="宋体" w:asciiTheme="majorEastAsia" w:hAnsiTheme="majorEastAsia" w:eastAsiaTheme="majorEastAsia"/>
          <w:sz w:val="24"/>
        </w:rPr>
        <w:t xml:space="preserve">我方所使用的“XX专用章”与法定名称章具有同等的法律效力，对使用“XX专用章”的行为予以完全承认，并愿意承担相应责任。   </w:t>
      </w:r>
    </w:p>
    <w:p w14:paraId="7377FF44">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特此说明。</w:t>
      </w:r>
    </w:p>
    <w:p w14:paraId="2B187E6E">
      <w:pPr>
        <w:spacing w:line="360" w:lineRule="auto"/>
        <w:ind w:firstLine="494"/>
        <w:rPr>
          <w:rFonts w:cs="宋体" w:asciiTheme="majorEastAsia" w:hAnsiTheme="majorEastAsia" w:eastAsiaTheme="majorEastAsia"/>
          <w:sz w:val="24"/>
        </w:rPr>
      </w:pPr>
    </w:p>
    <w:p w14:paraId="44C01AAC">
      <w:pPr>
        <w:spacing w:line="360" w:lineRule="auto"/>
        <w:ind w:firstLine="494"/>
        <w:rPr>
          <w:rFonts w:cs="宋体" w:asciiTheme="majorEastAsia" w:hAnsiTheme="majorEastAsia" w:eastAsiaTheme="majorEastAsia"/>
          <w:sz w:val="24"/>
        </w:rPr>
      </w:pPr>
    </w:p>
    <w:p w14:paraId="5B3EE589">
      <w:pPr>
        <w:spacing w:line="360" w:lineRule="auto"/>
        <w:ind w:firstLine="494"/>
        <w:rPr>
          <w:rFonts w:cs="宋体" w:asciiTheme="majorEastAsia" w:hAnsiTheme="majorEastAsia" w:eastAsiaTheme="majorEastAsia"/>
          <w:sz w:val="24"/>
        </w:rPr>
      </w:pPr>
    </w:p>
    <w:p w14:paraId="1FED5D87">
      <w:pPr>
        <w:spacing w:line="360" w:lineRule="auto"/>
        <w:ind w:firstLine="494"/>
        <w:rPr>
          <w:rFonts w:cs="宋体" w:asciiTheme="majorEastAsia" w:hAnsiTheme="majorEastAsia" w:eastAsiaTheme="majorEastAsia"/>
          <w:sz w:val="24"/>
        </w:rPr>
      </w:pPr>
    </w:p>
    <w:p w14:paraId="6AD44FC7">
      <w:pPr>
        <w:spacing w:line="360" w:lineRule="auto"/>
        <w:ind w:right="480" w:firstLine="4080" w:firstLineChars="1700"/>
        <w:rPr>
          <w:rFonts w:cs="宋体" w:asciiTheme="majorEastAsia" w:hAnsiTheme="majorEastAsia" w:eastAsiaTheme="majorEastAsia"/>
          <w:sz w:val="24"/>
        </w:rPr>
      </w:pPr>
      <w:r>
        <w:rPr>
          <w:rFonts w:hint="eastAsia" w:cs="宋体" w:asciiTheme="majorEastAsia" w:hAnsiTheme="majorEastAsia" w:eastAsiaTheme="majorEastAsia"/>
          <w:sz w:val="24"/>
        </w:rPr>
        <w:t>投标单位（法定名称章）：</w:t>
      </w:r>
    </w:p>
    <w:p w14:paraId="162D74A3">
      <w:pPr>
        <w:ind w:right="1440" w:firstLine="494"/>
        <w:jc w:val="center"/>
        <w:rPr>
          <w:rFonts w:cs="宋体" w:asciiTheme="majorEastAsia" w:hAnsiTheme="majorEastAsia" w:eastAsiaTheme="majorEastAsia"/>
          <w:sz w:val="24"/>
        </w:rPr>
      </w:pPr>
      <w:r>
        <w:rPr>
          <w:rFonts w:hint="eastAsia" w:cs="宋体" w:asciiTheme="majorEastAsia" w:hAnsiTheme="majorEastAsia" w:eastAsiaTheme="majorEastAsia"/>
          <w:sz w:val="24"/>
        </w:rPr>
        <w:t xml:space="preserve">                              日期：       年     月     日</w:t>
      </w:r>
    </w:p>
    <w:p w14:paraId="5F334ABF">
      <w:pPr>
        <w:spacing w:line="276" w:lineRule="auto"/>
        <w:ind w:firstLine="3600" w:firstLineChars="1500"/>
        <w:rPr>
          <w:rFonts w:cs="宋体" w:asciiTheme="majorEastAsia" w:hAnsiTheme="majorEastAsia" w:eastAsiaTheme="majorEastAsia"/>
          <w:sz w:val="24"/>
        </w:rPr>
      </w:pPr>
    </w:p>
    <w:p w14:paraId="4530AF94">
      <w:pPr>
        <w:rPr>
          <w:rFonts w:asciiTheme="majorEastAsia" w:hAnsiTheme="majorEastAsia" w:eastAsiaTheme="majorEastAsia"/>
        </w:rPr>
      </w:pPr>
    </w:p>
    <w:p w14:paraId="7F0576C5">
      <w:pPr>
        <w:rPr>
          <w:rFonts w:cs="宋体" w:asciiTheme="majorEastAsia" w:hAnsiTheme="majorEastAsia" w:eastAsiaTheme="majorEastAsia"/>
          <w:sz w:val="24"/>
        </w:rPr>
      </w:pPr>
      <w:r>
        <w:rPr>
          <w:rFonts w:hint="eastAsia" w:cs="宋体" w:asciiTheme="majorEastAsia" w:hAnsiTheme="majorEastAsia" w:eastAsiaTheme="majorEastAsia"/>
          <w:b/>
          <w:bCs/>
          <w:sz w:val="24"/>
        </w:rPr>
        <w:t>附：</w:t>
      </w:r>
    </w:p>
    <w:p w14:paraId="70E11C53">
      <w:pPr>
        <w:spacing w:line="360" w:lineRule="auto"/>
        <w:rPr>
          <w:rFonts w:cs="宋体" w:asciiTheme="majorEastAsia" w:hAnsiTheme="majorEastAsia" w:eastAsiaTheme="majorEastAsia"/>
          <w:bCs/>
          <w:sz w:val="24"/>
        </w:rPr>
      </w:pPr>
      <w:r>
        <w:rPr>
          <w:rFonts w:cs="宋体" w:asciiTheme="majorEastAsia" w:hAnsiTheme="majorEastAsia" w:eastAsiaTheme="maj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ajorEastAsia" w:hAnsiTheme="majorEastAsia" w:eastAsiaTheme="maj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ajorEastAsia" w:hAnsiTheme="majorEastAsia" w:eastAsiaTheme="majorEastAsia"/>
          <w:sz w:val="24"/>
        </w:rPr>
        <w:t>投标单位法定名称章（印模）                投标单位“XX专用章”（印模）</w:t>
      </w:r>
    </w:p>
    <w:p w14:paraId="28B0127E">
      <w:pPr>
        <w:autoSpaceDE w:val="0"/>
        <w:autoSpaceDN w:val="0"/>
        <w:jc w:val="center"/>
        <w:rPr>
          <w:rFonts w:cs="宋体" w:asciiTheme="majorEastAsia" w:hAnsiTheme="majorEastAsia" w:eastAsiaTheme="majorEastAsia"/>
          <w:b/>
          <w:spacing w:val="6"/>
          <w:sz w:val="32"/>
          <w:szCs w:val="32"/>
        </w:rPr>
      </w:pPr>
    </w:p>
    <w:p w14:paraId="5FDDCB95">
      <w:pPr>
        <w:autoSpaceDE w:val="0"/>
        <w:autoSpaceDN w:val="0"/>
        <w:jc w:val="center"/>
        <w:rPr>
          <w:rFonts w:cs="宋体" w:asciiTheme="majorEastAsia" w:hAnsiTheme="majorEastAsia" w:eastAsiaTheme="majorEastAsia"/>
          <w:b/>
          <w:spacing w:val="6"/>
          <w:sz w:val="32"/>
          <w:szCs w:val="32"/>
        </w:rPr>
      </w:pPr>
    </w:p>
    <w:p w14:paraId="339FD051">
      <w:pPr>
        <w:autoSpaceDE w:val="0"/>
        <w:autoSpaceDN w:val="0"/>
        <w:jc w:val="center"/>
        <w:rPr>
          <w:rFonts w:cs="宋体" w:asciiTheme="majorEastAsia" w:hAnsiTheme="majorEastAsia" w:eastAsiaTheme="majorEastAsia"/>
          <w:b/>
          <w:spacing w:val="6"/>
          <w:sz w:val="32"/>
          <w:szCs w:val="32"/>
        </w:rPr>
      </w:pPr>
    </w:p>
    <w:p w14:paraId="18F6B1C7">
      <w:pPr>
        <w:autoSpaceDE w:val="0"/>
        <w:autoSpaceDN w:val="0"/>
        <w:jc w:val="center"/>
        <w:rPr>
          <w:rFonts w:cs="宋体" w:asciiTheme="majorEastAsia" w:hAnsiTheme="majorEastAsia" w:eastAsiaTheme="majorEastAsia"/>
          <w:b/>
          <w:spacing w:val="6"/>
          <w:sz w:val="32"/>
          <w:szCs w:val="32"/>
        </w:rPr>
      </w:pPr>
    </w:p>
    <w:p w14:paraId="38A30D13">
      <w:pPr>
        <w:autoSpaceDE w:val="0"/>
        <w:autoSpaceDN w:val="0"/>
        <w:jc w:val="center"/>
        <w:rPr>
          <w:rFonts w:cs="宋体" w:asciiTheme="majorEastAsia" w:hAnsiTheme="majorEastAsia" w:eastAsiaTheme="majorEastAsia"/>
          <w:b/>
          <w:spacing w:val="6"/>
          <w:sz w:val="32"/>
          <w:szCs w:val="32"/>
        </w:rPr>
      </w:pPr>
    </w:p>
    <w:p w14:paraId="5E296EF3">
      <w:pPr>
        <w:autoSpaceDE w:val="0"/>
        <w:autoSpaceDN w:val="0"/>
        <w:jc w:val="center"/>
        <w:rPr>
          <w:rFonts w:cs="宋体" w:asciiTheme="majorEastAsia" w:hAnsiTheme="majorEastAsia" w:eastAsiaTheme="majorEastAsia"/>
          <w:b/>
          <w:spacing w:val="6"/>
          <w:sz w:val="32"/>
          <w:szCs w:val="32"/>
        </w:rPr>
      </w:pPr>
    </w:p>
    <w:p w14:paraId="44BCA3E9">
      <w:pPr>
        <w:autoSpaceDE w:val="0"/>
        <w:autoSpaceDN w:val="0"/>
        <w:jc w:val="center"/>
        <w:rPr>
          <w:rFonts w:cs="宋体" w:asciiTheme="majorEastAsia" w:hAnsiTheme="majorEastAsia" w:eastAsiaTheme="majorEastAsia"/>
          <w:b/>
          <w:spacing w:val="6"/>
          <w:sz w:val="32"/>
          <w:szCs w:val="32"/>
        </w:rPr>
      </w:pPr>
    </w:p>
    <w:p w14:paraId="2BE21860">
      <w:pPr>
        <w:autoSpaceDE w:val="0"/>
        <w:autoSpaceDN w:val="0"/>
        <w:jc w:val="center"/>
        <w:rPr>
          <w:rFonts w:cs="宋体" w:asciiTheme="majorEastAsia" w:hAnsiTheme="majorEastAsia" w:eastAsiaTheme="majorEastAsia"/>
          <w:b/>
          <w:spacing w:val="6"/>
          <w:sz w:val="32"/>
          <w:szCs w:val="32"/>
        </w:rPr>
      </w:pPr>
    </w:p>
    <w:p w14:paraId="587F4F7D">
      <w:pPr>
        <w:autoSpaceDE w:val="0"/>
        <w:autoSpaceDN w:val="0"/>
        <w:jc w:val="center"/>
        <w:rPr>
          <w:rFonts w:cs="宋体" w:asciiTheme="majorEastAsia" w:hAnsiTheme="majorEastAsia" w:eastAsiaTheme="majorEastAsia"/>
          <w:b/>
          <w:spacing w:val="6"/>
          <w:sz w:val="32"/>
          <w:szCs w:val="32"/>
        </w:rPr>
      </w:pPr>
    </w:p>
    <w:p w14:paraId="55DAAF9A">
      <w:pPr>
        <w:autoSpaceDE w:val="0"/>
        <w:autoSpaceDN w:val="0"/>
        <w:jc w:val="center"/>
        <w:rPr>
          <w:rFonts w:cs="宋体" w:asciiTheme="majorEastAsia" w:hAnsiTheme="majorEastAsia" w:eastAsiaTheme="majorEastAsia"/>
          <w:b/>
          <w:spacing w:val="6"/>
          <w:sz w:val="32"/>
          <w:szCs w:val="32"/>
        </w:rPr>
      </w:pPr>
    </w:p>
    <w:p w14:paraId="18FFEF86">
      <w:pPr>
        <w:autoSpaceDE w:val="0"/>
        <w:autoSpaceDN w:val="0"/>
        <w:jc w:val="center"/>
        <w:rPr>
          <w:rFonts w:cs="宋体" w:asciiTheme="majorEastAsia" w:hAnsiTheme="majorEastAsia" w:eastAsiaTheme="majorEastAsia"/>
          <w:b/>
          <w:spacing w:val="6"/>
          <w:sz w:val="32"/>
          <w:szCs w:val="32"/>
        </w:rPr>
      </w:pPr>
    </w:p>
    <w:p w14:paraId="61AF2FA0">
      <w:pPr>
        <w:autoSpaceDE w:val="0"/>
        <w:autoSpaceDN w:val="0"/>
        <w:jc w:val="center"/>
        <w:rPr>
          <w:rFonts w:cs="宋体" w:asciiTheme="majorEastAsia" w:hAnsiTheme="majorEastAsia" w:eastAsiaTheme="majorEastAsia"/>
          <w:b/>
          <w:spacing w:val="6"/>
          <w:sz w:val="32"/>
          <w:szCs w:val="32"/>
        </w:rPr>
      </w:pPr>
    </w:p>
    <w:p w14:paraId="579485A2">
      <w:pPr>
        <w:autoSpaceDE w:val="0"/>
        <w:autoSpaceDN w:val="0"/>
        <w:jc w:val="center"/>
        <w:rPr>
          <w:rFonts w:cs="宋体" w:asciiTheme="majorEastAsia" w:hAnsiTheme="majorEastAsia" w:eastAsiaTheme="majorEastAsia"/>
          <w:b/>
          <w:spacing w:val="6"/>
          <w:sz w:val="32"/>
          <w:szCs w:val="32"/>
        </w:rPr>
      </w:pPr>
    </w:p>
    <w:p w14:paraId="37DCFB16">
      <w:pPr>
        <w:autoSpaceDE w:val="0"/>
        <w:autoSpaceDN w:val="0"/>
        <w:jc w:val="center"/>
        <w:rPr>
          <w:rFonts w:cs="宋体" w:asciiTheme="majorEastAsia" w:hAnsiTheme="majorEastAsia" w:eastAsiaTheme="majorEastAsia"/>
          <w:b/>
          <w:spacing w:val="6"/>
          <w:sz w:val="32"/>
          <w:szCs w:val="32"/>
        </w:rPr>
      </w:pPr>
    </w:p>
    <w:p w14:paraId="36D2A0FB">
      <w:pPr>
        <w:pageBreakBefore/>
        <w:snapToGrid w:val="0"/>
        <w:spacing w:line="360" w:lineRule="auto"/>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w:t>
      </w:r>
      <w:r>
        <w:rPr>
          <w:rFonts w:cs="宋体" w:asciiTheme="majorEastAsia" w:hAnsiTheme="majorEastAsia" w:eastAsiaTheme="majorEastAsia"/>
          <w:b/>
          <w:kern w:val="0"/>
          <w:sz w:val="32"/>
          <w:szCs w:val="32"/>
        </w:rPr>
        <w:t>5</w:t>
      </w:r>
      <w:r>
        <w:rPr>
          <w:rFonts w:hint="eastAsia" w:cs="宋体" w:asciiTheme="majorEastAsia" w:hAnsiTheme="majorEastAsia" w:eastAsiaTheme="majorEastAsia"/>
          <w:b/>
          <w:kern w:val="0"/>
          <w:sz w:val="32"/>
          <w:szCs w:val="32"/>
        </w:rPr>
        <w:t>：联合协议</w:t>
      </w:r>
    </w:p>
    <w:p w14:paraId="6E422DA9">
      <w:pPr>
        <w:widowControl/>
        <w:spacing w:line="360" w:lineRule="auto"/>
        <w:ind w:firstLine="482" w:firstLineChars="200"/>
        <w:jc w:val="left"/>
        <w:rPr>
          <w:rFonts w:cs="宋体" w:asciiTheme="majorEastAsia" w:hAnsiTheme="majorEastAsia" w:eastAsiaTheme="majorEastAsia"/>
          <w:b/>
          <w:sz w:val="24"/>
        </w:rPr>
      </w:pPr>
      <w:r>
        <w:rPr>
          <w:rFonts w:hint="eastAsia" w:cs="宋体" w:asciiTheme="majorEastAsia" w:hAnsiTheme="majorEastAsia" w:eastAsiaTheme="majorEastAsia"/>
          <w:b/>
          <w:sz w:val="24"/>
        </w:rPr>
        <w:t>（以联合体形式投标的，提供联合协议；本项目不接受联合体投标或者投标人不以联合体形式投标的，则不需要提供）</w:t>
      </w:r>
    </w:p>
    <w:p w14:paraId="4DD283EA">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（联合体所有成员名称）</w:t>
      </w:r>
      <w:r>
        <w:rPr>
          <w:rFonts w:hint="eastAsia" w:cs="宋体" w:asciiTheme="majorEastAsia" w:hAnsiTheme="majorEastAsia" w:eastAsiaTheme="majorEastAsia"/>
          <w:kern w:val="0"/>
          <w:sz w:val="24"/>
        </w:rPr>
        <w:t>自愿</w:t>
      </w:r>
      <w:r>
        <w:rPr>
          <w:rFonts w:hint="eastAsia" w:cs="宋体" w:asciiTheme="majorEastAsia" w:hAnsiTheme="majorEastAsia" w:eastAsiaTheme="majorEastAsia"/>
          <w:kern w:val="0"/>
          <w:sz w:val="24"/>
          <w:lang w:val="zh-CN"/>
        </w:rPr>
        <w:t>组成一个联合体，以一个投标人的身份</w:t>
      </w:r>
      <w:r>
        <w:rPr>
          <w:rFonts w:hint="eastAsia" w:cs="宋体" w:asciiTheme="majorEastAsia" w:hAnsiTheme="majorEastAsia" w:eastAsiaTheme="majorEastAsia"/>
          <w:kern w:val="0"/>
          <w:sz w:val="24"/>
        </w:rPr>
        <w:t>参加</w:t>
      </w:r>
      <w:r>
        <w:rPr>
          <w:rFonts w:hint="eastAsia" w:cs="仿宋" w:asciiTheme="majorEastAsia" w:hAnsiTheme="majorEastAsia" w:eastAsiaTheme="majorEastAsia"/>
          <w:sz w:val="24"/>
          <w:u w:val="single"/>
        </w:rPr>
        <w:t>2024年省卫生健康信息中心电子政务维护服务项目</w:t>
      </w:r>
      <w:r>
        <w:rPr>
          <w:rFonts w:hint="eastAsia" w:cs="宋体" w:asciiTheme="majorEastAsia" w:hAnsiTheme="majorEastAsia" w:eastAsiaTheme="majorEastAsia"/>
          <w:sz w:val="24"/>
        </w:rPr>
        <w:t>【招标编号：CTZB-2024080126】</w:t>
      </w:r>
      <w:r>
        <w:rPr>
          <w:rFonts w:hint="eastAsia" w:cs="宋体" w:asciiTheme="majorEastAsia" w:hAnsiTheme="majorEastAsia" w:eastAsiaTheme="majorEastAsia"/>
          <w:kern w:val="0"/>
          <w:sz w:val="24"/>
          <w:lang w:val="zh-CN"/>
        </w:rPr>
        <w:t xml:space="preserve">投标。 </w:t>
      </w:r>
    </w:p>
    <w:p w14:paraId="52A59832">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一、各方一致决定，</w:t>
      </w:r>
      <w:r>
        <w:rPr>
          <w:rFonts w:hint="eastAsia" w:cs="宋体" w:asciiTheme="majorEastAsia" w:hAnsiTheme="majorEastAsia" w:eastAsiaTheme="majorEastAsia"/>
          <w:kern w:val="0"/>
          <w:sz w:val="24"/>
          <w:u w:val="single"/>
        </w:rPr>
        <w:t>（某联合体成员名称）</w:t>
      </w:r>
      <w:r>
        <w:rPr>
          <w:rFonts w:hint="eastAsia" w:cs="宋体" w:asciiTheme="majorEastAsia" w:hAnsiTheme="majorEastAsia" w:eastAsiaTheme="majorEastAsia"/>
          <w:kern w:val="0"/>
          <w:sz w:val="24"/>
        </w:rPr>
        <w:t>为联合体</w:t>
      </w:r>
      <w:r>
        <w:rPr>
          <w:rFonts w:hint="eastAsia" w:cs="宋体" w:asciiTheme="majorEastAsia" w:hAnsiTheme="majorEastAsia" w:eastAsiaTheme="majorEastAsia"/>
          <w:kern w:val="0"/>
          <w:sz w:val="24"/>
          <w:lang w:val="zh-CN"/>
        </w:rPr>
        <w:t>牵头人</w:t>
      </w:r>
      <w:r>
        <w:rPr>
          <w:rFonts w:hint="eastAsia" w:cs="宋体" w:asciiTheme="majorEastAsia" w:hAnsiTheme="majorEastAsia" w:eastAsiaTheme="majorEastAsia"/>
          <w:sz w:val="24"/>
        </w:rPr>
        <w:t>，代表所有联合体成员负责投标和合同实施阶段的主办、协调工作</w:t>
      </w:r>
      <w:r>
        <w:rPr>
          <w:rFonts w:hint="eastAsia" w:cs="宋体" w:asciiTheme="majorEastAsia" w:hAnsiTheme="majorEastAsia" w:eastAsiaTheme="majorEastAsia"/>
          <w:kern w:val="0"/>
          <w:sz w:val="24"/>
          <w:lang w:val="zh-CN"/>
        </w:rPr>
        <w:t>。</w:t>
      </w:r>
    </w:p>
    <w:p w14:paraId="761B57D8">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二、</w:t>
      </w:r>
      <w:r>
        <w:rPr>
          <w:rFonts w:hint="eastAsia" w:cs="宋体" w:asciiTheme="majorEastAsia" w:hAnsiTheme="majorEastAsia" w:eastAsiaTheme="majorEastAsia"/>
          <w:sz w:val="24"/>
        </w:rPr>
        <w:t>所有联合体成员各方签署授权书，授权书载明的</w:t>
      </w:r>
      <w:r>
        <w:rPr>
          <w:rFonts w:hint="eastAsia" w:cs="宋体" w:asciiTheme="majorEastAsia" w:hAnsiTheme="majorEastAsia" w:eastAsiaTheme="majorEastAsia"/>
          <w:kern w:val="0"/>
          <w:sz w:val="24"/>
          <w:lang w:val="zh-CN"/>
        </w:rPr>
        <w:t>授权代表根据招标文件规定及投标内容而对采购人、采购代理机构所作的任何合法承诺，包括书面澄清及相应等均对联合投标各方产生约束力。</w:t>
      </w:r>
    </w:p>
    <w:p w14:paraId="7B72A98E">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三、本次联合投标中，分工如下：</w:t>
      </w:r>
    </w:p>
    <w:p w14:paraId="01B4EBAF">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（联合体成员1）</w:t>
      </w:r>
      <w:r>
        <w:rPr>
          <w:rFonts w:hint="eastAsia" w:cs="宋体" w:asciiTheme="majorEastAsia" w:hAnsiTheme="majorEastAsia" w:eastAsiaTheme="majorEastAsia"/>
          <w:kern w:val="0"/>
          <w:sz w:val="24"/>
          <w:lang w:val="zh-CN"/>
        </w:rPr>
        <w:t>承担的工作和义务为：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lang w:val="zh-CN"/>
        </w:rPr>
        <w:t>；</w:t>
      </w:r>
    </w:p>
    <w:p w14:paraId="4C9ECAF7">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（联合体成员</w:t>
      </w:r>
      <w:r>
        <w:rPr>
          <w:rFonts w:cs="宋体" w:asciiTheme="majorEastAsia" w:hAnsiTheme="majorEastAsia" w:eastAsiaTheme="majorEastAsia"/>
          <w:kern w:val="0"/>
          <w:sz w:val="24"/>
          <w:u w:val="single"/>
        </w:rPr>
        <w:t>2</w:t>
      </w:r>
      <w:r>
        <w:rPr>
          <w:rFonts w:hint="eastAsia"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lang w:val="zh-CN"/>
        </w:rPr>
        <w:t>承担的工作和义务为：</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lang w:val="zh-CN"/>
        </w:rPr>
        <w:t>；</w:t>
      </w:r>
    </w:p>
    <w:p w14:paraId="1D470D11">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w:t>
      </w:r>
    </w:p>
    <w:p w14:paraId="34974186">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四、联合体成员中小企业合同份额。</w:t>
      </w:r>
    </w:p>
    <w:p w14:paraId="7B9BAC2D">
      <w:pPr>
        <w:snapToGrid w:val="0"/>
        <w:spacing w:line="360" w:lineRule="auto"/>
        <w:ind w:firstLine="576"/>
        <w:rPr>
          <w:rFonts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lang w:val="zh-CN"/>
        </w:rPr>
        <w:t>1、</w:t>
      </w:r>
      <w:r>
        <w:rPr>
          <w:rFonts w:hint="eastAsia" w:cs="宋体" w:asciiTheme="majorEastAsia" w:hAnsiTheme="majorEastAsia" w:eastAsiaTheme="majorEastAsia"/>
          <w:kern w:val="0"/>
          <w:sz w:val="24"/>
          <w:u w:val="single"/>
        </w:rPr>
        <w:t>（</w:t>
      </w:r>
      <w:bookmarkStart w:id="438" w:name="_Hlk101131882"/>
      <w:r>
        <w:rPr>
          <w:rFonts w:hint="eastAsia" w:cs="宋体" w:asciiTheme="majorEastAsia" w:hAnsiTheme="majorEastAsia" w:eastAsiaTheme="majorEastAsia"/>
          <w:kern w:val="0"/>
          <w:sz w:val="24"/>
          <w:u w:val="single"/>
        </w:rPr>
        <w:t>联合体成员X</w:t>
      </w:r>
      <w:r>
        <w:rPr>
          <w:rFonts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u w:val="single"/>
        </w:rPr>
        <w:t>……</w:t>
      </w:r>
      <w:bookmarkEnd w:id="438"/>
      <w:r>
        <w:rPr>
          <w:rFonts w:hint="eastAsia"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rPr>
        <w:t>提供的服务由小微企业承接，其合同份额占到合同总金额</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%以上</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kern w:val="0"/>
          <w:sz w:val="24"/>
          <w:lang w:val="zh-CN"/>
        </w:rPr>
        <w:t>（</w:t>
      </w:r>
      <w:bookmarkStart w:id="439" w:name="_Hlk101133598"/>
      <w:r>
        <w:rPr>
          <w:rFonts w:hint="eastAsia" w:cs="宋体" w:asciiTheme="majorEastAsia" w:hAnsiTheme="majorEastAsia" w:eastAsiaTheme="maj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ajorEastAsia" w:hAnsiTheme="majorEastAsia" w:eastAsiaTheme="majorEastAsia"/>
          <w:b/>
          <w:sz w:val="24"/>
        </w:rPr>
        <w:t>拟享受以上价格扣除政策的，填写有关内容。</w:t>
      </w:r>
      <w:bookmarkEnd w:id="439"/>
      <w:r>
        <w:rPr>
          <w:rFonts w:hint="eastAsia" w:cs="宋体" w:asciiTheme="majorEastAsia" w:hAnsiTheme="majorEastAsia" w:eastAsiaTheme="majorEastAsia"/>
          <w:b/>
          <w:kern w:val="0"/>
          <w:sz w:val="24"/>
          <w:lang w:val="zh-CN"/>
        </w:rPr>
        <w:t>）</w:t>
      </w:r>
    </w:p>
    <w:p w14:paraId="06E011BB">
      <w:pPr>
        <w:spacing w:line="360" w:lineRule="auto"/>
        <w:ind w:firstLine="480" w:firstLineChars="200"/>
        <w:rPr>
          <w:rFonts w:cs="宋体" w:asciiTheme="majorEastAsia" w:hAnsiTheme="majorEastAsia" w:eastAsiaTheme="majorEastAsia"/>
          <w:b/>
          <w:bCs/>
          <w:kern w:val="0"/>
          <w:sz w:val="24"/>
          <w:lang w:val="zh-CN"/>
        </w:rPr>
      </w:pPr>
      <w:r>
        <w:rPr>
          <w:rFonts w:hint="eastAsia" w:cs="宋体" w:asciiTheme="majorEastAsia" w:hAnsiTheme="majorEastAsia" w:eastAsiaTheme="majorEastAsia"/>
          <w:sz w:val="24"/>
        </w:rPr>
        <w:t>2、</w:t>
      </w:r>
      <w:bookmarkStart w:id="440" w:name="_Hlk101133173"/>
      <w:r>
        <w:rPr>
          <w:rFonts w:hint="eastAsia" w:cs="宋体" w:asciiTheme="majorEastAsia" w:hAnsiTheme="majorEastAsia" w:eastAsiaTheme="majorEastAsia"/>
          <w:sz w:val="24"/>
        </w:rPr>
        <w:t>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bCs/>
          <w:kern w:val="0"/>
          <w:sz w:val="24"/>
          <w:lang w:val="zh-CN"/>
        </w:rPr>
        <w:t>（</w:t>
      </w:r>
      <w:r>
        <w:rPr>
          <w:rFonts w:hint="eastAsia" w:cs="宋体" w:asciiTheme="majorEastAsia" w:hAnsiTheme="majorEastAsia" w:eastAsiaTheme="maj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ajorEastAsia" w:hAnsiTheme="majorEastAsia" w:eastAsiaTheme="majorEastAsia"/>
          <w:b/>
          <w:bCs/>
          <w:kern w:val="0"/>
          <w:sz w:val="24"/>
          <w:lang w:val="zh-CN"/>
        </w:rPr>
        <w:t>）</w:t>
      </w:r>
      <w:bookmarkEnd w:id="440"/>
    </w:p>
    <w:p w14:paraId="4050FAAA">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五、如果中标，</w:t>
      </w:r>
      <w:r>
        <w:rPr>
          <w:rFonts w:hint="eastAsia" w:cs="宋体" w:asciiTheme="majorEastAsia" w:hAnsiTheme="majorEastAsia" w:eastAsiaTheme="majorEastAsia"/>
          <w:sz w:val="24"/>
        </w:rPr>
        <w:t>联合体各成员方共同与采购人签订合同，并就采购合同约定的事项对采购人承担连带责任。</w:t>
      </w:r>
    </w:p>
    <w:p w14:paraId="025ECFBB">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六、有关本次联合投标的其他事宜：</w:t>
      </w:r>
    </w:p>
    <w:p w14:paraId="095B3C45">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1、联合体各方不再单独参加或者与其他供应商另外组成联合体参加同一合同项下的政府采购活动。</w:t>
      </w:r>
    </w:p>
    <w:p w14:paraId="5EA0F687">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2、联合体中有同类资质的各方按照联合体分工承担相同工作的，按照资质等级较低的供应商确定资质等级。</w:t>
      </w:r>
    </w:p>
    <w:p w14:paraId="0C20737E">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3、本协议提交采购人、采购代理机构后，联合体各方不得以任何形式对上述内容进行修改或撤销。</w:t>
      </w:r>
    </w:p>
    <w:p w14:paraId="3DAE142D">
      <w:pPr>
        <w:snapToGrid w:val="0"/>
        <w:spacing w:line="360" w:lineRule="auto"/>
        <w:ind w:firstLine="5040" w:firstLineChars="2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7AB7DC30">
      <w:pPr>
        <w:snapToGrid w:val="0"/>
        <w:spacing w:line="360" w:lineRule="auto"/>
        <w:ind w:firstLine="5040" w:firstLineChars="2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联合体成员名称(电子签名/公章)：</w:t>
      </w:r>
    </w:p>
    <w:p w14:paraId="6844FCF7">
      <w:pPr>
        <w:snapToGrid w:val="0"/>
        <w:spacing w:line="360" w:lineRule="auto"/>
        <w:ind w:right="960"/>
        <w:jc w:val="center"/>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w:t>
      </w:r>
    </w:p>
    <w:p w14:paraId="1B8CD40F">
      <w:pPr>
        <w:snapToGrid w:val="0"/>
        <w:spacing w:line="360" w:lineRule="auto"/>
        <w:jc w:val="righ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日期：  年  月   日</w:t>
      </w:r>
    </w:p>
    <w:p w14:paraId="146B5AD6">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76FD83BE">
      <w:pPr>
        <w:autoSpaceDE w:val="0"/>
        <w:autoSpaceDN w:val="0"/>
        <w:jc w:val="center"/>
        <w:rPr>
          <w:rFonts w:cs="宋体" w:asciiTheme="majorEastAsia" w:hAnsiTheme="majorEastAsia" w:eastAsiaTheme="majorEastAsia"/>
          <w:b/>
          <w:spacing w:val="6"/>
          <w:sz w:val="32"/>
          <w:szCs w:val="32"/>
        </w:rPr>
      </w:pPr>
    </w:p>
    <w:p w14:paraId="2CF26B75">
      <w:pPr>
        <w:autoSpaceDE w:val="0"/>
        <w:autoSpaceDN w:val="0"/>
        <w:jc w:val="center"/>
        <w:rPr>
          <w:rFonts w:cs="宋体" w:asciiTheme="majorEastAsia" w:hAnsiTheme="majorEastAsia" w:eastAsiaTheme="majorEastAsia"/>
          <w:b/>
          <w:spacing w:val="6"/>
          <w:sz w:val="32"/>
          <w:szCs w:val="32"/>
        </w:rPr>
      </w:pPr>
    </w:p>
    <w:p w14:paraId="5DD9CB4C">
      <w:pPr>
        <w:autoSpaceDE w:val="0"/>
        <w:autoSpaceDN w:val="0"/>
        <w:jc w:val="center"/>
        <w:rPr>
          <w:rFonts w:cs="宋体" w:asciiTheme="majorEastAsia" w:hAnsiTheme="majorEastAsia" w:eastAsiaTheme="majorEastAsia"/>
          <w:b/>
          <w:spacing w:val="6"/>
          <w:sz w:val="32"/>
          <w:szCs w:val="32"/>
        </w:rPr>
      </w:pPr>
    </w:p>
    <w:p w14:paraId="3680E838">
      <w:pPr>
        <w:autoSpaceDE w:val="0"/>
        <w:autoSpaceDN w:val="0"/>
        <w:jc w:val="center"/>
        <w:rPr>
          <w:rFonts w:cs="宋体" w:asciiTheme="majorEastAsia" w:hAnsiTheme="majorEastAsia" w:eastAsiaTheme="majorEastAsia"/>
          <w:b/>
          <w:spacing w:val="6"/>
          <w:sz w:val="32"/>
          <w:szCs w:val="32"/>
        </w:rPr>
      </w:pPr>
    </w:p>
    <w:p w14:paraId="4E03AD17">
      <w:pPr>
        <w:autoSpaceDE w:val="0"/>
        <w:autoSpaceDN w:val="0"/>
        <w:jc w:val="center"/>
        <w:rPr>
          <w:rFonts w:cs="宋体" w:asciiTheme="majorEastAsia" w:hAnsiTheme="majorEastAsia" w:eastAsiaTheme="majorEastAsia"/>
          <w:b/>
          <w:spacing w:val="6"/>
          <w:sz w:val="32"/>
          <w:szCs w:val="32"/>
        </w:rPr>
      </w:pPr>
    </w:p>
    <w:p w14:paraId="3942E966">
      <w:pPr>
        <w:autoSpaceDE w:val="0"/>
        <w:autoSpaceDN w:val="0"/>
        <w:jc w:val="center"/>
        <w:rPr>
          <w:rFonts w:cs="宋体" w:asciiTheme="majorEastAsia" w:hAnsiTheme="majorEastAsia" w:eastAsiaTheme="majorEastAsia"/>
          <w:b/>
          <w:spacing w:val="6"/>
          <w:sz w:val="32"/>
          <w:szCs w:val="32"/>
        </w:rPr>
      </w:pPr>
    </w:p>
    <w:p w14:paraId="6BF132C9">
      <w:pPr>
        <w:autoSpaceDE w:val="0"/>
        <w:autoSpaceDN w:val="0"/>
        <w:jc w:val="center"/>
        <w:rPr>
          <w:rFonts w:cs="宋体" w:asciiTheme="majorEastAsia" w:hAnsiTheme="majorEastAsia" w:eastAsiaTheme="majorEastAsia"/>
          <w:b/>
          <w:spacing w:val="6"/>
          <w:sz w:val="32"/>
          <w:szCs w:val="32"/>
        </w:rPr>
      </w:pPr>
    </w:p>
    <w:p w14:paraId="492D5E5C">
      <w:pPr>
        <w:autoSpaceDE w:val="0"/>
        <w:autoSpaceDN w:val="0"/>
        <w:jc w:val="center"/>
        <w:rPr>
          <w:rFonts w:cs="宋体" w:asciiTheme="majorEastAsia" w:hAnsiTheme="majorEastAsia" w:eastAsiaTheme="majorEastAsia"/>
          <w:b/>
          <w:spacing w:val="6"/>
          <w:sz w:val="32"/>
          <w:szCs w:val="32"/>
        </w:rPr>
      </w:pPr>
    </w:p>
    <w:p w14:paraId="497F1F80">
      <w:pPr>
        <w:autoSpaceDE w:val="0"/>
        <w:autoSpaceDN w:val="0"/>
        <w:jc w:val="center"/>
        <w:rPr>
          <w:rFonts w:cs="宋体" w:asciiTheme="majorEastAsia" w:hAnsiTheme="majorEastAsia" w:eastAsiaTheme="majorEastAsia"/>
          <w:b/>
          <w:spacing w:val="6"/>
          <w:sz w:val="32"/>
          <w:szCs w:val="32"/>
        </w:rPr>
      </w:pPr>
    </w:p>
    <w:p w14:paraId="5FAB02AC">
      <w:pPr>
        <w:autoSpaceDE w:val="0"/>
        <w:autoSpaceDN w:val="0"/>
        <w:jc w:val="center"/>
        <w:rPr>
          <w:rFonts w:cs="宋体" w:asciiTheme="majorEastAsia" w:hAnsiTheme="majorEastAsia" w:eastAsiaTheme="majorEastAsia"/>
          <w:b/>
          <w:spacing w:val="6"/>
          <w:sz w:val="32"/>
          <w:szCs w:val="32"/>
        </w:rPr>
      </w:pPr>
    </w:p>
    <w:p w14:paraId="0CD31985">
      <w:pPr>
        <w:autoSpaceDE w:val="0"/>
        <w:autoSpaceDN w:val="0"/>
        <w:jc w:val="center"/>
        <w:rPr>
          <w:rFonts w:cs="宋体" w:asciiTheme="majorEastAsia" w:hAnsiTheme="majorEastAsia" w:eastAsiaTheme="majorEastAsia"/>
          <w:b/>
          <w:spacing w:val="6"/>
          <w:sz w:val="32"/>
          <w:szCs w:val="32"/>
        </w:rPr>
      </w:pPr>
    </w:p>
    <w:p w14:paraId="7AFD7CB7">
      <w:pPr>
        <w:autoSpaceDE w:val="0"/>
        <w:autoSpaceDN w:val="0"/>
        <w:jc w:val="center"/>
        <w:rPr>
          <w:rFonts w:cs="宋体" w:asciiTheme="majorEastAsia" w:hAnsiTheme="majorEastAsia" w:eastAsiaTheme="majorEastAsia"/>
          <w:b/>
          <w:spacing w:val="6"/>
          <w:sz w:val="32"/>
          <w:szCs w:val="32"/>
        </w:rPr>
      </w:pPr>
    </w:p>
    <w:p w14:paraId="4BA134CC">
      <w:pPr>
        <w:autoSpaceDE w:val="0"/>
        <w:autoSpaceDN w:val="0"/>
        <w:jc w:val="center"/>
        <w:rPr>
          <w:rFonts w:cs="宋体" w:asciiTheme="majorEastAsia" w:hAnsiTheme="majorEastAsia" w:eastAsiaTheme="majorEastAsia"/>
          <w:b/>
          <w:spacing w:val="6"/>
          <w:sz w:val="32"/>
          <w:szCs w:val="32"/>
        </w:rPr>
      </w:pPr>
    </w:p>
    <w:p w14:paraId="7D378EE7">
      <w:pPr>
        <w:snapToGrid w:val="0"/>
        <w:spacing w:line="360" w:lineRule="auto"/>
        <w:ind w:firstLine="3666" w:firstLineChars="1100"/>
        <w:rPr>
          <w:rFonts w:cs="宋体" w:asciiTheme="majorEastAsia" w:hAnsiTheme="majorEastAsia" w:eastAsiaTheme="majorEastAsia"/>
          <w:b/>
          <w:spacing w:val="6"/>
          <w:sz w:val="32"/>
          <w:szCs w:val="32"/>
        </w:rPr>
      </w:pPr>
    </w:p>
    <w:p w14:paraId="57026C90">
      <w:pPr>
        <w:widowControl/>
        <w:adjustRightInd/>
        <w:jc w:val="left"/>
        <w:rPr>
          <w:rFonts w:cs="宋体" w:asciiTheme="majorEastAsia" w:hAnsiTheme="majorEastAsia" w:eastAsiaTheme="majorEastAsia"/>
          <w:b/>
          <w:kern w:val="0"/>
          <w:sz w:val="32"/>
          <w:szCs w:val="32"/>
        </w:rPr>
      </w:pPr>
      <w:r>
        <w:rPr>
          <w:rFonts w:cs="宋体" w:asciiTheme="majorEastAsia" w:hAnsiTheme="majorEastAsia" w:eastAsiaTheme="majorEastAsia"/>
          <w:b/>
          <w:spacing w:val="6"/>
          <w:sz w:val="32"/>
          <w:szCs w:val="32"/>
        </w:rPr>
        <w:br w:type="page"/>
      </w:r>
      <w:r>
        <w:rPr>
          <w:rFonts w:hint="eastAsia" w:cs="宋体" w:asciiTheme="majorEastAsia" w:hAnsiTheme="majorEastAsia" w:eastAsiaTheme="majorEastAsia"/>
          <w:b/>
          <w:kern w:val="0"/>
          <w:sz w:val="32"/>
          <w:szCs w:val="32"/>
        </w:rPr>
        <w:t>附件</w:t>
      </w:r>
      <w:r>
        <w:rPr>
          <w:rFonts w:cs="宋体" w:asciiTheme="majorEastAsia" w:hAnsiTheme="majorEastAsia" w:eastAsiaTheme="majorEastAsia"/>
          <w:b/>
          <w:kern w:val="0"/>
          <w:sz w:val="32"/>
          <w:szCs w:val="32"/>
        </w:rPr>
        <w:t>6</w:t>
      </w:r>
      <w:r>
        <w:rPr>
          <w:rFonts w:hint="eastAsia" w:cs="宋体" w:asciiTheme="majorEastAsia" w:hAnsiTheme="majorEastAsia" w:eastAsiaTheme="majorEastAsia"/>
          <w:b/>
          <w:kern w:val="0"/>
          <w:sz w:val="32"/>
          <w:szCs w:val="32"/>
        </w:rPr>
        <w:t>：分包意向协议</w:t>
      </w:r>
    </w:p>
    <w:p w14:paraId="22572E3E">
      <w:pPr>
        <w:widowControl/>
        <w:spacing w:line="360" w:lineRule="auto"/>
        <w:ind w:firstLine="120" w:firstLineChars="50"/>
        <w:jc w:val="center"/>
        <w:rPr>
          <w:rFonts w:cs="宋体" w:asciiTheme="majorEastAsia" w:hAnsiTheme="majorEastAsia" w:eastAsiaTheme="majorEastAsia"/>
          <w:sz w:val="24"/>
        </w:rPr>
      </w:pPr>
      <w:r>
        <w:rPr>
          <w:rFonts w:hint="eastAsia" w:cs="宋体" w:asciiTheme="majorEastAsia" w:hAnsiTheme="majorEastAsia" w:eastAsiaTheme="majorEastAsia"/>
          <w:sz w:val="24"/>
        </w:rPr>
        <w:t>（</w:t>
      </w:r>
      <w:r>
        <w:rPr>
          <w:rFonts w:hint="eastAsia" w:cs="宋体" w:asciiTheme="majorEastAsia" w:hAnsiTheme="majorEastAsia" w:eastAsiaTheme="majorEastAsia"/>
          <w:b/>
          <w:sz w:val="24"/>
        </w:rPr>
        <w:t>中标后以分包方式履行合同的，提供分包意向协议；采购人不同意分包或者投标人中标后不以分包方式履行合同的，则不需要提供。</w:t>
      </w:r>
      <w:r>
        <w:rPr>
          <w:rFonts w:hint="eastAsia" w:cs="宋体" w:asciiTheme="majorEastAsia" w:hAnsiTheme="majorEastAsia" w:eastAsiaTheme="majorEastAsia"/>
          <w:sz w:val="24"/>
        </w:rPr>
        <w:t>）</w:t>
      </w:r>
    </w:p>
    <w:p w14:paraId="55AC189E">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（投标人名称）</w:t>
      </w:r>
      <w:r>
        <w:rPr>
          <w:rFonts w:hint="eastAsia" w:cs="宋体" w:asciiTheme="majorEastAsia" w:hAnsiTheme="majorEastAsia" w:eastAsiaTheme="majorEastAsia"/>
          <w:kern w:val="0"/>
          <w:sz w:val="24"/>
          <w:lang w:val="zh-CN"/>
        </w:rPr>
        <w:t>若成为</w:t>
      </w:r>
      <w:r>
        <w:rPr>
          <w:rFonts w:hint="eastAsia" w:cs="仿宋" w:asciiTheme="majorEastAsia" w:hAnsiTheme="majorEastAsia" w:eastAsiaTheme="majorEastAsia"/>
          <w:sz w:val="24"/>
        </w:rPr>
        <w:t>2024年省卫生健康信息中心电子政务维护服务项目</w:t>
      </w:r>
      <w:r>
        <w:rPr>
          <w:rFonts w:hint="eastAsia" w:cs="宋体" w:asciiTheme="majorEastAsia" w:hAnsiTheme="majorEastAsia" w:eastAsiaTheme="majorEastAsia"/>
          <w:sz w:val="24"/>
        </w:rPr>
        <w:t>【招标编号：</w:t>
      </w:r>
      <w:r>
        <w:rPr>
          <w:rFonts w:hint="eastAsia" w:cs="仿宋" w:asciiTheme="majorEastAsia" w:hAnsiTheme="majorEastAsia" w:eastAsiaTheme="majorEastAsia"/>
          <w:sz w:val="24"/>
        </w:rPr>
        <w:t>CTZB-2024080126</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的中标供应商，将依法采取分包方式履行合同。</w:t>
      </w:r>
      <w:r>
        <w:rPr>
          <w:rFonts w:hint="eastAsia" w:cs="宋体" w:asciiTheme="majorEastAsia" w:hAnsiTheme="majorEastAsia" w:eastAsiaTheme="majorEastAsia"/>
          <w:kern w:val="0"/>
          <w:sz w:val="24"/>
          <w:u w:val="single"/>
        </w:rPr>
        <w:t>（投标人名称）</w:t>
      </w:r>
      <w:r>
        <w:rPr>
          <w:rFonts w:hint="eastAsia" w:cs="宋体" w:asciiTheme="majorEastAsia" w:hAnsiTheme="majorEastAsia" w:eastAsiaTheme="majorEastAsia"/>
          <w:kern w:val="0"/>
          <w:sz w:val="24"/>
        </w:rPr>
        <w:t>与</w:t>
      </w:r>
      <w:r>
        <w:rPr>
          <w:rFonts w:hint="eastAsia" w:cs="宋体" w:asciiTheme="majorEastAsia" w:hAnsiTheme="majorEastAsia" w:eastAsiaTheme="majorEastAsia"/>
          <w:kern w:val="0"/>
          <w:sz w:val="24"/>
          <w:u w:val="single"/>
        </w:rPr>
        <w:t>（所有分包供应商名称）</w:t>
      </w:r>
      <w:r>
        <w:rPr>
          <w:rFonts w:hint="eastAsia" w:cs="宋体" w:asciiTheme="majorEastAsia" w:hAnsiTheme="majorEastAsia" w:eastAsiaTheme="majorEastAsia"/>
          <w:kern w:val="0"/>
          <w:sz w:val="24"/>
        </w:rPr>
        <w:t>达成分包意向协议</w:t>
      </w:r>
      <w:r>
        <w:rPr>
          <w:rFonts w:hint="eastAsia" w:cs="宋体" w:asciiTheme="majorEastAsia" w:hAnsiTheme="majorEastAsia" w:eastAsiaTheme="majorEastAsia"/>
          <w:kern w:val="0"/>
          <w:sz w:val="24"/>
          <w:lang w:val="zh-CN"/>
        </w:rPr>
        <w:t xml:space="preserve">。 </w:t>
      </w:r>
    </w:p>
    <w:p w14:paraId="232C8C70">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一、分包标的及数量</w:t>
      </w:r>
    </w:p>
    <w:p w14:paraId="26370A06">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u w:val="single"/>
        </w:rPr>
        <w:t>（投标人名称）</w:t>
      </w:r>
      <w:r>
        <w:rPr>
          <w:rFonts w:hint="eastAsia" w:cs="宋体" w:asciiTheme="majorEastAsia" w:hAnsiTheme="majorEastAsia" w:eastAsiaTheme="majorEastAsia"/>
          <w:kern w:val="0"/>
          <w:sz w:val="24"/>
          <w:lang w:val="zh-CN"/>
        </w:rPr>
        <w:t>将</w:t>
      </w:r>
      <w:r>
        <w:rPr>
          <w:rFonts w:cs="宋体" w:asciiTheme="majorEastAsia" w:hAnsiTheme="majorEastAsia" w:eastAsiaTheme="majorEastAsia"/>
          <w:kern w:val="0"/>
          <w:sz w:val="24"/>
          <w:u w:val="single"/>
        </w:rPr>
        <w:t xml:space="preserve"> XX工作内容   </w:t>
      </w:r>
      <w:r>
        <w:rPr>
          <w:rFonts w:hint="eastAsia" w:cs="宋体" w:asciiTheme="majorEastAsia" w:hAnsiTheme="majorEastAsia" w:eastAsiaTheme="majorEastAsia"/>
          <w:sz w:val="24"/>
        </w:rPr>
        <w:t>分包给</w:t>
      </w:r>
      <w:r>
        <w:rPr>
          <w:rFonts w:hint="eastAsia" w:cs="宋体" w:asciiTheme="majorEastAsia" w:hAnsiTheme="majorEastAsia" w:eastAsiaTheme="majorEastAsia"/>
          <w:kern w:val="0"/>
          <w:sz w:val="24"/>
          <w:u w:val="single"/>
        </w:rPr>
        <w:t>（分包供应商1名称）</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kern w:val="0"/>
          <w:sz w:val="24"/>
          <w:u w:val="single"/>
        </w:rPr>
        <w:t>（分包供应商2名称），</w:t>
      </w:r>
      <w:r>
        <w:rPr>
          <w:rFonts w:hint="eastAsia" w:cs="宋体" w:asciiTheme="majorEastAsia" w:hAnsiTheme="majorEastAsia" w:eastAsiaTheme="majorEastAsia"/>
          <w:kern w:val="0"/>
          <w:sz w:val="24"/>
          <w:lang w:val="zh-CN"/>
        </w:rPr>
        <w:t>具备承</w:t>
      </w:r>
      <w:r>
        <w:rPr>
          <w:rFonts w:hint="eastAsia" w:cs="宋体" w:asciiTheme="majorEastAsia" w:hAnsiTheme="majorEastAsia" w:eastAsiaTheme="majorEastAsia"/>
          <w:kern w:val="0"/>
          <w:sz w:val="24"/>
        </w:rPr>
        <w:t>担</w:t>
      </w:r>
      <w:r>
        <w:rPr>
          <w:rFonts w:hint="eastAsia" w:cs="宋体" w:asciiTheme="majorEastAsia" w:hAnsiTheme="majorEastAsia" w:eastAsiaTheme="majorEastAsia"/>
          <w:kern w:val="0"/>
          <w:sz w:val="24"/>
          <w:u w:val="single"/>
          <w:lang w:val="zh-CN"/>
        </w:rPr>
        <w:t>XX工作内容</w:t>
      </w:r>
      <w:r>
        <w:rPr>
          <w:rFonts w:hint="eastAsia" w:cs="宋体" w:asciiTheme="majorEastAsia" w:hAnsiTheme="majorEastAsia" w:eastAsiaTheme="majorEastAsia"/>
          <w:kern w:val="0"/>
          <w:sz w:val="24"/>
          <w:lang w:val="zh-CN"/>
        </w:rPr>
        <w:t>相应资质条件且不得再次分包；</w:t>
      </w:r>
    </w:p>
    <w:p w14:paraId="56FEA2E4">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w:t>
      </w:r>
    </w:p>
    <w:p w14:paraId="1D2AABD7">
      <w:pPr>
        <w:rPr>
          <w:rFonts w:asciiTheme="majorEastAsia" w:hAnsiTheme="majorEastAsia" w:eastAsiaTheme="majorEastAsia"/>
        </w:rPr>
      </w:pPr>
    </w:p>
    <w:p w14:paraId="3BC57BF1">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二、分包供应商中小企业合同份额</w:t>
      </w:r>
    </w:p>
    <w:p w14:paraId="7DB07BE7">
      <w:pPr>
        <w:snapToGrid w:val="0"/>
        <w:spacing w:line="360" w:lineRule="auto"/>
        <w:ind w:firstLine="576"/>
        <w:rPr>
          <w:rFonts w:cs="宋体" w:asciiTheme="majorEastAsia" w:hAnsiTheme="majorEastAsia" w:eastAsiaTheme="majorEastAsia"/>
          <w:b/>
          <w:kern w:val="0"/>
          <w:sz w:val="24"/>
          <w:lang w:val="zh-CN"/>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（分包供应商X</w:t>
      </w:r>
      <w:r>
        <w:rPr>
          <w:rFonts w:cs="宋体" w:asciiTheme="majorEastAsia" w:hAnsiTheme="majorEastAsia" w:eastAsiaTheme="majorEastAsia"/>
          <w:kern w:val="0"/>
          <w:sz w:val="24"/>
          <w:u w:val="single"/>
        </w:rPr>
        <w:t>,</w:t>
      </w:r>
      <w:r>
        <w:rPr>
          <w:rFonts w:hint="eastAsia" w:cs="宋体" w:asciiTheme="majorEastAsia" w:hAnsiTheme="majorEastAsia" w:eastAsiaTheme="majorEastAsia"/>
          <w:kern w:val="0"/>
          <w:sz w:val="24"/>
          <w:u w:val="single"/>
        </w:rPr>
        <w:t>……）提供的服务全部由小微企业承接，</w:t>
      </w:r>
      <w:r>
        <w:rPr>
          <w:rFonts w:hint="eastAsia" w:cs="宋体" w:asciiTheme="majorEastAsia" w:hAnsiTheme="majorEastAsia" w:eastAsiaTheme="majorEastAsia"/>
          <w:kern w:val="0"/>
          <w:sz w:val="24"/>
        </w:rPr>
        <w:t>其合同份额占到合同总金额</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%以上</w:t>
      </w:r>
      <w:r>
        <w:rPr>
          <w:rFonts w:hint="eastAsia" w:cs="宋体" w:asciiTheme="majorEastAsia" w:hAnsiTheme="majorEastAsia" w:eastAsiaTheme="majorEastAsia"/>
        </w:rPr>
        <w:t>。</w:t>
      </w:r>
      <w:r>
        <w:rPr>
          <w:rFonts w:hint="eastAsia" w:cs="宋体" w:asciiTheme="majorEastAsia" w:hAnsiTheme="majorEastAsia" w:eastAsiaTheme="maj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sz w:val="24"/>
        </w:rPr>
        <w:t>拟享受以上价格扣除政策的，填写有关内容。</w:t>
      </w:r>
      <w:r>
        <w:rPr>
          <w:rFonts w:hint="eastAsia" w:cs="宋体" w:asciiTheme="majorEastAsia" w:hAnsiTheme="majorEastAsia" w:eastAsiaTheme="majorEastAsia"/>
          <w:b/>
          <w:kern w:val="0"/>
          <w:sz w:val="24"/>
          <w:lang w:val="zh-CN"/>
        </w:rPr>
        <w:t>）</w:t>
      </w:r>
    </w:p>
    <w:p w14:paraId="0D4EC3CB">
      <w:pPr>
        <w:spacing w:line="360" w:lineRule="auto"/>
        <w:ind w:firstLine="480" w:firstLineChars="200"/>
        <w:rPr>
          <w:rFonts w:cs="宋体" w:asciiTheme="majorEastAsia" w:hAnsiTheme="majorEastAsia" w:eastAsiaTheme="majorEastAsia"/>
          <w:b/>
          <w:bCs/>
          <w:kern w:val="0"/>
          <w:sz w:val="24"/>
          <w:lang w:val="zh-CN"/>
        </w:rPr>
      </w:pPr>
      <w:r>
        <w:rPr>
          <w:rFonts w:hint="eastAsia" w:cs="宋体" w:asciiTheme="majorEastAsia" w:hAnsiTheme="majorEastAsia" w:eastAsiaTheme="majorEastAsia"/>
          <w:sz w:val="24"/>
        </w:rPr>
        <w:t>2、中小企业合同金额达到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w:t>
      </w:r>
      <w:r>
        <w:rPr>
          <w:rFonts w:hint="eastAsia" w:cs="宋体" w:asciiTheme="majorEastAsia" w:hAnsiTheme="majorEastAsia" w:eastAsiaTheme="majorEastAsia"/>
          <w:b/>
          <w:bCs/>
          <w:kern w:val="0"/>
          <w:sz w:val="24"/>
          <w:lang w:val="zh-CN"/>
        </w:rPr>
        <w:t>（</w:t>
      </w:r>
      <w:r>
        <w:rPr>
          <w:rFonts w:hint="eastAsia" w:cs="宋体" w:asciiTheme="majorEastAsia" w:hAnsiTheme="majorEastAsia" w:eastAsiaTheme="majorEastAsia"/>
          <w:b/>
          <w:bCs/>
          <w:sz w:val="24"/>
        </w:rPr>
        <w:t>要求合同分包形式参加的项目或采购包，供应商按招标文件第一部分招标公告申请人的资格要求中规定的</w:t>
      </w:r>
      <w:r>
        <w:rPr>
          <w:rFonts w:hint="eastAsia" w:cs="宋体" w:asciiTheme="majorEastAsia" w:hAnsiTheme="majorEastAsia" w:eastAsiaTheme="majorEastAsia"/>
          <w:b/>
          <w:kern w:val="0"/>
          <w:sz w:val="24"/>
          <w:lang w:val="zh-CN"/>
        </w:rPr>
        <w:t>分包意向协议</w:t>
      </w:r>
      <w:r>
        <w:rPr>
          <w:rFonts w:hint="eastAsia" w:cs="宋体" w:asciiTheme="majorEastAsia" w:hAnsiTheme="majorEastAsia" w:eastAsiaTheme="majorEastAsia"/>
          <w:b/>
          <w:bCs/>
          <w:sz w:val="24"/>
        </w:rPr>
        <w:t>中中小企业、小微企业合同金额应当达到的比例要求填写。</w:t>
      </w:r>
      <w:r>
        <w:rPr>
          <w:rFonts w:hint="eastAsia" w:cs="宋体" w:asciiTheme="majorEastAsia" w:hAnsiTheme="majorEastAsia" w:eastAsiaTheme="majorEastAsia"/>
          <w:b/>
          <w:bCs/>
          <w:kern w:val="0"/>
          <w:sz w:val="24"/>
          <w:lang w:val="zh-CN"/>
        </w:rPr>
        <w:t>）</w:t>
      </w:r>
    </w:p>
    <w:p w14:paraId="06E9DBB2">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三、分包工作履行期限、地点、方式</w:t>
      </w:r>
    </w:p>
    <w:p w14:paraId="4BA4BBA5">
      <w:pPr>
        <w:snapToGrid w:val="0"/>
        <w:spacing w:line="360" w:lineRule="auto"/>
        <w:ind w:firstLine="576"/>
        <w:rPr>
          <w:rFonts w:cs="宋体" w:asciiTheme="majorEastAsia" w:hAnsiTheme="majorEastAsia" w:eastAsiaTheme="majorEastAsia"/>
          <w:u w:val="single"/>
        </w:rPr>
      </w:pPr>
    </w:p>
    <w:p w14:paraId="3A0F3391">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四、质量</w:t>
      </w:r>
    </w:p>
    <w:p w14:paraId="79CC210D">
      <w:pPr>
        <w:snapToGrid w:val="0"/>
        <w:spacing w:line="360" w:lineRule="auto"/>
        <w:ind w:firstLine="576"/>
        <w:rPr>
          <w:rFonts w:cs="宋体" w:asciiTheme="majorEastAsia" w:hAnsiTheme="majorEastAsia" w:eastAsiaTheme="majorEastAsia"/>
          <w:kern w:val="0"/>
          <w:sz w:val="24"/>
          <w:lang w:val="zh-CN"/>
        </w:rPr>
      </w:pPr>
    </w:p>
    <w:p w14:paraId="211D3D46">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五、价款或者报酬</w:t>
      </w:r>
    </w:p>
    <w:p w14:paraId="66E3323E">
      <w:pPr>
        <w:snapToGrid w:val="0"/>
        <w:spacing w:line="360" w:lineRule="auto"/>
        <w:ind w:left="573" w:leftChars="273"/>
        <w:rPr>
          <w:rFonts w:cs="宋体" w:asciiTheme="majorEastAsia" w:hAnsiTheme="majorEastAsia" w:eastAsiaTheme="majorEastAsia"/>
          <w:kern w:val="0"/>
          <w:sz w:val="24"/>
          <w:lang w:val="zh-CN"/>
        </w:rPr>
      </w:pPr>
    </w:p>
    <w:p w14:paraId="1F16A115">
      <w:pPr>
        <w:snapToGrid w:val="0"/>
        <w:spacing w:line="360" w:lineRule="auto"/>
        <w:ind w:left="573" w:leftChars="273"/>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六、违约责任</w:t>
      </w:r>
    </w:p>
    <w:p w14:paraId="1E1459DC">
      <w:pPr>
        <w:snapToGrid w:val="0"/>
        <w:spacing w:line="360" w:lineRule="auto"/>
        <w:ind w:firstLine="576"/>
        <w:rPr>
          <w:rFonts w:cs="宋体" w:asciiTheme="majorEastAsia" w:hAnsiTheme="majorEastAsia" w:eastAsiaTheme="majorEastAsia"/>
          <w:kern w:val="0"/>
          <w:sz w:val="24"/>
          <w:lang w:val="zh-CN"/>
        </w:rPr>
      </w:pPr>
    </w:p>
    <w:p w14:paraId="5A650AEA">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七、争议解决的办法</w:t>
      </w:r>
    </w:p>
    <w:p w14:paraId="79359712">
      <w:pPr>
        <w:snapToGrid w:val="0"/>
        <w:spacing w:line="360" w:lineRule="auto"/>
        <w:ind w:firstLine="576"/>
        <w:rPr>
          <w:rFonts w:cs="宋体" w:asciiTheme="majorEastAsia" w:hAnsiTheme="majorEastAsia" w:eastAsiaTheme="majorEastAsia"/>
          <w:kern w:val="0"/>
          <w:sz w:val="24"/>
          <w:lang w:val="zh-CN"/>
        </w:rPr>
      </w:pPr>
    </w:p>
    <w:p w14:paraId="01377249">
      <w:pPr>
        <w:snapToGrid w:val="0"/>
        <w:spacing w:line="360" w:lineRule="auto"/>
        <w:ind w:firstLine="576"/>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八、其他</w:t>
      </w:r>
    </w:p>
    <w:p w14:paraId="0DAE305A">
      <w:pPr>
        <w:snapToGrid w:val="0"/>
        <w:spacing w:line="360" w:lineRule="auto"/>
        <w:ind w:left="5758" w:leftChars="342" w:hanging="5040" w:hangingChars="2100"/>
        <w:rPr>
          <w:rFonts w:cs="宋体" w:asciiTheme="majorEastAsia" w:hAnsiTheme="majorEastAsia" w:eastAsiaTheme="majorEastAsia"/>
          <w:kern w:val="0"/>
          <w:sz w:val="24"/>
          <w:lang w:val="zh-CN"/>
        </w:rPr>
      </w:pPr>
      <w:r>
        <w:rPr>
          <w:rFonts w:hint="eastAsia" w:cs="宋体" w:asciiTheme="majorEastAsia" w:hAnsiTheme="majorEastAsia" w:eastAsiaTheme="majorEastAsia"/>
          <w:sz w:val="24"/>
        </w:rPr>
        <w:t>中小企业合同金额达到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%，小微企业合同金额达到</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0"/>
          <w:sz w:val="24"/>
          <w:lang w:val="zh-CN"/>
        </w:rPr>
        <w:t xml:space="preserve">  。                                           </w:t>
      </w:r>
    </w:p>
    <w:p w14:paraId="4CD2CAA2">
      <w:pPr>
        <w:snapToGrid w:val="0"/>
        <w:spacing w:line="360" w:lineRule="auto"/>
        <w:ind w:left="5758" w:leftChars="342" w:hanging="5040" w:hangingChars="2100"/>
        <w:rPr>
          <w:rFonts w:cs="宋体" w:asciiTheme="majorEastAsia" w:hAnsiTheme="majorEastAsia" w:eastAsiaTheme="majorEastAsia"/>
          <w:kern w:val="0"/>
          <w:sz w:val="24"/>
          <w:lang w:val="zh-CN"/>
        </w:rPr>
      </w:pPr>
    </w:p>
    <w:p w14:paraId="569A602D">
      <w:pPr>
        <w:snapToGrid w:val="0"/>
        <w:spacing w:line="360" w:lineRule="auto"/>
        <w:ind w:left="5758" w:leftChars="342" w:hanging="5040" w:hangingChars="2100"/>
        <w:rPr>
          <w:rFonts w:cs="宋体" w:asciiTheme="majorEastAsia" w:hAnsiTheme="majorEastAsia" w:eastAsiaTheme="majorEastAsia"/>
          <w:kern w:val="0"/>
          <w:sz w:val="24"/>
          <w:lang w:val="zh-CN"/>
        </w:rPr>
      </w:pPr>
    </w:p>
    <w:p w14:paraId="727EF832">
      <w:pPr>
        <w:snapToGrid w:val="0"/>
        <w:spacing w:line="360" w:lineRule="auto"/>
        <w:ind w:left="5128" w:leftChars="2442" w:firstLine="240" w:firstLineChars="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投标人名称(电子签名)：</w:t>
      </w:r>
    </w:p>
    <w:p w14:paraId="43B331AE">
      <w:pPr>
        <w:snapToGrid w:val="0"/>
        <w:spacing w:line="360" w:lineRule="auto"/>
        <w:jc w:val="righ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分包供应商名称(电子签名/公章)：</w:t>
      </w:r>
    </w:p>
    <w:p w14:paraId="620D2C55">
      <w:pPr>
        <w:snapToGrid w:val="0"/>
        <w:spacing w:line="360" w:lineRule="auto"/>
        <w:ind w:firstLine="5760" w:firstLineChars="2400"/>
        <w:rPr>
          <w:rFonts w:cs="宋体" w:asciiTheme="majorEastAsia" w:hAnsiTheme="majorEastAsia" w:eastAsiaTheme="majorEastAsia"/>
        </w:rPr>
      </w:pPr>
      <w:r>
        <w:rPr>
          <w:rFonts w:hint="eastAsia" w:cs="宋体" w:asciiTheme="majorEastAsia" w:hAnsiTheme="majorEastAsia" w:eastAsiaTheme="majorEastAsia"/>
          <w:kern w:val="0"/>
          <w:sz w:val="24"/>
          <w:lang w:val="zh-CN"/>
        </w:rPr>
        <w:t>……</w:t>
      </w:r>
    </w:p>
    <w:p w14:paraId="6BE6EDF6">
      <w:pPr>
        <w:snapToGrid w:val="0"/>
        <w:spacing w:line="360" w:lineRule="auto"/>
        <w:ind w:left="5758" w:leftChars="342" w:hanging="5040" w:hangingChars="210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 xml:space="preserve">                                        日期：  年  月   日</w:t>
      </w:r>
    </w:p>
    <w:p w14:paraId="317C9A5D">
      <w:pPr>
        <w:spacing w:line="360" w:lineRule="auto"/>
        <w:ind w:right="420"/>
        <w:rPr>
          <w:rFonts w:cs="宋体" w:asciiTheme="majorEastAsia" w:hAnsiTheme="majorEastAsia" w:eastAsiaTheme="majorEastAsia"/>
          <w:sz w:val="24"/>
        </w:rPr>
      </w:pPr>
      <w:r>
        <w:rPr>
          <w:rFonts w:hint="eastAsia" w:cs="宋体" w:asciiTheme="majorEastAsia" w:hAnsiTheme="majorEastAsia" w:eastAsiaTheme="majorEastAsia"/>
          <w:sz w:val="24"/>
        </w:rPr>
        <w:t>注：按本格式和要求提供。</w:t>
      </w:r>
    </w:p>
    <w:p w14:paraId="6D4F914E">
      <w:pPr>
        <w:autoSpaceDE w:val="0"/>
        <w:autoSpaceDN w:val="0"/>
        <w:jc w:val="center"/>
        <w:rPr>
          <w:rFonts w:cs="宋体" w:asciiTheme="majorEastAsia" w:hAnsiTheme="majorEastAsia" w:eastAsiaTheme="majorEastAsia"/>
          <w:b/>
          <w:spacing w:val="6"/>
          <w:sz w:val="32"/>
          <w:szCs w:val="32"/>
        </w:rPr>
      </w:pPr>
    </w:p>
    <w:p w14:paraId="42F0E47E">
      <w:pPr>
        <w:autoSpaceDE w:val="0"/>
        <w:autoSpaceDN w:val="0"/>
        <w:jc w:val="center"/>
        <w:rPr>
          <w:rFonts w:cs="宋体" w:asciiTheme="majorEastAsia" w:hAnsiTheme="majorEastAsia" w:eastAsiaTheme="majorEastAsia"/>
          <w:b/>
          <w:spacing w:val="6"/>
          <w:sz w:val="32"/>
          <w:szCs w:val="32"/>
        </w:rPr>
      </w:pPr>
    </w:p>
    <w:p w14:paraId="5A6B4AFD">
      <w:pPr>
        <w:autoSpaceDE w:val="0"/>
        <w:autoSpaceDN w:val="0"/>
        <w:jc w:val="center"/>
        <w:rPr>
          <w:rFonts w:cs="宋体" w:asciiTheme="majorEastAsia" w:hAnsiTheme="majorEastAsia" w:eastAsiaTheme="majorEastAsia"/>
          <w:b/>
          <w:spacing w:val="6"/>
          <w:sz w:val="32"/>
          <w:szCs w:val="32"/>
        </w:rPr>
      </w:pPr>
    </w:p>
    <w:p w14:paraId="264B7ABC">
      <w:pPr>
        <w:autoSpaceDE w:val="0"/>
        <w:autoSpaceDN w:val="0"/>
        <w:jc w:val="center"/>
        <w:rPr>
          <w:rFonts w:cs="宋体" w:asciiTheme="majorEastAsia" w:hAnsiTheme="majorEastAsia" w:eastAsiaTheme="majorEastAsia"/>
          <w:b/>
          <w:spacing w:val="6"/>
          <w:sz w:val="32"/>
          <w:szCs w:val="32"/>
        </w:rPr>
      </w:pPr>
    </w:p>
    <w:p w14:paraId="72B44138">
      <w:pPr>
        <w:autoSpaceDE w:val="0"/>
        <w:autoSpaceDN w:val="0"/>
        <w:jc w:val="center"/>
        <w:rPr>
          <w:rFonts w:cs="宋体" w:asciiTheme="majorEastAsia" w:hAnsiTheme="majorEastAsia" w:eastAsiaTheme="majorEastAsia"/>
          <w:b/>
          <w:spacing w:val="6"/>
          <w:sz w:val="32"/>
          <w:szCs w:val="32"/>
        </w:rPr>
      </w:pPr>
    </w:p>
    <w:p w14:paraId="47B56C8B">
      <w:pPr>
        <w:autoSpaceDE w:val="0"/>
        <w:autoSpaceDN w:val="0"/>
        <w:jc w:val="center"/>
        <w:rPr>
          <w:rFonts w:cs="宋体" w:asciiTheme="majorEastAsia" w:hAnsiTheme="majorEastAsia" w:eastAsiaTheme="majorEastAsia"/>
          <w:b/>
          <w:spacing w:val="6"/>
          <w:sz w:val="32"/>
          <w:szCs w:val="32"/>
        </w:rPr>
      </w:pPr>
    </w:p>
    <w:p w14:paraId="370D3050">
      <w:pPr>
        <w:autoSpaceDE w:val="0"/>
        <w:autoSpaceDN w:val="0"/>
        <w:jc w:val="center"/>
        <w:rPr>
          <w:rFonts w:cs="宋体" w:asciiTheme="majorEastAsia" w:hAnsiTheme="majorEastAsia" w:eastAsiaTheme="majorEastAsia"/>
          <w:b/>
          <w:spacing w:val="6"/>
          <w:sz w:val="32"/>
          <w:szCs w:val="32"/>
        </w:rPr>
      </w:pPr>
    </w:p>
    <w:p w14:paraId="152D7C9C">
      <w:pPr>
        <w:autoSpaceDE w:val="0"/>
        <w:autoSpaceDN w:val="0"/>
        <w:jc w:val="center"/>
        <w:rPr>
          <w:rFonts w:cs="宋体" w:asciiTheme="majorEastAsia" w:hAnsiTheme="majorEastAsia" w:eastAsiaTheme="majorEastAsia"/>
          <w:b/>
          <w:spacing w:val="6"/>
          <w:sz w:val="32"/>
          <w:szCs w:val="32"/>
        </w:rPr>
      </w:pPr>
    </w:p>
    <w:p w14:paraId="04AF383A">
      <w:pPr>
        <w:autoSpaceDE w:val="0"/>
        <w:autoSpaceDN w:val="0"/>
        <w:jc w:val="center"/>
        <w:rPr>
          <w:rFonts w:cs="宋体" w:asciiTheme="majorEastAsia" w:hAnsiTheme="majorEastAsia" w:eastAsiaTheme="majorEastAsia"/>
          <w:b/>
          <w:spacing w:val="6"/>
          <w:sz w:val="32"/>
          <w:szCs w:val="32"/>
        </w:rPr>
      </w:pPr>
    </w:p>
    <w:p w14:paraId="2E0A2398">
      <w:pPr>
        <w:autoSpaceDE w:val="0"/>
        <w:autoSpaceDN w:val="0"/>
        <w:jc w:val="center"/>
        <w:rPr>
          <w:rFonts w:cs="宋体" w:asciiTheme="majorEastAsia" w:hAnsiTheme="majorEastAsia" w:eastAsiaTheme="majorEastAsia"/>
          <w:b/>
          <w:spacing w:val="6"/>
          <w:sz w:val="32"/>
          <w:szCs w:val="32"/>
        </w:rPr>
      </w:pPr>
    </w:p>
    <w:p w14:paraId="581C2B8C">
      <w:pPr>
        <w:autoSpaceDE w:val="0"/>
        <w:autoSpaceDN w:val="0"/>
        <w:jc w:val="center"/>
        <w:rPr>
          <w:rFonts w:cs="宋体" w:asciiTheme="majorEastAsia" w:hAnsiTheme="majorEastAsia" w:eastAsiaTheme="majorEastAsia"/>
          <w:b/>
          <w:spacing w:val="6"/>
          <w:sz w:val="32"/>
          <w:szCs w:val="32"/>
        </w:rPr>
      </w:pPr>
    </w:p>
    <w:p w14:paraId="740ABF3E">
      <w:pPr>
        <w:autoSpaceDE w:val="0"/>
        <w:autoSpaceDN w:val="0"/>
        <w:jc w:val="center"/>
        <w:rPr>
          <w:rFonts w:cs="宋体" w:asciiTheme="majorEastAsia" w:hAnsiTheme="majorEastAsia" w:eastAsiaTheme="majorEastAsia"/>
          <w:b/>
          <w:spacing w:val="6"/>
          <w:sz w:val="32"/>
          <w:szCs w:val="32"/>
        </w:rPr>
      </w:pPr>
    </w:p>
    <w:p w14:paraId="4CA02C9B">
      <w:pPr>
        <w:autoSpaceDE w:val="0"/>
        <w:autoSpaceDN w:val="0"/>
        <w:jc w:val="center"/>
        <w:rPr>
          <w:rFonts w:cs="宋体" w:asciiTheme="majorEastAsia" w:hAnsiTheme="majorEastAsia" w:eastAsiaTheme="majorEastAsia"/>
          <w:b/>
          <w:spacing w:val="6"/>
          <w:sz w:val="32"/>
          <w:szCs w:val="32"/>
        </w:rPr>
      </w:pPr>
    </w:p>
    <w:p w14:paraId="71423441">
      <w:pPr>
        <w:autoSpaceDE w:val="0"/>
        <w:autoSpaceDN w:val="0"/>
        <w:jc w:val="center"/>
        <w:rPr>
          <w:rFonts w:cs="宋体" w:asciiTheme="majorEastAsia" w:hAnsiTheme="majorEastAsia" w:eastAsiaTheme="majorEastAsia"/>
          <w:b/>
          <w:spacing w:val="6"/>
          <w:sz w:val="32"/>
          <w:szCs w:val="32"/>
        </w:rPr>
      </w:pPr>
    </w:p>
    <w:p w14:paraId="6EDF4EB4">
      <w:pPr>
        <w:autoSpaceDE w:val="0"/>
        <w:autoSpaceDN w:val="0"/>
        <w:jc w:val="center"/>
        <w:rPr>
          <w:rFonts w:cs="宋体" w:asciiTheme="majorEastAsia" w:hAnsiTheme="majorEastAsia" w:eastAsiaTheme="majorEastAsia"/>
          <w:b/>
          <w:spacing w:val="6"/>
          <w:sz w:val="32"/>
          <w:szCs w:val="32"/>
        </w:rPr>
      </w:pPr>
    </w:p>
    <w:p w14:paraId="1A5E697B">
      <w:pPr>
        <w:pageBreakBefore/>
        <w:snapToGrid w:val="0"/>
        <w:spacing w:line="360" w:lineRule="auto"/>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附件</w:t>
      </w:r>
      <w:r>
        <w:rPr>
          <w:rFonts w:cs="宋体" w:asciiTheme="majorEastAsia" w:hAnsiTheme="majorEastAsia" w:eastAsiaTheme="majorEastAsia"/>
          <w:b/>
          <w:kern w:val="0"/>
          <w:sz w:val="32"/>
          <w:szCs w:val="32"/>
        </w:rPr>
        <w:t>7</w:t>
      </w:r>
      <w:r>
        <w:rPr>
          <w:rFonts w:hint="eastAsia" w:cs="宋体" w:asciiTheme="majorEastAsia" w:hAnsiTheme="majorEastAsia" w:eastAsiaTheme="majorEastAsia"/>
          <w:b/>
          <w:kern w:val="0"/>
          <w:sz w:val="32"/>
          <w:szCs w:val="32"/>
        </w:rPr>
        <w:t>：中小企业声明函</w:t>
      </w:r>
    </w:p>
    <w:p w14:paraId="4AFFB43D">
      <w:pPr>
        <w:spacing w:line="360" w:lineRule="auto"/>
        <w:jc w:val="center"/>
        <w:rPr>
          <w:rFonts w:cs="宋体" w:asciiTheme="majorEastAsia" w:hAnsiTheme="majorEastAsia" w:eastAsiaTheme="majorEastAsia"/>
          <w:sz w:val="24"/>
          <w:u w:val="single"/>
        </w:rPr>
      </w:pPr>
    </w:p>
    <w:p w14:paraId="46485E4D">
      <w:pPr>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中小企业声明函（服务）</w:t>
      </w:r>
    </w:p>
    <w:p w14:paraId="121D5360">
      <w:pPr>
        <w:spacing w:line="360" w:lineRule="auto"/>
        <w:ind w:firstLine="360" w:firstLineChars="150"/>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sz w:val="24"/>
          <w:u w:val="single"/>
        </w:rPr>
        <w:t xml:space="preserve"> 浙江省卫生健康信息中心 </w:t>
      </w:r>
      <w:r>
        <w:rPr>
          <w:rFonts w:hint="eastAsia" w:cs="宋体" w:asciiTheme="majorEastAsia" w:hAnsiTheme="majorEastAsia" w:eastAsiaTheme="majorEastAsia"/>
          <w:sz w:val="24"/>
        </w:rPr>
        <w:t>的</w:t>
      </w:r>
      <w:r>
        <w:rPr>
          <w:rFonts w:hint="eastAsia" w:cs="仿宋" w:asciiTheme="majorEastAsia" w:hAnsiTheme="majorEastAsia" w:eastAsiaTheme="majorEastAsia"/>
          <w:sz w:val="24"/>
          <w:u w:val="single"/>
        </w:rPr>
        <w:t>2024年省卫生健康信息中心电子政务维护服务项目</w:t>
      </w:r>
      <w:r>
        <w:rPr>
          <w:rFonts w:hint="eastAsia" w:cs="宋体" w:asciiTheme="majorEastAsia" w:hAnsiTheme="majorEastAsia" w:eastAsiaTheme="majorEastAsia"/>
          <w:sz w:val="24"/>
        </w:rPr>
        <w:t>采购活动，服务全部由符合政策要求的中小企业承接。相关企业（含联合体中的中小企业、签订分包意向协议的中小企业）的具体情况如下：</w:t>
      </w:r>
    </w:p>
    <w:p w14:paraId="78ED6D5C">
      <w:pPr>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仿宋" w:asciiTheme="majorEastAsia" w:hAnsiTheme="majorEastAsia" w:eastAsiaTheme="majorEastAsia"/>
          <w:sz w:val="24"/>
          <w:u w:val="single"/>
        </w:rPr>
        <w:t xml:space="preserve">2024年省卫生健康信息中心电子政务维护服务项目 </w:t>
      </w:r>
      <w:r>
        <w:rPr>
          <w:rFonts w:hint="eastAsia" w:cs="宋体" w:asciiTheme="majorEastAsia" w:hAnsiTheme="majorEastAsia" w:eastAsiaTheme="majorEastAsia"/>
          <w:sz w:val="24"/>
        </w:rPr>
        <w:t>，属于</w:t>
      </w:r>
      <w:r>
        <w:rPr>
          <w:rFonts w:hint="eastAsia" w:cs="仿宋" w:asciiTheme="majorEastAsia" w:hAnsiTheme="majorEastAsia" w:eastAsiaTheme="majorEastAsia"/>
          <w:kern w:val="0"/>
          <w:sz w:val="24"/>
          <w:u w:val="single"/>
        </w:rPr>
        <w:t xml:space="preserve">软件和信息技术服务业 </w:t>
      </w:r>
      <w:r>
        <w:rPr>
          <w:rFonts w:hint="eastAsia" w:cs="宋体" w:asciiTheme="majorEastAsia" w:hAnsiTheme="majorEastAsia" w:eastAsiaTheme="majorEastAsia"/>
          <w:sz w:val="24"/>
        </w:rPr>
        <w:t xml:space="preserve">；承接企业为 </w:t>
      </w:r>
      <w:r>
        <w:rPr>
          <w:rFonts w:hint="eastAsia" w:cs="宋体" w:asciiTheme="majorEastAsia" w:hAnsiTheme="majorEastAsia" w:eastAsiaTheme="majorEastAsia"/>
          <w:sz w:val="24"/>
          <w:u w:val="single"/>
        </w:rPr>
        <w:t>（企业名称）</w:t>
      </w:r>
      <w:r>
        <w:rPr>
          <w:rFonts w:hint="eastAsia" w:cs="宋体" w:asciiTheme="majorEastAsia" w:hAnsiTheme="majorEastAsia" w:eastAsiaTheme="majorEastAsia"/>
          <w:sz w:val="24"/>
        </w:rPr>
        <w:t xml:space="preserve"> ，从业人员人，营业收入为万元，资产总额为万元属于</w:t>
      </w:r>
      <w:r>
        <w:rPr>
          <w:rFonts w:hint="eastAsia" w:cs="宋体" w:asciiTheme="majorEastAsia" w:hAnsiTheme="majorEastAsia" w:eastAsiaTheme="majorEastAsia"/>
          <w:b/>
          <w:sz w:val="24"/>
          <w:u w:val="single"/>
        </w:rPr>
        <w:t>（中型企业、小型企业、微型企业）</w:t>
      </w:r>
      <w:r>
        <w:rPr>
          <w:rFonts w:hint="eastAsia" w:cs="宋体" w:asciiTheme="majorEastAsia" w:hAnsiTheme="majorEastAsia" w:eastAsiaTheme="majorEastAsia"/>
          <w:sz w:val="24"/>
        </w:rPr>
        <w:t>；</w:t>
      </w:r>
    </w:p>
    <w:p w14:paraId="7212AE3C">
      <w:pPr>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u w:val="single"/>
        </w:rPr>
        <w:t xml:space="preserve"> （标的名称），</w:t>
      </w:r>
      <w:r>
        <w:rPr>
          <w:rFonts w:hint="eastAsia" w:cs="宋体" w:asciiTheme="majorEastAsia" w:hAnsiTheme="majorEastAsia" w:eastAsiaTheme="majorEastAsia"/>
          <w:sz w:val="24"/>
        </w:rPr>
        <w:t xml:space="preserve">属于 </w:t>
      </w:r>
      <w:r>
        <w:rPr>
          <w:rFonts w:hint="eastAsia" w:cs="宋体" w:asciiTheme="majorEastAsia" w:hAnsiTheme="majorEastAsia" w:eastAsiaTheme="majorEastAsia"/>
          <w:sz w:val="24"/>
          <w:u w:val="single"/>
        </w:rPr>
        <w:t xml:space="preserve">（采购文件中明确的所属行业） </w:t>
      </w:r>
      <w:r>
        <w:rPr>
          <w:rFonts w:hint="eastAsia" w:cs="宋体" w:asciiTheme="majorEastAsia" w:hAnsiTheme="majorEastAsia" w:eastAsiaTheme="majorEastAsia"/>
          <w:sz w:val="24"/>
        </w:rPr>
        <w:t xml:space="preserve">；承接企业为 </w:t>
      </w:r>
      <w:r>
        <w:rPr>
          <w:rFonts w:hint="eastAsia" w:cs="宋体" w:asciiTheme="majorEastAsia" w:hAnsiTheme="majorEastAsia" w:eastAsiaTheme="majorEastAsia"/>
          <w:sz w:val="24"/>
          <w:u w:val="single"/>
        </w:rPr>
        <w:t>（企业名称）</w:t>
      </w:r>
      <w:r>
        <w:rPr>
          <w:rFonts w:hint="eastAsia" w:cs="宋体" w:asciiTheme="majorEastAsia" w:hAnsiTheme="majorEastAsia" w:eastAsiaTheme="majorEastAsia"/>
          <w:sz w:val="24"/>
        </w:rPr>
        <w:t xml:space="preserve"> ，从业人员人，营业收入为万元，资产总额为万元属于</w:t>
      </w:r>
      <w:r>
        <w:rPr>
          <w:rFonts w:hint="eastAsia" w:cs="宋体" w:asciiTheme="majorEastAsia" w:hAnsiTheme="majorEastAsia" w:eastAsiaTheme="majorEastAsia"/>
          <w:b/>
          <w:sz w:val="24"/>
          <w:u w:val="single"/>
        </w:rPr>
        <w:t>（中型企业、小型企业、微型企业）</w:t>
      </w:r>
      <w:r>
        <w:rPr>
          <w:rFonts w:hint="eastAsia" w:cs="宋体" w:asciiTheme="majorEastAsia" w:hAnsiTheme="majorEastAsia" w:eastAsiaTheme="majorEastAsia"/>
          <w:sz w:val="24"/>
        </w:rPr>
        <w:t>；</w:t>
      </w:r>
    </w:p>
    <w:p w14:paraId="5C8410B8">
      <w:pPr>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w:t>
      </w:r>
    </w:p>
    <w:p w14:paraId="408C2BC8">
      <w:pPr>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以上企业，不属于大企业的分支机构，不存在控股股东为大企业的情形，也不存在与大企业的负责人为同一人的情形。</w:t>
      </w:r>
    </w:p>
    <w:p w14:paraId="67C8A30A">
      <w:pPr>
        <w:spacing w:line="360" w:lineRule="auto"/>
        <w:ind w:firstLine="480" w:firstLineChars="200"/>
        <w:jc w:val="left"/>
        <w:rPr>
          <w:rFonts w:cs="宋体" w:asciiTheme="majorEastAsia" w:hAnsiTheme="majorEastAsia" w:eastAsiaTheme="majorEastAsia"/>
          <w:sz w:val="24"/>
        </w:rPr>
      </w:pPr>
      <w:r>
        <w:rPr>
          <w:rFonts w:hint="eastAsia" w:cs="宋体" w:asciiTheme="majorEastAsia" w:hAnsiTheme="majorEastAsia" w:eastAsiaTheme="majorEastAsia"/>
          <w:sz w:val="24"/>
        </w:rPr>
        <w:t>本企业对上述声明内容的真实性负责。如有虚假，将依法承担相应责任。</w:t>
      </w:r>
    </w:p>
    <w:p w14:paraId="0291B1A8">
      <w:pPr>
        <w:pStyle w:val="2"/>
        <w:rPr>
          <w:rFonts w:asciiTheme="majorEastAsia" w:hAnsiTheme="majorEastAsia" w:eastAsiaTheme="majorEastAsia"/>
        </w:rPr>
      </w:pPr>
    </w:p>
    <w:p w14:paraId="76EFB3F8">
      <w:pPr>
        <w:rPr>
          <w:rFonts w:asciiTheme="majorEastAsia" w:hAnsiTheme="majorEastAsia" w:eastAsiaTheme="majorEastAsia"/>
        </w:rPr>
      </w:pPr>
    </w:p>
    <w:p w14:paraId="7D229275">
      <w:pPr>
        <w:spacing w:line="360" w:lineRule="auto"/>
        <w:ind w:right="1760"/>
        <w:jc w:val="right"/>
        <w:rPr>
          <w:rFonts w:cs="宋体" w:asciiTheme="majorEastAsia" w:hAnsiTheme="majorEastAsia" w:eastAsiaTheme="majorEastAsia"/>
          <w:sz w:val="24"/>
        </w:rPr>
      </w:pPr>
      <w:r>
        <w:rPr>
          <w:rFonts w:hint="eastAsia" w:cs="宋体" w:asciiTheme="majorEastAsia" w:hAnsiTheme="majorEastAsia" w:eastAsiaTheme="majorEastAsia"/>
          <w:sz w:val="24"/>
        </w:rPr>
        <w:t>投标人名称（电子签名）：</w:t>
      </w:r>
    </w:p>
    <w:p w14:paraId="59A82F4C">
      <w:pPr>
        <w:spacing w:line="360" w:lineRule="auto"/>
        <w:ind w:right="1120" w:firstLine="4514" w:firstLineChars="1881"/>
        <w:rPr>
          <w:rFonts w:cs="宋体" w:asciiTheme="majorEastAsia" w:hAnsiTheme="majorEastAsia" w:eastAsiaTheme="majorEastAsia"/>
          <w:sz w:val="24"/>
        </w:rPr>
      </w:pPr>
      <w:r>
        <w:rPr>
          <w:rFonts w:hint="eastAsia" w:cs="宋体" w:asciiTheme="majorEastAsia" w:hAnsiTheme="majorEastAsia" w:eastAsiaTheme="majorEastAsia"/>
          <w:sz w:val="24"/>
        </w:rPr>
        <w:t>日 期：</w:t>
      </w:r>
    </w:p>
    <w:p w14:paraId="6357E98F">
      <w:pPr>
        <w:pStyle w:val="2"/>
        <w:rPr>
          <w:rFonts w:asciiTheme="majorEastAsia" w:hAnsiTheme="majorEastAsia" w:eastAsiaTheme="majorEastAsia"/>
        </w:rPr>
      </w:pPr>
    </w:p>
    <w:p w14:paraId="392F484C">
      <w:pPr>
        <w:rPr>
          <w:rFonts w:asciiTheme="majorEastAsia" w:hAnsiTheme="majorEastAsia" w:eastAsiaTheme="majorEastAsia"/>
        </w:rPr>
      </w:pPr>
    </w:p>
    <w:p w14:paraId="3385F110">
      <w:pPr>
        <w:spacing w:line="360" w:lineRule="auto"/>
        <w:ind w:firstLine="310" w:firstLineChars="147"/>
        <w:jc w:val="left"/>
        <w:rPr>
          <w:rFonts w:cs="宋体" w:asciiTheme="majorEastAsia" w:hAnsiTheme="majorEastAsia" w:eastAsiaTheme="majorEastAsia"/>
          <w:b/>
          <w:szCs w:val="21"/>
        </w:rPr>
      </w:pPr>
      <w:r>
        <w:rPr>
          <w:rFonts w:hint="eastAsia" w:cs="宋体" w:asciiTheme="majorEastAsia" w:hAnsiTheme="majorEastAsia" w:eastAsiaTheme="majorEastAsia"/>
          <w:b/>
          <w:szCs w:val="21"/>
        </w:rPr>
        <w:t>从业人员、营业收入、资产总额填报上一年度数据，无上一年度数据的新成立企业可不填报。</w:t>
      </w:r>
    </w:p>
    <w:p w14:paraId="602183A9">
      <w:pPr>
        <w:spacing w:line="360" w:lineRule="auto"/>
        <w:ind w:right="420"/>
        <w:rPr>
          <w:rFonts w:cs="宋体" w:asciiTheme="majorEastAsia" w:hAnsiTheme="majorEastAsia" w:eastAsiaTheme="majorEastAsia"/>
          <w:sz w:val="24"/>
        </w:rPr>
      </w:pPr>
    </w:p>
    <w:p w14:paraId="5ECBB89D">
      <w:pPr>
        <w:tabs>
          <w:tab w:val="left" w:pos="9070"/>
        </w:tabs>
        <w:spacing w:line="360" w:lineRule="auto"/>
        <w:ind w:right="-2"/>
        <w:rPr>
          <w:rFonts w:cs="宋体" w:asciiTheme="majorEastAsia" w:hAnsiTheme="majorEastAsia" w:eastAsiaTheme="majorEastAsia"/>
          <w:sz w:val="24"/>
        </w:rPr>
      </w:pPr>
      <w:r>
        <w:rPr>
          <w:rFonts w:hint="eastAsia" w:cs="宋体" w:asciiTheme="majorEastAsia" w:hAnsiTheme="majorEastAsia" w:eastAsiaTheme="majorEastAsia"/>
          <w:sz w:val="24"/>
        </w:rPr>
        <w:t xml:space="preserve">   注：</w:t>
      </w:r>
    </w:p>
    <w:p w14:paraId="3D6B108C">
      <w:pPr>
        <w:spacing w:line="360" w:lineRule="auto"/>
        <w:ind w:right="-2"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F9EA0C">
      <w:pPr>
        <w:spacing w:line="360" w:lineRule="auto"/>
        <w:ind w:right="-2" w:firstLine="424" w:firstLineChars="177"/>
        <w:rPr>
          <w:rFonts w:cs="宋体" w:asciiTheme="majorEastAsia" w:hAnsiTheme="majorEastAsia" w:eastAsiaTheme="majorEastAsia"/>
          <w:sz w:val="24"/>
        </w:rPr>
      </w:pPr>
      <w:r>
        <w:rPr>
          <w:rFonts w:hint="eastAsia" w:cs="宋体" w:asciiTheme="majorEastAsia" w:hAnsiTheme="majorEastAsia" w:eastAsiaTheme="maj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179B6C">
      <w:pPr>
        <w:spacing w:line="360" w:lineRule="auto"/>
        <w:ind w:right="420"/>
        <w:rPr>
          <w:rFonts w:cs="宋体" w:asciiTheme="majorEastAsia" w:hAnsiTheme="majorEastAsia" w:eastAsiaTheme="majorEastAsia"/>
        </w:rPr>
      </w:pPr>
    </w:p>
    <w:p w14:paraId="5FCC02ED">
      <w:pPr>
        <w:spacing w:line="360" w:lineRule="auto"/>
        <w:rPr>
          <w:rFonts w:cs="宋体" w:asciiTheme="majorEastAsia" w:hAnsiTheme="majorEastAsia" w:eastAsiaTheme="majorEastAsia"/>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云峰飞云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云峰飞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云峰飞云体">
    <w:panose1 w:val="02000500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11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7D9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9859">
    <w:pPr>
      <w:pStyle w:val="39"/>
      <w:framePr w:wrap="around" w:vAnchor="text" w:hAnchor="margin" w:xAlign="right" w:y="1"/>
      <w:rPr>
        <w:rStyle w:val="72"/>
      </w:rPr>
    </w:pPr>
    <w:r>
      <w:fldChar w:fldCharType="begin"/>
    </w:r>
    <w:r>
      <w:rPr>
        <w:rStyle w:val="72"/>
      </w:rPr>
      <w:instrText xml:space="preserve">PAGE  </w:instrText>
    </w:r>
    <w:r>
      <w:fldChar w:fldCharType="end"/>
    </w:r>
  </w:p>
  <w:p w14:paraId="663AE83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7A3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41" w:name="_Toc36110187"/>
    <w:bookmarkStart w:id="442" w:name="_Toc131845147"/>
    <w:bookmarkStart w:id="443" w:name="_Toc164085800"/>
    <w:bookmarkStart w:id="444" w:name="_Toc91899912"/>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A293">
    <w:pPr>
      <w:pStyle w:val="39"/>
      <w:framePr w:wrap="around" w:vAnchor="text" w:hAnchor="margin" w:xAlign="right" w:y="1"/>
      <w:rPr>
        <w:rStyle w:val="72"/>
      </w:rPr>
    </w:pPr>
    <w:r>
      <w:fldChar w:fldCharType="begin"/>
    </w:r>
    <w:r>
      <w:rPr>
        <w:rStyle w:val="72"/>
      </w:rPr>
      <w:instrText xml:space="preserve">PAGE  </w:instrText>
    </w:r>
    <w:r>
      <w:fldChar w:fldCharType="end"/>
    </w:r>
  </w:p>
  <w:p w14:paraId="2B887E4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C1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AD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48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69CCC2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33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30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22EF4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3E4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C2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6A9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4645">
    <w:pPr>
      <w:pStyle w:val="40"/>
      <w:rPr>
        <w:rFonts w:ascii="仿宋_GB2312" w:eastAsia="仿宋_GB2312"/>
        <w:b/>
        <w:i/>
        <w:u w:val="single"/>
      </w:rPr>
    </w:pPr>
    <w:r>
      <w:t></w:t>
    </w:r>
  </w:p>
  <w:p w14:paraId="46A39E9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3F04">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4ACF">
    <w:pPr>
      <w:pStyle w:val="40"/>
      <w:rPr>
        <w:rFonts w:ascii="仿宋_GB2312" w:eastAsia="仿宋_GB2312"/>
        <w:b/>
        <w:i/>
        <w:u w:val="single"/>
      </w:rPr>
    </w:pPr>
    <w:r>
      <w:t>杭州市政府采购公开招标文件</w:t>
    </w:r>
  </w:p>
  <w:p w14:paraId="494474E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EC3B">
    <w:pPr>
      <w:pStyle w:val="4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DAE">
    <w:pPr>
      <w:pStyle w:val="40"/>
      <w:jc w:val="right"/>
      <w:rPr>
        <w:rFonts w:ascii="仿宋_GB2312" w:eastAsia="仿宋_GB2312"/>
        <w:b/>
        <w:i/>
        <w:u w:val="single"/>
      </w:rPr>
    </w:pPr>
    <w:r>
      <w:t>杭州市政府采购公开招标文件</w:t>
    </w:r>
  </w:p>
  <w:p w14:paraId="5F652F8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A92A">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84C2">
    <w:pPr>
      <w:pStyle w:val="40"/>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0E58">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1081F"/>
    <w:multiLevelType w:val="singleLevel"/>
    <w:tmpl w:val="A051081F"/>
    <w:lvl w:ilvl="0" w:tentative="0">
      <w:start w:val="1"/>
      <w:numFmt w:val="decimal"/>
      <w:suff w:val="space"/>
      <w:lvlText w:val="%1)"/>
      <w:lvlJc w:val="left"/>
      <w:rPr>
        <w:rFonts w:cs="Times New Roman"/>
      </w:rPr>
    </w:lvl>
  </w:abstractNum>
  <w:abstractNum w:abstractNumId="1">
    <w:nsid w:val="D0CDC0AF"/>
    <w:multiLevelType w:val="singleLevel"/>
    <w:tmpl w:val="D0CDC0AF"/>
    <w:lvl w:ilvl="0" w:tentative="0">
      <w:start w:val="1"/>
      <w:numFmt w:val="decimal"/>
      <w:suff w:val="space"/>
      <w:lvlText w:val="%1)"/>
      <w:lvlJc w:val="left"/>
      <w:rPr>
        <w:rFonts w:cs="Times New Roman"/>
      </w:rPr>
    </w:lvl>
  </w:abstractNum>
  <w:abstractNum w:abstractNumId="2">
    <w:nsid w:val="0000000A"/>
    <w:multiLevelType w:val="multilevel"/>
    <w:tmpl w:val="0000000A"/>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0B"/>
    <w:multiLevelType w:val="multilevel"/>
    <w:tmpl w:val="0000000B"/>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4">
    <w:nsid w:val="0534F84D"/>
    <w:multiLevelType w:val="singleLevel"/>
    <w:tmpl w:val="0534F84D"/>
    <w:lvl w:ilvl="0" w:tentative="0">
      <w:start w:val="1"/>
      <w:numFmt w:val="decimal"/>
      <w:suff w:val="space"/>
      <w:lvlText w:val="%1)"/>
      <w:lvlJc w:val="left"/>
      <w:rPr>
        <w:rFonts w:cs="Times New Roman"/>
      </w:rPr>
    </w:lvl>
  </w:abstractNum>
  <w:abstractNum w:abstractNumId="5">
    <w:nsid w:val="0DD71EAB"/>
    <w:multiLevelType w:val="multilevel"/>
    <w:tmpl w:val="0DD71EAB"/>
    <w:lvl w:ilvl="0" w:tentative="0">
      <w:start w:val="1"/>
      <w:numFmt w:val="lowerLetter"/>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6">
    <w:nsid w:val="0FA2722E"/>
    <w:multiLevelType w:val="multilevel"/>
    <w:tmpl w:val="0FA2722E"/>
    <w:lvl w:ilvl="0" w:tentative="0">
      <w:start w:val="1"/>
      <w:numFmt w:val="lowerLetter"/>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7">
    <w:nsid w:val="3B7F4D41"/>
    <w:multiLevelType w:val="singleLevel"/>
    <w:tmpl w:val="3B7F4D41"/>
    <w:lvl w:ilvl="0" w:tentative="0">
      <w:start w:val="1"/>
      <w:numFmt w:val="decimal"/>
      <w:suff w:val="space"/>
      <w:lvlText w:val="%1)"/>
      <w:lvlJc w:val="left"/>
      <w:rPr>
        <w:rFonts w:cs="Times New Roman"/>
      </w:rPr>
    </w:lvl>
  </w:abstractNum>
  <w:abstractNum w:abstractNumId="8">
    <w:nsid w:val="5813AF54"/>
    <w:multiLevelType w:val="singleLevel"/>
    <w:tmpl w:val="5813AF54"/>
    <w:lvl w:ilvl="0" w:tentative="0">
      <w:start w:val="1"/>
      <w:numFmt w:val="decimal"/>
      <w:suff w:val="space"/>
      <w:lvlText w:val="%1)"/>
      <w:lvlJc w:val="left"/>
      <w:rPr>
        <w:rFonts w:cs="Times New Roman"/>
      </w:rPr>
    </w:lvl>
  </w:abstractNum>
  <w:num w:numId="1">
    <w:abstractNumId w:val="4"/>
  </w:num>
  <w:num w:numId="2">
    <w:abstractNumId w:val="8"/>
  </w:num>
  <w:num w:numId="3">
    <w:abstractNumId w:val="5"/>
  </w:num>
  <w:num w:numId="4">
    <w:abstractNumId w:val="6"/>
  </w:num>
  <w:num w:numId="5">
    <w:abstractNumId w:val="1"/>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00451"/>
    <w:rsid w:val="0000108B"/>
    <w:rsid w:val="0000133D"/>
    <w:rsid w:val="00001509"/>
    <w:rsid w:val="00001E3F"/>
    <w:rsid w:val="000032B2"/>
    <w:rsid w:val="0000363B"/>
    <w:rsid w:val="000057A2"/>
    <w:rsid w:val="000058BD"/>
    <w:rsid w:val="00006109"/>
    <w:rsid w:val="00006150"/>
    <w:rsid w:val="000063E8"/>
    <w:rsid w:val="00006725"/>
    <w:rsid w:val="0000675E"/>
    <w:rsid w:val="00006C2A"/>
    <w:rsid w:val="000071E3"/>
    <w:rsid w:val="0000734D"/>
    <w:rsid w:val="00007CAA"/>
    <w:rsid w:val="00010FE9"/>
    <w:rsid w:val="0001122F"/>
    <w:rsid w:val="00011A4B"/>
    <w:rsid w:val="00012251"/>
    <w:rsid w:val="00012B4A"/>
    <w:rsid w:val="000130FD"/>
    <w:rsid w:val="0001337C"/>
    <w:rsid w:val="000138C4"/>
    <w:rsid w:val="00013C1F"/>
    <w:rsid w:val="00013F31"/>
    <w:rsid w:val="000140D8"/>
    <w:rsid w:val="00014530"/>
    <w:rsid w:val="00014BBC"/>
    <w:rsid w:val="000150EE"/>
    <w:rsid w:val="000168D8"/>
    <w:rsid w:val="000170C8"/>
    <w:rsid w:val="000173F4"/>
    <w:rsid w:val="00020112"/>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64F"/>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64"/>
    <w:rsid w:val="0005238F"/>
    <w:rsid w:val="00052787"/>
    <w:rsid w:val="00052BB8"/>
    <w:rsid w:val="0005417A"/>
    <w:rsid w:val="00054D39"/>
    <w:rsid w:val="0005501B"/>
    <w:rsid w:val="000550F5"/>
    <w:rsid w:val="00055332"/>
    <w:rsid w:val="00055337"/>
    <w:rsid w:val="000554C7"/>
    <w:rsid w:val="000559B0"/>
    <w:rsid w:val="00056145"/>
    <w:rsid w:val="00056402"/>
    <w:rsid w:val="00056791"/>
    <w:rsid w:val="00056868"/>
    <w:rsid w:val="00056876"/>
    <w:rsid w:val="000568DF"/>
    <w:rsid w:val="00056FAE"/>
    <w:rsid w:val="000578A3"/>
    <w:rsid w:val="00057D4C"/>
    <w:rsid w:val="00057FB7"/>
    <w:rsid w:val="00060C48"/>
    <w:rsid w:val="00061A3C"/>
    <w:rsid w:val="00061C48"/>
    <w:rsid w:val="00063D4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587"/>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6A6"/>
    <w:rsid w:val="0008181C"/>
    <w:rsid w:val="00082AD4"/>
    <w:rsid w:val="000833E7"/>
    <w:rsid w:val="00083E07"/>
    <w:rsid w:val="00084A3E"/>
    <w:rsid w:val="00084D27"/>
    <w:rsid w:val="00084ED6"/>
    <w:rsid w:val="0008580E"/>
    <w:rsid w:val="00085A0E"/>
    <w:rsid w:val="00085C4F"/>
    <w:rsid w:val="00086EFD"/>
    <w:rsid w:val="00086F8A"/>
    <w:rsid w:val="00087031"/>
    <w:rsid w:val="00090243"/>
    <w:rsid w:val="000903EB"/>
    <w:rsid w:val="000904F6"/>
    <w:rsid w:val="00090918"/>
    <w:rsid w:val="00090ED8"/>
    <w:rsid w:val="00090F9F"/>
    <w:rsid w:val="0009145F"/>
    <w:rsid w:val="0009184E"/>
    <w:rsid w:val="00091B4E"/>
    <w:rsid w:val="00092467"/>
    <w:rsid w:val="00092C7C"/>
    <w:rsid w:val="00092FE9"/>
    <w:rsid w:val="000936BF"/>
    <w:rsid w:val="0009382F"/>
    <w:rsid w:val="00093A30"/>
    <w:rsid w:val="00094342"/>
    <w:rsid w:val="000945BA"/>
    <w:rsid w:val="00095954"/>
    <w:rsid w:val="000960BA"/>
    <w:rsid w:val="0009662A"/>
    <w:rsid w:val="0009690D"/>
    <w:rsid w:val="00096DFF"/>
    <w:rsid w:val="0009787F"/>
    <w:rsid w:val="00097CDB"/>
    <w:rsid w:val="000A0729"/>
    <w:rsid w:val="000A0E69"/>
    <w:rsid w:val="000A1A00"/>
    <w:rsid w:val="000A1A52"/>
    <w:rsid w:val="000A1F98"/>
    <w:rsid w:val="000A33B6"/>
    <w:rsid w:val="000A3D58"/>
    <w:rsid w:val="000A3FE3"/>
    <w:rsid w:val="000A47B0"/>
    <w:rsid w:val="000A4851"/>
    <w:rsid w:val="000A49BB"/>
    <w:rsid w:val="000A4E11"/>
    <w:rsid w:val="000A4F22"/>
    <w:rsid w:val="000A5674"/>
    <w:rsid w:val="000A5A46"/>
    <w:rsid w:val="000A7299"/>
    <w:rsid w:val="000A752E"/>
    <w:rsid w:val="000B0E04"/>
    <w:rsid w:val="000B1D51"/>
    <w:rsid w:val="000B268D"/>
    <w:rsid w:val="000B291B"/>
    <w:rsid w:val="000B456C"/>
    <w:rsid w:val="000B45B9"/>
    <w:rsid w:val="000B47CE"/>
    <w:rsid w:val="000B4B56"/>
    <w:rsid w:val="000B4BBD"/>
    <w:rsid w:val="000B4C62"/>
    <w:rsid w:val="000B541D"/>
    <w:rsid w:val="000B54C1"/>
    <w:rsid w:val="000B5553"/>
    <w:rsid w:val="000B5634"/>
    <w:rsid w:val="000B5CC9"/>
    <w:rsid w:val="000B5FE8"/>
    <w:rsid w:val="000B666E"/>
    <w:rsid w:val="000C0A43"/>
    <w:rsid w:val="000C0CB1"/>
    <w:rsid w:val="000C0E91"/>
    <w:rsid w:val="000C1411"/>
    <w:rsid w:val="000C1ADE"/>
    <w:rsid w:val="000C1C38"/>
    <w:rsid w:val="000C21DC"/>
    <w:rsid w:val="000C2264"/>
    <w:rsid w:val="000C256B"/>
    <w:rsid w:val="000C367C"/>
    <w:rsid w:val="000C3970"/>
    <w:rsid w:val="000C3B1A"/>
    <w:rsid w:val="000C3F51"/>
    <w:rsid w:val="000C4288"/>
    <w:rsid w:val="000C4727"/>
    <w:rsid w:val="000C4765"/>
    <w:rsid w:val="000C47AE"/>
    <w:rsid w:val="000C51AD"/>
    <w:rsid w:val="000C5374"/>
    <w:rsid w:val="000C5EC0"/>
    <w:rsid w:val="000C6162"/>
    <w:rsid w:val="000C6261"/>
    <w:rsid w:val="000C64CC"/>
    <w:rsid w:val="000C6688"/>
    <w:rsid w:val="000C692E"/>
    <w:rsid w:val="000C6B28"/>
    <w:rsid w:val="000C7677"/>
    <w:rsid w:val="000C7BEB"/>
    <w:rsid w:val="000D0124"/>
    <w:rsid w:val="000D06EA"/>
    <w:rsid w:val="000D11E5"/>
    <w:rsid w:val="000D19E8"/>
    <w:rsid w:val="000D1F3E"/>
    <w:rsid w:val="000D1FA1"/>
    <w:rsid w:val="000D237A"/>
    <w:rsid w:val="000D2834"/>
    <w:rsid w:val="000D2CAC"/>
    <w:rsid w:val="000D34C8"/>
    <w:rsid w:val="000D34FD"/>
    <w:rsid w:val="000D3BE5"/>
    <w:rsid w:val="000D3C37"/>
    <w:rsid w:val="000D453A"/>
    <w:rsid w:val="000D4AFA"/>
    <w:rsid w:val="000D5EA6"/>
    <w:rsid w:val="000D5F00"/>
    <w:rsid w:val="000D6832"/>
    <w:rsid w:val="000D6C9F"/>
    <w:rsid w:val="000D6E3B"/>
    <w:rsid w:val="000D6F30"/>
    <w:rsid w:val="000D74E4"/>
    <w:rsid w:val="000D7C9D"/>
    <w:rsid w:val="000D7CE0"/>
    <w:rsid w:val="000E2785"/>
    <w:rsid w:val="000E27BB"/>
    <w:rsid w:val="000E2A8A"/>
    <w:rsid w:val="000E3153"/>
    <w:rsid w:val="000E3484"/>
    <w:rsid w:val="000E386F"/>
    <w:rsid w:val="000E4051"/>
    <w:rsid w:val="000E4139"/>
    <w:rsid w:val="000E413B"/>
    <w:rsid w:val="000E4765"/>
    <w:rsid w:val="000E4B76"/>
    <w:rsid w:val="000E5B51"/>
    <w:rsid w:val="000E5B7E"/>
    <w:rsid w:val="000E5FF9"/>
    <w:rsid w:val="000E6944"/>
    <w:rsid w:val="000E6AE1"/>
    <w:rsid w:val="000E7142"/>
    <w:rsid w:val="000E7632"/>
    <w:rsid w:val="000E7737"/>
    <w:rsid w:val="000E7739"/>
    <w:rsid w:val="000E77EE"/>
    <w:rsid w:val="000F1604"/>
    <w:rsid w:val="000F287A"/>
    <w:rsid w:val="000F2940"/>
    <w:rsid w:val="000F2AB3"/>
    <w:rsid w:val="000F2D08"/>
    <w:rsid w:val="000F3D08"/>
    <w:rsid w:val="000F4495"/>
    <w:rsid w:val="000F4A05"/>
    <w:rsid w:val="000F4AA8"/>
    <w:rsid w:val="000F4AEA"/>
    <w:rsid w:val="000F4E67"/>
    <w:rsid w:val="000F505B"/>
    <w:rsid w:val="000F5651"/>
    <w:rsid w:val="000F5677"/>
    <w:rsid w:val="000F5DDB"/>
    <w:rsid w:val="000F628E"/>
    <w:rsid w:val="000F68A0"/>
    <w:rsid w:val="000F6B01"/>
    <w:rsid w:val="000F6CC2"/>
    <w:rsid w:val="000F729C"/>
    <w:rsid w:val="000F72F2"/>
    <w:rsid w:val="000F7D4B"/>
    <w:rsid w:val="0010118C"/>
    <w:rsid w:val="001011C4"/>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EB1"/>
    <w:rsid w:val="00110033"/>
    <w:rsid w:val="001102B5"/>
    <w:rsid w:val="00110F57"/>
    <w:rsid w:val="00111993"/>
    <w:rsid w:val="00111C7D"/>
    <w:rsid w:val="00112038"/>
    <w:rsid w:val="001127FF"/>
    <w:rsid w:val="00112B0B"/>
    <w:rsid w:val="00112EB5"/>
    <w:rsid w:val="0011383E"/>
    <w:rsid w:val="00113EE3"/>
    <w:rsid w:val="00114847"/>
    <w:rsid w:val="00114C76"/>
    <w:rsid w:val="0011585B"/>
    <w:rsid w:val="00115B1A"/>
    <w:rsid w:val="001160FF"/>
    <w:rsid w:val="001164F4"/>
    <w:rsid w:val="001168F8"/>
    <w:rsid w:val="001176FF"/>
    <w:rsid w:val="00117834"/>
    <w:rsid w:val="0012153F"/>
    <w:rsid w:val="0012159D"/>
    <w:rsid w:val="00121804"/>
    <w:rsid w:val="00121EC9"/>
    <w:rsid w:val="001224FE"/>
    <w:rsid w:val="001231D3"/>
    <w:rsid w:val="001232A7"/>
    <w:rsid w:val="00123AF9"/>
    <w:rsid w:val="00123F7C"/>
    <w:rsid w:val="0012419E"/>
    <w:rsid w:val="0012448D"/>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351"/>
    <w:rsid w:val="00132704"/>
    <w:rsid w:val="00132CBF"/>
    <w:rsid w:val="00133707"/>
    <w:rsid w:val="00133742"/>
    <w:rsid w:val="00133B70"/>
    <w:rsid w:val="00133E97"/>
    <w:rsid w:val="00134C7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DF4"/>
    <w:rsid w:val="00153859"/>
    <w:rsid w:val="00153915"/>
    <w:rsid w:val="001539F0"/>
    <w:rsid w:val="00154BBA"/>
    <w:rsid w:val="00155B95"/>
    <w:rsid w:val="00156853"/>
    <w:rsid w:val="00157432"/>
    <w:rsid w:val="00160A84"/>
    <w:rsid w:val="00161185"/>
    <w:rsid w:val="00161AEA"/>
    <w:rsid w:val="001620BA"/>
    <w:rsid w:val="001623AC"/>
    <w:rsid w:val="00162BAA"/>
    <w:rsid w:val="00162CF0"/>
    <w:rsid w:val="00163C40"/>
    <w:rsid w:val="001643D5"/>
    <w:rsid w:val="0016470A"/>
    <w:rsid w:val="0016488B"/>
    <w:rsid w:val="00164903"/>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8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181"/>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69C"/>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73D"/>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1E30"/>
    <w:rsid w:val="001B219B"/>
    <w:rsid w:val="001B2703"/>
    <w:rsid w:val="001B3DCD"/>
    <w:rsid w:val="001B45B9"/>
    <w:rsid w:val="001B46B2"/>
    <w:rsid w:val="001B4725"/>
    <w:rsid w:val="001B48B2"/>
    <w:rsid w:val="001B49DA"/>
    <w:rsid w:val="001B4CA8"/>
    <w:rsid w:val="001B5697"/>
    <w:rsid w:val="001B572D"/>
    <w:rsid w:val="001B576E"/>
    <w:rsid w:val="001B5B10"/>
    <w:rsid w:val="001B6025"/>
    <w:rsid w:val="001B6D58"/>
    <w:rsid w:val="001B6FA7"/>
    <w:rsid w:val="001B7A15"/>
    <w:rsid w:val="001B7B69"/>
    <w:rsid w:val="001B7DC1"/>
    <w:rsid w:val="001C08DB"/>
    <w:rsid w:val="001C09BF"/>
    <w:rsid w:val="001C10BD"/>
    <w:rsid w:val="001C1F01"/>
    <w:rsid w:val="001C2092"/>
    <w:rsid w:val="001C232F"/>
    <w:rsid w:val="001C2396"/>
    <w:rsid w:val="001C2544"/>
    <w:rsid w:val="001C2A17"/>
    <w:rsid w:val="001C31F5"/>
    <w:rsid w:val="001C35BF"/>
    <w:rsid w:val="001C6047"/>
    <w:rsid w:val="001C62E8"/>
    <w:rsid w:val="001C6698"/>
    <w:rsid w:val="001C6C5B"/>
    <w:rsid w:val="001C7399"/>
    <w:rsid w:val="001C7CE0"/>
    <w:rsid w:val="001D005B"/>
    <w:rsid w:val="001D0766"/>
    <w:rsid w:val="001D077F"/>
    <w:rsid w:val="001D0947"/>
    <w:rsid w:val="001D0A38"/>
    <w:rsid w:val="001D16F5"/>
    <w:rsid w:val="001D1970"/>
    <w:rsid w:val="001D1D55"/>
    <w:rsid w:val="001D21EF"/>
    <w:rsid w:val="001D29A4"/>
    <w:rsid w:val="001D2B73"/>
    <w:rsid w:val="001D3136"/>
    <w:rsid w:val="001D330D"/>
    <w:rsid w:val="001D36A3"/>
    <w:rsid w:val="001D4AB6"/>
    <w:rsid w:val="001D4AD3"/>
    <w:rsid w:val="001D5281"/>
    <w:rsid w:val="001D6CBE"/>
    <w:rsid w:val="001D707B"/>
    <w:rsid w:val="001D7274"/>
    <w:rsid w:val="001E0F77"/>
    <w:rsid w:val="001E17E3"/>
    <w:rsid w:val="001E2052"/>
    <w:rsid w:val="001E2492"/>
    <w:rsid w:val="001E257C"/>
    <w:rsid w:val="001E286C"/>
    <w:rsid w:val="001E2F34"/>
    <w:rsid w:val="001E35EE"/>
    <w:rsid w:val="001E4102"/>
    <w:rsid w:val="001E4B2C"/>
    <w:rsid w:val="001E507F"/>
    <w:rsid w:val="001E56C2"/>
    <w:rsid w:val="001E59FB"/>
    <w:rsid w:val="001E7F81"/>
    <w:rsid w:val="001F01E4"/>
    <w:rsid w:val="001F0249"/>
    <w:rsid w:val="001F0FD1"/>
    <w:rsid w:val="001F1526"/>
    <w:rsid w:val="001F19D1"/>
    <w:rsid w:val="001F1CB9"/>
    <w:rsid w:val="001F1F18"/>
    <w:rsid w:val="001F2F92"/>
    <w:rsid w:val="001F456F"/>
    <w:rsid w:val="001F59C0"/>
    <w:rsid w:val="001F5DA1"/>
    <w:rsid w:val="001F612E"/>
    <w:rsid w:val="001F6A92"/>
    <w:rsid w:val="001F77E8"/>
    <w:rsid w:val="0020156F"/>
    <w:rsid w:val="00201A0C"/>
    <w:rsid w:val="00201B0F"/>
    <w:rsid w:val="0020219A"/>
    <w:rsid w:val="0020255A"/>
    <w:rsid w:val="00202800"/>
    <w:rsid w:val="002029C7"/>
    <w:rsid w:val="00202D33"/>
    <w:rsid w:val="00202E0D"/>
    <w:rsid w:val="00202E58"/>
    <w:rsid w:val="00202F99"/>
    <w:rsid w:val="00203C85"/>
    <w:rsid w:val="0020449A"/>
    <w:rsid w:val="00204E9B"/>
    <w:rsid w:val="00205298"/>
    <w:rsid w:val="002055C0"/>
    <w:rsid w:val="0020569E"/>
    <w:rsid w:val="00206147"/>
    <w:rsid w:val="00206698"/>
    <w:rsid w:val="00206736"/>
    <w:rsid w:val="00206C88"/>
    <w:rsid w:val="00210B9C"/>
    <w:rsid w:val="00211185"/>
    <w:rsid w:val="00211A94"/>
    <w:rsid w:val="002125EB"/>
    <w:rsid w:val="002126F2"/>
    <w:rsid w:val="00213478"/>
    <w:rsid w:val="00214028"/>
    <w:rsid w:val="002141C3"/>
    <w:rsid w:val="002141DC"/>
    <w:rsid w:val="0021440C"/>
    <w:rsid w:val="00214479"/>
    <w:rsid w:val="002144F3"/>
    <w:rsid w:val="002146C3"/>
    <w:rsid w:val="002151F4"/>
    <w:rsid w:val="00215334"/>
    <w:rsid w:val="00215514"/>
    <w:rsid w:val="00215A2A"/>
    <w:rsid w:val="00215A3F"/>
    <w:rsid w:val="00215BB1"/>
    <w:rsid w:val="00215D21"/>
    <w:rsid w:val="0021636B"/>
    <w:rsid w:val="00216387"/>
    <w:rsid w:val="00216E7B"/>
    <w:rsid w:val="00217E1F"/>
    <w:rsid w:val="002204BC"/>
    <w:rsid w:val="00220F7B"/>
    <w:rsid w:val="002213CE"/>
    <w:rsid w:val="00221AF7"/>
    <w:rsid w:val="00222494"/>
    <w:rsid w:val="002224B3"/>
    <w:rsid w:val="00222775"/>
    <w:rsid w:val="00222A31"/>
    <w:rsid w:val="00222CF6"/>
    <w:rsid w:val="00224037"/>
    <w:rsid w:val="002244E4"/>
    <w:rsid w:val="00224D2A"/>
    <w:rsid w:val="00224D38"/>
    <w:rsid w:val="00224D8D"/>
    <w:rsid w:val="0022555A"/>
    <w:rsid w:val="00226234"/>
    <w:rsid w:val="00227214"/>
    <w:rsid w:val="00227DDC"/>
    <w:rsid w:val="00230597"/>
    <w:rsid w:val="0023079F"/>
    <w:rsid w:val="00230DA3"/>
    <w:rsid w:val="00230EDF"/>
    <w:rsid w:val="00231135"/>
    <w:rsid w:val="00231B0B"/>
    <w:rsid w:val="00231F6E"/>
    <w:rsid w:val="00232555"/>
    <w:rsid w:val="00233538"/>
    <w:rsid w:val="00233A4C"/>
    <w:rsid w:val="00234248"/>
    <w:rsid w:val="0023449F"/>
    <w:rsid w:val="002344F5"/>
    <w:rsid w:val="0023454D"/>
    <w:rsid w:val="00234679"/>
    <w:rsid w:val="0023490D"/>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FD3"/>
    <w:rsid w:val="00245565"/>
    <w:rsid w:val="002458C1"/>
    <w:rsid w:val="00245E62"/>
    <w:rsid w:val="002460D0"/>
    <w:rsid w:val="00246357"/>
    <w:rsid w:val="00247422"/>
    <w:rsid w:val="00247A4F"/>
    <w:rsid w:val="00247BA2"/>
    <w:rsid w:val="00250870"/>
    <w:rsid w:val="0025151C"/>
    <w:rsid w:val="0025184F"/>
    <w:rsid w:val="00251967"/>
    <w:rsid w:val="00251C94"/>
    <w:rsid w:val="002527CC"/>
    <w:rsid w:val="00252F48"/>
    <w:rsid w:val="002530C0"/>
    <w:rsid w:val="00253586"/>
    <w:rsid w:val="002537FC"/>
    <w:rsid w:val="002538FC"/>
    <w:rsid w:val="002542F8"/>
    <w:rsid w:val="002543EF"/>
    <w:rsid w:val="00254F2A"/>
    <w:rsid w:val="00255784"/>
    <w:rsid w:val="00255A29"/>
    <w:rsid w:val="0025631F"/>
    <w:rsid w:val="00256986"/>
    <w:rsid w:val="00256D61"/>
    <w:rsid w:val="00256E23"/>
    <w:rsid w:val="00257246"/>
    <w:rsid w:val="00257438"/>
    <w:rsid w:val="00257BA1"/>
    <w:rsid w:val="0026113A"/>
    <w:rsid w:val="0026119C"/>
    <w:rsid w:val="00261AFE"/>
    <w:rsid w:val="00261E58"/>
    <w:rsid w:val="0026212A"/>
    <w:rsid w:val="002621D7"/>
    <w:rsid w:val="00262260"/>
    <w:rsid w:val="00262996"/>
    <w:rsid w:val="00263044"/>
    <w:rsid w:val="00263759"/>
    <w:rsid w:val="002638BD"/>
    <w:rsid w:val="0026470B"/>
    <w:rsid w:val="0026486D"/>
    <w:rsid w:val="00264C4B"/>
    <w:rsid w:val="00264ED0"/>
    <w:rsid w:val="00265346"/>
    <w:rsid w:val="00265501"/>
    <w:rsid w:val="00266045"/>
    <w:rsid w:val="002660C3"/>
    <w:rsid w:val="00266519"/>
    <w:rsid w:val="00266955"/>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15"/>
    <w:rsid w:val="002751CA"/>
    <w:rsid w:val="0027544D"/>
    <w:rsid w:val="00275595"/>
    <w:rsid w:val="00275D6E"/>
    <w:rsid w:val="00277196"/>
    <w:rsid w:val="002775ED"/>
    <w:rsid w:val="002778AB"/>
    <w:rsid w:val="00277918"/>
    <w:rsid w:val="002802A5"/>
    <w:rsid w:val="00280CFB"/>
    <w:rsid w:val="00280D24"/>
    <w:rsid w:val="0028153F"/>
    <w:rsid w:val="002815C4"/>
    <w:rsid w:val="00281BCB"/>
    <w:rsid w:val="00281C76"/>
    <w:rsid w:val="00282EA6"/>
    <w:rsid w:val="0028316D"/>
    <w:rsid w:val="00283296"/>
    <w:rsid w:val="0028583E"/>
    <w:rsid w:val="00285853"/>
    <w:rsid w:val="00285B1A"/>
    <w:rsid w:val="00285E9B"/>
    <w:rsid w:val="00285FF3"/>
    <w:rsid w:val="002866EC"/>
    <w:rsid w:val="0028744E"/>
    <w:rsid w:val="002876D2"/>
    <w:rsid w:val="00287936"/>
    <w:rsid w:val="00287BB7"/>
    <w:rsid w:val="002903C5"/>
    <w:rsid w:val="00290409"/>
    <w:rsid w:val="0029041B"/>
    <w:rsid w:val="00290A99"/>
    <w:rsid w:val="00290EAF"/>
    <w:rsid w:val="0029159A"/>
    <w:rsid w:val="00291C62"/>
    <w:rsid w:val="00291CF1"/>
    <w:rsid w:val="00292154"/>
    <w:rsid w:val="00292AA1"/>
    <w:rsid w:val="00292EF6"/>
    <w:rsid w:val="00294012"/>
    <w:rsid w:val="002945B0"/>
    <w:rsid w:val="0029499D"/>
    <w:rsid w:val="00294A13"/>
    <w:rsid w:val="00294B10"/>
    <w:rsid w:val="00294DF9"/>
    <w:rsid w:val="00295073"/>
    <w:rsid w:val="00295468"/>
    <w:rsid w:val="00295ACD"/>
    <w:rsid w:val="0029671B"/>
    <w:rsid w:val="00296C32"/>
    <w:rsid w:val="002977CE"/>
    <w:rsid w:val="00297AF5"/>
    <w:rsid w:val="002A02D6"/>
    <w:rsid w:val="002A07C4"/>
    <w:rsid w:val="002A0921"/>
    <w:rsid w:val="002A0CB3"/>
    <w:rsid w:val="002A1887"/>
    <w:rsid w:val="002A2001"/>
    <w:rsid w:val="002A2041"/>
    <w:rsid w:val="002A282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425"/>
    <w:rsid w:val="002A7748"/>
    <w:rsid w:val="002A7ED3"/>
    <w:rsid w:val="002A7FB1"/>
    <w:rsid w:val="002A7FC9"/>
    <w:rsid w:val="002B139C"/>
    <w:rsid w:val="002B15FF"/>
    <w:rsid w:val="002B1881"/>
    <w:rsid w:val="002B1F61"/>
    <w:rsid w:val="002B2070"/>
    <w:rsid w:val="002B2906"/>
    <w:rsid w:val="002B2B12"/>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AF7"/>
    <w:rsid w:val="002D2CD6"/>
    <w:rsid w:val="002D2E21"/>
    <w:rsid w:val="002D2F81"/>
    <w:rsid w:val="002D38A3"/>
    <w:rsid w:val="002D3BA3"/>
    <w:rsid w:val="002D43EE"/>
    <w:rsid w:val="002D4892"/>
    <w:rsid w:val="002D4C89"/>
    <w:rsid w:val="002D4D06"/>
    <w:rsid w:val="002D4DDE"/>
    <w:rsid w:val="002D4EE7"/>
    <w:rsid w:val="002D4EED"/>
    <w:rsid w:val="002D5AAD"/>
    <w:rsid w:val="002D5B86"/>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A14"/>
    <w:rsid w:val="002E4C01"/>
    <w:rsid w:val="002E4D50"/>
    <w:rsid w:val="002E5401"/>
    <w:rsid w:val="002E55FF"/>
    <w:rsid w:val="002E587E"/>
    <w:rsid w:val="002E672A"/>
    <w:rsid w:val="002E680D"/>
    <w:rsid w:val="002E6853"/>
    <w:rsid w:val="002E7EC1"/>
    <w:rsid w:val="002E7EE5"/>
    <w:rsid w:val="002F0323"/>
    <w:rsid w:val="002F0DFB"/>
    <w:rsid w:val="002F134F"/>
    <w:rsid w:val="002F1D0B"/>
    <w:rsid w:val="002F1E1D"/>
    <w:rsid w:val="002F1F02"/>
    <w:rsid w:val="002F27E5"/>
    <w:rsid w:val="002F2C70"/>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212"/>
    <w:rsid w:val="003044AC"/>
    <w:rsid w:val="00304640"/>
    <w:rsid w:val="00304AC1"/>
    <w:rsid w:val="00305090"/>
    <w:rsid w:val="00305454"/>
    <w:rsid w:val="00305B9F"/>
    <w:rsid w:val="00305E21"/>
    <w:rsid w:val="003066C6"/>
    <w:rsid w:val="003066FA"/>
    <w:rsid w:val="00306AD6"/>
    <w:rsid w:val="003077F4"/>
    <w:rsid w:val="00307C9D"/>
    <w:rsid w:val="00307DC7"/>
    <w:rsid w:val="00307FF2"/>
    <w:rsid w:val="003105E9"/>
    <w:rsid w:val="003105F6"/>
    <w:rsid w:val="00310EDB"/>
    <w:rsid w:val="00311C51"/>
    <w:rsid w:val="00311D56"/>
    <w:rsid w:val="00312016"/>
    <w:rsid w:val="00312340"/>
    <w:rsid w:val="00312DFC"/>
    <w:rsid w:val="00313032"/>
    <w:rsid w:val="0031318C"/>
    <w:rsid w:val="003135C4"/>
    <w:rsid w:val="00313C9D"/>
    <w:rsid w:val="0031403A"/>
    <w:rsid w:val="0031430C"/>
    <w:rsid w:val="00314919"/>
    <w:rsid w:val="00314C5A"/>
    <w:rsid w:val="0031523C"/>
    <w:rsid w:val="0031531A"/>
    <w:rsid w:val="00315394"/>
    <w:rsid w:val="00315A69"/>
    <w:rsid w:val="00315D77"/>
    <w:rsid w:val="00315D8E"/>
    <w:rsid w:val="00316002"/>
    <w:rsid w:val="00316CDE"/>
    <w:rsid w:val="00316E94"/>
    <w:rsid w:val="0031752D"/>
    <w:rsid w:val="00317709"/>
    <w:rsid w:val="00317A70"/>
    <w:rsid w:val="00320688"/>
    <w:rsid w:val="00320B75"/>
    <w:rsid w:val="00320CC9"/>
    <w:rsid w:val="00321DB7"/>
    <w:rsid w:val="00321E7A"/>
    <w:rsid w:val="0032226D"/>
    <w:rsid w:val="00322820"/>
    <w:rsid w:val="003235E6"/>
    <w:rsid w:val="00324038"/>
    <w:rsid w:val="00324951"/>
    <w:rsid w:val="003249F6"/>
    <w:rsid w:val="00324B2F"/>
    <w:rsid w:val="00325FCC"/>
    <w:rsid w:val="0032607E"/>
    <w:rsid w:val="00326106"/>
    <w:rsid w:val="00326805"/>
    <w:rsid w:val="003269B7"/>
    <w:rsid w:val="00326C0E"/>
    <w:rsid w:val="003272A3"/>
    <w:rsid w:val="003272E4"/>
    <w:rsid w:val="00327B71"/>
    <w:rsid w:val="0033107D"/>
    <w:rsid w:val="00331461"/>
    <w:rsid w:val="003316A8"/>
    <w:rsid w:val="00331C80"/>
    <w:rsid w:val="00331CC9"/>
    <w:rsid w:val="003320D7"/>
    <w:rsid w:val="00332265"/>
    <w:rsid w:val="00332862"/>
    <w:rsid w:val="00332D52"/>
    <w:rsid w:val="00333337"/>
    <w:rsid w:val="00333A28"/>
    <w:rsid w:val="00333B6C"/>
    <w:rsid w:val="00334927"/>
    <w:rsid w:val="003360AD"/>
    <w:rsid w:val="003361F5"/>
    <w:rsid w:val="0033631D"/>
    <w:rsid w:val="003369C7"/>
    <w:rsid w:val="003373A6"/>
    <w:rsid w:val="00337409"/>
    <w:rsid w:val="00337E18"/>
    <w:rsid w:val="00340163"/>
    <w:rsid w:val="003405AF"/>
    <w:rsid w:val="0034088F"/>
    <w:rsid w:val="00340B3E"/>
    <w:rsid w:val="003413D2"/>
    <w:rsid w:val="00341525"/>
    <w:rsid w:val="0034257E"/>
    <w:rsid w:val="003429A1"/>
    <w:rsid w:val="003429FC"/>
    <w:rsid w:val="00343079"/>
    <w:rsid w:val="00343127"/>
    <w:rsid w:val="00343320"/>
    <w:rsid w:val="00344066"/>
    <w:rsid w:val="00344350"/>
    <w:rsid w:val="00344BBF"/>
    <w:rsid w:val="0034509B"/>
    <w:rsid w:val="00345644"/>
    <w:rsid w:val="00345D0E"/>
    <w:rsid w:val="00345D7A"/>
    <w:rsid w:val="0034607E"/>
    <w:rsid w:val="00346A96"/>
    <w:rsid w:val="00346B6D"/>
    <w:rsid w:val="00346BA3"/>
    <w:rsid w:val="00346C69"/>
    <w:rsid w:val="00347356"/>
    <w:rsid w:val="003478AE"/>
    <w:rsid w:val="0035005C"/>
    <w:rsid w:val="00350896"/>
    <w:rsid w:val="00350C31"/>
    <w:rsid w:val="00350C9F"/>
    <w:rsid w:val="00351391"/>
    <w:rsid w:val="003519CD"/>
    <w:rsid w:val="00351A3A"/>
    <w:rsid w:val="0035455F"/>
    <w:rsid w:val="00354A88"/>
    <w:rsid w:val="00355558"/>
    <w:rsid w:val="00355D75"/>
    <w:rsid w:val="00355D8F"/>
    <w:rsid w:val="00356A73"/>
    <w:rsid w:val="00356FF0"/>
    <w:rsid w:val="003577EF"/>
    <w:rsid w:val="00357A60"/>
    <w:rsid w:val="00360304"/>
    <w:rsid w:val="00360A78"/>
    <w:rsid w:val="00361750"/>
    <w:rsid w:val="003620E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801"/>
    <w:rsid w:val="0037510C"/>
    <w:rsid w:val="00375850"/>
    <w:rsid w:val="0037632F"/>
    <w:rsid w:val="0037641D"/>
    <w:rsid w:val="00377B26"/>
    <w:rsid w:val="00381014"/>
    <w:rsid w:val="00381604"/>
    <w:rsid w:val="00381A51"/>
    <w:rsid w:val="00381C68"/>
    <w:rsid w:val="00381CBF"/>
    <w:rsid w:val="00381F60"/>
    <w:rsid w:val="00383204"/>
    <w:rsid w:val="00383AB0"/>
    <w:rsid w:val="003842F9"/>
    <w:rsid w:val="003847BB"/>
    <w:rsid w:val="00384814"/>
    <w:rsid w:val="003849C1"/>
    <w:rsid w:val="00384C0A"/>
    <w:rsid w:val="00385B16"/>
    <w:rsid w:val="00385B96"/>
    <w:rsid w:val="0038637D"/>
    <w:rsid w:val="003868F6"/>
    <w:rsid w:val="003869DC"/>
    <w:rsid w:val="00386C07"/>
    <w:rsid w:val="00386F58"/>
    <w:rsid w:val="0038700D"/>
    <w:rsid w:val="003871A9"/>
    <w:rsid w:val="003879CE"/>
    <w:rsid w:val="00387B88"/>
    <w:rsid w:val="00390B8F"/>
    <w:rsid w:val="00390C0D"/>
    <w:rsid w:val="00391447"/>
    <w:rsid w:val="003919D9"/>
    <w:rsid w:val="00391BDD"/>
    <w:rsid w:val="003922DE"/>
    <w:rsid w:val="00392E35"/>
    <w:rsid w:val="00393247"/>
    <w:rsid w:val="0039328F"/>
    <w:rsid w:val="00393551"/>
    <w:rsid w:val="00393816"/>
    <w:rsid w:val="00393FCD"/>
    <w:rsid w:val="003944EA"/>
    <w:rsid w:val="00394639"/>
    <w:rsid w:val="00394DF6"/>
    <w:rsid w:val="00394EC6"/>
    <w:rsid w:val="00395A02"/>
    <w:rsid w:val="00395CD9"/>
    <w:rsid w:val="003962E6"/>
    <w:rsid w:val="00396831"/>
    <w:rsid w:val="00396FBC"/>
    <w:rsid w:val="003971A1"/>
    <w:rsid w:val="00397674"/>
    <w:rsid w:val="003A0F6B"/>
    <w:rsid w:val="003A12B6"/>
    <w:rsid w:val="003A1C44"/>
    <w:rsid w:val="003A20D5"/>
    <w:rsid w:val="003A24CC"/>
    <w:rsid w:val="003A2512"/>
    <w:rsid w:val="003A2A53"/>
    <w:rsid w:val="003A2EE8"/>
    <w:rsid w:val="003A373C"/>
    <w:rsid w:val="003A5378"/>
    <w:rsid w:val="003A553C"/>
    <w:rsid w:val="003A56DF"/>
    <w:rsid w:val="003A6008"/>
    <w:rsid w:val="003A6D71"/>
    <w:rsid w:val="003A703F"/>
    <w:rsid w:val="003A7267"/>
    <w:rsid w:val="003A7E2B"/>
    <w:rsid w:val="003A7E40"/>
    <w:rsid w:val="003B0036"/>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741"/>
    <w:rsid w:val="003C30D4"/>
    <w:rsid w:val="003C3292"/>
    <w:rsid w:val="003C3C1E"/>
    <w:rsid w:val="003C3D88"/>
    <w:rsid w:val="003C4134"/>
    <w:rsid w:val="003C435B"/>
    <w:rsid w:val="003C4C38"/>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6E"/>
    <w:rsid w:val="003D75D8"/>
    <w:rsid w:val="003E006E"/>
    <w:rsid w:val="003E0947"/>
    <w:rsid w:val="003E0E96"/>
    <w:rsid w:val="003E20F7"/>
    <w:rsid w:val="003E336A"/>
    <w:rsid w:val="003E3E2F"/>
    <w:rsid w:val="003E4048"/>
    <w:rsid w:val="003E4CE5"/>
    <w:rsid w:val="003E51FF"/>
    <w:rsid w:val="003E557D"/>
    <w:rsid w:val="003E604C"/>
    <w:rsid w:val="003E60DA"/>
    <w:rsid w:val="003E6E00"/>
    <w:rsid w:val="003E6F5D"/>
    <w:rsid w:val="003E7111"/>
    <w:rsid w:val="003E7940"/>
    <w:rsid w:val="003F0088"/>
    <w:rsid w:val="003F01BD"/>
    <w:rsid w:val="003F0486"/>
    <w:rsid w:val="003F048E"/>
    <w:rsid w:val="003F09FA"/>
    <w:rsid w:val="003F0AFF"/>
    <w:rsid w:val="003F1AA2"/>
    <w:rsid w:val="003F26DC"/>
    <w:rsid w:val="003F4052"/>
    <w:rsid w:val="003F42FF"/>
    <w:rsid w:val="003F4B48"/>
    <w:rsid w:val="003F4C83"/>
    <w:rsid w:val="003F4DDC"/>
    <w:rsid w:val="003F56B8"/>
    <w:rsid w:val="003F57CB"/>
    <w:rsid w:val="003F5F1A"/>
    <w:rsid w:val="003F6327"/>
    <w:rsid w:val="003F6E06"/>
    <w:rsid w:val="003F7425"/>
    <w:rsid w:val="003F765B"/>
    <w:rsid w:val="003F7CB8"/>
    <w:rsid w:val="0040075C"/>
    <w:rsid w:val="00400CB4"/>
    <w:rsid w:val="00401386"/>
    <w:rsid w:val="004013E6"/>
    <w:rsid w:val="00401E31"/>
    <w:rsid w:val="00402BBA"/>
    <w:rsid w:val="004035D0"/>
    <w:rsid w:val="0040361D"/>
    <w:rsid w:val="00403795"/>
    <w:rsid w:val="00403809"/>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1E81"/>
    <w:rsid w:val="004120DF"/>
    <w:rsid w:val="004126B5"/>
    <w:rsid w:val="00412EBD"/>
    <w:rsid w:val="00412F76"/>
    <w:rsid w:val="00414909"/>
    <w:rsid w:val="00415034"/>
    <w:rsid w:val="00415911"/>
    <w:rsid w:val="00415B1A"/>
    <w:rsid w:val="00415DFD"/>
    <w:rsid w:val="00416208"/>
    <w:rsid w:val="0041690F"/>
    <w:rsid w:val="004169D3"/>
    <w:rsid w:val="00416C2B"/>
    <w:rsid w:val="00416D41"/>
    <w:rsid w:val="00416E70"/>
    <w:rsid w:val="0041722B"/>
    <w:rsid w:val="00417264"/>
    <w:rsid w:val="004172B3"/>
    <w:rsid w:val="00417537"/>
    <w:rsid w:val="004210C0"/>
    <w:rsid w:val="004211DD"/>
    <w:rsid w:val="00421762"/>
    <w:rsid w:val="00421D4B"/>
    <w:rsid w:val="00421ED8"/>
    <w:rsid w:val="00422907"/>
    <w:rsid w:val="00423125"/>
    <w:rsid w:val="00423309"/>
    <w:rsid w:val="004233AD"/>
    <w:rsid w:val="00424446"/>
    <w:rsid w:val="00424867"/>
    <w:rsid w:val="00424E17"/>
    <w:rsid w:val="004252EB"/>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038"/>
    <w:rsid w:val="0043554E"/>
    <w:rsid w:val="004355D4"/>
    <w:rsid w:val="004357B1"/>
    <w:rsid w:val="00435821"/>
    <w:rsid w:val="0043583E"/>
    <w:rsid w:val="00435D7E"/>
    <w:rsid w:val="00436CCE"/>
    <w:rsid w:val="00436EAD"/>
    <w:rsid w:val="004375E1"/>
    <w:rsid w:val="00437A2F"/>
    <w:rsid w:val="00440262"/>
    <w:rsid w:val="004406BF"/>
    <w:rsid w:val="00440814"/>
    <w:rsid w:val="004408AE"/>
    <w:rsid w:val="0044105D"/>
    <w:rsid w:val="00441424"/>
    <w:rsid w:val="0044161C"/>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21C"/>
    <w:rsid w:val="00451709"/>
    <w:rsid w:val="004518FA"/>
    <w:rsid w:val="00451A02"/>
    <w:rsid w:val="0045277C"/>
    <w:rsid w:val="00453507"/>
    <w:rsid w:val="00453592"/>
    <w:rsid w:val="00454094"/>
    <w:rsid w:val="004543AB"/>
    <w:rsid w:val="004545EC"/>
    <w:rsid w:val="00455967"/>
    <w:rsid w:val="00455BDB"/>
    <w:rsid w:val="00455F71"/>
    <w:rsid w:val="00456272"/>
    <w:rsid w:val="004564E0"/>
    <w:rsid w:val="004570EF"/>
    <w:rsid w:val="00457517"/>
    <w:rsid w:val="00457CF7"/>
    <w:rsid w:val="00457D37"/>
    <w:rsid w:val="0046028A"/>
    <w:rsid w:val="00460E3A"/>
    <w:rsid w:val="00460E68"/>
    <w:rsid w:val="004614BC"/>
    <w:rsid w:val="00461573"/>
    <w:rsid w:val="004619A5"/>
    <w:rsid w:val="00461F80"/>
    <w:rsid w:val="0046240D"/>
    <w:rsid w:val="00462898"/>
    <w:rsid w:val="00462D84"/>
    <w:rsid w:val="00463208"/>
    <w:rsid w:val="00463576"/>
    <w:rsid w:val="004636D6"/>
    <w:rsid w:val="0046399D"/>
    <w:rsid w:val="00463EA4"/>
    <w:rsid w:val="004642C9"/>
    <w:rsid w:val="00464D84"/>
    <w:rsid w:val="00465A21"/>
    <w:rsid w:val="00465DE5"/>
    <w:rsid w:val="00466151"/>
    <w:rsid w:val="00466978"/>
    <w:rsid w:val="00466ABA"/>
    <w:rsid w:val="0046713B"/>
    <w:rsid w:val="004672E3"/>
    <w:rsid w:val="0046775D"/>
    <w:rsid w:val="00467823"/>
    <w:rsid w:val="004678BB"/>
    <w:rsid w:val="004705FA"/>
    <w:rsid w:val="004708AC"/>
    <w:rsid w:val="00470B42"/>
    <w:rsid w:val="00470FBA"/>
    <w:rsid w:val="00471387"/>
    <w:rsid w:val="0047146C"/>
    <w:rsid w:val="0047149F"/>
    <w:rsid w:val="00471963"/>
    <w:rsid w:val="004724B8"/>
    <w:rsid w:val="004728FB"/>
    <w:rsid w:val="004729AD"/>
    <w:rsid w:val="00472CA7"/>
    <w:rsid w:val="00472CEC"/>
    <w:rsid w:val="00473308"/>
    <w:rsid w:val="0047377C"/>
    <w:rsid w:val="004740F1"/>
    <w:rsid w:val="0047471E"/>
    <w:rsid w:val="004749DA"/>
    <w:rsid w:val="00474DEF"/>
    <w:rsid w:val="00475729"/>
    <w:rsid w:val="004758E7"/>
    <w:rsid w:val="00475BAB"/>
    <w:rsid w:val="00475CBD"/>
    <w:rsid w:val="004760E8"/>
    <w:rsid w:val="004764C6"/>
    <w:rsid w:val="00476AC1"/>
    <w:rsid w:val="00476F97"/>
    <w:rsid w:val="00477247"/>
    <w:rsid w:val="004776BB"/>
    <w:rsid w:val="004776FB"/>
    <w:rsid w:val="0048055E"/>
    <w:rsid w:val="00480C2B"/>
    <w:rsid w:val="00480DC5"/>
    <w:rsid w:val="00480FD9"/>
    <w:rsid w:val="00481065"/>
    <w:rsid w:val="0048131D"/>
    <w:rsid w:val="004818B8"/>
    <w:rsid w:val="00481D0B"/>
    <w:rsid w:val="004824A9"/>
    <w:rsid w:val="00483091"/>
    <w:rsid w:val="00483140"/>
    <w:rsid w:val="00483984"/>
    <w:rsid w:val="00483BC7"/>
    <w:rsid w:val="00483CF0"/>
    <w:rsid w:val="0048427F"/>
    <w:rsid w:val="00484D4D"/>
    <w:rsid w:val="004854D0"/>
    <w:rsid w:val="00486516"/>
    <w:rsid w:val="0048664F"/>
    <w:rsid w:val="004868AD"/>
    <w:rsid w:val="00486D00"/>
    <w:rsid w:val="00487FE1"/>
    <w:rsid w:val="00490707"/>
    <w:rsid w:val="00490815"/>
    <w:rsid w:val="004908DC"/>
    <w:rsid w:val="004909E0"/>
    <w:rsid w:val="0049117E"/>
    <w:rsid w:val="0049118F"/>
    <w:rsid w:val="00492503"/>
    <w:rsid w:val="004925C8"/>
    <w:rsid w:val="00492AF9"/>
    <w:rsid w:val="00492B76"/>
    <w:rsid w:val="00492CE8"/>
    <w:rsid w:val="00492F94"/>
    <w:rsid w:val="0049333E"/>
    <w:rsid w:val="0049418F"/>
    <w:rsid w:val="0049570D"/>
    <w:rsid w:val="00495C48"/>
    <w:rsid w:val="00495DC6"/>
    <w:rsid w:val="00496CCE"/>
    <w:rsid w:val="00496E57"/>
    <w:rsid w:val="004978C1"/>
    <w:rsid w:val="00497AAD"/>
    <w:rsid w:val="00497BD7"/>
    <w:rsid w:val="00497D1A"/>
    <w:rsid w:val="004A00C9"/>
    <w:rsid w:val="004A03D0"/>
    <w:rsid w:val="004A1049"/>
    <w:rsid w:val="004A107B"/>
    <w:rsid w:val="004A1AFA"/>
    <w:rsid w:val="004A1BE0"/>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5F8"/>
    <w:rsid w:val="004B2E9D"/>
    <w:rsid w:val="004B305F"/>
    <w:rsid w:val="004B34C4"/>
    <w:rsid w:val="004B34E8"/>
    <w:rsid w:val="004B3981"/>
    <w:rsid w:val="004B3A03"/>
    <w:rsid w:val="004B419F"/>
    <w:rsid w:val="004B4EA9"/>
    <w:rsid w:val="004B5C96"/>
    <w:rsid w:val="004B60E5"/>
    <w:rsid w:val="004B6124"/>
    <w:rsid w:val="004B6BE3"/>
    <w:rsid w:val="004B6E50"/>
    <w:rsid w:val="004B728F"/>
    <w:rsid w:val="004B7317"/>
    <w:rsid w:val="004B75B2"/>
    <w:rsid w:val="004B75C6"/>
    <w:rsid w:val="004C02C5"/>
    <w:rsid w:val="004C0BF0"/>
    <w:rsid w:val="004C0D40"/>
    <w:rsid w:val="004C114F"/>
    <w:rsid w:val="004C11A9"/>
    <w:rsid w:val="004C211B"/>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0E03"/>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EA"/>
    <w:rsid w:val="004E1D6F"/>
    <w:rsid w:val="004E1DF3"/>
    <w:rsid w:val="004E208A"/>
    <w:rsid w:val="004E2393"/>
    <w:rsid w:val="004E3117"/>
    <w:rsid w:val="004E3A2A"/>
    <w:rsid w:val="004E3AB1"/>
    <w:rsid w:val="004E4003"/>
    <w:rsid w:val="004E4580"/>
    <w:rsid w:val="004E4626"/>
    <w:rsid w:val="004E4984"/>
    <w:rsid w:val="004E5101"/>
    <w:rsid w:val="004E5380"/>
    <w:rsid w:val="004E5F05"/>
    <w:rsid w:val="004E6746"/>
    <w:rsid w:val="004E6CAC"/>
    <w:rsid w:val="004E6F69"/>
    <w:rsid w:val="004E75C1"/>
    <w:rsid w:val="004E7683"/>
    <w:rsid w:val="004E777F"/>
    <w:rsid w:val="004F07F2"/>
    <w:rsid w:val="004F07F9"/>
    <w:rsid w:val="004F0A50"/>
    <w:rsid w:val="004F0D1F"/>
    <w:rsid w:val="004F0E82"/>
    <w:rsid w:val="004F0E96"/>
    <w:rsid w:val="004F1523"/>
    <w:rsid w:val="004F1847"/>
    <w:rsid w:val="004F1CE1"/>
    <w:rsid w:val="004F1F9E"/>
    <w:rsid w:val="004F2CB6"/>
    <w:rsid w:val="004F2E6E"/>
    <w:rsid w:val="004F2F9E"/>
    <w:rsid w:val="004F3015"/>
    <w:rsid w:val="004F313F"/>
    <w:rsid w:val="004F367F"/>
    <w:rsid w:val="004F3EEF"/>
    <w:rsid w:val="004F43A7"/>
    <w:rsid w:val="004F447B"/>
    <w:rsid w:val="004F497C"/>
    <w:rsid w:val="004F4A1B"/>
    <w:rsid w:val="004F4FAC"/>
    <w:rsid w:val="004F4FE8"/>
    <w:rsid w:val="004F531B"/>
    <w:rsid w:val="004F560C"/>
    <w:rsid w:val="004F5962"/>
    <w:rsid w:val="004F5DBB"/>
    <w:rsid w:val="004F60B4"/>
    <w:rsid w:val="004F61A3"/>
    <w:rsid w:val="004F6771"/>
    <w:rsid w:val="004F6874"/>
    <w:rsid w:val="004F6EA5"/>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2F2"/>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899"/>
    <w:rsid w:val="00517AC8"/>
    <w:rsid w:val="00517C3E"/>
    <w:rsid w:val="00520127"/>
    <w:rsid w:val="005207D8"/>
    <w:rsid w:val="0052091D"/>
    <w:rsid w:val="005212F4"/>
    <w:rsid w:val="00521908"/>
    <w:rsid w:val="005224BC"/>
    <w:rsid w:val="00522816"/>
    <w:rsid w:val="00522928"/>
    <w:rsid w:val="00522FF1"/>
    <w:rsid w:val="005235D8"/>
    <w:rsid w:val="00523946"/>
    <w:rsid w:val="0052397A"/>
    <w:rsid w:val="005256D6"/>
    <w:rsid w:val="00525AD8"/>
    <w:rsid w:val="00526429"/>
    <w:rsid w:val="00526567"/>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4DE"/>
    <w:rsid w:val="00544BF9"/>
    <w:rsid w:val="00544F05"/>
    <w:rsid w:val="00544FCC"/>
    <w:rsid w:val="00545058"/>
    <w:rsid w:val="005454B8"/>
    <w:rsid w:val="00545697"/>
    <w:rsid w:val="00545ACB"/>
    <w:rsid w:val="00545DB9"/>
    <w:rsid w:val="005462ED"/>
    <w:rsid w:val="00546585"/>
    <w:rsid w:val="00546703"/>
    <w:rsid w:val="0054680A"/>
    <w:rsid w:val="00546A62"/>
    <w:rsid w:val="00546BF8"/>
    <w:rsid w:val="005474CF"/>
    <w:rsid w:val="00547BA2"/>
    <w:rsid w:val="00550AC5"/>
    <w:rsid w:val="00550B7E"/>
    <w:rsid w:val="00551052"/>
    <w:rsid w:val="00551D30"/>
    <w:rsid w:val="005524ED"/>
    <w:rsid w:val="00553F91"/>
    <w:rsid w:val="00554007"/>
    <w:rsid w:val="00554C03"/>
    <w:rsid w:val="00554C58"/>
    <w:rsid w:val="00554CCE"/>
    <w:rsid w:val="00554D5D"/>
    <w:rsid w:val="005550F9"/>
    <w:rsid w:val="00555187"/>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343"/>
    <w:rsid w:val="0056278F"/>
    <w:rsid w:val="00562FB1"/>
    <w:rsid w:val="00563068"/>
    <w:rsid w:val="0056376A"/>
    <w:rsid w:val="00563B3C"/>
    <w:rsid w:val="0056419C"/>
    <w:rsid w:val="00564DA7"/>
    <w:rsid w:val="00564F9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2F"/>
    <w:rsid w:val="00574E7B"/>
    <w:rsid w:val="00574F36"/>
    <w:rsid w:val="00576B5C"/>
    <w:rsid w:val="005770CC"/>
    <w:rsid w:val="00577B57"/>
    <w:rsid w:val="005802F9"/>
    <w:rsid w:val="005806D5"/>
    <w:rsid w:val="00580DFC"/>
    <w:rsid w:val="0058134C"/>
    <w:rsid w:val="005815CD"/>
    <w:rsid w:val="00581AA8"/>
    <w:rsid w:val="00581D39"/>
    <w:rsid w:val="005827A7"/>
    <w:rsid w:val="005829AB"/>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3C"/>
    <w:rsid w:val="00596CFA"/>
    <w:rsid w:val="00596DD1"/>
    <w:rsid w:val="00596EC6"/>
    <w:rsid w:val="005975CE"/>
    <w:rsid w:val="005A0088"/>
    <w:rsid w:val="005A04F6"/>
    <w:rsid w:val="005A14F0"/>
    <w:rsid w:val="005A1861"/>
    <w:rsid w:val="005A1A31"/>
    <w:rsid w:val="005A2741"/>
    <w:rsid w:val="005A361D"/>
    <w:rsid w:val="005A36C2"/>
    <w:rsid w:val="005A3719"/>
    <w:rsid w:val="005A3725"/>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A4"/>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FF6"/>
    <w:rsid w:val="005D01C3"/>
    <w:rsid w:val="005D05FF"/>
    <w:rsid w:val="005D0FB4"/>
    <w:rsid w:val="005D1176"/>
    <w:rsid w:val="005D1747"/>
    <w:rsid w:val="005D2142"/>
    <w:rsid w:val="005D266D"/>
    <w:rsid w:val="005D306D"/>
    <w:rsid w:val="005D3327"/>
    <w:rsid w:val="005D3D3D"/>
    <w:rsid w:val="005D4854"/>
    <w:rsid w:val="005D5266"/>
    <w:rsid w:val="005D538C"/>
    <w:rsid w:val="005D599B"/>
    <w:rsid w:val="005D5BCF"/>
    <w:rsid w:val="005D65BF"/>
    <w:rsid w:val="005D6D84"/>
    <w:rsid w:val="005D70A1"/>
    <w:rsid w:val="005D79F2"/>
    <w:rsid w:val="005D7CB1"/>
    <w:rsid w:val="005D7F57"/>
    <w:rsid w:val="005E0067"/>
    <w:rsid w:val="005E0141"/>
    <w:rsid w:val="005E09CA"/>
    <w:rsid w:val="005E1AB4"/>
    <w:rsid w:val="005E255B"/>
    <w:rsid w:val="005E2951"/>
    <w:rsid w:val="005E2CDF"/>
    <w:rsid w:val="005E2CF7"/>
    <w:rsid w:val="005E37FD"/>
    <w:rsid w:val="005E4543"/>
    <w:rsid w:val="005E4A1C"/>
    <w:rsid w:val="005E56C9"/>
    <w:rsid w:val="005E5CF7"/>
    <w:rsid w:val="005E5FF0"/>
    <w:rsid w:val="005E642A"/>
    <w:rsid w:val="005E65A7"/>
    <w:rsid w:val="005E6A54"/>
    <w:rsid w:val="005E721E"/>
    <w:rsid w:val="005E7B80"/>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745"/>
    <w:rsid w:val="0061098D"/>
    <w:rsid w:val="00610B78"/>
    <w:rsid w:val="00611B59"/>
    <w:rsid w:val="00611FBA"/>
    <w:rsid w:val="00612098"/>
    <w:rsid w:val="0061272A"/>
    <w:rsid w:val="0061299E"/>
    <w:rsid w:val="006130D0"/>
    <w:rsid w:val="0061355D"/>
    <w:rsid w:val="006137FE"/>
    <w:rsid w:val="006139F7"/>
    <w:rsid w:val="00613AA2"/>
    <w:rsid w:val="00614906"/>
    <w:rsid w:val="0061517F"/>
    <w:rsid w:val="00615276"/>
    <w:rsid w:val="006155F1"/>
    <w:rsid w:val="00615846"/>
    <w:rsid w:val="006160F0"/>
    <w:rsid w:val="0061618F"/>
    <w:rsid w:val="0061624B"/>
    <w:rsid w:val="00616517"/>
    <w:rsid w:val="006166AD"/>
    <w:rsid w:val="00616C1E"/>
    <w:rsid w:val="00617EFC"/>
    <w:rsid w:val="00620055"/>
    <w:rsid w:val="00620336"/>
    <w:rsid w:val="006203A8"/>
    <w:rsid w:val="006204B3"/>
    <w:rsid w:val="006204C2"/>
    <w:rsid w:val="00620815"/>
    <w:rsid w:val="006212D3"/>
    <w:rsid w:val="00621639"/>
    <w:rsid w:val="00622B22"/>
    <w:rsid w:val="00622F67"/>
    <w:rsid w:val="00623571"/>
    <w:rsid w:val="00623A5E"/>
    <w:rsid w:val="006241E9"/>
    <w:rsid w:val="006244A4"/>
    <w:rsid w:val="00625008"/>
    <w:rsid w:val="0062548B"/>
    <w:rsid w:val="00626710"/>
    <w:rsid w:val="00626930"/>
    <w:rsid w:val="00626AD3"/>
    <w:rsid w:val="00626BAC"/>
    <w:rsid w:val="006271C3"/>
    <w:rsid w:val="00627B14"/>
    <w:rsid w:val="00627DEF"/>
    <w:rsid w:val="0063001E"/>
    <w:rsid w:val="00630023"/>
    <w:rsid w:val="006303E7"/>
    <w:rsid w:val="006308EE"/>
    <w:rsid w:val="00630C70"/>
    <w:rsid w:val="00630D67"/>
    <w:rsid w:val="00631005"/>
    <w:rsid w:val="00631C79"/>
    <w:rsid w:val="00632727"/>
    <w:rsid w:val="0063283D"/>
    <w:rsid w:val="00632BAB"/>
    <w:rsid w:val="00633769"/>
    <w:rsid w:val="00633FE3"/>
    <w:rsid w:val="00634276"/>
    <w:rsid w:val="00634570"/>
    <w:rsid w:val="00634730"/>
    <w:rsid w:val="0063487C"/>
    <w:rsid w:val="00634CE6"/>
    <w:rsid w:val="00635B73"/>
    <w:rsid w:val="00635BB7"/>
    <w:rsid w:val="00636888"/>
    <w:rsid w:val="00636C8B"/>
    <w:rsid w:val="00636CC7"/>
    <w:rsid w:val="00637F27"/>
    <w:rsid w:val="006405EC"/>
    <w:rsid w:val="00640A4D"/>
    <w:rsid w:val="00641018"/>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51"/>
    <w:rsid w:val="00653C7C"/>
    <w:rsid w:val="00654252"/>
    <w:rsid w:val="006543B7"/>
    <w:rsid w:val="00654EA5"/>
    <w:rsid w:val="006550F9"/>
    <w:rsid w:val="006557C3"/>
    <w:rsid w:val="0065587E"/>
    <w:rsid w:val="006558CD"/>
    <w:rsid w:val="00655C26"/>
    <w:rsid w:val="0065637A"/>
    <w:rsid w:val="00656998"/>
    <w:rsid w:val="00656E4D"/>
    <w:rsid w:val="006576BA"/>
    <w:rsid w:val="00657767"/>
    <w:rsid w:val="006600BF"/>
    <w:rsid w:val="00660AF7"/>
    <w:rsid w:val="00660D3E"/>
    <w:rsid w:val="00661691"/>
    <w:rsid w:val="00661B2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09"/>
    <w:rsid w:val="006717E7"/>
    <w:rsid w:val="00671FD5"/>
    <w:rsid w:val="006720BC"/>
    <w:rsid w:val="006727E7"/>
    <w:rsid w:val="00672906"/>
    <w:rsid w:val="00672C73"/>
    <w:rsid w:val="00673B64"/>
    <w:rsid w:val="006753AC"/>
    <w:rsid w:val="00675430"/>
    <w:rsid w:val="006755F0"/>
    <w:rsid w:val="00675749"/>
    <w:rsid w:val="006759FE"/>
    <w:rsid w:val="00676F89"/>
    <w:rsid w:val="00677382"/>
    <w:rsid w:val="006776E4"/>
    <w:rsid w:val="0067772D"/>
    <w:rsid w:val="00677991"/>
    <w:rsid w:val="00677AD2"/>
    <w:rsid w:val="00680326"/>
    <w:rsid w:val="00680714"/>
    <w:rsid w:val="0068071D"/>
    <w:rsid w:val="00680C6B"/>
    <w:rsid w:val="006811F3"/>
    <w:rsid w:val="00681240"/>
    <w:rsid w:val="00681E43"/>
    <w:rsid w:val="00681F9D"/>
    <w:rsid w:val="00683068"/>
    <w:rsid w:val="00683DAD"/>
    <w:rsid w:val="0068414D"/>
    <w:rsid w:val="00684592"/>
    <w:rsid w:val="00684963"/>
    <w:rsid w:val="00685033"/>
    <w:rsid w:val="0068517F"/>
    <w:rsid w:val="00685D65"/>
    <w:rsid w:val="00685FC8"/>
    <w:rsid w:val="0068697D"/>
    <w:rsid w:val="00686E80"/>
    <w:rsid w:val="0068790B"/>
    <w:rsid w:val="00687AF2"/>
    <w:rsid w:val="00687D7E"/>
    <w:rsid w:val="006901AC"/>
    <w:rsid w:val="00690C8D"/>
    <w:rsid w:val="00691890"/>
    <w:rsid w:val="00691AAD"/>
    <w:rsid w:val="00692416"/>
    <w:rsid w:val="00692AFF"/>
    <w:rsid w:val="00692D2D"/>
    <w:rsid w:val="00693B73"/>
    <w:rsid w:val="006945A1"/>
    <w:rsid w:val="00694855"/>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65B"/>
    <w:rsid w:val="006A2766"/>
    <w:rsid w:val="006A384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262"/>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1EE"/>
    <w:rsid w:val="006B4CEA"/>
    <w:rsid w:val="006B4CF8"/>
    <w:rsid w:val="006B506B"/>
    <w:rsid w:val="006B54E8"/>
    <w:rsid w:val="006B5632"/>
    <w:rsid w:val="006B5FBC"/>
    <w:rsid w:val="006B6ED2"/>
    <w:rsid w:val="006B7F74"/>
    <w:rsid w:val="006C0230"/>
    <w:rsid w:val="006C05C7"/>
    <w:rsid w:val="006C207F"/>
    <w:rsid w:val="006C21B6"/>
    <w:rsid w:val="006C25AB"/>
    <w:rsid w:val="006C2DA6"/>
    <w:rsid w:val="006C3415"/>
    <w:rsid w:val="006C3581"/>
    <w:rsid w:val="006C39A0"/>
    <w:rsid w:val="006C3EFE"/>
    <w:rsid w:val="006C46C7"/>
    <w:rsid w:val="006C4767"/>
    <w:rsid w:val="006C4A1A"/>
    <w:rsid w:val="006C4D02"/>
    <w:rsid w:val="006C53A4"/>
    <w:rsid w:val="006C54DF"/>
    <w:rsid w:val="006C5B33"/>
    <w:rsid w:val="006C5D2E"/>
    <w:rsid w:val="006C5D5D"/>
    <w:rsid w:val="006C627E"/>
    <w:rsid w:val="006C6303"/>
    <w:rsid w:val="006C6A51"/>
    <w:rsid w:val="006C6EBD"/>
    <w:rsid w:val="006C7E04"/>
    <w:rsid w:val="006C7F79"/>
    <w:rsid w:val="006D0004"/>
    <w:rsid w:val="006D015F"/>
    <w:rsid w:val="006D0409"/>
    <w:rsid w:val="006D060E"/>
    <w:rsid w:val="006D0665"/>
    <w:rsid w:val="006D0681"/>
    <w:rsid w:val="006D0A80"/>
    <w:rsid w:val="006D0AE8"/>
    <w:rsid w:val="006D135C"/>
    <w:rsid w:val="006D189C"/>
    <w:rsid w:val="006D2F72"/>
    <w:rsid w:val="006D43C1"/>
    <w:rsid w:val="006D4987"/>
    <w:rsid w:val="006D5442"/>
    <w:rsid w:val="006D5EA4"/>
    <w:rsid w:val="006D6E4E"/>
    <w:rsid w:val="006D7A7B"/>
    <w:rsid w:val="006D7A8E"/>
    <w:rsid w:val="006D7C59"/>
    <w:rsid w:val="006E00E3"/>
    <w:rsid w:val="006E045C"/>
    <w:rsid w:val="006E04EB"/>
    <w:rsid w:val="006E0569"/>
    <w:rsid w:val="006E065E"/>
    <w:rsid w:val="006E0849"/>
    <w:rsid w:val="006E11D6"/>
    <w:rsid w:val="006E17AC"/>
    <w:rsid w:val="006E189B"/>
    <w:rsid w:val="006E20D9"/>
    <w:rsid w:val="006E24F3"/>
    <w:rsid w:val="006E27DC"/>
    <w:rsid w:val="006E2902"/>
    <w:rsid w:val="006E2F9D"/>
    <w:rsid w:val="006E37C6"/>
    <w:rsid w:val="006E3B69"/>
    <w:rsid w:val="006E3CF3"/>
    <w:rsid w:val="006E41ED"/>
    <w:rsid w:val="006E43FB"/>
    <w:rsid w:val="006E4667"/>
    <w:rsid w:val="006E46B7"/>
    <w:rsid w:val="006E475A"/>
    <w:rsid w:val="006E486D"/>
    <w:rsid w:val="006E4880"/>
    <w:rsid w:val="006E48BB"/>
    <w:rsid w:val="006E727B"/>
    <w:rsid w:val="006E76C8"/>
    <w:rsid w:val="006E7A92"/>
    <w:rsid w:val="006F01FF"/>
    <w:rsid w:val="006F0CB2"/>
    <w:rsid w:val="006F1A88"/>
    <w:rsid w:val="006F1DE9"/>
    <w:rsid w:val="006F2046"/>
    <w:rsid w:val="006F2B43"/>
    <w:rsid w:val="006F2F59"/>
    <w:rsid w:val="006F311E"/>
    <w:rsid w:val="006F3442"/>
    <w:rsid w:val="006F36A5"/>
    <w:rsid w:val="006F41F4"/>
    <w:rsid w:val="006F4576"/>
    <w:rsid w:val="006F49D2"/>
    <w:rsid w:val="006F5222"/>
    <w:rsid w:val="006F5813"/>
    <w:rsid w:val="006F59A8"/>
    <w:rsid w:val="006F5A1D"/>
    <w:rsid w:val="006F71A6"/>
    <w:rsid w:val="006F7974"/>
    <w:rsid w:val="006F7C2C"/>
    <w:rsid w:val="006F7FD5"/>
    <w:rsid w:val="00700405"/>
    <w:rsid w:val="00700D18"/>
    <w:rsid w:val="0070121A"/>
    <w:rsid w:val="0070168D"/>
    <w:rsid w:val="00701C36"/>
    <w:rsid w:val="00702F2D"/>
    <w:rsid w:val="0070353F"/>
    <w:rsid w:val="00703CC1"/>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03"/>
    <w:rsid w:val="007119C9"/>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3E6"/>
    <w:rsid w:val="007208A7"/>
    <w:rsid w:val="00720B3D"/>
    <w:rsid w:val="00720B6A"/>
    <w:rsid w:val="007210F6"/>
    <w:rsid w:val="0072129A"/>
    <w:rsid w:val="0072139F"/>
    <w:rsid w:val="0072198A"/>
    <w:rsid w:val="00721AD9"/>
    <w:rsid w:val="00721FC3"/>
    <w:rsid w:val="00722A86"/>
    <w:rsid w:val="00722AE1"/>
    <w:rsid w:val="00722BC6"/>
    <w:rsid w:val="00722C69"/>
    <w:rsid w:val="00722C6C"/>
    <w:rsid w:val="0072311F"/>
    <w:rsid w:val="0072388C"/>
    <w:rsid w:val="0072454E"/>
    <w:rsid w:val="007249D1"/>
    <w:rsid w:val="00724FE4"/>
    <w:rsid w:val="00725829"/>
    <w:rsid w:val="00725D6A"/>
    <w:rsid w:val="0072606D"/>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6BD"/>
    <w:rsid w:val="00736740"/>
    <w:rsid w:val="007378FD"/>
    <w:rsid w:val="007403FE"/>
    <w:rsid w:val="00740E95"/>
    <w:rsid w:val="007413EB"/>
    <w:rsid w:val="007413FB"/>
    <w:rsid w:val="00742D32"/>
    <w:rsid w:val="00742E9B"/>
    <w:rsid w:val="007444E6"/>
    <w:rsid w:val="007451C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7C6"/>
    <w:rsid w:val="00755970"/>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57"/>
    <w:rsid w:val="00762948"/>
    <w:rsid w:val="00762A81"/>
    <w:rsid w:val="00763137"/>
    <w:rsid w:val="00763AED"/>
    <w:rsid w:val="00763BF0"/>
    <w:rsid w:val="00763F8B"/>
    <w:rsid w:val="007640F3"/>
    <w:rsid w:val="007640FD"/>
    <w:rsid w:val="0076417E"/>
    <w:rsid w:val="0076497F"/>
    <w:rsid w:val="0076586E"/>
    <w:rsid w:val="007660EC"/>
    <w:rsid w:val="007662C7"/>
    <w:rsid w:val="00766862"/>
    <w:rsid w:val="007675DD"/>
    <w:rsid w:val="007702BF"/>
    <w:rsid w:val="007705F0"/>
    <w:rsid w:val="00771CAC"/>
    <w:rsid w:val="00772036"/>
    <w:rsid w:val="00772787"/>
    <w:rsid w:val="00772AD2"/>
    <w:rsid w:val="00773098"/>
    <w:rsid w:val="007739A3"/>
    <w:rsid w:val="00773BD9"/>
    <w:rsid w:val="00773CB0"/>
    <w:rsid w:val="00773D71"/>
    <w:rsid w:val="00775526"/>
    <w:rsid w:val="00775651"/>
    <w:rsid w:val="0077585B"/>
    <w:rsid w:val="00775A7B"/>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8D7"/>
    <w:rsid w:val="0079038E"/>
    <w:rsid w:val="00790679"/>
    <w:rsid w:val="00790EBB"/>
    <w:rsid w:val="007912F3"/>
    <w:rsid w:val="00791C6E"/>
    <w:rsid w:val="00791C73"/>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56"/>
    <w:rsid w:val="00796292"/>
    <w:rsid w:val="007965D9"/>
    <w:rsid w:val="00796BA2"/>
    <w:rsid w:val="007972D5"/>
    <w:rsid w:val="0079778D"/>
    <w:rsid w:val="00797D73"/>
    <w:rsid w:val="007A006C"/>
    <w:rsid w:val="007A0610"/>
    <w:rsid w:val="007A0789"/>
    <w:rsid w:val="007A130E"/>
    <w:rsid w:val="007A18B1"/>
    <w:rsid w:val="007A1BBD"/>
    <w:rsid w:val="007A1F08"/>
    <w:rsid w:val="007A2183"/>
    <w:rsid w:val="007A2555"/>
    <w:rsid w:val="007A25FA"/>
    <w:rsid w:val="007A2684"/>
    <w:rsid w:val="007A2DB8"/>
    <w:rsid w:val="007A2FCB"/>
    <w:rsid w:val="007A3520"/>
    <w:rsid w:val="007A3604"/>
    <w:rsid w:val="007A3878"/>
    <w:rsid w:val="007A3D85"/>
    <w:rsid w:val="007A3E0D"/>
    <w:rsid w:val="007A436D"/>
    <w:rsid w:val="007A4C76"/>
    <w:rsid w:val="007A54F6"/>
    <w:rsid w:val="007A55FE"/>
    <w:rsid w:val="007A582C"/>
    <w:rsid w:val="007A5950"/>
    <w:rsid w:val="007A5B62"/>
    <w:rsid w:val="007A60C8"/>
    <w:rsid w:val="007A6D91"/>
    <w:rsid w:val="007A7618"/>
    <w:rsid w:val="007A7D46"/>
    <w:rsid w:val="007B00C9"/>
    <w:rsid w:val="007B02C7"/>
    <w:rsid w:val="007B0306"/>
    <w:rsid w:val="007B08E4"/>
    <w:rsid w:val="007B0D86"/>
    <w:rsid w:val="007B28C3"/>
    <w:rsid w:val="007B2A9A"/>
    <w:rsid w:val="007B2C5C"/>
    <w:rsid w:val="007B3A8E"/>
    <w:rsid w:val="007B3C9B"/>
    <w:rsid w:val="007B4271"/>
    <w:rsid w:val="007B497D"/>
    <w:rsid w:val="007B4EE9"/>
    <w:rsid w:val="007B5234"/>
    <w:rsid w:val="007B54C7"/>
    <w:rsid w:val="007B5637"/>
    <w:rsid w:val="007B5DC5"/>
    <w:rsid w:val="007B5E8F"/>
    <w:rsid w:val="007B5F32"/>
    <w:rsid w:val="007B63FC"/>
    <w:rsid w:val="007B6708"/>
    <w:rsid w:val="007B6C20"/>
    <w:rsid w:val="007B6D59"/>
    <w:rsid w:val="007B6E8D"/>
    <w:rsid w:val="007C029E"/>
    <w:rsid w:val="007C0636"/>
    <w:rsid w:val="007C1092"/>
    <w:rsid w:val="007C10E4"/>
    <w:rsid w:val="007C17B4"/>
    <w:rsid w:val="007C199D"/>
    <w:rsid w:val="007C20F8"/>
    <w:rsid w:val="007C21C5"/>
    <w:rsid w:val="007C2229"/>
    <w:rsid w:val="007C2313"/>
    <w:rsid w:val="007C3590"/>
    <w:rsid w:val="007C387A"/>
    <w:rsid w:val="007C3A0D"/>
    <w:rsid w:val="007C3EB0"/>
    <w:rsid w:val="007C43D6"/>
    <w:rsid w:val="007C47FF"/>
    <w:rsid w:val="007C4C5A"/>
    <w:rsid w:val="007C60A8"/>
    <w:rsid w:val="007C660F"/>
    <w:rsid w:val="007C6664"/>
    <w:rsid w:val="007C66FF"/>
    <w:rsid w:val="007C69AE"/>
    <w:rsid w:val="007C69B6"/>
    <w:rsid w:val="007C6FE9"/>
    <w:rsid w:val="007C7688"/>
    <w:rsid w:val="007C76E3"/>
    <w:rsid w:val="007C76F3"/>
    <w:rsid w:val="007C779B"/>
    <w:rsid w:val="007C7DD9"/>
    <w:rsid w:val="007D0258"/>
    <w:rsid w:val="007D03BC"/>
    <w:rsid w:val="007D0645"/>
    <w:rsid w:val="007D0D82"/>
    <w:rsid w:val="007D0DC9"/>
    <w:rsid w:val="007D0ECD"/>
    <w:rsid w:val="007D10AB"/>
    <w:rsid w:val="007D2882"/>
    <w:rsid w:val="007D296C"/>
    <w:rsid w:val="007D2C31"/>
    <w:rsid w:val="007D2E50"/>
    <w:rsid w:val="007D3AC8"/>
    <w:rsid w:val="007D3D74"/>
    <w:rsid w:val="007D445F"/>
    <w:rsid w:val="007D4DED"/>
    <w:rsid w:val="007D5BA2"/>
    <w:rsid w:val="007D5ED3"/>
    <w:rsid w:val="007D682F"/>
    <w:rsid w:val="007D6FB9"/>
    <w:rsid w:val="007D7211"/>
    <w:rsid w:val="007E0595"/>
    <w:rsid w:val="007E0A63"/>
    <w:rsid w:val="007E0C63"/>
    <w:rsid w:val="007E0E05"/>
    <w:rsid w:val="007E0F5D"/>
    <w:rsid w:val="007E162B"/>
    <w:rsid w:val="007E23A1"/>
    <w:rsid w:val="007E259F"/>
    <w:rsid w:val="007E347E"/>
    <w:rsid w:val="007E41A4"/>
    <w:rsid w:val="007E43E3"/>
    <w:rsid w:val="007E54B8"/>
    <w:rsid w:val="007E57AC"/>
    <w:rsid w:val="007E5D12"/>
    <w:rsid w:val="007E6420"/>
    <w:rsid w:val="007E677F"/>
    <w:rsid w:val="007E6B25"/>
    <w:rsid w:val="007E6E06"/>
    <w:rsid w:val="007E6F4A"/>
    <w:rsid w:val="007E79CC"/>
    <w:rsid w:val="007E7AF0"/>
    <w:rsid w:val="007F006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ECF"/>
    <w:rsid w:val="007F78E8"/>
    <w:rsid w:val="007F7F8F"/>
    <w:rsid w:val="00800107"/>
    <w:rsid w:val="00800509"/>
    <w:rsid w:val="0080078E"/>
    <w:rsid w:val="00800B7F"/>
    <w:rsid w:val="008012B1"/>
    <w:rsid w:val="00801D63"/>
    <w:rsid w:val="00802BEA"/>
    <w:rsid w:val="0080348B"/>
    <w:rsid w:val="00803D82"/>
    <w:rsid w:val="00803D98"/>
    <w:rsid w:val="008052CE"/>
    <w:rsid w:val="008058D0"/>
    <w:rsid w:val="00806A4C"/>
    <w:rsid w:val="00806FED"/>
    <w:rsid w:val="0080705B"/>
    <w:rsid w:val="0080723C"/>
    <w:rsid w:val="00807749"/>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490"/>
    <w:rsid w:val="008320D2"/>
    <w:rsid w:val="008321CE"/>
    <w:rsid w:val="0083257C"/>
    <w:rsid w:val="0083261B"/>
    <w:rsid w:val="00832B44"/>
    <w:rsid w:val="00832DD5"/>
    <w:rsid w:val="00832EC9"/>
    <w:rsid w:val="00833307"/>
    <w:rsid w:val="00833583"/>
    <w:rsid w:val="00833AD5"/>
    <w:rsid w:val="00833B5B"/>
    <w:rsid w:val="00833E9A"/>
    <w:rsid w:val="00834FEF"/>
    <w:rsid w:val="0083520B"/>
    <w:rsid w:val="00835482"/>
    <w:rsid w:val="00835750"/>
    <w:rsid w:val="0083603D"/>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153"/>
    <w:rsid w:val="00851CEF"/>
    <w:rsid w:val="00851E96"/>
    <w:rsid w:val="00851F1C"/>
    <w:rsid w:val="0085237B"/>
    <w:rsid w:val="00852FA5"/>
    <w:rsid w:val="00853864"/>
    <w:rsid w:val="00853F7D"/>
    <w:rsid w:val="0085517F"/>
    <w:rsid w:val="0085562D"/>
    <w:rsid w:val="00855A78"/>
    <w:rsid w:val="00856154"/>
    <w:rsid w:val="00856286"/>
    <w:rsid w:val="0085657E"/>
    <w:rsid w:val="00856C99"/>
    <w:rsid w:val="00856F0E"/>
    <w:rsid w:val="008573AF"/>
    <w:rsid w:val="008576B0"/>
    <w:rsid w:val="00857D79"/>
    <w:rsid w:val="00860296"/>
    <w:rsid w:val="008602E3"/>
    <w:rsid w:val="00860DA4"/>
    <w:rsid w:val="00861146"/>
    <w:rsid w:val="00861260"/>
    <w:rsid w:val="00861948"/>
    <w:rsid w:val="00862011"/>
    <w:rsid w:val="008620B4"/>
    <w:rsid w:val="00862A15"/>
    <w:rsid w:val="00862CC9"/>
    <w:rsid w:val="00862D8E"/>
    <w:rsid w:val="00862EF2"/>
    <w:rsid w:val="008632C7"/>
    <w:rsid w:val="00863BD1"/>
    <w:rsid w:val="0086598A"/>
    <w:rsid w:val="00865C3D"/>
    <w:rsid w:val="00865F4C"/>
    <w:rsid w:val="00866453"/>
    <w:rsid w:val="0086707F"/>
    <w:rsid w:val="00867501"/>
    <w:rsid w:val="00867D8E"/>
    <w:rsid w:val="008700C0"/>
    <w:rsid w:val="0087058B"/>
    <w:rsid w:val="008706CC"/>
    <w:rsid w:val="0087099A"/>
    <w:rsid w:val="00870CFE"/>
    <w:rsid w:val="00870D79"/>
    <w:rsid w:val="00871333"/>
    <w:rsid w:val="00871913"/>
    <w:rsid w:val="00871952"/>
    <w:rsid w:val="00872006"/>
    <w:rsid w:val="00872386"/>
    <w:rsid w:val="008726D7"/>
    <w:rsid w:val="008730BB"/>
    <w:rsid w:val="00873128"/>
    <w:rsid w:val="008735BC"/>
    <w:rsid w:val="00873AAC"/>
    <w:rsid w:val="00873C61"/>
    <w:rsid w:val="00873DFD"/>
    <w:rsid w:val="008749BF"/>
    <w:rsid w:val="00875542"/>
    <w:rsid w:val="00875E14"/>
    <w:rsid w:val="00875F9C"/>
    <w:rsid w:val="008765D2"/>
    <w:rsid w:val="0087677E"/>
    <w:rsid w:val="0087712C"/>
    <w:rsid w:val="008776E7"/>
    <w:rsid w:val="00877746"/>
    <w:rsid w:val="00877C5D"/>
    <w:rsid w:val="00880354"/>
    <w:rsid w:val="0088093C"/>
    <w:rsid w:val="00880BC0"/>
    <w:rsid w:val="0088127A"/>
    <w:rsid w:val="00881D59"/>
    <w:rsid w:val="00882991"/>
    <w:rsid w:val="00882EC1"/>
    <w:rsid w:val="0088324E"/>
    <w:rsid w:val="008840C6"/>
    <w:rsid w:val="0088434F"/>
    <w:rsid w:val="00884371"/>
    <w:rsid w:val="008848E2"/>
    <w:rsid w:val="00884B7A"/>
    <w:rsid w:val="00884C8B"/>
    <w:rsid w:val="00884D47"/>
    <w:rsid w:val="008856C5"/>
    <w:rsid w:val="00886112"/>
    <w:rsid w:val="008865C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090"/>
    <w:rsid w:val="00895144"/>
    <w:rsid w:val="00895963"/>
    <w:rsid w:val="00895C7A"/>
    <w:rsid w:val="008962A1"/>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124"/>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58A"/>
    <w:rsid w:val="008B48EC"/>
    <w:rsid w:val="008B4AF0"/>
    <w:rsid w:val="008B518E"/>
    <w:rsid w:val="008B527B"/>
    <w:rsid w:val="008B5AB9"/>
    <w:rsid w:val="008B67E6"/>
    <w:rsid w:val="008B69B8"/>
    <w:rsid w:val="008B7042"/>
    <w:rsid w:val="008B770C"/>
    <w:rsid w:val="008B7D5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E48"/>
    <w:rsid w:val="008D4226"/>
    <w:rsid w:val="008D4B37"/>
    <w:rsid w:val="008D4D7C"/>
    <w:rsid w:val="008D5432"/>
    <w:rsid w:val="008D54C0"/>
    <w:rsid w:val="008D5558"/>
    <w:rsid w:val="008D5806"/>
    <w:rsid w:val="008D5ED9"/>
    <w:rsid w:val="008D65BE"/>
    <w:rsid w:val="008D7247"/>
    <w:rsid w:val="008D7567"/>
    <w:rsid w:val="008D7F1B"/>
    <w:rsid w:val="008E0EE4"/>
    <w:rsid w:val="008E12BE"/>
    <w:rsid w:val="008E13FD"/>
    <w:rsid w:val="008E1C24"/>
    <w:rsid w:val="008E2626"/>
    <w:rsid w:val="008E27A9"/>
    <w:rsid w:val="008E2DFB"/>
    <w:rsid w:val="008E323C"/>
    <w:rsid w:val="008E32E0"/>
    <w:rsid w:val="008E35A6"/>
    <w:rsid w:val="008E36D9"/>
    <w:rsid w:val="008E3A5C"/>
    <w:rsid w:val="008E3A9A"/>
    <w:rsid w:val="008E429E"/>
    <w:rsid w:val="008E58A3"/>
    <w:rsid w:val="008E5938"/>
    <w:rsid w:val="008E6109"/>
    <w:rsid w:val="008E6A39"/>
    <w:rsid w:val="008E71A6"/>
    <w:rsid w:val="008E76BB"/>
    <w:rsid w:val="008F1764"/>
    <w:rsid w:val="008F1E3D"/>
    <w:rsid w:val="008F21FE"/>
    <w:rsid w:val="008F235C"/>
    <w:rsid w:val="008F290B"/>
    <w:rsid w:val="008F2F11"/>
    <w:rsid w:val="008F3369"/>
    <w:rsid w:val="008F33A6"/>
    <w:rsid w:val="008F35EC"/>
    <w:rsid w:val="008F3A14"/>
    <w:rsid w:val="008F4FE8"/>
    <w:rsid w:val="008F4FED"/>
    <w:rsid w:val="008F5551"/>
    <w:rsid w:val="008F5D5A"/>
    <w:rsid w:val="008F60F3"/>
    <w:rsid w:val="008F6200"/>
    <w:rsid w:val="008F62F8"/>
    <w:rsid w:val="008F6893"/>
    <w:rsid w:val="008F7292"/>
    <w:rsid w:val="008F76C0"/>
    <w:rsid w:val="009000F2"/>
    <w:rsid w:val="0090079D"/>
    <w:rsid w:val="0090086A"/>
    <w:rsid w:val="00900A76"/>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9EC"/>
    <w:rsid w:val="00906078"/>
    <w:rsid w:val="0090629C"/>
    <w:rsid w:val="009063A7"/>
    <w:rsid w:val="00906EA2"/>
    <w:rsid w:val="00907278"/>
    <w:rsid w:val="00907382"/>
    <w:rsid w:val="009076CA"/>
    <w:rsid w:val="00907977"/>
    <w:rsid w:val="00907FFC"/>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538"/>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AF"/>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C35"/>
    <w:rsid w:val="00942F8E"/>
    <w:rsid w:val="00943543"/>
    <w:rsid w:val="009441DB"/>
    <w:rsid w:val="00944834"/>
    <w:rsid w:val="00946128"/>
    <w:rsid w:val="0094633F"/>
    <w:rsid w:val="00947BA5"/>
    <w:rsid w:val="00950805"/>
    <w:rsid w:val="009517E4"/>
    <w:rsid w:val="009518D4"/>
    <w:rsid w:val="009520A3"/>
    <w:rsid w:val="009520BC"/>
    <w:rsid w:val="009521D2"/>
    <w:rsid w:val="00952403"/>
    <w:rsid w:val="00952589"/>
    <w:rsid w:val="00952BD8"/>
    <w:rsid w:val="00953573"/>
    <w:rsid w:val="0095370A"/>
    <w:rsid w:val="009537C0"/>
    <w:rsid w:val="009552AB"/>
    <w:rsid w:val="009557A9"/>
    <w:rsid w:val="00956647"/>
    <w:rsid w:val="00956CF3"/>
    <w:rsid w:val="00957380"/>
    <w:rsid w:val="00957409"/>
    <w:rsid w:val="00957499"/>
    <w:rsid w:val="00957ED2"/>
    <w:rsid w:val="0096032E"/>
    <w:rsid w:val="009604AE"/>
    <w:rsid w:val="009609AF"/>
    <w:rsid w:val="00960DE4"/>
    <w:rsid w:val="009610C7"/>
    <w:rsid w:val="00961164"/>
    <w:rsid w:val="009612A4"/>
    <w:rsid w:val="00961867"/>
    <w:rsid w:val="00961A07"/>
    <w:rsid w:val="00961A4F"/>
    <w:rsid w:val="009625B7"/>
    <w:rsid w:val="00962FB8"/>
    <w:rsid w:val="00963183"/>
    <w:rsid w:val="00963499"/>
    <w:rsid w:val="0096373F"/>
    <w:rsid w:val="00964007"/>
    <w:rsid w:val="00964283"/>
    <w:rsid w:val="009642A4"/>
    <w:rsid w:val="009643F4"/>
    <w:rsid w:val="009645A6"/>
    <w:rsid w:val="00964F5A"/>
    <w:rsid w:val="0096527F"/>
    <w:rsid w:val="009653ED"/>
    <w:rsid w:val="009664AE"/>
    <w:rsid w:val="00966A21"/>
    <w:rsid w:val="00966A36"/>
    <w:rsid w:val="00966AC4"/>
    <w:rsid w:val="00966AD2"/>
    <w:rsid w:val="0097025C"/>
    <w:rsid w:val="00971415"/>
    <w:rsid w:val="009716D8"/>
    <w:rsid w:val="00971F54"/>
    <w:rsid w:val="00972057"/>
    <w:rsid w:val="0097227B"/>
    <w:rsid w:val="0097262E"/>
    <w:rsid w:val="0097293F"/>
    <w:rsid w:val="00973103"/>
    <w:rsid w:val="00974022"/>
    <w:rsid w:val="00974373"/>
    <w:rsid w:val="009743E8"/>
    <w:rsid w:val="009745D8"/>
    <w:rsid w:val="00974F3B"/>
    <w:rsid w:val="0097552A"/>
    <w:rsid w:val="0097564A"/>
    <w:rsid w:val="00975974"/>
    <w:rsid w:val="00975D06"/>
    <w:rsid w:val="00975D63"/>
    <w:rsid w:val="00975DAE"/>
    <w:rsid w:val="00976BBE"/>
    <w:rsid w:val="0098055B"/>
    <w:rsid w:val="009805A3"/>
    <w:rsid w:val="00980776"/>
    <w:rsid w:val="00980B30"/>
    <w:rsid w:val="009810BE"/>
    <w:rsid w:val="009817BC"/>
    <w:rsid w:val="009819A7"/>
    <w:rsid w:val="0098220A"/>
    <w:rsid w:val="00982D10"/>
    <w:rsid w:val="00982E75"/>
    <w:rsid w:val="00983337"/>
    <w:rsid w:val="00983381"/>
    <w:rsid w:val="009836AA"/>
    <w:rsid w:val="00983968"/>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F"/>
    <w:rsid w:val="00996EF4"/>
    <w:rsid w:val="00997044"/>
    <w:rsid w:val="00997BC9"/>
    <w:rsid w:val="009A051A"/>
    <w:rsid w:val="009A113D"/>
    <w:rsid w:val="009A1ECA"/>
    <w:rsid w:val="009A298D"/>
    <w:rsid w:val="009A2BE9"/>
    <w:rsid w:val="009A2BF3"/>
    <w:rsid w:val="009A3688"/>
    <w:rsid w:val="009A3713"/>
    <w:rsid w:val="009A3C3E"/>
    <w:rsid w:val="009A4153"/>
    <w:rsid w:val="009A4C2C"/>
    <w:rsid w:val="009A4E60"/>
    <w:rsid w:val="009A59B3"/>
    <w:rsid w:val="009A5FAE"/>
    <w:rsid w:val="009A6B3A"/>
    <w:rsid w:val="009A70A3"/>
    <w:rsid w:val="009A76BE"/>
    <w:rsid w:val="009A7E7C"/>
    <w:rsid w:val="009B05D2"/>
    <w:rsid w:val="009B152B"/>
    <w:rsid w:val="009B1A5F"/>
    <w:rsid w:val="009B2731"/>
    <w:rsid w:val="009B2DCF"/>
    <w:rsid w:val="009B37E7"/>
    <w:rsid w:val="009B39D8"/>
    <w:rsid w:val="009B3D38"/>
    <w:rsid w:val="009B4368"/>
    <w:rsid w:val="009B4D4C"/>
    <w:rsid w:val="009B4D87"/>
    <w:rsid w:val="009B66F5"/>
    <w:rsid w:val="009B7505"/>
    <w:rsid w:val="009B7ECD"/>
    <w:rsid w:val="009C0020"/>
    <w:rsid w:val="009C03F7"/>
    <w:rsid w:val="009C10DA"/>
    <w:rsid w:val="009C12C6"/>
    <w:rsid w:val="009C19FC"/>
    <w:rsid w:val="009C27F7"/>
    <w:rsid w:val="009C3BC4"/>
    <w:rsid w:val="009C3C93"/>
    <w:rsid w:val="009C3E0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138"/>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230"/>
    <w:rsid w:val="009F4550"/>
    <w:rsid w:val="009F4BCC"/>
    <w:rsid w:val="009F55C4"/>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867"/>
    <w:rsid w:val="00A10A20"/>
    <w:rsid w:val="00A117D5"/>
    <w:rsid w:val="00A11C11"/>
    <w:rsid w:val="00A12720"/>
    <w:rsid w:val="00A12ED1"/>
    <w:rsid w:val="00A13121"/>
    <w:rsid w:val="00A131F5"/>
    <w:rsid w:val="00A133C1"/>
    <w:rsid w:val="00A13414"/>
    <w:rsid w:val="00A13675"/>
    <w:rsid w:val="00A138B7"/>
    <w:rsid w:val="00A13F2D"/>
    <w:rsid w:val="00A143B8"/>
    <w:rsid w:val="00A148A0"/>
    <w:rsid w:val="00A14AA8"/>
    <w:rsid w:val="00A14E54"/>
    <w:rsid w:val="00A14F81"/>
    <w:rsid w:val="00A1535F"/>
    <w:rsid w:val="00A15CB1"/>
    <w:rsid w:val="00A15DCC"/>
    <w:rsid w:val="00A15E7D"/>
    <w:rsid w:val="00A15E84"/>
    <w:rsid w:val="00A16021"/>
    <w:rsid w:val="00A164E3"/>
    <w:rsid w:val="00A16961"/>
    <w:rsid w:val="00A17050"/>
    <w:rsid w:val="00A176DD"/>
    <w:rsid w:val="00A2050F"/>
    <w:rsid w:val="00A21838"/>
    <w:rsid w:val="00A22C3E"/>
    <w:rsid w:val="00A22C4D"/>
    <w:rsid w:val="00A2334E"/>
    <w:rsid w:val="00A23442"/>
    <w:rsid w:val="00A249D2"/>
    <w:rsid w:val="00A254AB"/>
    <w:rsid w:val="00A259F2"/>
    <w:rsid w:val="00A266CC"/>
    <w:rsid w:val="00A26DB4"/>
    <w:rsid w:val="00A27425"/>
    <w:rsid w:val="00A300A0"/>
    <w:rsid w:val="00A3023E"/>
    <w:rsid w:val="00A3056B"/>
    <w:rsid w:val="00A305C5"/>
    <w:rsid w:val="00A30919"/>
    <w:rsid w:val="00A31218"/>
    <w:rsid w:val="00A31F05"/>
    <w:rsid w:val="00A31FD2"/>
    <w:rsid w:val="00A3404D"/>
    <w:rsid w:val="00A341AB"/>
    <w:rsid w:val="00A34290"/>
    <w:rsid w:val="00A35489"/>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18"/>
    <w:rsid w:val="00A41C9A"/>
    <w:rsid w:val="00A41D73"/>
    <w:rsid w:val="00A42406"/>
    <w:rsid w:val="00A42A74"/>
    <w:rsid w:val="00A433E8"/>
    <w:rsid w:val="00A43A1D"/>
    <w:rsid w:val="00A43AB0"/>
    <w:rsid w:val="00A44854"/>
    <w:rsid w:val="00A44A45"/>
    <w:rsid w:val="00A4593B"/>
    <w:rsid w:val="00A4665D"/>
    <w:rsid w:val="00A46859"/>
    <w:rsid w:val="00A46D39"/>
    <w:rsid w:val="00A47019"/>
    <w:rsid w:val="00A472B8"/>
    <w:rsid w:val="00A5004A"/>
    <w:rsid w:val="00A5017C"/>
    <w:rsid w:val="00A502D6"/>
    <w:rsid w:val="00A502F5"/>
    <w:rsid w:val="00A504F4"/>
    <w:rsid w:val="00A507C4"/>
    <w:rsid w:val="00A508AA"/>
    <w:rsid w:val="00A50EE7"/>
    <w:rsid w:val="00A51D04"/>
    <w:rsid w:val="00A526CE"/>
    <w:rsid w:val="00A534DD"/>
    <w:rsid w:val="00A53D28"/>
    <w:rsid w:val="00A54170"/>
    <w:rsid w:val="00A5468F"/>
    <w:rsid w:val="00A54909"/>
    <w:rsid w:val="00A54DC0"/>
    <w:rsid w:val="00A550C9"/>
    <w:rsid w:val="00A55228"/>
    <w:rsid w:val="00A55410"/>
    <w:rsid w:val="00A55A04"/>
    <w:rsid w:val="00A564DE"/>
    <w:rsid w:val="00A577F4"/>
    <w:rsid w:val="00A6054E"/>
    <w:rsid w:val="00A60799"/>
    <w:rsid w:val="00A6170B"/>
    <w:rsid w:val="00A61991"/>
    <w:rsid w:val="00A61B7F"/>
    <w:rsid w:val="00A61B91"/>
    <w:rsid w:val="00A61C3A"/>
    <w:rsid w:val="00A620E8"/>
    <w:rsid w:val="00A62CEE"/>
    <w:rsid w:val="00A63335"/>
    <w:rsid w:val="00A634EB"/>
    <w:rsid w:val="00A63685"/>
    <w:rsid w:val="00A638C9"/>
    <w:rsid w:val="00A63EA5"/>
    <w:rsid w:val="00A64545"/>
    <w:rsid w:val="00A645AC"/>
    <w:rsid w:val="00A64C79"/>
    <w:rsid w:val="00A65EFB"/>
    <w:rsid w:val="00A6622A"/>
    <w:rsid w:val="00A66E28"/>
    <w:rsid w:val="00A6707F"/>
    <w:rsid w:val="00A67429"/>
    <w:rsid w:val="00A677E7"/>
    <w:rsid w:val="00A67CE9"/>
    <w:rsid w:val="00A70590"/>
    <w:rsid w:val="00A7062E"/>
    <w:rsid w:val="00A70834"/>
    <w:rsid w:val="00A70D9D"/>
    <w:rsid w:val="00A71542"/>
    <w:rsid w:val="00A7171F"/>
    <w:rsid w:val="00A71FA0"/>
    <w:rsid w:val="00A71FBD"/>
    <w:rsid w:val="00A71FD8"/>
    <w:rsid w:val="00A72727"/>
    <w:rsid w:val="00A727D8"/>
    <w:rsid w:val="00A72C1A"/>
    <w:rsid w:val="00A732FB"/>
    <w:rsid w:val="00A7463E"/>
    <w:rsid w:val="00A74E67"/>
    <w:rsid w:val="00A758E2"/>
    <w:rsid w:val="00A765B1"/>
    <w:rsid w:val="00A772F2"/>
    <w:rsid w:val="00A775A7"/>
    <w:rsid w:val="00A77828"/>
    <w:rsid w:val="00A77BAA"/>
    <w:rsid w:val="00A800F9"/>
    <w:rsid w:val="00A803A6"/>
    <w:rsid w:val="00A8073D"/>
    <w:rsid w:val="00A80D02"/>
    <w:rsid w:val="00A815FB"/>
    <w:rsid w:val="00A81AEB"/>
    <w:rsid w:val="00A81B43"/>
    <w:rsid w:val="00A82D32"/>
    <w:rsid w:val="00A82EAE"/>
    <w:rsid w:val="00A82FC7"/>
    <w:rsid w:val="00A847F9"/>
    <w:rsid w:val="00A84F27"/>
    <w:rsid w:val="00A8519C"/>
    <w:rsid w:val="00A855EE"/>
    <w:rsid w:val="00A8597A"/>
    <w:rsid w:val="00A85B87"/>
    <w:rsid w:val="00A85F83"/>
    <w:rsid w:val="00A86019"/>
    <w:rsid w:val="00A86EED"/>
    <w:rsid w:val="00A8733A"/>
    <w:rsid w:val="00A90288"/>
    <w:rsid w:val="00A9151F"/>
    <w:rsid w:val="00A9196B"/>
    <w:rsid w:val="00A91BB5"/>
    <w:rsid w:val="00A91BEE"/>
    <w:rsid w:val="00A91D4B"/>
    <w:rsid w:val="00A91D7C"/>
    <w:rsid w:val="00A91ED0"/>
    <w:rsid w:val="00A920B2"/>
    <w:rsid w:val="00A92A96"/>
    <w:rsid w:val="00A92A9B"/>
    <w:rsid w:val="00A92AF0"/>
    <w:rsid w:val="00A933FE"/>
    <w:rsid w:val="00A937D5"/>
    <w:rsid w:val="00A93C70"/>
    <w:rsid w:val="00A94A32"/>
    <w:rsid w:val="00A94AFC"/>
    <w:rsid w:val="00A94B4E"/>
    <w:rsid w:val="00A94BF5"/>
    <w:rsid w:val="00A954F8"/>
    <w:rsid w:val="00A962AE"/>
    <w:rsid w:val="00A9686A"/>
    <w:rsid w:val="00A96B4A"/>
    <w:rsid w:val="00A9719A"/>
    <w:rsid w:val="00A97BDA"/>
    <w:rsid w:val="00AA043A"/>
    <w:rsid w:val="00AA0779"/>
    <w:rsid w:val="00AA08F3"/>
    <w:rsid w:val="00AA091F"/>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496"/>
    <w:rsid w:val="00AA6AFE"/>
    <w:rsid w:val="00AA6F6C"/>
    <w:rsid w:val="00AA7086"/>
    <w:rsid w:val="00AA721D"/>
    <w:rsid w:val="00AA7519"/>
    <w:rsid w:val="00AA7735"/>
    <w:rsid w:val="00AA790A"/>
    <w:rsid w:val="00AA7911"/>
    <w:rsid w:val="00AB02EA"/>
    <w:rsid w:val="00AB0510"/>
    <w:rsid w:val="00AB08F1"/>
    <w:rsid w:val="00AB110C"/>
    <w:rsid w:val="00AB227A"/>
    <w:rsid w:val="00AB22BF"/>
    <w:rsid w:val="00AB256E"/>
    <w:rsid w:val="00AB318B"/>
    <w:rsid w:val="00AB3466"/>
    <w:rsid w:val="00AB38B2"/>
    <w:rsid w:val="00AB3BBB"/>
    <w:rsid w:val="00AB4069"/>
    <w:rsid w:val="00AB408C"/>
    <w:rsid w:val="00AB43AF"/>
    <w:rsid w:val="00AB45E2"/>
    <w:rsid w:val="00AB4E41"/>
    <w:rsid w:val="00AB5EB1"/>
    <w:rsid w:val="00AB6003"/>
    <w:rsid w:val="00AB759A"/>
    <w:rsid w:val="00AB7B06"/>
    <w:rsid w:val="00AB7EAA"/>
    <w:rsid w:val="00AC0432"/>
    <w:rsid w:val="00AC0770"/>
    <w:rsid w:val="00AC144C"/>
    <w:rsid w:val="00AC1683"/>
    <w:rsid w:val="00AC1D82"/>
    <w:rsid w:val="00AC2D5F"/>
    <w:rsid w:val="00AC4094"/>
    <w:rsid w:val="00AC40EB"/>
    <w:rsid w:val="00AC42B6"/>
    <w:rsid w:val="00AC4AB7"/>
    <w:rsid w:val="00AC51E0"/>
    <w:rsid w:val="00AC5AE1"/>
    <w:rsid w:val="00AC6123"/>
    <w:rsid w:val="00AC62BC"/>
    <w:rsid w:val="00AC6D24"/>
    <w:rsid w:val="00AC6E18"/>
    <w:rsid w:val="00AC7252"/>
    <w:rsid w:val="00AC750B"/>
    <w:rsid w:val="00AC7F64"/>
    <w:rsid w:val="00AD1065"/>
    <w:rsid w:val="00AD159E"/>
    <w:rsid w:val="00AD17F2"/>
    <w:rsid w:val="00AD2AB1"/>
    <w:rsid w:val="00AD3132"/>
    <w:rsid w:val="00AD3DA6"/>
    <w:rsid w:val="00AD3F3C"/>
    <w:rsid w:val="00AD447E"/>
    <w:rsid w:val="00AD4B2F"/>
    <w:rsid w:val="00AD5F0A"/>
    <w:rsid w:val="00AD67F0"/>
    <w:rsid w:val="00AD6A5B"/>
    <w:rsid w:val="00AD6B4F"/>
    <w:rsid w:val="00AD6D19"/>
    <w:rsid w:val="00AD73AC"/>
    <w:rsid w:val="00AD7812"/>
    <w:rsid w:val="00AD7C42"/>
    <w:rsid w:val="00AD7CFA"/>
    <w:rsid w:val="00AE03AC"/>
    <w:rsid w:val="00AE06B0"/>
    <w:rsid w:val="00AE0BD6"/>
    <w:rsid w:val="00AE11C1"/>
    <w:rsid w:val="00AE163D"/>
    <w:rsid w:val="00AE1A42"/>
    <w:rsid w:val="00AE1C5C"/>
    <w:rsid w:val="00AE2525"/>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844"/>
    <w:rsid w:val="00AF3557"/>
    <w:rsid w:val="00AF3F86"/>
    <w:rsid w:val="00AF4CEE"/>
    <w:rsid w:val="00AF4F4A"/>
    <w:rsid w:val="00AF584C"/>
    <w:rsid w:val="00AF5881"/>
    <w:rsid w:val="00AF5D84"/>
    <w:rsid w:val="00AF6476"/>
    <w:rsid w:val="00AF669D"/>
    <w:rsid w:val="00AF672C"/>
    <w:rsid w:val="00AF673E"/>
    <w:rsid w:val="00AF6ABE"/>
    <w:rsid w:val="00AF6C3E"/>
    <w:rsid w:val="00AF7389"/>
    <w:rsid w:val="00AF79DF"/>
    <w:rsid w:val="00AF7C37"/>
    <w:rsid w:val="00B00378"/>
    <w:rsid w:val="00B00D91"/>
    <w:rsid w:val="00B00E84"/>
    <w:rsid w:val="00B01DD9"/>
    <w:rsid w:val="00B01F0E"/>
    <w:rsid w:val="00B0269E"/>
    <w:rsid w:val="00B02F0C"/>
    <w:rsid w:val="00B038F1"/>
    <w:rsid w:val="00B03C1B"/>
    <w:rsid w:val="00B03C53"/>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CBF"/>
    <w:rsid w:val="00B13EDB"/>
    <w:rsid w:val="00B141A5"/>
    <w:rsid w:val="00B14F47"/>
    <w:rsid w:val="00B15282"/>
    <w:rsid w:val="00B15286"/>
    <w:rsid w:val="00B1539F"/>
    <w:rsid w:val="00B1550D"/>
    <w:rsid w:val="00B15F6C"/>
    <w:rsid w:val="00B163E8"/>
    <w:rsid w:val="00B167D2"/>
    <w:rsid w:val="00B17159"/>
    <w:rsid w:val="00B1767E"/>
    <w:rsid w:val="00B20760"/>
    <w:rsid w:val="00B2125C"/>
    <w:rsid w:val="00B21676"/>
    <w:rsid w:val="00B219E1"/>
    <w:rsid w:val="00B21ECF"/>
    <w:rsid w:val="00B22150"/>
    <w:rsid w:val="00B226DE"/>
    <w:rsid w:val="00B22FB5"/>
    <w:rsid w:val="00B241D5"/>
    <w:rsid w:val="00B248CA"/>
    <w:rsid w:val="00B24BE9"/>
    <w:rsid w:val="00B2551D"/>
    <w:rsid w:val="00B25F8C"/>
    <w:rsid w:val="00B260BE"/>
    <w:rsid w:val="00B26677"/>
    <w:rsid w:val="00B26A96"/>
    <w:rsid w:val="00B274E3"/>
    <w:rsid w:val="00B2765C"/>
    <w:rsid w:val="00B27C4B"/>
    <w:rsid w:val="00B27D69"/>
    <w:rsid w:val="00B30563"/>
    <w:rsid w:val="00B3069E"/>
    <w:rsid w:val="00B30A76"/>
    <w:rsid w:val="00B31246"/>
    <w:rsid w:val="00B3165F"/>
    <w:rsid w:val="00B32295"/>
    <w:rsid w:val="00B33728"/>
    <w:rsid w:val="00B33AB5"/>
    <w:rsid w:val="00B3412E"/>
    <w:rsid w:val="00B343E0"/>
    <w:rsid w:val="00B35632"/>
    <w:rsid w:val="00B35B6D"/>
    <w:rsid w:val="00B35D53"/>
    <w:rsid w:val="00B367C4"/>
    <w:rsid w:val="00B36D3E"/>
    <w:rsid w:val="00B36FF7"/>
    <w:rsid w:val="00B37B8E"/>
    <w:rsid w:val="00B40222"/>
    <w:rsid w:val="00B404C3"/>
    <w:rsid w:val="00B41938"/>
    <w:rsid w:val="00B41A04"/>
    <w:rsid w:val="00B42743"/>
    <w:rsid w:val="00B430E9"/>
    <w:rsid w:val="00B4311F"/>
    <w:rsid w:val="00B431AE"/>
    <w:rsid w:val="00B44288"/>
    <w:rsid w:val="00B44479"/>
    <w:rsid w:val="00B448BF"/>
    <w:rsid w:val="00B45A59"/>
    <w:rsid w:val="00B45F9F"/>
    <w:rsid w:val="00B4627C"/>
    <w:rsid w:val="00B4641F"/>
    <w:rsid w:val="00B46793"/>
    <w:rsid w:val="00B46953"/>
    <w:rsid w:val="00B47455"/>
    <w:rsid w:val="00B47626"/>
    <w:rsid w:val="00B47979"/>
    <w:rsid w:val="00B47A59"/>
    <w:rsid w:val="00B47ECD"/>
    <w:rsid w:val="00B47FF3"/>
    <w:rsid w:val="00B503D6"/>
    <w:rsid w:val="00B51520"/>
    <w:rsid w:val="00B515C3"/>
    <w:rsid w:val="00B517C2"/>
    <w:rsid w:val="00B518CE"/>
    <w:rsid w:val="00B51F56"/>
    <w:rsid w:val="00B52234"/>
    <w:rsid w:val="00B5285D"/>
    <w:rsid w:val="00B53623"/>
    <w:rsid w:val="00B536FC"/>
    <w:rsid w:val="00B53D1D"/>
    <w:rsid w:val="00B53E98"/>
    <w:rsid w:val="00B53F9B"/>
    <w:rsid w:val="00B54B19"/>
    <w:rsid w:val="00B55F64"/>
    <w:rsid w:val="00B56899"/>
    <w:rsid w:val="00B56ECA"/>
    <w:rsid w:val="00B57093"/>
    <w:rsid w:val="00B5745F"/>
    <w:rsid w:val="00B57B5D"/>
    <w:rsid w:val="00B60613"/>
    <w:rsid w:val="00B61AEC"/>
    <w:rsid w:val="00B6244C"/>
    <w:rsid w:val="00B62A2F"/>
    <w:rsid w:val="00B62B7B"/>
    <w:rsid w:val="00B62DD4"/>
    <w:rsid w:val="00B62F0A"/>
    <w:rsid w:val="00B63484"/>
    <w:rsid w:val="00B634B7"/>
    <w:rsid w:val="00B634F1"/>
    <w:rsid w:val="00B637EF"/>
    <w:rsid w:val="00B63EF6"/>
    <w:rsid w:val="00B6440A"/>
    <w:rsid w:val="00B65788"/>
    <w:rsid w:val="00B65844"/>
    <w:rsid w:val="00B66054"/>
    <w:rsid w:val="00B666C5"/>
    <w:rsid w:val="00B6677F"/>
    <w:rsid w:val="00B66C7A"/>
    <w:rsid w:val="00B66D4E"/>
    <w:rsid w:val="00B672EA"/>
    <w:rsid w:val="00B6747B"/>
    <w:rsid w:val="00B67EFB"/>
    <w:rsid w:val="00B70200"/>
    <w:rsid w:val="00B702D7"/>
    <w:rsid w:val="00B70389"/>
    <w:rsid w:val="00B70E01"/>
    <w:rsid w:val="00B718FA"/>
    <w:rsid w:val="00B72A0B"/>
    <w:rsid w:val="00B72CF0"/>
    <w:rsid w:val="00B7374C"/>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37"/>
    <w:rsid w:val="00B85586"/>
    <w:rsid w:val="00B86289"/>
    <w:rsid w:val="00B863B3"/>
    <w:rsid w:val="00B869D3"/>
    <w:rsid w:val="00B86CF8"/>
    <w:rsid w:val="00B86E44"/>
    <w:rsid w:val="00B87359"/>
    <w:rsid w:val="00B87F1C"/>
    <w:rsid w:val="00B90953"/>
    <w:rsid w:val="00B90D8D"/>
    <w:rsid w:val="00B91263"/>
    <w:rsid w:val="00B91B61"/>
    <w:rsid w:val="00B92ED7"/>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5C2"/>
    <w:rsid w:val="00BB36C9"/>
    <w:rsid w:val="00BB3A66"/>
    <w:rsid w:val="00BB3EFB"/>
    <w:rsid w:val="00BB40D1"/>
    <w:rsid w:val="00BB6E79"/>
    <w:rsid w:val="00BB777D"/>
    <w:rsid w:val="00BB7EC0"/>
    <w:rsid w:val="00BB7F88"/>
    <w:rsid w:val="00BC0207"/>
    <w:rsid w:val="00BC089F"/>
    <w:rsid w:val="00BC0A0C"/>
    <w:rsid w:val="00BC0A5A"/>
    <w:rsid w:val="00BC0E64"/>
    <w:rsid w:val="00BC1372"/>
    <w:rsid w:val="00BC25D1"/>
    <w:rsid w:val="00BC2DBD"/>
    <w:rsid w:val="00BC3BCB"/>
    <w:rsid w:val="00BC3CF1"/>
    <w:rsid w:val="00BC4202"/>
    <w:rsid w:val="00BC428A"/>
    <w:rsid w:val="00BC4C40"/>
    <w:rsid w:val="00BC5A29"/>
    <w:rsid w:val="00BC5AE3"/>
    <w:rsid w:val="00BC5BAD"/>
    <w:rsid w:val="00BC692A"/>
    <w:rsid w:val="00BC6D76"/>
    <w:rsid w:val="00BC76C5"/>
    <w:rsid w:val="00BC7E75"/>
    <w:rsid w:val="00BC7F94"/>
    <w:rsid w:val="00BD0C9B"/>
    <w:rsid w:val="00BD0CC4"/>
    <w:rsid w:val="00BD1039"/>
    <w:rsid w:val="00BD10B7"/>
    <w:rsid w:val="00BD138A"/>
    <w:rsid w:val="00BD164A"/>
    <w:rsid w:val="00BD1BDD"/>
    <w:rsid w:val="00BD1D7D"/>
    <w:rsid w:val="00BD1E27"/>
    <w:rsid w:val="00BD2B4D"/>
    <w:rsid w:val="00BD2ECE"/>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40C"/>
    <w:rsid w:val="00BE377A"/>
    <w:rsid w:val="00BE37AE"/>
    <w:rsid w:val="00BE3B14"/>
    <w:rsid w:val="00BE3C65"/>
    <w:rsid w:val="00BE4222"/>
    <w:rsid w:val="00BE472D"/>
    <w:rsid w:val="00BE4C03"/>
    <w:rsid w:val="00BE72AB"/>
    <w:rsid w:val="00BE7F4D"/>
    <w:rsid w:val="00BF03C0"/>
    <w:rsid w:val="00BF0C76"/>
    <w:rsid w:val="00BF0EBF"/>
    <w:rsid w:val="00BF1534"/>
    <w:rsid w:val="00BF2021"/>
    <w:rsid w:val="00BF21D4"/>
    <w:rsid w:val="00BF2AE5"/>
    <w:rsid w:val="00BF2DDC"/>
    <w:rsid w:val="00BF32DE"/>
    <w:rsid w:val="00BF4400"/>
    <w:rsid w:val="00BF4477"/>
    <w:rsid w:val="00BF4A15"/>
    <w:rsid w:val="00BF4E0E"/>
    <w:rsid w:val="00BF4E27"/>
    <w:rsid w:val="00BF4F7C"/>
    <w:rsid w:val="00BF537B"/>
    <w:rsid w:val="00BF5901"/>
    <w:rsid w:val="00BF626A"/>
    <w:rsid w:val="00BF688E"/>
    <w:rsid w:val="00BF6D77"/>
    <w:rsid w:val="00BF704C"/>
    <w:rsid w:val="00BF739A"/>
    <w:rsid w:val="00BF7A89"/>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02"/>
    <w:rsid w:val="00C1110A"/>
    <w:rsid w:val="00C11689"/>
    <w:rsid w:val="00C12414"/>
    <w:rsid w:val="00C12ECB"/>
    <w:rsid w:val="00C148B2"/>
    <w:rsid w:val="00C14ABD"/>
    <w:rsid w:val="00C15170"/>
    <w:rsid w:val="00C151E0"/>
    <w:rsid w:val="00C155A8"/>
    <w:rsid w:val="00C159FD"/>
    <w:rsid w:val="00C15A89"/>
    <w:rsid w:val="00C15B31"/>
    <w:rsid w:val="00C15E11"/>
    <w:rsid w:val="00C15F66"/>
    <w:rsid w:val="00C1604F"/>
    <w:rsid w:val="00C166D4"/>
    <w:rsid w:val="00C168E5"/>
    <w:rsid w:val="00C1696D"/>
    <w:rsid w:val="00C16C90"/>
    <w:rsid w:val="00C17141"/>
    <w:rsid w:val="00C17AB5"/>
    <w:rsid w:val="00C20051"/>
    <w:rsid w:val="00C2021B"/>
    <w:rsid w:val="00C20B6C"/>
    <w:rsid w:val="00C20B86"/>
    <w:rsid w:val="00C21100"/>
    <w:rsid w:val="00C21145"/>
    <w:rsid w:val="00C215ED"/>
    <w:rsid w:val="00C21ECD"/>
    <w:rsid w:val="00C22350"/>
    <w:rsid w:val="00C2302B"/>
    <w:rsid w:val="00C23615"/>
    <w:rsid w:val="00C2397E"/>
    <w:rsid w:val="00C23A83"/>
    <w:rsid w:val="00C24381"/>
    <w:rsid w:val="00C24801"/>
    <w:rsid w:val="00C24C2E"/>
    <w:rsid w:val="00C24C7A"/>
    <w:rsid w:val="00C24D1B"/>
    <w:rsid w:val="00C24FFB"/>
    <w:rsid w:val="00C25CFF"/>
    <w:rsid w:val="00C25EA6"/>
    <w:rsid w:val="00C26164"/>
    <w:rsid w:val="00C261C1"/>
    <w:rsid w:val="00C26574"/>
    <w:rsid w:val="00C26DBF"/>
    <w:rsid w:val="00C27199"/>
    <w:rsid w:val="00C27204"/>
    <w:rsid w:val="00C27D39"/>
    <w:rsid w:val="00C304E9"/>
    <w:rsid w:val="00C30B0B"/>
    <w:rsid w:val="00C31320"/>
    <w:rsid w:val="00C316B4"/>
    <w:rsid w:val="00C31711"/>
    <w:rsid w:val="00C332D4"/>
    <w:rsid w:val="00C33A66"/>
    <w:rsid w:val="00C33E51"/>
    <w:rsid w:val="00C34C45"/>
    <w:rsid w:val="00C34C47"/>
    <w:rsid w:val="00C34FCE"/>
    <w:rsid w:val="00C35411"/>
    <w:rsid w:val="00C35EED"/>
    <w:rsid w:val="00C36B2C"/>
    <w:rsid w:val="00C36E5E"/>
    <w:rsid w:val="00C3701A"/>
    <w:rsid w:val="00C377E7"/>
    <w:rsid w:val="00C379EF"/>
    <w:rsid w:val="00C405C8"/>
    <w:rsid w:val="00C40C2F"/>
    <w:rsid w:val="00C41370"/>
    <w:rsid w:val="00C41510"/>
    <w:rsid w:val="00C415AC"/>
    <w:rsid w:val="00C4297A"/>
    <w:rsid w:val="00C43555"/>
    <w:rsid w:val="00C4360C"/>
    <w:rsid w:val="00C439B8"/>
    <w:rsid w:val="00C43A0B"/>
    <w:rsid w:val="00C43EDA"/>
    <w:rsid w:val="00C43FEC"/>
    <w:rsid w:val="00C4414C"/>
    <w:rsid w:val="00C44E62"/>
    <w:rsid w:val="00C45512"/>
    <w:rsid w:val="00C45B1A"/>
    <w:rsid w:val="00C4602B"/>
    <w:rsid w:val="00C46564"/>
    <w:rsid w:val="00C46BFA"/>
    <w:rsid w:val="00C46DDF"/>
    <w:rsid w:val="00C500A1"/>
    <w:rsid w:val="00C509B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4B8"/>
    <w:rsid w:val="00C618A8"/>
    <w:rsid w:val="00C6196C"/>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AB"/>
    <w:rsid w:val="00C70297"/>
    <w:rsid w:val="00C70718"/>
    <w:rsid w:val="00C70B25"/>
    <w:rsid w:val="00C71528"/>
    <w:rsid w:val="00C717E4"/>
    <w:rsid w:val="00C7191B"/>
    <w:rsid w:val="00C71F09"/>
    <w:rsid w:val="00C72588"/>
    <w:rsid w:val="00C727B9"/>
    <w:rsid w:val="00C72EC5"/>
    <w:rsid w:val="00C72F44"/>
    <w:rsid w:val="00C7306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467"/>
    <w:rsid w:val="00C84085"/>
    <w:rsid w:val="00C852DC"/>
    <w:rsid w:val="00C854A8"/>
    <w:rsid w:val="00C85677"/>
    <w:rsid w:val="00C85E17"/>
    <w:rsid w:val="00C868A7"/>
    <w:rsid w:val="00C86ABA"/>
    <w:rsid w:val="00C86BF7"/>
    <w:rsid w:val="00C86DE2"/>
    <w:rsid w:val="00C87164"/>
    <w:rsid w:val="00C8786A"/>
    <w:rsid w:val="00C87BBA"/>
    <w:rsid w:val="00C87BD0"/>
    <w:rsid w:val="00C905E5"/>
    <w:rsid w:val="00C90754"/>
    <w:rsid w:val="00C90B95"/>
    <w:rsid w:val="00C90BC4"/>
    <w:rsid w:val="00C90CA9"/>
    <w:rsid w:val="00C91802"/>
    <w:rsid w:val="00C91BC5"/>
    <w:rsid w:val="00C920F5"/>
    <w:rsid w:val="00C9220B"/>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24"/>
    <w:rsid w:val="00CA5685"/>
    <w:rsid w:val="00CA5ECB"/>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5ADA"/>
    <w:rsid w:val="00CB645B"/>
    <w:rsid w:val="00CB65DB"/>
    <w:rsid w:val="00CB6A93"/>
    <w:rsid w:val="00CB6C79"/>
    <w:rsid w:val="00CB70AF"/>
    <w:rsid w:val="00CB769D"/>
    <w:rsid w:val="00CB77C3"/>
    <w:rsid w:val="00CB7E9C"/>
    <w:rsid w:val="00CC0072"/>
    <w:rsid w:val="00CC027A"/>
    <w:rsid w:val="00CC0915"/>
    <w:rsid w:val="00CC1398"/>
    <w:rsid w:val="00CC1AF5"/>
    <w:rsid w:val="00CC1B74"/>
    <w:rsid w:val="00CC291E"/>
    <w:rsid w:val="00CC2D03"/>
    <w:rsid w:val="00CC2EB0"/>
    <w:rsid w:val="00CC4701"/>
    <w:rsid w:val="00CC5344"/>
    <w:rsid w:val="00CC5366"/>
    <w:rsid w:val="00CC56B4"/>
    <w:rsid w:val="00CC5E7E"/>
    <w:rsid w:val="00CC5F95"/>
    <w:rsid w:val="00CC642A"/>
    <w:rsid w:val="00CC6AC7"/>
    <w:rsid w:val="00CC7188"/>
    <w:rsid w:val="00CC733D"/>
    <w:rsid w:val="00CC7617"/>
    <w:rsid w:val="00CC7E0D"/>
    <w:rsid w:val="00CC7E97"/>
    <w:rsid w:val="00CD00EB"/>
    <w:rsid w:val="00CD1255"/>
    <w:rsid w:val="00CD1484"/>
    <w:rsid w:val="00CD1892"/>
    <w:rsid w:val="00CD1C01"/>
    <w:rsid w:val="00CD1D00"/>
    <w:rsid w:val="00CD2009"/>
    <w:rsid w:val="00CD27AC"/>
    <w:rsid w:val="00CD2A82"/>
    <w:rsid w:val="00CD2E3A"/>
    <w:rsid w:val="00CD3CAB"/>
    <w:rsid w:val="00CD44FF"/>
    <w:rsid w:val="00CD46A7"/>
    <w:rsid w:val="00CD47BC"/>
    <w:rsid w:val="00CD4DA8"/>
    <w:rsid w:val="00CD4E50"/>
    <w:rsid w:val="00CD57CB"/>
    <w:rsid w:val="00CD64E1"/>
    <w:rsid w:val="00CD66BA"/>
    <w:rsid w:val="00CD68D5"/>
    <w:rsid w:val="00CD699D"/>
    <w:rsid w:val="00CD6BA3"/>
    <w:rsid w:val="00CD70DB"/>
    <w:rsid w:val="00CD7544"/>
    <w:rsid w:val="00CD7704"/>
    <w:rsid w:val="00CD78D4"/>
    <w:rsid w:val="00CE0697"/>
    <w:rsid w:val="00CE11CF"/>
    <w:rsid w:val="00CE14CB"/>
    <w:rsid w:val="00CE2E2E"/>
    <w:rsid w:val="00CE3A51"/>
    <w:rsid w:val="00CE41F9"/>
    <w:rsid w:val="00CE5462"/>
    <w:rsid w:val="00CE59F6"/>
    <w:rsid w:val="00CE66CD"/>
    <w:rsid w:val="00CE6BA9"/>
    <w:rsid w:val="00CE71C3"/>
    <w:rsid w:val="00CE727A"/>
    <w:rsid w:val="00CF029C"/>
    <w:rsid w:val="00CF06C8"/>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82B"/>
    <w:rsid w:val="00D02A80"/>
    <w:rsid w:val="00D0352D"/>
    <w:rsid w:val="00D038DC"/>
    <w:rsid w:val="00D04F01"/>
    <w:rsid w:val="00D04F8B"/>
    <w:rsid w:val="00D052F1"/>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FDC"/>
    <w:rsid w:val="00D130C0"/>
    <w:rsid w:val="00D1343A"/>
    <w:rsid w:val="00D13D50"/>
    <w:rsid w:val="00D14101"/>
    <w:rsid w:val="00D144D8"/>
    <w:rsid w:val="00D14919"/>
    <w:rsid w:val="00D14E25"/>
    <w:rsid w:val="00D15470"/>
    <w:rsid w:val="00D159CF"/>
    <w:rsid w:val="00D15AE3"/>
    <w:rsid w:val="00D160C4"/>
    <w:rsid w:val="00D165D8"/>
    <w:rsid w:val="00D16DC1"/>
    <w:rsid w:val="00D17089"/>
    <w:rsid w:val="00D1724E"/>
    <w:rsid w:val="00D174CD"/>
    <w:rsid w:val="00D17C26"/>
    <w:rsid w:val="00D17E08"/>
    <w:rsid w:val="00D2030F"/>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7E1"/>
    <w:rsid w:val="00D31B07"/>
    <w:rsid w:val="00D31B9D"/>
    <w:rsid w:val="00D3272E"/>
    <w:rsid w:val="00D32D38"/>
    <w:rsid w:val="00D32FA0"/>
    <w:rsid w:val="00D33112"/>
    <w:rsid w:val="00D331CB"/>
    <w:rsid w:val="00D3451E"/>
    <w:rsid w:val="00D3497A"/>
    <w:rsid w:val="00D357C4"/>
    <w:rsid w:val="00D35F2F"/>
    <w:rsid w:val="00D35FC6"/>
    <w:rsid w:val="00D36BB8"/>
    <w:rsid w:val="00D3756D"/>
    <w:rsid w:val="00D377D4"/>
    <w:rsid w:val="00D401A1"/>
    <w:rsid w:val="00D40217"/>
    <w:rsid w:val="00D40385"/>
    <w:rsid w:val="00D404CE"/>
    <w:rsid w:val="00D40E8F"/>
    <w:rsid w:val="00D410E0"/>
    <w:rsid w:val="00D412BF"/>
    <w:rsid w:val="00D415B8"/>
    <w:rsid w:val="00D417C6"/>
    <w:rsid w:val="00D417D0"/>
    <w:rsid w:val="00D42B0C"/>
    <w:rsid w:val="00D42D6E"/>
    <w:rsid w:val="00D43DEF"/>
    <w:rsid w:val="00D44259"/>
    <w:rsid w:val="00D45C61"/>
    <w:rsid w:val="00D45DDC"/>
    <w:rsid w:val="00D5064C"/>
    <w:rsid w:val="00D50C94"/>
    <w:rsid w:val="00D511E7"/>
    <w:rsid w:val="00D51372"/>
    <w:rsid w:val="00D517ED"/>
    <w:rsid w:val="00D51F4D"/>
    <w:rsid w:val="00D5251C"/>
    <w:rsid w:val="00D52F56"/>
    <w:rsid w:val="00D539DA"/>
    <w:rsid w:val="00D5496E"/>
    <w:rsid w:val="00D54A50"/>
    <w:rsid w:val="00D54FFD"/>
    <w:rsid w:val="00D5552C"/>
    <w:rsid w:val="00D5556D"/>
    <w:rsid w:val="00D55C34"/>
    <w:rsid w:val="00D55C81"/>
    <w:rsid w:val="00D5674B"/>
    <w:rsid w:val="00D56B56"/>
    <w:rsid w:val="00D56BF5"/>
    <w:rsid w:val="00D56E04"/>
    <w:rsid w:val="00D56F99"/>
    <w:rsid w:val="00D5743F"/>
    <w:rsid w:val="00D57F1F"/>
    <w:rsid w:val="00D60065"/>
    <w:rsid w:val="00D60270"/>
    <w:rsid w:val="00D605C2"/>
    <w:rsid w:val="00D60733"/>
    <w:rsid w:val="00D60C60"/>
    <w:rsid w:val="00D61779"/>
    <w:rsid w:val="00D61D97"/>
    <w:rsid w:val="00D61E1D"/>
    <w:rsid w:val="00D6299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6C"/>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C7"/>
    <w:rsid w:val="00D77AF6"/>
    <w:rsid w:val="00D804C5"/>
    <w:rsid w:val="00D815E6"/>
    <w:rsid w:val="00D81A28"/>
    <w:rsid w:val="00D81BDE"/>
    <w:rsid w:val="00D8201D"/>
    <w:rsid w:val="00D8276E"/>
    <w:rsid w:val="00D82B00"/>
    <w:rsid w:val="00D82B04"/>
    <w:rsid w:val="00D82BE4"/>
    <w:rsid w:val="00D82E05"/>
    <w:rsid w:val="00D83C0D"/>
    <w:rsid w:val="00D83C80"/>
    <w:rsid w:val="00D83F5B"/>
    <w:rsid w:val="00D84ABC"/>
    <w:rsid w:val="00D85FDE"/>
    <w:rsid w:val="00D8665E"/>
    <w:rsid w:val="00D869C1"/>
    <w:rsid w:val="00D86EC6"/>
    <w:rsid w:val="00D87418"/>
    <w:rsid w:val="00D87A39"/>
    <w:rsid w:val="00D87D60"/>
    <w:rsid w:val="00D87EB0"/>
    <w:rsid w:val="00D87FE6"/>
    <w:rsid w:val="00D9026E"/>
    <w:rsid w:val="00D90BC3"/>
    <w:rsid w:val="00D90C93"/>
    <w:rsid w:val="00D90DB9"/>
    <w:rsid w:val="00D91001"/>
    <w:rsid w:val="00D910FF"/>
    <w:rsid w:val="00D91337"/>
    <w:rsid w:val="00D915C9"/>
    <w:rsid w:val="00D918DA"/>
    <w:rsid w:val="00D9198F"/>
    <w:rsid w:val="00D92078"/>
    <w:rsid w:val="00D926F0"/>
    <w:rsid w:val="00D92A87"/>
    <w:rsid w:val="00D92EDE"/>
    <w:rsid w:val="00D9384E"/>
    <w:rsid w:val="00D93AEE"/>
    <w:rsid w:val="00D9413E"/>
    <w:rsid w:val="00D94C8D"/>
    <w:rsid w:val="00D95F88"/>
    <w:rsid w:val="00D96698"/>
    <w:rsid w:val="00D96876"/>
    <w:rsid w:val="00D96940"/>
    <w:rsid w:val="00D96B12"/>
    <w:rsid w:val="00D96F59"/>
    <w:rsid w:val="00D9726C"/>
    <w:rsid w:val="00DA0175"/>
    <w:rsid w:val="00DA0514"/>
    <w:rsid w:val="00DA099C"/>
    <w:rsid w:val="00DA0F18"/>
    <w:rsid w:val="00DA1B6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06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CF7"/>
    <w:rsid w:val="00DC7608"/>
    <w:rsid w:val="00DC761E"/>
    <w:rsid w:val="00DC7B3B"/>
    <w:rsid w:val="00DC7CFC"/>
    <w:rsid w:val="00DD09F2"/>
    <w:rsid w:val="00DD0DEE"/>
    <w:rsid w:val="00DD1205"/>
    <w:rsid w:val="00DD1633"/>
    <w:rsid w:val="00DD17A0"/>
    <w:rsid w:val="00DD1B97"/>
    <w:rsid w:val="00DD1ED9"/>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5F2C"/>
    <w:rsid w:val="00DD6257"/>
    <w:rsid w:val="00DD6CE2"/>
    <w:rsid w:val="00DD720D"/>
    <w:rsid w:val="00DE0229"/>
    <w:rsid w:val="00DE04E0"/>
    <w:rsid w:val="00DE12F1"/>
    <w:rsid w:val="00DE1A9D"/>
    <w:rsid w:val="00DE1CB1"/>
    <w:rsid w:val="00DE1ED4"/>
    <w:rsid w:val="00DE2073"/>
    <w:rsid w:val="00DE2E5B"/>
    <w:rsid w:val="00DE30AC"/>
    <w:rsid w:val="00DE38D1"/>
    <w:rsid w:val="00DE3924"/>
    <w:rsid w:val="00DE4106"/>
    <w:rsid w:val="00DE466B"/>
    <w:rsid w:val="00DE48F4"/>
    <w:rsid w:val="00DE5563"/>
    <w:rsid w:val="00DE5C19"/>
    <w:rsid w:val="00DE5C43"/>
    <w:rsid w:val="00DE5D48"/>
    <w:rsid w:val="00DE6E4D"/>
    <w:rsid w:val="00DE7498"/>
    <w:rsid w:val="00DE75EF"/>
    <w:rsid w:val="00DE7611"/>
    <w:rsid w:val="00DE7D19"/>
    <w:rsid w:val="00DF05A0"/>
    <w:rsid w:val="00DF1162"/>
    <w:rsid w:val="00DF1BA8"/>
    <w:rsid w:val="00DF1DFE"/>
    <w:rsid w:val="00DF1F63"/>
    <w:rsid w:val="00DF2509"/>
    <w:rsid w:val="00DF28F2"/>
    <w:rsid w:val="00DF2BFF"/>
    <w:rsid w:val="00DF2FE8"/>
    <w:rsid w:val="00DF339B"/>
    <w:rsid w:val="00DF3798"/>
    <w:rsid w:val="00DF393E"/>
    <w:rsid w:val="00DF4FF1"/>
    <w:rsid w:val="00DF56A3"/>
    <w:rsid w:val="00DF5B33"/>
    <w:rsid w:val="00DF6754"/>
    <w:rsid w:val="00DF6FD2"/>
    <w:rsid w:val="00DF7164"/>
    <w:rsid w:val="00DF72EF"/>
    <w:rsid w:val="00DF743D"/>
    <w:rsid w:val="00DF752F"/>
    <w:rsid w:val="00DF7724"/>
    <w:rsid w:val="00E000D8"/>
    <w:rsid w:val="00E00C1E"/>
    <w:rsid w:val="00E00F5F"/>
    <w:rsid w:val="00E010E6"/>
    <w:rsid w:val="00E01377"/>
    <w:rsid w:val="00E014E7"/>
    <w:rsid w:val="00E021E5"/>
    <w:rsid w:val="00E0232F"/>
    <w:rsid w:val="00E0242A"/>
    <w:rsid w:val="00E026A9"/>
    <w:rsid w:val="00E033B9"/>
    <w:rsid w:val="00E0356F"/>
    <w:rsid w:val="00E03B42"/>
    <w:rsid w:val="00E03C10"/>
    <w:rsid w:val="00E0479F"/>
    <w:rsid w:val="00E04801"/>
    <w:rsid w:val="00E04816"/>
    <w:rsid w:val="00E04982"/>
    <w:rsid w:val="00E04D6A"/>
    <w:rsid w:val="00E057BD"/>
    <w:rsid w:val="00E058DB"/>
    <w:rsid w:val="00E05950"/>
    <w:rsid w:val="00E05CD4"/>
    <w:rsid w:val="00E05D4A"/>
    <w:rsid w:val="00E05DE8"/>
    <w:rsid w:val="00E06100"/>
    <w:rsid w:val="00E0614E"/>
    <w:rsid w:val="00E06E97"/>
    <w:rsid w:val="00E07B8F"/>
    <w:rsid w:val="00E07E2C"/>
    <w:rsid w:val="00E105CE"/>
    <w:rsid w:val="00E10712"/>
    <w:rsid w:val="00E10DD1"/>
    <w:rsid w:val="00E10FDC"/>
    <w:rsid w:val="00E1224C"/>
    <w:rsid w:val="00E1254C"/>
    <w:rsid w:val="00E12BDF"/>
    <w:rsid w:val="00E13326"/>
    <w:rsid w:val="00E138A7"/>
    <w:rsid w:val="00E13D07"/>
    <w:rsid w:val="00E13D65"/>
    <w:rsid w:val="00E14356"/>
    <w:rsid w:val="00E14403"/>
    <w:rsid w:val="00E14961"/>
    <w:rsid w:val="00E14D76"/>
    <w:rsid w:val="00E15183"/>
    <w:rsid w:val="00E15D6C"/>
    <w:rsid w:val="00E1720B"/>
    <w:rsid w:val="00E2007F"/>
    <w:rsid w:val="00E203DE"/>
    <w:rsid w:val="00E20CE7"/>
    <w:rsid w:val="00E217B1"/>
    <w:rsid w:val="00E222FA"/>
    <w:rsid w:val="00E229CE"/>
    <w:rsid w:val="00E22B4A"/>
    <w:rsid w:val="00E2449B"/>
    <w:rsid w:val="00E24665"/>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E"/>
    <w:rsid w:val="00E3394F"/>
    <w:rsid w:val="00E33A0B"/>
    <w:rsid w:val="00E34A2F"/>
    <w:rsid w:val="00E35A45"/>
    <w:rsid w:val="00E35F7F"/>
    <w:rsid w:val="00E36392"/>
    <w:rsid w:val="00E36B32"/>
    <w:rsid w:val="00E37999"/>
    <w:rsid w:val="00E37A6F"/>
    <w:rsid w:val="00E37A9C"/>
    <w:rsid w:val="00E40222"/>
    <w:rsid w:val="00E40406"/>
    <w:rsid w:val="00E405FD"/>
    <w:rsid w:val="00E4082B"/>
    <w:rsid w:val="00E40835"/>
    <w:rsid w:val="00E408EC"/>
    <w:rsid w:val="00E409B5"/>
    <w:rsid w:val="00E40BCB"/>
    <w:rsid w:val="00E4102A"/>
    <w:rsid w:val="00E4208F"/>
    <w:rsid w:val="00E42E94"/>
    <w:rsid w:val="00E43006"/>
    <w:rsid w:val="00E4312A"/>
    <w:rsid w:val="00E4331B"/>
    <w:rsid w:val="00E43551"/>
    <w:rsid w:val="00E437FA"/>
    <w:rsid w:val="00E4471E"/>
    <w:rsid w:val="00E44C78"/>
    <w:rsid w:val="00E45A2C"/>
    <w:rsid w:val="00E4678E"/>
    <w:rsid w:val="00E46A6B"/>
    <w:rsid w:val="00E46A9C"/>
    <w:rsid w:val="00E47DB1"/>
    <w:rsid w:val="00E506F3"/>
    <w:rsid w:val="00E50BDD"/>
    <w:rsid w:val="00E510CF"/>
    <w:rsid w:val="00E513D7"/>
    <w:rsid w:val="00E519FE"/>
    <w:rsid w:val="00E5206C"/>
    <w:rsid w:val="00E52AAB"/>
    <w:rsid w:val="00E5448E"/>
    <w:rsid w:val="00E54DAF"/>
    <w:rsid w:val="00E54E0D"/>
    <w:rsid w:val="00E54E91"/>
    <w:rsid w:val="00E55247"/>
    <w:rsid w:val="00E558E5"/>
    <w:rsid w:val="00E55B3C"/>
    <w:rsid w:val="00E56795"/>
    <w:rsid w:val="00E57932"/>
    <w:rsid w:val="00E606C4"/>
    <w:rsid w:val="00E60811"/>
    <w:rsid w:val="00E60AB8"/>
    <w:rsid w:val="00E6103E"/>
    <w:rsid w:val="00E6185F"/>
    <w:rsid w:val="00E61D32"/>
    <w:rsid w:val="00E620FB"/>
    <w:rsid w:val="00E63C60"/>
    <w:rsid w:val="00E64050"/>
    <w:rsid w:val="00E6411B"/>
    <w:rsid w:val="00E64B7B"/>
    <w:rsid w:val="00E64E1F"/>
    <w:rsid w:val="00E6514D"/>
    <w:rsid w:val="00E65161"/>
    <w:rsid w:val="00E652C9"/>
    <w:rsid w:val="00E6593B"/>
    <w:rsid w:val="00E65D74"/>
    <w:rsid w:val="00E65DBE"/>
    <w:rsid w:val="00E66E11"/>
    <w:rsid w:val="00E672C6"/>
    <w:rsid w:val="00E70192"/>
    <w:rsid w:val="00E70C55"/>
    <w:rsid w:val="00E70CDA"/>
    <w:rsid w:val="00E70E34"/>
    <w:rsid w:val="00E71809"/>
    <w:rsid w:val="00E71D1E"/>
    <w:rsid w:val="00E722E0"/>
    <w:rsid w:val="00E725F7"/>
    <w:rsid w:val="00E726F2"/>
    <w:rsid w:val="00E728E2"/>
    <w:rsid w:val="00E728F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DE3"/>
    <w:rsid w:val="00E801C7"/>
    <w:rsid w:val="00E8062F"/>
    <w:rsid w:val="00E80AF8"/>
    <w:rsid w:val="00E80BED"/>
    <w:rsid w:val="00E816E8"/>
    <w:rsid w:val="00E82592"/>
    <w:rsid w:val="00E825ED"/>
    <w:rsid w:val="00E82614"/>
    <w:rsid w:val="00E827BB"/>
    <w:rsid w:val="00E82D24"/>
    <w:rsid w:val="00E8357D"/>
    <w:rsid w:val="00E83C4F"/>
    <w:rsid w:val="00E84212"/>
    <w:rsid w:val="00E848DD"/>
    <w:rsid w:val="00E84C04"/>
    <w:rsid w:val="00E84E0A"/>
    <w:rsid w:val="00E84F72"/>
    <w:rsid w:val="00E856A2"/>
    <w:rsid w:val="00E8572B"/>
    <w:rsid w:val="00E8575B"/>
    <w:rsid w:val="00E85929"/>
    <w:rsid w:val="00E85AD2"/>
    <w:rsid w:val="00E86976"/>
    <w:rsid w:val="00E875D3"/>
    <w:rsid w:val="00E87A37"/>
    <w:rsid w:val="00E87CB4"/>
    <w:rsid w:val="00E87CF7"/>
    <w:rsid w:val="00E9036E"/>
    <w:rsid w:val="00E9078A"/>
    <w:rsid w:val="00E912FD"/>
    <w:rsid w:val="00E91B26"/>
    <w:rsid w:val="00E92C6E"/>
    <w:rsid w:val="00E92D0B"/>
    <w:rsid w:val="00E92FFF"/>
    <w:rsid w:val="00E93195"/>
    <w:rsid w:val="00E9391C"/>
    <w:rsid w:val="00E93D05"/>
    <w:rsid w:val="00E951D8"/>
    <w:rsid w:val="00E95C2A"/>
    <w:rsid w:val="00E95C86"/>
    <w:rsid w:val="00E961CB"/>
    <w:rsid w:val="00E963BC"/>
    <w:rsid w:val="00E966A6"/>
    <w:rsid w:val="00E96E91"/>
    <w:rsid w:val="00E96ECA"/>
    <w:rsid w:val="00E9751D"/>
    <w:rsid w:val="00E97DC6"/>
    <w:rsid w:val="00E97F7A"/>
    <w:rsid w:val="00EA0010"/>
    <w:rsid w:val="00EA0143"/>
    <w:rsid w:val="00EA030D"/>
    <w:rsid w:val="00EA089B"/>
    <w:rsid w:val="00EA1ACC"/>
    <w:rsid w:val="00EA23E8"/>
    <w:rsid w:val="00EA2E21"/>
    <w:rsid w:val="00EA2EAA"/>
    <w:rsid w:val="00EA380C"/>
    <w:rsid w:val="00EA3AC5"/>
    <w:rsid w:val="00EA5007"/>
    <w:rsid w:val="00EA613D"/>
    <w:rsid w:val="00EA6744"/>
    <w:rsid w:val="00EA7308"/>
    <w:rsid w:val="00EA7474"/>
    <w:rsid w:val="00EA7C70"/>
    <w:rsid w:val="00EB0681"/>
    <w:rsid w:val="00EB0831"/>
    <w:rsid w:val="00EB089C"/>
    <w:rsid w:val="00EB0AA8"/>
    <w:rsid w:val="00EB0B65"/>
    <w:rsid w:val="00EB0C65"/>
    <w:rsid w:val="00EB1624"/>
    <w:rsid w:val="00EB169F"/>
    <w:rsid w:val="00EB2352"/>
    <w:rsid w:val="00EB2635"/>
    <w:rsid w:val="00EB2961"/>
    <w:rsid w:val="00EB2E1A"/>
    <w:rsid w:val="00EB2F8A"/>
    <w:rsid w:val="00EB3268"/>
    <w:rsid w:val="00EB3298"/>
    <w:rsid w:val="00EB3939"/>
    <w:rsid w:val="00EB3CE6"/>
    <w:rsid w:val="00EB3E92"/>
    <w:rsid w:val="00EB54AB"/>
    <w:rsid w:val="00EB5CBC"/>
    <w:rsid w:val="00EB605F"/>
    <w:rsid w:val="00EB6257"/>
    <w:rsid w:val="00EB68E6"/>
    <w:rsid w:val="00EB6AE9"/>
    <w:rsid w:val="00EB6B2D"/>
    <w:rsid w:val="00EB71C9"/>
    <w:rsid w:val="00EB763E"/>
    <w:rsid w:val="00EB7659"/>
    <w:rsid w:val="00EB7B67"/>
    <w:rsid w:val="00EC07F1"/>
    <w:rsid w:val="00EC1E8A"/>
    <w:rsid w:val="00EC2FF3"/>
    <w:rsid w:val="00EC328C"/>
    <w:rsid w:val="00EC32F5"/>
    <w:rsid w:val="00EC3852"/>
    <w:rsid w:val="00EC4528"/>
    <w:rsid w:val="00EC5241"/>
    <w:rsid w:val="00EC5255"/>
    <w:rsid w:val="00EC5817"/>
    <w:rsid w:val="00EC594C"/>
    <w:rsid w:val="00EC5C7B"/>
    <w:rsid w:val="00EC66AA"/>
    <w:rsid w:val="00EC6B30"/>
    <w:rsid w:val="00EC6B8F"/>
    <w:rsid w:val="00EC7154"/>
    <w:rsid w:val="00EC7371"/>
    <w:rsid w:val="00EC73F5"/>
    <w:rsid w:val="00EC7894"/>
    <w:rsid w:val="00EC7A28"/>
    <w:rsid w:val="00EC7B48"/>
    <w:rsid w:val="00ED010E"/>
    <w:rsid w:val="00ED0151"/>
    <w:rsid w:val="00ED0257"/>
    <w:rsid w:val="00ED071B"/>
    <w:rsid w:val="00ED085C"/>
    <w:rsid w:val="00ED0FBF"/>
    <w:rsid w:val="00ED1349"/>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C24"/>
    <w:rsid w:val="00EE499F"/>
    <w:rsid w:val="00EE56E2"/>
    <w:rsid w:val="00EE5A42"/>
    <w:rsid w:val="00EE5BB6"/>
    <w:rsid w:val="00EE5FCD"/>
    <w:rsid w:val="00EE63BF"/>
    <w:rsid w:val="00EE6D45"/>
    <w:rsid w:val="00EE6E89"/>
    <w:rsid w:val="00EF0D4B"/>
    <w:rsid w:val="00EF0FE6"/>
    <w:rsid w:val="00EF1130"/>
    <w:rsid w:val="00EF1432"/>
    <w:rsid w:val="00EF1511"/>
    <w:rsid w:val="00EF1F01"/>
    <w:rsid w:val="00EF254D"/>
    <w:rsid w:val="00EF2AE0"/>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4CF"/>
    <w:rsid w:val="00EF771E"/>
    <w:rsid w:val="00F0058A"/>
    <w:rsid w:val="00F00630"/>
    <w:rsid w:val="00F00922"/>
    <w:rsid w:val="00F00924"/>
    <w:rsid w:val="00F0187E"/>
    <w:rsid w:val="00F01BE6"/>
    <w:rsid w:val="00F01F75"/>
    <w:rsid w:val="00F0217A"/>
    <w:rsid w:val="00F026D3"/>
    <w:rsid w:val="00F027E8"/>
    <w:rsid w:val="00F0307D"/>
    <w:rsid w:val="00F03395"/>
    <w:rsid w:val="00F034E6"/>
    <w:rsid w:val="00F03BA9"/>
    <w:rsid w:val="00F03E4C"/>
    <w:rsid w:val="00F04966"/>
    <w:rsid w:val="00F04B50"/>
    <w:rsid w:val="00F04D19"/>
    <w:rsid w:val="00F04FF8"/>
    <w:rsid w:val="00F050A3"/>
    <w:rsid w:val="00F051C1"/>
    <w:rsid w:val="00F05B1A"/>
    <w:rsid w:val="00F06340"/>
    <w:rsid w:val="00F06505"/>
    <w:rsid w:val="00F0665D"/>
    <w:rsid w:val="00F06D42"/>
    <w:rsid w:val="00F06D97"/>
    <w:rsid w:val="00F07134"/>
    <w:rsid w:val="00F0724D"/>
    <w:rsid w:val="00F07378"/>
    <w:rsid w:val="00F10B81"/>
    <w:rsid w:val="00F10BC9"/>
    <w:rsid w:val="00F11078"/>
    <w:rsid w:val="00F113C9"/>
    <w:rsid w:val="00F11C01"/>
    <w:rsid w:val="00F11D80"/>
    <w:rsid w:val="00F1360D"/>
    <w:rsid w:val="00F14A14"/>
    <w:rsid w:val="00F14B08"/>
    <w:rsid w:val="00F14B4B"/>
    <w:rsid w:val="00F14CD1"/>
    <w:rsid w:val="00F15115"/>
    <w:rsid w:val="00F1569B"/>
    <w:rsid w:val="00F15A85"/>
    <w:rsid w:val="00F15C81"/>
    <w:rsid w:val="00F15D8C"/>
    <w:rsid w:val="00F15F18"/>
    <w:rsid w:val="00F16B86"/>
    <w:rsid w:val="00F16C2E"/>
    <w:rsid w:val="00F16E1A"/>
    <w:rsid w:val="00F16F92"/>
    <w:rsid w:val="00F17C3E"/>
    <w:rsid w:val="00F20197"/>
    <w:rsid w:val="00F20369"/>
    <w:rsid w:val="00F20607"/>
    <w:rsid w:val="00F208BB"/>
    <w:rsid w:val="00F20C9E"/>
    <w:rsid w:val="00F213D8"/>
    <w:rsid w:val="00F216F4"/>
    <w:rsid w:val="00F21A5D"/>
    <w:rsid w:val="00F21C13"/>
    <w:rsid w:val="00F22362"/>
    <w:rsid w:val="00F22796"/>
    <w:rsid w:val="00F2296A"/>
    <w:rsid w:val="00F234A4"/>
    <w:rsid w:val="00F2363A"/>
    <w:rsid w:val="00F238F7"/>
    <w:rsid w:val="00F23BA0"/>
    <w:rsid w:val="00F23E07"/>
    <w:rsid w:val="00F2420C"/>
    <w:rsid w:val="00F24356"/>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58E"/>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7FD"/>
    <w:rsid w:val="00F419B8"/>
    <w:rsid w:val="00F41C0F"/>
    <w:rsid w:val="00F42856"/>
    <w:rsid w:val="00F42ED7"/>
    <w:rsid w:val="00F433EB"/>
    <w:rsid w:val="00F43777"/>
    <w:rsid w:val="00F43CF2"/>
    <w:rsid w:val="00F4482B"/>
    <w:rsid w:val="00F44F02"/>
    <w:rsid w:val="00F45039"/>
    <w:rsid w:val="00F4526B"/>
    <w:rsid w:val="00F45298"/>
    <w:rsid w:val="00F45442"/>
    <w:rsid w:val="00F45BD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545"/>
    <w:rsid w:val="00F51A82"/>
    <w:rsid w:val="00F51B78"/>
    <w:rsid w:val="00F51BDD"/>
    <w:rsid w:val="00F52065"/>
    <w:rsid w:val="00F521CE"/>
    <w:rsid w:val="00F5253E"/>
    <w:rsid w:val="00F5254B"/>
    <w:rsid w:val="00F52CB7"/>
    <w:rsid w:val="00F532A3"/>
    <w:rsid w:val="00F53A44"/>
    <w:rsid w:val="00F54B6D"/>
    <w:rsid w:val="00F54E5E"/>
    <w:rsid w:val="00F551DB"/>
    <w:rsid w:val="00F55810"/>
    <w:rsid w:val="00F559BE"/>
    <w:rsid w:val="00F56F7E"/>
    <w:rsid w:val="00F56FEF"/>
    <w:rsid w:val="00F57521"/>
    <w:rsid w:val="00F60938"/>
    <w:rsid w:val="00F60C7E"/>
    <w:rsid w:val="00F60D16"/>
    <w:rsid w:val="00F60E0A"/>
    <w:rsid w:val="00F61606"/>
    <w:rsid w:val="00F61918"/>
    <w:rsid w:val="00F62151"/>
    <w:rsid w:val="00F62BA9"/>
    <w:rsid w:val="00F62CA8"/>
    <w:rsid w:val="00F62F92"/>
    <w:rsid w:val="00F630B4"/>
    <w:rsid w:val="00F633F4"/>
    <w:rsid w:val="00F635EF"/>
    <w:rsid w:val="00F63BF4"/>
    <w:rsid w:val="00F63C55"/>
    <w:rsid w:val="00F63C60"/>
    <w:rsid w:val="00F64991"/>
    <w:rsid w:val="00F64C5D"/>
    <w:rsid w:val="00F65425"/>
    <w:rsid w:val="00F65BA9"/>
    <w:rsid w:val="00F65BC8"/>
    <w:rsid w:val="00F65CBB"/>
    <w:rsid w:val="00F65EEA"/>
    <w:rsid w:val="00F66205"/>
    <w:rsid w:val="00F6630F"/>
    <w:rsid w:val="00F66419"/>
    <w:rsid w:val="00F66E25"/>
    <w:rsid w:val="00F67079"/>
    <w:rsid w:val="00F67B58"/>
    <w:rsid w:val="00F67E81"/>
    <w:rsid w:val="00F7044B"/>
    <w:rsid w:val="00F70FD4"/>
    <w:rsid w:val="00F71342"/>
    <w:rsid w:val="00F7136A"/>
    <w:rsid w:val="00F71C68"/>
    <w:rsid w:val="00F724E2"/>
    <w:rsid w:val="00F74103"/>
    <w:rsid w:val="00F7410A"/>
    <w:rsid w:val="00F745A4"/>
    <w:rsid w:val="00F74C0C"/>
    <w:rsid w:val="00F758E1"/>
    <w:rsid w:val="00F7595D"/>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C82"/>
    <w:rsid w:val="00F9003E"/>
    <w:rsid w:val="00F90C1F"/>
    <w:rsid w:val="00F90F05"/>
    <w:rsid w:val="00F912D9"/>
    <w:rsid w:val="00F91A44"/>
    <w:rsid w:val="00F91BFA"/>
    <w:rsid w:val="00F91F8F"/>
    <w:rsid w:val="00F9217B"/>
    <w:rsid w:val="00F934DD"/>
    <w:rsid w:val="00F9358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8E5"/>
    <w:rsid w:val="00FA775E"/>
    <w:rsid w:val="00FA7792"/>
    <w:rsid w:val="00FA7AA8"/>
    <w:rsid w:val="00FA7F1D"/>
    <w:rsid w:val="00FB011C"/>
    <w:rsid w:val="00FB0D60"/>
    <w:rsid w:val="00FB18FD"/>
    <w:rsid w:val="00FB2767"/>
    <w:rsid w:val="00FB2BF5"/>
    <w:rsid w:val="00FB2F8E"/>
    <w:rsid w:val="00FB30C3"/>
    <w:rsid w:val="00FB39B0"/>
    <w:rsid w:val="00FB5138"/>
    <w:rsid w:val="00FB547F"/>
    <w:rsid w:val="00FB5670"/>
    <w:rsid w:val="00FB5A71"/>
    <w:rsid w:val="00FB63F6"/>
    <w:rsid w:val="00FB7823"/>
    <w:rsid w:val="00FC05B2"/>
    <w:rsid w:val="00FC08B3"/>
    <w:rsid w:val="00FC09D7"/>
    <w:rsid w:val="00FC0ABE"/>
    <w:rsid w:val="00FC1269"/>
    <w:rsid w:val="00FC1AE4"/>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41"/>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7F4"/>
    <w:rsid w:val="00FF2A7B"/>
    <w:rsid w:val="00FF3D2B"/>
    <w:rsid w:val="00FF49B4"/>
    <w:rsid w:val="00FF49F4"/>
    <w:rsid w:val="00FF5C6A"/>
    <w:rsid w:val="00FF5DE4"/>
    <w:rsid w:val="00FF651D"/>
    <w:rsid w:val="00FF6843"/>
    <w:rsid w:val="00FF6C25"/>
    <w:rsid w:val="010651D9"/>
    <w:rsid w:val="011F6449"/>
    <w:rsid w:val="01236AFB"/>
    <w:rsid w:val="019F7441"/>
    <w:rsid w:val="01A81443"/>
    <w:rsid w:val="01B37585"/>
    <w:rsid w:val="01D55165"/>
    <w:rsid w:val="01DF6BF8"/>
    <w:rsid w:val="01EC2C57"/>
    <w:rsid w:val="01F144D4"/>
    <w:rsid w:val="025F0711"/>
    <w:rsid w:val="026B2E25"/>
    <w:rsid w:val="02824D4D"/>
    <w:rsid w:val="02DC4B10"/>
    <w:rsid w:val="02DD76CE"/>
    <w:rsid w:val="02F36323"/>
    <w:rsid w:val="02F5619C"/>
    <w:rsid w:val="0326446A"/>
    <w:rsid w:val="032D5555"/>
    <w:rsid w:val="036634D2"/>
    <w:rsid w:val="037D141B"/>
    <w:rsid w:val="03DD35E4"/>
    <w:rsid w:val="04076900"/>
    <w:rsid w:val="041A5A3B"/>
    <w:rsid w:val="042311BA"/>
    <w:rsid w:val="042B157A"/>
    <w:rsid w:val="048F763B"/>
    <w:rsid w:val="049F330E"/>
    <w:rsid w:val="04AA775C"/>
    <w:rsid w:val="04AF1889"/>
    <w:rsid w:val="04F35535"/>
    <w:rsid w:val="04F66F48"/>
    <w:rsid w:val="05251E14"/>
    <w:rsid w:val="05A16594"/>
    <w:rsid w:val="05A7762D"/>
    <w:rsid w:val="060E5941"/>
    <w:rsid w:val="06110FAF"/>
    <w:rsid w:val="06493CA7"/>
    <w:rsid w:val="065A6178"/>
    <w:rsid w:val="066F1CF3"/>
    <w:rsid w:val="06930BB8"/>
    <w:rsid w:val="07245D42"/>
    <w:rsid w:val="07264C62"/>
    <w:rsid w:val="072E6E8C"/>
    <w:rsid w:val="0779354C"/>
    <w:rsid w:val="07A14244"/>
    <w:rsid w:val="07FA196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C619C"/>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B4D17"/>
    <w:rsid w:val="0E6D5D79"/>
    <w:rsid w:val="0E7024A6"/>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A4FA0"/>
    <w:rsid w:val="10C26171"/>
    <w:rsid w:val="10F33360"/>
    <w:rsid w:val="10FC16EA"/>
    <w:rsid w:val="110F1D40"/>
    <w:rsid w:val="11266F33"/>
    <w:rsid w:val="118963A1"/>
    <w:rsid w:val="11C6522A"/>
    <w:rsid w:val="11E104CC"/>
    <w:rsid w:val="11E20309"/>
    <w:rsid w:val="1221740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F2717"/>
    <w:rsid w:val="1830729E"/>
    <w:rsid w:val="1870062C"/>
    <w:rsid w:val="18817102"/>
    <w:rsid w:val="18830A15"/>
    <w:rsid w:val="18852B28"/>
    <w:rsid w:val="188B5321"/>
    <w:rsid w:val="19291326"/>
    <w:rsid w:val="19932372"/>
    <w:rsid w:val="19A20DD5"/>
    <w:rsid w:val="19AD1853"/>
    <w:rsid w:val="19AE03F1"/>
    <w:rsid w:val="1A071A03"/>
    <w:rsid w:val="1A1F16AE"/>
    <w:rsid w:val="1A3B5C77"/>
    <w:rsid w:val="1A545F22"/>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7E42EC"/>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5112A"/>
    <w:rsid w:val="25333A00"/>
    <w:rsid w:val="258B00E2"/>
    <w:rsid w:val="25A917A6"/>
    <w:rsid w:val="25BE27CC"/>
    <w:rsid w:val="25F739AE"/>
    <w:rsid w:val="25F74A5C"/>
    <w:rsid w:val="2628662C"/>
    <w:rsid w:val="262D45DE"/>
    <w:rsid w:val="26871DC8"/>
    <w:rsid w:val="26A53EF9"/>
    <w:rsid w:val="26A94201"/>
    <w:rsid w:val="26AC274F"/>
    <w:rsid w:val="27044A29"/>
    <w:rsid w:val="271D34C8"/>
    <w:rsid w:val="27504AFE"/>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927402"/>
    <w:rsid w:val="2CE82D6F"/>
    <w:rsid w:val="2D343236"/>
    <w:rsid w:val="2DD15014"/>
    <w:rsid w:val="2DF72DE4"/>
    <w:rsid w:val="2E0220AF"/>
    <w:rsid w:val="2E4B082A"/>
    <w:rsid w:val="2E5D4E86"/>
    <w:rsid w:val="2E5D790B"/>
    <w:rsid w:val="2E9A3C18"/>
    <w:rsid w:val="2EBB0FEE"/>
    <w:rsid w:val="2EC63002"/>
    <w:rsid w:val="2F0A6B38"/>
    <w:rsid w:val="2F766DDC"/>
    <w:rsid w:val="2F946CCB"/>
    <w:rsid w:val="2FD25781"/>
    <w:rsid w:val="2FDC745C"/>
    <w:rsid w:val="2FFD7934"/>
    <w:rsid w:val="30733ACD"/>
    <w:rsid w:val="30820B81"/>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A6AD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138B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C7921"/>
    <w:rsid w:val="3DE041CB"/>
    <w:rsid w:val="3DF75CD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B4212"/>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73E0A"/>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288A"/>
    <w:rsid w:val="4A064FA0"/>
    <w:rsid w:val="4A16615C"/>
    <w:rsid w:val="4A4424D7"/>
    <w:rsid w:val="4AB82D0F"/>
    <w:rsid w:val="4AEB7664"/>
    <w:rsid w:val="4AFD7C19"/>
    <w:rsid w:val="4B0567D1"/>
    <w:rsid w:val="4B236AAE"/>
    <w:rsid w:val="4B707271"/>
    <w:rsid w:val="4B9739F7"/>
    <w:rsid w:val="4BEE2503"/>
    <w:rsid w:val="4C001C3D"/>
    <w:rsid w:val="4C245A30"/>
    <w:rsid w:val="4C632400"/>
    <w:rsid w:val="4CB6685F"/>
    <w:rsid w:val="4CC367FE"/>
    <w:rsid w:val="4CE90CC5"/>
    <w:rsid w:val="4D077F3C"/>
    <w:rsid w:val="4D123355"/>
    <w:rsid w:val="4D2A3B31"/>
    <w:rsid w:val="4D312C52"/>
    <w:rsid w:val="4D905305"/>
    <w:rsid w:val="4D964A72"/>
    <w:rsid w:val="4D9C1254"/>
    <w:rsid w:val="4E582806"/>
    <w:rsid w:val="4E793892"/>
    <w:rsid w:val="4E800872"/>
    <w:rsid w:val="4EC569ED"/>
    <w:rsid w:val="4ED50EA1"/>
    <w:rsid w:val="4EEC050C"/>
    <w:rsid w:val="4F104EC3"/>
    <w:rsid w:val="4F47354A"/>
    <w:rsid w:val="4F7C5E20"/>
    <w:rsid w:val="4F911C54"/>
    <w:rsid w:val="4FE625E0"/>
    <w:rsid w:val="5021480F"/>
    <w:rsid w:val="50962ECB"/>
    <w:rsid w:val="50A42E38"/>
    <w:rsid w:val="50A4577F"/>
    <w:rsid w:val="50B73D1F"/>
    <w:rsid w:val="50BD5BC9"/>
    <w:rsid w:val="50C11EEE"/>
    <w:rsid w:val="50E97CFC"/>
    <w:rsid w:val="50FA4028"/>
    <w:rsid w:val="510D65B7"/>
    <w:rsid w:val="51101663"/>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5134"/>
    <w:rsid w:val="566B6D1E"/>
    <w:rsid w:val="57032A2C"/>
    <w:rsid w:val="570F5219"/>
    <w:rsid w:val="5757777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D70E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B2F10"/>
    <w:rsid w:val="61054A27"/>
    <w:rsid w:val="610A52BC"/>
    <w:rsid w:val="611D2366"/>
    <w:rsid w:val="61421856"/>
    <w:rsid w:val="615227C4"/>
    <w:rsid w:val="61654E3F"/>
    <w:rsid w:val="6182292A"/>
    <w:rsid w:val="619F7F92"/>
    <w:rsid w:val="61F94C26"/>
    <w:rsid w:val="62000E56"/>
    <w:rsid w:val="624F3E49"/>
    <w:rsid w:val="62632286"/>
    <w:rsid w:val="627D2D17"/>
    <w:rsid w:val="62885958"/>
    <w:rsid w:val="62F40B65"/>
    <w:rsid w:val="62FC2CFE"/>
    <w:rsid w:val="63024505"/>
    <w:rsid w:val="635600A5"/>
    <w:rsid w:val="635B1DB5"/>
    <w:rsid w:val="63711FED"/>
    <w:rsid w:val="63880DDC"/>
    <w:rsid w:val="638D750D"/>
    <w:rsid w:val="63AB687C"/>
    <w:rsid w:val="63AC6CC0"/>
    <w:rsid w:val="640305A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11B1D"/>
    <w:rsid w:val="6D167928"/>
    <w:rsid w:val="6D26299B"/>
    <w:rsid w:val="6D4772EC"/>
    <w:rsid w:val="6D5E2269"/>
    <w:rsid w:val="6D9078AF"/>
    <w:rsid w:val="6DAA3FEF"/>
    <w:rsid w:val="6DC0172B"/>
    <w:rsid w:val="6DCB690C"/>
    <w:rsid w:val="6DD41A5B"/>
    <w:rsid w:val="6DF43C2E"/>
    <w:rsid w:val="6DF51CA3"/>
    <w:rsid w:val="6DFE57FA"/>
    <w:rsid w:val="6E8335BD"/>
    <w:rsid w:val="6E8E12EF"/>
    <w:rsid w:val="6E972936"/>
    <w:rsid w:val="6ED446C5"/>
    <w:rsid w:val="6F2A7D94"/>
    <w:rsid w:val="6F8331F1"/>
    <w:rsid w:val="6FAE1A09"/>
    <w:rsid w:val="6FD75BF8"/>
    <w:rsid w:val="705C33D8"/>
    <w:rsid w:val="707723D0"/>
    <w:rsid w:val="70F5661B"/>
    <w:rsid w:val="71360107"/>
    <w:rsid w:val="713B688E"/>
    <w:rsid w:val="71630796"/>
    <w:rsid w:val="71A151A9"/>
    <w:rsid w:val="71D43752"/>
    <w:rsid w:val="71F1796A"/>
    <w:rsid w:val="72154626"/>
    <w:rsid w:val="72262B5D"/>
    <w:rsid w:val="72283FF7"/>
    <w:rsid w:val="722E7212"/>
    <w:rsid w:val="723A0474"/>
    <w:rsid w:val="725923E4"/>
    <w:rsid w:val="72864BF7"/>
    <w:rsid w:val="729023FC"/>
    <w:rsid w:val="72EF2560"/>
    <w:rsid w:val="738C31DE"/>
    <w:rsid w:val="73C0646E"/>
    <w:rsid w:val="742222F5"/>
    <w:rsid w:val="74476126"/>
    <w:rsid w:val="745F7A5B"/>
    <w:rsid w:val="74647E4F"/>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C5B5D"/>
    <w:rsid w:val="76F65C09"/>
    <w:rsid w:val="77052AA4"/>
    <w:rsid w:val="77136511"/>
    <w:rsid w:val="77340A39"/>
    <w:rsid w:val="77351FD0"/>
    <w:rsid w:val="77472422"/>
    <w:rsid w:val="777F31F2"/>
    <w:rsid w:val="77D1700D"/>
    <w:rsid w:val="77EC04CC"/>
    <w:rsid w:val="7822474D"/>
    <w:rsid w:val="784C4CD0"/>
    <w:rsid w:val="78775729"/>
    <w:rsid w:val="78A42DB0"/>
    <w:rsid w:val="78A656AB"/>
    <w:rsid w:val="78B2245C"/>
    <w:rsid w:val="78E172CC"/>
    <w:rsid w:val="78EA1D1F"/>
    <w:rsid w:val="7904172F"/>
    <w:rsid w:val="790F7E27"/>
    <w:rsid w:val="792A231A"/>
    <w:rsid w:val="79316829"/>
    <w:rsid w:val="79403D6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F7F7B"/>
    <w:rsid w:val="7BEE0103"/>
    <w:rsid w:val="7C0A0FE4"/>
    <w:rsid w:val="7C254906"/>
    <w:rsid w:val="7C590818"/>
    <w:rsid w:val="7C7C10F6"/>
    <w:rsid w:val="7C853BEA"/>
    <w:rsid w:val="7C881368"/>
    <w:rsid w:val="7CE27788"/>
    <w:rsid w:val="7CF7213B"/>
    <w:rsid w:val="7D0C32F1"/>
    <w:rsid w:val="7D0F408D"/>
    <w:rsid w:val="7D491C6C"/>
    <w:rsid w:val="7D5429C0"/>
    <w:rsid w:val="7D6E6D43"/>
    <w:rsid w:val="7DB57A34"/>
    <w:rsid w:val="7DE60973"/>
    <w:rsid w:val="7DEF0916"/>
    <w:rsid w:val="7DFE4C6C"/>
    <w:rsid w:val="7E1E5218"/>
    <w:rsid w:val="7E9A4E1F"/>
    <w:rsid w:val="7EA7723A"/>
    <w:rsid w:val="7EF56FBB"/>
    <w:rsid w:val="7F0768EB"/>
    <w:rsid w:val="7F143BEC"/>
    <w:rsid w:val="7F320B99"/>
    <w:rsid w:val="7F715AF2"/>
    <w:rsid w:val="7F886E69"/>
    <w:rsid w:val="AF2EEE34"/>
    <w:rsid w:val="BB7FA927"/>
    <w:rsid w:val="BEF7D10D"/>
    <w:rsid w:val="D7B7A16E"/>
    <w:rsid w:val="DDFF912A"/>
    <w:rsid w:val="EFFDDA9E"/>
    <w:rsid w:val="F5FFD31F"/>
    <w:rsid w:val="FF0B6693"/>
    <w:rsid w:val="FFFD8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1 Char"/>
    <w:link w:val="3"/>
    <w:qFormat/>
    <w:uiPriority w:val="9"/>
    <w:rPr>
      <w:b/>
      <w:bCs/>
      <w:kern w:val="44"/>
      <w:sz w:val="44"/>
      <w:szCs w:val="44"/>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99"/>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79"/>
    <w:qFormat/>
    <w:uiPriority w:val="0"/>
    <w:rPr>
      <w:rFonts w:ascii="仿宋_GB2312" w:eastAsia="仿宋_GB2312"/>
      <w:kern w:val="2"/>
      <w:sz w:val="24"/>
      <w:szCs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5"/>
    <w:next w:val="235"/>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5"/>
    <w:next w:val="235"/>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8"/>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Heading2"/>
    <w:basedOn w:val="1"/>
    <w:next w:val="1"/>
    <w:qFormat/>
    <w:uiPriority w:val="0"/>
    <w:pPr>
      <w:keepNext/>
      <w:keepLines/>
      <w:widowControl/>
      <w:tabs>
        <w:tab w:val="left" w:pos="706"/>
        <w:tab w:val="left" w:pos="1110"/>
      </w:tabs>
      <w:spacing w:line="360" w:lineRule="auto"/>
      <w:ind w:left="106" w:firstLine="454"/>
      <w:jc w:val="center"/>
      <w:textAlignment w:val="baseline"/>
    </w:pPr>
    <w:rPr>
      <w:rFonts w:ascii="Arial" w:hAnsi="Arial" w:eastAsia="??" w:cs="Arial"/>
      <w:b/>
      <w:bCs/>
      <w:kern w:val="36"/>
      <w:sz w:val="32"/>
      <w:szCs w:val="32"/>
    </w:rPr>
  </w:style>
  <w:style w:type="character" w:customStyle="1" w:styleId="963">
    <w:name w:val="NormalCharacter"/>
    <w:semiHidden/>
    <w:qFormat/>
    <w:uiPriority w:val="0"/>
  </w:style>
  <w:style w:type="paragraph" w:customStyle="1" w:styleId="96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6">
    <w:name w:val="标题 3 Char"/>
    <w:basedOn w:val="69"/>
    <w:link w:val="5"/>
    <w:qFormat/>
    <w:uiPriority w:val="0"/>
    <w:rPr>
      <w:b/>
      <w:bCs/>
      <w:kern w:val="2"/>
      <w:sz w:val="32"/>
      <w:szCs w:val="32"/>
    </w:rPr>
  </w:style>
  <w:style w:type="paragraph" w:customStyle="1" w:styleId="967">
    <w:name w:val="列出段落6"/>
    <w:basedOn w:val="1"/>
    <w:qFormat/>
    <w:uiPriority w:val="0"/>
    <w:pPr>
      <w:adjustRightInd/>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63741-0726-4D75-8D2D-A370C37FC1C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39223</Words>
  <Characters>41222</Characters>
  <Lines>327</Lines>
  <Paragraphs>92</Paragraphs>
  <TotalTime>51</TotalTime>
  <ScaleCrop>false</ScaleCrop>
  <LinksUpToDate>false</LinksUpToDate>
  <CharactersWithSpaces>44504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2023-05-08T03:20:00Z</dcterms:created>
  <dc:creator>玥</dc:creator>
  <cp:lastModifiedBy>无恙</cp:lastModifiedBy>
  <cp:lastPrinted>2024-09-06T02:54:48Z</cp:lastPrinted>
  <dcterms:modified xsi:type="dcterms:W3CDTF">2024-09-06T03:09:44Z</dcterms:modified>
  <dc:title>杭州市市民卡扩大发卡工程</dc:title>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0B9033AB3B3D49C588E948D4B167D456_13</vt:lpwstr>
  </property>
</Properties>
</file>