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1CE8F9">
      <w:pPr>
        <w:spacing w:line="360" w:lineRule="auto"/>
        <w:jc w:val="center"/>
        <w:rPr>
          <w:rFonts w:ascii="仿宋" w:hAnsi="仿宋" w:cs="仿宋"/>
          <w:b/>
        </w:rPr>
      </w:pPr>
    </w:p>
    <w:p w14:paraId="7C68C24E">
      <w:pPr>
        <w:spacing w:line="360" w:lineRule="auto"/>
        <w:jc w:val="center"/>
        <w:rPr>
          <w:rFonts w:ascii="仿宋" w:hAnsi="仿宋" w:cs="仿宋"/>
          <w:b/>
        </w:rPr>
      </w:pPr>
    </w:p>
    <w:p w14:paraId="5A70EE5D">
      <w:pPr>
        <w:adjustRightInd/>
        <w:spacing w:line="360" w:lineRule="auto"/>
        <w:jc w:val="center"/>
        <w:rPr>
          <w:rFonts w:ascii="仿宋" w:hAnsi="仿宋" w:cs="仿宋"/>
          <w:b/>
          <w:sz w:val="48"/>
          <w:szCs w:val="48"/>
        </w:rPr>
      </w:pPr>
    </w:p>
    <w:p w14:paraId="34A01918">
      <w:pPr>
        <w:adjustRightInd/>
        <w:spacing w:line="360" w:lineRule="auto"/>
        <w:jc w:val="center"/>
        <w:rPr>
          <w:rFonts w:ascii="仿宋" w:hAnsi="仿宋" w:cs="仿宋"/>
          <w:b/>
          <w:bCs/>
          <w:w w:val="80"/>
          <w:sz w:val="48"/>
          <w:szCs w:val="48"/>
          <w:lang w:bidi="th-TH"/>
        </w:rPr>
      </w:pPr>
      <w:r>
        <w:rPr>
          <w:rFonts w:hint="eastAsia" w:ascii="仿宋" w:hAnsi="仿宋" w:cs="仿宋"/>
          <w:b/>
          <w:bCs/>
          <w:w w:val="80"/>
          <w:position w:val="-10"/>
          <w:sz w:val="48"/>
          <w:szCs w:val="48"/>
          <w:lang w:bidi="th-TH"/>
        </w:rPr>
        <w:object>
          <v:shape id="_x0000_i1025" o:spt="75" type="#_x0000_t75" style="height:16.85pt;width:9.1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r>
        <w:rPr>
          <w:rFonts w:hint="eastAsia" w:ascii="仿宋" w:hAnsi="仿宋" w:cs="仿宋"/>
          <w:b/>
          <w:bCs/>
          <w:w w:val="80"/>
          <w:sz w:val="48"/>
          <w:szCs w:val="48"/>
          <w:lang w:bidi="th-TH"/>
        </w:rPr>
        <w:t>浙江工业大学继续教育数字化二期项目</w:t>
      </w:r>
    </w:p>
    <w:p w14:paraId="40152EC1">
      <w:pPr>
        <w:adjustRightInd/>
        <w:spacing w:line="360" w:lineRule="auto"/>
        <w:jc w:val="center"/>
        <w:rPr>
          <w:rFonts w:ascii="仿宋" w:hAnsi="仿宋" w:cs="仿宋"/>
          <w:sz w:val="48"/>
          <w:szCs w:val="48"/>
        </w:rPr>
      </w:pPr>
      <w:r>
        <w:rPr>
          <w:rFonts w:hint="eastAsia" w:ascii="仿宋" w:hAnsi="仿宋" w:cs="仿宋"/>
          <w:spacing w:val="40"/>
          <w:w w:val="80"/>
          <w:sz w:val="96"/>
          <w:szCs w:val="96"/>
          <w:lang w:bidi="th-TH"/>
        </w:rPr>
        <w:t>招 标 文 件</w:t>
      </w:r>
    </w:p>
    <w:p w14:paraId="563576BD">
      <w:pPr>
        <w:adjustRightInd/>
        <w:spacing w:line="360" w:lineRule="auto"/>
        <w:jc w:val="center"/>
        <w:rPr>
          <w:rFonts w:ascii="仿宋" w:hAnsi="仿宋" w:cs="仿宋"/>
          <w:w w:val="80"/>
          <w:sz w:val="48"/>
          <w:szCs w:val="48"/>
          <w:lang w:bidi="th-TH"/>
        </w:rPr>
      </w:pPr>
      <w:r>
        <w:rPr>
          <w:rFonts w:hint="eastAsia" w:ascii="仿宋" w:hAnsi="仿宋" w:cs="仿宋"/>
          <w:w w:val="80"/>
          <w:sz w:val="48"/>
          <w:szCs w:val="48"/>
          <w:lang w:bidi="th-TH"/>
        </w:rPr>
        <w:t>（电子招投标）</w:t>
      </w:r>
    </w:p>
    <w:p w14:paraId="1C6A8E84">
      <w:pPr>
        <w:adjustRightInd/>
        <w:spacing w:line="360" w:lineRule="auto"/>
        <w:jc w:val="center"/>
        <w:rPr>
          <w:rFonts w:hint="eastAsia" w:ascii="仿宋" w:hAnsi="仿宋" w:eastAsia="仿宋" w:cs="仿宋"/>
          <w:w w:val="80"/>
          <w:sz w:val="30"/>
          <w:szCs w:val="30"/>
          <w:lang w:eastAsia="zh-CN" w:bidi="th-TH"/>
        </w:rPr>
      </w:pPr>
      <w:r>
        <w:rPr>
          <w:rFonts w:hint="eastAsia" w:ascii="仿宋" w:hAnsi="仿宋" w:cs="仿宋"/>
          <w:w w:val="80"/>
          <w:sz w:val="30"/>
          <w:szCs w:val="30"/>
          <w:lang w:bidi="th-TH"/>
        </w:rPr>
        <w:t>项目编号:</w:t>
      </w:r>
      <w:r>
        <w:rPr>
          <w:rFonts w:hint="eastAsia" w:ascii="仿宋" w:hAnsi="仿宋" w:cs="仿宋"/>
          <w:w w:val="80"/>
          <w:sz w:val="30"/>
          <w:szCs w:val="30"/>
          <w:lang w:eastAsia="zh-CN" w:bidi="th-TH"/>
        </w:rPr>
        <w:t>ZJ-2443476</w:t>
      </w:r>
    </w:p>
    <w:p w14:paraId="6B62B528">
      <w:pPr>
        <w:spacing w:line="360" w:lineRule="auto"/>
        <w:rPr>
          <w:rFonts w:ascii="仿宋" w:hAnsi="仿宋" w:cs="仿宋"/>
          <w:b/>
          <w:sz w:val="44"/>
          <w:szCs w:val="44"/>
        </w:rPr>
      </w:pPr>
    </w:p>
    <w:p w14:paraId="44D756EF">
      <w:pPr>
        <w:spacing w:line="360" w:lineRule="auto"/>
        <w:jc w:val="center"/>
        <w:rPr>
          <w:rFonts w:ascii="仿宋" w:hAnsi="仿宋" w:cs="仿宋"/>
          <w:b/>
          <w:sz w:val="44"/>
          <w:szCs w:val="44"/>
        </w:rPr>
      </w:pPr>
    </w:p>
    <w:p w14:paraId="17498D96">
      <w:pPr>
        <w:rPr>
          <w:rFonts w:ascii="仿宋" w:hAnsi="仿宋" w:cs="仿宋"/>
        </w:rPr>
      </w:pPr>
    </w:p>
    <w:p w14:paraId="26746C16">
      <w:pPr>
        <w:rPr>
          <w:rFonts w:ascii="仿宋" w:hAnsi="仿宋" w:cs="仿宋"/>
        </w:rPr>
      </w:pPr>
    </w:p>
    <w:p w14:paraId="215B84C6">
      <w:pPr>
        <w:spacing w:line="360" w:lineRule="auto"/>
        <w:jc w:val="center"/>
        <w:rPr>
          <w:rFonts w:ascii="仿宋" w:hAnsi="仿宋" w:cs="仿宋"/>
        </w:rPr>
      </w:pPr>
    </w:p>
    <w:p w14:paraId="572FAE99">
      <w:pPr>
        <w:rPr>
          <w:rFonts w:ascii="仿宋" w:hAnsi="仿宋" w:cs="仿宋"/>
        </w:rPr>
      </w:pPr>
    </w:p>
    <w:tbl>
      <w:tblPr>
        <w:tblStyle w:val="62"/>
        <w:tblW w:w="6959" w:type="dxa"/>
        <w:jc w:val="center"/>
        <w:tblLayout w:type="fixed"/>
        <w:tblCellMar>
          <w:top w:w="0" w:type="dxa"/>
          <w:left w:w="108" w:type="dxa"/>
          <w:bottom w:w="0" w:type="dxa"/>
          <w:right w:w="108" w:type="dxa"/>
        </w:tblCellMar>
      </w:tblPr>
      <w:tblGrid>
        <w:gridCol w:w="2032"/>
        <w:gridCol w:w="516"/>
        <w:gridCol w:w="4411"/>
      </w:tblGrid>
      <w:tr w14:paraId="2B420251">
        <w:tblPrEx>
          <w:tblCellMar>
            <w:top w:w="0" w:type="dxa"/>
            <w:left w:w="108" w:type="dxa"/>
            <w:bottom w:w="0" w:type="dxa"/>
            <w:right w:w="108" w:type="dxa"/>
          </w:tblCellMar>
        </w:tblPrEx>
        <w:trPr>
          <w:trHeight w:val="680" w:hRule="atLeast"/>
          <w:jc w:val="center"/>
        </w:trPr>
        <w:tc>
          <w:tcPr>
            <w:tcW w:w="2032" w:type="dxa"/>
            <w:vAlign w:val="center"/>
          </w:tcPr>
          <w:p w14:paraId="743444CC">
            <w:pPr>
              <w:jc w:val="left"/>
              <w:rPr>
                <w:rFonts w:ascii="仿宋" w:hAnsi="仿宋" w:cs="仿宋"/>
                <w:sz w:val="30"/>
                <w:szCs w:val="30"/>
              </w:rPr>
            </w:pPr>
            <w:r>
              <w:rPr>
                <w:rFonts w:hint="eastAsia" w:ascii="仿宋" w:hAnsi="仿宋" w:cs="仿宋"/>
                <w:sz w:val="30"/>
                <w:szCs w:val="30"/>
              </w:rPr>
              <w:t>采购人</w:t>
            </w:r>
          </w:p>
        </w:tc>
        <w:tc>
          <w:tcPr>
            <w:tcW w:w="516" w:type="dxa"/>
            <w:vAlign w:val="center"/>
          </w:tcPr>
          <w:p w14:paraId="0CF87041">
            <w:pPr>
              <w:jc w:val="left"/>
              <w:rPr>
                <w:rFonts w:ascii="仿宋" w:hAnsi="仿宋" w:cs="仿宋"/>
                <w:sz w:val="30"/>
                <w:szCs w:val="30"/>
              </w:rPr>
            </w:pPr>
            <w:r>
              <w:rPr>
                <w:rFonts w:hint="eastAsia" w:ascii="仿宋" w:hAnsi="仿宋" w:cs="仿宋"/>
                <w:sz w:val="30"/>
                <w:szCs w:val="30"/>
              </w:rPr>
              <w:t>：</w:t>
            </w:r>
          </w:p>
        </w:tc>
        <w:tc>
          <w:tcPr>
            <w:tcW w:w="4411" w:type="dxa"/>
            <w:vAlign w:val="center"/>
          </w:tcPr>
          <w:p w14:paraId="5453AEC2">
            <w:pPr>
              <w:jc w:val="left"/>
              <w:rPr>
                <w:rFonts w:ascii="仿宋" w:hAnsi="仿宋" w:cs="仿宋"/>
                <w:sz w:val="30"/>
                <w:szCs w:val="30"/>
              </w:rPr>
            </w:pPr>
            <w:r>
              <w:rPr>
                <w:rFonts w:hint="eastAsia" w:ascii="仿宋" w:hAnsi="仿宋" w:cs="仿宋"/>
                <w:sz w:val="30"/>
                <w:szCs w:val="30"/>
              </w:rPr>
              <w:t>浙江工业大学</w:t>
            </w:r>
          </w:p>
        </w:tc>
      </w:tr>
      <w:tr w14:paraId="175B92A7">
        <w:tblPrEx>
          <w:tblCellMar>
            <w:top w:w="0" w:type="dxa"/>
            <w:left w:w="108" w:type="dxa"/>
            <w:bottom w:w="0" w:type="dxa"/>
            <w:right w:w="108" w:type="dxa"/>
          </w:tblCellMar>
        </w:tblPrEx>
        <w:trPr>
          <w:trHeight w:val="297" w:hRule="atLeast"/>
          <w:jc w:val="center"/>
        </w:trPr>
        <w:tc>
          <w:tcPr>
            <w:tcW w:w="2032" w:type="dxa"/>
            <w:vAlign w:val="center"/>
          </w:tcPr>
          <w:p w14:paraId="5FD5AA09">
            <w:pPr>
              <w:jc w:val="left"/>
              <w:rPr>
                <w:rFonts w:ascii="仿宋" w:hAnsi="仿宋" w:cs="仿宋"/>
                <w:szCs w:val="21"/>
              </w:rPr>
            </w:pPr>
          </w:p>
        </w:tc>
        <w:tc>
          <w:tcPr>
            <w:tcW w:w="516" w:type="dxa"/>
            <w:vAlign w:val="center"/>
          </w:tcPr>
          <w:p w14:paraId="44D55518">
            <w:pPr>
              <w:jc w:val="left"/>
              <w:rPr>
                <w:rFonts w:ascii="仿宋" w:hAnsi="仿宋" w:cs="仿宋"/>
                <w:szCs w:val="21"/>
              </w:rPr>
            </w:pPr>
          </w:p>
        </w:tc>
        <w:tc>
          <w:tcPr>
            <w:tcW w:w="4411" w:type="dxa"/>
            <w:vAlign w:val="center"/>
          </w:tcPr>
          <w:p w14:paraId="5670D0E5">
            <w:pPr>
              <w:jc w:val="left"/>
              <w:rPr>
                <w:rFonts w:ascii="仿宋" w:hAnsi="仿宋" w:cs="仿宋"/>
                <w:szCs w:val="21"/>
              </w:rPr>
            </w:pPr>
          </w:p>
        </w:tc>
      </w:tr>
      <w:tr w14:paraId="29AA421B">
        <w:tblPrEx>
          <w:tblCellMar>
            <w:top w:w="0" w:type="dxa"/>
            <w:left w:w="108" w:type="dxa"/>
            <w:bottom w:w="0" w:type="dxa"/>
            <w:right w:w="108" w:type="dxa"/>
          </w:tblCellMar>
        </w:tblPrEx>
        <w:trPr>
          <w:trHeight w:val="680" w:hRule="atLeast"/>
          <w:jc w:val="center"/>
        </w:trPr>
        <w:tc>
          <w:tcPr>
            <w:tcW w:w="2032" w:type="dxa"/>
            <w:vAlign w:val="center"/>
          </w:tcPr>
          <w:p w14:paraId="2A495867">
            <w:pPr>
              <w:jc w:val="left"/>
              <w:rPr>
                <w:rFonts w:ascii="仿宋" w:hAnsi="仿宋" w:cs="仿宋"/>
                <w:sz w:val="30"/>
                <w:szCs w:val="30"/>
              </w:rPr>
            </w:pPr>
            <w:r>
              <w:rPr>
                <w:rFonts w:hint="eastAsia" w:ascii="仿宋" w:hAnsi="仿宋" w:cs="仿宋"/>
                <w:sz w:val="30"/>
                <w:szCs w:val="30"/>
              </w:rPr>
              <w:t>采购代理机构</w:t>
            </w:r>
          </w:p>
        </w:tc>
        <w:tc>
          <w:tcPr>
            <w:tcW w:w="516" w:type="dxa"/>
            <w:vAlign w:val="center"/>
          </w:tcPr>
          <w:p w14:paraId="313CD280">
            <w:pPr>
              <w:jc w:val="left"/>
              <w:rPr>
                <w:rFonts w:ascii="仿宋" w:hAnsi="仿宋" w:cs="仿宋"/>
                <w:sz w:val="30"/>
                <w:szCs w:val="30"/>
              </w:rPr>
            </w:pPr>
            <w:r>
              <w:rPr>
                <w:rFonts w:hint="eastAsia" w:ascii="仿宋" w:hAnsi="仿宋" w:cs="仿宋"/>
                <w:sz w:val="30"/>
                <w:szCs w:val="30"/>
              </w:rPr>
              <w:t>：</w:t>
            </w:r>
          </w:p>
        </w:tc>
        <w:tc>
          <w:tcPr>
            <w:tcW w:w="4411" w:type="dxa"/>
            <w:vAlign w:val="center"/>
          </w:tcPr>
          <w:p w14:paraId="6C0A3A30">
            <w:pPr>
              <w:jc w:val="left"/>
              <w:rPr>
                <w:rFonts w:ascii="仿宋" w:hAnsi="仿宋" w:cs="仿宋"/>
                <w:sz w:val="30"/>
                <w:szCs w:val="30"/>
              </w:rPr>
            </w:pPr>
            <w:r>
              <w:rPr>
                <w:rFonts w:hint="eastAsia" w:ascii="仿宋" w:hAnsi="仿宋" w:cs="仿宋"/>
                <w:sz w:val="30"/>
                <w:szCs w:val="30"/>
              </w:rPr>
              <w:t>浙江国际招投标有限公司</w:t>
            </w:r>
          </w:p>
        </w:tc>
      </w:tr>
      <w:tr w14:paraId="46E7B4F3">
        <w:tblPrEx>
          <w:tblCellMar>
            <w:top w:w="0" w:type="dxa"/>
            <w:left w:w="108" w:type="dxa"/>
            <w:bottom w:w="0" w:type="dxa"/>
            <w:right w:w="108" w:type="dxa"/>
          </w:tblCellMar>
        </w:tblPrEx>
        <w:trPr>
          <w:trHeight w:val="680" w:hRule="atLeast"/>
          <w:jc w:val="center"/>
        </w:trPr>
        <w:tc>
          <w:tcPr>
            <w:tcW w:w="6959" w:type="dxa"/>
            <w:gridSpan w:val="3"/>
            <w:vAlign w:val="bottom"/>
          </w:tcPr>
          <w:p w14:paraId="4D564C70">
            <w:pPr>
              <w:jc w:val="center"/>
              <w:rPr>
                <w:rFonts w:ascii="仿宋" w:hAnsi="仿宋" w:cs="仿宋"/>
                <w:sz w:val="30"/>
                <w:szCs w:val="30"/>
              </w:rPr>
            </w:pPr>
            <w:r>
              <w:rPr>
                <w:rFonts w:hint="eastAsia" w:ascii="仿宋" w:hAnsi="仿宋" w:cs="仿宋"/>
                <w:sz w:val="30"/>
                <w:szCs w:val="30"/>
              </w:rPr>
              <w:t>2024年11月</w:t>
            </w:r>
          </w:p>
        </w:tc>
      </w:tr>
    </w:tbl>
    <w:p w14:paraId="49EC5923">
      <w:pPr>
        <w:spacing w:line="360" w:lineRule="auto"/>
        <w:jc w:val="center"/>
        <w:rPr>
          <w:rFonts w:ascii="仿宋" w:hAnsi="仿宋" w:cs="仿宋"/>
        </w:rPr>
      </w:pPr>
    </w:p>
    <w:p w14:paraId="57AFF145">
      <w:pPr>
        <w:spacing w:line="360" w:lineRule="auto"/>
        <w:jc w:val="center"/>
        <w:rPr>
          <w:rFonts w:ascii="仿宋" w:hAnsi="仿宋" w:cs="仿宋"/>
        </w:rPr>
      </w:pPr>
      <w:bookmarkStart w:id="0" w:name="_Hlt67893495"/>
      <w:bookmarkEnd w:id="0"/>
    </w:p>
    <w:p w14:paraId="5C936826">
      <w:pPr>
        <w:rPr>
          <w:rFonts w:ascii="仿宋" w:hAnsi="仿宋" w:cs="仿宋"/>
          <w:b/>
          <w:sz w:val="48"/>
          <w:szCs w:val="48"/>
        </w:rPr>
      </w:pPr>
      <w:r>
        <w:rPr>
          <w:rFonts w:hint="eastAsia" w:ascii="仿宋" w:hAnsi="仿宋" w:cs="仿宋"/>
          <w:b/>
          <w:sz w:val="48"/>
          <w:szCs w:val="48"/>
        </w:rPr>
        <w:br w:type="page"/>
      </w:r>
    </w:p>
    <w:p w14:paraId="41A18B9B">
      <w:pPr>
        <w:spacing w:line="360" w:lineRule="auto"/>
        <w:jc w:val="center"/>
        <w:rPr>
          <w:rFonts w:ascii="仿宋" w:hAnsi="仿宋" w:cs="仿宋"/>
          <w:b/>
          <w:sz w:val="48"/>
          <w:szCs w:val="48"/>
        </w:rPr>
      </w:pPr>
    </w:p>
    <w:p w14:paraId="66819588">
      <w:pPr>
        <w:spacing w:line="360" w:lineRule="auto"/>
        <w:jc w:val="center"/>
        <w:rPr>
          <w:rFonts w:ascii="仿宋" w:hAnsi="仿宋" w:cs="仿宋"/>
          <w:b/>
          <w:sz w:val="48"/>
          <w:szCs w:val="48"/>
        </w:rPr>
      </w:pPr>
      <w:r>
        <w:rPr>
          <w:rFonts w:hint="eastAsia" w:ascii="仿宋" w:hAnsi="仿宋" w:cs="仿宋"/>
          <w:b/>
          <w:sz w:val="48"/>
          <w:szCs w:val="48"/>
        </w:rPr>
        <w:t>目录</w:t>
      </w:r>
    </w:p>
    <w:p w14:paraId="5D311A7A">
      <w:pPr>
        <w:spacing w:line="360" w:lineRule="auto"/>
        <w:rPr>
          <w:rFonts w:ascii="仿宋" w:hAnsi="仿宋" w:cs="仿宋"/>
          <w:sz w:val="32"/>
          <w:szCs w:val="32"/>
        </w:rPr>
      </w:pPr>
    </w:p>
    <w:p w14:paraId="37C469CA">
      <w:pPr>
        <w:spacing w:line="360" w:lineRule="auto"/>
        <w:ind w:firstLine="1280" w:firstLineChars="400"/>
        <w:rPr>
          <w:rFonts w:ascii="仿宋" w:hAnsi="仿宋" w:cs="仿宋"/>
          <w:sz w:val="32"/>
          <w:szCs w:val="32"/>
        </w:rPr>
      </w:pPr>
      <w:r>
        <w:rPr>
          <w:rFonts w:hint="eastAsia" w:ascii="仿宋" w:hAnsi="仿宋" w:cs="仿宋"/>
          <w:sz w:val="32"/>
          <w:szCs w:val="32"/>
        </w:rPr>
        <w:t>第一部分  招标公告</w:t>
      </w:r>
    </w:p>
    <w:p w14:paraId="0535D78C">
      <w:pPr>
        <w:spacing w:line="360" w:lineRule="auto"/>
        <w:ind w:firstLine="1280" w:firstLineChars="400"/>
        <w:rPr>
          <w:rFonts w:ascii="仿宋" w:hAnsi="仿宋" w:cs="仿宋"/>
          <w:sz w:val="32"/>
          <w:szCs w:val="32"/>
        </w:rPr>
      </w:pPr>
      <w:r>
        <w:rPr>
          <w:rFonts w:hint="eastAsia" w:ascii="仿宋" w:hAnsi="仿宋" w:cs="仿宋"/>
          <w:sz w:val="32"/>
          <w:szCs w:val="32"/>
        </w:rPr>
        <w:t>第二部分  投标人须知</w:t>
      </w:r>
    </w:p>
    <w:p w14:paraId="76AE0848">
      <w:pPr>
        <w:spacing w:line="360" w:lineRule="auto"/>
        <w:ind w:firstLine="1280" w:firstLineChars="400"/>
        <w:rPr>
          <w:rFonts w:ascii="仿宋" w:hAnsi="仿宋" w:cs="仿宋"/>
          <w:sz w:val="32"/>
          <w:szCs w:val="32"/>
        </w:rPr>
      </w:pPr>
      <w:r>
        <w:rPr>
          <w:rFonts w:hint="eastAsia" w:ascii="仿宋" w:hAnsi="仿宋" w:cs="仿宋"/>
          <w:sz w:val="32"/>
          <w:szCs w:val="32"/>
        </w:rPr>
        <w:t>第三部分  采购需求</w:t>
      </w:r>
    </w:p>
    <w:p w14:paraId="750D94BB">
      <w:pPr>
        <w:spacing w:line="360" w:lineRule="auto"/>
        <w:ind w:firstLine="1280" w:firstLineChars="400"/>
        <w:rPr>
          <w:rFonts w:ascii="仿宋" w:hAnsi="仿宋" w:cs="仿宋"/>
          <w:sz w:val="32"/>
          <w:szCs w:val="32"/>
        </w:rPr>
      </w:pPr>
      <w:r>
        <w:rPr>
          <w:rFonts w:hint="eastAsia" w:ascii="仿宋" w:hAnsi="仿宋" w:cs="仿宋"/>
          <w:sz w:val="32"/>
          <w:szCs w:val="32"/>
        </w:rPr>
        <w:t>第四部分  评标办法</w:t>
      </w:r>
    </w:p>
    <w:p w14:paraId="309C1CBF">
      <w:pPr>
        <w:spacing w:line="360" w:lineRule="auto"/>
        <w:ind w:firstLine="1280" w:firstLineChars="400"/>
        <w:rPr>
          <w:rFonts w:ascii="仿宋" w:hAnsi="仿宋" w:cs="仿宋"/>
          <w:sz w:val="32"/>
          <w:szCs w:val="32"/>
        </w:rPr>
      </w:pPr>
      <w:r>
        <w:rPr>
          <w:rFonts w:hint="eastAsia" w:ascii="仿宋" w:hAnsi="仿宋" w:cs="仿宋"/>
          <w:sz w:val="32"/>
          <w:szCs w:val="32"/>
        </w:rPr>
        <w:t>第五部分  拟签订的合同文本</w:t>
      </w:r>
    </w:p>
    <w:p w14:paraId="5A92B2FA">
      <w:pPr>
        <w:spacing w:line="360" w:lineRule="auto"/>
        <w:ind w:firstLine="1280" w:firstLineChars="400"/>
        <w:rPr>
          <w:rFonts w:ascii="仿宋" w:hAnsi="仿宋" w:cs="仿宋"/>
          <w:sz w:val="32"/>
          <w:szCs w:val="32"/>
        </w:rPr>
      </w:pPr>
      <w:r>
        <w:rPr>
          <w:rFonts w:hint="eastAsia" w:ascii="仿宋" w:hAnsi="仿宋" w:cs="仿宋"/>
          <w:sz w:val="32"/>
          <w:szCs w:val="32"/>
        </w:rPr>
        <w:t>第六部分  应提交的有关格式范例</w:t>
      </w:r>
    </w:p>
    <w:p w14:paraId="5EA77EDB">
      <w:pPr>
        <w:spacing w:line="360" w:lineRule="auto"/>
        <w:ind w:firstLine="549" w:firstLineChars="229"/>
        <w:rPr>
          <w:rFonts w:ascii="仿宋" w:hAnsi="仿宋" w:cs="仿宋"/>
        </w:rPr>
      </w:pPr>
      <w:bookmarkStart w:id="1" w:name="_Hlt91233176"/>
      <w:bookmarkEnd w:id="1"/>
      <w:bookmarkStart w:id="2" w:name="_Toc91899869"/>
    </w:p>
    <w:p w14:paraId="7A94D844">
      <w:pPr>
        <w:spacing w:line="360" w:lineRule="auto"/>
        <w:ind w:firstLine="549" w:firstLineChars="229"/>
        <w:rPr>
          <w:rFonts w:ascii="仿宋" w:hAnsi="仿宋" w:cs="仿宋"/>
        </w:rPr>
      </w:pPr>
    </w:p>
    <w:p w14:paraId="6CE1DE04">
      <w:pPr>
        <w:spacing w:line="360" w:lineRule="auto"/>
        <w:ind w:firstLine="549" w:firstLineChars="229"/>
        <w:rPr>
          <w:rFonts w:ascii="仿宋" w:hAnsi="仿宋" w:cs="仿宋"/>
        </w:rPr>
      </w:pPr>
    </w:p>
    <w:p w14:paraId="7205A7FC">
      <w:pPr>
        <w:spacing w:line="360" w:lineRule="auto"/>
        <w:ind w:firstLine="549" w:firstLineChars="229"/>
        <w:rPr>
          <w:rFonts w:ascii="仿宋" w:hAnsi="仿宋" w:cs="仿宋"/>
        </w:rPr>
      </w:pPr>
    </w:p>
    <w:p w14:paraId="1F009A1E">
      <w:pPr>
        <w:spacing w:line="360" w:lineRule="auto"/>
        <w:ind w:firstLine="549" w:firstLineChars="229"/>
        <w:rPr>
          <w:rFonts w:ascii="仿宋" w:hAnsi="仿宋" w:cs="仿宋"/>
        </w:rPr>
      </w:pPr>
    </w:p>
    <w:p w14:paraId="3E5DEE5C">
      <w:pPr>
        <w:spacing w:line="360" w:lineRule="auto"/>
        <w:ind w:firstLine="549" w:firstLineChars="229"/>
        <w:rPr>
          <w:rFonts w:ascii="仿宋" w:hAnsi="仿宋" w:cs="仿宋"/>
        </w:rPr>
      </w:pPr>
    </w:p>
    <w:p w14:paraId="009AC0B5">
      <w:pPr>
        <w:spacing w:line="360" w:lineRule="auto"/>
        <w:ind w:firstLine="549" w:firstLineChars="229"/>
        <w:rPr>
          <w:rFonts w:ascii="仿宋" w:hAnsi="仿宋" w:cs="仿宋"/>
        </w:rPr>
      </w:pPr>
    </w:p>
    <w:p w14:paraId="4F1946B5">
      <w:pPr>
        <w:spacing w:line="360" w:lineRule="auto"/>
        <w:ind w:firstLine="549" w:firstLineChars="229"/>
        <w:rPr>
          <w:rFonts w:ascii="仿宋" w:hAnsi="仿宋" w:cs="仿宋"/>
        </w:rPr>
      </w:pPr>
    </w:p>
    <w:p w14:paraId="4B71E753">
      <w:pPr>
        <w:spacing w:line="360" w:lineRule="auto"/>
        <w:ind w:firstLine="549" w:firstLineChars="229"/>
        <w:rPr>
          <w:rFonts w:ascii="仿宋" w:hAnsi="仿宋" w:cs="仿宋"/>
        </w:rPr>
      </w:pPr>
    </w:p>
    <w:p w14:paraId="673AB665">
      <w:pPr>
        <w:spacing w:line="360" w:lineRule="auto"/>
        <w:ind w:firstLine="549" w:firstLineChars="229"/>
        <w:rPr>
          <w:rFonts w:ascii="仿宋" w:hAnsi="仿宋" w:cs="仿宋"/>
        </w:rPr>
      </w:pPr>
    </w:p>
    <w:p w14:paraId="72DAE4ED">
      <w:pPr>
        <w:spacing w:line="360" w:lineRule="auto"/>
        <w:ind w:firstLine="549" w:firstLineChars="229"/>
        <w:rPr>
          <w:rFonts w:ascii="仿宋" w:hAnsi="仿宋" w:cs="仿宋"/>
        </w:rPr>
      </w:pPr>
    </w:p>
    <w:p w14:paraId="1320771A">
      <w:pPr>
        <w:spacing w:line="360" w:lineRule="auto"/>
        <w:ind w:firstLine="549" w:firstLineChars="229"/>
        <w:rPr>
          <w:rFonts w:ascii="仿宋" w:hAnsi="仿宋" w:cs="仿宋"/>
        </w:rPr>
      </w:pPr>
    </w:p>
    <w:p w14:paraId="53D0E643">
      <w:pPr>
        <w:spacing w:line="360" w:lineRule="auto"/>
        <w:ind w:firstLine="549" w:firstLineChars="229"/>
        <w:rPr>
          <w:rFonts w:ascii="仿宋" w:hAnsi="仿宋" w:cs="仿宋"/>
        </w:rPr>
      </w:pPr>
    </w:p>
    <w:p w14:paraId="5079E679">
      <w:pPr>
        <w:spacing w:line="360" w:lineRule="auto"/>
        <w:rPr>
          <w:rFonts w:ascii="仿宋" w:hAnsi="仿宋" w:cs="仿宋"/>
        </w:rPr>
      </w:pPr>
    </w:p>
    <w:p w14:paraId="716F4141">
      <w:pPr>
        <w:adjustRightInd/>
        <w:spacing w:line="360" w:lineRule="auto"/>
        <w:jc w:val="center"/>
        <w:outlineLvl w:val="0"/>
        <w:rPr>
          <w:rFonts w:ascii="仿宋" w:hAnsi="仿宋" w:cs="仿宋"/>
          <w:b/>
          <w:sz w:val="36"/>
          <w:szCs w:val="20"/>
        </w:rPr>
      </w:pPr>
      <w:bookmarkStart w:id="3" w:name="第一部分"/>
      <w:r>
        <w:rPr>
          <w:rFonts w:hint="eastAsia" w:ascii="仿宋" w:hAnsi="仿宋" w:cs="仿宋"/>
          <w:b/>
          <w:sz w:val="36"/>
          <w:szCs w:val="36"/>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_Toc29265"/>
      <w:bookmarkStart w:id="9" w:name="第二部分"/>
      <w:bookmarkStart w:id="10" w:name="_Toc91899870"/>
      <w:bookmarkStart w:id="11" w:name="_Toc91899871"/>
      <w:r>
        <w:rPr>
          <w:rFonts w:hint="eastAsia" w:ascii="仿宋" w:hAnsi="仿宋" w:cs="仿宋"/>
          <w:b/>
          <w:sz w:val="36"/>
          <w:szCs w:val="20"/>
        </w:rPr>
        <w:t>第一部分  招标公告</w:t>
      </w:r>
      <w:bookmarkEnd w:id="8"/>
    </w:p>
    <w:p w14:paraId="5F0C2723">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rPr>
      </w:pPr>
      <w:r>
        <w:rPr>
          <w:rFonts w:hint="eastAsia" w:ascii="仿宋" w:hAnsi="仿宋" w:cs="仿宋"/>
        </w:rPr>
        <w:t>项目概况</w:t>
      </w:r>
    </w:p>
    <w:p w14:paraId="56327554">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u w:val="single"/>
        </w:rPr>
      </w:pPr>
      <w:r>
        <w:rPr>
          <w:rFonts w:hint="eastAsia" w:ascii="仿宋" w:hAnsi="仿宋" w:cs="仿宋"/>
          <w:u w:val="single"/>
        </w:rPr>
        <w:t>浙江工业大学继续教育数字化二期项目</w:t>
      </w:r>
      <w:r>
        <w:rPr>
          <w:rFonts w:hint="eastAsia" w:ascii="仿宋" w:hAnsi="仿宋" w:cs="仿宋"/>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仿宋" w:hAnsi="仿宋" w:eastAsia="仿宋" w:cs="仿宋"/>
          <w:snapToGrid/>
          <w:color w:val="auto"/>
          <w:kern w:val="2"/>
          <w:sz w:val="24"/>
          <w:szCs w:val="24"/>
        </w:rPr>
        <w:t>https://www.zcygov.cn/）获取（下载）招标文件，并于</w:t>
      </w:r>
      <w:r>
        <w:rPr>
          <w:rFonts w:hint="eastAsia" w:ascii="仿宋" w:hAnsi="仿宋" w:cs="仿宋"/>
          <w:u w:val="single"/>
        </w:rPr>
        <w:t>2024年12月</w:t>
      </w:r>
      <w:r>
        <w:rPr>
          <w:rFonts w:hint="eastAsia" w:ascii="仿宋" w:hAnsi="仿宋" w:cs="仿宋"/>
          <w:u w:val="single"/>
          <w:lang w:val="en-US" w:eastAsia="zh-CN"/>
        </w:rPr>
        <w:t>16</w:t>
      </w:r>
      <w:r>
        <w:rPr>
          <w:rFonts w:hint="eastAsia" w:ascii="仿宋" w:hAnsi="仿宋" w:cs="仿宋"/>
          <w:u w:val="single"/>
        </w:rPr>
        <w:t>日09点00分</w:t>
      </w:r>
      <w:r>
        <w:rPr>
          <w:rFonts w:hint="eastAsia" w:ascii="仿宋" w:hAnsi="仿宋" w:cs="仿宋"/>
          <w:bCs/>
          <w:u w:val="single"/>
        </w:rPr>
        <w:t>00秒</w:t>
      </w:r>
      <w:r>
        <w:rPr>
          <w:rFonts w:hint="eastAsia" w:ascii="仿宋" w:hAnsi="仿宋" w:cs="仿宋"/>
          <w:bCs/>
          <w:u w:val="single"/>
        </w:rPr>
        <w:fldChar w:fldCharType="end"/>
      </w:r>
      <w:r>
        <w:rPr>
          <w:rFonts w:hint="eastAsia" w:ascii="仿宋" w:hAnsi="仿宋" w:cs="仿宋"/>
          <w:bCs/>
        </w:rPr>
        <w:t>（北京时间）前</w:t>
      </w:r>
      <w:r>
        <w:rPr>
          <w:rFonts w:hint="eastAsia" w:ascii="仿宋" w:hAnsi="仿宋" w:cs="仿宋"/>
        </w:rPr>
        <w:t>递交（上传）投标文件。</w:t>
      </w:r>
    </w:p>
    <w:p w14:paraId="4B81C165">
      <w:pPr>
        <w:rPr>
          <w:rFonts w:ascii="仿宋" w:hAnsi="仿宋" w:cs="仿宋"/>
          <w:b/>
        </w:rPr>
      </w:pPr>
    </w:p>
    <w:p w14:paraId="567E9AFC">
      <w:pPr>
        <w:rPr>
          <w:rFonts w:ascii="仿宋" w:hAnsi="仿宋" w:cs="仿宋"/>
          <w:b/>
        </w:rPr>
      </w:pPr>
      <w:r>
        <w:rPr>
          <w:rFonts w:hint="eastAsia" w:ascii="仿宋" w:hAnsi="仿宋" w:cs="仿宋"/>
          <w:b/>
        </w:rPr>
        <w:t>一、项目基本情况</w:t>
      </w:r>
    </w:p>
    <w:p w14:paraId="0E07C48B">
      <w:pPr>
        <w:rPr>
          <w:rFonts w:hint="eastAsia" w:ascii="仿宋" w:hAnsi="仿宋" w:eastAsia="仿宋" w:cs="仿宋"/>
          <w:lang w:eastAsia="zh-CN"/>
        </w:rPr>
      </w:pPr>
      <w:r>
        <w:rPr>
          <w:rFonts w:hint="eastAsia" w:ascii="仿宋" w:hAnsi="仿宋" w:cs="仿宋"/>
          <w:b/>
        </w:rPr>
        <w:t>项目编号：</w:t>
      </w:r>
      <w:r>
        <w:rPr>
          <w:rFonts w:hint="eastAsia" w:ascii="仿宋" w:hAnsi="仿宋" w:cs="仿宋"/>
          <w:lang w:eastAsia="zh-CN"/>
        </w:rPr>
        <w:t>ZJ-2443476</w:t>
      </w:r>
    </w:p>
    <w:p w14:paraId="1ADAFA23">
      <w:pPr>
        <w:rPr>
          <w:rFonts w:ascii="仿宋" w:hAnsi="仿宋" w:cs="仿宋"/>
        </w:rPr>
      </w:pPr>
      <w:r>
        <w:rPr>
          <w:rFonts w:hint="eastAsia" w:ascii="仿宋" w:hAnsi="仿宋" w:cs="仿宋"/>
          <w:b/>
        </w:rPr>
        <w:t>项目名称：</w:t>
      </w:r>
      <w:r>
        <w:rPr>
          <w:rFonts w:hint="eastAsia" w:ascii="仿宋" w:hAnsi="仿宋" w:cs="仿宋"/>
        </w:rPr>
        <w:t>浙江工业大学继续教育数字化二期项目</w:t>
      </w:r>
    </w:p>
    <w:p w14:paraId="243DB9F8">
      <w:pPr>
        <w:rPr>
          <w:rFonts w:ascii="仿宋" w:hAnsi="仿宋" w:cs="仿宋"/>
          <w:b/>
        </w:rPr>
      </w:pPr>
      <w:r>
        <w:rPr>
          <w:rFonts w:hint="eastAsia" w:ascii="仿宋" w:hAnsi="仿宋" w:cs="仿宋"/>
          <w:b/>
        </w:rPr>
        <w:t>预算金额（元）：990000.00</w:t>
      </w:r>
    </w:p>
    <w:p w14:paraId="08B2C423">
      <w:pPr>
        <w:rPr>
          <w:rFonts w:ascii="仿宋" w:hAnsi="仿宋" w:cs="仿宋"/>
        </w:rPr>
      </w:pPr>
      <w:r>
        <w:rPr>
          <w:rFonts w:hint="eastAsia" w:ascii="仿宋" w:hAnsi="仿宋" w:cs="仿宋"/>
          <w:b/>
        </w:rPr>
        <w:t>最高限价（元）：</w:t>
      </w:r>
    </w:p>
    <w:p w14:paraId="109F7DD3">
      <w:pPr>
        <w:pStyle w:val="15"/>
        <w:spacing w:line="312" w:lineRule="auto"/>
        <w:ind w:firstLine="480"/>
        <w:rPr>
          <w:rFonts w:ascii="仿宋" w:hAnsi="仿宋" w:cs="仿宋"/>
          <w:b/>
          <w:color w:val="auto"/>
          <w:sz w:val="24"/>
        </w:rPr>
      </w:pPr>
      <w:r>
        <w:rPr>
          <w:rFonts w:hint="eastAsia" w:ascii="仿宋" w:hAnsi="仿宋" w:cs="仿宋"/>
          <w:b/>
          <w:color w:val="auto"/>
          <w:sz w:val="24"/>
        </w:rPr>
        <w:t>采购需求：</w:t>
      </w:r>
    </w:p>
    <w:p w14:paraId="01B4DB3B">
      <w:pPr>
        <w:pStyle w:val="15"/>
        <w:spacing w:line="312" w:lineRule="auto"/>
        <w:ind w:firstLine="480"/>
        <w:rPr>
          <w:rFonts w:ascii="仿宋" w:hAnsi="仿宋" w:cs="仿宋"/>
          <w:b/>
          <w:color w:val="000000" w:themeColor="text1"/>
          <w:sz w:val="24"/>
          <w14:textFill>
            <w14:solidFill>
              <w14:schemeClr w14:val="tx1"/>
            </w14:solidFill>
          </w14:textFill>
        </w:rPr>
      </w:pPr>
      <w:r>
        <w:rPr>
          <w:rFonts w:hint="eastAsia" w:ascii="仿宋" w:hAnsi="仿宋" w:cs="仿宋"/>
          <w:b/>
          <w:color w:val="000000" w:themeColor="text1"/>
          <w:sz w:val="24"/>
          <w14:textFill>
            <w14:solidFill>
              <w14:schemeClr w14:val="tx1"/>
            </w14:solidFill>
          </w14:textFill>
        </w:rPr>
        <w:t>标项名称：继续教育数字化二期系统采购</w:t>
      </w:r>
    </w:p>
    <w:p w14:paraId="3803D6AA">
      <w:pPr>
        <w:pStyle w:val="15"/>
        <w:spacing w:line="312" w:lineRule="auto"/>
        <w:ind w:firstLine="480"/>
        <w:rPr>
          <w:rFonts w:ascii="仿宋" w:hAnsi="仿宋" w:cs="仿宋"/>
          <w:b/>
          <w:color w:val="000000" w:themeColor="text1"/>
          <w:sz w:val="24"/>
          <w14:textFill>
            <w14:solidFill>
              <w14:schemeClr w14:val="tx1"/>
            </w14:solidFill>
          </w14:textFill>
        </w:rPr>
      </w:pPr>
      <w:r>
        <w:rPr>
          <w:rFonts w:hint="eastAsia" w:ascii="仿宋" w:hAnsi="仿宋" w:cs="仿宋"/>
          <w:b/>
          <w:color w:val="000000" w:themeColor="text1"/>
          <w:sz w:val="24"/>
          <w14:textFill>
            <w14:solidFill>
              <w14:schemeClr w14:val="tx1"/>
            </w14:solidFill>
          </w14:textFill>
        </w:rPr>
        <w:t>数量：1套</w:t>
      </w:r>
    </w:p>
    <w:p w14:paraId="2EC5B2EA">
      <w:pPr>
        <w:pStyle w:val="15"/>
        <w:spacing w:line="312" w:lineRule="auto"/>
        <w:ind w:firstLine="480"/>
        <w:rPr>
          <w:rFonts w:ascii="仿宋" w:hAnsi="仿宋" w:cs="仿宋"/>
          <w:b/>
          <w:color w:val="000000" w:themeColor="text1"/>
          <w:sz w:val="24"/>
          <w14:textFill>
            <w14:solidFill>
              <w14:schemeClr w14:val="tx1"/>
            </w14:solidFill>
          </w14:textFill>
        </w:rPr>
      </w:pPr>
      <w:r>
        <w:rPr>
          <w:rFonts w:hint="eastAsia" w:ascii="仿宋" w:hAnsi="仿宋" w:cs="仿宋"/>
          <w:b/>
          <w:color w:val="000000" w:themeColor="text1"/>
          <w:sz w:val="24"/>
          <w14:textFill>
            <w14:solidFill>
              <w14:schemeClr w14:val="tx1"/>
            </w14:solidFill>
          </w14:textFill>
        </w:rPr>
        <w:t>预算金额（元）：990000.00</w:t>
      </w:r>
    </w:p>
    <w:p w14:paraId="782227EF">
      <w:pPr>
        <w:pStyle w:val="15"/>
        <w:spacing w:line="312" w:lineRule="auto"/>
        <w:ind w:firstLine="480"/>
        <w:rPr>
          <w:rFonts w:ascii="仿宋" w:hAnsi="仿宋" w:cs="仿宋"/>
          <w:bCs/>
          <w:snapToGrid/>
          <w:color w:val="000000" w:themeColor="text1"/>
          <w:kern w:val="2"/>
          <w:sz w:val="24"/>
          <w:szCs w:val="24"/>
          <w14:textFill>
            <w14:solidFill>
              <w14:schemeClr w14:val="tx1"/>
            </w14:solidFill>
          </w14:textFill>
        </w:rPr>
      </w:pPr>
      <w:r>
        <w:rPr>
          <w:rFonts w:hint="eastAsia" w:ascii="仿宋" w:hAnsi="仿宋" w:cs="仿宋"/>
          <w:b/>
          <w:color w:val="000000" w:themeColor="text1"/>
          <w:sz w:val="24"/>
          <w14:textFill>
            <w14:solidFill>
              <w14:schemeClr w14:val="tx1"/>
            </w14:solidFill>
          </w14:textFill>
        </w:rPr>
        <w:t>简要规格描述或项目基本概况介绍、用途：继续教育数字化二期系统采购</w:t>
      </w:r>
      <w:r>
        <w:rPr>
          <w:rFonts w:hint="eastAsia" w:ascii="仿宋" w:hAnsi="仿宋" w:cs="仿宋"/>
          <w:bCs/>
          <w:snapToGrid/>
          <w:color w:val="000000" w:themeColor="text1"/>
          <w:kern w:val="2"/>
          <w:sz w:val="24"/>
          <w:szCs w:val="24"/>
          <w14:textFill>
            <w14:solidFill>
              <w14:schemeClr w14:val="tx1"/>
            </w14:solidFill>
          </w14:textFill>
        </w:rPr>
        <w:t>。具体以招标文件第三部分采购需求为准，供应商可点击本公告下方“浏览采购文件”查看采购需求。</w:t>
      </w:r>
    </w:p>
    <w:p w14:paraId="5E45D6BC">
      <w:pPr>
        <w:pStyle w:val="15"/>
        <w:spacing w:line="312" w:lineRule="auto"/>
        <w:ind w:firstLine="480"/>
        <w:rPr>
          <w:rFonts w:ascii="仿宋" w:hAnsi="仿宋" w:cs="仿宋"/>
          <w:b/>
          <w:color w:val="000000" w:themeColor="text1"/>
          <w:sz w:val="24"/>
          <w14:textFill>
            <w14:solidFill>
              <w14:schemeClr w14:val="tx1"/>
            </w14:solidFill>
          </w14:textFill>
        </w:rPr>
      </w:pPr>
      <w:r>
        <w:rPr>
          <w:rFonts w:hint="eastAsia" w:ascii="仿宋" w:hAnsi="仿宋" w:cs="仿宋"/>
          <w:b/>
          <w:color w:val="000000" w:themeColor="text1"/>
          <w:sz w:val="24"/>
          <w14:textFill>
            <w14:solidFill>
              <w14:schemeClr w14:val="tx1"/>
            </w14:solidFill>
          </w14:textFill>
        </w:rPr>
        <w:t>备注：</w:t>
      </w:r>
    </w:p>
    <w:p w14:paraId="3358CE35">
      <w:pPr>
        <w:pStyle w:val="15"/>
        <w:spacing w:line="312" w:lineRule="auto"/>
        <w:ind w:firstLine="480"/>
        <w:rPr>
          <w:rFonts w:ascii="仿宋" w:hAnsi="仿宋" w:cs="仿宋"/>
          <w:bCs/>
          <w:snapToGrid/>
          <w:color w:val="auto"/>
          <w:kern w:val="2"/>
          <w:sz w:val="24"/>
          <w:szCs w:val="24"/>
        </w:rPr>
      </w:pPr>
    </w:p>
    <w:p w14:paraId="6B0A95A6">
      <w:pPr>
        <w:pStyle w:val="15"/>
        <w:spacing w:line="312" w:lineRule="auto"/>
        <w:ind w:firstLine="480"/>
        <w:rPr>
          <w:rFonts w:ascii="仿宋" w:hAnsi="仿宋" w:cs="仿宋"/>
          <w:b/>
          <w:color w:val="auto"/>
          <w:sz w:val="24"/>
        </w:rPr>
      </w:pPr>
      <w:r>
        <w:rPr>
          <w:rFonts w:hint="eastAsia" w:ascii="仿宋" w:hAnsi="仿宋" w:cs="仿宋"/>
          <w:b/>
          <w:color w:val="auto"/>
          <w:sz w:val="24"/>
        </w:rPr>
        <w:t>合同履约期限：按照招标文件要求。</w:t>
      </w:r>
    </w:p>
    <w:p w14:paraId="533138C8">
      <w:pPr>
        <w:pStyle w:val="15"/>
        <w:spacing w:line="312" w:lineRule="auto"/>
        <w:ind w:firstLine="480"/>
        <w:rPr>
          <w:rFonts w:ascii="仿宋" w:hAnsi="仿宋" w:cs="仿宋"/>
          <w:color w:val="auto"/>
          <w:kern w:val="0"/>
          <w:sz w:val="24"/>
        </w:rPr>
      </w:pPr>
      <w:r>
        <w:rPr>
          <w:rFonts w:hint="eastAsia" w:ascii="仿宋" w:hAnsi="仿宋" w:cs="仿宋"/>
          <w:b/>
          <w:color w:val="auto"/>
          <w:sz w:val="24"/>
        </w:rPr>
        <w:t>本项目接受联合体投标：</w:t>
      </w:r>
      <w:sdt>
        <w:sdtPr>
          <w:rPr>
            <w:rFonts w:hint="eastAsia" w:ascii="仿宋" w:hAnsi="仿宋" w:cs="仿宋"/>
            <w:color w:val="auto"/>
            <w:kern w:val="0"/>
            <w:sz w:val="24"/>
          </w:rPr>
          <w:id w:val="2035453831"/>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r>
        <w:rPr>
          <w:rFonts w:hint="eastAsia" w:ascii="仿宋" w:hAnsi="仿宋" w:cs="仿宋"/>
          <w:b/>
          <w:color w:val="auto"/>
          <w:sz w:val="24"/>
        </w:rPr>
        <w:t>是，</w:t>
      </w:r>
      <w:sdt>
        <w:sdtPr>
          <w:rPr>
            <w:rFonts w:hint="eastAsia" w:ascii="仿宋" w:hAnsi="仿宋" w:cs="仿宋"/>
            <w:color w:val="auto"/>
            <w:kern w:val="0"/>
            <w:sz w:val="24"/>
          </w:rPr>
          <w:id w:val="16465563"/>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r>
        <w:rPr>
          <w:rFonts w:hint="eastAsia" w:ascii="仿宋" w:hAnsi="仿宋" w:cs="仿宋"/>
          <w:b/>
          <w:color w:val="auto"/>
          <w:sz w:val="24"/>
        </w:rPr>
        <w:t>否</w:t>
      </w:r>
      <w:r>
        <w:rPr>
          <w:rFonts w:hint="eastAsia" w:ascii="仿宋" w:hAnsi="仿宋" w:cs="仿宋"/>
          <w:color w:val="auto"/>
          <w:kern w:val="0"/>
          <w:sz w:val="24"/>
        </w:rPr>
        <w:t>。</w:t>
      </w:r>
    </w:p>
    <w:p w14:paraId="79EE0349">
      <w:pPr>
        <w:spacing w:line="360" w:lineRule="auto"/>
        <w:rPr>
          <w:rFonts w:ascii="仿宋" w:hAnsi="仿宋" w:cs="仿宋"/>
          <w:b/>
        </w:rPr>
      </w:pPr>
      <w:r>
        <w:rPr>
          <w:rFonts w:hint="eastAsia" w:ascii="仿宋" w:hAnsi="仿宋" w:cs="仿宋"/>
          <w:b/>
        </w:rPr>
        <w:t>二、申请人的资格要求：</w:t>
      </w:r>
    </w:p>
    <w:p w14:paraId="68409608">
      <w:pPr>
        <w:spacing w:line="360" w:lineRule="auto"/>
        <w:ind w:firstLine="480"/>
        <w:rPr>
          <w:rFonts w:ascii="仿宋" w:hAnsi="仿宋" w:cs="仿宋"/>
          <w:snapToGrid w:val="0"/>
          <w:kern w:val="28"/>
          <w:szCs w:val="20"/>
        </w:rPr>
      </w:pPr>
      <w:r>
        <w:rPr>
          <w:rFonts w:hint="eastAsia" w:ascii="仿宋" w:hAnsi="仿宋" w:cs="仿宋"/>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7912B11">
      <w:pPr>
        <w:spacing w:line="360" w:lineRule="auto"/>
        <w:ind w:firstLine="480" w:firstLineChars="200"/>
        <w:rPr>
          <w:rFonts w:ascii="仿宋" w:hAnsi="仿宋" w:cs="仿宋"/>
          <w:snapToGrid w:val="0"/>
          <w:kern w:val="28"/>
          <w:szCs w:val="20"/>
        </w:rPr>
      </w:pPr>
      <w:r>
        <w:rPr>
          <w:rFonts w:hint="eastAsia" w:ascii="仿宋" w:hAnsi="仿宋" w:cs="仿宋"/>
          <w:snapToGrid w:val="0"/>
          <w:kern w:val="28"/>
          <w:szCs w:val="20"/>
        </w:rPr>
        <w:t>2.落实政府采购政策需满足的资格要求：本项目专门面向中小企业采购，所投货物应由中小企业生产且使用该中小企业商号或者注册商标（监狱企业及残疾人福利性单位视同小型、微型企业）；本项目对应的中小企业划分标准所属行业为软件和信息技术服务业。</w:t>
      </w:r>
    </w:p>
    <w:p w14:paraId="53A67702">
      <w:pPr>
        <w:spacing w:line="360" w:lineRule="auto"/>
        <w:ind w:firstLine="480" w:firstLineChars="200"/>
        <w:rPr>
          <w:rFonts w:ascii="仿宋" w:hAnsi="仿宋" w:cs="仿宋"/>
        </w:rPr>
      </w:pPr>
      <w:r>
        <w:rPr>
          <w:rFonts w:hint="eastAsia" w:ascii="仿宋" w:hAnsi="仿宋" w:cs="仿宋"/>
          <w:snapToGrid w:val="0"/>
          <w:kern w:val="28"/>
          <w:szCs w:val="20"/>
        </w:rPr>
        <w:t>3.本项目的特定资格要求：无。</w:t>
      </w:r>
    </w:p>
    <w:p w14:paraId="2794A49B">
      <w:pPr>
        <w:spacing w:line="360" w:lineRule="auto"/>
        <w:rPr>
          <w:rFonts w:ascii="仿宋" w:hAnsi="仿宋" w:cs="仿宋"/>
          <w:b/>
        </w:rPr>
      </w:pPr>
      <w:r>
        <w:rPr>
          <w:rFonts w:hint="eastAsia" w:ascii="仿宋" w:hAnsi="仿宋" w:cs="仿宋"/>
          <w:b/>
        </w:rPr>
        <w:t>三、获取招标文件</w:t>
      </w:r>
    </w:p>
    <w:p w14:paraId="17A2AA18">
      <w:pPr>
        <w:spacing w:line="360" w:lineRule="auto"/>
        <w:ind w:firstLine="482" w:firstLineChars="200"/>
        <w:rPr>
          <w:rFonts w:ascii="仿宋" w:hAnsi="仿宋" w:cs="仿宋"/>
        </w:rPr>
      </w:pPr>
      <w:r>
        <w:rPr>
          <w:rFonts w:hint="eastAsia" w:ascii="仿宋" w:hAnsi="仿宋" w:cs="仿宋"/>
          <w:b/>
        </w:rPr>
        <w:t>时间：</w:t>
      </w:r>
      <w:r>
        <w:rPr>
          <w:rFonts w:hint="eastAsia" w:ascii="仿宋" w:hAnsi="仿宋" w:cs="仿宋"/>
        </w:rPr>
        <w:t>/至</w:t>
      </w:r>
      <w:r>
        <w:rPr>
          <w:rFonts w:hint="eastAsia" w:ascii="仿宋" w:hAnsi="仿宋" w:cs="仿宋"/>
          <w:u w:val="single"/>
        </w:rPr>
        <w:t>2024年12月</w:t>
      </w:r>
      <w:r>
        <w:rPr>
          <w:rFonts w:hint="eastAsia" w:ascii="仿宋" w:hAnsi="仿宋" w:cs="仿宋"/>
          <w:u w:val="single"/>
          <w:lang w:val="en-US" w:eastAsia="zh-CN"/>
        </w:rPr>
        <w:t>16</w:t>
      </w:r>
      <w:r>
        <w:rPr>
          <w:rFonts w:hint="eastAsia" w:ascii="仿宋" w:hAnsi="仿宋" w:cs="仿宋"/>
          <w:u w:val="single"/>
        </w:rPr>
        <w:t>日</w:t>
      </w:r>
      <w:r>
        <w:rPr>
          <w:rFonts w:hint="eastAsia" w:ascii="仿宋" w:hAnsi="仿宋" w:cs="仿宋"/>
        </w:rPr>
        <w:t>，每天上午00:00至12:00 ，下午12:00至23:59（北京时间，线上获取法定节假日均可，线下获取文件法定节假日除外）</w:t>
      </w:r>
    </w:p>
    <w:p w14:paraId="5F5C2E15">
      <w:pPr>
        <w:spacing w:line="360" w:lineRule="auto"/>
        <w:ind w:firstLine="482" w:firstLineChars="200"/>
        <w:rPr>
          <w:rFonts w:ascii="仿宋" w:hAnsi="仿宋" w:cs="仿宋"/>
        </w:rPr>
      </w:pPr>
      <w:r>
        <w:rPr>
          <w:rFonts w:hint="eastAsia" w:ascii="仿宋" w:hAnsi="仿宋" w:cs="仿宋"/>
          <w:b/>
        </w:rPr>
        <w:t>地点（网址）：</w:t>
      </w:r>
      <w:r>
        <w:rPr>
          <w:rFonts w:hint="eastAsia" w:ascii="仿宋" w:hAnsi="仿宋" w:cs="仿宋"/>
        </w:rPr>
        <w:t xml:space="preserve">政采云平台（https://www.zcygov.cn/） </w:t>
      </w:r>
    </w:p>
    <w:p w14:paraId="4E1DFEF6">
      <w:pPr>
        <w:spacing w:line="360" w:lineRule="auto"/>
        <w:ind w:firstLine="482" w:firstLineChars="200"/>
        <w:rPr>
          <w:rFonts w:ascii="仿宋" w:hAnsi="仿宋" w:cs="仿宋"/>
        </w:rPr>
      </w:pPr>
      <w:r>
        <w:rPr>
          <w:rFonts w:hint="eastAsia" w:ascii="仿宋" w:hAnsi="仿宋" w:cs="仿宋"/>
          <w:b/>
        </w:rPr>
        <w:t>方式：</w:t>
      </w:r>
      <w:r>
        <w:rPr>
          <w:rFonts w:hint="eastAsia" w:ascii="仿宋" w:hAnsi="仿宋" w:cs="仿宋"/>
        </w:rPr>
        <w:t xml:space="preserve">供应商登录政采云平台https://www.zcygov.cn/在线申请获取采购文件（进入“项目采购”应用，在获取采购文件菜单中选择项目，申请获取采购文件）。 </w:t>
      </w:r>
    </w:p>
    <w:p w14:paraId="54446517">
      <w:pPr>
        <w:spacing w:line="360" w:lineRule="auto"/>
        <w:ind w:firstLine="482" w:firstLineChars="200"/>
        <w:rPr>
          <w:rFonts w:ascii="仿宋" w:hAnsi="仿宋" w:cs="仿宋"/>
        </w:rPr>
      </w:pPr>
      <w:r>
        <w:rPr>
          <w:rFonts w:hint="eastAsia" w:ascii="仿宋" w:hAnsi="仿宋" w:cs="仿宋"/>
          <w:b/>
        </w:rPr>
        <w:t>售价（元）：</w:t>
      </w:r>
      <w:r>
        <w:rPr>
          <w:rFonts w:hint="eastAsia" w:ascii="仿宋" w:hAnsi="仿宋" w:cs="仿宋"/>
        </w:rPr>
        <w:t>0</w:t>
      </w:r>
    </w:p>
    <w:p w14:paraId="6B34082D">
      <w:pPr>
        <w:spacing w:line="360" w:lineRule="auto"/>
        <w:rPr>
          <w:rFonts w:ascii="仿宋" w:hAnsi="仿宋" w:cs="仿宋"/>
          <w:b/>
        </w:rPr>
      </w:pPr>
      <w:r>
        <w:rPr>
          <w:rFonts w:hint="eastAsia" w:ascii="仿宋" w:hAnsi="仿宋" w:cs="仿宋"/>
          <w:b/>
        </w:rPr>
        <w:t>四、提交投标文件截止时间、开标时间和地点</w:t>
      </w:r>
    </w:p>
    <w:p w14:paraId="7594C26E">
      <w:pPr>
        <w:spacing w:line="360" w:lineRule="auto"/>
        <w:ind w:firstLine="482" w:firstLineChars="200"/>
        <w:rPr>
          <w:rFonts w:ascii="仿宋" w:hAnsi="仿宋" w:cs="仿宋"/>
        </w:rPr>
      </w:pPr>
      <w:r>
        <w:rPr>
          <w:rFonts w:hint="eastAsia" w:ascii="仿宋" w:hAnsi="仿宋" w:cs="仿宋"/>
          <w:b/>
        </w:rPr>
        <w:t>提交投标文件截止时间：</w:t>
      </w:r>
      <w:r>
        <w:rPr>
          <w:rFonts w:hint="eastAsia" w:ascii="仿宋" w:hAnsi="仿宋" w:cs="仿宋"/>
          <w:u w:val="single"/>
        </w:rPr>
        <w:t>2024年12月</w:t>
      </w:r>
      <w:r>
        <w:rPr>
          <w:rFonts w:hint="eastAsia" w:ascii="仿宋" w:hAnsi="仿宋" w:cs="仿宋"/>
          <w:u w:val="single"/>
          <w:lang w:val="en-US" w:eastAsia="zh-CN"/>
        </w:rPr>
        <w:t>16</w:t>
      </w:r>
      <w:r>
        <w:rPr>
          <w:rFonts w:hint="eastAsia" w:ascii="仿宋" w:hAnsi="仿宋" w:cs="仿宋"/>
          <w:u w:val="single"/>
        </w:rPr>
        <w:t>日9点00分</w:t>
      </w:r>
      <w:r>
        <w:rPr>
          <w:rFonts w:hint="eastAsia" w:ascii="仿宋" w:hAnsi="仿宋" w:cs="仿宋"/>
        </w:rPr>
        <w:t>（北京时间）</w:t>
      </w:r>
    </w:p>
    <w:p w14:paraId="498E832B">
      <w:pPr>
        <w:spacing w:line="360" w:lineRule="auto"/>
        <w:ind w:firstLine="482" w:firstLineChars="200"/>
        <w:rPr>
          <w:rFonts w:ascii="仿宋" w:hAnsi="仿宋" w:cs="仿宋"/>
          <w:b/>
        </w:rPr>
      </w:pPr>
      <w:r>
        <w:rPr>
          <w:rFonts w:hint="eastAsia" w:ascii="仿宋" w:hAnsi="仿宋" w:cs="仿宋"/>
          <w:b/>
        </w:rPr>
        <w:t>投标地点（网址）：</w:t>
      </w:r>
      <w:r>
        <w:rPr>
          <w:rFonts w:hint="eastAsia" w:ascii="仿宋" w:hAnsi="仿宋" w:cs="仿宋"/>
        </w:rPr>
        <w:t xml:space="preserve">政采云平台（https://www.zcygov.cn/） </w:t>
      </w:r>
    </w:p>
    <w:p w14:paraId="5FDAB51B">
      <w:pPr>
        <w:spacing w:line="360" w:lineRule="auto"/>
        <w:ind w:firstLine="482" w:firstLineChars="200"/>
        <w:rPr>
          <w:rFonts w:ascii="仿宋" w:hAnsi="仿宋" w:cs="仿宋"/>
          <w:bCs/>
          <w:u w:val="single"/>
        </w:rPr>
      </w:pPr>
      <w:r>
        <w:rPr>
          <w:rFonts w:hint="eastAsia" w:ascii="仿宋" w:hAnsi="仿宋" w:cs="仿宋"/>
          <w:b/>
        </w:rPr>
        <w:t>开标时间：</w:t>
      </w:r>
      <w:r>
        <w:rPr>
          <w:rFonts w:hint="eastAsia" w:ascii="仿宋" w:hAnsi="仿宋" w:cs="仿宋"/>
          <w:u w:val="single"/>
        </w:rPr>
        <w:t>2024年12月</w:t>
      </w:r>
      <w:r>
        <w:rPr>
          <w:rFonts w:hint="eastAsia" w:ascii="仿宋" w:hAnsi="仿宋" w:cs="仿宋"/>
          <w:u w:val="single"/>
          <w:lang w:val="en-US" w:eastAsia="zh-CN"/>
        </w:rPr>
        <w:t>16</w:t>
      </w:r>
      <w:r>
        <w:rPr>
          <w:rFonts w:hint="eastAsia" w:ascii="仿宋" w:hAnsi="仿宋" w:cs="仿宋"/>
          <w:u w:val="single"/>
        </w:rPr>
        <w:t>日9点00分</w:t>
      </w:r>
    </w:p>
    <w:p w14:paraId="11B318DB">
      <w:pPr>
        <w:spacing w:line="360" w:lineRule="auto"/>
        <w:ind w:firstLine="482" w:firstLineChars="200"/>
        <w:rPr>
          <w:rFonts w:ascii="仿宋" w:hAnsi="仿宋" w:cs="仿宋"/>
        </w:rPr>
      </w:pPr>
      <w:r>
        <w:rPr>
          <w:rFonts w:hint="eastAsia" w:ascii="仿宋" w:hAnsi="仿宋" w:cs="仿宋"/>
          <w:b/>
        </w:rPr>
        <w:t>开标地点（网址）：</w:t>
      </w:r>
      <w:r>
        <w:rPr>
          <w:rFonts w:hint="eastAsia" w:ascii="仿宋" w:hAnsi="仿宋" w:cs="仿宋"/>
        </w:rPr>
        <w:t>政采云平台（https://www.zcygov.cn/）</w:t>
      </w:r>
    </w:p>
    <w:p w14:paraId="279BA7AE">
      <w:pPr>
        <w:spacing w:line="360" w:lineRule="auto"/>
        <w:rPr>
          <w:rFonts w:ascii="仿宋" w:hAnsi="仿宋" w:cs="仿宋"/>
        </w:rPr>
      </w:pPr>
      <w:r>
        <w:rPr>
          <w:rFonts w:hint="eastAsia" w:ascii="仿宋" w:hAnsi="仿宋" w:cs="仿宋"/>
          <w:b/>
        </w:rPr>
        <w:t>五、公告期限</w:t>
      </w:r>
    </w:p>
    <w:p w14:paraId="442FBD33">
      <w:pPr>
        <w:spacing w:line="360" w:lineRule="auto"/>
        <w:ind w:firstLine="480" w:firstLineChars="200"/>
        <w:rPr>
          <w:rFonts w:ascii="仿宋" w:hAnsi="仿宋" w:cs="仿宋"/>
        </w:rPr>
      </w:pPr>
      <w:r>
        <w:rPr>
          <w:rFonts w:hint="eastAsia" w:ascii="仿宋" w:hAnsi="仿宋" w:cs="仿宋"/>
        </w:rPr>
        <w:t>自本公告发布之日起5个工作日。</w:t>
      </w:r>
    </w:p>
    <w:p w14:paraId="17B43609">
      <w:pPr>
        <w:spacing w:line="360" w:lineRule="auto"/>
        <w:rPr>
          <w:rFonts w:ascii="仿宋" w:hAnsi="仿宋" w:cs="仿宋"/>
          <w:b/>
        </w:rPr>
      </w:pPr>
      <w:r>
        <w:rPr>
          <w:rFonts w:hint="eastAsia" w:ascii="仿宋" w:hAnsi="仿宋" w:cs="仿宋"/>
          <w:b/>
        </w:rPr>
        <w:t>六、其他补充事宜</w:t>
      </w:r>
    </w:p>
    <w:p w14:paraId="67457BB3">
      <w:pPr>
        <w:spacing w:line="360" w:lineRule="auto"/>
        <w:ind w:firstLine="480" w:firstLineChars="200"/>
        <w:rPr>
          <w:rFonts w:ascii="仿宋" w:hAnsi="仿宋" w:cs="仿宋"/>
        </w:rPr>
      </w:pPr>
      <w:r>
        <w:rPr>
          <w:rFonts w:hint="eastAsia" w:ascii="仿宋" w:hAnsi="仿宋" w:cs="仿宋"/>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56C90C4">
      <w:pPr>
        <w:spacing w:line="360" w:lineRule="auto"/>
        <w:ind w:firstLine="480" w:firstLineChars="200"/>
        <w:rPr>
          <w:rFonts w:ascii="仿宋" w:hAnsi="仿宋" w:cs="仿宋"/>
        </w:rPr>
      </w:pPr>
      <w:r>
        <w:rPr>
          <w:rFonts w:hint="eastAsia" w:ascii="仿宋" w:hAnsi="仿宋" w:cs="仿宋"/>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321BA3">
      <w:pPr>
        <w:spacing w:line="360" w:lineRule="auto"/>
        <w:ind w:firstLine="480" w:firstLineChars="200"/>
        <w:rPr>
          <w:rFonts w:ascii="仿宋" w:hAnsi="仿宋" w:cs="仿宋"/>
        </w:rPr>
      </w:pPr>
      <w:r>
        <w:rPr>
          <w:rFonts w:hint="eastAsia" w:ascii="仿宋" w:hAnsi="仿宋" w:cs="仿宋"/>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B13194D">
      <w:pPr>
        <w:spacing w:line="360" w:lineRule="auto"/>
        <w:ind w:firstLine="480" w:firstLineChars="200"/>
        <w:rPr>
          <w:rFonts w:ascii="仿宋" w:hAnsi="仿宋" w:cs="仿宋"/>
        </w:rPr>
      </w:pPr>
      <w:r>
        <w:rPr>
          <w:rFonts w:hint="eastAsia" w:ascii="仿宋" w:hAnsi="仿宋" w:cs="仿宋"/>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w:t>
      </w:r>
      <w:r>
        <w:rPr>
          <w:rFonts w:hint="eastAsia" w:ascii="仿宋" w:hAnsi="仿宋" w:cs="仿宋"/>
          <w:color w:val="000000" w:themeColor="text1"/>
          <w14:textFill>
            <w14:solidFill>
              <w14:schemeClr w14:val="tx1"/>
            </w14:solidFill>
          </w14:textFill>
        </w:rPr>
        <w:t>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w:t>
      </w:r>
      <w:r>
        <w:rPr>
          <w:rFonts w:hint="eastAsia" w:ascii="仿宋" w:hAnsi="仿宋" w:cs="仿宋"/>
        </w:rPr>
        <w:t>工作日。</w:t>
      </w:r>
    </w:p>
    <w:p w14:paraId="4BA0A484">
      <w:pPr>
        <w:spacing w:line="360" w:lineRule="auto"/>
        <w:rPr>
          <w:rFonts w:ascii="仿宋" w:hAnsi="仿宋" w:cs="仿宋"/>
          <w:b/>
        </w:rPr>
      </w:pPr>
      <w:r>
        <w:rPr>
          <w:rFonts w:hint="eastAsia" w:ascii="仿宋" w:hAnsi="仿宋" w:cs="仿宋"/>
          <w:b/>
        </w:rPr>
        <w:t>七、对本次采购提出询问、质疑、投诉，请按以下方式联系</w:t>
      </w:r>
    </w:p>
    <w:p w14:paraId="61D055DC">
      <w:pPr>
        <w:spacing w:line="360" w:lineRule="auto"/>
        <w:ind w:firstLine="480" w:firstLineChars="200"/>
        <w:rPr>
          <w:rFonts w:ascii="仿宋" w:hAnsi="仿宋" w:cs="仿宋"/>
        </w:rPr>
      </w:pPr>
      <w:r>
        <w:rPr>
          <w:rFonts w:hint="eastAsia" w:ascii="仿宋" w:hAnsi="仿宋" w:cs="仿宋"/>
        </w:rPr>
        <w:t>1.采购人信息</w:t>
      </w:r>
    </w:p>
    <w:p w14:paraId="37E415FA">
      <w:pPr>
        <w:spacing w:line="360" w:lineRule="auto"/>
        <w:ind w:firstLine="480" w:firstLineChars="200"/>
        <w:rPr>
          <w:rFonts w:ascii="仿宋" w:hAnsi="仿宋" w:cs="仿宋"/>
        </w:rPr>
      </w:pPr>
      <w:r>
        <w:rPr>
          <w:rFonts w:hint="eastAsia" w:ascii="仿宋" w:hAnsi="仿宋" w:cs="仿宋"/>
        </w:rPr>
        <w:t>名称：浙江工业大学</w:t>
      </w:r>
    </w:p>
    <w:p w14:paraId="2A8CD08B">
      <w:pPr>
        <w:spacing w:line="360" w:lineRule="auto"/>
        <w:ind w:firstLine="480" w:firstLineChars="200"/>
        <w:rPr>
          <w:rFonts w:ascii="仿宋" w:hAnsi="仿宋" w:cs="仿宋"/>
        </w:rPr>
      </w:pPr>
      <w:r>
        <w:rPr>
          <w:rFonts w:hint="eastAsia" w:ascii="仿宋" w:hAnsi="仿宋" w:cs="仿宋"/>
        </w:rPr>
        <w:t>地址：</w:t>
      </w:r>
      <w:bookmarkStart w:id="12" w:name="OLE_LINK23"/>
      <w:r>
        <w:rPr>
          <w:rFonts w:hint="eastAsia" w:ascii="仿宋" w:hAnsi="仿宋" w:cs="仿宋"/>
        </w:rPr>
        <w:t>浙江省杭州市潮王路18</w:t>
      </w:r>
      <w:bookmarkStart w:id="13" w:name="OLE_LINK22"/>
      <w:r>
        <w:rPr>
          <w:rFonts w:hint="eastAsia" w:ascii="仿宋" w:hAnsi="仿宋" w:cs="仿宋"/>
        </w:rPr>
        <w:t>号</w:t>
      </w:r>
      <w:bookmarkEnd w:id="12"/>
      <w:bookmarkEnd w:id="13"/>
    </w:p>
    <w:p w14:paraId="254F4E76">
      <w:pPr>
        <w:spacing w:line="360" w:lineRule="auto"/>
        <w:ind w:firstLine="480" w:firstLineChars="200"/>
        <w:rPr>
          <w:rFonts w:ascii="仿宋" w:hAnsi="仿宋" w:cs="仿宋"/>
        </w:rPr>
      </w:pPr>
      <w:r>
        <w:rPr>
          <w:rFonts w:hint="eastAsia" w:ascii="仿宋" w:hAnsi="仿宋" w:cs="仿宋"/>
        </w:rPr>
        <w:t>项目联系人（询问）：</w:t>
      </w:r>
      <w:bookmarkStart w:id="14" w:name="OLE_LINK18"/>
      <w:r>
        <w:rPr>
          <w:rFonts w:hint="eastAsia" w:ascii="仿宋" w:hAnsi="仿宋" w:cs="仿宋"/>
        </w:rPr>
        <w:t>郑老师</w:t>
      </w:r>
      <w:bookmarkEnd w:id="14"/>
    </w:p>
    <w:p w14:paraId="2E2C4078">
      <w:pPr>
        <w:spacing w:line="360" w:lineRule="auto"/>
        <w:ind w:firstLine="480" w:firstLineChars="200"/>
        <w:rPr>
          <w:rFonts w:ascii="仿宋" w:hAnsi="仿宋" w:cs="仿宋"/>
        </w:rPr>
      </w:pPr>
      <w:r>
        <w:rPr>
          <w:rFonts w:hint="eastAsia" w:ascii="仿宋" w:hAnsi="仿宋" w:cs="仿宋"/>
        </w:rPr>
        <w:t>项目联系方式（询问）： 13357197827</w:t>
      </w:r>
    </w:p>
    <w:p w14:paraId="39222CA9">
      <w:pPr>
        <w:spacing w:line="360" w:lineRule="auto"/>
        <w:ind w:firstLine="480" w:firstLineChars="200"/>
        <w:rPr>
          <w:rFonts w:ascii="仿宋" w:hAnsi="仿宋" w:cs="仿宋"/>
        </w:rPr>
      </w:pPr>
      <w:r>
        <w:rPr>
          <w:rFonts w:hint="eastAsia" w:ascii="仿宋" w:hAnsi="仿宋" w:cs="仿宋"/>
        </w:rPr>
        <w:t>质疑联系人：</w:t>
      </w:r>
      <w:bookmarkStart w:id="15" w:name="OLE_LINK20"/>
      <w:r>
        <w:rPr>
          <w:rFonts w:hint="eastAsia" w:ascii="仿宋" w:hAnsi="仿宋" w:cs="仿宋"/>
        </w:rPr>
        <w:t>马老师</w:t>
      </w:r>
      <w:bookmarkEnd w:id="15"/>
    </w:p>
    <w:p w14:paraId="3FE22437">
      <w:pPr>
        <w:spacing w:line="360" w:lineRule="auto"/>
        <w:ind w:firstLine="480" w:firstLineChars="200"/>
        <w:rPr>
          <w:rFonts w:ascii="仿宋" w:hAnsi="仿宋" w:cs="仿宋"/>
        </w:rPr>
      </w:pPr>
      <w:r>
        <w:rPr>
          <w:rFonts w:hint="eastAsia" w:ascii="仿宋" w:hAnsi="仿宋" w:cs="仿宋"/>
        </w:rPr>
        <w:t>质疑联系方式：</w:t>
      </w:r>
      <w:bookmarkStart w:id="16" w:name="OLE_LINK21"/>
      <w:r>
        <w:rPr>
          <w:rFonts w:hint="eastAsia" w:ascii="仿宋" w:hAnsi="仿宋" w:cs="仿宋"/>
        </w:rPr>
        <w:t>0571-88320626</w:t>
      </w:r>
      <w:bookmarkEnd w:id="16"/>
    </w:p>
    <w:p w14:paraId="151097A1">
      <w:pPr>
        <w:spacing w:line="360" w:lineRule="auto"/>
        <w:ind w:firstLine="480" w:firstLineChars="200"/>
        <w:rPr>
          <w:rFonts w:ascii="仿宋" w:hAnsi="仿宋" w:cs="仿宋"/>
        </w:rPr>
      </w:pPr>
      <w:r>
        <w:rPr>
          <w:rFonts w:hint="eastAsia" w:ascii="仿宋" w:hAnsi="仿宋" w:cs="仿宋"/>
        </w:rPr>
        <w:t>2.采购代理机构信息</w:t>
      </w:r>
    </w:p>
    <w:p w14:paraId="19DEF300">
      <w:pPr>
        <w:spacing w:line="360" w:lineRule="auto"/>
        <w:ind w:firstLine="480" w:firstLineChars="200"/>
        <w:rPr>
          <w:rFonts w:ascii="仿宋" w:hAnsi="仿宋" w:cs="仿宋"/>
        </w:rPr>
      </w:pPr>
      <w:r>
        <w:rPr>
          <w:rFonts w:hint="eastAsia" w:ascii="仿宋" w:hAnsi="仿宋" w:cs="仿宋"/>
        </w:rPr>
        <w:t>名称：浙江国际招投标有限公司</w:t>
      </w:r>
    </w:p>
    <w:p w14:paraId="71B06E24">
      <w:pPr>
        <w:spacing w:line="360" w:lineRule="auto"/>
        <w:ind w:firstLine="480" w:firstLineChars="200"/>
        <w:rPr>
          <w:rFonts w:ascii="仿宋" w:hAnsi="仿宋" w:cs="仿宋"/>
        </w:rPr>
      </w:pPr>
      <w:r>
        <w:rPr>
          <w:rFonts w:hint="eastAsia" w:ascii="仿宋" w:hAnsi="仿宋" w:cs="仿宋"/>
        </w:rPr>
        <w:t>地址：杭州市文三路90号东部软件园1号楼3楼</w:t>
      </w:r>
    </w:p>
    <w:p w14:paraId="2B496146">
      <w:pPr>
        <w:spacing w:line="360" w:lineRule="auto"/>
        <w:ind w:firstLine="480" w:firstLineChars="200"/>
        <w:rPr>
          <w:rFonts w:ascii="仿宋" w:hAnsi="仿宋" w:cs="仿宋"/>
        </w:rPr>
      </w:pPr>
      <w:r>
        <w:rPr>
          <w:rFonts w:hint="eastAsia" w:ascii="仿宋" w:hAnsi="仿宋" w:cs="仿宋"/>
        </w:rPr>
        <w:t>传真：/</w:t>
      </w:r>
    </w:p>
    <w:p w14:paraId="27D4ECC7">
      <w:pPr>
        <w:spacing w:line="360" w:lineRule="auto"/>
        <w:ind w:firstLine="480" w:firstLineChars="200"/>
        <w:rPr>
          <w:rFonts w:ascii="仿宋" w:hAnsi="仿宋" w:cs="仿宋"/>
        </w:rPr>
      </w:pPr>
      <w:r>
        <w:rPr>
          <w:rFonts w:hint="eastAsia" w:ascii="仿宋" w:hAnsi="仿宋" w:cs="仿宋"/>
        </w:rPr>
        <w:t>项目联系人（询问）：汪懿婷、苑洪春</w:t>
      </w:r>
    </w:p>
    <w:p w14:paraId="55E5F21F">
      <w:pPr>
        <w:spacing w:line="360" w:lineRule="auto"/>
        <w:ind w:firstLine="480" w:firstLineChars="200"/>
        <w:rPr>
          <w:rFonts w:ascii="仿宋" w:hAnsi="仿宋" w:cs="仿宋"/>
        </w:rPr>
      </w:pPr>
      <w:r>
        <w:rPr>
          <w:rFonts w:hint="eastAsia" w:ascii="仿宋" w:hAnsi="仿宋" w:cs="仿宋"/>
        </w:rPr>
        <w:t>项目联系方式（询问）：0571-89731843</w:t>
      </w:r>
    </w:p>
    <w:p w14:paraId="4E0D2016">
      <w:pPr>
        <w:spacing w:line="360" w:lineRule="auto"/>
        <w:ind w:firstLine="480" w:firstLineChars="200"/>
        <w:rPr>
          <w:rFonts w:ascii="仿宋" w:hAnsi="仿宋" w:cs="仿宋"/>
        </w:rPr>
      </w:pPr>
      <w:r>
        <w:rPr>
          <w:rFonts w:hint="eastAsia" w:ascii="仿宋" w:hAnsi="仿宋" w:cs="仿宋"/>
        </w:rPr>
        <w:t>质疑联系人：赵娟</w:t>
      </w:r>
    </w:p>
    <w:p w14:paraId="1BD81E56">
      <w:pPr>
        <w:spacing w:line="360" w:lineRule="auto"/>
        <w:ind w:firstLine="480" w:firstLineChars="200"/>
        <w:rPr>
          <w:rFonts w:ascii="仿宋" w:hAnsi="仿宋" w:cs="仿宋"/>
        </w:rPr>
      </w:pPr>
      <w:r>
        <w:rPr>
          <w:rFonts w:hint="eastAsia" w:ascii="仿宋" w:hAnsi="仿宋" w:cs="仿宋"/>
        </w:rPr>
        <w:t>质疑联系方式：0571-81061819</w:t>
      </w:r>
    </w:p>
    <w:p w14:paraId="67D399F8">
      <w:pPr>
        <w:spacing w:line="360" w:lineRule="auto"/>
        <w:ind w:firstLine="480" w:firstLineChars="200"/>
        <w:rPr>
          <w:rFonts w:ascii="仿宋" w:hAnsi="仿宋" w:cs="仿宋"/>
        </w:rPr>
      </w:pPr>
      <w:r>
        <w:rPr>
          <w:rFonts w:hint="eastAsia" w:ascii="仿宋" w:hAnsi="仿宋" w:cs="仿宋"/>
        </w:rPr>
        <w:t>3.该项目由采购人处理采购争议。质疑环节，采购人委托采购代理机构处理的，可由采购代理机构答复。对质疑答复不满意的，向采购人内部设置的采购监督机构反映。</w:t>
      </w:r>
    </w:p>
    <w:p w14:paraId="44C11673">
      <w:pPr>
        <w:spacing w:line="360" w:lineRule="auto"/>
        <w:ind w:firstLine="480" w:firstLineChars="200"/>
        <w:rPr>
          <w:rFonts w:ascii="仿宋" w:hAnsi="仿宋" w:cs="仿宋"/>
        </w:rPr>
      </w:pPr>
      <w:r>
        <w:rPr>
          <w:rFonts w:hint="eastAsia" w:ascii="仿宋" w:hAnsi="仿宋" w:cs="仿宋"/>
        </w:rPr>
        <w:t>政策咨询：何一平、冯华，0571-87058424、87055741</w:t>
      </w:r>
    </w:p>
    <w:p w14:paraId="05F86DB2">
      <w:pPr>
        <w:spacing w:line="360" w:lineRule="auto"/>
        <w:ind w:firstLine="480" w:firstLineChars="200"/>
        <w:rPr>
          <w:rFonts w:ascii="仿宋" w:hAnsi="仿宋" w:cs="仿宋"/>
          <w:sz w:val="28"/>
          <w:szCs w:val="28"/>
        </w:rPr>
      </w:pPr>
      <w:r>
        <w:rPr>
          <w:rFonts w:hint="eastAsia" w:ascii="仿宋" w:hAnsi="仿宋" w:cs="仿宋"/>
        </w:rPr>
        <w:t>预算金额未达100万元的采购项目，由采购人处理采购争议。</w:t>
      </w:r>
    </w:p>
    <w:p w14:paraId="713B5A43">
      <w:pPr>
        <w:spacing w:line="360" w:lineRule="auto"/>
        <w:ind w:firstLine="480" w:firstLineChars="200"/>
        <w:rPr>
          <w:rFonts w:ascii="仿宋" w:hAnsi="仿宋" w:cs="仿宋"/>
        </w:rPr>
      </w:pPr>
      <w:r>
        <w:rPr>
          <w:rFonts w:hint="eastAsia" w:ascii="仿宋" w:hAnsi="仿宋" w:cs="仿宋"/>
        </w:rPr>
        <w:t>若对项目采购电子交易系统操作有疑问，可登录政采云（https://www.zcygov.cn/），点击右侧咨询小采，获取采小蜜智能服务管家帮助，或拨打政采云服务热线95763获取热线服务帮助。</w:t>
      </w:r>
    </w:p>
    <w:p w14:paraId="3BCDD328">
      <w:pPr>
        <w:spacing w:line="360" w:lineRule="auto"/>
        <w:ind w:firstLine="480" w:firstLineChars="200"/>
        <w:rPr>
          <w:rFonts w:ascii="仿宋" w:hAnsi="仿宋" w:cs="仿宋"/>
        </w:rPr>
      </w:pPr>
      <w:r>
        <w:rPr>
          <w:rFonts w:hint="eastAsia" w:ascii="仿宋" w:hAnsi="仿宋" w:cs="仿宋"/>
        </w:rPr>
        <w:t>CA问题联系电话（人工）：汇信CA 400-888-4636；天谷CA 400-087-8198。</w:t>
      </w:r>
    </w:p>
    <w:p w14:paraId="5C7D6354">
      <w:pPr>
        <w:adjustRightInd/>
        <w:spacing w:line="360" w:lineRule="auto"/>
        <w:jc w:val="center"/>
        <w:outlineLvl w:val="0"/>
        <w:rPr>
          <w:rFonts w:ascii="仿宋" w:hAnsi="仿宋" w:cs="仿宋"/>
          <w:b/>
          <w:sz w:val="36"/>
          <w:szCs w:val="20"/>
        </w:rPr>
      </w:pPr>
      <w:r>
        <w:rPr>
          <w:rFonts w:hint="eastAsia" w:ascii="仿宋" w:hAnsi="仿宋" w:cs="仿宋"/>
          <w:b/>
          <w:sz w:val="36"/>
          <w:szCs w:val="20"/>
        </w:rPr>
        <w:br w:type="page"/>
      </w:r>
      <w:bookmarkStart w:id="17" w:name="_Toc11261"/>
      <w:r>
        <w:rPr>
          <w:rFonts w:hint="eastAsia" w:ascii="仿宋" w:hAnsi="仿宋" w:cs="仿宋"/>
          <w:b/>
          <w:sz w:val="36"/>
          <w:szCs w:val="20"/>
        </w:rPr>
        <w:t>第二部分</w:t>
      </w:r>
      <w:bookmarkEnd w:id="9"/>
      <w:r>
        <w:rPr>
          <w:rFonts w:hint="eastAsia" w:ascii="仿宋" w:hAnsi="仿宋" w:cs="仿宋"/>
          <w:b/>
          <w:sz w:val="36"/>
          <w:szCs w:val="20"/>
        </w:rPr>
        <w:t xml:space="preserve">  投标人须知</w:t>
      </w:r>
      <w:bookmarkEnd w:id="10"/>
      <w:bookmarkEnd w:id="17"/>
    </w:p>
    <w:p w14:paraId="1BFB8F44">
      <w:pPr>
        <w:spacing w:line="360" w:lineRule="auto"/>
        <w:jc w:val="center"/>
        <w:rPr>
          <w:rFonts w:ascii="仿宋" w:hAnsi="仿宋" w:cs="仿宋"/>
          <w:b/>
          <w:sz w:val="32"/>
          <w:szCs w:val="20"/>
        </w:rPr>
      </w:pPr>
      <w:r>
        <w:rPr>
          <w:rFonts w:hint="eastAsia" w:ascii="仿宋" w:hAnsi="仿宋" w:cs="仿宋"/>
          <w:b/>
          <w:sz w:val="32"/>
          <w:szCs w:val="20"/>
        </w:rPr>
        <w:t>前附表</w:t>
      </w:r>
    </w:p>
    <w:tbl>
      <w:tblPr>
        <w:tblStyle w:val="62"/>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14:paraId="77918C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blHeader/>
        </w:trPr>
        <w:tc>
          <w:tcPr>
            <w:tcW w:w="629" w:type="dxa"/>
            <w:tcBorders>
              <w:tl2br w:val="nil"/>
              <w:tr2bl w:val="nil"/>
            </w:tcBorders>
            <w:vAlign w:val="center"/>
          </w:tcPr>
          <w:p w14:paraId="4FF9C671">
            <w:pPr>
              <w:spacing w:line="288" w:lineRule="auto"/>
              <w:jc w:val="center"/>
              <w:rPr>
                <w:rFonts w:ascii="仿宋" w:hAnsi="仿宋" w:cs="仿宋"/>
                <w:b/>
              </w:rPr>
            </w:pPr>
            <w:r>
              <w:rPr>
                <w:rFonts w:hint="eastAsia" w:ascii="仿宋" w:hAnsi="仿宋" w:cs="仿宋"/>
                <w:b/>
              </w:rPr>
              <w:t>序号</w:t>
            </w:r>
          </w:p>
        </w:tc>
        <w:tc>
          <w:tcPr>
            <w:tcW w:w="1843" w:type="dxa"/>
            <w:tcBorders>
              <w:tl2br w:val="nil"/>
              <w:tr2bl w:val="nil"/>
            </w:tcBorders>
            <w:vAlign w:val="center"/>
          </w:tcPr>
          <w:p w14:paraId="67EAE174">
            <w:pPr>
              <w:spacing w:line="288" w:lineRule="auto"/>
              <w:jc w:val="center"/>
              <w:rPr>
                <w:rFonts w:ascii="仿宋" w:hAnsi="仿宋" w:cs="仿宋"/>
                <w:b/>
              </w:rPr>
            </w:pPr>
            <w:r>
              <w:rPr>
                <w:rFonts w:hint="eastAsia" w:ascii="仿宋" w:hAnsi="仿宋" w:cs="仿宋"/>
                <w:b/>
              </w:rPr>
              <w:t>事项</w:t>
            </w:r>
          </w:p>
        </w:tc>
        <w:tc>
          <w:tcPr>
            <w:tcW w:w="6095" w:type="dxa"/>
            <w:tcBorders>
              <w:tl2br w:val="nil"/>
              <w:tr2bl w:val="nil"/>
            </w:tcBorders>
            <w:vAlign w:val="center"/>
          </w:tcPr>
          <w:p w14:paraId="77DE537E">
            <w:pPr>
              <w:spacing w:line="288" w:lineRule="auto"/>
              <w:jc w:val="center"/>
              <w:rPr>
                <w:rFonts w:ascii="仿宋" w:hAnsi="仿宋" w:cs="仿宋"/>
                <w:b/>
              </w:rPr>
            </w:pPr>
            <w:r>
              <w:rPr>
                <w:rFonts w:hint="eastAsia" w:ascii="仿宋" w:hAnsi="仿宋" w:cs="仿宋"/>
                <w:b/>
              </w:rPr>
              <w:t>本项目的特别规定</w:t>
            </w:r>
          </w:p>
        </w:tc>
      </w:tr>
      <w:tr w14:paraId="222829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6D72FD53">
            <w:pPr>
              <w:spacing w:line="288" w:lineRule="auto"/>
              <w:jc w:val="center"/>
              <w:rPr>
                <w:rFonts w:ascii="仿宋" w:hAnsi="仿宋" w:cs="仿宋"/>
              </w:rPr>
            </w:pPr>
            <w:r>
              <w:rPr>
                <w:rFonts w:hint="eastAsia" w:ascii="仿宋" w:hAnsi="仿宋" w:cs="仿宋"/>
              </w:rPr>
              <w:t>1</w:t>
            </w:r>
          </w:p>
        </w:tc>
        <w:tc>
          <w:tcPr>
            <w:tcW w:w="1843" w:type="dxa"/>
            <w:tcBorders>
              <w:tl2br w:val="nil"/>
              <w:tr2bl w:val="nil"/>
            </w:tcBorders>
            <w:vAlign w:val="center"/>
          </w:tcPr>
          <w:p w14:paraId="75482E8B">
            <w:pPr>
              <w:spacing w:line="288" w:lineRule="auto"/>
              <w:jc w:val="center"/>
              <w:rPr>
                <w:rFonts w:ascii="仿宋" w:hAnsi="仿宋" w:cs="仿宋"/>
                <w:b/>
              </w:rPr>
            </w:pPr>
            <w:r>
              <w:rPr>
                <w:rFonts w:hint="eastAsia" w:ascii="仿宋" w:hAnsi="仿宋" w:cs="仿宋"/>
                <w:b/>
              </w:rPr>
              <w:t>项目属性与核心产品</w:t>
            </w:r>
          </w:p>
        </w:tc>
        <w:tc>
          <w:tcPr>
            <w:tcW w:w="6095" w:type="dxa"/>
            <w:tcBorders>
              <w:tl2br w:val="nil"/>
              <w:tr2bl w:val="nil"/>
            </w:tcBorders>
            <w:vAlign w:val="center"/>
          </w:tcPr>
          <w:p w14:paraId="7F261521">
            <w:pPr>
              <w:spacing w:line="288" w:lineRule="auto"/>
              <w:rPr>
                <w:rFonts w:ascii="仿宋" w:hAnsi="仿宋" w:cs="仿宋"/>
                <w:u w:val="single"/>
              </w:rPr>
            </w:pPr>
            <w:r>
              <w:rPr>
                <w:rFonts w:hint="eastAsia" w:ascii="仿宋" w:hAnsi="仿宋" w:cs="仿宋"/>
              </w:rPr>
              <w:t>货物类，单一产品或核心产品为：继续教育数字化二期系统。</w:t>
            </w:r>
          </w:p>
        </w:tc>
      </w:tr>
      <w:tr w14:paraId="5FDDBD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12F7EE8E">
            <w:pPr>
              <w:spacing w:line="288" w:lineRule="auto"/>
              <w:jc w:val="center"/>
              <w:rPr>
                <w:rFonts w:ascii="仿宋" w:hAnsi="仿宋" w:cs="仿宋"/>
              </w:rPr>
            </w:pPr>
            <w:r>
              <w:rPr>
                <w:rFonts w:hint="eastAsia" w:ascii="仿宋" w:hAnsi="仿宋" w:cs="仿宋"/>
              </w:rPr>
              <w:t>2</w:t>
            </w:r>
          </w:p>
        </w:tc>
        <w:tc>
          <w:tcPr>
            <w:tcW w:w="1843" w:type="dxa"/>
            <w:tcBorders>
              <w:tl2br w:val="nil"/>
              <w:tr2bl w:val="nil"/>
            </w:tcBorders>
            <w:vAlign w:val="center"/>
          </w:tcPr>
          <w:p w14:paraId="7FFD7E6D">
            <w:pPr>
              <w:spacing w:line="288" w:lineRule="auto"/>
              <w:jc w:val="center"/>
              <w:rPr>
                <w:rFonts w:ascii="仿宋" w:hAnsi="仿宋" w:cs="仿宋"/>
              </w:rPr>
            </w:pPr>
            <w:r>
              <w:rPr>
                <w:rFonts w:hint="eastAsia" w:ascii="仿宋" w:hAnsi="仿宋" w:cs="仿宋"/>
              </w:rPr>
              <w:t>采购标的对应的中小企业划分标准所属行业</w:t>
            </w:r>
          </w:p>
        </w:tc>
        <w:tc>
          <w:tcPr>
            <w:tcW w:w="6095" w:type="dxa"/>
            <w:tcBorders>
              <w:tl2br w:val="nil"/>
              <w:tr2bl w:val="nil"/>
            </w:tcBorders>
            <w:vAlign w:val="center"/>
          </w:tcPr>
          <w:p w14:paraId="048F2C13">
            <w:pPr>
              <w:spacing w:line="288" w:lineRule="auto"/>
              <w:rPr>
                <w:rFonts w:ascii="仿宋" w:hAnsi="仿宋" w:cs="仿宋"/>
              </w:rPr>
            </w:pPr>
            <w:r>
              <w:rPr>
                <w:rFonts w:hint="eastAsia" w:ascii="仿宋" w:hAnsi="仿宋" w:cs="仿宋"/>
              </w:rPr>
              <w:t>标的：继续教育数字化二期系统，属于软件和信息技术服务业。</w:t>
            </w:r>
          </w:p>
        </w:tc>
      </w:tr>
      <w:tr w14:paraId="52A300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6DA64D44">
            <w:pPr>
              <w:spacing w:line="288" w:lineRule="auto"/>
              <w:jc w:val="center"/>
              <w:rPr>
                <w:rFonts w:ascii="仿宋" w:hAnsi="仿宋" w:cs="仿宋"/>
              </w:rPr>
            </w:pPr>
            <w:r>
              <w:rPr>
                <w:rFonts w:hint="eastAsia" w:ascii="仿宋" w:hAnsi="仿宋" w:cs="仿宋"/>
              </w:rPr>
              <w:t>3</w:t>
            </w:r>
          </w:p>
        </w:tc>
        <w:tc>
          <w:tcPr>
            <w:tcW w:w="1843" w:type="dxa"/>
            <w:tcBorders>
              <w:tl2br w:val="nil"/>
              <w:tr2bl w:val="nil"/>
            </w:tcBorders>
            <w:vAlign w:val="center"/>
          </w:tcPr>
          <w:p w14:paraId="41D9E1A8">
            <w:pPr>
              <w:spacing w:line="288" w:lineRule="auto"/>
              <w:jc w:val="center"/>
              <w:rPr>
                <w:rFonts w:ascii="仿宋" w:hAnsi="仿宋" w:cs="仿宋"/>
                <w:b/>
              </w:rPr>
            </w:pPr>
            <w:r>
              <w:rPr>
                <w:rFonts w:hint="eastAsia" w:ascii="仿宋" w:hAnsi="仿宋" w:cs="仿宋"/>
                <w:b/>
              </w:rPr>
              <w:t>是否允许采购进口产品</w:t>
            </w:r>
          </w:p>
        </w:tc>
        <w:tc>
          <w:tcPr>
            <w:tcW w:w="6095" w:type="dxa"/>
            <w:tcBorders>
              <w:tl2br w:val="nil"/>
              <w:tr2bl w:val="nil"/>
            </w:tcBorders>
            <w:vAlign w:val="center"/>
          </w:tcPr>
          <w:p w14:paraId="7E9D1ECB">
            <w:pPr>
              <w:spacing w:line="288" w:lineRule="auto"/>
              <w:rPr>
                <w:rFonts w:ascii="仿宋" w:hAnsi="仿宋" w:cs="仿宋"/>
                <w:kern w:val="0"/>
              </w:rPr>
            </w:pPr>
            <w:sdt>
              <w:sdtPr>
                <w:rPr>
                  <w:rFonts w:hint="eastAsia" w:ascii="仿宋" w:hAnsi="仿宋" w:cs="仿宋"/>
                  <w:kern w:val="0"/>
                </w:rPr>
                <w:id w:val="16465564"/>
                <w:showingPlcHdr/>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本项目不允许采购进口产品。</w:t>
            </w:r>
          </w:p>
          <w:p w14:paraId="0F29121B">
            <w:pPr>
              <w:spacing w:line="288" w:lineRule="auto"/>
              <w:rPr>
                <w:rFonts w:ascii="仿宋" w:hAnsi="仿宋" w:cs="仿宋"/>
              </w:rPr>
            </w:pPr>
            <w:sdt>
              <w:sdtPr>
                <w:rPr>
                  <w:rFonts w:hint="eastAsia" w:ascii="仿宋" w:hAnsi="仿宋" w:cs="仿宋"/>
                  <w:kern w:val="0"/>
                </w:rPr>
                <w:id w:val="16465565"/>
                <w:showingPlcHdr/>
              </w:sdtPr>
              <w:sdtEndPr>
                <w:rPr>
                  <w:rFonts w:hint="eastAsia" w:ascii="仿宋" w:hAnsi="仿宋" w:cs="仿宋"/>
                  <w:kern w:val="0"/>
                  <w:highlight w:val="cyan"/>
                </w:rPr>
              </w:sdtEndPr>
              <w:sdtContent/>
            </w:sdt>
            <w:r>
              <w:rPr>
                <w:rFonts w:hint="eastAsia" w:ascii="仿宋" w:hAnsi="仿宋" w:cs="仿宋"/>
                <w:kern w:val="0"/>
              </w:rPr>
              <w:t>☐</w:t>
            </w:r>
            <w:r>
              <w:rPr>
                <w:rFonts w:hint="eastAsia" w:ascii="仿宋" w:hAnsi="仿宋" w:cs="仿宋"/>
              </w:rPr>
              <w:t>就</w:t>
            </w:r>
            <w:r>
              <w:rPr>
                <w:rFonts w:hint="eastAsia" w:ascii="仿宋" w:hAnsi="仿宋" w:cs="仿宋"/>
                <w:u w:val="single"/>
              </w:rPr>
              <w:t xml:space="preserve">               </w:t>
            </w:r>
            <w:r>
              <w:rPr>
                <w:rFonts w:hint="eastAsia" w:ascii="仿宋" w:hAnsi="仿宋" w:cs="仿宋"/>
                <w:kern w:val="0"/>
              </w:rPr>
              <w:t>可以采购进口产品。</w:t>
            </w:r>
          </w:p>
        </w:tc>
      </w:tr>
      <w:tr w14:paraId="06543B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6E37BB89">
            <w:pPr>
              <w:spacing w:line="288" w:lineRule="auto"/>
              <w:jc w:val="center"/>
              <w:rPr>
                <w:rFonts w:ascii="仿宋" w:hAnsi="仿宋" w:cs="仿宋"/>
              </w:rPr>
            </w:pPr>
            <w:r>
              <w:rPr>
                <w:rFonts w:hint="eastAsia" w:ascii="仿宋" w:hAnsi="仿宋" w:cs="仿宋"/>
              </w:rPr>
              <w:t>4</w:t>
            </w:r>
          </w:p>
        </w:tc>
        <w:tc>
          <w:tcPr>
            <w:tcW w:w="1843" w:type="dxa"/>
            <w:tcBorders>
              <w:tl2br w:val="nil"/>
              <w:tr2bl w:val="nil"/>
            </w:tcBorders>
            <w:vAlign w:val="center"/>
          </w:tcPr>
          <w:p w14:paraId="39C4488B">
            <w:pPr>
              <w:spacing w:line="288" w:lineRule="auto"/>
              <w:jc w:val="center"/>
              <w:rPr>
                <w:rFonts w:ascii="仿宋" w:hAnsi="仿宋" w:cs="仿宋"/>
                <w:b/>
              </w:rPr>
            </w:pPr>
            <w:r>
              <w:rPr>
                <w:rFonts w:hint="eastAsia" w:ascii="仿宋" w:hAnsi="仿宋" w:cs="仿宋"/>
                <w:b/>
              </w:rPr>
              <w:t>分包</w:t>
            </w:r>
          </w:p>
        </w:tc>
        <w:tc>
          <w:tcPr>
            <w:tcW w:w="6095" w:type="dxa"/>
            <w:tcBorders>
              <w:tl2br w:val="nil"/>
              <w:tr2bl w:val="nil"/>
            </w:tcBorders>
            <w:vAlign w:val="center"/>
          </w:tcPr>
          <w:p w14:paraId="1B9D8DBC">
            <w:pPr>
              <w:spacing w:line="288" w:lineRule="auto"/>
              <w:rPr>
                <w:rFonts w:ascii="仿宋" w:hAnsi="仿宋" w:cs="仿宋"/>
              </w:rPr>
            </w:pPr>
            <w:r>
              <w:rPr>
                <w:rFonts w:hint="eastAsia" w:ascii="仿宋" w:hAnsi="仿宋" w:cs="仿宋"/>
                <w:kern w:val="0"/>
              </w:rPr>
              <w:t>■A</w:t>
            </w:r>
            <w:r>
              <w:rPr>
                <w:rFonts w:hint="eastAsia" w:ascii="仿宋" w:hAnsi="仿宋" w:cs="仿宋"/>
              </w:rPr>
              <w:t>同意将非主体、非关键性的</w:t>
            </w:r>
            <w:r>
              <w:rPr>
                <w:rFonts w:hint="eastAsia" w:ascii="仿宋" w:hAnsi="仿宋" w:cs="仿宋"/>
                <w:u w:val="single"/>
              </w:rPr>
              <w:t xml:space="preserve"> 运输 </w:t>
            </w:r>
            <w:r>
              <w:rPr>
                <w:rFonts w:hint="eastAsia" w:ascii="仿宋" w:hAnsi="仿宋" w:cs="仿宋"/>
              </w:rPr>
              <w:t>工作分包。</w:t>
            </w:r>
          </w:p>
          <w:p w14:paraId="16F5755E">
            <w:pPr>
              <w:spacing w:line="288" w:lineRule="auto"/>
              <w:rPr>
                <w:rFonts w:ascii="仿宋" w:hAnsi="仿宋" w:cs="仿宋"/>
              </w:rPr>
            </w:pPr>
            <w:sdt>
              <w:sdtPr>
                <w:rPr>
                  <w:rFonts w:hint="eastAsia" w:ascii="仿宋" w:hAnsi="仿宋" w:cs="仿宋"/>
                  <w:kern w:val="0"/>
                </w:rPr>
                <w:id w:val="16465566"/>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w:t>
            </w:r>
            <w:r>
              <w:rPr>
                <w:rFonts w:hint="eastAsia" w:ascii="仿宋" w:hAnsi="仿宋" w:cs="仿宋"/>
              </w:rPr>
              <w:t>不同意分包。</w:t>
            </w:r>
          </w:p>
          <w:p w14:paraId="0AC4742D">
            <w:pPr>
              <w:spacing w:line="288" w:lineRule="auto"/>
              <w:rPr>
                <w:rFonts w:ascii="仿宋" w:hAnsi="仿宋" w:cs="仿宋"/>
              </w:rPr>
            </w:pPr>
            <w:r>
              <w:rPr>
                <w:rFonts w:hint="eastAsia" w:ascii="仿宋" w:hAnsi="仿宋" w:cs="仿宋"/>
              </w:rPr>
              <w:t>注：不得限制大中型企业向小微企业合理分包。</w:t>
            </w:r>
          </w:p>
        </w:tc>
      </w:tr>
      <w:tr w14:paraId="7976C9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1408D578">
            <w:pPr>
              <w:spacing w:line="288" w:lineRule="auto"/>
              <w:jc w:val="center"/>
              <w:rPr>
                <w:rFonts w:ascii="仿宋" w:hAnsi="仿宋" w:cs="仿宋"/>
              </w:rPr>
            </w:pPr>
            <w:r>
              <w:rPr>
                <w:rFonts w:hint="eastAsia" w:ascii="仿宋" w:hAnsi="仿宋" w:cs="仿宋"/>
              </w:rPr>
              <w:t>5</w:t>
            </w:r>
          </w:p>
        </w:tc>
        <w:tc>
          <w:tcPr>
            <w:tcW w:w="1843" w:type="dxa"/>
            <w:tcBorders>
              <w:tl2br w:val="nil"/>
              <w:tr2bl w:val="nil"/>
            </w:tcBorders>
            <w:vAlign w:val="center"/>
          </w:tcPr>
          <w:p w14:paraId="61FB3A5E">
            <w:pPr>
              <w:spacing w:line="288" w:lineRule="auto"/>
              <w:jc w:val="center"/>
              <w:rPr>
                <w:rFonts w:ascii="仿宋" w:hAnsi="仿宋" w:cs="仿宋"/>
                <w:b/>
              </w:rPr>
            </w:pPr>
            <w:r>
              <w:rPr>
                <w:rFonts w:hint="eastAsia" w:ascii="仿宋" w:hAnsi="仿宋" w:cs="仿宋"/>
                <w:b/>
              </w:rPr>
              <w:t>开标前答疑会或现场考察</w:t>
            </w:r>
          </w:p>
        </w:tc>
        <w:tc>
          <w:tcPr>
            <w:tcW w:w="6095" w:type="dxa"/>
            <w:tcBorders>
              <w:tl2br w:val="nil"/>
              <w:tr2bl w:val="nil"/>
            </w:tcBorders>
            <w:vAlign w:val="center"/>
          </w:tcPr>
          <w:p w14:paraId="5ECFF2D0">
            <w:pPr>
              <w:spacing w:line="288" w:lineRule="auto"/>
              <w:rPr>
                <w:rFonts w:ascii="仿宋" w:hAnsi="仿宋" w:cs="仿宋"/>
              </w:rPr>
            </w:pPr>
            <w:r>
              <w:rPr>
                <w:rFonts w:hint="eastAsia" w:ascii="仿宋" w:hAnsi="仿宋" w:cs="仿宋"/>
                <w:kern w:val="0"/>
              </w:rPr>
              <w:t>■A</w:t>
            </w:r>
            <w:r>
              <w:rPr>
                <w:rFonts w:hint="eastAsia" w:ascii="仿宋" w:hAnsi="仿宋" w:cs="仿宋"/>
              </w:rPr>
              <w:t>不组织。</w:t>
            </w:r>
          </w:p>
          <w:p w14:paraId="1460F465">
            <w:pPr>
              <w:spacing w:line="288" w:lineRule="auto"/>
              <w:rPr>
                <w:rFonts w:ascii="仿宋" w:hAnsi="仿宋" w:cs="仿宋"/>
                <w:szCs w:val="20"/>
              </w:rPr>
            </w:pPr>
            <w:sdt>
              <w:sdtPr>
                <w:rPr>
                  <w:rFonts w:hint="eastAsia" w:ascii="仿宋" w:hAnsi="仿宋" w:cs="仿宋"/>
                  <w:kern w:val="0"/>
                </w:rPr>
                <w:id w:val="16465567"/>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B组织，</w:t>
            </w:r>
            <w:r>
              <w:rPr>
                <w:rFonts w:hint="eastAsia" w:ascii="仿宋" w:hAnsi="仿宋" w:cs="仿宋"/>
              </w:rPr>
              <w:t>时间：,地点：，联系人：，联系方式：</w:t>
            </w:r>
            <w:r>
              <w:rPr>
                <w:rFonts w:hint="eastAsia" w:ascii="仿宋" w:hAnsi="仿宋" w:cs="仿宋"/>
                <w:szCs w:val="20"/>
              </w:rPr>
              <w:t>。</w:t>
            </w:r>
          </w:p>
        </w:tc>
      </w:tr>
      <w:tr w14:paraId="6FBAD2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726E1930">
            <w:pPr>
              <w:spacing w:line="288" w:lineRule="auto"/>
              <w:jc w:val="center"/>
              <w:rPr>
                <w:rFonts w:ascii="仿宋" w:hAnsi="仿宋" w:cs="仿宋"/>
              </w:rPr>
            </w:pPr>
            <w:r>
              <w:rPr>
                <w:rFonts w:hint="eastAsia" w:ascii="仿宋" w:hAnsi="仿宋" w:cs="仿宋"/>
              </w:rPr>
              <w:t>6</w:t>
            </w:r>
          </w:p>
        </w:tc>
        <w:tc>
          <w:tcPr>
            <w:tcW w:w="1843" w:type="dxa"/>
            <w:tcBorders>
              <w:tl2br w:val="nil"/>
              <w:tr2bl w:val="nil"/>
            </w:tcBorders>
            <w:vAlign w:val="center"/>
          </w:tcPr>
          <w:p w14:paraId="7344F39E">
            <w:pPr>
              <w:spacing w:line="288" w:lineRule="auto"/>
              <w:jc w:val="center"/>
              <w:rPr>
                <w:rFonts w:ascii="仿宋" w:hAnsi="仿宋" w:cs="仿宋"/>
                <w:b/>
              </w:rPr>
            </w:pPr>
            <w:r>
              <w:rPr>
                <w:rFonts w:hint="eastAsia" w:ascii="仿宋" w:hAnsi="仿宋" w:cs="仿宋"/>
                <w:b/>
              </w:rPr>
              <w:t>样品提供</w:t>
            </w:r>
          </w:p>
        </w:tc>
        <w:tc>
          <w:tcPr>
            <w:tcW w:w="6095" w:type="dxa"/>
            <w:tcBorders>
              <w:tl2br w:val="nil"/>
              <w:tr2bl w:val="nil"/>
            </w:tcBorders>
            <w:vAlign w:val="center"/>
          </w:tcPr>
          <w:p w14:paraId="7CE4F66E">
            <w:pPr>
              <w:spacing w:line="288" w:lineRule="auto"/>
              <w:rPr>
                <w:rFonts w:ascii="仿宋" w:hAnsi="仿宋" w:cs="仿宋"/>
              </w:rPr>
            </w:pPr>
            <w:sdt>
              <w:sdtPr>
                <w:rPr>
                  <w:rFonts w:hint="eastAsia" w:ascii="仿宋" w:hAnsi="仿宋" w:cs="仿宋"/>
                  <w:kern w:val="0"/>
                </w:rPr>
                <w:id w:val="1026831988"/>
              </w:sdtPr>
              <w:sdtEndPr>
                <w:rPr>
                  <w:rFonts w:hint="eastAsia" w:ascii="仿宋" w:hAnsi="仿宋" w:cs="仿宋"/>
                  <w:kern w:val="0"/>
                </w:rPr>
              </w:sdtEndPr>
              <w:sdtContent>
                <w:sdt>
                  <w:sdtPr>
                    <w:rPr>
                      <w:rFonts w:hint="eastAsia" w:ascii="仿宋" w:hAnsi="仿宋" w:cs="仿宋"/>
                      <w:kern w:val="0"/>
                    </w:rPr>
                    <w:id w:val="16465568"/>
                    <w:showingPlcHdr/>
                  </w:sdtPr>
                  <w:sdtEndPr>
                    <w:rPr>
                      <w:rFonts w:hint="eastAsia" w:ascii="仿宋" w:hAnsi="仿宋" w:cs="仿宋"/>
                      <w:kern w:val="0"/>
                    </w:rPr>
                  </w:sdtEndPr>
                  <w:sdtContent>
                    <w:r>
                      <w:rPr>
                        <w:rFonts w:hint="eastAsia" w:ascii="仿宋" w:hAnsi="仿宋" w:cs="仿宋"/>
                        <w:kern w:val="0"/>
                      </w:rPr>
                      <w:t>■</w:t>
                    </w:r>
                  </w:sdtContent>
                </w:sdt>
              </w:sdtContent>
            </w:sdt>
            <w:r>
              <w:rPr>
                <w:rFonts w:hint="eastAsia" w:ascii="仿宋" w:hAnsi="仿宋" w:cs="仿宋"/>
                <w:kern w:val="0"/>
              </w:rPr>
              <w:t>A</w:t>
            </w:r>
            <w:r>
              <w:rPr>
                <w:rFonts w:hint="eastAsia" w:ascii="仿宋" w:hAnsi="仿宋" w:cs="仿宋"/>
              </w:rPr>
              <w:t>不要求提供。</w:t>
            </w:r>
          </w:p>
          <w:p w14:paraId="2525B022">
            <w:pPr>
              <w:spacing w:line="288" w:lineRule="auto"/>
              <w:rPr>
                <w:rFonts w:ascii="仿宋" w:hAnsi="仿宋" w:cs="仿宋"/>
                <w:kern w:val="0"/>
              </w:rPr>
            </w:pPr>
            <w:r>
              <w:rPr>
                <w:rFonts w:hint="eastAsia" w:ascii="仿宋" w:hAnsi="仿宋" w:cs="仿宋"/>
                <w:kern w:val="0"/>
              </w:rPr>
              <w:t>☐B要求提供，</w:t>
            </w:r>
          </w:p>
          <w:p w14:paraId="47AA93C8">
            <w:pPr>
              <w:numPr>
                <w:ilvl w:val="0"/>
                <w:numId w:val="2"/>
              </w:numPr>
              <w:spacing w:line="288" w:lineRule="auto"/>
              <w:ind w:left="0" w:firstLine="0"/>
              <w:rPr>
                <w:rFonts w:ascii="仿宋" w:hAnsi="仿宋" w:cs="仿宋"/>
                <w:kern w:val="0"/>
              </w:rPr>
            </w:pPr>
            <w:r>
              <w:rPr>
                <w:rFonts w:hint="eastAsia" w:ascii="仿宋" w:hAnsi="仿宋" w:cs="仿宋"/>
                <w:snapToGrid w:val="0"/>
                <w:kern w:val="28"/>
              </w:rPr>
              <w:t>样品：/</w:t>
            </w:r>
            <w:r>
              <w:rPr>
                <w:rFonts w:hint="eastAsia" w:ascii="仿宋" w:hAnsi="仿宋" w:cs="仿宋"/>
                <w:kern w:val="0"/>
              </w:rPr>
              <w:t>；</w:t>
            </w:r>
          </w:p>
          <w:p w14:paraId="5FEFE916">
            <w:pPr>
              <w:numPr>
                <w:ilvl w:val="0"/>
                <w:numId w:val="2"/>
              </w:numPr>
              <w:spacing w:line="288" w:lineRule="auto"/>
              <w:ind w:left="0" w:firstLine="0"/>
              <w:rPr>
                <w:rFonts w:ascii="仿宋" w:hAnsi="仿宋" w:cs="仿宋"/>
                <w:kern w:val="0"/>
              </w:rPr>
            </w:pPr>
            <w:r>
              <w:rPr>
                <w:rFonts w:hint="eastAsia" w:ascii="仿宋" w:hAnsi="仿宋" w:cs="仿宋"/>
                <w:snapToGrid w:val="0"/>
                <w:kern w:val="28"/>
              </w:rPr>
              <w:t>样品制作的标准和要求：/</w:t>
            </w:r>
            <w:r>
              <w:rPr>
                <w:rFonts w:hint="eastAsia" w:ascii="仿宋" w:hAnsi="仿宋" w:cs="仿宋"/>
                <w:kern w:val="0"/>
              </w:rPr>
              <w:t>；</w:t>
            </w:r>
          </w:p>
          <w:p w14:paraId="1866CD07">
            <w:pPr>
              <w:numPr>
                <w:ilvl w:val="0"/>
                <w:numId w:val="2"/>
              </w:numPr>
              <w:spacing w:line="288" w:lineRule="auto"/>
              <w:ind w:left="0" w:firstLine="0"/>
              <w:rPr>
                <w:rFonts w:ascii="仿宋" w:hAnsi="仿宋" w:cs="仿宋"/>
                <w:kern w:val="0"/>
              </w:rPr>
            </w:pPr>
            <w:r>
              <w:rPr>
                <w:rFonts w:hint="eastAsia" w:ascii="仿宋" w:hAnsi="仿宋" w:cs="仿宋"/>
                <w:kern w:val="0"/>
              </w:rPr>
              <w:t>样品的评审方法以及评审标准</w:t>
            </w:r>
            <w:r>
              <w:rPr>
                <w:rFonts w:hint="eastAsia" w:ascii="仿宋" w:hAnsi="仿宋" w:cs="仿宋"/>
                <w:snapToGrid w:val="0"/>
                <w:kern w:val="28"/>
              </w:rPr>
              <w:t>：详见</w:t>
            </w:r>
            <w:r>
              <w:rPr>
                <w:rFonts w:hint="eastAsia" w:ascii="仿宋" w:hAnsi="仿宋" w:cs="仿宋"/>
                <w:snapToGrid w:val="0"/>
                <w:kern w:val="28"/>
                <w:u w:val="single"/>
              </w:rPr>
              <w:t>/</w:t>
            </w:r>
            <w:r>
              <w:rPr>
                <w:rFonts w:hint="eastAsia" w:ascii="仿宋" w:hAnsi="仿宋" w:cs="仿宋"/>
                <w:kern w:val="0"/>
              </w:rPr>
              <w:t>；</w:t>
            </w:r>
          </w:p>
          <w:p w14:paraId="46AC38EB">
            <w:pPr>
              <w:numPr>
                <w:ilvl w:val="0"/>
                <w:numId w:val="2"/>
              </w:numPr>
              <w:spacing w:line="288" w:lineRule="auto"/>
              <w:ind w:left="0" w:firstLine="0"/>
              <w:rPr>
                <w:rFonts w:ascii="仿宋" w:hAnsi="仿宋" w:cs="仿宋"/>
                <w:kern w:val="0"/>
              </w:rPr>
            </w:pPr>
            <w:r>
              <w:rPr>
                <w:rFonts w:hint="eastAsia" w:ascii="仿宋" w:hAnsi="仿宋" w:cs="仿宋"/>
                <w:kern w:val="0"/>
              </w:rPr>
              <w:t>是否需要随样品提交检测报告：</w:t>
            </w:r>
            <w:sdt>
              <w:sdtPr>
                <w:rPr>
                  <w:rFonts w:hint="eastAsia" w:ascii="仿宋" w:hAnsi="仿宋" w:cs="仿宋"/>
                  <w:kern w:val="0"/>
                </w:rPr>
                <w:id w:val="1303421454"/>
              </w:sdtPr>
              <w:sdtEndPr>
                <w:rPr>
                  <w:rFonts w:hint="eastAsia" w:ascii="仿宋" w:hAnsi="仿宋" w:cs="仿宋"/>
                  <w:kern w:val="0"/>
                </w:rPr>
              </w:sdtEndPr>
              <w:sdtContent>
                <w:sdt>
                  <w:sdtPr>
                    <w:rPr>
                      <w:rFonts w:hint="eastAsia" w:ascii="仿宋" w:hAnsi="仿宋" w:cs="仿宋"/>
                      <w:kern w:val="0"/>
                    </w:rPr>
                    <w:id w:val="147476950"/>
                  </w:sdtPr>
                  <w:sdtEndPr>
                    <w:rPr>
                      <w:rFonts w:hint="eastAsia" w:ascii="仿宋" w:hAnsi="仿宋" w:cs="仿宋"/>
                      <w:kern w:val="0"/>
                    </w:rPr>
                  </w:sdtEndPr>
                  <w:sdtContent>
                    <w:r>
                      <w:rPr>
                        <w:rFonts w:hint="eastAsia" w:ascii="仿宋" w:hAnsi="仿宋" w:cs="仿宋"/>
                        <w:kern w:val="0"/>
                      </w:rPr>
                      <w:t>■</w:t>
                    </w:r>
                  </w:sdtContent>
                </w:sdt>
              </w:sdtContent>
            </w:sdt>
            <w:r>
              <w:rPr>
                <w:rFonts w:hint="eastAsia" w:ascii="仿宋" w:hAnsi="仿宋" w:cs="仿宋"/>
                <w:kern w:val="0"/>
              </w:rPr>
              <w:t>否；</w:t>
            </w:r>
            <w:sdt>
              <w:sdtPr>
                <w:rPr>
                  <w:rFonts w:hint="eastAsia" w:ascii="仿宋" w:hAnsi="仿宋" w:cs="仿宋"/>
                  <w:kern w:val="0"/>
                </w:rPr>
                <w:id w:val="1621728433"/>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是，检测机构的要求</w:t>
            </w:r>
            <w:r>
              <w:rPr>
                <w:rFonts w:hint="eastAsia" w:ascii="仿宋" w:hAnsi="仿宋" w:cs="仿宋"/>
              </w:rPr>
              <w:t>：无</w:t>
            </w:r>
            <w:r>
              <w:rPr>
                <w:rFonts w:hint="eastAsia" w:ascii="仿宋" w:hAnsi="仿宋" w:cs="仿宋"/>
                <w:kern w:val="0"/>
              </w:rPr>
              <w:t>；检测内容</w:t>
            </w:r>
            <w:r>
              <w:rPr>
                <w:rFonts w:hint="eastAsia" w:ascii="仿宋" w:hAnsi="仿宋" w:cs="仿宋"/>
              </w:rPr>
              <w:t>：无</w:t>
            </w:r>
            <w:r>
              <w:rPr>
                <w:rFonts w:hint="eastAsia" w:ascii="仿宋" w:hAnsi="仿宋" w:cs="仿宋"/>
                <w:kern w:val="0"/>
              </w:rPr>
              <w:t>。</w:t>
            </w:r>
          </w:p>
          <w:p w14:paraId="712BB780">
            <w:pPr>
              <w:numPr>
                <w:ilvl w:val="0"/>
                <w:numId w:val="2"/>
              </w:numPr>
              <w:spacing w:line="288" w:lineRule="auto"/>
              <w:ind w:left="0" w:firstLine="0"/>
              <w:rPr>
                <w:rFonts w:ascii="仿宋" w:hAnsi="仿宋" w:cs="仿宋"/>
              </w:rPr>
            </w:pPr>
            <w:r>
              <w:rPr>
                <w:rFonts w:hint="eastAsia" w:ascii="仿宋" w:hAnsi="仿宋" w:cs="仿宋"/>
              </w:rPr>
              <w:t>提供样品的时间：</w:t>
            </w:r>
            <w:r>
              <w:rPr>
                <w:rFonts w:hint="eastAsia" w:ascii="仿宋" w:hAnsi="仿宋" w:cs="仿宋"/>
                <w:snapToGrid w:val="0"/>
                <w:kern w:val="28"/>
              </w:rPr>
              <w:t>/</w:t>
            </w:r>
            <w:r>
              <w:rPr>
                <w:rFonts w:hint="eastAsia" w:ascii="仿宋" w:hAnsi="仿宋" w:cs="仿宋"/>
              </w:rPr>
              <w:t>。</w:t>
            </w:r>
          </w:p>
          <w:p w14:paraId="411F21AD">
            <w:pPr>
              <w:numPr>
                <w:ilvl w:val="0"/>
                <w:numId w:val="2"/>
              </w:numPr>
              <w:spacing w:line="288" w:lineRule="auto"/>
              <w:ind w:left="0" w:firstLine="0"/>
              <w:rPr>
                <w:rFonts w:ascii="仿宋" w:hAnsi="仿宋" w:cs="仿宋"/>
                <w:b/>
              </w:rPr>
            </w:pPr>
            <w:r>
              <w:rPr>
                <w:rFonts w:hint="eastAsia" w:ascii="仿宋" w:hAnsi="仿宋" w:cs="仿宋"/>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30E031C">
            <w:pPr>
              <w:numPr>
                <w:ilvl w:val="0"/>
                <w:numId w:val="2"/>
              </w:numPr>
              <w:spacing w:line="288" w:lineRule="auto"/>
              <w:ind w:left="0" w:firstLine="0"/>
              <w:rPr>
                <w:rFonts w:ascii="仿宋" w:hAnsi="仿宋" w:cs="仿宋"/>
                <w:b/>
              </w:rPr>
            </w:pPr>
            <w:r>
              <w:rPr>
                <w:rFonts w:hint="eastAsia" w:ascii="仿宋" w:hAnsi="仿宋" w:cs="仿宋"/>
              </w:rPr>
              <w:t>制作、运输、安装和保管样品所发生的一切费用由投标人自理。</w:t>
            </w:r>
          </w:p>
        </w:tc>
      </w:tr>
      <w:tr w14:paraId="502E44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506BD293">
            <w:pPr>
              <w:spacing w:line="288" w:lineRule="auto"/>
              <w:jc w:val="center"/>
              <w:rPr>
                <w:rFonts w:ascii="仿宋" w:hAnsi="仿宋" w:cs="仿宋"/>
              </w:rPr>
            </w:pPr>
            <w:r>
              <w:rPr>
                <w:rFonts w:hint="eastAsia" w:ascii="仿宋" w:hAnsi="仿宋" w:cs="仿宋"/>
              </w:rPr>
              <w:t>7</w:t>
            </w:r>
          </w:p>
        </w:tc>
        <w:tc>
          <w:tcPr>
            <w:tcW w:w="1843" w:type="dxa"/>
            <w:tcBorders>
              <w:tl2br w:val="nil"/>
              <w:tr2bl w:val="nil"/>
            </w:tcBorders>
            <w:vAlign w:val="center"/>
          </w:tcPr>
          <w:p w14:paraId="4F4E727E">
            <w:pPr>
              <w:spacing w:line="288" w:lineRule="auto"/>
              <w:jc w:val="center"/>
              <w:rPr>
                <w:rFonts w:ascii="仿宋" w:hAnsi="仿宋" w:cs="仿宋"/>
                <w:bCs/>
              </w:rPr>
            </w:pPr>
            <w:r>
              <w:rPr>
                <w:rFonts w:hint="eastAsia" w:ascii="仿宋" w:hAnsi="仿宋" w:cs="仿宋"/>
                <w:b/>
              </w:rPr>
              <w:t>方案讲解演示</w:t>
            </w:r>
          </w:p>
        </w:tc>
        <w:tc>
          <w:tcPr>
            <w:tcW w:w="6095" w:type="dxa"/>
            <w:tcBorders>
              <w:tl2br w:val="nil"/>
              <w:tr2bl w:val="nil"/>
            </w:tcBorders>
            <w:vAlign w:val="center"/>
          </w:tcPr>
          <w:sdt>
            <w:sdtPr>
              <w:rPr>
                <w:rFonts w:hint="eastAsia" w:ascii="仿宋" w:hAnsi="仿宋" w:cs="仿宋"/>
                <w:kern w:val="0"/>
              </w:rPr>
              <w:id w:val="16465569"/>
            </w:sdtPr>
            <w:sdtEndPr>
              <w:rPr>
                <w:rFonts w:hint="eastAsia" w:ascii="仿宋" w:hAnsi="仿宋" w:cs="仿宋"/>
                <w:kern w:val="0"/>
              </w:rPr>
            </w:sdtEndPr>
            <w:sdtContent>
              <w:sdt>
                <w:sdtPr>
                  <w:rPr>
                    <w:rFonts w:hint="eastAsia"/>
                  </w:rPr>
                  <w:id w:val="147481920"/>
                </w:sdtPr>
                <w:sdtEndPr>
                  <w:rPr>
                    <w:rFonts w:hint="eastAsia"/>
                  </w:rPr>
                </w:sdtEndPr>
                <w:sdtContent>
                  <w:p w14:paraId="779C2E2B">
                    <w:pPr>
                      <w:spacing w:line="288" w:lineRule="auto"/>
                      <w:rPr>
                        <w:rFonts w:ascii="仿宋" w:hAnsi="仿宋" w:cs="仿宋"/>
                      </w:rPr>
                    </w:pPr>
                    <w:r>
                      <w:rPr>
                        <w:rFonts w:hint="eastAsia" w:ascii="仿宋" w:hAnsi="仿宋" w:cs="仿宋"/>
                      </w:rPr>
                      <w:t>（1）在评标时安排每个投标人进行方案讲解演示。每个投标人时间不超过</w:t>
                    </w:r>
                    <w:r>
                      <w:rPr>
                        <w:rFonts w:hint="eastAsia" w:ascii="仿宋" w:hAnsi="仿宋" w:cs="仿宋"/>
                        <w:u w:val="single"/>
                      </w:rPr>
                      <w:t>30</w:t>
                    </w:r>
                    <w:r>
                      <w:rPr>
                        <w:rFonts w:hint="eastAsia" w:ascii="仿宋" w:hAnsi="仿宋" w:cs="仿宋"/>
                      </w:rPr>
                      <w:t>分钟，讲解次序以投标文件解密时间先后次序为准，讲解演示人员不超过</w:t>
                    </w:r>
                    <w:r>
                      <w:rPr>
                        <w:rFonts w:hint="eastAsia" w:ascii="仿宋" w:hAnsi="仿宋" w:cs="仿宋"/>
                        <w:u w:val="single"/>
                      </w:rPr>
                      <w:t>2</w:t>
                    </w:r>
                    <w:r>
                      <w:rPr>
                        <w:rFonts w:hint="eastAsia" w:ascii="仿宋" w:hAnsi="仿宋" w:cs="仿宋"/>
                      </w:rPr>
                      <w:t>人。讲解演示结束后按要求解答评标委员会提问。 （2）方案讲解演示可选择以下其中一种方式：</w:t>
                    </w:r>
                  </w:p>
                  <w:p w14:paraId="615A6EF0">
                    <w:pPr>
                      <w:spacing w:line="288" w:lineRule="auto"/>
                      <w:rPr>
                        <w:rFonts w:ascii="仿宋" w:hAnsi="仿宋" w:cs="仿宋"/>
                      </w:rPr>
                    </w:pPr>
                    <w:r>
                      <w:rPr>
                        <w:rFonts w:hint="eastAsia" w:ascii="仿宋" w:hAnsi="仿宋" w:cs="仿宋"/>
                      </w:rPr>
                      <w:t xml:space="preserve"> </w:t>
                    </w:r>
                    <w:sdt>
                      <w:sdtPr>
                        <w:rPr>
                          <w:rFonts w:hint="eastAsia" w:ascii="仿宋" w:hAnsi="仿宋" w:cs="仿宋"/>
                          <w:kern w:val="0"/>
                        </w:rPr>
                        <w:id w:val="147475685"/>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方式一：政采云平台在线讲解演示。政采云平台在线讲解需投标人根据政采云平台操作要求做好准备工作，提前完善软硬件配置环境。</w:t>
                    </w:r>
                  </w:p>
                  <w:p w14:paraId="07E3C21B">
                    <w:pPr>
                      <w:spacing w:line="288" w:lineRule="auto"/>
                      <w:rPr>
                        <w:rFonts w:ascii="仿宋" w:hAnsi="仿宋" w:cs="仿宋"/>
                        <w:b/>
                        <w:kern w:val="0"/>
                        <w:lang w:val="zh-CN"/>
                      </w:rPr>
                    </w:pPr>
                    <w:r>
                      <w:rPr>
                        <w:rFonts w:hint="eastAsia" w:ascii="仿宋" w:hAnsi="仿宋" w:cs="仿宋"/>
                        <w:b/>
                        <w:bCs/>
                        <w:kern w:val="0"/>
                      </w:rPr>
                      <w:t>■</w:t>
                    </w:r>
                    <w:r>
                      <w:rPr>
                        <w:rFonts w:hint="eastAsia" w:ascii="仿宋" w:hAnsi="仿宋" w:cs="仿宋"/>
                      </w:rPr>
                      <w:t>方式二：采购代理机构现场讲解演示。现场讲解地点为</w:t>
                    </w:r>
                    <w:r>
                      <w:rPr>
                        <w:rFonts w:hint="eastAsia" w:ascii="仿宋" w:hAnsi="仿宋" w:cs="仿宋"/>
                        <w:u w:val="single"/>
                      </w:rPr>
                      <w:t>杭州市西湖区文三路90号东部软件园1号楼3楼</w:t>
                    </w:r>
                    <w:r>
                      <w:rPr>
                        <w:rFonts w:hint="eastAsia" w:ascii="仿宋" w:hAnsi="仿宋" w:cs="仿宋"/>
                      </w:rPr>
                      <w:t xml:space="preserve">，讲解演示所用电脑等设备由投标人自备。现场讲解演示人员进场时提供讲解人员名单（加盖公章或授权代表签名）及身份证明，否则不得讲解演示。 注：因投标人自身原因导致无法演示或者演示效果不理想的，责任自负。因平台原因导致本项目方案讲解演示环节无法顺利开展，按照《浙江省政府采购项目电子交易管理暂行办法》相关规定执行。 </w:t>
                    </w:r>
                    <w:sdt>
                      <w:sdtPr>
                        <w:rPr>
                          <w:rFonts w:hint="eastAsia" w:ascii="仿宋" w:hAnsi="仿宋" w:cs="仿宋"/>
                          <w:kern w:val="0"/>
                        </w:rPr>
                        <w:id w:val="147460578"/>
                        <w14:checkbox>
                          <w14:checked w14:val="0"/>
                          <w14:checkedState w14:val="00FE" w14:font="Wingdings"/>
                          <w14:uncheckedState w14:val="2610" w14:font="MS Gothic"/>
                        </w14:checkbox>
                      </w:sdtPr>
                      <w:sdtEndPr>
                        <w:rPr>
                          <w:rFonts w:hint="eastAsia" w:ascii="仿宋" w:hAnsi="仿宋" w:cs="仿宋"/>
                          <w:kern w:val="0"/>
                        </w:rPr>
                      </w:sdtEndPr>
                      <w:sdtContent>
                        <w:r>
                          <w:rPr>
                            <w:rFonts w:hint="eastAsia" w:ascii="MS Gothic" w:hAnsi="MS Gothic" w:cs="仿宋"/>
                            <w:kern w:val="0"/>
                          </w:rPr>
                          <w:t>☐</w:t>
                        </w:r>
                      </w:sdtContent>
                    </w:sdt>
                    <w:r>
                      <w:rPr>
                        <w:rFonts w:hint="eastAsia" w:ascii="仿宋" w:hAnsi="仿宋" w:cs="仿宋"/>
                        <w:kern w:val="0"/>
                      </w:rPr>
                      <w:t>方式三：采用“不见面”形式演示。投标人在投标截止时间前，递交自行录制的“音视频文件”，评标委员会在评审现场对其进行播放并以此作为与方案演示有关评审内容的评分依据。各投标人递交的音视频文件光盘或U盘中应有确保文件正常打开的播放器。 注：因投标人自身原因导致无法演示或者演示效果不理想的，责任自负。因平台原因导致本项目方案讲解演示环节无法顺利开展，按照《浙江省政府采购项目电子交易管理暂行办法》相关规定执行。</w:t>
                    </w:r>
                  </w:p>
                </w:sdtContent>
              </w:sdt>
            </w:sdtContent>
          </w:sdt>
        </w:tc>
      </w:tr>
      <w:tr w14:paraId="55305B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14:paraId="2C3638F4">
            <w:pPr>
              <w:spacing w:line="288" w:lineRule="auto"/>
              <w:jc w:val="center"/>
              <w:rPr>
                <w:rFonts w:ascii="仿宋" w:hAnsi="仿宋" w:cs="仿宋"/>
              </w:rPr>
            </w:pPr>
            <w:r>
              <w:rPr>
                <w:rFonts w:hint="eastAsia" w:ascii="仿宋" w:hAnsi="仿宋" w:cs="仿宋"/>
              </w:rPr>
              <w:t>8</w:t>
            </w:r>
          </w:p>
        </w:tc>
        <w:tc>
          <w:tcPr>
            <w:tcW w:w="1843" w:type="dxa"/>
            <w:vMerge w:val="restart"/>
            <w:tcBorders>
              <w:tl2br w:val="nil"/>
              <w:tr2bl w:val="nil"/>
            </w:tcBorders>
            <w:vAlign w:val="center"/>
          </w:tcPr>
          <w:p w14:paraId="2068B0D3">
            <w:pPr>
              <w:spacing w:line="288" w:lineRule="auto"/>
              <w:jc w:val="center"/>
              <w:rPr>
                <w:rFonts w:ascii="仿宋" w:hAnsi="仿宋" w:cs="仿宋"/>
                <w:b/>
              </w:rPr>
            </w:pPr>
            <w:r>
              <w:rPr>
                <w:rFonts w:hint="eastAsia" w:ascii="仿宋" w:hAnsi="仿宋" w:cs="仿宋"/>
                <w:b/>
              </w:rPr>
              <w:t>投标人应当提供的资格、资信证明文件</w:t>
            </w:r>
          </w:p>
        </w:tc>
        <w:tc>
          <w:tcPr>
            <w:tcW w:w="6095" w:type="dxa"/>
            <w:tcBorders>
              <w:tl2br w:val="nil"/>
              <w:tr2bl w:val="nil"/>
            </w:tcBorders>
            <w:vAlign w:val="center"/>
          </w:tcPr>
          <w:p w14:paraId="1AF8B2E2">
            <w:pPr>
              <w:spacing w:line="288" w:lineRule="auto"/>
              <w:rPr>
                <w:rFonts w:ascii="仿宋" w:hAnsi="仿宋" w:cs="仿宋"/>
              </w:rPr>
            </w:pPr>
            <w:r>
              <w:rPr>
                <w:rFonts w:hint="eastAsia" w:ascii="仿宋" w:hAnsi="仿宋" w:cs="仿宋"/>
              </w:rPr>
              <w:t>（1）资格证明文件：见招标文件第二部分11.1。</w:t>
            </w:r>
          </w:p>
          <w:p w14:paraId="05B0C80C">
            <w:pPr>
              <w:spacing w:line="288" w:lineRule="auto"/>
              <w:rPr>
                <w:rFonts w:ascii="仿宋" w:hAnsi="仿宋" w:cs="仿宋"/>
                <w:snapToGrid w:val="0"/>
                <w:kern w:val="0"/>
                <w:szCs w:val="21"/>
              </w:rPr>
            </w:pPr>
            <w:r>
              <w:rPr>
                <w:rFonts w:hint="eastAsia" w:ascii="仿宋" w:hAnsi="仿宋" w:cs="仿宋"/>
                <w:kern w:val="0"/>
                <w:lang w:val="zh-CN"/>
              </w:rPr>
              <w:t>投标人未提供有效的资格证明文件的，视为投标人不具备招标文件中规定的资格要求，投标无效。</w:t>
            </w:r>
          </w:p>
        </w:tc>
      </w:tr>
      <w:tr w14:paraId="2DDDC5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14:paraId="6D61693C">
            <w:pPr>
              <w:spacing w:line="288" w:lineRule="auto"/>
              <w:jc w:val="center"/>
              <w:rPr>
                <w:rFonts w:ascii="仿宋" w:hAnsi="仿宋" w:cs="仿宋"/>
              </w:rPr>
            </w:pPr>
          </w:p>
        </w:tc>
        <w:tc>
          <w:tcPr>
            <w:tcW w:w="1843" w:type="dxa"/>
            <w:vMerge w:val="continue"/>
            <w:tcBorders>
              <w:tl2br w:val="nil"/>
              <w:tr2bl w:val="nil"/>
            </w:tcBorders>
            <w:vAlign w:val="center"/>
          </w:tcPr>
          <w:p w14:paraId="7BC0E9EC">
            <w:pPr>
              <w:spacing w:line="288" w:lineRule="auto"/>
              <w:jc w:val="center"/>
              <w:rPr>
                <w:rFonts w:ascii="仿宋" w:hAnsi="仿宋" w:cs="仿宋"/>
                <w:b/>
              </w:rPr>
            </w:pPr>
          </w:p>
        </w:tc>
        <w:tc>
          <w:tcPr>
            <w:tcW w:w="6095" w:type="dxa"/>
            <w:tcBorders>
              <w:tl2br w:val="nil"/>
              <w:tr2bl w:val="nil"/>
            </w:tcBorders>
            <w:vAlign w:val="center"/>
          </w:tcPr>
          <w:p w14:paraId="6784924B">
            <w:pPr>
              <w:spacing w:line="288" w:lineRule="auto"/>
              <w:rPr>
                <w:rFonts w:ascii="仿宋" w:hAnsi="仿宋" w:cs="仿宋"/>
              </w:rPr>
            </w:pPr>
            <w:r>
              <w:rPr>
                <w:rFonts w:hint="eastAsia" w:ascii="仿宋" w:hAnsi="仿宋" w:cs="仿宋"/>
              </w:rPr>
              <w:t>（2）资信证明文件：根据招标文件第四部分评标标准提供。</w:t>
            </w:r>
          </w:p>
        </w:tc>
      </w:tr>
      <w:tr w14:paraId="10DA1D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46F7632F">
            <w:pPr>
              <w:spacing w:line="288" w:lineRule="auto"/>
              <w:jc w:val="center"/>
              <w:rPr>
                <w:rFonts w:ascii="仿宋" w:hAnsi="仿宋" w:cs="仿宋"/>
              </w:rPr>
            </w:pPr>
            <w:r>
              <w:rPr>
                <w:rFonts w:hint="eastAsia" w:ascii="仿宋" w:hAnsi="仿宋" w:cs="仿宋"/>
              </w:rPr>
              <w:t>9</w:t>
            </w:r>
          </w:p>
        </w:tc>
        <w:tc>
          <w:tcPr>
            <w:tcW w:w="1843" w:type="dxa"/>
            <w:tcBorders>
              <w:tl2br w:val="nil"/>
              <w:tr2bl w:val="nil"/>
            </w:tcBorders>
            <w:vAlign w:val="center"/>
          </w:tcPr>
          <w:p w14:paraId="0BC324B2">
            <w:pPr>
              <w:spacing w:line="288" w:lineRule="auto"/>
              <w:jc w:val="center"/>
              <w:rPr>
                <w:rFonts w:ascii="仿宋" w:hAnsi="仿宋" w:cs="仿宋"/>
                <w:b/>
              </w:rPr>
            </w:pPr>
            <w:r>
              <w:rPr>
                <w:rFonts w:hint="eastAsia" w:ascii="仿宋" w:hAnsi="仿宋" w:cs="仿宋"/>
                <w:b/>
              </w:rPr>
              <w:t>节能产品、环境标志产品</w:t>
            </w:r>
          </w:p>
        </w:tc>
        <w:tc>
          <w:tcPr>
            <w:tcW w:w="6095" w:type="dxa"/>
            <w:tcBorders>
              <w:tl2br w:val="nil"/>
              <w:tr2bl w:val="nil"/>
            </w:tcBorders>
            <w:vAlign w:val="center"/>
          </w:tcPr>
          <w:p w14:paraId="0F69E983">
            <w:pPr>
              <w:spacing w:line="288" w:lineRule="auto"/>
              <w:rPr>
                <w:rFonts w:ascii="仿宋" w:hAnsi="仿宋" w:cs="仿宋"/>
              </w:rPr>
            </w:pPr>
            <w:r>
              <w:rPr>
                <w:rFonts w:hint="eastAsia" w:ascii="仿宋" w:hAnsi="仿宋" w:cs="仿宋"/>
                <w:kern w:val="0"/>
              </w:rPr>
              <w:t>采购人拟采购的产品（标的）属于品目清单范围的，采购人及其委托的采购代理机构将依据国家确定的认证机构出具的、处于有效期之内的节能产品、环境标志产品认证证书，对获得证书的产品实施政府优先采购或强制采购。</w:t>
            </w:r>
          </w:p>
        </w:tc>
      </w:tr>
      <w:tr w14:paraId="01A1FE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02EEDA01">
            <w:pPr>
              <w:spacing w:line="288" w:lineRule="auto"/>
              <w:jc w:val="center"/>
              <w:rPr>
                <w:rFonts w:ascii="仿宋" w:hAnsi="仿宋" w:cs="仿宋"/>
              </w:rPr>
            </w:pPr>
            <w:r>
              <w:rPr>
                <w:rFonts w:hint="eastAsia" w:ascii="仿宋" w:hAnsi="仿宋" w:cs="仿宋"/>
              </w:rPr>
              <w:t>10</w:t>
            </w:r>
          </w:p>
        </w:tc>
        <w:tc>
          <w:tcPr>
            <w:tcW w:w="1843" w:type="dxa"/>
            <w:tcBorders>
              <w:tl2br w:val="nil"/>
              <w:tr2bl w:val="nil"/>
            </w:tcBorders>
            <w:vAlign w:val="center"/>
          </w:tcPr>
          <w:p w14:paraId="7D79A59F">
            <w:pPr>
              <w:spacing w:line="288" w:lineRule="auto"/>
              <w:jc w:val="center"/>
              <w:rPr>
                <w:rFonts w:ascii="仿宋" w:hAnsi="仿宋" w:cs="仿宋"/>
                <w:b/>
              </w:rPr>
            </w:pPr>
            <w:r>
              <w:rPr>
                <w:rFonts w:hint="eastAsia" w:ascii="仿宋" w:hAnsi="仿宋" w:cs="仿宋"/>
                <w:b/>
              </w:rPr>
              <w:t>报价要求</w:t>
            </w:r>
          </w:p>
        </w:tc>
        <w:tc>
          <w:tcPr>
            <w:tcW w:w="6095" w:type="dxa"/>
            <w:tcBorders>
              <w:tl2br w:val="nil"/>
              <w:tr2bl w:val="nil"/>
            </w:tcBorders>
            <w:vAlign w:val="center"/>
          </w:tcPr>
          <w:p w14:paraId="0040C907">
            <w:pPr>
              <w:spacing w:line="288" w:lineRule="auto"/>
              <w:jc w:val="left"/>
              <w:rPr>
                <w:rFonts w:ascii="仿宋" w:hAnsi="仿宋" w:cs="仿宋"/>
                <w:kern w:val="0"/>
                <w:lang w:val="zh-CN"/>
              </w:rPr>
            </w:pPr>
            <w:r>
              <w:rPr>
                <w:rFonts w:hint="eastAsia" w:ascii="仿宋" w:hAnsi="仿宋" w:cs="仿宋"/>
                <w:kern w:val="0"/>
                <w:lang w:val="zh-CN"/>
              </w:rPr>
              <w:t>有关本项目实施所需的所有费用（含税费）均计入报价。</w:t>
            </w:r>
            <w:r>
              <w:rPr>
                <w:rFonts w:hint="eastAsia" w:ascii="仿宋" w:hAnsi="仿宋" w:cs="仿宋"/>
                <w:b/>
                <w:bCs/>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cs="仿宋"/>
              </w:rPr>
              <w:t>。</w:t>
            </w:r>
            <w:r>
              <w:rPr>
                <w:rFonts w:hint="eastAsia" w:ascii="仿宋" w:hAnsi="仿宋" w:cs="仿宋"/>
                <w:kern w:val="0"/>
                <w:lang w:val="zh-CN"/>
              </w:rPr>
              <w:t>投标文件中价格全部采用人民币报价。招标文件未列明，而投标人认为必需的费用也需列入报价。</w:t>
            </w:r>
          </w:p>
          <w:p w14:paraId="2E160E1A">
            <w:pPr>
              <w:spacing w:line="288" w:lineRule="auto"/>
              <w:jc w:val="left"/>
              <w:rPr>
                <w:rFonts w:ascii="仿宋" w:hAnsi="仿宋" w:cs="仿宋"/>
                <w:b/>
                <w:kern w:val="0"/>
                <w:lang w:val="zh-CN"/>
              </w:rPr>
            </w:pPr>
            <w:r>
              <w:rPr>
                <w:rFonts w:hint="eastAsia" w:ascii="仿宋" w:hAnsi="仿宋" w:cs="仿宋"/>
                <w:b/>
                <w:kern w:val="0"/>
                <w:lang w:val="zh-CN"/>
              </w:rPr>
              <w:t>投标报价出现下列情形的，投标无效：</w:t>
            </w:r>
          </w:p>
          <w:p w14:paraId="5FB5009C">
            <w:pPr>
              <w:numPr>
                <w:ilvl w:val="0"/>
                <w:numId w:val="3"/>
              </w:numPr>
              <w:spacing w:line="288" w:lineRule="auto"/>
              <w:ind w:left="0" w:firstLine="0"/>
              <w:jc w:val="left"/>
              <w:rPr>
                <w:rFonts w:ascii="仿宋" w:hAnsi="仿宋" w:cs="仿宋"/>
                <w:b/>
                <w:kern w:val="0"/>
                <w:lang w:val="zh-CN"/>
              </w:rPr>
            </w:pPr>
            <w:r>
              <w:rPr>
                <w:rFonts w:hint="eastAsia" w:ascii="仿宋" w:hAnsi="仿宋" w:cs="仿宋"/>
                <w:b/>
                <w:kern w:val="0"/>
                <w:lang w:val="zh-CN"/>
              </w:rPr>
              <w:t>投标文件出现不是唯一的、有选择性投标报价的；</w:t>
            </w:r>
          </w:p>
          <w:p w14:paraId="1C7C67B0">
            <w:pPr>
              <w:numPr>
                <w:ilvl w:val="0"/>
                <w:numId w:val="3"/>
              </w:numPr>
              <w:spacing w:line="288" w:lineRule="auto"/>
              <w:ind w:left="0" w:firstLine="0"/>
              <w:jc w:val="left"/>
              <w:rPr>
                <w:rFonts w:ascii="仿宋" w:hAnsi="仿宋" w:cs="仿宋"/>
                <w:b/>
                <w:kern w:val="0"/>
                <w:lang w:val="zh-CN"/>
              </w:rPr>
            </w:pPr>
            <w:r>
              <w:rPr>
                <w:rFonts w:hint="eastAsia" w:ascii="仿宋" w:hAnsi="仿宋" w:cs="仿宋"/>
                <w:b/>
                <w:kern w:val="0"/>
                <w:lang w:val="zh-CN"/>
              </w:rPr>
              <w:t>投标报价超过招标文件中规定的预算金额或者最高限价的;</w:t>
            </w:r>
          </w:p>
          <w:p w14:paraId="2268D4B1">
            <w:pPr>
              <w:numPr>
                <w:ilvl w:val="0"/>
                <w:numId w:val="3"/>
              </w:numPr>
              <w:spacing w:line="288" w:lineRule="auto"/>
              <w:ind w:left="0" w:firstLine="0"/>
              <w:rPr>
                <w:rFonts w:ascii="仿宋" w:hAnsi="仿宋" w:cs="仿宋"/>
                <w:b/>
              </w:rPr>
            </w:pPr>
            <w:r>
              <w:rPr>
                <w:rFonts w:hint="eastAsia" w:ascii="仿宋" w:hAnsi="仿宋" w:cs="仿宋"/>
                <w:b/>
                <w:kern w:val="0"/>
              </w:rPr>
              <w:t>报价明显低于其他通过符合性审查投标人的报价，有可能影响产品质量或者不能诚信履约的，未能按要求提供书面说明或者提交相关证明材料证明其报价合理性的</w:t>
            </w:r>
            <w:r>
              <w:rPr>
                <w:rFonts w:hint="eastAsia" w:ascii="仿宋" w:hAnsi="仿宋" w:cs="仿宋"/>
                <w:b/>
                <w:szCs w:val="21"/>
              </w:rPr>
              <w:t>;</w:t>
            </w:r>
          </w:p>
          <w:p w14:paraId="784B816C">
            <w:pPr>
              <w:numPr>
                <w:ilvl w:val="0"/>
                <w:numId w:val="3"/>
              </w:numPr>
              <w:spacing w:line="288" w:lineRule="auto"/>
              <w:ind w:left="0" w:firstLine="0"/>
              <w:rPr>
                <w:rFonts w:ascii="仿宋" w:hAnsi="仿宋" w:cs="仿宋"/>
              </w:rPr>
            </w:pPr>
            <w:r>
              <w:rPr>
                <w:rFonts w:hint="eastAsia" w:ascii="仿宋" w:hAnsi="仿宋" w:cs="仿宋"/>
                <w:b/>
                <w:kern w:val="0"/>
              </w:rPr>
              <w:t>投标人对根据修正原则修正后的报价不确认的。</w:t>
            </w:r>
          </w:p>
        </w:tc>
      </w:tr>
      <w:tr w14:paraId="792B6E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1C7891D9">
            <w:pPr>
              <w:spacing w:line="288" w:lineRule="auto"/>
              <w:jc w:val="center"/>
              <w:rPr>
                <w:rFonts w:ascii="仿宋" w:hAnsi="仿宋" w:cs="仿宋"/>
              </w:rPr>
            </w:pPr>
            <w:r>
              <w:rPr>
                <w:rFonts w:hint="eastAsia" w:ascii="仿宋" w:hAnsi="仿宋" w:cs="仿宋"/>
              </w:rPr>
              <w:t>11</w:t>
            </w:r>
          </w:p>
        </w:tc>
        <w:tc>
          <w:tcPr>
            <w:tcW w:w="1843" w:type="dxa"/>
            <w:tcBorders>
              <w:tl2br w:val="nil"/>
              <w:tr2bl w:val="nil"/>
            </w:tcBorders>
            <w:vAlign w:val="center"/>
          </w:tcPr>
          <w:p w14:paraId="25190A71">
            <w:pPr>
              <w:spacing w:line="288" w:lineRule="auto"/>
              <w:jc w:val="center"/>
              <w:rPr>
                <w:rFonts w:ascii="仿宋" w:hAnsi="仿宋" w:cs="仿宋"/>
                <w:b/>
              </w:rPr>
            </w:pPr>
            <w:r>
              <w:rPr>
                <w:rFonts w:hint="eastAsia" w:ascii="仿宋" w:hAnsi="仿宋" w:cs="仿宋"/>
                <w:b/>
              </w:rPr>
              <w:t>中小企业信用融资</w:t>
            </w:r>
          </w:p>
        </w:tc>
        <w:tc>
          <w:tcPr>
            <w:tcW w:w="6095" w:type="dxa"/>
            <w:tcBorders>
              <w:tl2br w:val="nil"/>
              <w:tr2bl w:val="nil"/>
            </w:tcBorders>
            <w:vAlign w:val="center"/>
          </w:tcPr>
          <w:p w14:paraId="71E947F0">
            <w:pPr>
              <w:spacing w:line="288" w:lineRule="auto"/>
              <w:rPr>
                <w:rFonts w:ascii="仿宋" w:hAnsi="仿宋" w:cs="仿宋"/>
                <w:b/>
                <w:kern w:val="0"/>
              </w:rPr>
            </w:pPr>
            <w:r>
              <w:rPr>
                <w:rFonts w:hint="eastAsia" w:ascii="仿宋" w:hAnsi="仿宋" w:cs="仿宋"/>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D70B2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10A285A9">
            <w:pPr>
              <w:spacing w:line="288" w:lineRule="auto"/>
              <w:jc w:val="center"/>
              <w:rPr>
                <w:rFonts w:ascii="仿宋" w:hAnsi="仿宋" w:cs="仿宋"/>
              </w:rPr>
            </w:pPr>
            <w:r>
              <w:rPr>
                <w:rFonts w:hint="eastAsia" w:ascii="仿宋" w:hAnsi="仿宋" w:cs="仿宋"/>
              </w:rPr>
              <w:t>12</w:t>
            </w:r>
          </w:p>
        </w:tc>
        <w:tc>
          <w:tcPr>
            <w:tcW w:w="1843" w:type="dxa"/>
            <w:tcBorders>
              <w:tl2br w:val="nil"/>
              <w:tr2bl w:val="nil"/>
            </w:tcBorders>
            <w:vAlign w:val="center"/>
          </w:tcPr>
          <w:p w14:paraId="61BBBA47">
            <w:pPr>
              <w:spacing w:line="288" w:lineRule="auto"/>
              <w:jc w:val="center"/>
              <w:rPr>
                <w:rFonts w:ascii="仿宋" w:hAnsi="仿宋" w:cs="仿宋"/>
                <w:b/>
              </w:rPr>
            </w:pPr>
            <w:r>
              <w:rPr>
                <w:rFonts w:hint="eastAsia" w:ascii="仿宋" w:hAnsi="仿宋" w:cs="仿宋"/>
                <w:b/>
              </w:rPr>
              <w:t xml:space="preserve">备份投标文件送达地点和签收人员 </w:t>
            </w:r>
          </w:p>
        </w:tc>
        <w:tc>
          <w:tcPr>
            <w:tcW w:w="6095" w:type="dxa"/>
            <w:tcBorders>
              <w:tl2br w:val="nil"/>
              <w:tr2bl w:val="nil"/>
            </w:tcBorders>
            <w:vAlign w:val="center"/>
          </w:tcPr>
          <w:p w14:paraId="0071221C">
            <w:pPr>
              <w:pStyle w:val="33"/>
              <w:spacing w:line="288" w:lineRule="auto"/>
              <w:rPr>
                <w:rFonts w:ascii="仿宋" w:hAnsi="仿宋" w:cs="仿宋"/>
                <w:kern w:val="28"/>
                <w:szCs w:val="24"/>
              </w:rPr>
            </w:pPr>
            <w:r>
              <w:rPr>
                <w:rFonts w:hint="eastAsia" w:ascii="仿宋" w:hAnsi="仿宋" w:cs="仿宋"/>
                <w:kern w:val="28"/>
                <w:szCs w:val="24"/>
              </w:rPr>
              <w:t>备份投标文件送达地点：</w:t>
            </w:r>
            <w:r>
              <w:rPr>
                <w:rFonts w:hint="eastAsia" w:ascii="仿宋" w:hAnsi="仿宋" w:cs="仿宋"/>
                <w:u w:val="single"/>
              </w:rPr>
              <w:t>杭州市文三路90号东部软件园1号楼3楼319室</w:t>
            </w:r>
            <w:r>
              <w:rPr>
                <w:rFonts w:hint="eastAsia" w:ascii="仿宋" w:hAnsi="仿宋" w:cs="仿宋"/>
                <w:kern w:val="28"/>
                <w:szCs w:val="24"/>
              </w:rPr>
              <w:t>；</w:t>
            </w:r>
          </w:p>
          <w:p w14:paraId="7E1848C8">
            <w:pPr>
              <w:pStyle w:val="33"/>
              <w:spacing w:line="288" w:lineRule="auto"/>
              <w:rPr>
                <w:rFonts w:ascii="仿宋" w:hAnsi="仿宋" w:cs="仿宋"/>
                <w:szCs w:val="24"/>
              </w:rPr>
            </w:pPr>
            <w:r>
              <w:rPr>
                <w:rFonts w:hint="eastAsia" w:ascii="仿宋" w:hAnsi="仿宋" w:cs="仿宋"/>
                <w:kern w:val="28"/>
                <w:szCs w:val="24"/>
              </w:rPr>
              <w:t>备份投标文件签收联系人：</w:t>
            </w:r>
            <w:r>
              <w:rPr>
                <w:rFonts w:hint="eastAsia" w:ascii="仿宋" w:hAnsi="仿宋" w:cs="仿宋"/>
                <w:kern w:val="28"/>
                <w:szCs w:val="24"/>
                <w:u w:val="single"/>
              </w:rPr>
              <w:t>汪懿婷</w:t>
            </w:r>
            <w:r>
              <w:rPr>
                <w:rFonts w:hint="eastAsia" w:ascii="仿宋" w:hAnsi="仿宋" w:cs="仿宋"/>
                <w:kern w:val="28"/>
                <w:szCs w:val="24"/>
              </w:rPr>
              <w:t>；联系电话：</w:t>
            </w:r>
            <w:r>
              <w:rPr>
                <w:rFonts w:hint="eastAsia" w:ascii="仿宋" w:hAnsi="仿宋" w:cs="仿宋"/>
                <w:u w:val="single"/>
              </w:rPr>
              <w:t xml:space="preserve"> 0571-89731843 </w:t>
            </w:r>
            <w:r>
              <w:rPr>
                <w:rFonts w:hint="eastAsia" w:ascii="仿宋" w:hAnsi="仿宋" w:cs="仿宋"/>
                <w:szCs w:val="24"/>
              </w:rPr>
              <w:t>。</w:t>
            </w:r>
          </w:p>
          <w:p w14:paraId="76D102C2">
            <w:pPr>
              <w:pStyle w:val="33"/>
              <w:spacing w:line="288" w:lineRule="auto"/>
              <w:rPr>
                <w:rFonts w:ascii="仿宋" w:hAnsi="仿宋" w:cs="仿宋"/>
                <w:kern w:val="28"/>
              </w:rPr>
            </w:pPr>
            <w:r>
              <w:rPr>
                <w:rFonts w:hint="eastAsia" w:ascii="仿宋" w:hAnsi="仿宋" w:cs="仿宋"/>
                <w:b/>
                <w:szCs w:val="24"/>
              </w:rPr>
              <w:t>采购人、采购代理机构不强制或变相强制投标人提交备份投标文件。</w:t>
            </w:r>
          </w:p>
        </w:tc>
      </w:tr>
      <w:tr w14:paraId="44EC09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2EF0A358">
            <w:pPr>
              <w:spacing w:line="288" w:lineRule="auto"/>
              <w:jc w:val="center"/>
              <w:rPr>
                <w:rFonts w:ascii="仿宋" w:hAnsi="仿宋" w:cs="仿宋"/>
              </w:rPr>
            </w:pPr>
            <w:r>
              <w:rPr>
                <w:rFonts w:hint="eastAsia" w:ascii="仿宋" w:hAnsi="仿宋" w:cs="仿宋"/>
              </w:rPr>
              <w:t>13</w:t>
            </w:r>
          </w:p>
        </w:tc>
        <w:tc>
          <w:tcPr>
            <w:tcW w:w="1843" w:type="dxa"/>
            <w:tcBorders>
              <w:tl2br w:val="nil"/>
              <w:tr2bl w:val="nil"/>
            </w:tcBorders>
            <w:vAlign w:val="center"/>
          </w:tcPr>
          <w:p w14:paraId="37F9DD25">
            <w:pPr>
              <w:spacing w:line="288" w:lineRule="auto"/>
              <w:jc w:val="center"/>
              <w:rPr>
                <w:rFonts w:ascii="仿宋" w:hAnsi="仿宋" w:cs="仿宋"/>
                <w:b/>
              </w:rPr>
            </w:pPr>
            <w:r>
              <w:rPr>
                <w:rFonts w:hint="eastAsia" w:ascii="仿宋" w:hAnsi="仿宋" w:cs="仿宋"/>
                <w:b/>
              </w:rPr>
              <w:t>采购代理服务费</w:t>
            </w:r>
          </w:p>
        </w:tc>
        <w:tc>
          <w:tcPr>
            <w:tcW w:w="6095" w:type="dxa"/>
            <w:tcBorders>
              <w:tl2br w:val="nil"/>
              <w:tr2bl w:val="nil"/>
            </w:tcBorders>
            <w:vAlign w:val="center"/>
          </w:tcPr>
          <w:p w14:paraId="754CF9CD">
            <w:pPr>
              <w:spacing w:line="320" w:lineRule="exact"/>
              <w:rPr>
                <w:rFonts w:ascii="仿宋" w:hAnsi="仿宋" w:cs="仿宋"/>
                <w:snapToGrid w:val="0"/>
                <w:kern w:val="0"/>
                <w:szCs w:val="21"/>
              </w:rPr>
            </w:pPr>
            <w:r>
              <w:rPr>
                <w:rFonts w:hint="eastAsia" w:ascii="仿宋" w:hAnsi="仿宋" w:cs="仿宋"/>
                <w:snapToGrid w:val="0"/>
                <w:kern w:val="0"/>
                <w:szCs w:val="21"/>
              </w:rPr>
              <w:t>本项目的采购代理费由中标人支付。计费标准：</w:t>
            </w:r>
          </w:p>
          <w:p w14:paraId="055E0604">
            <w:pPr>
              <w:spacing w:line="320" w:lineRule="exact"/>
              <w:rPr>
                <w:rFonts w:ascii="仿宋" w:hAnsi="仿宋" w:cs="仿宋"/>
                <w:snapToGrid w:val="0"/>
                <w:kern w:val="0"/>
                <w:szCs w:val="21"/>
              </w:rPr>
            </w:pPr>
            <w:r>
              <w:rPr>
                <w:rFonts w:hint="eastAsia" w:ascii="仿宋" w:hAnsi="仿宋" w:cs="仿宋"/>
                <w:snapToGrid w:val="0"/>
                <w:kern w:val="0"/>
                <w:szCs w:val="21"/>
              </w:rPr>
              <w:t>1、中标服务费以中标（成交）金额为计费基准，按《计价格［2002］1980号》及《发改办价格［2003］857号》规定的货物类收费标准的70%计取，低于3000元时按3000元计取。即：</w:t>
            </w:r>
          </w:p>
          <w:tbl>
            <w:tblPr>
              <w:tblStyle w:val="62"/>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80"/>
            </w:tblGrid>
            <w:tr w14:paraId="734EB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0" w:type="dxa"/>
                </w:tcPr>
                <w:p w14:paraId="123CB8CB">
                  <w:pPr>
                    <w:spacing w:line="320" w:lineRule="exact"/>
                    <w:jc w:val="center"/>
                    <w:rPr>
                      <w:rFonts w:ascii="仿宋" w:hAnsi="仿宋" w:cs="仿宋"/>
                      <w:snapToGrid w:val="0"/>
                      <w:kern w:val="0"/>
                    </w:rPr>
                  </w:pPr>
                  <w:r>
                    <w:rPr>
                      <w:rFonts w:hint="eastAsia" w:ascii="仿宋" w:hAnsi="仿宋" w:cs="仿宋"/>
                      <w:snapToGrid w:val="0"/>
                      <w:kern w:val="0"/>
                    </w:rPr>
                    <w:t>中标金额</w:t>
                  </w:r>
                </w:p>
              </w:tc>
              <w:tc>
                <w:tcPr>
                  <w:tcW w:w="1980" w:type="dxa"/>
                </w:tcPr>
                <w:p w14:paraId="75C5CEFB">
                  <w:pPr>
                    <w:spacing w:line="320" w:lineRule="exact"/>
                    <w:jc w:val="center"/>
                    <w:rPr>
                      <w:rFonts w:ascii="仿宋" w:hAnsi="仿宋" w:cs="仿宋"/>
                      <w:snapToGrid w:val="0"/>
                      <w:kern w:val="0"/>
                    </w:rPr>
                  </w:pPr>
                  <w:r>
                    <w:rPr>
                      <w:rFonts w:hint="eastAsia" w:ascii="仿宋" w:hAnsi="仿宋" w:cs="仿宋"/>
                      <w:snapToGrid w:val="0"/>
                      <w:kern w:val="0"/>
                    </w:rPr>
                    <w:t>收费费率</w:t>
                  </w:r>
                </w:p>
              </w:tc>
            </w:tr>
            <w:tr w14:paraId="346CE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2655B044">
                  <w:pPr>
                    <w:spacing w:line="320" w:lineRule="exact"/>
                    <w:jc w:val="center"/>
                    <w:rPr>
                      <w:rFonts w:ascii="仿宋" w:hAnsi="仿宋" w:cs="仿宋"/>
                      <w:snapToGrid w:val="0"/>
                      <w:kern w:val="0"/>
                    </w:rPr>
                  </w:pPr>
                  <w:r>
                    <w:rPr>
                      <w:rFonts w:hint="eastAsia" w:ascii="仿宋" w:hAnsi="仿宋" w:cs="仿宋"/>
                      <w:snapToGrid w:val="0"/>
                      <w:kern w:val="0"/>
                    </w:rPr>
                    <w:t>≤100万元</w:t>
                  </w:r>
                </w:p>
              </w:tc>
              <w:tc>
                <w:tcPr>
                  <w:tcW w:w="1980" w:type="dxa"/>
                </w:tcPr>
                <w:p w14:paraId="21BBEBB8">
                  <w:pPr>
                    <w:spacing w:line="320" w:lineRule="exact"/>
                    <w:jc w:val="center"/>
                    <w:rPr>
                      <w:rFonts w:ascii="仿宋" w:hAnsi="仿宋" w:cs="仿宋"/>
                      <w:snapToGrid w:val="0"/>
                      <w:kern w:val="0"/>
                    </w:rPr>
                  </w:pPr>
                  <w:r>
                    <w:rPr>
                      <w:rFonts w:hint="eastAsia" w:ascii="仿宋" w:hAnsi="仿宋" w:cs="仿宋"/>
                      <w:snapToGrid w:val="0"/>
                      <w:kern w:val="0"/>
                    </w:rPr>
                    <w:t>1.05%</w:t>
                  </w:r>
                </w:p>
              </w:tc>
            </w:tr>
            <w:tr w14:paraId="47B03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0663A06A">
                  <w:pPr>
                    <w:spacing w:line="320" w:lineRule="exact"/>
                    <w:jc w:val="center"/>
                    <w:rPr>
                      <w:rFonts w:ascii="仿宋" w:hAnsi="仿宋" w:cs="仿宋"/>
                      <w:snapToGrid w:val="0"/>
                      <w:kern w:val="0"/>
                    </w:rPr>
                  </w:pPr>
                  <w:r>
                    <w:rPr>
                      <w:rFonts w:hint="eastAsia" w:ascii="仿宋" w:hAnsi="仿宋" w:cs="仿宋"/>
                      <w:snapToGrid w:val="0"/>
                      <w:kern w:val="0"/>
                    </w:rPr>
                    <w:t>100万元-500万元</w:t>
                  </w:r>
                </w:p>
              </w:tc>
              <w:tc>
                <w:tcPr>
                  <w:tcW w:w="1980" w:type="dxa"/>
                </w:tcPr>
                <w:p w14:paraId="74565A1C">
                  <w:pPr>
                    <w:spacing w:line="320" w:lineRule="exact"/>
                    <w:jc w:val="center"/>
                    <w:rPr>
                      <w:rFonts w:ascii="仿宋" w:hAnsi="仿宋" w:cs="仿宋"/>
                      <w:snapToGrid w:val="0"/>
                      <w:kern w:val="0"/>
                    </w:rPr>
                  </w:pPr>
                  <w:r>
                    <w:rPr>
                      <w:rFonts w:hint="eastAsia" w:ascii="仿宋" w:hAnsi="仿宋" w:cs="仿宋"/>
                      <w:snapToGrid w:val="0"/>
                      <w:kern w:val="0"/>
                    </w:rPr>
                    <w:t>0.77%</w:t>
                  </w:r>
                </w:p>
              </w:tc>
            </w:tr>
          </w:tbl>
          <w:p w14:paraId="70B800F6">
            <w:pPr>
              <w:spacing w:line="320" w:lineRule="exact"/>
              <w:rPr>
                <w:rFonts w:ascii="仿宋" w:hAnsi="仿宋" w:cs="仿宋"/>
                <w:snapToGrid w:val="0"/>
                <w:kern w:val="0"/>
                <w:szCs w:val="21"/>
              </w:rPr>
            </w:pPr>
            <w:r>
              <w:rPr>
                <w:rFonts w:hint="eastAsia" w:ascii="仿宋" w:hAnsi="仿宋" w:cs="仿宋"/>
                <w:snapToGrid w:val="0"/>
                <w:kern w:val="0"/>
              </w:rPr>
              <w:t>依据上述费率，采取差额累进方式计取代理费。</w:t>
            </w:r>
          </w:p>
          <w:p w14:paraId="0ADDD1A0">
            <w:pPr>
              <w:spacing w:line="320" w:lineRule="exact"/>
              <w:jc w:val="left"/>
              <w:rPr>
                <w:rFonts w:ascii="仿宋" w:hAnsi="仿宋" w:cs="仿宋"/>
                <w:snapToGrid w:val="0"/>
                <w:kern w:val="0"/>
                <w:szCs w:val="21"/>
              </w:rPr>
            </w:pPr>
            <w:r>
              <w:rPr>
                <w:rFonts w:hint="eastAsia" w:ascii="仿宋" w:hAnsi="仿宋" w:cs="仿宋"/>
                <w:snapToGrid w:val="0"/>
                <w:kern w:val="0"/>
                <w:szCs w:val="21"/>
              </w:rPr>
              <w:t>2、结算方式及时间为：在中标结果公告发布后7个工作日内由中标人一次性向采购代理机构付清。中标结果公告发出后，中标人可按中标结果公告上的服务费金额缴纳至如下账号：</w:t>
            </w:r>
          </w:p>
          <w:p w14:paraId="1A6B6B16">
            <w:pPr>
              <w:spacing w:line="320" w:lineRule="exact"/>
              <w:jc w:val="left"/>
              <w:rPr>
                <w:rFonts w:ascii="仿宋" w:hAnsi="仿宋" w:cs="仿宋"/>
                <w:snapToGrid w:val="0"/>
                <w:kern w:val="0"/>
                <w:szCs w:val="21"/>
              </w:rPr>
            </w:pPr>
            <w:r>
              <w:rPr>
                <w:rFonts w:hint="eastAsia" w:ascii="仿宋" w:hAnsi="仿宋" w:cs="仿宋"/>
                <w:snapToGrid w:val="0"/>
                <w:kern w:val="0"/>
                <w:szCs w:val="21"/>
              </w:rPr>
              <w:t>（1）收 款 人：浙江国际招投标有限公司</w:t>
            </w:r>
          </w:p>
          <w:p w14:paraId="49F6C056">
            <w:pPr>
              <w:spacing w:line="320" w:lineRule="exact"/>
              <w:jc w:val="left"/>
              <w:rPr>
                <w:rFonts w:ascii="仿宋" w:hAnsi="仿宋" w:cs="仿宋"/>
                <w:snapToGrid w:val="0"/>
                <w:kern w:val="0"/>
                <w:szCs w:val="21"/>
              </w:rPr>
            </w:pPr>
            <w:r>
              <w:rPr>
                <w:rFonts w:hint="eastAsia" w:ascii="仿宋" w:hAnsi="仿宋" w:cs="仿宋"/>
                <w:snapToGrid w:val="0"/>
                <w:kern w:val="0"/>
                <w:szCs w:val="21"/>
              </w:rPr>
              <w:t>（2）开户银行：中国工商银行杭州武林支行</w:t>
            </w:r>
          </w:p>
          <w:p w14:paraId="05A50D39">
            <w:pPr>
              <w:spacing w:line="288" w:lineRule="auto"/>
              <w:jc w:val="left"/>
              <w:rPr>
                <w:rFonts w:ascii="仿宋" w:hAnsi="仿宋" w:cs="仿宋"/>
              </w:rPr>
            </w:pPr>
            <w:r>
              <w:rPr>
                <w:rFonts w:hint="eastAsia" w:ascii="仿宋" w:hAnsi="仿宋" w:cs="仿宋"/>
                <w:snapToGrid w:val="0"/>
                <w:kern w:val="0"/>
                <w:szCs w:val="21"/>
              </w:rPr>
              <w:t>（3）账    号：1202 0212 0990 6782 015</w:t>
            </w:r>
          </w:p>
        </w:tc>
      </w:tr>
      <w:tr w14:paraId="4D938E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14:paraId="459D0F72">
            <w:pPr>
              <w:spacing w:line="288" w:lineRule="auto"/>
              <w:jc w:val="center"/>
              <w:rPr>
                <w:rFonts w:ascii="仿宋" w:hAnsi="仿宋" w:cs="仿宋"/>
              </w:rPr>
            </w:pPr>
            <w:r>
              <w:rPr>
                <w:rFonts w:hint="eastAsia" w:ascii="仿宋" w:hAnsi="仿宋" w:cs="仿宋"/>
              </w:rPr>
              <w:t>14</w:t>
            </w:r>
          </w:p>
        </w:tc>
        <w:tc>
          <w:tcPr>
            <w:tcW w:w="1843" w:type="dxa"/>
            <w:vMerge w:val="restart"/>
            <w:tcBorders>
              <w:tl2br w:val="nil"/>
              <w:tr2bl w:val="nil"/>
            </w:tcBorders>
            <w:vAlign w:val="center"/>
          </w:tcPr>
          <w:p w14:paraId="4E84E5F0">
            <w:pPr>
              <w:spacing w:line="288" w:lineRule="auto"/>
              <w:jc w:val="center"/>
              <w:rPr>
                <w:rFonts w:ascii="仿宋" w:hAnsi="仿宋" w:cs="仿宋"/>
                <w:b/>
              </w:rPr>
            </w:pPr>
            <w:r>
              <w:rPr>
                <w:rFonts w:hint="eastAsia" w:ascii="仿宋" w:hAnsi="仿宋" w:cs="仿宋"/>
                <w:b/>
              </w:rPr>
              <w:t>联合体投标说明</w:t>
            </w:r>
          </w:p>
        </w:tc>
        <w:tc>
          <w:tcPr>
            <w:tcW w:w="6095" w:type="dxa"/>
            <w:tcBorders>
              <w:tl2br w:val="nil"/>
              <w:tr2bl w:val="nil"/>
            </w:tcBorders>
            <w:vAlign w:val="center"/>
          </w:tcPr>
          <w:p w14:paraId="161396F2">
            <w:pPr>
              <w:pStyle w:val="33"/>
              <w:spacing w:line="288" w:lineRule="auto"/>
              <w:rPr>
                <w:rFonts w:ascii="仿宋" w:hAnsi="仿宋" w:cs="仿宋"/>
                <w:kern w:val="28"/>
                <w:szCs w:val="24"/>
              </w:rPr>
            </w:pPr>
            <w:r>
              <w:rPr>
                <w:rFonts w:hint="eastAsia" w:ascii="仿宋" w:hAnsi="仿宋" w:cs="仿宋"/>
                <w:kern w:val="28"/>
                <w:szCs w:val="24"/>
              </w:rPr>
              <w:t>业绩证明材料</w:t>
            </w:r>
          </w:p>
          <w:p w14:paraId="248406DA">
            <w:pPr>
              <w:pStyle w:val="33"/>
              <w:spacing w:line="288" w:lineRule="auto"/>
              <w:rPr>
                <w:rFonts w:ascii="仿宋" w:hAnsi="仿宋" w:cs="仿宋"/>
                <w:color w:val="FF0000"/>
                <w:kern w:val="28"/>
                <w:szCs w:val="24"/>
              </w:rPr>
            </w:pPr>
            <w:r>
              <w:rPr>
                <w:rFonts w:hint="eastAsia" w:ascii="仿宋" w:hAnsi="仿宋" w:cs="仿宋"/>
                <w:kern w:val="28"/>
                <w:szCs w:val="24"/>
              </w:rPr>
              <w:t>☐联合体投标的，按联合体协议约定的分工内容出具相应的业绩证明材料</w:t>
            </w:r>
            <w:r>
              <w:rPr>
                <w:rFonts w:hint="eastAsia" w:ascii="仿宋" w:hAnsi="仿宋" w:cs="仿宋"/>
                <w:color w:val="0000FF"/>
                <w:kern w:val="28"/>
                <w:szCs w:val="24"/>
              </w:rPr>
              <w:t>。</w:t>
            </w:r>
            <w:r>
              <w:rPr>
                <w:rFonts w:hint="eastAsia" w:ascii="仿宋" w:hAnsi="仿宋" w:cs="仿宋"/>
                <w:kern w:val="28"/>
                <w:szCs w:val="24"/>
              </w:rPr>
              <w:t>承担相同工作的各方或工作内容存在部 分相同的，业绩数量以提供材料较少的一方为准。</w:t>
            </w:r>
          </w:p>
          <w:p w14:paraId="4E15599E">
            <w:pPr>
              <w:pStyle w:val="33"/>
              <w:spacing w:line="288" w:lineRule="auto"/>
              <w:rPr>
                <w:rFonts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联合体投标的，由联合体牵头方出具相应的业绩证明材料。</w:t>
            </w:r>
          </w:p>
          <w:p w14:paraId="5AB1835D">
            <w:pPr>
              <w:pStyle w:val="33"/>
              <w:spacing w:line="288" w:lineRule="auto"/>
              <w:rPr>
                <w:rFonts w:ascii="仿宋" w:hAnsi="仿宋" w:cs="仿宋"/>
                <w:kern w:val="28"/>
                <w:szCs w:val="24"/>
              </w:rPr>
            </w:pPr>
            <w:r>
              <w:rPr>
                <w:rFonts w:hint="eastAsia" w:ascii="仿宋" w:hAnsi="仿宋" w:cs="仿宋"/>
                <w:kern w:val="28"/>
                <w:szCs w:val="24"/>
              </w:rPr>
              <w:t>☐其他规定：</w:t>
            </w:r>
          </w:p>
        </w:tc>
      </w:tr>
      <w:tr w14:paraId="1FC260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14:paraId="736C5035">
            <w:pPr>
              <w:spacing w:line="288" w:lineRule="auto"/>
              <w:jc w:val="center"/>
              <w:rPr>
                <w:rFonts w:ascii="仿宋" w:hAnsi="仿宋" w:cs="仿宋"/>
              </w:rPr>
            </w:pPr>
          </w:p>
        </w:tc>
        <w:tc>
          <w:tcPr>
            <w:tcW w:w="1843" w:type="dxa"/>
            <w:vMerge w:val="continue"/>
            <w:tcBorders>
              <w:tl2br w:val="nil"/>
              <w:tr2bl w:val="nil"/>
            </w:tcBorders>
            <w:vAlign w:val="center"/>
          </w:tcPr>
          <w:p w14:paraId="3EDA52C2">
            <w:pPr>
              <w:spacing w:line="288" w:lineRule="auto"/>
              <w:jc w:val="center"/>
              <w:rPr>
                <w:rFonts w:ascii="仿宋" w:hAnsi="仿宋" w:cs="仿宋"/>
                <w:b/>
              </w:rPr>
            </w:pPr>
          </w:p>
        </w:tc>
        <w:tc>
          <w:tcPr>
            <w:tcW w:w="6095" w:type="dxa"/>
            <w:tcBorders>
              <w:tl2br w:val="nil"/>
              <w:tr2bl w:val="nil"/>
            </w:tcBorders>
            <w:vAlign w:val="center"/>
          </w:tcPr>
          <w:p w14:paraId="27E4BD4D">
            <w:pPr>
              <w:pStyle w:val="33"/>
              <w:spacing w:line="288" w:lineRule="auto"/>
              <w:rPr>
                <w:rFonts w:ascii="仿宋" w:hAnsi="仿宋" w:cs="仿宋"/>
                <w:kern w:val="28"/>
                <w:szCs w:val="24"/>
              </w:rPr>
            </w:pPr>
            <w:r>
              <w:rPr>
                <w:rFonts w:hint="eastAsia" w:ascii="仿宋" w:hAnsi="仿宋" w:cs="仿宋"/>
                <w:kern w:val="28"/>
                <w:szCs w:val="24"/>
              </w:rPr>
              <w:t>其他资信证明材料</w:t>
            </w:r>
          </w:p>
          <w:p w14:paraId="66E92F18">
            <w:pPr>
              <w:pStyle w:val="33"/>
              <w:spacing w:line="288" w:lineRule="auto"/>
              <w:rPr>
                <w:rFonts w:ascii="仿宋" w:hAnsi="仿宋" w:cs="仿宋"/>
                <w:kern w:val="28"/>
                <w:szCs w:val="24"/>
              </w:rPr>
            </w:pPr>
            <w:r>
              <w:rPr>
                <w:rFonts w:hint="eastAsia" w:ascii="仿宋" w:hAnsi="仿宋" w:cs="仿宋"/>
                <w:kern w:val="28"/>
                <w:szCs w:val="24"/>
              </w:rPr>
              <w:t>☐联合体投标的，联合体各方均需按招标文件第四部分评标标准要求提供资信证明文件，否则视为不符合相关要求。</w:t>
            </w:r>
          </w:p>
          <w:p w14:paraId="3597A8BF">
            <w:pPr>
              <w:pStyle w:val="33"/>
              <w:spacing w:line="288" w:lineRule="auto"/>
              <w:rPr>
                <w:rFonts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联合体投标的，联合体牵头方或者联合体成员根据分工按招标文件第四部分评标标准要求提供资信证明文件的，视为符合了相关要求。</w:t>
            </w:r>
          </w:p>
          <w:p w14:paraId="3ABCB45E">
            <w:pPr>
              <w:pStyle w:val="33"/>
              <w:spacing w:line="288" w:lineRule="auto"/>
              <w:rPr>
                <w:rFonts w:ascii="仿宋" w:hAnsi="仿宋" w:cs="仿宋"/>
                <w:kern w:val="28"/>
                <w:szCs w:val="24"/>
              </w:rPr>
            </w:pPr>
            <w:r>
              <w:rPr>
                <w:rFonts w:hint="eastAsia" w:ascii="仿宋" w:hAnsi="仿宋" w:cs="仿宋"/>
                <w:kern w:val="28"/>
                <w:szCs w:val="24"/>
              </w:rPr>
              <w:t>☐其他规定：</w:t>
            </w:r>
          </w:p>
        </w:tc>
      </w:tr>
      <w:tr w14:paraId="1E3029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46A17D8C">
            <w:pPr>
              <w:spacing w:line="288" w:lineRule="auto"/>
              <w:jc w:val="center"/>
              <w:rPr>
                <w:rFonts w:ascii="仿宋" w:hAnsi="仿宋" w:cs="仿宋"/>
              </w:rPr>
            </w:pPr>
            <w:r>
              <w:rPr>
                <w:rFonts w:hint="eastAsia" w:ascii="仿宋" w:hAnsi="仿宋" w:cs="仿宋"/>
              </w:rPr>
              <w:t>15</w:t>
            </w:r>
          </w:p>
        </w:tc>
        <w:tc>
          <w:tcPr>
            <w:tcW w:w="1843" w:type="dxa"/>
            <w:tcBorders>
              <w:tl2br w:val="nil"/>
              <w:tr2bl w:val="nil"/>
            </w:tcBorders>
            <w:vAlign w:val="center"/>
          </w:tcPr>
          <w:p w14:paraId="5542B028">
            <w:pPr>
              <w:spacing w:line="288" w:lineRule="auto"/>
              <w:jc w:val="center"/>
              <w:rPr>
                <w:rFonts w:ascii="仿宋" w:hAnsi="仿宋" w:cs="仿宋"/>
                <w:b/>
              </w:rPr>
            </w:pPr>
            <w:r>
              <w:rPr>
                <w:rFonts w:hint="eastAsia" w:ascii="仿宋" w:hAnsi="仿宋" w:cs="仿宋"/>
                <w:b/>
              </w:rPr>
              <w:t>特别说明</w:t>
            </w:r>
          </w:p>
        </w:tc>
        <w:tc>
          <w:tcPr>
            <w:tcW w:w="6095" w:type="dxa"/>
            <w:tcBorders>
              <w:tl2br w:val="nil"/>
              <w:tr2bl w:val="nil"/>
            </w:tcBorders>
            <w:vAlign w:val="center"/>
          </w:tcPr>
          <w:p w14:paraId="1DDBC4FA">
            <w:pPr>
              <w:spacing w:line="288" w:lineRule="auto"/>
              <w:rPr>
                <w:rFonts w:ascii="仿宋" w:hAnsi="仿宋" w:cs="仿宋"/>
                <w:snapToGrid w:val="0"/>
                <w:kern w:val="28"/>
                <w:u w:val="single"/>
              </w:rPr>
            </w:pPr>
            <w:r>
              <w:rPr>
                <w:rFonts w:hint="eastAsia" w:ascii="仿宋" w:hAnsi="仿宋" w:cs="仿宋"/>
                <w:b/>
                <w:bCs/>
                <w:kern w:val="0"/>
              </w:rPr>
              <w:t>■</w:t>
            </w:r>
            <w:r>
              <w:rPr>
                <w:rFonts w:hint="eastAsia" w:ascii="仿宋" w:hAnsi="仿宋" w:cs="仿宋"/>
                <w:snapToGrid w:val="0"/>
                <w:kern w:val="28"/>
              </w:rPr>
              <w:t>有，中标供应商放弃中标资格导致重新采购的，应当承担支付代理费和专家评审费等费用在内的赔偿责任。</w:t>
            </w:r>
          </w:p>
          <w:p w14:paraId="465C335C">
            <w:pPr>
              <w:pStyle w:val="23"/>
              <w:autoSpaceDE/>
              <w:autoSpaceDN/>
              <w:spacing w:line="288" w:lineRule="auto"/>
              <w:rPr>
                <w:rFonts w:ascii="仿宋" w:hAnsi="仿宋" w:cs="仿宋"/>
              </w:rPr>
            </w:pPr>
            <w:r>
              <w:rPr>
                <w:rFonts w:hint="eastAsia" w:ascii="仿宋" w:hAnsi="仿宋" w:cs="仿宋"/>
                <w:kern w:val="28"/>
              </w:rPr>
              <w:sym w:font="Wingdings 2" w:char="00A3"/>
            </w:r>
            <w:r>
              <w:rPr>
                <w:rFonts w:hint="eastAsia" w:ascii="仿宋" w:hAnsi="仿宋" w:cs="仿宋"/>
                <w:kern w:val="28"/>
              </w:rPr>
              <w:t>无</w:t>
            </w:r>
            <w:r>
              <w:rPr>
                <w:rFonts w:hint="eastAsia" w:ascii="仿宋" w:hAnsi="仿宋" w:cs="仿宋"/>
                <w:b/>
                <w:kern w:val="0"/>
              </w:rPr>
              <w:t>。</w:t>
            </w:r>
          </w:p>
        </w:tc>
      </w:tr>
      <w:tr w14:paraId="022399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5F54D1B9">
            <w:pPr>
              <w:spacing w:line="288" w:lineRule="auto"/>
              <w:jc w:val="center"/>
              <w:rPr>
                <w:rFonts w:ascii="仿宋" w:hAnsi="仿宋" w:cs="仿宋"/>
              </w:rPr>
            </w:pPr>
            <w:r>
              <w:rPr>
                <w:rFonts w:hint="eastAsia" w:ascii="仿宋" w:hAnsi="仿宋" w:cs="仿宋"/>
              </w:rPr>
              <w:t>16</w:t>
            </w:r>
          </w:p>
        </w:tc>
        <w:tc>
          <w:tcPr>
            <w:tcW w:w="1843" w:type="dxa"/>
            <w:tcBorders>
              <w:tl2br w:val="nil"/>
              <w:tr2bl w:val="nil"/>
            </w:tcBorders>
            <w:vAlign w:val="center"/>
          </w:tcPr>
          <w:p w14:paraId="5E6E2013">
            <w:pPr>
              <w:spacing w:line="288" w:lineRule="auto"/>
              <w:jc w:val="center"/>
              <w:rPr>
                <w:rFonts w:ascii="仿宋" w:hAnsi="仿宋" w:cs="仿宋"/>
                <w:b/>
              </w:rPr>
            </w:pPr>
            <w:r>
              <w:rPr>
                <w:rFonts w:hint="eastAsia" w:ascii="仿宋" w:hAnsi="仿宋" w:cs="仿宋"/>
                <w:b/>
                <w:highlight w:val="yellow"/>
              </w:rPr>
              <w:t>特别提醒</w:t>
            </w:r>
          </w:p>
        </w:tc>
        <w:tc>
          <w:tcPr>
            <w:tcW w:w="6095" w:type="dxa"/>
            <w:tcBorders>
              <w:tl2br w:val="nil"/>
              <w:tr2bl w:val="nil"/>
            </w:tcBorders>
            <w:vAlign w:val="center"/>
          </w:tcPr>
          <w:p w14:paraId="3D42911C">
            <w:pPr>
              <w:pStyle w:val="23"/>
              <w:autoSpaceDE/>
              <w:autoSpaceDN/>
              <w:spacing w:line="288" w:lineRule="auto"/>
              <w:rPr>
                <w:rFonts w:ascii="仿宋" w:hAnsi="仿宋" w:cs="仿宋"/>
                <w:kern w:val="28"/>
              </w:rPr>
            </w:pPr>
            <w:r>
              <w:rPr>
                <w:rFonts w:hint="eastAsia" w:ascii="仿宋" w:hAnsi="仿宋" w:cs="仿宋"/>
                <w:b/>
                <w:bCs/>
                <w:kern w:val="0"/>
                <w:highlight w:val="yellow"/>
              </w:rPr>
              <w:t>如发现供应商之间IP地址、MAC地址或设备硬件号信息相同</w:t>
            </w:r>
            <w:r>
              <w:rPr>
                <w:rFonts w:hint="eastAsia" w:ascii="仿宋" w:hAnsi="仿宋" w:cs="仿宋"/>
                <w:b/>
                <w:bCs/>
                <w:kern w:val="0"/>
                <w:highlight w:val="yellow"/>
                <w:lang w:val="en-US"/>
              </w:rPr>
              <w:t>且无合理解释</w:t>
            </w:r>
            <w:r>
              <w:rPr>
                <w:rFonts w:hint="eastAsia" w:ascii="仿宋" w:hAnsi="仿宋" w:cs="仿宋"/>
                <w:b/>
                <w:bCs/>
                <w:kern w:val="0"/>
                <w:highlight w:val="yellow"/>
              </w:rPr>
              <w:t>的，相关供应商均投标无效。</w:t>
            </w:r>
          </w:p>
        </w:tc>
      </w:tr>
    </w:tbl>
    <w:p w14:paraId="71EED9AD">
      <w:pPr>
        <w:spacing w:line="360" w:lineRule="auto"/>
        <w:rPr>
          <w:rFonts w:ascii="仿宋" w:hAnsi="仿宋" w:cs="仿宋"/>
          <w:b/>
          <w:sz w:val="32"/>
          <w:szCs w:val="20"/>
        </w:rPr>
      </w:pPr>
    </w:p>
    <w:bookmarkEnd w:id="11"/>
    <w:p w14:paraId="13CED42A">
      <w:pPr>
        <w:rPr>
          <w:rFonts w:ascii="仿宋" w:hAnsi="仿宋" w:cs="仿宋"/>
          <w:b/>
          <w:sz w:val="32"/>
          <w:szCs w:val="20"/>
        </w:rPr>
      </w:pPr>
      <w:bookmarkStart w:id="18" w:name="第三部分"/>
      <w:bookmarkStart w:id="19" w:name="_Toc164416483"/>
      <w:r>
        <w:rPr>
          <w:rFonts w:hint="eastAsia" w:ascii="仿宋" w:hAnsi="仿宋" w:cs="仿宋"/>
          <w:b/>
          <w:sz w:val="32"/>
          <w:szCs w:val="20"/>
        </w:rPr>
        <w:br w:type="page"/>
      </w:r>
    </w:p>
    <w:p w14:paraId="4942D2F2">
      <w:pPr>
        <w:adjustRightInd/>
        <w:spacing w:line="360" w:lineRule="auto"/>
        <w:jc w:val="center"/>
        <w:outlineLvl w:val="1"/>
        <w:rPr>
          <w:rFonts w:ascii="仿宋" w:hAnsi="仿宋" w:cs="仿宋"/>
          <w:b/>
          <w:sz w:val="32"/>
          <w:szCs w:val="20"/>
        </w:rPr>
      </w:pPr>
      <w:r>
        <w:rPr>
          <w:rFonts w:hint="eastAsia" w:ascii="仿宋" w:hAnsi="仿宋" w:cs="仿宋"/>
          <w:b/>
          <w:sz w:val="32"/>
          <w:szCs w:val="20"/>
        </w:rPr>
        <w:t>一、总则</w:t>
      </w:r>
    </w:p>
    <w:p w14:paraId="4176C304">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适用范围</w:t>
      </w:r>
    </w:p>
    <w:p w14:paraId="46AD9A8A">
      <w:pPr>
        <w:ind w:firstLine="480" w:firstLineChars="200"/>
        <w:jc w:val="left"/>
        <w:rPr>
          <w:rFonts w:ascii="仿宋" w:hAnsi="仿宋" w:cs="仿宋"/>
        </w:rPr>
      </w:pPr>
      <w:r>
        <w:rPr>
          <w:rFonts w:hint="eastAsia" w:ascii="仿宋" w:hAnsi="仿宋" w:cs="仿宋"/>
        </w:rPr>
        <w:t>本招标文件适用于该项目的招标、投标、开标、资格审查及信用信息查询、评标、定标、合同、验收等行为（法律、法规另有规定的，从其规定）。</w:t>
      </w:r>
    </w:p>
    <w:p w14:paraId="490CFDFE">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定义</w:t>
      </w:r>
    </w:p>
    <w:p w14:paraId="0F5A9BFB">
      <w:pPr>
        <w:numPr>
          <w:ilvl w:val="1"/>
          <w:numId w:val="4"/>
        </w:numPr>
        <w:ind w:left="0" w:firstLine="480" w:firstLineChars="200"/>
        <w:rPr>
          <w:rFonts w:ascii="仿宋" w:hAnsi="仿宋" w:cs="仿宋"/>
        </w:rPr>
      </w:pPr>
      <w:r>
        <w:rPr>
          <w:rFonts w:hint="eastAsia" w:ascii="仿宋" w:hAnsi="仿宋" w:cs="仿宋"/>
        </w:rPr>
        <w:t>“采购人”系指招标公告中载明的本项目的采购人。</w:t>
      </w:r>
    </w:p>
    <w:p w14:paraId="5E3A65DA">
      <w:pPr>
        <w:numPr>
          <w:ilvl w:val="1"/>
          <w:numId w:val="4"/>
        </w:numPr>
        <w:ind w:left="0" w:firstLine="480" w:firstLineChars="200"/>
        <w:rPr>
          <w:rFonts w:ascii="仿宋" w:hAnsi="仿宋" w:cs="仿宋"/>
        </w:rPr>
      </w:pPr>
      <w:r>
        <w:rPr>
          <w:rFonts w:hint="eastAsia" w:ascii="仿宋" w:hAnsi="仿宋" w:cs="仿宋"/>
        </w:rPr>
        <w:t>“采购代理机构”系指招标公告中载明的本项目的采购代理机构。</w:t>
      </w:r>
    </w:p>
    <w:p w14:paraId="20179E04">
      <w:pPr>
        <w:numPr>
          <w:ilvl w:val="1"/>
          <w:numId w:val="4"/>
        </w:numPr>
        <w:ind w:left="0" w:firstLine="480" w:firstLineChars="200"/>
        <w:rPr>
          <w:rFonts w:ascii="仿宋" w:hAnsi="仿宋" w:cs="仿宋"/>
        </w:rPr>
      </w:pPr>
      <w:r>
        <w:rPr>
          <w:rFonts w:hint="eastAsia" w:ascii="仿宋" w:hAnsi="仿宋" w:cs="仿宋"/>
        </w:rPr>
        <w:t>“投标人”系指响应招标、参加投标竞争的法人、其他组织或者自然人。</w:t>
      </w:r>
    </w:p>
    <w:p w14:paraId="1B4EE2B8">
      <w:pPr>
        <w:numPr>
          <w:ilvl w:val="1"/>
          <w:numId w:val="4"/>
        </w:numPr>
        <w:ind w:left="0" w:firstLine="480" w:firstLineChars="200"/>
        <w:rPr>
          <w:rFonts w:ascii="仿宋" w:hAnsi="仿宋" w:cs="仿宋"/>
        </w:rPr>
      </w:pPr>
      <w:r>
        <w:rPr>
          <w:rFonts w:hint="eastAsia" w:ascii="仿宋" w:hAnsi="仿宋" w:cs="仿宋"/>
        </w:rPr>
        <w:t>“负责人”系指法人企业的法定负责人，或其他组织为法律、行政法规规定代表单位行使职权的主要负责人，或自然人本人。</w:t>
      </w:r>
    </w:p>
    <w:p w14:paraId="0D0B6493">
      <w:pPr>
        <w:numPr>
          <w:ilvl w:val="1"/>
          <w:numId w:val="4"/>
        </w:numPr>
        <w:ind w:left="0" w:firstLine="480" w:firstLineChars="200"/>
        <w:rPr>
          <w:rFonts w:ascii="仿宋" w:hAnsi="仿宋" w:cs="仿宋"/>
        </w:rPr>
      </w:pPr>
      <w:r>
        <w:rPr>
          <w:rFonts w:hint="eastAsia" w:ascii="仿宋" w:hAnsi="仿宋" w:cs="仿宋"/>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F0F07F5">
      <w:pPr>
        <w:numPr>
          <w:ilvl w:val="1"/>
          <w:numId w:val="4"/>
        </w:numPr>
        <w:ind w:left="0" w:firstLine="480" w:firstLineChars="200"/>
        <w:rPr>
          <w:rFonts w:ascii="仿宋" w:hAnsi="仿宋" w:cs="仿宋"/>
        </w:rPr>
      </w:pPr>
      <w:r>
        <w:rPr>
          <w:rFonts w:hint="eastAsia" w:ascii="仿宋" w:hAnsi="仿宋" w:cs="仿宋"/>
        </w:rPr>
        <w:t>“电子交易平台”是指本项目政府采购活动所依托的政府采购云平台（https://www.zcygov.cn/）。</w:t>
      </w:r>
    </w:p>
    <w:p w14:paraId="6B1D559A">
      <w:pPr>
        <w:numPr>
          <w:ilvl w:val="1"/>
          <w:numId w:val="4"/>
        </w:numPr>
        <w:ind w:left="0" w:firstLine="480" w:firstLineChars="200"/>
        <w:rPr>
          <w:rFonts w:ascii="仿宋" w:hAnsi="仿宋" w:cs="仿宋"/>
          <w:b/>
        </w:rPr>
      </w:pPr>
      <w:r>
        <w:rPr>
          <w:rFonts w:hint="eastAsia" w:ascii="仿宋" w:hAnsi="仿宋" w:cs="仿宋"/>
        </w:rPr>
        <w:t>“▲”系指实质性要求条款，“■”或“</w:t>
      </w:r>
      <w:r>
        <w:rPr>
          <w:rFonts w:hint="eastAsia" w:ascii="仿宋" w:hAnsi="仿宋" w:cs="仿宋"/>
          <w:kern w:val="0"/>
        </w:rPr>
        <w:t></w:t>
      </w:r>
      <w:r>
        <w:rPr>
          <w:rFonts w:hint="eastAsia" w:ascii="仿宋" w:hAnsi="仿宋" w:cs="仿宋"/>
        </w:rPr>
        <w:t>”系指适用本项目的要求，“</w:t>
      </w:r>
      <w:sdt>
        <w:sdtPr>
          <w:rPr>
            <w:rFonts w:hint="eastAsia" w:ascii="仿宋" w:hAnsi="仿宋" w:cs="仿宋"/>
            <w:kern w:val="0"/>
          </w:rPr>
          <w:id w:val="404888855"/>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”系指不适用本项目的要求。</w:t>
      </w:r>
    </w:p>
    <w:p w14:paraId="6027B84B">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采购项目需要落实的政府采购政策</w:t>
      </w:r>
    </w:p>
    <w:p w14:paraId="4245365C">
      <w:pPr>
        <w:numPr>
          <w:ilvl w:val="1"/>
          <w:numId w:val="4"/>
        </w:numPr>
        <w:ind w:left="0" w:firstLine="480" w:firstLineChars="200"/>
        <w:rPr>
          <w:rFonts w:ascii="仿宋" w:hAnsi="仿宋" w:cs="仿宋"/>
        </w:rPr>
      </w:pPr>
      <w:r>
        <w:rPr>
          <w:rFonts w:hint="eastAsia" w:ascii="仿宋" w:hAnsi="仿宋" w:cs="仿宋"/>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464FE317">
      <w:pPr>
        <w:numPr>
          <w:ilvl w:val="1"/>
          <w:numId w:val="4"/>
        </w:numPr>
        <w:ind w:left="0" w:firstLine="480" w:firstLineChars="200"/>
        <w:rPr>
          <w:rFonts w:ascii="仿宋" w:hAnsi="仿宋" w:cs="仿宋"/>
        </w:rPr>
      </w:pPr>
      <w:r>
        <w:rPr>
          <w:rFonts w:hint="eastAsia" w:ascii="仿宋" w:hAnsi="仿宋" w:cs="仿宋"/>
        </w:rPr>
        <w:t>支持绿色发展</w:t>
      </w:r>
    </w:p>
    <w:p w14:paraId="0FFC3321">
      <w:pPr>
        <w:numPr>
          <w:ilvl w:val="2"/>
          <w:numId w:val="4"/>
        </w:numPr>
        <w:ind w:left="0" w:firstLine="480" w:firstLineChars="200"/>
        <w:rPr>
          <w:rFonts w:ascii="仿宋" w:hAnsi="仿宋" w:cs="仿宋"/>
        </w:rPr>
      </w:pPr>
      <w:r>
        <w:rPr>
          <w:rFonts w:hint="eastAsia" w:ascii="仿宋" w:hAnsi="仿宋" w:cs="仿宋"/>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490C328B">
      <w:pPr>
        <w:ind w:firstLine="480" w:firstLineChars="200"/>
        <w:rPr>
          <w:rFonts w:ascii="仿宋" w:hAnsi="仿宋" w:cs="仿宋"/>
          <w:b/>
        </w:rPr>
      </w:pPr>
      <w:r>
        <w:rPr>
          <w:rFonts w:hint="eastAsia" w:ascii="仿宋" w:hAnsi="仿宋" w:cs="仿宋"/>
        </w:rPr>
        <w:t>▲</w:t>
      </w:r>
      <w:r>
        <w:rPr>
          <w:rFonts w:hint="eastAsia" w:ascii="仿宋" w:hAnsi="仿宋" w:cs="仿宋"/>
          <w:b/>
        </w:rPr>
        <w:t>采购人拟采购的产品属于政府强制采购的节能产品品目清单范围的，投标人未按招标文件要求提供国家确定的认证机构出具的、处于有效期之内的节能产品认证证书的，投标无效。</w:t>
      </w:r>
    </w:p>
    <w:p w14:paraId="7C4BC51D">
      <w:pPr>
        <w:numPr>
          <w:ilvl w:val="2"/>
          <w:numId w:val="4"/>
        </w:numPr>
        <w:ind w:left="0" w:firstLine="480" w:firstLineChars="200"/>
        <w:rPr>
          <w:rFonts w:ascii="仿宋" w:hAnsi="仿宋" w:cs="仿宋"/>
        </w:rPr>
      </w:pPr>
      <w:r>
        <w:rPr>
          <w:rFonts w:hint="eastAsia" w:ascii="仿宋" w:hAnsi="仿宋" w:cs="仿宋"/>
        </w:rPr>
        <w:t>为助力打好污染防治攻坚战，推广使用绿色包装，涉及商品包装和快递包装的，供应商提供产品及相关快递服务的具体包装要求要参考《商品包装政府采购需求标准（试行）》、《快递包装政府采购需求标准（试行）》。</w:t>
      </w:r>
    </w:p>
    <w:p w14:paraId="2696CC8B">
      <w:pPr>
        <w:numPr>
          <w:ilvl w:val="2"/>
          <w:numId w:val="4"/>
        </w:numPr>
        <w:ind w:left="0" w:firstLine="480" w:firstLineChars="200"/>
        <w:rPr>
          <w:rFonts w:ascii="仿宋" w:hAnsi="仿宋" w:cs="仿宋"/>
        </w:rPr>
      </w:pPr>
      <w:r>
        <w:rPr>
          <w:rFonts w:hint="eastAsia" w:ascii="仿宋" w:hAnsi="仿宋" w:cs="仿宋"/>
        </w:rPr>
        <w:t>鼓励供应商开展绿色设计、选择绿色材料、打造绿色制造工艺、开展绿色运输、做好废弃产品回收处理，实现产品全周期的绿色环保。</w:t>
      </w:r>
    </w:p>
    <w:p w14:paraId="3440B894">
      <w:pPr>
        <w:numPr>
          <w:ilvl w:val="1"/>
          <w:numId w:val="4"/>
        </w:numPr>
        <w:ind w:left="0" w:firstLine="480" w:firstLineChars="200"/>
        <w:rPr>
          <w:rFonts w:ascii="仿宋" w:hAnsi="仿宋" w:cs="仿宋"/>
        </w:rPr>
      </w:pPr>
      <w:r>
        <w:rPr>
          <w:rFonts w:hint="eastAsia" w:ascii="仿宋" w:hAnsi="仿宋" w:cs="仿宋"/>
        </w:rPr>
        <w:t>支持中小企业发展</w:t>
      </w:r>
    </w:p>
    <w:p w14:paraId="64A0A283">
      <w:pPr>
        <w:numPr>
          <w:ilvl w:val="2"/>
          <w:numId w:val="4"/>
        </w:numPr>
        <w:ind w:left="0" w:firstLine="480" w:firstLineChars="200"/>
        <w:rPr>
          <w:rFonts w:ascii="仿宋" w:hAnsi="仿宋" w:cs="仿宋"/>
        </w:rPr>
      </w:pPr>
      <w:r>
        <w:rPr>
          <w:rFonts w:hint="eastAsia" w:ascii="仿宋" w:hAnsi="仿宋" w:cs="仿宋"/>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E8156F4">
      <w:pPr>
        <w:ind w:firstLine="480" w:firstLineChars="200"/>
        <w:rPr>
          <w:rFonts w:ascii="仿宋" w:hAnsi="仿宋" w:cs="仿宋"/>
        </w:rPr>
      </w:pPr>
      <w:r>
        <w:rPr>
          <w:rFonts w:hint="eastAsia" w:ascii="仿宋" w:hAnsi="仿宋" w:cs="仿宋"/>
        </w:rPr>
        <w:t>符合中小企业划分标准的个体工商户，在政府采购活动中视同中小企业。</w:t>
      </w:r>
    </w:p>
    <w:p w14:paraId="55E5E495">
      <w:pPr>
        <w:numPr>
          <w:ilvl w:val="2"/>
          <w:numId w:val="4"/>
        </w:numPr>
        <w:ind w:left="0" w:firstLine="480" w:firstLineChars="200"/>
        <w:rPr>
          <w:rFonts w:ascii="仿宋" w:hAnsi="仿宋" w:cs="仿宋"/>
        </w:rPr>
      </w:pPr>
      <w:r>
        <w:rPr>
          <w:rFonts w:hint="eastAsia" w:ascii="仿宋" w:hAnsi="仿宋" w:cs="仿宋"/>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8F535A8">
      <w:pPr>
        <w:widowControl/>
        <w:ind w:firstLine="480" w:firstLineChars="200"/>
        <w:jc w:val="left"/>
        <w:rPr>
          <w:rFonts w:ascii="仿宋" w:hAnsi="仿宋" w:cs="仿宋"/>
          <w:kern w:val="0"/>
        </w:rPr>
      </w:pPr>
      <w:r>
        <w:rPr>
          <w:rFonts w:hint="eastAsia" w:ascii="仿宋" w:hAnsi="仿宋" w:cs="仿宋"/>
          <w:kern w:val="0"/>
        </w:rPr>
        <w:t>以联合体形式参加政府采购活动，联合体各方均为中小企业的，联合体视同中小企业。其中，联合体各方均为小微企业的，联合体视同小微企业。</w:t>
      </w:r>
    </w:p>
    <w:p w14:paraId="5340F96F">
      <w:pPr>
        <w:numPr>
          <w:ilvl w:val="2"/>
          <w:numId w:val="4"/>
        </w:numPr>
        <w:ind w:left="0" w:firstLine="480" w:firstLineChars="200"/>
        <w:rPr>
          <w:rFonts w:ascii="仿宋" w:hAnsi="仿宋" w:cs="仿宋"/>
        </w:rPr>
      </w:pPr>
      <w:r>
        <w:rPr>
          <w:rFonts w:hint="eastAsia" w:ascii="仿宋" w:hAnsi="仿宋" w:cs="仿宋"/>
        </w:rPr>
        <w:t>对于未预留份额专门面向中小企业的政府采购货物项目，以及预留份额政府采购货物项目中的非预留部分标项，对小型和微型企业的投标报价给予</w:t>
      </w:r>
      <w:r>
        <w:rPr>
          <w:rFonts w:hint="eastAsia" w:ascii="仿宋" w:hAnsi="仿宋" w:cs="仿宋"/>
          <w:b/>
          <w:bCs/>
        </w:rPr>
        <w:t>10%</w:t>
      </w:r>
      <w:r>
        <w:rPr>
          <w:rFonts w:hint="eastAsia" w:ascii="仿宋" w:hAnsi="仿宋" w:cs="仿宋"/>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cs="仿宋"/>
          <w:b/>
          <w:bCs/>
        </w:rPr>
        <w:t>4%</w:t>
      </w:r>
      <w:r>
        <w:rPr>
          <w:rFonts w:hint="eastAsia" w:ascii="仿宋" w:hAnsi="仿宋" w:cs="仿宋"/>
        </w:rPr>
        <w:t>的扣除，用扣除后的价格参加评审。组成联合体或者接受分包的小微企业与联合体内其他企业、分包企业之间存在直接控股、管理关系的，不享受价格扣除优惠政策。</w:t>
      </w:r>
    </w:p>
    <w:p w14:paraId="5F1701E6">
      <w:pPr>
        <w:numPr>
          <w:ilvl w:val="2"/>
          <w:numId w:val="4"/>
        </w:numPr>
        <w:ind w:left="0" w:firstLine="480" w:firstLineChars="200"/>
        <w:rPr>
          <w:rFonts w:ascii="仿宋" w:hAnsi="仿宋" w:cs="仿宋"/>
        </w:rPr>
      </w:pPr>
      <w:r>
        <w:rPr>
          <w:rFonts w:hint="eastAsia" w:ascii="仿宋" w:hAnsi="仿宋" w:cs="仿宋"/>
        </w:rPr>
        <w:t>符合《关于促进残疾人就业政府采购政策的通知》（财库〔2017〕141号）规定的条件并提供《残疾人福利性单位声明函》（附件1）的残疾人福利性单位视同小型、微型企业；</w:t>
      </w:r>
    </w:p>
    <w:p w14:paraId="22AD0966">
      <w:pPr>
        <w:numPr>
          <w:ilvl w:val="2"/>
          <w:numId w:val="4"/>
        </w:numPr>
        <w:ind w:left="0" w:firstLine="480" w:firstLineChars="200"/>
        <w:rPr>
          <w:rFonts w:ascii="仿宋" w:hAnsi="仿宋" w:cs="仿宋"/>
        </w:rPr>
      </w:pPr>
      <w:r>
        <w:rPr>
          <w:rFonts w:hint="eastAsia" w:ascii="仿宋" w:hAnsi="仿宋" w:cs="仿宋"/>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039AE22B">
      <w:pPr>
        <w:numPr>
          <w:ilvl w:val="2"/>
          <w:numId w:val="4"/>
        </w:numPr>
        <w:ind w:left="0" w:firstLine="480" w:firstLineChars="200"/>
        <w:rPr>
          <w:rFonts w:ascii="仿宋" w:hAnsi="仿宋" w:cs="仿宋"/>
        </w:rPr>
      </w:pPr>
      <w:r>
        <w:rPr>
          <w:rFonts w:hint="eastAsia" w:ascii="仿宋" w:hAnsi="仿宋" w:cs="仿宋"/>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D587F46">
      <w:pPr>
        <w:numPr>
          <w:ilvl w:val="2"/>
          <w:numId w:val="4"/>
        </w:numPr>
        <w:ind w:left="0" w:firstLine="480" w:firstLineChars="200"/>
        <w:rPr>
          <w:rFonts w:ascii="仿宋" w:hAnsi="仿宋" w:cs="仿宋"/>
        </w:rPr>
      </w:pPr>
      <w:r>
        <w:rPr>
          <w:rFonts w:hint="eastAsia" w:ascii="仿宋" w:hAnsi="仿宋" w:cs="仿宋"/>
        </w:rPr>
        <w:t>中小企业享受扶持政策获得政府采购合同的，小微企业不得将合同分包给大中型企业，中型企业不得将合同分包给大型企业。</w:t>
      </w:r>
    </w:p>
    <w:p w14:paraId="56E47F40">
      <w:pPr>
        <w:numPr>
          <w:ilvl w:val="1"/>
          <w:numId w:val="4"/>
        </w:numPr>
        <w:ind w:left="0" w:firstLine="480" w:firstLineChars="200"/>
        <w:rPr>
          <w:rFonts w:ascii="仿宋" w:hAnsi="仿宋" w:cs="仿宋"/>
        </w:rPr>
      </w:pPr>
      <w:r>
        <w:rPr>
          <w:rFonts w:hint="eastAsia" w:ascii="仿宋" w:hAnsi="仿宋" w:cs="仿宋"/>
        </w:rPr>
        <w:t>支持创新发展</w:t>
      </w:r>
    </w:p>
    <w:p w14:paraId="344452E5">
      <w:pPr>
        <w:numPr>
          <w:ilvl w:val="2"/>
          <w:numId w:val="4"/>
        </w:numPr>
        <w:ind w:left="0" w:firstLine="480" w:firstLineChars="200"/>
        <w:rPr>
          <w:rFonts w:ascii="仿宋" w:hAnsi="仿宋" w:cs="仿宋"/>
        </w:rPr>
      </w:pPr>
      <w:r>
        <w:rPr>
          <w:rFonts w:hint="eastAsia" w:ascii="仿宋" w:hAnsi="仿宋" w:cs="仿宋"/>
        </w:rPr>
        <w:t>采购人优先采购被认定为首台套产品和“制造精品”的自主创新产品。</w:t>
      </w:r>
    </w:p>
    <w:p w14:paraId="33152789">
      <w:pPr>
        <w:numPr>
          <w:ilvl w:val="2"/>
          <w:numId w:val="4"/>
        </w:numPr>
        <w:ind w:left="0" w:firstLine="480" w:firstLineChars="200"/>
        <w:rPr>
          <w:rFonts w:ascii="仿宋" w:hAnsi="仿宋" w:cs="仿宋"/>
        </w:rPr>
      </w:pPr>
      <w:r>
        <w:rPr>
          <w:rFonts w:hint="eastAsia" w:ascii="仿宋" w:hAnsi="仿宋" w:cs="仿宋"/>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5B8FFD3">
      <w:pPr>
        <w:numPr>
          <w:ilvl w:val="2"/>
          <w:numId w:val="4"/>
        </w:numPr>
        <w:ind w:left="0" w:firstLine="480" w:firstLineChars="200"/>
        <w:rPr>
          <w:rFonts w:ascii="仿宋" w:hAnsi="仿宋" w:cs="仿宋"/>
        </w:rPr>
      </w:pPr>
      <w:r>
        <w:rPr>
          <w:rFonts w:hint="eastAsia" w:ascii="仿宋" w:hAnsi="仿宋" w:cs="仿宋"/>
        </w:rPr>
        <w:t>平等对待内外资企业和符合条件的破产重整企业</w:t>
      </w:r>
    </w:p>
    <w:p w14:paraId="14C8A477">
      <w:pPr>
        <w:ind w:firstLine="480" w:firstLineChars="200"/>
        <w:rPr>
          <w:rFonts w:ascii="仿宋" w:hAnsi="仿宋" w:cs="仿宋"/>
        </w:rPr>
      </w:pPr>
      <w:r>
        <w:rPr>
          <w:rFonts w:hint="eastAsia" w:ascii="仿宋" w:hAnsi="仿宋" w:cs="仿宋"/>
        </w:rPr>
        <w:t>平等对待内外资企业和符合条件的破产重整企业，切实保障企业公平竞争，平等维护企业的合法利益。</w:t>
      </w:r>
    </w:p>
    <w:p w14:paraId="32CCBF03">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询问、质疑、投诉</w:t>
      </w:r>
    </w:p>
    <w:p w14:paraId="59773E72">
      <w:pPr>
        <w:numPr>
          <w:ilvl w:val="1"/>
          <w:numId w:val="4"/>
        </w:numPr>
        <w:tabs>
          <w:tab w:val="left" w:pos="210"/>
        </w:tabs>
        <w:ind w:left="0" w:firstLine="480" w:firstLineChars="200"/>
        <w:jc w:val="left"/>
        <w:rPr>
          <w:rFonts w:ascii="仿宋" w:hAnsi="仿宋" w:cs="仿宋"/>
          <w:bCs/>
          <w:lang w:val="zh-CN"/>
        </w:rPr>
      </w:pPr>
      <w:r>
        <w:rPr>
          <w:rFonts w:hint="eastAsia" w:ascii="仿宋" w:hAnsi="仿宋" w:cs="仿宋"/>
          <w:bCs/>
          <w:lang w:val="zh-CN"/>
        </w:rPr>
        <w:t>在线询问、质疑、投诉</w:t>
      </w:r>
    </w:p>
    <w:p w14:paraId="7C744C5C">
      <w:pPr>
        <w:ind w:firstLine="480" w:firstLineChars="200"/>
        <w:rPr>
          <w:rFonts w:ascii="仿宋" w:hAnsi="仿宋" w:cs="仿宋"/>
          <w:lang w:val="zh-CN"/>
        </w:rPr>
      </w:pPr>
      <w:r>
        <w:rPr>
          <w:rFonts w:hint="eastAsia" w:ascii="仿宋" w:hAnsi="仿宋" w:cs="仿宋"/>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22BBD7D">
      <w:pPr>
        <w:numPr>
          <w:ilvl w:val="1"/>
          <w:numId w:val="4"/>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供应商询问</w:t>
      </w:r>
    </w:p>
    <w:p w14:paraId="608D0AB0">
      <w:pPr>
        <w:autoSpaceDE w:val="0"/>
        <w:autoSpaceDN w:val="0"/>
        <w:ind w:firstLine="480" w:firstLineChars="200"/>
        <w:jc w:val="left"/>
        <w:rPr>
          <w:rFonts w:ascii="仿宋" w:hAnsi="仿宋" w:cs="仿宋"/>
          <w:kern w:val="0"/>
          <w:lang w:val="zh-CN"/>
        </w:rPr>
      </w:pPr>
      <w:r>
        <w:rPr>
          <w:rFonts w:hint="eastAsia" w:ascii="仿宋" w:hAnsi="仿宋" w:cs="仿宋"/>
          <w:kern w:val="0"/>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50B2A14">
      <w:pPr>
        <w:numPr>
          <w:ilvl w:val="1"/>
          <w:numId w:val="4"/>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供应商质疑</w:t>
      </w:r>
    </w:p>
    <w:p w14:paraId="02450003">
      <w:pPr>
        <w:numPr>
          <w:ilvl w:val="2"/>
          <w:numId w:val="4"/>
        </w:numPr>
        <w:tabs>
          <w:tab w:val="left" w:pos="210"/>
        </w:tabs>
        <w:ind w:left="0" w:firstLine="480" w:firstLineChars="200"/>
        <w:jc w:val="left"/>
        <w:rPr>
          <w:rFonts w:ascii="仿宋" w:hAnsi="仿宋" w:cs="仿宋"/>
          <w:bCs/>
          <w:lang w:val="zh-CN"/>
        </w:rPr>
      </w:pPr>
      <w:r>
        <w:rPr>
          <w:rFonts w:hint="eastAsia" w:ascii="仿宋" w:hAnsi="仿宋" w:cs="仿宋"/>
          <w:bCs/>
          <w:lang w:val="zh-CN"/>
        </w:rPr>
        <w:t>提出质疑的供应商应当是参与所质疑项目采购活动的供应商。潜在供应商已依法获取其可质疑的招标文件的，可以对该文件提出质疑。</w:t>
      </w:r>
    </w:p>
    <w:p w14:paraId="53BA0F39">
      <w:pPr>
        <w:numPr>
          <w:ilvl w:val="2"/>
          <w:numId w:val="4"/>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7D8EF7E">
      <w:pPr>
        <w:numPr>
          <w:ilvl w:val="3"/>
          <w:numId w:val="4"/>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对招标文件提出质疑的，质疑期限为供应商获得招标文件之日或者招标文件公告期限届满之日起计算。</w:t>
      </w:r>
    </w:p>
    <w:p w14:paraId="4FAEC773">
      <w:pPr>
        <w:numPr>
          <w:ilvl w:val="3"/>
          <w:numId w:val="4"/>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对采购过程提出质疑的，质疑期限为各采购程序环节结束之日起计算。</w:t>
      </w:r>
    </w:p>
    <w:p w14:paraId="40192F58">
      <w:pPr>
        <w:numPr>
          <w:ilvl w:val="3"/>
          <w:numId w:val="4"/>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对采购结果提出质疑的，质疑期限自采购结果公告期限届满之日起计算。</w:t>
      </w:r>
    </w:p>
    <w:p w14:paraId="55F3A656">
      <w:pPr>
        <w:numPr>
          <w:ilvl w:val="2"/>
          <w:numId w:val="4"/>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供应商提出质疑应当提交质疑函和必要的证明材料。质疑函应当包括下列内容：</w:t>
      </w:r>
    </w:p>
    <w:p w14:paraId="34B9E33D">
      <w:pPr>
        <w:numPr>
          <w:ilvl w:val="3"/>
          <w:numId w:val="4"/>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供应商的姓名或者名称、地址、邮编、联系人及联系电话；</w:t>
      </w:r>
    </w:p>
    <w:p w14:paraId="0BD44E45">
      <w:pPr>
        <w:numPr>
          <w:ilvl w:val="3"/>
          <w:numId w:val="4"/>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质疑项目的名称、编号；</w:t>
      </w:r>
    </w:p>
    <w:p w14:paraId="44DCCB01">
      <w:pPr>
        <w:numPr>
          <w:ilvl w:val="3"/>
          <w:numId w:val="4"/>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具体、明确的质疑事项和与质疑事项相关的请求；</w:t>
      </w:r>
    </w:p>
    <w:p w14:paraId="456EA203">
      <w:pPr>
        <w:numPr>
          <w:ilvl w:val="3"/>
          <w:numId w:val="4"/>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事实依据；</w:t>
      </w:r>
    </w:p>
    <w:p w14:paraId="0563AE7C">
      <w:pPr>
        <w:numPr>
          <w:ilvl w:val="3"/>
          <w:numId w:val="4"/>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必要的法律依据；</w:t>
      </w:r>
    </w:p>
    <w:p w14:paraId="5B1787B6">
      <w:pPr>
        <w:numPr>
          <w:ilvl w:val="3"/>
          <w:numId w:val="4"/>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提出质疑的日期。</w:t>
      </w:r>
    </w:p>
    <w:p w14:paraId="6095441C">
      <w:pPr>
        <w:tabs>
          <w:tab w:val="left" w:pos="210"/>
        </w:tabs>
        <w:ind w:firstLine="480" w:firstLineChars="200"/>
        <w:jc w:val="left"/>
        <w:rPr>
          <w:rFonts w:ascii="仿宋" w:hAnsi="仿宋" w:cs="仿宋"/>
          <w:bCs/>
          <w:lang w:val="zh-CN"/>
        </w:rPr>
      </w:pPr>
      <w:r>
        <w:rPr>
          <w:rFonts w:hint="eastAsia" w:ascii="仿宋" w:hAnsi="仿宋" w:cs="仿宋"/>
          <w:bCs/>
          <w:lang w:val="zh-CN"/>
        </w:rPr>
        <w:t>供应商提交的质疑函需一式三份。供应商为自然人的，应当由本人签字；供应商为法人或者其他组织的，应当由法定代表人、主要负责人，或者其授权代表签字或者盖章，并加盖公章。</w:t>
      </w:r>
    </w:p>
    <w:p w14:paraId="46B3AC90">
      <w:pPr>
        <w:tabs>
          <w:tab w:val="left" w:pos="210"/>
        </w:tabs>
        <w:ind w:firstLine="480" w:firstLineChars="200"/>
        <w:jc w:val="left"/>
        <w:rPr>
          <w:rFonts w:ascii="仿宋" w:hAnsi="仿宋" w:cs="仿宋"/>
          <w:bCs/>
          <w:lang w:val="zh-CN"/>
        </w:rPr>
      </w:pPr>
      <w:r>
        <w:rPr>
          <w:rFonts w:hint="eastAsia" w:ascii="仿宋" w:hAnsi="仿宋" w:cs="仿宋"/>
          <w:bCs/>
          <w:lang w:val="zh-CN"/>
        </w:rPr>
        <w:t>质疑函范本及制作说明详见附件2。</w:t>
      </w:r>
    </w:p>
    <w:p w14:paraId="6986E800">
      <w:pPr>
        <w:numPr>
          <w:ilvl w:val="2"/>
          <w:numId w:val="4"/>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对同一采购程序环节的质疑，供应商须在法定质疑期内一次性提出。</w:t>
      </w:r>
    </w:p>
    <w:p w14:paraId="4BB75691">
      <w:pPr>
        <w:numPr>
          <w:ilvl w:val="2"/>
          <w:numId w:val="4"/>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14:paraId="297B6432">
      <w:pPr>
        <w:numPr>
          <w:ilvl w:val="1"/>
          <w:numId w:val="4"/>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w:t>
      </w:r>
    </w:p>
    <w:p w14:paraId="564E6110">
      <w:pPr>
        <w:numPr>
          <w:ilvl w:val="2"/>
          <w:numId w:val="4"/>
        </w:numPr>
        <w:tabs>
          <w:tab w:val="left" w:pos="210"/>
        </w:tabs>
        <w:ind w:left="0" w:firstLine="480" w:firstLineChars="200"/>
        <w:jc w:val="left"/>
        <w:rPr>
          <w:rFonts w:ascii="仿宋" w:hAnsi="仿宋" w:cs="仿宋"/>
          <w:bCs/>
          <w:lang w:val="zh-CN"/>
        </w:rPr>
      </w:pPr>
      <w:r>
        <w:rPr>
          <w:rFonts w:hint="eastAsia" w:ascii="仿宋" w:hAnsi="仿宋" w:cs="仿宋"/>
          <w:bCs/>
          <w:lang w:val="zh-CN"/>
        </w:rPr>
        <w:t>质疑供应商对采购人、采购代理机构的答复不满意或者采购人、采购代理机构未在规定的时间内作出答复的，可以在答复期满后十五个工作日内向同级政府采购监督管理部门提出投诉。</w:t>
      </w:r>
    </w:p>
    <w:p w14:paraId="14BE9391">
      <w:pPr>
        <w:numPr>
          <w:ilvl w:val="2"/>
          <w:numId w:val="4"/>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供应商投诉的事项不得超出已质疑事项的范围，基于质疑答复内容提出的投诉事项除外。</w:t>
      </w:r>
    </w:p>
    <w:p w14:paraId="43D22217">
      <w:pPr>
        <w:numPr>
          <w:ilvl w:val="2"/>
          <w:numId w:val="4"/>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供应商投诉应当有明确的请求和必要的证明材料。</w:t>
      </w:r>
    </w:p>
    <w:p w14:paraId="132097C9">
      <w:pPr>
        <w:numPr>
          <w:ilvl w:val="2"/>
          <w:numId w:val="4"/>
        </w:numPr>
        <w:tabs>
          <w:tab w:val="left" w:pos="210"/>
        </w:tabs>
        <w:ind w:left="0" w:firstLine="480" w:firstLineChars="200"/>
        <w:jc w:val="left"/>
        <w:rPr>
          <w:rFonts w:ascii="仿宋" w:hAnsi="仿宋" w:cs="仿宋"/>
          <w:bCs/>
          <w:lang w:val="zh-CN"/>
        </w:rPr>
      </w:pPr>
      <w:r>
        <w:rPr>
          <w:rFonts w:hint="eastAsia" w:ascii="仿宋" w:hAnsi="仿宋" w:cs="仿宋"/>
          <w:bCs/>
          <w:lang w:val="zh-CN"/>
        </w:rPr>
        <w:t>以联合体形式参加政府采购活动的，其投诉应当由组成联合体的所有供应商共同提出。</w:t>
      </w:r>
    </w:p>
    <w:p w14:paraId="0BFB5DBE">
      <w:pPr>
        <w:adjustRightInd/>
        <w:spacing w:line="360" w:lineRule="auto"/>
        <w:jc w:val="center"/>
        <w:outlineLvl w:val="1"/>
        <w:rPr>
          <w:rFonts w:ascii="仿宋" w:hAnsi="仿宋" w:cs="仿宋"/>
          <w:b/>
          <w:sz w:val="32"/>
          <w:szCs w:val="20"/>
        </w:rPr>
      </w:pPr>
      <w:r>
        <w:rPr>
          <w:rFonts w:hint="eastAsia" w:ascii="仿宋" w:hAnsi="仿宋" w:cs="仿宋"/>
          <w:b/>
          <w:sz w:val="32"/>
          <w:szCs w:val="20"/>
        </w:rPr>
        <w:t>二、招标文件的构成、澄清、修改</w:t>
      </w:r>
    </w:p>
    <w:p w14:paraId="5F36A3FC">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招标文件的构成</w:t>
      </w:r>
    </w:p>
    <w:p w14:paraId="78091D54">
      <w:pPr>
        <w:numPr>
          <w:ilvl w:val="1"/>
          <w:numId w:val="4"/>
        </w:numPr>
        <w:tabs>
          <w:tab w:val="left" w:pos="210"/>
        </w:tabs>
        <w:ind w:left="0" w:firstLine="480" w:firstLineChars="200"/>
        <w:jc w:val="left"/>
        <w:rPr>
          <w:rFonts w:ascii="仿宋" w:hAnsi="仿宋" w:cs="仿宋"/>
          <w:bCs/>
        </w:rPr>
      </w:pPr>
      <w:r>
        <w:rPr>
          <w:rFonts w:hint="eastAsia" w:ascii="仿宋" w:hAnsi="仿宋" w:cs="仿宋"/>
          <w:bCs/>
        </w:rPr>
        <w:t>招标文件包括下列文件及附件：</w:t>
      </w:r>
    </w:p>
    <w:p w14:paraId="19D4B2B4">
      <w:pPr>
        <w:numPr>
          <w:ilvl w:val="2"/>
          <w:numId w:val="4"/>
        </w:numPr>
        <w:tabs>
          <w:tab w:val="left" w:pos="210"/>
        </w:tabs>
        <w:ind w:left="0" w:firstLine="480" w:firstLineChars="200"/>
        <w:jc w:val="left"/>
        <w:rPr>
          <w:rFonts w:ascii="仿宋" w:hAnsi="仿宋" w:cs="仿宋"/>
          <w:bCs/>
        </w:rPr>
      </w:pPr>
      <w:r>
        <w:rPr>
          <w:rFonts w:hint="eastAsia" w:ascii="仿宋" w:hAnsi="仿宋" w:cs="仿宋"/>
          <w:bCs/>
        </w:rPr>
        <w:t>招标公告；</w:t>
      </w:r>
    </w:p>
    <w:p w14:paraId="0E0DF9D3">
      <w:pPr>
        <w:numPr>
          <w:ilvl w:val="2"/>
          <w:numId w:val="4"/>
        </w:numPr>
        <w:tabs>
          <w:tab w:val="left" w:pos="210"/>
        </w:tabs>
        <w:ind w:left="0" w:firstLine="480" w:firstLineChars="200"/>
        <w:jc w:val="left"/>
        <w:rPr>
          <w:rFonts w:ascii="仿宋" w:hAnsi="仿宋" w:cs="仿宋"/>
          <w:bCs/>
        </w:rPr>
      </w:pPr>
      <w:r>
        <w:rPr>
          <w:rFonts w:hint="eastAsia" w:ascii="仿宋" w:hAnsi="仿宋" w:cs="仿宋"/>
          <w:bCs/>
        </w:rPr>
        <w:t>投标人须知；</w:t>
      </w:r>
    </w:p>
    <w:p w14:paraId="755AC04D">
      <w:pPr>
        <w:numPr>
          <w:ilvl w:val="2"/>
          <w:numId w:val="4"/>
        </w:numPr>
        <w:tabs>
          <w:tab w:val="left" w:pos="210"/>
        </w:tabs>
        <w:ind w:left="0" w:firstLine="480" w:firstLineChars="200"/>
        <w:jc w:val="left"/>
        <w:rPr>
          <w:rFonts w:ascii="仿宋" w:hAnsi="仿宋" w:cs="仿宋"/>
          <w:bCs/>
        </w:rPr>
      </w:pPr>
      <w:r>
        <w:rPr>
          <w:rFonts w:hint="eastAsia" w:ascii="仿宋" w:hAnsi="仿宋" w:cs="仿宋"/>
          <w:bCs/>
        </w:rPr>
        <w:t>采购需求；</w:t>
      </w:r>
    </w:p>
    <w:p w14:paraId="3414514E">
      <w:pPr>
        <w:numPr>
          <w:ilvl w:val="2"/>
          <w:numId w:val="4"/>
        </w:numPr>
        <w:tabs>
          <w:tab w:val="left" w:pos="210"/>
        </w:tabs>
        <w:ind w:left="0" w:firstLine="480" w:firstLineChars="200"/>
        <w:jc w:val="left"/>
        <w:rPr>
          <w:rFonts w:ascii="仿宋" w:hAnsi="仿宋" w:cs="仿宋"/>
          <w:bCs/>
        </w:rPr>
      </w:pPr>
      <w:r>
        <w:rPr>
          <w:rFonts w:hint="eastAsia" w:ascii="仿宋" w:hAnsi="仿宋" w:cs="仿宋"/>
          <w:bCs/>
        </w:rPr>
        <w:t>评标办法；</w:t>
      </w:r>
    </w:p>
    <w:p w14:paraId="7E4E2BA0">
      <w:pPr>
        <w:numPr>
          <w:ilvl w:val="2"/>
          <w:numId w:val="4"/>
        </w:numPr>
        <w:tabs>
          <w:tab w:val="left" w:pos="210"/>
        </w:tabs>
        <w:ind w:left="0" w:firstLine="480" w:firstLineChars="200"/>
        <w:jc w:val="left"/>
        <w:rPr>
          <w:rFonts w:ascii="仿宋" w:hAnsi="仿宋" w:cs="仿宋"/>
          <w:bCs/>
        </w:rPr>
      </w:pPr>
      <w:r>
        <w:rPr>
          <w:rFonts w:hint="eastAsia" w:ascii="仿宋" w:hAnsi="仿宋" w:cs="仿宋"/>
          <w:bCs/>
        </w:rPr>
        <w:t>拟签订的合同文本；</w:t>
      </w:r>
    </w:p>
    <w:p w14:paraId="007D6B4A">
      <w:pPr>
        <w:numPr>
          <w:ilvl w:val="2"/>
          <w:numId w:val="4"/>
        </w:numPr>
        <w:tabs>
          <w:tab w:val="left" w:pos="210"/>
        </w:tabs>
        <w:ind w:left="0" w:firstLine="480" w:firstLineChars="200"/>
        <w:jc w:val="left"/>
        <w:rPr>
          <w:rFonts w:ascii="仿宋" w:hAnsi="仿宋" w:cs="仿宋"/>
          <w:bCs/>
        </w:rPr>
      </w:pPr>
      <w:r>
        <w:rPr>
          <w:rFonts w:hint="eastAsia" w:ascii="仿宋" w:hAnsi="仿宋" w:cs="仿宋"/>
          <w:bCs/>
        </w:rPr>
        <w:t>应提交的有关格式范例。</w:t>
      </w:r>
    </w:p>
    <w:p w14:paraId="750B97B3">
      <w:pPr>
        <w:numPr>
          <w:ilvl w:val="1"/>
          <w:numId w:val="4"/>
        </w:numPr>
        <w:tabs>
          <w:tab w:val="left" w:pos="210"/>
        </w:tabs>
        <w:ind w:left="0" w:firstLine="480" w:firstLineChars="200"/>
        <w:jc w:val="left"/>
        <w:rPr>
          <w:rFonts w:ascii="仿宋" w:hAnsi="仿宋" w:cs="仿宋"/>
          <w:bCs/>
        </w:rPr>
      </w:pPr>
      <w:r>
        <w:rPr>
          <w:rFonts w:hint="eastAsia" w:ascii="仿宋" w:hAnsi="仿宋" w:cs="仿宋"/>
          <w:bCs/>
        </w:rPr>
        <w:t>与本项目有关的澄清或者修改的内容为招标文件的组成部分。</w:t>
      </w:r>
    </w:p>
    <w:p w14:paraId="2AE77CC3">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招标文件的澄清、修改</w:t>
      </w:r>
    </w:p>
    <w:p w14:paraId="74FB944D">
      <w:pPr>
        <w:numPr>
          <w:ilvl w:val="1"/>
          <w:numId w:val="4"/>
        </w:numPr>
        <w:tabs>
          <w:tab w:val="left" w:pos="210"/>
        </w:tabs>
        <w:ind w:left="0" w:firstLine="480" w:firstLineChars="200"/>
        <w:jc w:val="left"/>
        <w:rPr>
          <w:rFonts w:ascii="仿宋" w:hAnsi="仿宋" w:cs="仿宋"/>
          <w:bCs/>
        </w:rPr>
      </w:pPr>
      <w:r>
        <w:rPr>
          <w:rFonts w:hint="eastAsia" w:ascii="仿宋" w:hAnsi="仿宋" w:cs="仿宋"/>
          <w:bCs/>
        </w:rPr>
        <w:t>已获取招标文件的潜在投标人，若有问题需要澄清，应于投标截止时间前，以书面形式向采购代理机构提出。</w:t>
      </w:r>
    </w:p>
    <w:p w14:paraId="421A0E66">
      <w:pPr>
        <w:numPr>
          <w:ilvl w:val="1"/>
          <w:numId w:val="4"/>
        </w:numPr>
        <w:tabs>
          <w:tab w:val="left" w:pos="210"/>
        </w:tabs>
        <w:ind w:left="0" w:firstLine="480" w:firstLineChars="200"/>
        <w:jc w:val="left"/>
        <w:rPr>
          <w:rFonts w:ascii="仿宋" w:hAnsi="仿宋" w:cs="仿宋"/>
          <w:bCs/>
        </w:rPr>
      </w:pPr>
      <w:r>
        <w:rPr>
          <w:rFonts w:hint="eastAsia" w:ascii="仿宋" w:hAnsi="仿宋" w:cs="仿宋"/>
          <w:bCs/>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1EFF442">
      <w:pPr>
        <w:adjustRightInd/>
        <w:spacing w:line="360" w:lineRule="auto"/>
        <w:jc w:val="center"/>
        <w:outlineLvl w:val="1"/>
        <w:rPr>
          <w:rFonts w:ascii="仿宋" w:hAnsi="仿宋" w:cs="仿宋"/>
          <w:b/>
          <w:sz w:val="32"/>
          <w:szCs w:val="20"/>
        </w:rPr>
      </w:pPr>
      <w:r>
        <w:rPr>
          <w:rFonts w:hint="eastAsia" w:ascii="仿宋" w:hAnsi="仿宋" w:cs="仿宋"/>
          <w:b/>
          <w:sz w:val="32"/>
          <w:szCs w:val="20"/>
        </w:rPr>
        <w:t>三、投标</w:t>
      </w:r>
    </w:p>
    <w:p w14:paraId="6AB1632D">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招标文件的获取</w:t>
      </w:r>
    </w:p>
    <w:p w14:paraId="48A61F0F">
      <w:pPr>
        <w:pStyle w:val="33"/>
        <w:ind w:firstLine="480" w:firstLineChars="200"/>
        <w:rPr>
          <w:rFonts w:ascii="仿宋" w:hAnsi="仿宋" w:cs="仿宋"/>
          <w:szCs w:val="24"/>
        </w:rPr>
      </w:pPr>
      <w:r>
        <w:rPr>
          <w:rFonts w:hint="eastAsia" w:ascii="仿宋" w:hAnsi="仿宋" w:cs="仿宋"/>
          <w:szCs w:val="24"/>
        </w:rPr>
        <w:t>详见招标公告中获取招标文件的时间期限、地点、方式及招标文件售价。</w:t>
      </w:r>
    </w:p>
    <w:p w14:paraId="160872D7">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开标前答疑会或现场考察</w:t>
      </w:r>
    </w:p>
    <w:p w14:paraId="4DF51FC8">
      <w:pPr>
        <w:pStyle w:val="33"/>
        <w:ind w:firstLine="480" w:firstLineChars="200"/>
        <w:rPr>
          <w:rFonts w:ascii="仿宋" w:hAnsi="仿宋" w:cs="仿宋"/>
          <w:szCs w:val="24"/>
        </w:rPr>
      </w:pPr>
      <w:r>
        <w:rPr>
          <w:rFonts w:hint="eastAsia" w:ascii="仿宋" w:hAnsi="仿宋" w:cs="仿宋"/>
          <w:szCs w:val="24"/>
        </w:rPr>
        <w:t>采购人组织潜在投标人现场考察或者召开开标前答疑会的，潜在投标人按第二部分投标人须知前附表的规定参加现场考察或者开标前答疑会。</w:t>
      </w:r>
    </w:p>
    <w:p w14:paraId="704F2832">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投标保证金</w:t>
      </w:r>
    </w:p>
    <w:p w14:paraId="4EE05C0A">
      <w:pPr>
        <w:pStyle w:val="33"/>
        <w:ind w:firstLine="480" w:firstLineChars="200"/>
        <w:rPr>
          <w:rFonts w:ascii="仿宋" w:hAnsi="仿宋" w:cs="仿宋"/>
          <w:szCs w:val="24"/>
        </w:rPr>
      </w:pPr>
      <w:r>
        <w:rPr>
          <w:rFonts w:hint="eastAsia" w:ascii="仿宋" w:hAnsi="仿宋" w:cs="仿宋"/>
          <w:szCs w:val="24"/>
        </w:rPr>
        <w:t>本项目不需缴纳投标保证金。</w:t>
      </w:r>
    </w:p>
    <w:p w14:paraId="68BEDF65">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投标文件的语言</w:t>
      </w:r>
    </w:p>
    <w:p w14:paraId="077872F7">
      <w:pPr>
        <w:pStyle w:val="33"/>
        <w:ind w:firstLine="480" w:firstLineChars="200"/>
        <w:rPr>
          <w:rFonts w:ascii="仿宋" w:hAnsi="仿宋" w:cs="仿宋"/>
          <w:szCs w:val="24"/>
          <w:lang w:val="zh-CN"/>
        </w:rPr>
      </w:pPr>
      <w:r>
        <w:rPr>
          <w:rFonts w:hint="eastAsia" w:ascii="仿宋" w:hAnsi="仿宋" w:cs="仿宋"/>
          <w:szCs w:val="24"/>
        </w:rPr>
        <w:t>投标文件及投标人与采购有关的来往通知、函件和文件均应使用中文。</w:t>
      </w:r>
    </w:p>
    <w:p w14:paraId="1C694CD1">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投标文件的组成</w:t>
      </w:r>
    </w:p>
    <w:p w14:paraId="031B0B46">
      <w:pPr>
        <w:numPr>
          <w:ilvl w:val="1"/>
          <w:numId w:val="4"/>
        </w:numPr>
        <w:tabs>
          <w:tab w:val="left" w:pos="210"/>
          <w:tab w:val="left" w:pos="630"/>
          <w:tab w:val="left" w:pos="840"/>
        </w:tabs>
        <w:spacing w:line="360" w:lineRule="auto"/>
        <w:ind w:left="0" w:firstLine="482" w:firstLineChars="200"/>
        <w:jc w:val="left"/>
        <w:rPr>
          <w:rFonts w:ascii="仿宋" w:hAnsi="仿宋" w:cs="仿宋"/>
          <w:b/>
        </w:rPr>
      </w:pPr>
      <w:r>
        <w:rPr>
          <w:rFonts w:hint="eastAsia" w:ascii="仿宋" w:hAnsi="仿宋" w:cs="仿宋"/>
          <w:b/>
        </w:rPr>
        <w:t>资格文件：</w:t>
      </w:r>
    </w:p>
    <w:p w14:paraId="382A3477">
      <w:pPr>
        <w:numPr>
          <w:ilvl w:val="2"/>
          <w:numId w:val="4"/>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符合参加政府采购活动应当具备的一般条件的承诺函；</w:t>
      </w:r>
    </w:p>
    <w:p w14:paraId="382B7D35">
      <w:pPr>
        <w:numPr>
          <w:ilvl w:val="2"/>
          <w:numId w:val="4"/>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联合协议</w:t>
      </w:r>
      <w:r>
        <w:rPr>
          <w:rFonts w:hint="eastAsia" w:ascii="仿宋" w:hAnsi="仿宋" w:cs="仿宋"/>
          <w:bCs/>
          <w:color w:val="FF0000"/>
        </w:rPr>
        <w:t>（如果有）</w:t>
      </w:r>
      <w:r>
        <w:rPr>
          <w:rFonts w:hint="eastAsia" w:ascii="仿宋" w:hAnsi="仿宋" w:cs="仿宋"/>
          <w:bCs/>
        </w:rPr>
        <w:t>；</w:t>
      </w:r>
    </w:p>
    <w:p w14:paraId="612F7C4C">
      <w:pPr>
        <w:numPr>
          <w:ilvl w:val="2"/>
          <w:numId w:val="4"/>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落实政府采购政策需满足的资格要求：中小企业声明函；</w:t>
      </w:r>
    </w:p>
    <w:p w14:paraId="7DD211DE">
      <w:pPr>
        <w:numPr>
          <w:ilvl w:val="2"/>
          <w:numId w:val="4"/>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本项目的特定资格要求</w:t>
      </w:r>
      <w:r>
        <w:rPr>
          <w:rFonts w:hint="eastAsia" w:ascii="仿宋" w:hAnsi="仿宋" w:cs="仿宋"/>
          <w:bCs/>
          <w:color w:val="FF0000"/>
        </w:rPr>
        <w:t>（本项目不适用）</w:t>
      </w:r>
      <w:r>
        <w:rPr>
          <w:rFonts w:hint="eastAsia" w:ascii="仿宋" w:hAnsi="仿宋" w:cs="仿宋"/>
          <w:bCs/>
        </w:rPr>
        <w:t>。</w:t>
      </w:r>
    </w:p>
    <w:p w14:paraId="426F4E6A">
      <w:pPr>
        <w:numPr>
          <w:ilvl w:val="1"/>
          <w:numId w:val="4"/>
        </w:numPr>
        <w:tabs>
          <w:tab w:val="left" w:pos="210"/>
          <w:tab w:val="left" w:pos="630"/>
          <w:tab w:val="left" w:pos="840"/>
        </w:tabs>
        <w:ind w:left="0" w:firstLine="482" w:firstLineChars="200"/>
        <w:jc w:val="left"/>
        <w:rPr>
          <w:rFonts w:ascii="仿宋" w:hAnsi="仿宋" w:cs="仿宋"/>
          <w:b/>
          <w:lang w:val="zh-CN"/>
        </w:rPr>
      </w:pPr>
      <w:r>
        <w:rPr>
          <w:rFonts w:hint="eastAsia" w:ascii="仿宋" w:hAnsi="仿宋" w:cs="仿宋"/>
          <w:b/>
        </w:rPr>
        <w:t>商务技术</w:t>
      </w:r>
      <w:r>
        <w:rPr>
          <w:rFonts w:hint="eastAsia" w:ascii="仿宋" w:hAnsi="仿宋" w:cs="仿宋"/>
          <w:b/>
          <w:lang w:val="zh-CN"/>
        </w:rPr>
        <w:t>文件：</w:t>
      </w:r>
    </w:p>
    <w:p w14:paraId="78F7B79F">
      <w:pPr>
        <w:numPr>
          <w:ilvl w:val="2"/>
          <w:numId w:val="4"/>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投标函；</w:t>
      </w:r>
    </w:p>
    <w:p w14:paraId="0B9F5762">
      <w:pPr>
        <w:numPr>
          <w:ilvl w:val="2"/>
          <w:numId w:val="4"/>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授权委托书或法定代表人（单位负责人、自然人本人）身份证明；</w:t>
      </w:r>
    </w:p>
    <w:p w14:paraId="0DC47791">
      <w:pPr>
        <w:numPr>
          <w:ilvl w:val="2"/>
          <w:numId w:val="4"/>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授权代表近一个月内在投标单位缴纳社保的参保证明（适用于法定代表人授权代表参加投标活动）；</w:t>
      </w:r>
    </w:p>
    <w:p w14:paraId="2889F649">
      <w:pPr>
        <w:numPr>
          <w:ilvl w:val="2"/>
          <w:numId w:val="4"/>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分包意向协议</w:t>
      </w:r>
      <w:r>
        <w:rPr>
          <w:rFonts w:hint="eastAsia" w:ascii="仿宋" w:hAnsi="仿宋" w:cs="仿宋"/>
          <w:bCs/>
          <w:color w:val="FF0000"/>
        </w:rPr>
        <w:t>（如果有）</w:t>
      </w:r>
      <w:r>
        <w:rPr>
          <w:rFonts w:hint="eastAsia" w:ascii="仿宋" w:hAnsi="仿宋" w:cs="仿宋"/>
          <w:bCs/>
        </w:rPr>
        <w:t>；</w:t>
      </w:r>
    </w:p>
    <w:p w14:paraId="4F472FBD">
      <w:pPr>
        <w:numPr>
          <w:ilvl w:val="2"/>
          <w:numId w:val="4"/>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符合性审查资料；</w:t>
      </w:r>
    </w:p>
    <w:p w14:paraId="75D5976C">
      <w:pPr>
        <w:numPr>
          <w:ilvl w:val="2"/>
          <w:numId w:val="4"/>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评标标准相应的商务技术资料；</w:t>
      </w:r>
    </w:p>
    <w:p w14:paraId="43E2FEFE">
      <w:pPr>
        <w:numPr>
          <w:ilvl w:val="2"/>
          <w:numId w:val="4"/>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投标标的清单；</w:t>
      </w:r>
    </w:p>
    <w:p w14:paraId="1B2D572E">
      <w:pPr>
        <w:numPr>
          <w:ilvl w:val="2"/>
          <w:numId w:val="4"/>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技术响应表；</w:t>
      </w:r>
    </w:p>
    <w:p w14:paraId="76B20F1C">
      <w:pPr>
        <w:numPr>
          <w:ilvl w:val="2"/>
          <w:numId w:val="4"/>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商务技术偏离表；</w:t>
      </w:r>
    </w:p>
    <w:p w14:paraId="4640803E">
      <w:pPr>
        <w:numPr>
          <w:ilvl w:val="2"/>
          <w:numId w:val="4"/>
        </w:numPr>
        <w:tabs>
          <w:tab w:val="left" w:pos="210"/>
          <w:tab w:val="left" w:pos="630"/>
          <w:tab w:val="left" w:pos="840"/>
        </w:tabs>
        <w:ind w:left="0" w:firstLine="480" w:firstLineChars="200"/>
        <w:jc w:val="left"/>
        <w:rPr>
          <w:rFonts w:ascii="仿宋" w:hAnsi="仿宋" w:cs="仿宋"/>
          <w:bCs/>
          <w:lang w:val="zh-CN"/>
        </w:rPr>
      </w:pPr>
      <w:r>
        <w:rPr>
          <w:rFonts w:hint="eastAsia" w:ascii="仿宋" w:hAnsi="仿宋" w:cs="仿宋"/>
          <w:bCs/>
          <w:lang w:val="zh-CN"/>
        </w:rPr>
        <w:t>政府采购供应商廉洁自律承诺书。</w:t>
      </w:r>
    </w:p>
    <w:p w14:paraId="488780BB">
      <w:pPr>
        <w:numPr>
          <w:ilvl w:val="1"/>
          <w:numId w:val="4"/>
        </w:numPr>
        <w:tabs>
          <w:tab w:val="left" w:pos="210"/>
          <w:tab w:val="left" w:pos="630"/>
          <w:tab w:val="left" w:pos="840"/>
        </w:tabs>
        <w:ind w:left="0" w:firstLine="482" w:firstLineChars="200"/>
        <w:jc w:val="left"/>
        <w:rPr>
          <w:rFonts w:ascii="仿宋" w:hAnsi="仿宋" w:cs="仿宋"/>
          <w:b/>
          <w:lang w:val="zh-CN"/>
        </w:rPr>
      </w:pPr>
      <w:r>
        <w:rPr>
          <w:rFonts w:hint="eastAsia" w:ascii="仿宋" w:hAnsi="仿宋" w:cs="仿宋"/>
          <w:b/>
        </w:rPr>
        <w:t xml:space="preserve">报价文件： </w:t>
      </w:r>
    </w:p>
    <w:p w14:paraId="021B566F">
      <w:pPr>
        <w:numPr>
          <w:ilvl w:val="2"/>
          <w:numId w:val="4"/>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开标一览表（报价表）；</w:t>
      </w:r>
    </w:p>
    <w:p w14:paraId="2ECE0D96">
      <w:pPr>
        <w:numPr>
          <w:ilvl w:val="2"/>
          <w:numId w:val="4"/>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中标服务费支付承诺书和中标服务费结算信息表。</w:t>
      </w:r>
    </w:p>
    <w:p w14:paraId="13A032F1">
      <w:pPr>
        <w:ind w:firstLine="482" w:firstLineChars="200"/>
        <w:rPr>
          <w:rFonts w:ascii="仿宋" w:hAnsi="仿宋" w:cs="仿宋"/>
          <w:b/>
        </w:rPr>
      </w:pPr>
      <w:r>
        <w:rPr>
          <w:rFonts w:hint="eastAsia" w:ascii="仿宋" w:hAnsi="仿宋" w:cs="仿宋"/>
          <w:b/>
        </w:rPr>
        <w:t>投标文件含有采购人不能接受的附加条件的，投标无效；</w:t>
      </w:r>
    </w:p>
    <w:p w14:paraId="14D67119">
      <w:pPr>
        <w:ind w:firstLine="482" w:firstLineChars="200"/>
        <w:rPr>
          <w:rFonts w:ascii="仿宋" w:hAnsi="仿宋" w:cs="仿宋"/>
          <w:b/>
          <w:szCs w:val="21"/>
        </w:rPr>
      </w:pPr>
      <w:r>
        <w:rPr>
          <w:rFonts w:hint="eastAsia" w:ascii="仿宋" w:hAnsi="仿宋" w:cs="仿宋"/>
          <w:b/>
        </w:rPr>
        <w:t>投标人提供虚假材料投标的，投标无效。</w:t>
      </w:r>
    </w:p>
    <w:p w14:paraId="5DF93165">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投标文件的编制</w:t>
      </w:r>
    </w:p>
    <w:p w14:paraId="4FB9AB63">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B2805EB">
      <w:pPr>
        <w:numPr>
          <w:ilvl w:val="1"/>
          <w:numId w:val="4"/>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758365C5">
      <w:pPr>
        <w:numPr>
          <w:ilvl w:val="1"/>
          <w:numId w:val="4"/>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使用“政采云电子交易客户端”需要提前申领CA数字证书，申领流程请自行前往“浙江政府采购网-下载专区-电子交易客户端-CA驱动和申领流程”进行查阅。</w:t>
      </w:r>
    </w:p>
    <w:p w14:paraId="6FB59DED">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投标文件的签署、盖章</w:t>
      </w:r>
    </w:p>
    <w:p w14:paraId="1C9A09FE">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投标文件按照招标文件第六部分格式要求进行签署、盖章。</w:t>
      </w:r>
    </w:p>
    <w:p w14:paraId="7C96E0EF">
      <w:pPr>
        <w:pStyle w:val="143"/>
        <w:spacing w:before="0" w:line="312" w:lineRule="auto"/>
        <w:ind w:firstLine="482"/>
        <w:rPr>
          <w:rFonts w:ascii="仿宋" w:hAnsi="仿宋" w:cs="仿宋"/>
          <w:b/>
        </w:rPr>
      </w:pPr>
      <w:r>
        <w:rPr>
          <w:rFonts w:hint="eastAsia" w:ascii="仿宋" w:hAnsi="仿宋" w:cs="仿宋"/>
          <w:b/>
        </w:rPr>
        <w:t>▲投标人的投标文件未按照招标文件要求签署、盖章的，其投标无效</w:t>
      </w:r>
      <w:r>
        <w:rPr>
          <w:rFonts w:hint="eastAsia" w:ascii="仿宋" w:hAnsi="仿宋" w:cs="仿宋"/>
          <w:szCs w:val="24"/>
        </w:rPr>
        <w:t>。</w:t>
      </w:r>
    </w:p>
    <w:p w14:paraId="17694D79">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为确保网上操作合法、有效和安全，投标人应当在投标截止时间前完成在“政府采购云平台”的身份认证，确保在电子投标过程中能够对相关数据电文进行加密和使用电子签名。</w:t>
      </w:r>
    </w:p>
    <w:p w14:paraId="5F095847">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招标文件对投标文件签署、盖章的要求适用于电子签名。</w:t>
      </w:r>
    </w:p>
    <w:p w14:paraId="49517766">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投标文件的提交、补充、修改、撤回</w:t>
      </w:r>
    </w:p>
    <w:p w14:paraId="318F5866">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D785A83">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电子交易平台收到投标文件，将妥善保存并即时向供应商发出确认回执通知。在投标截止时间前，除供应商补充、修改或者撤回投标文件外，任何单位和个人不得解密或提取投标文件。</w:t>
      </w:r>
    </w:p>
    <w:p w14:paraId="2915974E">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采购人、采购代理机构可以视情况延长投标文件提交的截止时间。在上述情况下，采购代理机构与投标人以前在投标截止期方面的全部权利、责任和义务，将适用于延长至新的投标截止期。</w:t>
      </w:r>
    </w:p>
    <w:p w14:paraId="1B2AD0DD">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备份投标文件</w:t>
      </w:r>
    </w:p>
    <w:p w14:paraId="28C36D1E">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投标人在电子交易平台传输递交投标文件后，还可以在投标截止时间前直接提交或者以邮政快递方式递交备份投标文件1份，</w:t>
      </w:r>
      <w:r>
        <w:rPr>
          <w:rFonts w:hint="eastAsia" w:ascii="仿宋" w:hAnsi="仿宋" w:cs="仿宋"/>
          <w:b/>
        </w:rPr>
        <w:t>但采购人、采购代理机构不强制或变相强制投标人提交备份投标文件</w:t>
      </w:r>
      <w:r>
        <w:rPr>
          <w:rFonts w:hint="eastAsia" w:ascii="仿宋" w:hAnsi="仿宋" w:cs="仿宋"/>
          <w:bCs/>
        </w:rPr>
        <w:t>。</w:t>
      </w:r>
    </w:p>
    <w:p w14:paraId="0BB8E266">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cs="仿宋"/>
          <w:b/>
        </w:rPr>
        <w:t>不符合上述制作、存储、密封规定的备份投标文件将被视为无效或者被拒绝接收。</w:t>
      </w:r>
    </w:p>
    <w:p w14:paraId="7E8CF24F">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直接提交备份投标文件的，投标人应于投标截止时间前在招标公告中载明的开标地点将备份投标文件提交给采购代理机构，</w:t>
      </w:r>
      <w:r>
        <w:rPr>
          <w:rFonts w:hint="eastAsia" w:ascii="仿宋" w:hAnsi="仿宋" w:cs="仿宋"/>
          <w:b/>
        </w:rPr>
        <w:t>采购代理机构将拒绝接受逾期送达的备份投标文件</w:t>
      </w:r>
      <w:r>
        <w:rPr>
          <w:rFonts w:hint="eastAsia" w:ascii="仿宋" w:hAnsi="仿宋" w:cs="仿宋"/>
          <w:bCs/>
        </w:rPr>
        <w:t>。</w:t>
      </w:r>
    </w:p>
    <w:p w14:paraId="5707BE6C">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290D01C1">
      <w:pPr>
        <w:numPr>
          <w:ilvl w:val="1"/>
          <w:numId w:val="4"/>
        </w:numPr>
        <w:tabs>
          <w:tab w:val="left" w:pos="210"/>
          <w:tab w:val="left" w:pos="640"/>
        </w:tabs>
        <w:ind w:left="0" w:firstLine="482" w:firstLineChars="200"/>
        <w:jc w:val="left"/>
        <w:rPr>
          <w:rFonts w:ascii="仿宋" w:hAnsi="仿宋" w:cs="仿宋"/>
          <w:b/>
        </w:rPr>
      </w:pPr>
      <w:r>
        <w:rPr>
          <w:rFonts w:hint="eastAsia" w:ascii="仿宋" w:hAnsi="仿宋" w:cs="仿宋"/>
          <w:b/>
        </w:rPr>
        <w:t>投标人仅提交备份投标文件，未在电子交易平台传输递交投标文件的，投标无效。</w:t>
      </w:r>
    </w:p>
    <w:p w14:paraId="1D701FFB">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投标文件的无效处理</w:t>
      </w:r>
    </w:p>
    <w:p w14:paraId="46F8DF25">
      <w:pPr>
        <w:pStyle w:val="24"/>
        <w:spacing w:line="360" w:lineRule="auto"/>
        <w:rPr>
          <w:rFonts w:ascii="仿宋" w:hAnsi="仿宋" w:cs="仿宋"/>
          <w:szCs w:val="21"/>
        </w:rPr>
      </w:pPr>
      <w:r>
        <w:rPr>
          <w:rFonts w:hint="eastAsia" w:ascii="仿宋" w:hAnsi="仿宋" w:cs="仿宋"/>
          <w:szCs w:val="21"/>
        </w:rPr>
        <w:t>有招标文件第四部分</w:t>
      </w:r>
      <w:r>
        <w:rPr>
          <w:rFonts w:hint="eastAsia" w:ascii="仿宋" w:hAnsi="仿宋" w:cs="仿宋"/>
        </w:rPr>
        <w:t>第4.2项规定</w:t>
      </w:r>
      <w:r>
        <w:rPr>
          <w:rFonts w:hint="eastAsia" w:ascii="仿宋" w:hAnsi="仿宋" w:cs="仿宋"/>
          <w:szCs w:val="21"/>
        </w:rPr>
        <w:t>的情形之一的，投标无效：</w:t>
      </w:r>
    </w:p>
    <w:p w14:paraId="56689E20">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投标有效期</w:t>
      </w:r>
    </w:p>
    <w:p w14:paraId="4CDCC5FA">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投标有效期为从提交投标文件的截止之日起90天。</w:t>
      </w:r>
    </w:p>
    <w:p w14:paraId="2BD3C114">
      <w:pPr>
        <w:ind w:firstLine="480" w:firstLineChars="200"/>
        <w:rPr>
          <w:rFonts w:ascii="仿宋" w:hAnsi="仿宋" w:cs="仿宋"/>
          <w:b/>
          <w:szCs w:val="21"/>
        </w:rPr>
      </w:pPr>
      <w:r>
        <w:rPr>
          <w:rFonts w:hint="eastAsia" w:ascii="仿宋" w:hAnsi="仿宋" w:cs="仿宋"/>
          <w:szCs w:val="20"/>
        </w:rPr>
        <w:t>▲</w:t>
      </w:r>
      <w:r>
        <w:rPr>
          <w:rFonts w:hint="eastAsia" w:ascii="仿宋" w:hAnsi="仿宋" w:cs="仿宋"/>
          <w:b/>
          <w:szCs w:val="20"/>
        </w:rPr>
        <w:t>投标人的投标文件中承</w:t>
      </w:r>
      <w:r>
        <w:rPr>
          <w:rFonts w:hint="eastAsia" w:ascii="仿宋" w:hAnsi="仿宋" w:cs="仿宋"/>
          <w:b/>
          <w:szCs w:val="21"/>
        </w:rPr>
        <w:t>诺的投标有效期少于招标文件中载明的投标有效期的，投标无效。</w:t>
      </w:r>
    </w:p>
    <w:p w14:paraId="07C5AD54">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投标文件合格投递后，自投标截止日期起，在投标有效期内有效。</w:t>
      </w:r>
    </w:p>
    <w:p w14:paraId="248DB3B1">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在原定投标有效期满之前，如果出现特殊情况，采购代理机构可以以书面形式通知投标人延长投标有效期。投标人同意延长的，不得要求或被允许修改其投标文件，投标人拒绝延长的，其投标无效。</w:t>
      </w:r>
    </w:p>
    <w:p w14:paraId="4716B831">
      <w:pPr>
        <w:adjustRightInd/>
        <w:spacing w:line="360" w:lineRule="auto"/>
        <w:jc w:val="center"/>
        <w:outlineLvl w:val="1"/>
        <w:rPr>
          <w:rFonts w:ascii="仿宋" w:hAnsi="仿宋" w:cs="仿宋"/>
          <w:b/>
          <w:sz w:val="32"/>
          <w:szCs w:val="20"/>
        </w:rPr>
      </w:pPr>
      <w:r>
        <w:rPr>
          <w:rFonts w:hint="eastAsia" w:ascii="仿宋" w:hAnsi="仿宋" w:cs="仿宋"/>
          <w:b/>
          <w:sz w:val="32"/>
          <w:szCs w:val="20"/>
        </w:rPr>
        <w:t>四、开标、资格审查与信用信息查询</w:t>
      </w:r>
    </w:p>
    <w:p w14:paraId="44846F8F">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 xml:space="preserve">开标 </w:t>
      </w:r>
    </w:p>
    <w:p w14:paraId="5109EE8B">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采购代理机构按照招标文件规定的时间通过电子交易平台组织开标，所有投标人均应当准时在线参加。投标人不足3家的，不得开标。</w:t>
      </w:r>
    </w:p>
    <w:p w14:paraId="185B733F">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开标时，电子交易平台按开标时间自动提取所有投标文件。采购代理机构依托电子交易平台发起开始解密指令，投标人按照平台提示和招标文件的规定在半小时内完成在线解密。</w:t>
      </w:r>
    </w:p>
    <w:p w14:paraId="60ECC65E">
      <w:pPr>
        <w:numPr>
          <w:ilvl w:val="1"/>
          <w:numId w:val="4"/>
        </w:numPr>
        <w:tabs>
          <w:tab w:val="left" w:pos="210"/>
          <w:tab w:val="left" w:pos="640"/>
        </w:tabs>
        <w:ind w:left="0" w:firstLine="482" w:firstLineChars="200"/>
        <w:jc w:val="left"/>
        <w:rPr>
          <w:rFonts w:ascii="仿宋" w:hAnsi="仿宋" w:cs="仿宋"/>
          <w:b/>
        </w:rPr>
      </w:pPr>
      <w:r>
        <w:rPr>
          <w:rFonts w:hint="eastAsia" w:ascii="仿宋" w:hAnsi="仿宋" w:cs="仿宋"/>
          <w:b/>
        </w:rPr>
        <w:t>投标文件未按时解密，投标人提供了备份投标文件的，以备份投标文件作为依据，否则视为投标文件撤回。投标文件已按时解密的，备份投标文件自动失效。</w:t>
      </w:r>
    </w:p>
    <w:p w14:paraId="3AFA0EAA">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资格审查</w:t>
      </w:r>
    </w:p>
    <w:p w14:paraId="21941DAF">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采购人或采购代理机构依据法律法规和招标文件的规定，对投标人的资格进行审查。</w:t>
      </w:r>
    </w:p>
    <w:p w14:paraId="4487424C">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投标人未按照招标文件要求提供与资格条件相应的有效资格证明材料的，视为投标人不具备招标文件中规定的资格要求，其投标无效。</w:t>
      </w:r>
    </w:p>
    <w:p w14:paraId="2FEE3DDF">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对未通过资格审查的投标人，采购人或采购代理机构告知其未通过的原因。</w:t>
      </w:r>
    </w:p>
    <w:p w14:paraId="4B63BC93">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合格投标人不足3家的，不再评标。</w:t>
      </w:r>
    </w:p>
    <w:p w14:paraId="33183C2E">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信用信息查询</w:t>
      </w:r>
    </w:p>
    <w:p w14:paraId="337C1713">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信用信息查询渠道及截止时间：采购代理机构将通过“信用中国”网站(www.creditchina.gov.cn)、中国政府采购网(www.ccgp.gov.cn)渠道查询投标人投标截止时间当天的信用记录。</w:t>
      </w:r>
    </w:p>
    <w:p w14:paraId="771DDA4E">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信用信息查询记录和证据留存的具体方式：现场查询的投标人的信用记录、查询结果经确认后将与采购文件一起存档。</w:t>
      </w:r>
    </w:p>
    <w:p w14:paraId="606A7593">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信用信息的使用规则：经查询列入失信被执行人名单、重大税收违法案件当事人名单、政府采购严重违法失信行为记录名单的投标人将被拒绝参与政府采购活动。</w:t>
      </w:r>
    </w:p>
    <w:p w14:paraId="4E4A33ED">
      <w:pPr>
        <w:numPr>
          <w:ilvl w:val="1"/>
          <w:numId w:val="4"/>
        </w:numPr>
        <w:tabs>
          <w:tab w:val="left" w:pos="210"/>
          <w:tab w:val="left" w:pos="640"/>
        </w:tabs>
        <w:ind w:left="0" w:firstLine="480" w:firstLineChars="200"/>
        <w:jc w:val="left"/>
        <w:rPr>
          <w:rFonts w:ascii="仿宋" w:hAnsi="仿宋" w:cs="仿宋"/>
          <w:kern w:val="0"/>
        </w:rPr>
      </w:pPr>
      <w:r>
        <w:rPr>
          <w:rFonts w:hint="eastAsia" w:ascii="仿宋" w:hAnsi="仿宋" w:cs="仿宋"/>
          <w:bCs/>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C5D305F">
      <w:pPr>
        <w:adjustRightInd/>
        <w:spacing w:line="360" w:lineRule="auto"/>
        <w:jc w:val="center"/>
        <w:outlineLvl w:val="1"/>
        <w:rPr>
          <w:rFonts w:ascii="仿宋" w:hAnsi="仿宋" w:cs="仿宋"/>
          <w:b/>
          <w:sz w:val="32"/>
          <w:szCs w:val="20"/>
        </w:rPr>
      </w:pPr>
      <w:r>
        <w:rPr>
          <w:rFonts w:hint="eastAsia" w:ascii="仿宋" w:hAnsi="仿宋" w:cs="仿宋"/>
          <w:b/>
          <w:sz w:val="32"/>
          <w:szCs w:val="20"/>
        </w:rPr>
        <w:t>五、评标</w:t>
      </w:r>
    </w:p>
    <w:p w14:paraId="76ED8E10">
      <w:pPr>
        <w:numPr>
          <w:ilvl w:val="0"/>
          <w:numId w:val="4"/>
        </w:numPr>
        <w:tabs>
          <w:tab w:val="left" w:pos="210"/>
        </w:tabs>
        <w:spacing w:line="360" w:lineRule="auto"/>
        <w:ind w:left="0" w:firstLine="0"/>
        <w:jc w:val="left"/>
        <w:outlineLvl w:val="2"/>
        <w:rPr>
          <w:rFonts w:ascii="仿宋" w:hAnsi="仿宋" w:cs="仿宋"/>
          <w:b/>
        </w:rPr>
      </w:pPr>
      <w:bookmarkStart w:id="20" w:name="_Toc91899903"/>
      <w:r>
        <w:rPr>
          <w:rFonts w:hint="eastAsia" w:ascii="仿宋" w:hAnsi="仿宋" w:cs="仿宋"/>
          <w:b/>
        </w:rPr>
        <w:t>评标</w:t>
      </w:r>
    </w:p>
    <w:p w14:paraId="1CCA8D34">
      <w:pPr>
        <w:ind w:firstLine="480" w:firstLineChars="200"/>
        <w:rPr>
          <w:rFonts w:ascii="仿宋" w:hAnsi="仿宋" w:cs="仿宋"/>
          <w:b/>
        </w:rPr>
      </w:pPr>
      <w:r>
        <w:rPr>
          <w:rFonts w:hint="eastAsia" w:ascii="仿宋" w:hAnsi="仿宋" w:cs="仿宋"/>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cs="仿宋"/>
          <w:b/>
        </w:rPr>
        <w:t>详见招标文件第四部分评标办法。</w:t>
      </w:r>
    </w:p>
    <w:p w14:paraId="3307A062">
      <w:pPr>
        <w:adjustRightInd/>
        <w:spacing w:line="360" w:lineRule="auto"/>
        <w:jc w:val="center"/>
        <w:outlineLvl w:val="1"/>
        <w:rPr>
          <w:rFonts w:ascii="仿宋" w:hAnsi="仿宋" w:cs="仿宋"/>
          <w:b/>
          <w:sz w:val="32"/>
          <w:szCs w:val="20"/>
        </w:rPr>
      </w:pPr>
      <w:r>
        <w:rPr>
          <w:rFonts w:hint="eastAsia" w:ascii="仿宋" w:hAnsi="仿宋" w:cs="仿宋"/>
          <w:b/>
          <w:sz w:val="32"/>
          <w:szCs w:val="20"/>
        </w:rPr>
        <w:t>六、定标</w:t>
      </w:r>
    </w:p>
    <w:p w14:paraId="43E1AC5B">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确定中标供应商</w:t>
      </w:r>
    </w:p>
    <w:p w14:paraId="197DFE1C">
      <w:pPr>
        <w:pStyle w:val="143"/>
        <w:spacing w:before="0" w:line="312" w:lineRule="auto"/>
        <w:ind w:firstLine="480"/>
        <w:rPr>
          <w:rFonts w:ascii="仿宋" w:hAnsi="仿宋" w:cs="仿宋"/>
          <w:b/>
          <w:color w:val="000000" w:themeColor="text1"/>
          <w:szCs w:val="24"/>
          <w14:textFill>
            <w14:solidFill>
              <w14:schemeClr w14:val="tx1"/>
            </w14:solidFill>
          </w14:textFill>
        </w:rPr>
      </w:pPr>
      <w:r>
        <w:rPr>
          <w:rFonts w:hint="eastAsia" w:ascii="仿宋" w:hAnsi="仿宋" w:cs="仿宋"/>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14:paraId="57356587">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中标通知与中标结果公告</w:t>
      </w:r>
    </w:p>
    <w:p w14:paraId="2A67ECFE">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自中标人确定之日起2个工作日内，采购代理机构通过电子交易平台向中标人发出中标通知书，同时编制发布采购结果公告。采购代理机构也可以以纸质形式进行中标通知。</w:t>
      </w:r>
    </w:p>
    <w:p w14:paraId="2115126F">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中标结果公告内容包括采购人及其委托的采购代理机构的名称、地址、联系方式，项目名称和项目编号，中标人名称、地址和中标金额，主要中标标的的名称、规格型号、数量、单价，开标记录、中标公告期限以及评审专家名单、评分汇总及明细。</w:t>
      </w:r>
    </w:p>
    <w:p w14:paraId="24534B3D">
      <w:pPr>
        <w:numPr>
          <w:ilvl w:val="1"/>
          <w:numId w:val="4"/>
        </w:numPr>
        <w:tabs>
          <w:tab w:val="left" w:pos="210"/>
          <w:tab w:val="left" w:pos="640"/>
        </w:tabs>
        <w:ind w:left="0" w:firstLine="480" w:firstLineChars="200"/>
        <w:jc w:val="left"/>
        <w:rPr>
          <w:rFonts w:ascii="仿宋" w:hAnsi="仿宋" w:cs="仿宋"/>
        </w:rPr>
      </w:pPr>
      <w:r>
        <w:rPr>
          <w:rFonts w:hint="eastAsia" w:ascii="仿宋" w:hAnsi="仿宋" w:cs="仿宋"/>
          <w:bCs/>
        </w:rPr>
        <w:t>公告期限为1个工作日。</w:t>
      </w:r>
    </w:p>
    <w:p w14:paraId="56914F56">
      <w:pPr>
        <w:adjustRightInd/>
        <w:spacing w:line="360" w:lineRule="auto"/>
        <w:jc w:val="center"/>
        <w:outlineLvl w:val="1"/>
        <w:rPr>
          <w:rFonts w:ascii="仿宋" w:hAnsi="仿宋" w:cs="仿宋"/>
          <w:b/>
          <w:sz w:val="32"/>
          <w:szCs w:val="20"/>
        </w:rPr>
      </w:pPr>
      <w:r>
        <w:rPr>
          <w:rFonts w:hint="eastAsia" w:ascii="仿宋" w:hAnsi="仿宋" w:cs="仿宋"/>
          <w:b/>
          <w:sz w:val="32"/>
          <w:szCs w:val="20"/>
        </w:rPr>
        <w:t>七、合同授予</w:t>
      </w:r>
    </w:p>
    <w:p w14:paraId="1DD9C2FE">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合同授予</w:t>
      </w:r>
    </w:p>
    <w:p w14:paraId="63018423">
      <w:pPr>
        <w:widowControl/>
        <w:ind w:firstLine="480" w:firstLineChars="200"/>
        <w:jc w:val="left"/>
        <w:rPr>
          <w:rFonts w:ascii="仿宋" w:hAnsi="仿宋" w:cs="仿宋"/>
        </w:rPr>
      </w:pPr>
      <w:r>
        <w:rPr>
          <w:rFonts w:hint="eastAsia" w:ascii="仿宋" w:hAnsi="仿宋" w:cs="仿宋"/>
        </w:rPr>
        <w:t>合同主要条款详见第五部分拟签订的合同文本。</w:t>
      </w:r>
    </w:p>
    <w:p w14:paraId="40C86C8C">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合同的签订</w:t>
      </w:r>
    </w:p>
    <w:p w14:paraId="3667FFA4">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rPr>
        <w:t>采购人与中标人应当在中标通知书发出之日起三十日内，按照招标文件确定的事项签订政府采购合同，并在签订之日起2个工作日内将政府采购合同在浙江政府采购网上公告。</w:t>
      </w:r>
    </w:p>
    <w:p w14:paraId="1078D5FF">
      <w:pPr>
        <w:numPr>
          <w:ilvl w:val="1"/>
          <w:numId w:val="4"/>
        </w:numPr>
        <w:tabs>
          <w:tab w:val="left" w:pos="210"/>
          <w:tab w:val="left" w:pos="640"/>
        </w:tabs>
        <w:ind w:left="0" w:firstLine="480" w:firstLineChars="200"/>
        <w:jc w:val="left"/>
        <w:rPr>
          <w:rFonts w:ascii="仿宋" w:hAnsi="仿宋" w:cs="仿宋"/>
          <w:bCs/>
        </w:rPr>
      </w:pPr>
      <w:r>
        <w:rPr>
          <w:rFonts w:hint="eastAsia" w:ascii="仿宋" w:hAnsi="仿宋" w:cs="仿宋"/>
          <w:bCs/>
          <w:lang w:val="zh-CN"/>
        </w:rPr>
        <w:t>中标人按规定的日期、时间、地点，由法定代表人或其授权代表与采购人代表签订合同。如中标人为联合体的，由联合体成员各方法定代表人或其授权代表与采购人代表签订合同。</w:t>
      </w:r>
    </w:p>
    <w:p w14:paraId="5EB364DE">
      <w:pPr>
        <w:numPr>
          <w:ilvl w:val="1"/>
          <w:numId w:val="4"/>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如签订合同并生效后，供应商无故拒绝或延期，除按照合同条款处理外，列入不良行为记录一次，并给予通报。</w:t>
      </w:r>
    </w:p>
    <w:p w14:paraId="38244BFF">
      <w:pPr>
        <w:numPr>
          <w:ilvl w:val="1"/>
          <w:numId w:val="4"/>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中标供应商拒绝与采购人签订合同的，采购人可以按照评审报告推荐的中标或者成交候选人名单排序，确定下一候选人为中标供应商，也可以重新开展政府采购活动。</w:t>
      </w:r>
    </w:p>
    <w:p w14:paraId="3E575944">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履约保证金</w:t>
      </w:r>
    </w:p>
    <w:p w14:paraId="4DECCB8E">
      <w:pPr>
        <w:numPr>
          <w:ilvl w:val="1"/>
          <w:numId w:val="4"/>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拟签订的合同文本要求中标供应商提交履约保证金的，供应商应当以支票、汇票、本票或者金融机构、担保机构出具的保函等非现金形式提交。鼓励和支持供应商以银行、保险公司出具的保函形式提供履约保证金。采购人不得拒收履约保函，项目验收结束后应及时退还，延迟退还的，应当按照合同约定和法律规定承担相应的赔偿责任。</w:t>
      </w:r>
    </w:p>
    <w:p w14:paraId="056EC585">
      <w:pPr>
        <w:numPr>
          <w:ilvl w:val="1"/>
          <w:numId w:val="4"/>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供应商</w:t>
      </w:r>
      <w:r>
        <w:rPr>
          <w:rFonts w:hint="eastAsia" w:ascii="仿宋" w:hAnsi="仿宋" w:cs="仿宋"/>
          <w:bCs/>
        </w:rPr>
        <w:t>可</w:t>
      </w:r>
      <w:r>
        <w:rPr>
          <w:rFonts w:hint="eastAsia" w:ascii="仿宋" w:hAnsi="仿宋" w:cs="仿宋"/>
          <w:bCs/>
          <w:lang w:val="zh-CN"/>
        </w:rPr>
        <w:t>登录政采云平台-【金融服务】—【我的项目】—【已备案合同】以保函形式提供：</w:t>
      </w:r>
    </w:p>
    <w:p w14:paraId="48DBFEC1">
      <w:pPr>
        <w:numPr>
          <w:ilvl w:val="2"/>
          <w:numId w:val="4"/>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供应商在合同列表选择需要投保的合同，点击【保函推荐】。</w:t>
      </w:r>
    </w:p>
    <w:p w14:paraId="5C1E1D50">
      <w:pPr>
        <w:numPr>
          <w:ilvl w:val="2"/>
          <w:numId w:val="4"/>
        </w:numPr>
        <w:tabs>
          <w:tab w:val="left" w:pos="210"/>
        </w:tabs>
        <w:ind w:left="0" w:firstLine="480" w:firstLineChars="200"/>
        <w:jc w:val="left"/>
        <w:rPr>
          <w:rFonts w:ascii="仿宋" w:hAnsi="仿宋" w:cs="仿宋"/>
          <w:bCs/>
        </w:rPr>
      </w:pPr>
      <w:r>
        <w:rPr>
          <w:rFonts w:hint="eastAsia" w:ascii="仿宋" w:hAnsi="仿宋" w:cs="仿宋"/>
          <w:bCs/>
          <w:lang w:val="zh-CN"/>
        </w:rPr>
        <w:t>在弹框里查看推荐的保函产品，供应商自行选择保函产品，点击【立即申请】。</w:t>
      </w:r>
    </w:p>
    <w:p w14:paraId="2E8386DC">
      <w:pPr>
        <w:numPr>
          <w:ilvl w:val="2"/>
          <w:numId w:val="4"/>
        </w:numPr>
        <w:tabs>
          <w:tab w:val="left" w:pos="210"/>
        </w:tabs>
        <w:ind w:left="0" w:firstLine="480" w:firstLineChars="200"/>
        <w:jc w:val="left"/>
        <w:rPr>
          <w:rFonts w:ascii="仿宋" w:hAnsi="仿宋" w:cs="仿宋"/>
          <w:bCs/>
        </w:rPr>
      </w:pPr>
      <w:r>
        <w:rPr>
          <w:rFonts w:hint="eastAsia" w:ascii="仿宋" w:hAnsi="仿宋" w:cs="仿宋"/>
          <w:bCs/>
          <w:lang w:val="zh-CN"/>
        </w:rPr>
        <w:t>在弹框里填写保函申请信息。具体步骤：选择产品—填写供应商信息—选择中标项目—确认信息—等待保险/保函受理—确认保单—支付保费—成功出单。政采云金融专线400-903-9583。</w:t>
      </w:r>
    </w:p>
    <w:p w14:paraId="147E0881">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预付款</w:t>
      </w:r>
    </w:p>
    <w:p w14:paraId="4362DBF2">
      <w:pPr>
        <w:pStyle w:val="24"/>
        <w:spacing w:line="312" w:lineRule="auto"/>
        <w:rPr>
          <w:rFonts w:ascii="仿宋" w:hAnsi="仿宋" w:cs="仿宋"/>
        </w:rPr>
      </w:pPr>
      <w:r>
        <w:rPr>
          <w:rFonts w:hint="eastAsia" w:ascii="仿宋" w:hAnsi="仿宋" w:cs="仿宋"/>
          <w:bCs/>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F17F346">
      <w:pPr>
        <w:adjustRightInd/>
        <w:spacing w:line="360" w:lineRule="auto"/>
        <w:jc w:val="center"/>
        <w:outlineLvl w:val="1"/>
        <w:rPr>
          <w:rFonts w:ascii="仿宋" w:hAnsi="仿宋" w:cs="仿宋"/>
          <w:b/>
          <w:sz w:val="32"/>
          <w:szCs w:val="20"/>
        </w:rPr>
      </w:pPr>
      <w:r>
        <w:rPr>
          <w:rFonts w:hint="eastAsia" w:ascii="仿宋" w:hAnsi="仿宋" w:cs="仿宋"/>
          <w:b/>
          <w:sz w:val="32"/>
          <w:szCs w:val="20"/>
        </w:rPr>
        <w:t>八、电子交易活动的中止</w:t>
      </w:r>
    </w:p>
    <w:p w14:paraId="340A5A12">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电子交易活动的中止</w:t>
      </w:r>
    </w:p>
    <w:p w14:paraId="243408BA">
      <w:pPr>
        <w:pStyle w:val="143"/>
        <w:spacing w:before="0" w:line="312" w:lineRule="auto"/>
        <w:ind w:firstLine="480"/>
        <w:jc w:val="left"/>
        <w:rPr>
          <w:rFonts w:ascii="仿宋" w:hAnsi="仿宋" w:cs="仿宋"/>
        </w:rPr>
      </w:pPr>
      <w:r>
        <w:rPr>
          <w:rFonts w:hint="eastAsia" w:ascii="仿宋" w:hAnsi="仿宋" w:cs="仿宋"/>
        </w:rPr>
        <w:t>采购过程中出现以下情形，导致电子交易平台无法正常运行，或者无法保证电子交易的公平、公正和安全时，采购代理机构可中止电子交易活动：</w:t>
      </w:r>
    </w:p>
    <w:p w14:paraId="4976B71B">
      <w:pPr>
        <w:numPr>
          <w:ilvl w:val="1"/>
          <w:numId w:val="4"/>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电子交易平台发生故障而无法登录访问的； </w:t>
      </w:r>
    </w:p>
    <w:p w14:paraId="5D8EF427">
      <w:pPr>
        <w:numPr>
          <w:ilvl w:val="1"/>
          <w:numId w:val="4"/>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电子交易平台应用或数据库出现错误，不能进行正常操作的；</w:t>
      </w:r>
    </w:p>
    <w:p w14:paraId="75092801">
      <w:pPr>
        <w:numPr>
          <w:ilvl w:val="1"/>
          <w:numId w:val="4"/>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电子交易平台发现严重安全漏洞，有潜在泄密危险的；</w:t>
      </w:r>
    </w:p>
    <w:p w14:paraId="0E17FC6B">
      <w:pPr>
        <w:numPr>
          <w:ilvl w:val="1"/>
          <w:numId w:val="4"/>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病毒发作导致不能进行正常操作的； </w:t>
      </w:r>
    </w:p>
    <w:p w14:paraId="32B2B1B6">
      <w:pPr>
        <w:numPr>
          <w:ilvl w:val="1"/>
          <w:numId w:val="4"/>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其他无法保证电子交易的公平、公正和安全的情况。</w:t>
      </w:r>
    </w:p>
    <w:p w14:paraId="2A79C8AD">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出现以上情形，不影响采购公平、公正性的，采购组织机构可以待上述情形消除后继续组织电子交易活动，也可以决定某些环节以纸质形式进行；影响或可能影响采购公平、公正性的，应当重新采购。</w:t>
      </w:r>
    </w:p>
    <w:p w14:paraId="5B6D32CA">
      <w:pPr>
        <w:adjustRightInd/>
        <w:spacing w:line="360" w:lineRule="auto"/>
        <w:jc w:val="center"/>
        <w:outlineLvl w:val="1"/>
        <w:rPr>
          <w:rFonts w:ascii="仿宋" w:hAnsi="仿宋" w:cs="仿宋"/>
          <w:b/>
          <w:sz w:val="32"/>
          <w:szCs w:val="20"/>
        </w:rPr>
      </w:pPr>
      <w:r>
        <w:rPr>
          <w:rFonts w:hint="eastAsia" w:ascii="仿宋" w:hAnsi="仿宋" w:cs="仿宋"/>
          <w:b/>
          <w:sz w:val="32"/>
          <w:szCs w:val="20"/>
        </w:rPr>
        <w:t>九、验收</w:t>
      </w:r>
    </w:p>
    <w:p w14:paraId="723EB5AD">
      <w:pPr>
        <w:numPr>
          <w:ilvl w:val="0"/>
          <w:numId w:val="4"/>
        </w:numPr>
        <w:tabs>
          <w:tab w:val="left" w:pos="210"/>
        </w:tabs>
        <w:spacing w:line="360" w:lineRule="auto"/>
        <w:ind w:left="0" w:firstLine="0"/>
        <w:jc w:val="left"/>
        <w:outlineLvl w:val="2"/>
        <w:rPr>
          <w:rFonts w:ascii="仿宋" w:hAnsi="仿宋" w:cs="仿宋"/>
          <w:b/>
        </w:rPr>
      </w:pPr>
      <w:r>
        <w:rPr>
          <w:rFonts w:hint="eastAsia" w:ascii="仿宋" w:hAnsi="仿宋" w:cs="仿宋"/>
          <w:b/>
        </w:rPr>
        <w:t>验收</w:t>
      </w:r>
    </w:p>
    <w:p w14:paraId="2125F18C">
      <w:pPr>
        <w:numPr>
          <w:ilvl w:val="1"/>
          <w:numId w:val="4"/>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CF85AB6">
      <w:pPr>
        <w:numPr>
          <w:ilvl w:val="1"/>
          <w:numId w:val="4"/>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采购人可以邀请参加本项目的其他投标人或者第三方机构参与验收。参与验收的投标人或者第三方机构的意见作为验收书的参考资料一并存档。</w:t>
      </w:r>
    </w:p>
    <w:p w14:paraId="54A07039">
      <w:pPr>
        <w:numPr>
          <w:ilvl w:val="1"/>
          <w:numId w:val="4"/>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0063859">
      <w:pPr>
        <w:numPr>
          <w:ilvl w:val="1"/>
          <w:numId w:val="4"/>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bookmarkEnd w:id="19"/>
    <w:bookmarkEnd w:id="20"/>
    <w:p w14:paraId="4C4B102C">
      <w:pPr>
        <w:rPr>
          <w:rFonts w:ascii="仿宋" w:hAnsi="仿宋" w:cs="仿宋"/>
          <w:b/>
          <w:sz w:val="36"/>
          <w:szCs w:val="20"/>
        </w:rPr>
        <w:sectPr>
          <w:headerReference r:id="rId6" w:type="first"/>
          <w:footerReference r:id="rId8" w:type="first"/>
          <w:headerReference r:id="rId5" w:type="default"/>
          <w:footerReference r:id="rId7" w:type="default"/>
          <w:type w:val="continuous"/>
          <w:pgSz w:w="11906" w:h="16838"/>
          <w:pgMar w:top="1276" w:right="1418" w:bottom="1247" w:left="1418" w:header="851" w:footer="992" w:gutter="0"/>
          <w:cols w:space="0" w:num="1"/>
          <w:titlePg/>
          <w:docGrid w:linePitch="312" w:charSpace="0"/>
        </w:sectPr>
      </w:pPr>
      <w:bookmarkStart w:id="21" w:name="_Hlt68072990"/>
      <w:bookmarkEnd w:id="21"/>
      <w:bookmarkStart w:id="22" w:name="_Hlt68057669"/>
      <w:bookmarkEnd w:id="22"/>
      <w:bookmarkStart w:id="23" w:name="_Hlt68073093"/>
      <w:bookmarkEnd w:id="23"/>
      <w:bookmarkStart w:id="24" w:name="_Hlt75236011"/>
      <w:bookmarkEnd w:id="24"/>
      <w:bookmarkStart w:id="25" w:name="_Hlt74729768"/>
      <w:bookmarkEnd w:id="25"/>
      <w:bookmarkStart w:id="26" w:name="_Hlt75236101"/>
      <w:bookmarkEnd w:id="26"/>
      <w:bookmarkStart w:id="27" w:name="_Hlt68072998"/>
      <w:bookmarkEnd w:id="27"/>
      <w:bookmarkStart w:id="28" w:name="_Hlt74730295"/>
      <w:bookmarkEnd w:id="28"/>
      <w:bookmarkStart w:id="29" w:name="_Hlt74714665"/>
      <w:bookmarkEnd w:id="29"/>
      <w:bookmarkStart w:id="30" w:name="_Hlt75236290"/>
      <w:bookmarkEnd w:id="30"/>
      <w:bookmarkStart w:id="31" w:name="_Hlt74707468"/>
      <w:bookmarkEnd w:id="31"/>
      <w:bookmarkStart w:id="32" w:name="_Hlt68403820"/>
      <w:bookmarkEnd w:id="32"/>
      <w:bookmarkStart w:id="33" w:name="_Toc5571"/>
      <w:bookmarkStart w:id="34" w:name="第四部分"/>
    </w:p>
    <w:p w14:paraId="29E39D03">
      <w:pPr>
        <w:numPr>
          <w:ilvl w:val="0"/>
          <w:numId w:val="5"/>
        </w:numPr>
        <w:adjustRightInd/>
        <w:spacing w:line="360" w:lineRule="auto"/>
        <w:jc w:val="center"/>
        <w:outlineLvl w:val="0"/>
        <w:rPr>
          <w:rFonts w:ascii="仿宋" w:hAnsi="仿宋" w:cs="仿宋"/>
          <w:b/>
          <w:sz w:val="36"/>
          <w:szCs w:val="20"/>
        </w:rPr>
      </w:pPr>
      <w:r>
        <w:rPr>
          <w:rFonts w:hint="eastAsia" w:ascii="仿宋" w:hAnsi="仿宋" w:cs="仿宋"/>
          <w:b/>
          <w:sz w:val="36"/>
          <w:szCs w:val="20"/>
        </w:rPr>
        <w:t xml:space="preserve"> 采购需求</w:t>
      </w:r>
      <w:bookmarkEnd w:id="33"/>
    </w:p>
    <w:p w14:paraId="40B6BA71">
      <w:pPr>
        <w:pStyle w:val="3"/>
        <w:numPr>
          <w:ilvl w:val="1"/>
          <w:numId w:val="0"/>
        </w:numPr>
        <w:rPr>
          <w:rFonts w:ascii="仿宋" w:eastAsia="仿宋" w:cs="仿宋"/>
          <w:sz w:val="24"/>
          <w:szCs w:val="24"/>
        </w:rPr>
      </w:pPr>
      <w:bookmarkStart w:id="35" w:name="_Toc430590276"/>
      <w:bookmarkStart w:id="36" w:name="_Toc31661"/>
      <w:bookmarkStart w:id="37" w:name="_Toc17303"/>
      <w:bookmarkStart w:id="38" w:name="_Toc236047431"/>
      <w:bookmarkStart w:id="39" w:name="_Toc25107"/>
      <w:bookmarkStart w:id="40" w:name="_Toc204483585"/>
      <w:r>
        <w:rPr>
          <w:rFonts w:hint="eastAsia" w:ascii="仿宋" w:eastAsia="仿宋" w:cs="仿宋"/>
          <w:sz w:val="24"/>
          <w:szCs w:val="24"/>
        </w:rPr>
        <w:t>一、概况</w:t>
      </w:r>
      <w:bookmarkEnd w:id="35"/>
      <w:bookmarkEnd w:id="36"/>
      <w:bookmarkEnd w:id="37"/>
      <w:bookmarkEnd w:id="38"/>
      <w:bookmarkEnd w:id="39"/>
      <w:bookmarkEnd w:id="40"/>
    </w:p>
    <w:p w14:paraId="690457D8">
      <w:pPr>
        <w:ind w:firstLine="480" w:firstLineChars="200"/>
        <w:rPr>
          <w:rFonts w:ascii="仿宋" w:hAnsi="仿宋" w:cs="仿宋"/>
        </w:rPr>
      </w:pPr>
      <w:r>
        <w:rPr>
          <w:rFonts w:hint="eastAsia" w:ascii="仿宋" w:hAnsi="仿宋" w:cs="仿宋"/>
        </w:rPr>
        <w:t>1.项目名称：浙江工业大学继续教育数字化二期项目</w:t>
      </w:r>
    </w:p>
    <w:p w14:paraId="58D76D47">
      <w:pPr>
        <w:ind w:firstLine="480" w:firstLineChars="200"/>
        <w:rPr>
          <w:rFonts w:ascii="仿宋" w:hAnsi="仿宋" w:cs="仿宋"/>
        </w:rPr>
      </w:pPr>
      <w:r>
        <w:rPr>
          <w:rFonts w:hint="eastAsia" w:ascii="仿宋" w:hAnsi="仿宋" w:cs="仿宋"/>
        </w:rPr>
        <w:t>2.安装地点：浙江工业大学朝晖校区。</w:t>
      </w:r>
    </w:p>
    <w:p w14:paraId="30B283D0">
      <w:pPr>
        <w:ind w:firstLine="480" w:firstLineChars="200"/>
        <w:rPr>
          <w:rFonts w:ascii="仿宋" w:hAnsi="仿宋" w:cs="仿宋"/>
        </w:rPr>
      </w:pPr>
      <w:r>
        <w:rPr>
          <w:rFonts w:hint="eastAsia" w:ascii="仿宋" w:hAnsi="仿宋" w:cs="仿宋"/>
        </w:rPr>
        <w:t>3.本招标文件中打▲的条款为关键性指标，不允许负偏离，出现负偏离的将导致投标无效。打★的条款为重要指标，允许偏离，但在技术评分时会重点扣分。</w:t>
      </w:r>
    </w:p>
    <w:p w14:paraId="3D6CD983">
      <w:pPr>
        <w:ind w:firstLine="480" w:firstLineChars="200"/>
        <w:rPr>
          <w:rFonts w:ascii="仿宋" w:hAnsi="仿宋" w:cs="仿宋"/>
        </w:rPr>
      </w:pPr>
      <w:r>
        <w:rPr>
          <w:rFonts w:hint="eastAsia" w:ascii="仿宋" w:hAnsi="仿宋" w:cs="仿宋"/>
        </w:rPr>
        <w:t>4.本项目的核心产品为</w:t>
      </w:r>
      <w:r>
        <w:rPr>
          <w:rFonts w:hint="eastAsia" w:ascii="仿宋" w:hAnsi="仿宋" w:cs="仿宋"/>
          <w:u w:val="single"/>
        </w:rPr>
        <w:t>继续教育数字化二期系统</w:t>
      </w:r>
      <w:r>
        <w:rPr>
          <w:rFonts w:hint="eastAsia" w:ascii="仿宋" w:hAnsi="仿宋" w:cs="仿宋"/>
        </w:rPr>
        <w:t>。不同投标人的核心产品出现同品牌时，按如下方式处理：</w:t>
      </w:r>
    </w:p>
    <w:p w14:paraId="04D3A18B">
      <w:pPr>
        <w:ind w:firstLine="482" w:firstLineChars="200"/>
        <w:rPr>
          <w:rFonts w:ascii="仿宋" w:hAnsi="仿宋" w:cs="仿宋"/>
          <w:b/>
          <w:bCs/>
        </w:rPr>
      </w:pPr>
      <w:r>
        <w:rPr>
          <w:rFonts w:hint="eastAsia" w:ascii="仿宋" w:hAnsi="仿宋" w:cs="仿宋"/>
          <w:b/>
          <w:bCs/>
        </w:rPr>
        <w:t>提供相同品牌产品且通过资格审查、符合性审查的不同投标人参加同一合同项下投标的，按一家投标人计算，评审后综合得分最高的同品牌（含核心产品）投标人获得中标人推荐资格；综合得分相同时，投标报价最低的投标人获得中标供应商推荐资格；综合得分和投标报价均相同时，商务技术分最高的投标人获得中标供应商推荐资格；综合得分、投标报价、商务技术分均相同时，由评标委员会按少数服从多数的原则，集体决定；其他同品牌投标人不作为中标候选供应商。</w:t>
      </w:r>
    </w:p>
    <w:p w14:paraId="2400DFC4">
      <w:pPr>
        <w:pStyle w:val="3"/>
        <w:numPr>
          <w:ilvl w:val="0"/>
          <w:numId w:val="6"/>
        </w:numPr>
        <w:ind w:left="0" w:firstLine="0"/>
        <w:rPr>
          <w:rFonts w:ascii="仿宋" w:eastAsia="仿宋" w:cs="仿宋"/>
          <w:sz w:val="24"/>
          <w:szCs w:val="24"/>
        </w:rPr>
      </w:pPr>
      <w:r>
        <w:rPr>
          <w:rFonts w:hint="eastAsia" w:ascii="仿宋" w:eastAsia="仿宋" w:cs="仿宋"/>
          <w:sz w:val="24"/>
          <w:szCs w:val="24"/>
        </w:rPr>
        <w:t>项目</w:t>
      </w:r>
      <w:r>
        <w:rPr>
          <w:rFonts w:hint="eastAsia" w:ascii="仿宋" w:eastAsia="仿宋" w:cs="仿宋"/>
          <w:sz w:val="24"/>
          <w:szCs w:val="24"/>
          <w:lang w:val="en-US"/>
        </w:rPr>
        <w:t>背景</w:t>
      </w:r>
    </w:p>
    <w:p w14:paraId="20FBFF73">
      <w:pPr>
        <w:spacing w:line="360" w:lineRule="auto"/>
        <w:ind w:firstLine="480" w:firstLineChars="200"/>
        <w:rPr>
          <w:rFonts w:ascii="仿宋" w:hAnsi="仿宋" w:cs="仿宋"/>
        </w:rPr>
      </w:pPr>
      <w:r>
        <w:rPr>
          <w:rFonts w:hint="eastAsia" w:ascii="仿宋" w:hAnsi="仿宋" w:cs="仿宋"/>
        </w:rPr>
        <w:t>学校核心的数据库，数据泄露、数据篡改等事件随时都在发生，我校要加强对数据库的全面安全防护，满足数据动态脱敏、攻击防护、运维审批、重要数据恢复等数据安全需求，更好地为教学科研和师生提供方便、快捷、高效、安全的服务，为智慧校园建设保驾护航。</w:t>
      </w:r>
    </w:p>
    <w:p w14:paraId="25305D2B">
      <w:pPr>
        <w:pStyle w:val="3"/>
        <w:numPr>
          <w:ilvl w:val="0"/>
          <w:numId w:val="6"/>
        </w:numPr>
        <w:ind w:left="0" w:firstLine="0"/>
        <w:rPr>
          <w:rFonts w:ascii="仿宋" w:eastAsia="仿宋" w:cs="仿宋"/>
          <w:sz w:val="24"/>
          <w:szCs w:val="24"/>
        </w:rPr>
      </w:pPr>
      <w:r>
        <w:rPr>
          <w:rFonts w:hint="eastAsia" w:ascii="仿宋" w:eastAsia="仿宋" w:cs="仿宋"/>
          <w:sz w:val="24"/>
          <w:szCs w:val="24"/>
        </w:rPr>
        <w:t>总体技术要求</w:t>
      </w:r>
    </w:p>
    <w:p w14:paraId="26EEE620">
      <w:pPr>
        <w:spacing w:line="360" w:lineRule="auto"/>
        <w:ind w:firstLine="480" w:firstLineChars="200"/>
        <w:rPr>
          <w:rFonts w:ascii="宋体" w:hAnsi="宋体" w:cs="宋体"/>
        </w:rPr>
      </w:pPr>
      <w:r>
        <w:rPr>
          <w:rFonts w:hint="eastAsia" w:ascii="宋体" w:hAnsi="宋体" w:cs="宋体"/>
        </w:rPr>
        <w:t>1.▲系统的建设必须符合和遵守学校制定的《浙江工业大学信息系统数据管理办法(试行)》、《浙江工业大学信息化项目管理办法(试行)》等信息化相关标准要求，以便规范地进行业务数据的采集、存储、共享、传输、应用、质量管理和安全管理等。系统要求敏感信息加密存储，确保信息安全。提供与学校财务系统、发票系统等校内系统（由学校统一协调开发单位开放相应接口）的对接服务，能与学校指定的人脸识别、视频采集硬件建立数据对接，实现人脸识别、视频数据无缝连接和采集。系统应支持学校数据中心数据交互，并不再收取额外的接口费用。如有特殊情况需与其他业务系统单独对接应说明情况并承担由此产生的相关费用。系统支持面向校内师生使用，支持统一身份认证系统。</w:t>
      </w:r>
    </w:p>
    <w:p w14:paraId="302C0C13">
      <w:pPr>
        <w:spacing w:line="360" w:lineRule="auto"/>
        <w:ind w:firstLine="480" w:firstLineChars="200"/>
        <w:rPr>
          <w:rFonts w:ascii="宋体" w:hAnsi="宋体" w:cs="宋体"/>
        </w:rPr>
      </w:pPr>
      <w:r>
        <w:rPr>
          <w:rFonts w:hint="eastAsia" w:ascii="宋体" w:hAnsi="宋体" w:cs="宋体"/>
        </w:rPr>
        <w:t>2.▲系统必须满足《信息安全技术网络安全等级保护基本要求》(GB/T22239-2019，以下简称等保2.0)的第二等级要求进行建设，并且中标公司须配合学校组织的等保2.0第二等级测评工作。项目验收须提交相应的测评报告。系统运行的每年测评费由中标单位承担，采购人不再额外支付。如测评结果显示系统未满足等保2.0第二等级要求，必须在1个月内整改完毕，整改费用须有中标人承担，采购人不再额外支付。</w:t>
      </w:r>
    </w:p>
    <w:p w14:paraId="33E254CA">
      <w:pPr>
        <w:spacing w:line="360" w:lineRule="auto"/>
        <w:ind w:firstLine="480" w:firstLineChars="200"/>
        <w:rPr>
          <w:rFonts w:ascii="宋体" w:hAnsi="宋体" w:cs="宋体"/>
        </w:rPr>
      </w:pPr>
      <w:r>
        <w:rPr>
          <w:rFonts w:hint="eastAsia" w:ascii="宋体" w:hAnsi="宋体" w:cs="宋体"/>
        </w:rPr>
        <w:t>3.★系统要求采用B/S结构设计，JAVA语言开发，J2EE技术架构，基于主流的数据库(支持国产数据库)，采用前后端分离模式开发。系统应采用成熟稳定的微服务架构，并能够在未来5至10年对业务的调整扩展提供有力支撑。</w:t>
      </w:r>
    </w:p>
    <w:p w14:paraId="5F73A635">
      <w:pPr>
        <w:spacing w:line="360" w:lineRule="auto"/>
        <w:ind w:firstLine="480" w:firstLineChars="200"/>
        <w:rPr>
          <w:rFonts w:ascii="宋体" w:hAnsi="宋体" w:cs="宋体"/>
        </w:rPr>
      </w:pPr>
      <w:r>
        <w:rPr>
          <w:rFonts w:hint="eastAsia" w:ascii="宋体" w:hAnsi="宋体" w:cs="宋体"/>
        </w:rPr>
        <w:t>4.▲系统具备完整的网络与信息安全保障策略，能够有效防止各种系统入侵方式，防止数据被非法窃取、篡改，防止数据丢失。系统支持云端部署和本地部署。云端部署7×24小时不间断运行，所涉及的软件必须满足正版化要求，如未满足将由中标供应商承担法律责任。本地部署应支持国产操作系统，网络端口默认仅开放80及443端口，如有特殊要求请说明用途，由信息中心评估后开放。所有系统均须部署SSL证书，每个服务要求功能独立且可以独立部署与健康度检测，所有服务均支持本地化部署。系统能够完整记录相关日志(包括WEB服务器、数据库和各系统本身)，并至少保留壹年以上时间。</w:t>
      </w:r>
    </w:p>
    <w:p w14:paraId="2A7AE6AC">
      <w:pPr>
        <w:spacing w:line="360" w:lineRule="auto"/>
        <w:ind w:firstLine="480" w:firstLineChars="200"/>
        <w:rPr>
          <w:rFonts w:ascii="宋体" w:hAnsi="宋体" w:cs="宋体"/>
        </w:rPr>
      </w:pPr>
      <w:r>
        <w:rPr>
          <w:rFonts w:hint="eastAsia" w:ascii="宋体" w:hAnsi="宋体" w:cs="宋体"/>
        </w:rPr>
        <w:t>5.★数据库采用主从热备机制，提升性能的同时保证数据的安全性，同时建立定期冷备策略，保证一段时间的数据可追查可恢复。保障服务器网络安全，建立并启用防火墙，杜绝未经授权的访问。采用加密传输机制，确保数据在传输过程中的安全性。本地部署数据库服务器设置访问权限，仅允许授权的内网服务器IP访问，对外网隔绝。本地部署时服务器禁止访问外网，但不影响系统的运行。</w:t>
      </w:r>
    </w:p>
    <w:p w14:paraId="40304FE6">
      <w:pPr>
        <w:spacing w:line="360" w:lineRule="auto"/>
        <w:ind w:firstLine="480" w:firstLineChars="200"/>
        <w:rPr>
          <w:rFonts w:ascii="宋体" w:hAnsi="宋体" w:cs="宋体"/>
        </w:rPr>
      </w:pPr>
      <w:r>
        <w:rPr>
          <w:rFonts w:hint="eastAsia" w:ascii="宋体" w:hAnsi="宋体" w:cs="宋体"/>
        </w:rPr>
        <w:t>6.★系统应保证客户端浏览器的正常使用，前端浏览及操作需兼容Windows、MAC OS、国产操作系统及其它主流PC操作系统，支持IE9及以上，Chrome、FireFox、Safari、Edge等主流浏览器访问，移动端则须兼容IOS、Android等其它主流移动操作系统。</w:t>
      </w:r>
    </w:p>
    <w:p w14:paraId="57AB44F1">
      <w:pPr>
        <w:spacing w:line="360" w:lineRule="auto"/>
        <w:ind w:firstLine="480" w:firstLineChars="200"/>
        <w:rPr>
          <w:rFonts w:ascii="宋体" w:hAnsi="宋体" w:cs="宋体"/>
        </w:rPr>
      </w:pPr>
      <w:r>
        <w:rPr>
          <w:rFonts w:hint="eastAsia" w:ascii="宋体" w:hAnsi="宋体" w:cs="宋体"/>
        </w:rPr>
        <w:t>7.★系统支持不少于10000人同时在线，5000人的并发访问，系统时延小于3秒，页面响应不高于3秒，检索响应不高于3秒，视频点播响应不高于6秒，可以在大量并发用户访问时处理大量数据，高并发下保证整个系统的可用性、流畅性。系统支持分布式集群本地部署，满足更大并发访问需求。</w:t>
      </w:r>
    </w:p>
    <w:p w14:paraId="3D9721F4">
      <w:pPr>
        <w:spacing w:line="360" w:lineRule="auto"/>
        <w:ind w:firstLine="480" w:firstLineChars="200"/>
        <w:rPr>
          <w:rFonts w:ascii="宋体" w:hAnsi="宋体" w:cs="宋体"/>
        </w:rPr>
      </w:pPr>
      <w:r>
        <w:rPr>
          <w:rFonts w:hint="eastAsia" w:ascii="宋体" w:hAnsi="宋体" w:cs="宋体"/>
        </w:rPr>
        <w:t>8.▲系统上线前需通过学校信息安全评测，对检测出的安全问题需无条件免费整改，待所有安全问题处理完成后方可上线。</w:t>
      </w:r>
    </w:p>
    <w:p w14:paraId="729D757E">
      <w:pPr>
        <w:spacing w:line="360" w:lineRule="auto"/>
        <w:ind w:firstLine="480" w:firstLineChars="200"/>
        <w:rPr>
          <w:rFonts w:ascii="宋体" w:hAnsi="宋体" w:cs="宋体"/>
        </w:rPr>
      </w:pPr>
      <w:r>
        <w:rPr>
          <w:rFonts w:hint="eastAsia" w:ascii="宋体" w:hAnsi="宋体" w:cs="宋体"/>
        </w:rPr>
        <w:t>9.▲本次项目是在学校继续教育数字化一期项目的基础上进行开发建设，且建设内容中包含众多与学校继续教育数字化一期项目的对接与集成服务，投标人应仔细了解项目需求，在实施过程中如由于对接与集成产生的费用全部由中标方承担。一期包含综合教学教务管理平台、专业技术人员培训综合管理平台和网络教学平台三个系统，于2020年9月完成招投标，并在学历和非学历教学和管理中实施运行。一期平台采用B/S模式，J2EE架构，采用Java语言开发，服务器使用Ubuntu操作系统，采用云端部署。并发数至少大于5万以上，平台在线人数支持至少100万以上规模。页面采用Web2.0 AJAX开发，不需要另行安装插件就可以支持IE9及以上版本、safari、firefox、chrome等主流浏览器。</w:t>
      </w:r>
    </w:p>
    <w:p w14:paraId="59C65EC0">
      <w:pPr>
        <w:spacing w:line="360" w:lineRule="auto"/>
        <w:ind w:firstLine="480" w:firstLineChars="200"/>
        <w:rPr>
          <w:rFonts w:ascii="宋体" w:hAnsi="宋体" w:cs="宋体"/>
        </w:rPr>
      </w:pPr>
      <w:r>
        <w:rPr>
          <w:rFonts w:hint="eastAsia" w:ascii="宋体" w:hAnsi="宋体" w:cs="宋体"/>
        </w:rPr>
        <w:t>10.▲中标人在本项目履约完成后，对学校后期提出的软硬件系统扩展、升级、兼容、对接等需求，应无条件接受并达到无缝对接，实现互联互通。</w:t>
      </w:r>
    </w:p>
    <w:p w14:paraId="2BCD25A8">
      <w:pPr>
        <w:spacing w:line="360" w:lineRule="auto"/>
        <w:ind w:firstLine="480" w:firstLineChars="200"/>
        <w:rPr>
          <w:rFonts w:ascii="宋体" w:hAnsi="宋体" w:cs="宋体"/>
        </w:rPr>
      </w:pPr>
      <w:r>
        <w:rPr>
          <w:rFonts w:hint="eastAsia" w:ascii="宋体" w:hAnsi="宋体" w:cs="宋体"/>
        </w:rPr>
        <w:t>11.▲能开展学生提交的作业、论文（不含毕业论文）查重服务，费用由中标人承担。</w:t>
      </w:r>
    </w:p>
    <w:p w14:paraId="4602FE41">
      <w:pPr>
        <w:spacing w:line="360" w:lineRule="auto"/>
        <w:ind w:firstLine="480" w:firstLineChars="200"/>
        <w:rPr>
          <w:rFonts w:ascii="宋体" w:hAnsi="宋体" w:cs="宋体"/>
        </w:rPr>
      </w:pPr>
      <w:r>
        <w:rPr>
          <w:rFonts w:hint="eastAsia" w:ascii="宋体" w:hAnsi="宋体" w:cs="宋体"/>
        </w:rPr>
        <w:t>12.▲本项目中所涉及的所有软、硬件均应满足《关于开展对标世界一流企业价值创造行动的通知》（国资发改革〔2022〕79号）信创替代要求。</w:t>
      </w:r>
    </w:p>
    <w:p w14:paraId="3D457D96">
      <w:pPr>
        <w:spacing w:line="360" w:lineRule="auto"/>
        <w:ind w:firstLine="480" w:firstLineChars="200"/>
        <w:rPr>
          <w:rFonts w:ascii="宋体" w:hAnsi="宋体" w:cs="宋体"/>
        </w:rPr>
      </w:pPr>
      <w:r>
        <w:rPr>
          <w:rFonts w:hint="eastAsia" w:ascii="宋体" w:hAnsi="宋体" w:cs="宋体"/>
        </w:rPr>
        <w:t>13.▲本项目系统的知识产权归属浙江工业大学。</w:t>
      </w:r>
    </w:p>
    <w:p w14:paraId="1C1FE0EB">
      <w:pPr>
        <w:pStyle w:val="3"/>
        <w:numPr>
          <w:ilvl w:val="1"/>
          <w:numId w:val="0"/>
        </w:numPr>
        <w:rPr>
          <w:rFonts w:ascii="仿宋" w:eastAsia="仿宋" w:cs="仿宋"/>
          <w:color w:val="000000"/>
          <w:sz w:val="24"/>
          <w:szCs w:val="24"/>
          <w:lang w:val="en-US"/>
        </w:rPr>
      </w:pPr>
      <w:r>
        <w:rPr>
          <w:rFonts w:hint="eastAsia" w:ascii="仿宋" w:eastAsia="仿宋" w:cs="仿宋"/>
          <w:color w:val="000000"/>
          <w:sz w:val="24"/>
          <w:szCs w:val="24"/>
          <w:lang w:val="en-US"/>
        </w:rPr>
        <w:t>四、系统功能建设概述</w:t>
      </w:r>
    </w:p>
    <w:p w14:paraId="7727E848">
      <w:pPr>
        <w:spacing w:line="360" w:lineRule="auto"/>
        <w:ind w:firstLine="480" w:firstLineChars="200"/>
        <w:rPr>
          <w:rFonts w:ascii="宋体" w:hAnsi="宋体" w:cs="宋体"/>
        </w:rPr>
      </w:pPr>
      <w:r>
        <w:rPr>
          <w:rFonts w:hint="eastAsia" w:ascii="宋体" w:hAnsi="宋体" w:cs="宋体"/>
        </w:rPr>
        <w:t>本次项目建设内容将按教育部关于学历教育和非学历培训教学和管理的改革要求，结合学校“线上与线下相结合、主讲教师和助教相结合”的双结合教学模式，把人工智能、大数据等数字化技术引入到继续教育办学和管理中，升级优化教学和管理的各项功能，实现全流程管理，杜绝人为干预，保证流程规范、监管有效。本项目有关功能模块建设要求如下：</w:t>
      </w:r>
    </w:p>
    <w:p w14:paraId="689C37FB">
      <w:pPr>
        <w:spacing w:line="360" w:lineRule="auto"/>
        <w:ind w:firstLine="480" w:firstLineChars="200"/>
        <w:rPr>
          <w:rFonts w:ascii="宋体" w:hAnsi="宋体" w:cs="宋体"/>
        </w:rPr>
      </w:pPr>
      <w:r>
        <w:rPr>
          <w:rFonts w:hint="eastAsia" w:ascii="宋体" w:hAnsi="宋体" w:cs="宋体"/>
        </w:rPr>
        <w:t>1.优化系统业务流程，实现全流程管理。按全流程管理和双结合教学要求，优化学生、教师和管理人员的相关业务流程，强化各流程的柔性化和和可塑性，实现从招生录取、学籍管理、教学计划管理、教师聘任、教材选用和征订、排课、线上线下教学过程组织、重修(重学)、考试、成绩管理、毕业设计(论文)管理、毕业管理、学位管理、财务管理等无人工干预的全流程管理。精准采集各业务流程数据，实现各类数据在教学和管理平台、与上级教育行政管理部门、学校有关部门的系统之间的无缝对接。建立微服务架构体系，整合一体化方案，梳理用户信息和组织架构，通过系统配置服务实现表单采集信息、审批流程设置、量化评价服务等业务，通过系统配置服务的拓展建设完善整个管理业务体系。</w:t>
      </w:r>
    </w:p>
    <w:p w14:paraId="694D9E2A">
      <w:pPr>
        <w:spacing w:line="360" w:lineRule="auto"/>
        <w:ind w:firstLine="480" w:firstLineChars="200"/>
        <w:rPr>
          <w:rFonts w:ascii="宋体" w:hAnsi="宋体" w:cs="宋体"/>
        </w:rPr>
      </w:pPr>
      <w:r>
        <w:rPr>
          <w:rFonts w:hint="eastAsia" w:ascii="宋体" w:hAnsi="宋体" w:cs="宋体"/>
        </w:rPr>
        <w:t>2.升级学历教育和非学历培训的智慧门户。支持门户的学习者个性化需求，开展个性化学习资源推送。利用智能客服，构建校内继续教育问答库，满足学生及培训日常答疑使用场景。</w:t>
      </w:r>
    </w:p>
    <w:p w14:paraId="773E19C7">
      <w:pPr>
        <w:spacing w:line="360" w:lineRule="auto"/>
        <w:ind w:firstLine="480" w:firstLineChars="200"/>
        <w:rPr>
          <w:rFonts w:ascii="宋体" w:hAnsi="宋体" w:cs="宋体"/>
        </w:rPr>
      </w:pPr>
      <w:r>
        <w:rPr>
          <w:rFonts w:hint="eastAsia" w:ascii="宋体" w:hAnsi="宋体" w:cs="宋体"/>
        </w:rPr>
        <w:t>3.按教育部非脱产人才培养方案要求，支持各年级各专业的人才培养方案，实现个性化、定制化的学生培养计划。满足学生个性化学习需求，根据学生的需求进行个性化培养，支持完全学分制、课程跨学期教学和学习，实现学习资源的个性化推送。</w:t>
      </w:r>
    </w:p>
    <w:p w14:paraId="251532E9">
      <w:pPr>
        <w:spacing w:line="360" w:lineRule="auto"/>
        <w:ind w:firstLine="480" w:firstLineChars="200"/>
        <w:rPr>
          <w:rFonts w:ascii="宋体" w:hAnsi="宋体" w:cs="宋体"/>
        </w:rPr>
      </w:pPr>
      <w:r>
        <w:rPr>
          <w:rFonts w:hint="eastAsia" w:ascii="宋体" w:hAnsi="宋体" w:cs="宋体"/>
        </w:rPr>
        <w:t>4.建立课程库，进行课程的分类管理。实现课程教学大纲、视频、课件、题库、教材等各类资源管理，方便师生进行查阅。</w:t>
      </w:r>
    </w:p>
    <w:p w14:paraId="25DA6FFE">
      <w:pPr>
        <w:spacing w:line="360" w:lineRule="auto"/>
        <w:ind w:firstLine="480" w:firstLineChars="200"/>
        <w:rPr>
          <w:rFonts w:ascii="宋体" w:hAnsi="宋体" w:cs="宋体"/>
        </w:rPr>
      </w:pPr>
      <w:r>
        <w:rPr>
          <w:rFonts w:hint="eastAsia" w:ascii="宋体" w:hAnsi="宋体" w:cs="宋体"/>
        </w:rPr>
        <w:t>5.建立师资库，完善教师管理功能。健全教师角色管理，区分主讲教师、助教(辅导教师)、监考老师、毕业设计(论文)指导老师、班主任等各类功能。精准采集教师教学和服务过程状态数据，实现教师工作量计算。</w:t>
      </w:r>
    </w:p>
    <w:p w14:paraId="4FE242B5">
      <w:pPr>
        <w:spacing w:line="360" w:lineRule="auto"/>
        <w:ind w:firstLine="480" w:firstLineChars="200"/>
        <w:rPr>
          <w:rFonts w:ascii="宋体" w:hAnsi="宋体" w:cs="宋体"/>
        </w:rPr>
      </w:pPr>
      <w:r>
        <w:rPr>
          <w:rFonts w:hint="eastAsia" w:ascii="宋体" w:hAnsi="宋体" w:cs="宋体"/>
        </w:rPr>
        <w:t>6.建立主讲教师与助教的课程教学团队，通过平台开展教研活动，实现资料共享、交互、视频会议等功能，实现主讲教师与辅导教师的协同教学，形成专业化、服务型教学创新团队。实现主讲教师与助教之间的双向实时交流及资料互传功能。</w:t>
      </w:r>
    </w:p>
    <w:p w14:paraId="037A8E4E">
      <w:pPr>
        <w:spacing w:line="360" w:lineRule="auto"/>
        <w:ind w:firstLine="480" w:firstLineChars="200"/>
        <w:rPr>
          <w:rFonts w:ascii="宋体" w:hAnsi="宋体" w:cs="宋体"/>
        </w:rPr>
      </w:pPr>
      <w:r>
        <w:rPr>
          <w:rFonts w:hint="eastAsia" w:ascii="宋体" w:hAnsi="宋体" w:cs="宋体"/>
        </w:rPr>
        <w:t>7.完善线上教学功能，支持开展各类在线教学形式和教学资源建设，实现直播、网络课程、在线开放课程、微课等不同形式的线上授课方式，精准采集各类教学形式的教学过程状态数据。兼容现有的直播教学形式，优化直播教学功能。</w:t>
      </w:r>
    </w:p>
    <w:p w14:paraId="5CE31BA4">
      <w:pPr>
        <w:spacing w:line="360" w:lineRule="auto"/>
        <w:ind w:firstLine="480" w:firstLineChars="200"/>
        <w:rPr>
          <w:rFonts w:ascii="宋体" w:hAnsi="宋体" w:cs="宋体"/>
        </w:rPr>
      </w:pPr>
      <w:r>
        <w:rPr>
          <w:rFonts w:hint="eastAsia" w:ascii="宋体" w:hAnsi="宋体" w:cs="宋体"/>
        </w:rPr>
        <w:t>8.支持建立专业和课程的知识图谱型智能教学应用系统。以数据为支撑、以知识图谱为导向、以智能推荐为中心、以教师为主导、以学生为主体，以信息资源建设和资源应用系统建设为核心，提供给学生良好的自主学习资源和学习环境，激发学生的自主学习热情，为精准教学、个性化学习提供支撑保障。</w:t>
      </w:r>
    </w:p>
    <w:p w14:paraId="14F78EB5">
      <w:pPr>
        <w:spacing w:line="360" w:lineRule="auto"/>
        <w:ind w:firstLine="480" w:firstLineChars="200"/>
        <w:rPr>
          <w:rFonts w:ascii="宋体" w:hAnsi="宋体" w:cs="宋体"/>
        </w:rPr>
      </w:pPr>
      <w:r>
        <w:rPr>
          <w:rFonts w:hint="eastAsia" w:ascii="宋体" w:hAnsi="宋体" w:cs="宋体"/>
        </w:rPr>
        <w:t>9.实现校本资源整合，将校内已有的网络课程资源通过网络教学平台实现无缝对接，在网络教学平台中依据继续教育特色进行改造后纳入到继续教育教学平台。</w:t>
      </w:r>
    </w:p>
    <w:p w14:paraId="2F571881">
      <w:pPr>
        <w:spacing w:line="360" w:lineRule="auto"/>
        <w:ind w:firstLine="480" w:firstLineChars="200"/>
        <w:rPr>
          <w:rFonts w:ascii="宋体" w:hAnsi="宋体" w:cs="宋体"/>
        </w:rPr>
      </w:pPr>
      <w:r>
        <w:rPr>
          <w:rFonts w:hint="eastAsia" w:ascii="宋体" w:hAnsi="宋体" w:cs="宋体"/>
        </w:rPr>
        <w:t>10.加强课程思政建设，形成继续教育课程思政模块库，教学计划中添加思政课程供学生线上学习，同时在专业课程中可加入课程思政元素。</w:t>
      </w:r>
    </w:p>
    <w:p w14:paraId="0F2378F9">
      <w:pPr>
        <w:spacing w:line="360" w:lineRule="auto"/>
        <w:ind w:firstLine="480" w:firstLineChars="200"/>
        <w:rPr>
          <w:rFonts w:ascii="宋体" w:hAnsi="宋体" w:cs="宋体"/>
        </w:rPr>
      </w:pPr>
      <w:r>
        <w:rPr>
          <w:rFonts w:hint="eastAsia" w:ascii="宋体" w:hAnsi="宋体" w:cs="宋体"/>
        </w:rPr>
        <w:t>11.按双结合教学模式教学要求，支持灵活的线上和线下排课方式，能方便进行授课过程中签到、视频采集、直播等有关参数的设置。面向各类群体和终端发布排课结果，界面友好。</w:t>
      </w:r>
    </w:p>
    <w:p w14:paraId="45FA6391">
      <w:pPr>
        <w:spacing w:line="360" w:lineRule="auto"/>
        <w:ind w:firstLine="480" w:firstLineChars="200"/>
        <w:rPr>
          <w:rFonts w:ascii="宋体" w:hAnsi="宋体" w:cs="宋体"/>
        </w:rPr>
      </w:pPr>
      <w:r>
        <w:rPr>
          <w:rFonts w:hint="eastAsia" w:ascii="宋体" w:hAnsi="宋体" w:cs="宋体"/>
        </w:rPr>
        <w:t>12.完善课程考核功能，建立过程性考核与终结性考核相结合的课程考核机制。能根据各课程要求、特点科学合理设定课程考核的方式、指标和权重，把“线上学习、作业、线下面授考勤、平时测验”等环节纳入课程平时成绩，精准采集学生学习过程相关状态数据，方便学生和管理人员查看过程状态数据。能对学生提交小论文等作业免费进行相似度检查。</w:t>
      </w:r>
    </w:p>
    <w:p w14:paraId="345D7944">
      <w:pPr>
        <w:spacing w:line="360" w:lineRule="auto"/>
        <w:ind w:firstLine="480" w:firstLineChars="200"/>
        <w:rPr>
          <w:rFonts w:ascii="宋体" w:hAnsi="宋体" w:cs="宋体"/>
        </w:rPr>
      </w:pPr>
      <w:r>
        <w:rPr>
          <w:rFonts w:hint="eastAsia" w:ascii="宋体" w:hAnsi="宋体" w:cs="宋体"/>
        </w:rPr>
        <w:t>13.建立集中式在线考试系统。能开展各类考试的在线报名，与教学管理系统对接，实现期末考试、统考以及非学历培训等各类考试的排考、发布等考务管理功能。能快速简便进行考生身份识别，实现基于PC、手机、PAD等不同终端的在线集中式考试。实现试卷自动组卷、在线自动监控和成绩自动判定，具有教师在线阅卷、成绩记录统计的功能。能与教学管理系统对接，实现考试结果数据的无缝自动导入。按上级教育行政部门和省继续教育高质量发展联盟的有关要求，开展考试全过程状态数据自动采集。</w:t>
      </w:r>
    </w:p>
    <w:p w14:paraId="54B6F8C3">
      <w:pPr>
        <w:spacing w:line="360" w:lineRule="auto"/>
        <w:ind w:firstLine="480" w:firstLineChars="200"/>
        <w:rPr>
          <w:rFonts w:ascii="宋体" w:hAnsi="宋体" w:cs="宋体"/>
        </w:rPr>
      </w:pPr>
      <w:r>
        <w:rPr>
          <w:rFonts w:hint="eastAsia" w:ascii="宋体" w:hAnsi="宋体" w:cs="宋体"/>
        </w:rPr>
        <w:t>14.建立班主任的在线学业指导功能。按学校管理模式进行班主任配置，班主任能在线全方位查看班级学生的各状态数据信息，方便班主任开展督学和导学。支持开展博雅实践的组织实施，建立活动管理功能，利用平台开展学历继续教育开学典礼、毕业典礼等活动。</w:t>
      </w:r>
    </w:p>
    <w:p w14:paraId="2CA0905B">
      <w:pPr>
        <w:spacing w:line="360" w:lineRule="auto"/>
        <w:ind w:firstLine="480" w:firstLineChars="200"/>
        <w:rPr>
          <w:rFonts w:ascii="宋体" w:hAnsi="宋体" w:cs="宋体"/>
        </w:rPr>
      </w:pPr>
      <w:r>
        <w:rPr>
          <w:rFonts w:hint="eastAsia" w:ascii="宋体" w:hAnsi="宋体" w:cs="宋体"/>
        </w:rPr>
        <w:t>15.建立校外教学点监管功能。进行校外教学点的在线监管和巡检，通过数字化技术和手段实现校外教学点“真教、真学、真考”的动态监测，加强教学点办学预警管理功能，实现教学点的绩效考核管理。</w:t>
      </w:r>
    </w:p>
    <w:p w14:paraId="15A3A1C9">
      <w:pPr>
        <w:spacing w:line="360" w:lineRule="auto"/>
        <w:ind w:firstLine="480" w:firstLineChars="200"/>
        <w:rPr>
          <w:rFonts w:ascii="宋体" w:hAnsi="宋体" w:cs="宋体"/>
        </w:rPr>
      </w:pPr>
      <w:r>
        <w:rPr>
          <w:rFonts w:hint="eastAsia" w:ascii="宋体" w:hAnsi="宋体" w:cs="宋体"/>
        </w:rPr>
        <w:t>16.建立在线督导功能。督导组通过平台能进行主讲教师和助教聘任、教材征订、线上线下教学课程表、期末考试安排、班主任聘任等情况的查阅。通过线上听课，检查教师线上授课情况；通过查阅学生线上提交的作业，检查学生的作业提交情况、教师的作业布置与批阅情况等，了解助教的相关工作；开展线下巡课，掌握线下面授签到情况。精准采集各类线上、线下的教与学的状态数据，开展督导评价。</w:t>
      </w:r>
    </w:p>
    <w:p w14:paraId="466580CD">
      <w:pPr>
        <w:spacing w:line="360" w:lineRule="auto"/>
        <w:ind w:firstLine="480" w:firstLineChars="200"/>
        <w:rPr>
          <w:rFonts w:ascii="宋体" w:hAnsi="宋体" w:cs="宋体"/>
        </w:rPr>
      </w:pPr>
      <w:r>
        <w:rPr>
          <w:rFonts w:hint="eastAsia" w:ascii="宋体" w:hAnsi="宋体" w:cs="宋体"/>
        </w:rPr>
        <w:t>17.身份识别功能。利用人脸识别对接功能，实现学生的人脸采集、照片收集、线下面授课的签到、入学信息确认人脸识别与政府有关部门系统对接等应用，在全流程管理中能灵活运用人脸识别技术，实现线上学习、线下面授考勤和考试等人脸识别，防止刷课、代签到、代考等行为，全面落实“真学、真考”。</w:t>
      </w:r>
    </w:p>
    <w:p w14:paraId="3FC505FE">
      <w:pPr>
        <w:spacing w:line="360" w:lineRule="auto"/>
        <w:ind w:firstLine="480" w:firstLineChars="200"/>
        <w:rPr>
          <w:rFonts w:ascii="宋体" w:hAnsi="宋体" w:cs="宋体"/>
        </w:rPr>
      </w:pPr>
      <w:r>
        <w:rPr>
          <w:rFonts w:hint="eastAsia" w:ascii="宋体" w:hAnsi="宋体" w:cs="宋体"/>
        </w:rPr>
        <w:t>18.完善系统的预警机制。能对系统各类异常的数据、操作、流程等进行报警，方便管理人员进行快速处理。完善学生学籍预警功能，针对学生管理中的超期预警、休学预警等利用平台自动监管机制实现触动提醒。增加学生学业成绩预警机制，学生能在手机端或电脑端查看自己应修学分（课程）、已修学分（课程）、未修学分（课程）等。</w:t>
      </w:r>
    </w:p>
    <w:p w14:paraId="3A9CB459">
      <w:pPr>
        <w:spacing w:line="360" w:lineRule="auto"/>
        <w:ind w:firstLine="480" w:firstLineChars="200"/>
        <w:rPr>
          <w:rFonts w:ascii="宋体" w:hAnsi="宋体" w:cs="宋体"/>
        </w:rPr>
      </w:pPr>
      <w:r>
        <w:rPr>
          <w:rFonts w:hint="eastAsia" w:ascii="宋体" w:hAnsi="宋体" w:cs="宋体"/>
        </w:rPr>
        <w:t>19.按毕业论文(设计)管理要求，全流程实现学生从论文选题到论文查重、论文定稿等管理，并可支持答辩管理功能使用，有效规范论文(设计)全过程管理。</w:t>
      </w:r>
    </w:p>
    <w:p w14:paraId="753C0F38">
      <w:pPr>
        <w:spacing w:line="360" w:lineRule="auto"/>
        <w:ind w:firstLine="480" w:firstLineChars="200"/>
        <w:rPr>
          <w:rFonts w:ascii="宋体" w:hAnsi="宋体" w:cs="宋体"/>
        </w:rPr>
      </w:pPr>
      <w:r>
        <w:rPr>
          <w:rFonts w:hint="eastAsia" w:ascii="宋体" w:hAnsi="宋体" w:cs="宋体"/>
        </w:rPr>
        <w:t>20.支持专业实践类课程线上全流程管理，可线上提交专业实践材料，开展材料的相似度检查，并将结果反馈给教师和管理人员。</w:t>
      </w:r>
    </w:p>
    <w:p w14:paraId="4901F663">
      <w:pPr>
        <w:spacing w:line="360" w:lineRule="auto"/>
        <w:ind w:firstLine="480" w:firstLineChars="200"/>
        <w:rPr>
          <w:rFonts w:ascii="宋体" w:hAnsi="宋体" w:cs="宋体"/>
        </w:rPr>
      </w:pPr>
      <w:r>
        <w:rPr>
          <w:rFonts w:hint="eastAsia" w:ascii="宋体" w:hAnsi="宋体" w:cs="宋体"/>
        </w:rPr>
        <w:t>21.构建学分互认管理功能模块，建立学习成果转换和学分认定标准，实现学历与非学历学习成果互通。</w:t>
      </w:r>
    </w:p>
    <w:p w14:paraId="4F2651A3">
      <w:pPr>
        <w:spacing w:line="360" w:lineRule="auto"/>
        <w:ind w:firstLine="480" w:firstLineChars="200"/>
        <w:rPr>
          <w:rFonts w:ascii="宋体" w:hAnsi="宋体" w:cs="宋体"/>
        </w:rPr>
      </w:pPr>
      <w:r>
        <w:rPr>
          <w:rFonts w:hint="eastAsia" w:ascii="宋体" w:hAnsi="宋体" w:cs="宋体"/>
        </w:rPr>
        <w:t>22.按管办分离原则，进行非学历培训平台的全面升级。进行UI界面以及整体操作流程优化、项目以及培训班字段的自定义管理、项目立项审核流程管理功能升级、项目管理功能升级、证书管理升级、系统对接和数据迁移。实现学院各类非学历培训班的SOP全流程管理。</w:t>
      </w:r>
    </w:p>
    <w:p w14:paraId="70D22E9F">
      <w:pPr>
        <w:spacing w:line="360" w:lineRule="auto"/>
        <w:ind w:firstLine="480" w:firstLineChars="200"/>
        <w:rPr>
          <w:rFonts w:ascii="宋体" w:hAnsi="宋体" w:cs="宋体"/>
        </w:rPr>
      </w:pPr>
      <w:r>
        <w:rPr>
          <w:rFonts w:hint="eastAsia" w:ascii="宋体" w:hAnsi="宋体" w:cs="宋体"/>
        </w:rPr>
        <w:t>23.开展学院有关培训班的线上报名和管理。</w:t>
      </w:r>
    </w:p>
    <w:p w14:paraId="2FF514CB">
      <w:pPr>
        <w:spacing w:line="360" w:lineRule="auto"/>
        <w:ind w:firstLine="480" w:firstLineChars="200"/>
        <w:rPr>
          <w:rFonts w:ascii="宋体" w:hAnsi="宋体" w:cs="宋体"/>
        </w:rPr>
      </w:pPr>
      <w:r>
        <w:rPr>
          <w:rFonts w:hint="eastAsia" w:ascii="宋体" w:hAnsi="宋体" w:cs="宋体"/>
        </w:rPr>
        <w:t>24.大数据综合分析展示。采集教学过程状态数据，结合教育评价模型，多维度对授课教师、学生等教学过程中行为数据进行建模，实现继续教育数据分析统计、教育评价、预警和数据可视化。提供各类数据报表服务。</w:t>
      </w:r>
    </w:p>
    <w:p w14:paraId="60FCBE51">
      <w:pPr>
        <w:pStyle w:val="3"/>
        <w:numPr>
          <w:ilvl w:val="1"/>
          <w:numId w:val="0"/>
        </w:numPr>
        <w:rPr>
          <w:rFonts w:ascii="仿宋" w:eastAsia="仿宋" w:cs="仿宋"/>
          <w:color w:val="000000"/>
          <w:sz w:val="24"/>
          <w:szCs w:val="24"/>
          <w:lang w:val="en-US"/>
        </w:rPr>
      </w:pPr>
      <w:r>
        <w:rPr>
          <w:rFonts w:hint="eastAsia" w:ascii="仿宋" w:eastAsia="仿宋" w:cs="仿宋"/>
          <w:color w:val="000000"/>
          <w:sz w:val="24"/>
          <w:szCs w:val="24"/>
          <w:lang w:val="en-US"/>
        </w:rPr>
        <w:t>五、系统模块及功能要求</w:t>
      </w:r>
    </w:p>
    <w:p w14:paraId="2FB0C577">
      <w:pPr>
        <w:spacing w:line="360" w:lineRule="auto"/>
        <w:ind w:firstLine="482" w:firstLineChars="200"/>
        <w:rPr>
          <w:rFonts w:ascii="宋体" w:hAnsi="宋体" w:cs="宋体"/>
          <w:b/>
          <w:bCs/>
        </w:rPr>
      </w:pPr>
      <w:r>
        <w:rPr>
          <w:rFonts w:hint="eastAsia" w:ascii="宋体" w:hAnsi="宋体" w:cs="宋体"/>
          <w:b/>
          <w:bCs/>
        </w:rPr>
        <w:t>1.学历及非学历系统升级</w:t>
      </w:r>
    </w:p>
    <w:p w14:paraId="3F16974E">
      <w:pPr>
        <w:spacing w:line="360" w:lineRule="auto"/>
        <w:ind w:firstLine="420"/>
        <w:rPr>
          <w:rFonts w:ascii="宋体" w:hAnsi="宋体" w:cs="宋体"/>
          <w:lang w:eastAsia="zh-Hans"/>
        </w:rPr>
      </w:pPr>
      <w:r>
        <w:rPr>
          <w:rFonts w:hint="eastAsia" w:ascii="宋体" w:hAnsi="宋体" w:cs="宋体"/>
          <w:lang w:eastAsia="zh-Hans"/>
        </w:rPr>
        <w:t>在一期建设基础上，按全流程管理和双结合教学模式要求，优化学生、教师和管理人员的相关业务流程，强化各流程的柔性化和和可塑性，实现从招生录取、学籍管理、教学计划管理、教师聘任、教材选用和征订、排课、线上线下教学过程组织、重修(重学)、考试、成绩管理、毕业设计(论文)管理、毕业管理、学位管理、财务管理等无人工干预的全流程管理。精准采集各业务流程数据，实现各类数据在教学和管理平台、与上级教育行政管理部门、学校有关部门的系统之间的无缝对接。具体功能如下：</w:t>
      </w:r>
    </w:p>
    <w:tbl>
      <w:tblPr>
        <w:tblStyle w:val="62"/>
        <w:tblW w:w="4777"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989"/>
        <w:gridCol w:w="823"/>
        <w:gridCol w:w="7060"/>
      </w:tblGrid>
      <w:tr w14:paraId="60E372A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blHeader/>
        </w:trPr>
        <w:tc>
          <w:tcPr>
            <w:tcW w:w="557" w:type="pct"/>
            <w:tcBorders>
              <w:left w:val="single" w:color="000000" w:sz="4" w:space="0"/>
              <w:bottom w:val="single" w:color="000000" w:sz="4" w:space="0"/>
              <w:right w:val="single" w:color="000000" w:sz="4" w:space="0"/>
            </w:tcBorders>
            <w:shd w:val="clear" w:color="auto" w:fill="auto"/>
            <w:noWrap/>
            <w:vAlign w:val="center"/>
          </w:tcPr>
          <w:p w14:paraId="49336583">
            <w:pPr>
              <w:jc w:val="center"/>
              <w:rPr>
                <w:rFonts w:ascii="仿宋" w:hAnsi="仿宋" w:cs="仿宋"/>
                <w:b/>
                <w:bCs/>
              </w:rPr>
            </w:pPr>
            <w:r>
              <w:rPr>
                <w:rFonts w:hint="eastAsia" w:ascii="仿宋" w:hAnsi="仿宋" w:cs="仿宋"/>
                <w:b/>
                <w:bCs/>
              </w:rPr>
              <w:t>模块</w:t>
            </w:r>
          </w:p>
        </w:tc>
        <w:tc>
          <w:tcPr>
            <w:tcW w:w="464" w:type="pct"/>
            <w:tcBorders>
              <w:left w:val="single" w:color="000000" w:sz="4" w:space="0"/>
              <w:bottom w:val="single" w:color="000000" w:sz="4" w:space="0"/>
              <w:right w:val="single" w:color="000000" w:sz="4" w:space="0"/>
            </w:tcBorders>
            <w:shd w:val="clear" w:color="auto" w:fill="auto"/>
            <w:noWrap/>
            <w:vAlign w:val="center"/>
          </w:tcPr>
          <w:p w14:paraId="63C43390">
            <w:pPr>
              <w:jc w:val="center"/>
              <w:rPr>
                <w:rFonts w:ascii="仿宋" w:hAnsi="仿宋" w:cs="仿宋"/>
                <w:b/>
                <w:bCs/>
              </w:rPr>
            </w:pPr>
            <w:r>
              <w:rPr>
                <w:rFonts w:hint="eastAsia" w:ascii="仿宋" w:hAnsi="仿宋" w:cs="仿宋"/>
                <w:b/>
                <w:bCs/>
              </w:rPr>
              <w:t>功能</w:t>
            </w:r>
          </w:p>
        </w:tc>
        <w:tc>
          <w:tcPr>
            <w:tcW w:w="3977" w:type="pct"/>
            <w:tcBorders>
              <w:left w:val="single" w:color="000000" w:sz="4" w:space="0"/>
              <w:bottom w:val="single" w:color="auto" w:sz="4" w:space="0"/>
            </w:tcBorders>
            <w:shd w:val="clear" w:color="auto" w:fill="auto"/>
            <w:noWrap/>
            <w:vAlign w:val="center"/>
          </w:tcPr>
          <w:p w14:paraId="4A23B204">
            <w:pPr>
              <w:jc w:val="center"/>
              <w:rPr>
                <w:rFonts w:ascii="仿宋" w:hAnsi="仿宋" w:cs="仿宋"/>
                <w:b/>
                <w:bCs/>
              </w:rPr>
            </w:pPr>
            <w:r>
              <w:rPr>
                <w:rFonts w:hint="eastAsia" w:ascii="仿宋" w:hAnsi="仿宋" w:cs="仿宋"/>
                <w:b/>
                <w:bCs/>
              </w:rPr>
              <w:t>功能描述</w:t>
            </w:r>
          </w:p>
        </w:tc>
      </w:tr>
      <w:tr w14:paraId="273217D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485" w:hRule="atLeast"/>
        </w:trPr>
        <w:tc>
          <w:tcPr>
            <w:tcW w:w="557" w:type="pct"/>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14:paraId="0E7B907E">
            <w:pPr>
              <w:jc w:val="center"/>
              <w:rPr>
                <w:rFonts w:ascii="仿宋" w:hAnsi="仿宋" w:cs="仿宋"/>
              </w:rPr>
            </w:pPr>
            <w:r>
              <w:rPr>
                <w:rFonts w:hint="eastAsia" w:ascii="仿宋" w:hAnsi="仿宋" w:cs="仿宋"/>
              </w:rPr>
              <w:t>1、微服务系统</w:t>
            </w:r>
          </w:p>
        </w:tc>
        <w:tc>
          <w:tcPr>
            <w:tcW w:w="464" w:type="pct"/>
            <w:tcBorders>
              <w:top w:val="single" w:color="auto" w:sz="4" w:space="0"/>
              <w:left w:val="single" w:color="000000" w:sz="4" w:space="0"/>
              <w:bottom w:val="single" w:color="auto" w:sz="4" w:space="0"/>
              <w:right w:val="single" w:color="000000" w:sz="4" w:space="0"/>
            </w:tcBorders>
            <w:shd w:val="clear" w:color="auto" w:fill="auto"/>
            <w:vAlign w:val="center"/>
          </w:tcPr>
          <w:p w14:paraId="2ABAA849">
            <w:pPr>
              <w:jc w:val="center"/>
              <w:rPr>
                <w:rFonts w:ascii="仿宋" w:hAnsi="仿宋" w:cs="仿宋"/>
              </w:rPr>
            </w:pPr>
            <w:r>
              <w:rPr>
                <w:rFonts w:hint="eastAsia" w:ascii="仿宋" w:hAnsi="仿宋" w:cs="仿宋"/>
              </w:rPr>
              <w:t>1.1</w:t>
            </w:r>
          </w:p>
          <w:p w14:paraId="669B4601">
            <w:pPr>
              <w:jc w:val="center"/>
              <w:rPr>
                <w:rFonts w:ascii="仿宋" w:hAnsi="仿宋" w:cs="仿宋"/>
              </w:rPr>
            </w:pPr>
            <w:r>
              <w:rPr>
                <w:rFonts w:hint="eastAsia" w:ascii="仿宋" w:hAnsi="仿宋" w:cs="仿宋"/>
              </w:rPr>
              <w:t>总体需求</w:t>
            </w:r>
          </w:p>
        </w:tc>
        <w:tc>
          <w:tcPr>
            <w:tcW w:w="3977" w:type="pct"/>
            <w:tcBorders>
              <w:top w:val="single" w:color="auto" w:sz="4" w:space="0"/>
              <w:left w:val="single" w:color="000000" w:sz="4" w:space="0"/>
              <w:bottom w:val="single" w:color="auto" w:sz="4" w:space="0"/>
            </w:tcBorders>
            <w:shd w:val="clear" w:color="auto" w:fill="auto"/>
            <w:vAlign w:val="center"/>
          </w:tcPr>
          <w:p w14:paraId="075B7825">
            <w:pPr>
              <w:rPr>
                <w:rFonts w:ascii="仿宋" w:hAnsi="仿宋" w:cs="仿宋"/>
              </w:rPr>
            </w:pPr>
            <w:r>
              <w:rPr>
                <w:rFonts w:hint="eastAsia" w:ascii="仿宋" w:hAnsi="仿宋" w:cs="仿宋"/>
              </w:rPr>
              <w:t>平台整体采用微服务架构搭建。浙江工业大学继续教育数字化二期平台作为一个整合“学历教育”与“非学历教育”于一体的平台，需要采用统一且整合的底层架构来支撑学院的基础服务，微服务架构具有极强的可扩展性，除了整合用户信息和组织架构外，还需要能够有效支持学院的业务拓展，可以通过系统配置服务实现诸如表单采集信息、审批流程设置、量化评价服务等辅助业务，并通过系统配置服务的拓展建设持续完善整个业务体系。</w:t>
            </w:r>
          </w:p>
        </w:tc>
      </w:tr>
      <w:tr w14:paraId="6C95534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68" w:hRule="atLeast"/>
        </w:trPr>
        <w:tc>
          <w:tcPr>
            <w:tcW w:w="557" w:type="pct"/>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14:paraId="230B7362">
            <w:pPr>
              <w:jc w:val="center"/>
              <w:rPr>
                <w:rFonts w:ascii="仿宋" w:hAnsi="仿宋" w:cs="仿宋"/>
              </w:rPr>
            </w:pPr>
          </w:p>
        </w:tc>
        <w:tc>
          <w:tcPr>
            <w:tcW w:w="464" w:type="pct"/>
            <w:tcBorders>
              <w:top w:val="single" w:color="auto" w:sz="4" w:space="0"/>
              <w:left w:val="single" w:color="000000" w:sz="4" w:space="0"/>
              <w:bottom w:val="single" w:color="000000" w:sz="4" w:space="0"/>
              <w:right w:val="single" w:color="000000" w:sz="4" w:space="0"/>
            </w:tcBorders>
            <w:shd w:val="clear" w:color="auto" w:fill="auto"/>
            <w:vAlign w:val="center"/>
          </w:tcPr>
          <w:p w14:paraId="522A103B">
            <w:pPr>
              <w:jc w:val="center"/>
              <w:rPr>
                <w:rFonts w:ascii="仿宋" w:hAnsi="仿宋" w:cs="仿宋"/>
              </w:rPr>
            </w:pPr>
            <w:r>
              <w:rPr>
                <w:rFonts w:hint="eastAsia" w:ascii="仿宋" w:hAnsi="仿宋" w:cs="仿宋"/>
              </w:rPr>
              <w:t>1.2</w:t>
            </w:r>
          </w:p>
          <w:p w14:paraId="658403B6">
            <w:pPr>
              <w:jc w:val="center"/>
              <w:rPr>
                <w:rFonts w:ascii="仿宋" w:hAnsi="仿宋" w:cs="仿宋"/>
              </w:rPr>
            </w:pPr>
            <w:r>
              <w:rPr>
                <w:rFonts w:hint="eastAsia" w:ascii="仿宋" w:hAnsi="仿宋" w:cs="仿宋"/>
              </w:rPr>
              <w:t>单位应用管理</w:t>
            </w:r>
          </w:p>
        </w:tc>
        <w:tc>
          <w:tcPr>
            <w:tcW w:w="3977" w:type="pct"/>
            <w:tcBorders>
              <w:top w:val="single" w:color="auto" w:sz="4" w:space="0"/>
              <w:left w:val="single" w:color="000000" w:sz="4" w:space="0"/>
              <w:bottom w:val="single" w:color="000000" w:sz="4" w:space="0"/>
            </w:tcBorders>
            <w:shd w:val="clear" w:color="auto" w:fill="auto"/>
            <w:vAlign w:val="center"/>
          </w:tcPr>
          <w:p w14:paraId="4B7DE79C">
            <w:pPr>
              <w:rPr>
                <w:rFonts w:ascii="仿宋" w:hAnsi="仿宋" w:cs="仿宋"/>
              </w:rPr>
            </w:pPr>
            <w:r>
              <w:rPr>
                <w:rFonts w:hint="eastAsia" w:ascii="仿宋" w:hAnsi="仿宋" w:cs="仿宋"/>
              </w:rPr>
              <w:t>(1)基于微服务架构的系统配置服务系统需可以对PC端、移动端的前端应用以及部分后台管理功能进行统一的管理，包括增、删、改、查以及权限控制。方便对各类终端界面及展示应用进行配置。</w:t>
            </w:r>
          </w:p>
          <w:p w14:paraId="30BA11CA">
            <w:pPr>
              <w:rPr>
                <w:rFonts w:ascii="仿宋" w:hAnsi="仿宋" w:cs="仿宋"/>
              </w:rPr>
            </w:pPr>
            <w:r>
              <w:rPr>
                <w:rFonts w:hint="eastAsia" w:ascii="仿宋" w:hAnsi="仿宋" w:cs="仿宋"/>
              </w:rPr>
              <w:t>(2)管理单位下应用信息，包括图标、名称、可使用终端打开链接、前后台可使用角色以及标签，同时也支持单位内对应用进行应用分类管理。并且可以新增和移除单位下应用，保证单位下应用数据的有效性和正确性。</w:t>
            </w:r>
          </w:p>
          <w:p w14:paraId="0643370B">
            <w:pPr>
              <w:rPr>
                <w:rFonts w:ascii="仿宋" w:hAnsi="仿宋" w:cs="仿宋"/>
              </w:rPr>
            </w:pPr>
            <w:r>
              <w:rPr>
                <w:rFonts w:hint="eastAsia" w:ascii="仿宋" w:hAnsi="仿宋" w:cs="仿宋"/>
              </w:rPr>
              <w:t>(3)平台能有效保证用户单位的应用生态，管理员可以通过应用市场和自建应用来完善单位内应用，满足不同业务和场景下的使用。</w:t>
            </w:r>
          </w:p>
          <w:p w14:paraId="6AD18AA3">
            <w:pPr>
              <w:rPr>
                <w:rFonts w:ascii="仿宋" w:hAnsi="仿宋" w:cs="仿宋"/>
              </w:rPr>
            </w:pPr>
            <w:r>
              <w:rPr>
                <w:rFonts w:hint="eastAsia" w:ascii="仿宋" w:hAnsi="仿宋" w:cs="仿宋"/>
              </w:rPr>
              <w:t>(4)通过链接自建应用，并且通过此方式可以对接三方应用。</w:t>
            </w:r>
          </w:p>
          <w:p w14:paraId="20639741">
            <w:pPr>
              <w:rPr>
                <w:rFonts w:ascii="仿宋" w:hAnsi="仿宋" w:cs="仿宋"/>
              </w:rPr>
            </w:pPr>
            <w:r>
              <w:rPr>
                <w:rFonts w:hint="eastAsia" w:ascii="仿宋" w:hAnsi="仿宋" w:cs="仿宋"/>
              </w:rPr>
              <w:t>(5)可以统计应用在移动端的访问数据，包括应用总点击量(移动APP邀请码和微信端)、使用角色分布以及点击排行等统计维度。</w:t>
            </w:r>
          </w:p>
        </w:tc>
      </w:tr>
      <w:tr w14:paraId="00C8BA9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73" w:hRule="atLeast"/>
        </w:trPr>
        <w:tc>
          <w:tcPr>
            <w:tcW w:w="557" w:type="pct"/>
            <w:vMerge w:val="continue"/>
            <w:tcBorders>
              <w:left w:val="single" w:color="auto" w:sz="4" w:space="0"/>
              <w:bottom w:val="single" w:color="000000" w:sz="4" w:space="0"/>
              <w:right w:val="single" w:color="000000" w:sz="4" w:space="0"/>
            </w:tcBorders>
            <w:shd w:val="clear" w:color="auto" w:fill="auto"/>
            <w:noWrap/>
            <w:vAlign w:val="center"/>
          </w:tcPr>
          <w:p w14:paraId="50DC56AE">
            <w:pPr>
              <w:jc w:val="center"/>
              <w:rPr>
                <w:rFonts w:ascii="仿宋" w:hAnsi="仿宋" w:cs="仿宋"/>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132DF">
            <w:pPr>
              <w:jc w:val="center"/>
              <w:rPr>
                <w:rFonts w:ascii="仿宋" w:hAnsi="仿宋" w:cs="仿宋"/>
              </w:rPr>
            </w:pPr>
            <w:r>
              <w:rPr>
                <w:rFonts w:hint="eastAsia" w:ascii="仿宋" w:hAnsi="仿宋" w:cs="仿宋"/>
              </w:rPr>
              <w:t>1.3</w:t>
            </w:r>
          </w:p>
          <w:p w14:paraId="6369FFF5">
            <w:pPr>
              <w:jc w:val="center"/>
              <w:rPr>
                <w:rFonts w:ascii="仿宋" w:hAnsi="仿宋" w:cs="仿宋"/>
              </w:rPr>
            </w:pPr>
            <w:r>
              <w:rPr>
                <w:rFonts w:hint="eastAsia" w:ascii="仿宋" w:hAnsi="仿宋" w:cs="仿宋"/>
              </w:rPr>
              <w:t>终端管理</w:t>
            </w:r>
          </w:p>
        </w:tc>
        <w:tc>
          <w:tcPr>
            <w:tcW w:w="3977" w:type="pct"/>
            <w:tcBorders>
              <w:top w:val="single" w:color="auto" w:sz="4" w:space="0"/>
              <w:left w:val="single" w:color="000000" w:sz="4" w:space="0"/>
              <w:bottom w:val="single" w:color="000000" w:sz="4" w:space="0"/>
            </w:tcBorders>
            <w:shd w:val="clear" w:color="auto" w:fill="auto"/>
            <w:vAlign w:val="center"/>
          </w:tcPr>
          <w:p w14:paraId="33C60982">
            <w:pPr>
              <w:rPr>
                <w:rFonts w:ascii="仿宋" w:hAnsi="仿宋" w:cs="仿宋"/>
              </w:rPr>
            </w:pPr>
            <w:r>
              <w:rPr>
                <w:rFonts w:hint="eastAsia" w:ascii="仿宋" w:hAnsi="仿宋" w:cs="仿宋"/>
              </w:rPr>
              <w:t>提供多终端服务管理界面，实现基于同一平台轻松管理个人空间、门户、移动端、微信端、大数据屏等多个设备终端界面设计和信息展示，具备可视化全功能后台，最大限度地方便管理员自主管理和个性化配置应用栏目，为用户提供友善的界面，便捷、智慧的服务，使服务内容、使用数据趋向统一。</w:t>
            </w:r>
          </w:p>
          <w:p w14:paraId="520EF85C">
            <w:pPr>
              <w:rPr>
                <w:rFonts w:ascii="仿宋" w:hAnsi="仿宋" w:cs="仿宋"/>
              </w:rPr>
            </w:pPr>
            <w:r>
              <w:rPr>
                <w:rFonts w:hint="eastAsia" w:ascii="仿宋" w:hAnsi="仿宋" w:cs="仿宋"/>
              </w:rPr>
              <w:t>(1)空间自主配置：支持自主配置教师和学员空间，无需修改平台代码，即可进行空间页面配置，包括但不限于页面布局、顶部logo、字体颜色、背景颜色和背景图配置。侧边栏字体颜色、字体大小、导航栏颜色和背景图配置；侧边栏菜单支持添加、删除、编辑、调整顺序，依据管理要求配置所需功能菜单。</w:t>
            </w:r>
          </w:p>
          <w:p w14:paraId="009424E3">
            <w:pPr>
              <w:rPr>
                <w:rFonts w:ascii="仿宋" w:hAnsi="仿宋" w:cs="仿宋"/>
              </w:rPr>
            </w:pPr>
            <w:r>
              <w:rPr>
                <w:rFonts w:hint="eastAsia" w:ascii="仿宋" w:hAnsi="仿宋" w:cs="仿宋"/>
              </w:rPr>
              <w:t>(2)移动端APP配置：移动端配置自由灵活，可以根据角色配置移动端界面，并且支持自定义设置移动端首页，提供三种首页模板供其选择使用。支持自定义首页布局，提供十种布局样式，在布局中，支持添加管理和教学所需要的应用模块，可以通过拖拽方式嵌入基础应用如轮播图、搜索、多图列表等应用，对应用进行详细的设置，支持添加管理和教学所需要的应用模块。</w:t>
            </w:r>
          </w:p>
          <w:p w14:paraId="63EB0E5D">
            <w:pPr>
              <w:rPr>
                <w:rFonts w:ascii="仿宋" w:hAnsi="仿宋" w:cs="仿宋"/>
              </w:rPr>
            </w:pPr>
            <w:r>
              <w:rPr>
                <w:rFonts w:hint="eastAsia" w:ascii="仿宋" w:hAnsi="仿宋" w:cs="仿宋"/>
              </w:rPr>
              <w:t>(3)微信端配置：将支持微信端的应用根据样式模板配置到微信公众号，并且实现从微信公众号上接收移动端app端的通知、审批、站内信函。</w:t>
            </w:r>
          </w:p>
          <w:p w14:paraId="1807E3F4">
            <w:pPr>
              <w:rPr>
                <w:rFonts w:ascii="仿宋" w:hAnsi="仿宋" w:cs="仿宋"/>
              </w:rPr>
            </w:pPr>
            <w:r>
              <w:rPr>
                <w:rFonts w:hint="eastAsia" w:ascii="仿宋" w:hAnsi="仿宋" w:cs="仿宋"/>
              </w:rPr>
              <w:t>(4)拓展服务：平台需具有去耦合特点，减少模块之间的关联以提供系统稳定性的同时能够实现业务的拓展建设。</w:t>
            </w:r>
          </w:p>
        </w:tc>
      </w:tr>
      <w:tr w14:paraId="41794CE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241" w:hRule="atLeast"/>
        </w:trPr>
        <w:tc>
          <w:tcPr>
            <w:tcW w:w="557" w:type="pct"/>
            <w:vMerge w:val="restart"/>
            <w:tcBorders>
              <w:top w:val="single" w:color="auto" w:sz="4" w:space="0"/>
              <w:left w:val="single" w:color="auto" w:sz="4" w:space="0"/>
              <w:right w:val="single" w:color="000000" w:sz="4" w:space="0"/>
            </w:tcBorders>
            <w:shd w:val="clear" w:color="auto" w:fill="auto"/>
            <w:noWrap/>
            <w:vAlign w:val="center"/>
          </w:tcPr>
          <w:p w14:paraId="18271FE1">
            <w:pPr>
              <w:jc w:val="center"/>
              <w:rPr>
                <w:rFonts w:ascii="仿宋" w:hAnsi="仿宋" w:cs="仿宋"/>
              </w:rPr>
            </w:pPr>
          </w:p>
          <w:p w14:paraId="20B9FEBF">
            <w:pPr>
              <w:jc w:val="center"/>
              <w:rPr>
                <w:rFonts w:ascii="仿宋" w:hAnsi="仿宋" w:cs="仿宋"/>
              </w:rPr>
            </w:pPr>
          </w:p>
          <w:p w14:paraId="39603336">
            <w:pPr>
              <w:jc w:val="center"/>
              <w:rPr>
                <w:rFonts w:ascii="仿宋" w:hAnsi="仿宋" w:cs="仿宋"/>
              </w:rPr>
            </w:pPr>
          </w:p>
          <w:p w14:paraId="67F4F010">
            <w:pPr>
              <w:jc w:val="center"/>
              <w:rPr>
                <w:rFonts w:ascii="仿宋" w:hAnsi="仿宋" w:cs="仿宋"/>
              </w:rPr>
            </w:pPr>
            <w:r>
              <w:rPr>
                <w:rFonts w:hint="eastAsia" w:ascii="仿宋" w:hAnsi="仿宋" w:cs="仿宋"/>
              </w:rPr>
              <w:t>2、智慧门户管理</w:t>
            </w:r>
          </w:p>
        </w:tc>
        <w:tc>
          <w:tcPr>
            <w:tcW w:w="464" w:type="pct"/>
            <w:tcBorders>
              <w:top w:val="single" w:color="auto" w:sz="4" w:space="0"/>
              <w:left w:val="single" w:color="000000" w:sz="4" w:space="0"/>
              <w:bottom w:val="single" w:color="auto" w:sz="4" w:space="0"/>
              <w:right w:val="single" w:color="000000" w:sz="4" w:space="0"/>
            </w:tcBorders>
            <w:shd w:val="clear" w:color="auto" w:fill="auto"/>
            <w:vAlign w:val="center"/>
          </w:tcPr>
          <w:p w14:paraId="6E1F3CE8">
            <w:pPr>
              <w:jc w:val="center"/>
              <w:rPr>
                <w:rFonts w:ascii="仿宋" w:hAnsi="仿宋" w:cs="仿宋"/>
              </w:rPr>
            </w:pPr>
            <w:r>
              <w:rPr>
                <w:rFonts w:hint="eastAsia" w:ascii="仿宋" w:hAnsi="仿宋" w:cs="仿宋"/>
              </w:rPr>
              <w:t>2.1</w:t>
            </w:r>
          </w:p>
          <w:p w14:paraId="0847F210">
            <w:pPr>
              <w:jc w:val="center"/>
              <w:rPr>
                <w:rFonts w:ascii="仿宋" w:hAnsi="仿宋" w:cs="仿宋"/>
              </w:rPr>
            </w:pPr>
            <w:r>
              <w:rPr>
                <w:rFonts w:hint="eastAsia" w:ascii="仿宋" w:hAnsi="仿宋" w:cs="仿宋"/>
              </w:rPr>
              <w:t>总体需求</w:t>
            </w:r>
          </w:p>
        </w:tc>
        <w:tc>
          <w:tcPr>
            <w:tcW w:w="3977" w:type="pct"/>
            <w:tcBorders>
              <w:top w:val="single" w:color="000000" w:sz="4" w:space="0"/>
              <w:left w:val="single" w:color="000000" w:sz="4" w:space="0"/>
              <w:bottom w:val="single" w:color="auto" w:sz="4" w:space="0"/>
            </w:tcBorders>
            <w:shd w:val="clear" w:color="auto" w:fill="auto"/>
            <w:vAlign w:val="center"/>
          </w:tcPr>
          <w:p w14:paraId="2FCEC884">
            <w:pPr>
              <w:rPr>
                <w:rFonts w:ascii="仿宋" w:hAnsi="仿宋" w:cs="仿宋"/>
              </w:rPr>
            </w:pPr>
            <w:r>
              <w:rPr>
                <w:rFonts w:hint="eastAsia" w:ascii="仿宋" w:hAnsi="仿宋" w:cs="仿宋"/>
              </w:rPr>
              <w:t>提供自助管理和展示学校继续教育办学特色的门户网站，具备友善的界面、便捷的服务、智慧的功能，实现门户自主化、个性化管理，从而实现学历、非学历等相关信息公开。</w:t>
            </w:r>
          </w:p>
        </w:tc>
      </w:tr>
      <w:tr w14:paraId="1B4D18A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0" w:hRule="atLeast"/>
        </w:trPr>
        <w:tc>
          <w:tcPr>
            <w:tcW w:w="557" w:type="pct"/>
            <w:vMerge w:val="continue"/>
            <w:tcBorders>
              <w:top w:val="single" w:color="auto" w:sz="4" w:space="0"/>
              <w:left w:val="single" w:color="auto" w:sz="4" w:space="0"/>
              <w:right w:val="single" w:color="000000" w:sz="4" w:space="0"/>
            </w:tcBorders>
            <w:shd w:val="clear" w:color="auto" w:fill="auto"/>
            <w:noWrap/>
            <w:vAlign w:val="center"/>
          </w:tcPr>
          <w:p w14:paraId="1D3CA9A7">
            <w:pPr>
              <w:jc w:val="center"/>
              <w:rPr>
                <w:rFonts w:ascii="仿宋" w:hAnsi="仿宋" w:cs="仿宋"/>
              </w:rPr>
            </w:pPr>
          </w:p>
        </w:tc>
        <w:tc>
          <w:tcPr>
            <w:tcW w:w="464" w:type="pct"/>
            <w:tcBorders>
              <w:top w:val="single" w:color="auto" w:sz="4" w:space="0"/>
              <w:left w:val="single" w:color="000000" w:sz="4" w:space="0"/>
              <w:bottom w:val="single" w:color="000000" w:sz="4" w:space="0"/>
              <w:right w:val="single" w:color="000000" w:sz="4" w:space="0"/>
            </w:tcBorders>
            <w:shd w:val="clear" w:color="auto" w:fill="auto"/>
            <w:vAlign w:val="center"/>
          </w:tcPr>
          <w:p w14:paraId="2D214078">
            <w:pPr>
              <w:jc w:val="center"/>
              <w:rPr>
                <w:rFonts w:ascii="仿宋" w:hAnsi="仿宋" w:cs="仿宋"/>
              </w:rPr>
            </w:pPr>
            <w:r>
              <w:rPr>
                <w:rFonts w:hint="eastAsia" w:ascii="仿宋" w:hAnsi="仿宋" w:cs="仿宋"/>
              </w:rPr>
              <w:t>2.2</w:t>
            </w:r>
          </w:p>
          <w:p w14:paraId="35E3013D">
            <w:pPr>
              <w:jc w:val="center"/>
              <w:rPr>
                <w:rFonts w:ascii="仿宋" w:hAnsi="仿宋" w:cs="仿宋"/>
              </w:rPr>
            </w:pPr>
            <w:r>
              <w:rPr>
                <w:rFonts w:hint="eastAsia" w:ascii="仿宋" w:hAnsi="仿宋" w:cs="仿宋"/>
              </w:rPr>
              <w:t>网站管理</w:t>
            </w:r>
          </w:p>
        </w:tc>
        <w:tc>
          <w:tcPr>
            <w:tcW w:w="3977" w:type="pct"/>
            <w:tcBorders>
              <w:top w:val="single" w:color="auto" w:sz="4" w:space="0"/>
              <w:left w:val="single" w:color="000000" w:sz="4" w:space="0"/>
              <w:bottom w:val="single" w:color="000000" w:sz="4" w:space="0"/>
            </w:tcBorders>
            <w:shd w:val="clear" w:color="auto" w:fill="auto"/>
            <w:vAlign w:val="center"/>
          </w:tcPr>
          <w:p w14:paraId="040234EF">
            <w:pPr>
              <w:rPr>
                <w:rFonts w:ascii="仿宋" w:hAnsi="仿宋" w:cs="仿宋"/>
              </w:rPr>
            </w:pPr>
            <w:r>
              <w:rPr>
                <w:rFonts w:hint="eastAsia" w:ascii="仿宋" w:hAnsi="仿宋" w:cs="仿宋"/>
              </w:rPr>
              <w:t>(1)支持一个单位创建多个网站。</w:t>
            </w:r>
          </w:p>
          <w:p w14:paraId="15605896">
            <w:pPr>
              <w:rPr>
                <w:rFonts w:ascii="仿宋" w:hAnsi="仿宋" w:cs="仿宋"/>
              </w:rPr>
            </w:pPr>
            <w:r>
              <w:rPr>
                <w:rFonts w:hint="eastAsia" w:ascii="仿宋" w:hAnsi="仿宋" w:cs="仿宋"/>
              </w:rPr>
              <w:t>(2)支持随时根据需求对已建网站进行修改、编辑及删除。</w:t>
            </w:r>
          </w:p>
          <w:p w14:paraId="5A90D051">
            <w:pPr>
              <w:rPr>
                <w:rFonts w:ascii="仿宋" w:hAnsi="仿宋" w:cs="仿宋"/>
              </w:rPr>
            </w:pPr>
            <w:r>
              <w:rPr>
                <w:rFonts w:hint="eastAsia" w:ascii="仿宋" w:hAnsi="仿宋" w:cs="仿宋"/>
              </w:rPr>
              <w:t>(3)支持网站挂接单位自有域名。</w:t>
            </w:r>
          </w:p>
          <w:p w14:paraId="4C4EB5B5">
            <w:pPr>
              <w:rPr>
                <w:rFonts w:ascii="仿宋" w:hAnsi="仿宋" w:cs="仿宋"/>
              </w:rPr>
            </w:pPr>
            <w:r>
              <w:rPr>
                <w:rFonts w:hint="eastAsia" w:ascii="仿宋" w:hAnsi="仿宋" w:cs="仿宋"/>
              </w:rPr>
              <w:t>(4)支持网站上传网页图标。</w:t>
            </w:r>
          </w:p>
          <w:p w14:paraId="0001DE36">
            <w:pPr>
              <w:rPr>
                <w:rFonts w:ascii="仿宋" w:hAnsi="仿宋" w:cs="仿宋"/>
              </w:rPr>
            </w:pPr>
            <w:r>
              <w:rPr>
                <w:rFonts w:hint="eastAsia" w:ascii="仿宋" w:hAnsi="仿宋" w:cs="仿宋"/>
              </w:rPr>
              <w:t>(5)支持网站编辑网站简介。</w:t>
            </w:r>
          </w:p>
          <w:p w14:paraId="7FD1B0DB">
            <w:pPr>
              <w:rPr>
                <w:rFonts w:ascii="仿宋" w:hAnsi="仿宋" w:cs="仿宋"/>
              </w:rPr>
            </w:pPr>
            <w:r>
              <w:rPr>
                <w:rFonts w:hint="eastAsia" w:ascii="仿宋" w:hAnsi="仿宋" w:cs="仿宋"/>
              </w:rPr>
              <w:t>(6)支持设置网站访问权限为无需权限和需登录后访问。</w:t>
            </w:r>
          </w:p>
          <w:p w14:paraId="1EC97668">
            <w:pPr>
              <w:rPr>
                <w:rFonts w:ascii="仿宋" w:hAnsi="仿宋" w:cs="仿宋"/>
              </w:rPr>
            </w:pPr>
            <w:r>
              <w:rPr>
                <w:rFonts w:hint="eastAsia" w:ascii="仿宋" w:hAnsi="仿宋" w:cs="仿宋"/>
              </w:rPr>
              <w:t>(7)支持网站自定义一种或多种登录方式，包含手机号密码登录、手机号验证码登录、账号密码登录、扫码登录、第三方统一认证登录等方式。</w:t>
            </w:r>
          </w:p>
          <w:p w14:paraId="747EA09F">
            <w:pPr>
              <w:rPr>
                <w:rFonts w:ascii="仿宋" w:hAnsi="仿宋" w:cs="仿宋"/>
              </w:rPr>
            </w:pPr>
            <w:r>
              <w:rPr>
                <w:rFonts w:hint="eastAsia" w:ascii="仿宋" w:hAnsi="仿宋" w:cs="仿宋"/>
              </w:rPr>
              <w:t>(8)账号体系支持对接第三方系统，SSO统一身份认证登录服务。</w:t>
            </w:r>
          </w:p>
          <w:p w14:paraId="669D2EE9">
            <w:pPr>
              <w:rPr>
                <w:rFonts w:ascii="仿宋" w:hAnsi="仿宋" w:cs="仿宋"/>
              </w:rPr>
            </w:pPr>
            <w:r>
              <w:rPr>
                <w:rFonts w:hint="eastAsia" w:ascii="仿宋" w:hAnsi="仿宋" w:cs="仿宋"/>
              </w:rPr>
              <w:t>(9)支持设置网站IP白名单。</w:t>
            </w:r>
          </w:p>
          <w:p w14:paraId="69CD311B">
            <w:pPr>
              <w:rPr>
                <w:rFonts w:ascii="仿宋" w:hAnsi="仿宋" w:cs="仿宋"/>
              </w:rPr>
            </w:pPr>
            <w:r>
              <w:rPr>
                <w:rFonts w:hint="eastAsia" w:ascii="仿宋" w:hAnsi="仿宋" w:cs="仿宋"/>
              </w:rPr>
              <w:t>(10)支持查看和导出网站操作记录。</w:t>
            </w:r>
          </w:p>
          <w:p w14:paraId="7474B10F">
            <w:pPr>
              <w:rPr>
                <w:rFonts w:ascii="仿宋" w:hAnsi="仿宋" w:cs="仿宋"/>
              </w:rPr>
            </w:pPr>
            <w:r>
              <w:rPr>
                <w:rFonts w:hint="eastAsia" w:ascii="仿宋" w:hAnsi="仿宋" w:cs="仿宋"/>
              </w:rPr>
              <w:t>(11)支持下载镜像程序包及网站数据。</w:t>
            </w:r>
          </w:p>
          <w:p w14:paraId="634A5F58">
            <w:pPr>
              <w:rPr>
                <w:rFonts w:ascii="仿宋" w:hAnsi="仿宋" w:cs="仿宋"/>
              </w:rPr>
            </w:pPr>
            <w:r>
              <w:rPr>
                <w:rFonts w:hint="eastAsia" w:ascii="仿宋" w:hAnsi="仿宋" w:cs="仿宋"/>
              </w:rPr>
              <w:t>(12)支持网站下载操作。</w:t>
            </w:r>
          </w:p>
          <w:p w14:paraId="427FDC46">
            <w:pPr>
              <w:rPr>
                <w:rFonts w:ascii="仿宋" w:hAnsi="仿宋" w:cs="仿宋"/>
              </w:rPr>
            </w:pPr>
            <w:r>
              <w:rPr>
                <w:rFonts w:hint="eastAsia" w:ascii="仿宋" w:hAnsi="仿宋" w:cs="仿宋"/>
              </w:rPr>
              <w:t>(13)支持设置网站访客模式。</w:t>
            </w:r>
          </w:p>
          <w:p w14:paraId="63A3AE78">
            <w:pPr>
              <w:rPr>
                <w:rFonts w:ascii="仿宋" w:hAnsi="仿宋" w:cs="仿宋"/>
              </w:rPr>
            </w:pPr>
            <w:r>
              <w:rPr>
                <w:rFonts w:hint="eastAsia" w:ascii="仿宋" w:hAnsi="仿宋" w:cs="仿宋"/>
              </w:rPr>
              <w:t>(14)支持网站置灰操作。</w:t>
            </w:r>
          </w:p>
          <w:p w14:paraId="549F74FA">
            <w:pPr>
              <w:rPr>
                <w:rFonts w:ascii="仿宋" w:hAnsi="仿宋" w:cs="仿宋"/>
              </w:rPr>
            </w:pPr>
            <w:r>
              <w:rPr>
                <w:rFonts w:hint="eastAsia" w:ascii="仿宋" w:hAnsi="仿宋" w:cs="仿宋"/>
              </w:rPr>
              <w:t>(15)支持页面代码块嵌入。</w:t>
            </w:r>
          </w:p>
          <w:p w14:paraId="3D219E33">
            <w:pPr>
              <w:rPr>
                <w:rFonts w:ascii="仿宋" w:hAnsi="仿宋" w:cs="仿宋"/>
              </w:rPr>
            </w:pPr>
            <w:r>
              <w:rPr>
                <w:rFonts w:hint="eastAsia" w:ascii="仿宋" w:hAnsi="仿宋" w:cs="仿宋"/>
              </w:rPr>
              <w:t>(16)支持添加新手引导图片。</w:t>
            </w:r>
          </w:p>
          <w:p w14:paraId="4F0A99B9">
            <w:pPr>
              <w:rPr>
                <w:rFonts w:ascii="仿宋" w:hAnsi="仿宋" w:cs="仿宋"/>
              </w:rPr>
            </w:pPr>
            <w:r>
              <w:rPr>
                <w:rFonts w:hint="eastAsia" w:ascii="仿宋" w:hAnsi="仿宋" w:cs="仿宋"/>
              </w:rPr>
              <w:t>(17)支持数据敏感词审核。</w:t>
            </w:r>
          </w:p>
        </w:tc>
      </w:tr>
      <w:tr w14:paraId="5A2A6E7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273" w:hRule="atLeast"/>
        </w:trPr>
        <w:tc>
          <w:tcPr>
            <w:tcW w:w="557" w:type="pct"/>
            <w:vMerge w:val="continue"/>
            <w:tcBorders>
              <w:left w:val="single" w:color="auto" w:sz="4" w:space="0"/>
              <w:bottom w:val="single" w:color="000000" w:sz="4" w:space="0"/>
              <w:right w:val="single" w:color="000000" w:sz="4" w:space="0"/>
            </w:tcBorders>
            <w:shd w:val="clear" w:color="auto" w:fill="auto"/>
            <w:noWrap/>
            <w:vAlign w:val="center"/>
          </w:tcPr>
          <w:p w14:paraId="7B9BB949">
            <w:pPr>
              <w:jc w:val="center"/>
              <w:rPr>
                <w:rFonts w:ascii="仿宋" w:hAnsi="仿宋" w:cs="仿宋"/>
              </w:rPr>
            </w:pPr>
          </w:p>
        </w:tc>
        <w:tc>
          <w:tcPr>
            <w:tcW w:w="464" w:type="pct"/>
            <w:tcBorders>
              <w:top w:val="single" w:color="auto" w:sz="4" w:space="0"/>
              <w:left w:val="single" w:color="000000" w:sz="4" w:space="0"/>
              <w:bottom w:val="single" w:color="000000" w:sz="4" w:space="0"/>
              <w:right w:val="single" w:color="000000" w:sz="4" w:space="0"/>
            </w:tcBorders>
            <w:shd w:val="clear" w:color="auto" w:fill="auto"/>
            <w:vAlign w:val="center"/>
          </w:tcPr>
          <w:p w14:paraId="05510DA3">
            <w:pPr>
              <w:jc w:val="center"/>
              <w:rPr>
                <w:rFonts w:ascii="仿宋" w:hAnsi="仿宋" w:cs="仿宋"/>
              </w:rPr>
            </w:pPr>
            <w:r>
              <w:rPr>
                <w:rFonts w:hint="eastAsia" w:ascii="仿宋" w:hAnsi="仿宋" w:cs="仿宋"/>
              </w:rPr>
              <w:t>2.3</w:t>
            </w:r>
          </w:p>
          <w:p w14:paraId="04874397">
            <w:pPr>
              <w:jc w:val="center"/>
              <w:rPr>
                <w:rFonts w:ascii="仿宋" w:hAnsi="仿宋" w:cs="仿宋"/>
              </w:rPr>
            </w:pPr>
            <w:r>
              <w:rPr>
                <w:rFonts w:hint="eastAsia" w:ascii="仿宋" w:hAnsi="仿宋" w:cs="仿宋"/>
              </w:rPr>
              <w:t>网站编辑</w:t>
            </w:r>
          </w:p>
        </w:tc>
        <w:tc>
          <w:tcPr>
            <w:tcW w:w="3977" w:type="pct"/>
            <w:tcBorders>
              <w:top w:val="single" w:color="000000" w:sz="4" w:space="0"/>
              <w:left w:val="single" w:color="000000" w:sz="4" w:space="0"/>
              <w:bottom w:val="single" w:color="000000" w:sz="4" w:space="0"/>
            </w:tcBorders>
            <w:shd w:val="clear" w:color="auto" w:fill="auto"/>
            <w:vAlign w:val="center"/>
          </w:tcPr>
          <w:p w14:paraId="224AA2B4">
            <w:pPr>
              <w:rPr>
                <w:rFonts w:ascii="仿宋" w:hAnsi="仿宋" w:cs="仿宋"/>
              </w:rPr>
            </w:pPr>
            <w:r>
              <w:rPr>
                <w:rFonts w:hint="eastAsia" w:ascii="仿宋" w:hAnsi="仿宋" w:cs="仿宋"/>
              </w:rPr>
              <w:t>(1)色调设置：自定义网站主题颜色，分别设置基础模块的颜色、形状、粗细等自定义样式，设置一个或多个网页背景元素。</w:t>
            </w:r>
          </w:p>
          <w:p w14:paraId="74DD5C3B">
            <w:pPr>
              <w:rPr>
                <w:rFonts w:ascii="仿宋" w:hAnsi="仿宋" w:cs="仿宋"/>
              </w:rPr>
            </w:pPr>
            <w:r>
              <w:rPr>
                <w:rFonts w:hint="eastAsia" w:ascii="仿宋" w:hAnsi="仿宋" w:cs="仿宋"/>
              </w:rPr>
              <w:t>(2)模块工具：门户支持添加和设置应用基础模块，包含图标列表、图文列表、轮播图、多图列表、搜索、文本列表、图表、表格、搜索列表、文本、图片、按钮、视频、搜索条、天气、日期、插件、IP、地图等多种基础模块，用以生成网站应用模块和页面，满足绝大部分网站内容的展现形式。</w:t>
            </w:r>
          </w:p>
          <w:p w14:paraId="2515C0FC">
            <w:pPr>
              <w:rPr>
                <w:rFonts w:ascii="仿宋" w:hAnsi="仿宋" w:cs="仿宋"/>
              </w:rPr>
            </w:pPr>
            <w:r>
              <w:rPr>
                <w:rFonts w:hint="eastAsia" w:ascii="仿宋" w:hAnsi="仿宋" w:cs="仿宋"/>
              </w:rPr>
              <w:t>(3)网站模板：支持将自主设计的网站设为单位内模板，模板可以被复用。</w:t>
            </w:r>
          </w:p>
          <w:p w14:paraId="5F9E575B">
            <w:pPr>
              <w:rPr>
                <w:rFonts w:ascii="仿宋" w:hAnsi="仿宋" w:cs="仿宋"/>
              </w:rPr>
            </w:pPr>
            <w:r>
              <w:rPr>
                <w:rFonts w:hint="eastAsia" w:ascii="仿宋" w:hAnsi="仿宋" w:cs="仿宋"/>
              </w:rPr>
              <w:t>(4)自适应性：门户网站首页面适用于pc展示和移动端展示。</w:t>
            </w:r>
          </w:p>
          <w:p w14:paraId="22B324F9">
            <w:pPr>
              <w:rPr>
                <w:rFonts w:ascii="仿宋" w:hAnsi="仿宋" w:cs="仿宋"/>
              </w:rPr>
            </w:pPr>
            <w:r>
              <w:rPr>
                <w:rFonts w:hint="eastAsia" w:ascii="仿宋" w:hAnsi="仿宋" w:cs="仿宋"/>
              </w:rPr>
              <w:t>(5)创建门户：支持创建单个或多个网站，自定义网站名称和域名。</w:t>
            </w:r>
          </w:p>
          <w:p w14:paraId="0129DB76">
            <w:pPr>
              <w:rPr>
                <w:rFonts w:ascii="仿宋" w:hAnsi="仿宋" w:cs="仿宋"/>
              </w:rPr>
            </w:pPr>
            <w:r>
              <w:rPr>
                <w:rFonts w:hint="eastAsia" w:ascii="仿宋" w:hAnsi="仿宋" w:cs="仿宋"/>
              </w:rPr>
              <w:t>(6)网页模板：提供多种网页模板，选择模板后可快速生新网站。</w:t>
            </w:r>
          </w:p>
          <w:p w14:paraId="10523173">
            <w:pPr>
              <w:rPr>
                <w:rFonts w:ascii="仿宋" w:hAnsi="仿宋" w:cs="仿宋"/>
              </w:rPr>
            </w:pPr>
            <w:r>
              <w:rPr>
                <w:rFonts w:hint="eastAsia" w:ascii="仿宋" w:hAnsi="仿宋" w:cs="仿宋"/>
              </w:rPr>
              <w:t>(7)支持自定义网站主题颜色，统一页面上的应用、图标等相关视觉元素，便捷美观。</w:t>
            </w:r>
          </w:p>
          <w:p w14:paraId="68B3AFF1">
            <w:pPr>
              <w:rPr>
                <w:rFonts w:ascii="仿宋" w:hAnsi="仿宋" w:cs="仿宋"/>
              </w:rPr>
            </w:pPr>
            <w:r>
              <w:rPr>
                <w:rFonts w:hint="eastAsia" w:ascii="仿宋" w:hAnsi="仿宋" w:cs="仿宋"/>
              </w:rPr>
              <w:t>(7)布局设置：门户支持设置全局模块，包含头部、全局轮播图、底部、飘窗、快捷入口等模块，支持隐藏或开启全局模块。</w:t>
            </w:r>
          </w:p>
          <w:p w14:paraId="2ED27936">
            <w:pPr>
              <w:rPr>
                <w:rFonts w:ascii="仿宋" w:hAnsi="仿宋" w:cs="仿宋"/>
              </w:rPr>
            </w:pPr>
            <w:r>
              <w:rPr>
                <w:rFonts w:hint="eastAsia" w:ascii="仿宋" w:hAnsi="仿宋" w:cs="仿宋"/>
              </w:rPr>
              <w:t>(8)编辑方式：可视化页面设计后台，支持拖拽式布局管理，各应用模块自由调整。</w:t>
            </w:r>
          </w:p>
          <w:p w14:paraId="32BC3D5F">
            <w:pPr>
              <w:rPr>
                <w:rFonts w:ascii="仿宋" w:hAnsi="仿宋" w:cs="仿宋"/>
              </w:rPr>
            </w:pPr>
            <w:r>
              <w:rPr>
                <w:rFonts w:hint="eastAsia" w:ascii="仿宋" w:hAnsi="仿宋" w:cs="仿宋"/>
              </w:rPr>
              <w:t>(9)高级设置：支持设置网站访问权限、网站IP白名单、管理员编辑权限；支持设定网站下线时间段、网站置灰；支持设定代码嵌入，可以将智能客服等服务工具嵌入到门户网站中。</w:t>
            </w:r>
          </w:p>
          <w:p w14:paraId="78B1FE53">
            <w:pPr>
              <w:rPr>
                <w:rFonts w:ascii="仿宋" w:hAnsi="仿宋" w:cs="仿宋"/>
              </w:rPr>
            </w:pPr>
            <w:r>
              <w:rPr>
                <w:rFonts w:hint="eastAsia" w:ascii="仿宋" w:hAnsi="仿宋" w:cs="仿宋"/>
              </w:rPr>
              <w:t>(10)操作日志：记录网站操作记录，包括：操作人姓名、操作、详情、操作时间、IP地址。</w:t>
            </w:r>
          </w:p>
        </w:tc>
      </w:tr>
      <w:tr w14:paraId="105EAD8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20" w:hRule="atLeast"/>
        </w:trPr>
        <w:tc>
          <w:tcPr>
            <w:tcW w:w="557" w:type="pct"/>
            <w:vMerge w:val="restart"/>
            <w:tcBorders>
              <w:top w:val="single" w:color="auto" w:sz="4" w:space="0"/>
              <w:left w:val="single" w:color="auto" w:sz="4" w:space="0"/>
              <w:right w:val="single" w:color="000000" w:sz="4" w:space="0"/>
            </w:tcBorders>
            <w:shd w:val="clear" w:color="auto" w:fill="auto"/>
            <w:noWrap/>
            <w:vAlign w:val="center"/>
          </w:tcPr>
          <w:p w14:paraId="307CEEB9">
            <w:pPr>
              <w:jc w:val="center"/>
              <w:rPr>
                <w:rFonts w:ascii="仿宋" w:hAnsi="仿宋" w:cs="仿宋"/>
              </w:rPr>
            </w:pPr>
          </w:p>
          <w:p w14:paraId="757FD534">
            <w:pPr>
              <w:jc w:val="center"/>
              <w:rPr>
                <w:rFonts w:ascii="仿宋" w:hAnsi="仿宋" w:cs="仿宋"/>
              </w:rPr>
            </w:pPr>
          </w:p>
          <w:p w14:paraId="63808E94">
            <w:pPr>
              <w:jc w:val="center"/>
              <w:rPr>
                <w:rFonts w:ascii="仿宋" w:hAnsi="仿宋" w:cs="仿宋"/>
              </w:rPr>
            </w:pPr>
          </w:p>
          <w:p w14:paraId="37D913D8">
            <w:pPr>
              <w:jc w:val="center"/>
              <w:rPr>
                <w:rFonts w:ascii="仿宋" w:hAnsi="仿宋" w:cs="仿宋"/>
              </w:rPr>
            </w:pPr>
          </w:p>
          <w:p w14:paraId="5CDBDE65">
            <w:pPr>
              <w:jc w:val="center"/>
              <w:rPr>
                <w:rFonts w:ascii="仿宋" w:hAnsi="仿宋" w:cs="仿宋"/>
              </w:rPr>
            </w:pPr>
          </w:p>
          <w:p w14:paraId="53AB8E44">
            <w:pPr>
              <w:jc w:val="center"/>
              <w:rPr>
                <w:rFonts w:ascii="仿宋" w:hAnsi="仿宋" w:cs="仿宋"/>
              </w:rPr>
            </w:pPr>
          </w:p>
          <w:p w14:paraId="4E84BB6A">
            <w:pPr>
              <w:jc w:val="center"/>
              <w:rPr>
                <w:rFonts w:ascii="仿宋" w:hAnsi="仿宋" w:cs="仿宋"/>
              </w:rPr>
            </w:pPr>
          </w:p>
          <w:p w14:paraId="25E0E2DA">
            <w:pPr>
              <w:jc w:val="center"/>
              <w:rPr>
                <w:rFonts w:ascii="仿宋" w:hAnsi="仿宋" w:cs="仿宋"/>
              </w:rPr>
            </w:pPr>
          </w:p>
          <w:p w14:paraId="5A6AC43C">
            <w:pPr>
              <w:jc w:val="center"/>
              <w:rPr>
                <w:rFonts w:ascii="仿宋" w:hAnsi="仿宋" w:cs="仿宋"/>
              </w:rPr>
            </w:pPr>
            <w:r>
              <w:rPr>
                <w:rFonts w:hint="eastAsia" w:ascii="仿宋" w:hAnsi="仿宋" w:cs="仿宋"/>
              </w:rPr>
              <w:t>3、</w:t>
            </w:r>
          </w:p>
          <w:p w14:paraId="6C30E415">
            <w:pPr>
              <w:jc w:val="center"/>
              <w:rPr>
                <w:rFonts w:ascii="仿宋" w:hAnsi="仿宋" w:cs="仿宋"/>
              </w:rPr>
            </w:pPr>
            <w:r>
              <w:rPr>
                <w:rFonts w:hint="eastAsia" w:ascii="仿宋" w:hAnsi="仿宋" w:cs="仿宋"/>
              </w:rPr>
              <w:t>招生管理</w:t>
            </w:r>
          </w:p>
        </w:tc>
        <w:tc>
          <w:tcPr>
            <w:tcW w:w="464" w:type="pct"/>
            <w:tcBorders>
              <w:top w:val="single" w:color="auto" w:sz="4" w:space="0"/>
              <w:left w:val="single" w:color="000000" w:sz="4" w:space="0"/>
              <w:bottom w:val="single" w:color="auto" w:sz="4" w:space="0"/>
              <w:right w:val="single" w:color="000000" w:sz="4" w:space="0"/>
            </w:tcBorders>
            <w:shd w:val="clear" w:color="auto" w:fill="auto"/>
            <w:vAlign w:val="center"/>
          </w:tcPr>
          <w:p w14:paraId="66388FDB">
            <w:pPr>
              <w:jc w:val="center"/>
              <w:rPr>
                <w:rFonts w:ascii="仿宋" w:hAnsi="仿宋" w:cs="仿宋"/>
              </w:rPr>
            </w:pPr>
            <w:r>
              <w:rPr>
                <w:rFonts w:hint="eastAsia" w:ascii="仿宋" w:hAnsi="仿宋" w:cs="仿宋"/>
              </w:rPr>
              <w:t>3.1</w:t>
            </w:r>
          </w:p>
          <w:p w14:paraId="4DA892B8">
            <w:pPr>
              <w:jc w:val="center"/>
              <w:rPr>
                <w:rFonts w:ascii="仿宋" w:hAnsi="仿宋" w:cs="仿宋"/>
              </w:rPr>
            </w:pPr>
            <w:r>
              <w:rPr>
                <w:rFonts w:hint="eastAsia" w:ascii="仿宋" w:hAnsi="仿宋" w:cs="仿宋"/>
                <w:color w:val="000000"/>
                <w:kern w:val="0"/>
                <w:lang w:bidi="ar"/>
              </w:rPr>
              <w:t>总体需求</w:t>
            </w:r>
          </w:p>
        </w:tc>
        <w:tc>
          <w:tcPr>
            <w:tcW w:w="3977" w:type="pct"/>
            <w:tcBorders>
              <w:top w:val="single" w:color="000000" w:sz="4" w:space="0"/>
              <w:left w:val="single" w:color="000000" w:sz="4" w:space="0"/>
              <w:bottom w:val="single" w:color="auto" w:sz="4" w:space="0"/>
            </w:tcBorders>
            <w:shd w:val="clear" w:color="auto" w:fill="auto"/>
            <w:vAlign w:val="center"/>
          </w:tcPr>
          <w:p w14:paraId="6B454DAC">
            <w:pPr>
              <w:rPr>
                <w:rFonts w:ascii="仿宋" w:hAnsi="仿宋" w:cs="仿宋"/>
              </w:rPr>
            </w:pPr>
            <w:r>
              <w:rPr>
                <w:rFonts w:hint="eastAsia" w:ascii="仿宋" w:hAnsi="仿宋" w:cs="仿宋"/>
              </w:rPr>
              <w:t>实现招生线上全流程应用，升级加强预招生管理模式，同时可提供考前辅导作为辅助支撑：增加录取管理，录取环节的计划智能调平，录取信息管理，编班编学号等功能。</w:t>
            </w:r>
          </w:p>
        </w:tc>
      </w:tr>
      <w:tr w14:paraId="1646D83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45" w:hRule="atLeast"/>
        </w:trPr>
        <w:tc>
          <w:tcPr>
            <w:tcW w:w="557" w:type="pct"/>
            <w:vMerge w:val="continue"/>
            <w:tcBorders>
              <w:left w:val="single" w:color="auto" w:sz="4" w:space="0"/>
              <w:right w:val="single" w:color="000000" w:sz="4" w:space="0"/>
            </w:tcBorders>
            <w:shd w:val="clear" w:color="auto" w:fill="auto"/>
            <w:noWrap/>
            <w:vAlign w:val="center"/>
          </w:tcPr>
          <w:p w14:paraId="776F6BD7">
            <w:pPr>
              <w:jc w:val="center"/>
              <w:rPr>
                <w:rFonts w:ascii="仿宋" w:hAnsi="仿宋" w:cs="仿宋"/>
              </w:rPr>
            </w:pPr>
          </w:p>
        </w:tc>
        <w:tc>
          <w:tcPr>
            <w:tcW w:w="464" w:type="pct"/>
            <w:tcBorders>
              <w:top w:val="single" w:color="auto" w:sz="4" w:space="0"/>
              <w:left w:val="single" w:color="000000" w:sz="4" w:space="0"/>
              <w:bottom w:val="single" w:color="auto" w:sz="4" w:space="0"/>
              <w:right w:val="single" w:color="000000" w:sz="4" w:space="0"/>
            </w:tcBorders>
            <w:shd w:val="clear" w:color="auto" w:fill="auto"/>
            <w:vAlign w:val="center"/>
          </w:tcPr>
          <w:p w14:paraId="72420541">
            <w:pPr>
              <w:jc w:val="center"/>
              <w:rPr>
                <w:rFonts w:ascii="仿宋" w:hAnsi="仿宋" w:cs="仿宋"/>
              </w:rPr>
            </w:pPr>
            <w:r>
              <w:rPr>
                <w:rFonts w:hint="eastAsia" w:ascii="仿宋" w:hAnsi="仿宋" w:cs="仿宋"/>
              </w:rPr>
              <w:t>3.2</w:t>
            </w:r>
          </w:p>
          <w:p w14:paraId="4C0B26A5">
            <w:pPr>
              <w:jc w:val="center"/>
              <w:rPr>
                <w:rFonts w:ascii="仿宋" w:hAnsi="仿宋" w:cs="仿宋"/>
              </w:rPr>
            </w:pPr>
            <w:r>
              <w:rPr>
                <w:rFonts w:hint="eastAsia" w:ascii="仿宋" w:hAnsi="仿宋" w:cs="仿宋"/>
              </w:rPr>
              <w:t>招生设置</w:t>
            </w:r>
          </w:p>
        </w:tc>
        <w:tc>
          <w:tcPr>
            <w:tcW w:w="3977" w:type="pct"/>
            <w:tcBorders>
              <w:top w:val="single" w:color="auto" w:sz="4" w:space="0"/>
              <w:left w:val="single" w:color="000000" w:sz="4" w:space="0"/>
              <w:bottom w:val="single" w:color="auto" w:sz="4" w:space="0"/>
            </w:tcBorders>
            <w:shd w:val="clear" w:color="auto" w:fill="auto"/>
            <w:vAlign w:val="center"/>
          </w:tcPr>
          <w:p w14:paraId="45C033DC">
            <w:pPr>
              <w:rPr>
                <w:rFonts w:ascii="仿宋" w:hAnsi="仿宋" w:cs="仿宋"/>
              </w:rPr>
            </w:pPr>
            <w:r>
              <w:rPr>
                <w:rFonts w:hint="eastAsia" w:ascii="仿宋" w:hAnsi="仿宋" w:cs="仿宋"/>
              </w:rPr>
              <w:t>(1)支持自定义设置招生报名模板。</w:t>
            </w:r>
          </w:p>
          <w:p w14:paraId="1B3374F5">
            <w:pPr>
              <w:rPr>
                <w:rFonts w:ascii="仿宋" w:hAnsi="仿宋" w:cs="仿宋"/>
              </w:rPr>
            </w:pPr>
            <w:r>
              <w:rPr>
                <w:rFonts w:hint="eastAsia" w:ascii="仿宋" w:hAnsi="仿宋" w:cs="仿宋"/>
              </w:rPr>
              <w:t>(2)支持对招生流程的自定义设置，包含设置是否需要申报招生计划、招生计划是否限制招生人数等。</w:t>
            </w:r>
          </w:p>
          <w:p w14:paraId="04E2B213">
            <w:pPr>
              <w:rPr>
                <w:rFonts w:ascii="仿宋" w:hAnsi="仿宋" w:cs="仿宋"/>
              </w:rPr>
            </w:pPr>
            <w:r>
              <w:rPr>
                <w:rFonts w:hint="eastAsia" w:ascii="仿宋" w:hAnsi="仿宋" w:cs="仿宋"/>
              </w:rPr>
              <w:t>(3)支持自定义设置招生批量导入模板。</w:t>
            </w:r>
          </w:p>
          <w:p w14:paraId="7F70EA1B">
            <w:pPr>
              <w:rPr>
                <w:rFonts w:ascii="仿宋" w:hAnsi="仿宋" w:cs="仿宋"/>
              </w:rPr>
            </w:pPr>
            <w:r>
              <w:rPr>
                <w:rFonts w:hint="eastAsia" w:ascii="仿宋" w:hAnsi="仿宋" w:cs="仿宋"/>
              </w:rPr>
              <w:t>(4)支持自定义招生逻辑，包含报名成功后是否生成账号、是否允许学生重复报名、重复导入信息是否自动更新等。</w:t>
            </w:r>
          </w:p>
          <w:p w14:paraId="6E8429FF">
            <w:pPr>
              <w:rPr>
                <w:rFonts w:ascii="仿宋" w:hAnsi="仿宋" w:cs="仿宋"/>
              </w:rPr>
            </w:pPr>
            <w:r>
              <w:rPr>
                <w:rFonts w:hint="eastAsia" w:ascii="仿宋" w:hAnsi="仿宋" w:cs="仿宋"/>
              </w:rPr>
              <w:t>(5)支持学生报名页面自定义设置，可以添加多标签页，每页字段通过拖拽方式进行配置，提供字段词典供其选配；具备对手机号验证、报名须知、报名二维码进行配置的权限。</w:t>
            </w:r>
          </w:p>
        </w:tc>
      </w:tr>
      <w:tr w14:paraId="6964565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225" w:hRule="atLeast"/>
        </w:trPr>
        <w:tc>
          <w:tcPr>
            <w:tcW w:w="557" w:type="pct"/>
            <w:vMerge w:val="continue"/>
            <w:tcBorders>
              <w:left w:val="single" w:color="auto" w:sz="4" w:space="0"/>
              <w:right w:val="single" w:color="000000" w:sz="4" w:space="0"/>
            </w:tcBorders>
            <w:shd w:val="clear" w:color="auto" w:fill="auto"/>
            <w:noWrap/>
            <w:vAlign w:val="center"/>
          </w:tcPr>
          <w:p w14:paraId="49524096">
            <w:pPr>
              <w:jc w:val="center"/>
              <w:rPr>
                <w:rFonts w:ascii="仿宋" w:hAnsi="仿宋" w:cs="仿宋"/>
              </w:rPr>
            </w:pPr>
          </w:p>
        </w:tc>
        <w:tc>
          <w:tcPr>
            <w:tcW w:w="464" w:type="pct"/>
            <w:tcBorders>
              <w:top w:val="single" w:color="auto" w:sz="4" w:space="0"/>
              <w:left w:val="single" w:color="000000" w:sz="4" w:space="0"/>
              <w:bottom w:val="single" w:color="auto" w:sz="4" w:space="0"/>
              <w:right w:val="single" w:color="000000" w:sz="4" w:space="0"/>
            </w:tcBorders>
            <w:shd w:val="clear" w:color="auto" w:fill="auto"/>
            <w:vAlign w:val="center"/>
          </w:tcPr>
          <w:p w14:paraId="7BA5A181">
            <w:pPr>
              <w:jc w:val="center"/>
              <w:rPr>
                <w:rFonts w:ascii="仿宋" w:hAnsi="仿宋" w:cs="仿宋"/>
              </w:rPr>
            </w:pPr>
            <w:r>
              <w:rPr>
                <w:rFonts w:hint="eastAsia" w:ascii="仿宋" w:hAnsi="仿宋" w:cs="仿宋"/>
              </w:rPr>
              <w:t>3.2</w:t>
            </w:r>
          </w:p>
          <w:p w14:paraId="46667906">
            <w:pPr>
              <w:jc w:val="center"/>
              <w:rPr>
                <w:rFonts w:ascii="仿宋" w:hAnsi="仿宋" w:cs="仿宋"/>
              </w:rPr>
            </w:pPr>
            <w:r>
              <w:rPr>
                <w:rFonts w:hint="eastAsia" w:ascii="仿宋" w:hAnsi="仿宋" w:cs="仿宋"/>
              </w:rPr>
              <w:t>招生计划设置</w:t>
            </w:r>
          </w:p>
        </w:tc>
        <w:tc>
          <w:tcPr>
            <w:tcW w:w="3977" w:type="pct"/>
            <w:tcBorders>
              <w:top w:val="single" w:color="auto" w:sz="4" w:space="0"/>
              <w:left w:val="single" w:color="000000" w:sz="4" w:space="0"/>
              <w:bottom w:val="single" w:color="auto" w:sz="4" w:space="0"/>
            </w:tcBorders>
            <w:shd w:val="clear" w:color="auto" w:fill="auto"/>
            <w:vAlign w:val="center"/>
          </w:tcPr>
          <w:p w14:paraId="3249C569">
            <w:pPr>
              <w:rPr>
                <w:rFonts w:ascii="仿宋" w:hAnsi="仿宋" w:cs="仿宋"/>
              </w:rPr>
            </w:pPr>
            <w:r>
              <w:rPr>
                <w:rFonts w:hint="eastAsia" w:ascii="仿宋" w:hAnsi="仿宋" w:cs="仿宋"/>
              </w:rPr>
              <w:t>(1)设置招生的学生年级、招生起止时间、学生报名时间、招生计划申请时间等信息。</w:t>
            </w:r>
          </w:p>
          <w:p w14:paraId="074B6B09">
            <w:pPr>
              <w:rPr>
                <w:rFonts w:ascii="仿宋" w:hAnsi="仿宋" w:cs="仿宋"/>
              </w:rPr>
            </w:pPr>
            <w:r>
              <w:rPr>
                <w:rFonts w:hint="eastAsia" w:ascii="仿宋" w:hAnsi="仿宋" w:cs="仿宋"/>
              </w:rPr>
              <w:t>(2)招生计划设置后，需设置下发专业、层次、学习形式等信息，后续招生报名会验证下发的专业，非下发专业无法报名。</w:t>
            </w:r>
          </w:p>
          <w:p w14:paraId="2E29BBEF">
            <w:pPr>
              <w:rPr>
                <w:rFonts w:ascii="仿宋" w:hAnsi="仿宋" w:cs="仿宋"/>
              </w:rPr>
            </w:pPr>
            <w:r>
              <w:rPr>
                <w:rFonts w:hint="eastAsia" w:ascii="仿宋" w:hAnsi="仿宋" w:cs="仿宋"/>
              </w:rPr>
              <w:t>(3)招生计划申报。教学点按照专业申报招生计划，需申报各学习形式招生人数，设置报考专业科类，支持单条或批量进行申报提交。</w:t>
            </w:r>
          </w:p>
          <w:p w14:paraId="3437B392">
            <w:pPr>
              <w:rPr>
                <w:rFonts w:ascii="仿宋" w:hAnsi="仿宋" w:cs="仿宋"/>
              </w:rPr>
            </w:pPr>
            <w:r>
              <w:rPr>
                <w:rFonts w:hint="eastAsia" w:ascii="仿宋" w:hAnsi="仿宋" w:cs="仿宋"/>
              </w:rPr>
              <w:t>(4)招生计划审核。总站审核教学点申报的教学计划，支持批量审核、批量撤回审核等操作。</w:t>
            </w:r>
          </w:p>
        </w:tc>
      </w:tr>
      <w:tr w14:paraId="25D7F7B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75" w:hRule="atLeast"/>
        </w:trPr>
        <w:tc>
          <w:tcPr>
            <w:tcW w:w="557" w:type="pct"/>
            <w:vMerge w:val="continue"/>
            <w:tcBorders>
              <w:left w:val="single" w:color="auto" w:sz="4" w:space="0"/>
              <w:right w:val="single" w:color="000000" w:sz="4" w:space="0"/>
            </w:tcBorders>
            <w:shd w:val="clear" w:color="auto" w:fill="auto"/>
            <w:noWrap/>
            <w:vAlign w:val="center"/>
          </w:tcPr>
          <w:p w14:paraId="59886085">
            <w:pPr>
              <w:jc w:val="center"/>
              <w:rPr>
                <w:rFonts w:ascii="仿宋" w:hAnsi="仿宋" w:cs="仿宋"/>
              </w:rPr>
            </w:pPr>
          </w:p>
        </w:tc>
        <w:tc>
          <w:tcPr>
            <w:tcW w:w="464" w:type="pct"/>
            <w:tcBorders>
              <w:top w:val="single" w:color="auto" w:sz="4" w:space="0"/>
              <w:left w:val="single" w:color="000000" w:sz="4" w:space="0"/>
              <w:bottom w:val="single" w:color="000000" w:sz="4" w:space="0"/>
              <w:right w:val="single" w:color="000000" w:sz="4" w:space="0"/>
            </w:tcBorders>
            <w:shd w:val="clear" w:color="auto" w:fill="auto"/>
            <w:vAlign w:val="center"/>
          </w:tcPr>
          <w:p w14:paraId="6AA798BA">
            <w:pPr>
              <w:jc w:val="center"/>
              <w:rPr>
                <w:rFonts w:ascii="仿宋" w:hAnsi="仿宋" w:cs="仿宋"/>
              </w:rPr>
            </w:pPr>
            <w:r>
              <w:rPr>
                <w:rFonts w:hint="eastAsia" w:ascii="仿宋" w:hAnsi="仿宋" w:cs="仿宋"/>
              </w:rPr>
              <w:t>3.3</w:t>
            </w:r>
          </w:p>
          <w:p w14:paraId="19F159A1">
            <w:pPr>
              <w:jc w:val="center"/>
              <w:rPr>
                <w:rFonts w:ascii="仿宋" w:hAnsi="仿宋" w:cs="仿宋"/>
              </w:rPr>
            </w:pPr>
            <w:r>
              <w:rPr>
                <w:rFonts w:hint="eastAsia" w:ascii="仿宋" w:hAnsi="仿宋" w:cs="仿宋"/>
              </w:rPr>
              <w:t>招生预报名管理</w:t>
            </w:r>
          </w:p>
        </w:tc>
        <w:tc>
          <w:tcPr>
            <w:tcW w:w="3977" w:type="pct"/>
            <w:tcBorders>
              <w:top w:val="single" w:color="auto" w:sz="4" w:space="0"/>
              <w:left w:val="single" w:color="000000" w:sz="4" w:space="0"/>
              <w:bottom w:val="single" w:color="000000" w:sz="4" w:space="0"/>
            </w:tcBorders>
            <w:shd w:val="clear" w:color="auto" w:fill="auto"/>
            <w:vAlign w:val="center"/>
          </w:tcPr>
          <w:p w14:paraId="2A17BE1E">
            <w:pPr>
              <w:rPr>
                <w:rFonts w:ascii="仿宋" w:hAnsi="仿宋" w:cs="仿宋"/>
              </w:rPr>
            </w:pPr>
            <w:r>
              <w:rPr>
                <w:rFonts w:hint="eastAsia" w:ascii="仿宋" w:hAnsi="仿宋" w:cs="仿宋"/>
              </w:rPr>
              <w:t>(1)预招生学生信息管理界面，包括批量导入的学生和成考报名页面报名进入的学生，支持对预报名的学生进行编辑、删除等操作。</w:t>
            </w:r>
          </w:p>
          <w:p w14:paraId="4C12A31F">
            <w:pPr>
              <w:rPr>
                <w:rFonts w:ascii="仿宋" w:hAnsi="仿宋" w:cs="仿宋"/>
              </w:rPr>
            </w:pPr>
            <w:r>
              <w:rPr>
                <w:rFonts w:hint="eastAsia" w:ascii="仿宋" w:hAnsi="仿宋" w:cs="仿宋"/>
              </w:rPr>
              <w:t>(2)考前辅导课程管理。支持新建空白网络课进行设置考前辅导资料。</w:t>
            </w:r>
          </w:p>
          <w:p w14:paraId="1A0D02F8">
            <w:pPr>
              <w:rPr>
                <w:rFonts w:ascii="仿宋" w:hAnsi="仿宋" w:cs="仿宋"/>
              </w:rPr>
            </w:pPr>
            <w:r>
              <w:rPr>
                <w:rFonts w:hint="eastAsia" w:ascii="仿宋" w:hAnsi="仿宋" w:cs="仿宋"/>
              </w:rPr>
              <w:t>(3)支持关联系统里已存在的网络课作为考前辅导资料。</w:t>
            </w:r>
          </w:p>
          <w:p w14:paraId="0A2F5A45">
            <w:pPr>
              <w:rPr>
                <w:rFonts w:ascii="仿宋" w:hAnsi="仿宋" w:cs="仿宋"/>
              </w:rPr>
            </w:pPr>
            <w:r>
              <w:rPr>
                <w:rFonts w:hint="eastAsia" w:ascii="仿宋" w:hAnsi="仿宋" w:cs="仿宋"/>
              </w:rPr>
              <w:t>(4)考前辅导学生管理。支持通过预报名选择是否参考考前辅导。</w:t>
            </w:r>
          </w:p>
          <w:p w14:paraId="3527E12F">
            <w:pPr>
              <w:rPr>
                <w:rFonts w:ascii="仿宋" w:hAnsi="仿宋" w:cs="仿宋"/>
              </w:rPr>
            </w:pPr>
            <w:r>
              <w:rPr>
                <w:rFonts w:hint="eastAsia" w:ascii="仿宋" w:hAnsi="仿宋" w:cs="仿宋"/>
              </w:rPr>
              <w:t>(5)支持自定义设置考前辅导账号是否需要审核。</w:t>
            </w:r>
          </w:p>
          <w:p w14:paraId="613FCE79">
            <w:pPr>
              <w:rPr>
                <w:rFonts w:ascii="仿宋" w:hAnsi="仿宋" w:cs="仿宋"/>
              </w:rPr>
            </w:pPr>
            <w:r>
              <w:rPr>
                <w:rFonts w:hint="eastAsia" w:ascii="仿宋" w:hAnsi="仿宋" w:cs="仿宋"/>
              </w:rPr>
              <w:t>(6)支持单独维护考前辅导学生信息，支持重置考前辅导学生密码。</w:t>
            </w:r>
          </w:p>
          <w:p w14:paraId="1282A524">
            <w:pPr>
              <w:rPr>
                <w:rFonts w:ascii="仿宋" w:hAnsi="仿宋" w:cs="仿宋"/>
              </w:rPr>
            </w:pPr>
            <w:r>
              <w:rPr>
                <w:rFonts w:hint="eastAsia" w:ascii="仿宋" w:hAnsi="仿宋" w:cs="仿宋"/>
              </w:rPr>
              <w:t>(7)支持参与考前辅导的学生通过身份证号的形式登录pc端或移动端完成考前辅导课程的学习。</w:t>
            </w:r>
          </w:p>
        </w:tc>
      </w:tr>
      <w:tr w14:paraId="22B3A83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17" w:hRule="atLeast"/>
        </w:trPr>
        <w:tc>
          <w:tcPr>
            <w:tcW w:w="557" w:type="pct"/>
            <w:vMerge w:val="continue"/>
            <w:tcBorders>
              <w:left w:val="single" w:color="auto" w:sz="4" w:space="0"/>
              <w:bottom w:val="single" w:color="auto" w:sz="4" w:space="0"/>
              <w:right w:val="single" w:color="000000" w:sz="4" w:space="0"/>
            </w:tcBorders>
            <w:shd w:val="clear" w:color="auto" w:fill="auto"/>
            <w:noWrap/>
            <w:vAlign w:val="center"/>
          </w:tcPr>
          <w:p w14:paraId="04B8085B">
            <w:pPr>
              <w:jc w:val="center"/>
              <w:rPr>
                <w:rFonts w:ascii="仿宋" w:hAnsi="仿宋" w:cs="仿宋"/>
              </w:rPr>
            </w:pPr>
          </w:p>
        </w:tc>
        <w:tc>
          <w:tcPr>
            <w:tcW w:w="464" w:type="pct"/>
            <w:tcBorders>
              <w:top w:val="single" w:color="000000" w:sz="4" w:space="0"/>
              <w:left w:val="single" w:color="000000" w:sz="4" w:space="0"/>
              <w:bottom w:val="single" w:color="auto" w:sz="4" w:space="0"/>
              <w:right w:val="single" w:color="000000" w:sz="4" w:space="0"/>
            </w:tcBorders>
            <w:shd w:val="clear" w:color="auto" w:fill="auto"/>
            <w:vAlign w:val="center"/>
          </w:tcPr>
          <w:p w14:paraId="72FE2405">
            <w:pPr>
              <w:jc w:val="center"/>
              <w:rPr>
                <w:rFonts w:ascii="仿宋" w:hAnsi="仿宋" w:cs="仿宋"/>
              </w:rPr>
            </w:pPr>
            <w:r>
              <w:rPr>
                <w:rFonts w:hint="eastAsia" w:ascii="仿宋" w:hAnsi="仿宋" w:cs="仿宋"/>
              </w:rPr>
              <w:t>3.4</w:t>
            </w:r>
          </w:p>
          <w:p w14:paraId="10F5EE5A">
            <w:pPr>
              <w:jc w:val="center"/>
              <w:rPr>
                <w:rFonts w:ascii="仿宋" w:hAnsi="仿宋" w:cs="仿宋"/>
                <w:highlight w:val="yellow"/>
              </w:rPr>
            </w:pPr>
            <w:r>
              <w:rPr>
                <w:rFonts w:hint="eastAsia" w:ascii="仿宋" w:hAnsi="仿宋" w:cs="仿宋"/>
              </w:rPr>
              <w:t>实名认证管理</w:t>
            </w:r>
          </w:p>
        </w:tc>
        <w:tc>
          <w:tcPr>
            <w:tcW w:w="3977" w:type="pct"/>
            <w:tcBorders>
              <w:top w:val="single" w:color="000000" w:sz="4" w:space="0"/>
              <w:left w:val="single" w:color="000000" w:sz="4" w:space="0"/>
              <w:bottom w:val="single" w:color="auto" w:sz="4" w:space="0"/>
            </w:tcBorders>
            <w:shd w:val="clear" w:color="auto" w:fill="auto"/>
            <w:vAlign w:val="center"/>
          </w:tcPr>
          <w:p w14:paraId="7F7365CC">
            <w:pPr>
              <w:rPr>
                <w:rFonts w:ascii="仿宋" w:hAnsi="仿宋" w:cs="仿宋"/>
                <w:highlight w:val="yellow"/>
              </w:rPr>
            </w:pPr>
            <w:r>
              <w:rPr>
                <w:rFonts w:hint="eastAsia" w:ascii="仿宋" w:hAnsi="仿宋" w:cs="仿宋"/>
              </w:rPr>
              <w:t>在招生环节具有新生实名认证功能，能够对学生信息根据身份证号和学号进行唯一性判定，判定范围可设置；能够采用人脸识别功能对学生身份进行核实并进行信息核对。实名认证不通过的学生限制其缴费或学习，限制项可定制。实名认证后的学生经其本人授权后可关联微信公众号，可通过公众号接收信息，未绑定公众号的学生将能进行平台功能的限制操作。</w:t>
            </w:r>
          </w:p>
        </w:tc>
      </w:tr>
      <w:tr w14:paraId="1D2FB2C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43" w:hRule="atLeast"/>
        </w:trPr>
        <w:tc>
          <w:tcPr>
            <w:tcW w:w="557" w:type="pct"/>
            <w:vMerge w:val="restart"/>
            <w:tcBorders>
              <w:top w:val="single" w:color="auto" w:sz="4" w:space="0"/>
              <w:left w:val="single" w:color="auto" w:sz="4" w:space="0"/>
              <w:right w:val="single" w:color="auto" w:sz="4" w:space="0"/>
            </w:tcBorders>
            <w:shd w:val="clear" w:color="auto" w:fill="auto"/>
            <w:noWrap/>
            <w:vAlign w:val="center"/>
          </w:tcPr>
          <w:p w14:paraId="702DE209">
            <w:pPr>
              <w:jc w:val="center"/>
              <w:rPr>
                <w:rFonts w:ascii="仿宋" w:hAnsi="仿宋" w:cs="仿宋"/>
              </w:rPr>
            </w:pPr>
            <w:r>
              <w:rPr>
                <w:rFonts w:hint="eastAsia" w:ascii="仿宋" w:hAnsi="仿宋" w:cs="仿宋"/>
              </w:rPr>
              <w:t>4、</w:t>
            </w:r>
          </w:p>
          <w:p w14:paraId="7F514CC3">
            <w:pPr>
              <w:jc w:val="center"/>
              <w:rPr>
                <w:rFonts w:ascii="仿宋" w:hAnsi="仿宋" w:cs="仿宋"/>
              </w:rPr>
            </w:pPr>
            <w:r>
              <w:rPr>
                <w:rFonts w:hint="eastAsia" w:ascii="仿宋" w:hAnsi="仿宋" w:cs="仿宋"/>
              </w:rPr>
              <w:t>教师综合管理</w:t>
            </w:r>
          </w:p>
          <w:p w14:paraId="24C73935">
            <w:pPr>
              <w:jc w:val="center"/>
              <w:rPr>
                <w:rFonts w:ascii="仿宋" w:hAnsi="仿宋" w:cs="仿宋"/>
              </w:rPr>
            </w:pPr>
          </w:p>
        </w:tc>
        <w:tc>
          <w:tcPr>
            <w:tcW w:w="464" w:type="pct"/>
            <w:tcBorders>
              <w:top w:val="single" w:color="000000" w:sz="4" w:space="0"/>
              <w:left w:val="single" w:color="auto" w:sz="4" w:space="0"/>
              <w:bottom w:val="single" w:color="auto" w:sz="4" w:space="0"/>
              <w:right w:val="single" w:color="000000" w:sz="4" w:space="0"/>
            </w:tcBorders>
            <w:shd w:val="clear" w:color="auto" w:fill="auto"/>
            <w:vAlign w:val="center"/>
          </w:tcPr>
          <w:p w14:paraId="10B492DA">
            <w:pPr>
              <w:jc w:val="center"/>
              <w:rPr>
                <w:rFonts w:ascii="仿宋" w:hAnsi="仿宋" w:cs="仿宋"/>
              </w:rPr>
            </w:pPr>
            <w:r>
              <w:rPr>
                <w:rFonts w:hint="eastAsia" w:ascii="仿宋" w:hAnsi="仿宋" w:cs="仿宋"/>
              </w:rPr>
              <w:t>4.1</w:t>
            </w:r>
          </w:p>
          <w:p w14:paraId="7F619A28">
            <w:pPr>
              <w:jc w:val="center"/>
              <w:rPr>
                <w:rFonts w:ascii="仿宋" w:hAnsi="仿宋" w:cs="仿宋"/>
              </w:rPr>
            </w:pPr>
            <w:r>
              <w:rPr>
                <w:rFonts w:hint="eastAsia" w:ascii="仿宋" w:hAnsi="仿宋" w:cs="仿宋"/>
              </w:rPr>
              <w:t>教师信息管理</w:t>
            </w:r>
          </w:p>
        </w:tc>
        <w:tc>
          <w:tcPr>
            <w:tcW w:w="3977" w:type="pct"/>
            <w:tcBorders>
              <w:top w:val="single" w:color="000000" w:sz="4" w:space="0"/>
              <w:left w:val="single" w:color="000000" w:sz="4" w:space="0"/>
              <w:bottom w:val="single" w:color="auto" w:sz="4" w:space="0"/>
            </w:tcBorders>
            <w:shd w:val="clear" w:color="auto" w:fill="auto"/>
            <w:vAlign w:val="center"/>
          </w:tcPr>
          <w:p w14:paraId="535A89AE">
            <w:pPr>
              <w:rPr>
                <w:rFonts w:ascii="仿宋" w:hAnsi="仿宋" w:cs="仿宋"/>
              </w:rPr>
            </w:pPr>
            <w:r>
              <w:rPr>
                <w:rFonts w:hint="eastAsia" w:ascii="仿宋" w:hAnsi="仿宋" w:cs="仿宋"/>
              </w:rPr>
              <w:t>(1)角色名称唯一，可对角色权限进行配置维护。</w:t>
            </w:r>
          </w:p>
          <w:p w14:paraId="491CFFBB">
            <w:pPr>
              <w:rPr>
                <w:rFonts w:ascii="仿宋" w:hAnsi="仿宋" w:cs="仿宋"/>
              </w:rPr>
            </w:pPr>
            <w:r>
              <w:rPr>
                <w:rFonts w:hint="eastAsia" w:ascii="仿宋" w:hAnsi="仿宋" w:cs="仿宋"/>
              </w:rPr>
              <w:t>(2)需支持批量、单个添加教师角色，并可对教师角色进行查询和修改。</w:t>
            </w:r>
          </w:p>
          <w:p w14:paraId="697F9F8D">
            <w:pPr>
              <w:rPr>
                <w:rFonts w:ascii="仿宋" w:hAnsi="仿宋" w:cs="仿宋"/>
              </w:rPr>
            </w:pPr>
            <w:r>
              <w:rPr>
                <w:rFonts w:hint="eastAsia" w:ascii="仿宋" w:hAnsi="仿宋" w:cs="仿宋"/>
              </w:rPr>
              <w:t>(3)教师类型：包含但不限于主讲教师、辅导教师、论文指导教师、班主任等不同身份类型，同一教师可以具有多重身份，可以指导多门课程。教师类型与专业、课程关联，能够实现同一教师在不同课程中的不同身份。</w:t>
            </w:r>
          </w:p>
          <w:p w14:paraId="6D258BA7">
            <w:pPr>
              <w:rPr>
                <w:rFonts w:ascii="仿宋" w:hAnsi="仿宋" w:cs="仿宋"/>
              </w:rPr>
            </w:pPr>
            <w:r>
              <w:rPr>
                <w:rFonts w:hint="eastAsia" w:ascii="仿宋" w:hAnsi="仿宋" w:cs="仿宋"/>
              </w:rPr>
              <w:t>(4)添加教师：需支持单个或批量添加教师，教师信息字段可自定义设置，字段可设置必填或非必填类型，添加的教师可按既定规则自动生成教师编号，教师编号需唯一。</w:t>
            </w:r>
          </w:p>
          <w:p w14:paraId="5D146D4F">
            <w:pPr>
              <w:rPr>
                <w:rFonts w:ascii="仿宋" w:hAnsi="仿宋" w:cs="仿宋"/>
              </w:rPr>
            </w:pPr>
            <w:r>
              <w:rPr>
                <w:rFonts w:hint="eastAsia" w:ascii="仿宋" w:hAnsi="仿宋" w:cs="仿宋"/>
              </w:rPr>
              <w:t>(5)信息唯一：教师编号和教师身份证号需唯一，不能有多个账号，系统需支持自动查重，添加和批量导入时需进行错误信息提示，已存在的教师信息不可进行覆盖。</w:t>
            </w:r>
          </w:p>
          <w:p w14:paraId="470A5691">
            <w:pPr>
              <w:rPr>
                <w:rFonts w:ascii="仿宋" w:hAnsi="仿宋" w:cs="仿宋"/>
              </w:rPr>
            </w:pPr>
            <w:r>
              <w:rPr>
                <w:rFonts w:hint="eastAsia" w:ascii="仿宋" w:hAnsi="仿宋" w:cs="仿宋"/>
              </w:rPr>
              <w:t>(6)信息维护：支持对教师信息进行查看、分类检索、编辑、删除、审核等操作，能够维护教师的“启用/停用”等状态，能够进行教师密码重置，并能够进行教师账号的模拟登录。</w:t>
            </w:r>
          </w:p>
          <w:p w14:paraId="503330FB">
            <w:pPr>
              <w:rPr>
                <w:rFonts w:ascii="仿宋" w:hAnsi="仿宋" w:cs="仿宋"/>
              </w:rPr>
            </w:pPr>
            <w:r>
              <w:rPr>
                <w:rFonts w:hint="eastAsia" w:ascii="仿宋" w:hAnsi="仿宋" w:cs="仿宋"/>
              </w:rPr>
              <w:t>(7)账号密码管理：以教师编号、手机号、身份证号作为可选登录账号(任何一项均可登录)，教师在登录页面可以进行找回密码，登录后可以依据绑定的手机号或邮箱修改密码。</w:t>
            </w:r>
          </w:p>
        </w:tc>
      </w:tr>
      <w:tr w14:paraId="1C4847A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416" w:hRule="atLeast"/>
        </w:trPr>
        <w:tc>
          <w:tcPr>
            <w:tcW w:w="557" w:type="pct"/>
            <w:vMerge w:val="continue"/>
            <w:tcBorders>
              <w:top w:val="single" w:color="auto" w:sz="4" w:space="0"/>
              <w:left w:val="single" w:color="auto" w:sz="4" w:space="0"/>
              <w:right w:val="single" w:color="auto" w:sz="4" w:space="0"/>
            </w:tcBorders>
            <w:shd w:val="clear" w:color="auto" w:fill="auto"/>
            <w:noWrap/>
            <w:vAlign w:val="center"/>
          </w:tcPr>
          <w:p w14:paraId="12682DF5">
            <w:pPr>
              <w:jc w:val="center"/>
              <w:rPr>
                <w:rFonts w:ascii="仿宋" w:hAnsi="仿宋" w:cs="仿宋"/>
              </w:rPr>
            </w:pPr>
          </w:p>
        </w:tc>
        <w:tc>
          <w:tcPr>
            <w:tcW w:w="464" w:type="pct"/>
            <w:tcBorders>
              <w:top w:val="single" w:color="auto" w:sz="4" w:space="0"/>
              <w:left w:val="single" w:color="auto" w:sz="4" w:space="0"/>
              <w:bottom w:val="single" w:color="auto" w:sz="4" w:space="0"/>
              <w:right w:val="single" w:color="000000" w:sz="4" w:space="0"/>
            </w:tcBorders>
            <w:shd w:val="clear" w:color="auto" w:fill="auto"/>
            <w:vAlign w:val="center"/>
          </w:tcPr>
          <w:p w14:paraId="0354367E">
            <w:pPr>
              <w:jc w:val="center"/>
              <w:rPr>
                <w:rFonts w:ascii="仿宋" w:hAnsi="仿宋" w:cs="仿宋"/>
              </w:rPr>
            </w:pPr>
            <w:r>
              <w:rPr>
                <w:rFonts w:hint="eastAsia" w:ascii="仿宋" w:hAnsi="仿宋" w:cs="仿宋"/>
              </w:rPr>
              <w:t>4.2</w:t>
            </w:r>
          </w:p>
          <w:p w14:paraId="3414513A">
            <w:pPr>
              <w:jc w:val="center"/>
              <w:rPr>
                <w:rFonts w:ascii="仿宋" w:hAnsi="仿宋" w:cs="仿宋"/>
              </w:rPr>
            </w:pPr>
            <w:r>
              <w:rPr>
                <w:rFonts w:hint="eastAsia" w:ascii="仿宋" w:hAnsi="仿宋" w:cs="仿宋"/>
              </w:rPr>
              <w:t>工作量统计和酬金计算</w:t>
            </w:r>
          </w:p>
        </w:tc>
        <w:tc>
          <w:tcPr>
            <w:tcW w:w="3977" w:type="pct"/>
            <w:tcBorders>
              <w:top w:val="single" w:color="auto" w:sz="4" w:space="0"/>
              <w:left w:val="single" w:color="000000" w:sz="4" w:space="0"/>
              <w:bottom w:val="single" w:color="auto" w:sz="4" w:space="0"/>
            </w:tcBorders>
            <w:shd w:val="clear" w:color="auto" w:fill="auto"/>
            <w:vAlign w:val="center"/>
          </w:tcPr>
          <w:p w14:paraId="478AFCF0">
            <w:pPr>
              <w:rPr>
                <w:rFonts w:ascii="仿宋" w:hAnsi="仿宋" w:cs="仿宋"/>
              </w:rPr>
            </w:pPr>
            <w:r>
              <w:rPr>
                <w:rFonts w:hint="eastAsia" w:ascii="仿宋" w:hAnsi="仿宋" w:cs="仿宋"/>
              </w:rPr>
              <w:t>(1)统计各院系、各教学点教师有关信息占比数，包括总人数、学历、职称、专职教师数据和兼职教师数据等，能按学期、学年、授课年级等多维度进行统计。</w:t>
            </w:r>
          </w:p>
          <w:p w14:paraId="4602D173">
            <w:pPr>
              <w:rPr>
                <w:rFonts w:ascii="仿宋" w:hAnsi="仿宋" w:cs="仿宋"/>
              </w:rPr>
            </w:pPr>
            <w:r>
              <w:rPr>
                <w:rFonts w:hint="eastAsia" w:ascii="仿宋" w:hAnsi="仿宋" w:cs="仿宋"/>
              </w:rPr>
              <w:t>(2)支持依据教学排课和教学过程状态数据，统计出教师教学工作量，并可依据教师工作量按照酬金计算方式，系统统计出应付教师酬金，并可依据学校财务要求导出酬金发放表。</w:t>
            </w:r>
          </w:p>
        </w:tc>
      </w:tr>
      <w:tr w14:paraId="76215BA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635" w:hRule="atLeast"/>
        </w:trPr>
        <w:tc>
          <w:tcPr>
            <w:tcW w:w="55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39D936">
            <w:pPr>
              <w:jc w:val="center"/>
              <w:rPr>
                <w:rFonts w:ascii="仿宋" w:hAnsi="仿宋" w:cs="仿宋"/>
              </w:rPr>
            </w:pPr>
          </w:p>
        </w:tc>
        <w:tc>
          <w:tcPr>
            <w:tcW w:w="464" w:type="pct"/>
            <w:tcBorders>
              <w:top w:val="single" w:color="auto" w:sz="4" w:space="0"/>
              <w:left w:val="single" w:color="auto" w:sz="4" w:space="0"/>
              <w:bottom w:val="single" w:color="auto" w:sz="4" w:space="0"/>
              <w:right w:val="single" w:color="000000" w:sz="4" w:space="0"/>
            </w:tcBorders>
            <w:shd w:val="clear" w:color="auto" w:fill="auto"/>
            <w:vAlign w:val="center"/>
          </w:tcPr>
          <w:p w14:paraId="28FDA8F4">
            <w:pPr>
              <w:jc w:val="center"/>
              <w:rPr>
                <w:rFonts w:ascii="仿宋" w:hAnsi="仿宋" w:cs="仿宋"/>
              </w:rPr>
            </w:pPr>
            <w:r>
              <w:rPr>
                <w:rFonts w:hint="eastAsia" w:ascii="仿宋" w:hAnsi="仿宋" w:cs="仿宋"/>
              </w:rPr>
              <w:t>4.3</w:t>
            </w:r>
          </w:p>
          <w:p w14:paraId="4238D674">
            <w:pPr>
              <w:jc w:val="center"/>
              <w:rPr>
                <w:rFonts w:ascii="仿宋" w:hAnsi="仿宋" w:cs="仿宋"/>
              </w:rPr>
            </w:pPr>
            <w:r>
              <w:rPr>
                <w:rFonts w:hint="eastAsia" w:ascii="仿宋" w:hAnsi="仿宋" w:cs="仿宋"/>
              </w:rPr>
              <w:t>协同教学</w:t>
            </w:r>
          </w:p>
        </w:tc>
        <w:tc>
          <w:tcPr>
            <w:tcW w:w="3977" w:type="pct"/>
            <w:tcBorders>
              <w:top w:val="single" w:color="auto" w:sz="4" w:space="0"/>
              <w:left w:val="single" w:color="000000" w:sz="4" w:space="0"/>
              <w:bottom w:val="single" w:color="auto" w:sz="4" w:space="0"/>
            </w:tcBorders>
            <w:shd w:val="clear" w:color="auto" w:fill="auto"/>
            <w:vAlign w:val="center"/>
          </w:tcPr>
          <w:p w14:paraId="3B2CDF4A">
            <w:pPr>
              <w:rPr>
                <w:rFonts w:ascii="仿宋" w:hAnsi="仿宋" w:cs="仿宋"/>
              </w:rPr>
            </w:pPr>
            <w:r>
              <w:rPr>
                <w:rFonts w:hint="eastAsia" w:ascii="仿宋" w:hAnsi="仿宋" w:cs="仿宋"/>
              </w:rPr>
              <w:t>支持针对通过排课所设置的主讲教师与助教(辅导教师)建立课程教学团队，共同进入虚拟课程教学小组，实现协同教研活动功能。在小组内可进行资料共享、交互、视频会议等，团队教师也可进行点对点交流，实现主讲教师与辅导教师的协同教学。方便管理人员能快速建立课程教学团队，并进行教学团队的管理、统计和分析。</w:t>
            </w:r>
          </w:p>
        </w:tc>
      </w:tr>
      <w:tr w14:paraId="349E2FE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81" w:hRule="atLeast"/>
        </w:trPr>
        <w:tc>
          <w:tcPr>
            <w:tcW w:w="557" w:type="pct"/>
            <w:vMerge w:val="restart"/>
            <w:tcBorders>
              <w:top w:val="single" w:color="auto" w:sz="4" w:space="0"/>
              <w:left w:val="single" w:color="auto" w:sz="4" w:space="0"/>
              <w:right w:val="single" w:color="auto" w:sz="4" w:space="0"/>
            </w:tcBorders>
            <w:shd w:val="clear" w:color="auto" w:fill="auto"/>
            <w:noWrap/>
            <w:vAlign w:val="center"/>
          </w:tcPr>
          <w:p w14:paraId="33F95F3F">
            <w:pPr>
              <w:jc w:val="center"/>
              <w:rPr>
                <w:rFonts w:ascii="仿宋" w:hAnsi="仿宋" w:cs="仿宋"/>
              </w:rPr>
            </w:pPr>
            <w:r>
              <w:rPr>
                <w:rFonts w:hint="eastAsia" w:ascii="仿宋" w:hAnsi="仿宋" w:cs="仿宋"/>
              </w:rPr>
              <w:t>5、</w:t>
            </w:r>
          </w:p>
          <w:p w14:paraId="30CBBC1E">
            <w:pPr>
              <w:jc w:val="center"/>
              <w:rPr>
                <w:rFonts w:ascii="仿宋" w:hAnsi="仿宋" w:cs="仿宋"/>
              </w:rPr>
            </w:pPr>
            <w:r>
              <w:rPr>
                <w:rFonts w:hint="eastAsia" w:ascii="仿宋" w:hAnsi="仿宋" w:cs="仿宋"/>
              </w:rPr>
              <w:t>学生综合管理</w:t>
            </w:r>
          </w:p>
        </w:tc>
        <w:tc>
          <w:tcPr>
            <w:tcW w:w="464" w:type="pct"/>
            <w:tcBorders>
              <w:top w:val="single" w:color="auto" w:sz="4" w:space="0"/>
              <w:left w:val="single" w:color="auto" w:sz="4" w:space="0"/>
              <w:bottom w:val="single" w:color="auto" w:sz="4" w:space="0"/>
              <w:right w:val="single" w:color="000000" w:sz="4" w:space="0"/>
            </w:tcBorders>
            <w:shd w:val="clear" w:color="auto" w:fill="auto"/>
            <w:vAlign w:val="center"/>
          </w:tcPr>
          <w:p w14:paraId="71F922DF">
            <w:pPr>
              <w:jc w:val="center"/>
              <w:rPr>
                <w:rFonts w:ascii="仿宋" w:hAnsi="仿宋" w:cs="仿宋"/>
              </w:rPr>
            </w:pPr>
            <w:r>
              <w:rPr>
                <w:rFonts w:hint="eastAsia" w:ascii="仿宋" w:hAnsi="仿宋" w:cs="仿宋"/>
              </w:rPr>
              <w:t>5.1</w:t>
            </w:r>
          </w:p>
          <w:p w14:paraId="56E208BC">
            <w:pPr>
              <w:jc w:val="center"/>
              <w:rPr>
                <w:rFonts w:ascii="仿宋" w:hAnsi="仿宋" w:cs="仿宋"/>
              </w:rPr>
            </w:pPr>
            <w:r>
              <w:rPr>
                <w:rFonts w:hint="eastAsia" w:ascii="仿宋" w:hAnsi="仿宋" w:cs="仿宋"/>
              </w:rPr>
              <w:t>学籍预警</w:t>
            </w:r>
          </w:p>
        </w:tc>
        <w:tc>
          <w:tcPr>
            <w:tcW w:w="3977" w:type="pct"/>
            <w:tcBorders>
              <w:top w:val="single" w:color="000000" w:sz="4" w:space="0"/>
              <w:left w:val="single" w:color="000000" w:sz="4" w:space="0"/>
              <w:bottom w:val="single" w:color="auto" w:sz="4" w:space="0"/>
            </w:tcBorders>
            <w:shd w:val="clear" w:color="auto" w:fill="auto"/>
            <w:vAlign w:val="center"/>
          </w:tcPr>
          <w:p w14:paraId="01B0621C">
            <w:pPr>
              <w:rPr>
                <w:rFonts w:ascii="仿宋" w:hAnsi="仿宋" w:cs="仿宋"/>
              </w:rPr>
            </w:pPr>
            <w:r>
              <w:rPr>
                <w:rFonts w:hint="eastAsia" w:ascii="仿宋" w:hAnsi="仿宋" w:cs="仿宋"/>
              </w:rPr>
              <w:t>(1)超期预警：针对即将超期的学生，在其达到最长学习年限的前一年,学生在登陆平台后，需要弹窗提示还有一年到达最长学习年限，学生可点击忽略或不再提示，点击忽略的，在下次登陆时依旧弹出提示框，点击不再提示的视为学生已知悉相关通知政策，平台对点击不再提示的学生可记录查询。同时对即将超期学生还辅助设置手机短信、公众号发送相关通知的功能，记录可下载，对于未反馈的学生，可直接在后台申请对学生进行强制退学处理，平台会记录处理记录和处理意见。</w:t>
            </w:r>
          </w:p>
          <w:p w14:paraId="0B2A8A9D">
            <w:pPr>
              <w:rPr>
                <w:rFonts w:ascii="仿宋" w:hAnsi="仿宋" w:cs="仿宋"/>
              </w:rPr>
            </w:pPr>
            <w:r>
              <w:rPr>
                <w:rFonts w:hint="eastAsia" w:ascii="仿宋" w:hAnsi="仿宋" w:cs="仿宋"/>
              </w:rPr>
              <w:t>(2)休学预警：对于申请休学并且快达到休学期限的学生，需要系统自动对学生发送短信或公众号通知提醒学生办理复学业务，也可以由管理员直接对学生发通知公告进行提醒。</w:t>
            </w:r>
          </w:p>
          <w:p w14:paraId="3D0A2972">
            <w:pPr>
              <w:rPr>
                <w:rFonts w:ascii="仿宋" w:hAnsi="仿宋" w:cs="仿宋"/>
              </w:rPr>
            </w:pPr>
            <w:r>
              <w:rPr>
                <w:rFonts w:hint="eastAsia" w:ascii="仿宋" w:hAnsi="仿宋" w:cs="仿宋"/>
              </w:rPr>
              <w:t>(3)强制休学管理：对于超过学校缴费期限还没有缴纳学费的学生，系统需自动过滤学生数据，并将未按时缴纳学费的学生加入到强制休学页面，管理员可以通过各种维度进行查询，也可直接一键对学生发送通知提醒，并支持对学生办理强制休学异动，后续学生在规定范围内补交学费后，学籍状态需自动恢复。</w:t>
            </w:r>
          </w:p>
        </w:tc>
      </w:tr>
      <w:tr w14:paraId="2E569E8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557" w:type="pct"/>
            <w:vMerge w:val="continue"/>
            <w:tcBorders>
              <w:top w:val="single" w:color="auto" w:sz="4" w:space="0"/>
              <w:left w:val="single" w:color="auto" w:sz="4" w:space="0"/>
              <w:right w:val="single" w:color="auto" w:sz="4" w:space="0"/>
            </w:tcBorders>
            <w:shd w:val="clear" w:color="auto" w:fill="auto"/>
            <w:noWrap/>
            <w:vAlign w:val="center"/>
          </w:tcPr>
          <w:p w14:paraId="7107E4CD">
            <w:pPr>
              <w:jc w:val="center"/>
              <w:rPr>
                <w:rFonts w:ascii="仿宋" w:hAnsi="仿宋" w:cs="仿宋"/>
              </w:rPr>
            </w:pPr>
          </w:p>
        </w:tc>
        <w:tc>
          <w:tcPr>
            <w:tcW w:w="464" w:type="pct"/>
            <w:tcBorders>
              <w:top w:val="single" w:color="auto" w:sz="4" w:space="0"/>
              <w:left w:val="single" w:color="auto" w:sz="4" w:space="0"/>
              <w:bottom w:val="single" w:color="auto" w:sz="4" w:space="0"/>
              <w:right w:val="single" w:color="000000" w:sz="4" w:space="0"/>
            </w:tcBorders>
            <w:shd w:val="clear" w:color="auto" w:fill="auto"/>
            <w:vAlign w:val="center"/>
          </w:tcPr>
          <w:p w14:paraId="7D8AE0F5">
            <w:pPr>
              <w:jc w:val="center"/>
              <w:rPr>
                <w:rFonts w:ascii="仿宋" w:hAnsi="仿宋" w:cs="仿宋"/>
              </w:rPr>
            </w:pPr>
            <w:r>
              <w:rPr>
                <w:rFonts w:hint="eastAsia" w:ascii="仿宋" w:hAnsi="仿宋" w:cs="仿宋"/>
                <w:bCs/>
              </w:rPr>
              <w:t>5.2学业预警</w:t>
            </w:r>
          </w:p>
        </w:tc>
        <w:tc>
          <w:tcPr>
            <w:tcW w:w="3977" w:type="pct"/>
            <w:tcBorders>
              <w:top w:val="single" w:color="auto" w:sz="4" w:space="0"/>
              <w:left w:val="single" w:color="000000" w:sz="4" w:space="0"/>
              <w:bottom w:val="single" w:color="auto" w:sz="4" w:space="0"/>
            </w:tcBorders>
            <w:shd w:val="clear" w:color="auto" w:fill="auto"/>
            <w:vAlign w:val="center"/>
          </w:tcPr>
          <w:p w14:paraId="45280153">
            <w:pPr>
              <w:rPr>
                <w:rFonts w:ascii="仿宋" w:hAnsi="仿宋" w:cs="仿宋"/>
                <w:bCs/>
              </w:rPr>
            </w:pPr>
            <w:r>
              <w:rPr>
                <w:rFonts w:hint="eastAsia" w:ascii="仿宋" w:hAnsi="仿宋" w:cs="仿宋"/>
                <w:bCs/>
              </w:rPr>
              <w:t>1、成绩预警：针对需补考或重修的学生，能及时提醒其需要补考或者办理重修手续，可通过手机短信、学习通通知等方式进行。</w:t>
            </w:r>
          </w:p>
          <w:p w14:paraId="44772591">
            <w:pPr>
              <w:rPr>
                <w:rFonts w:ascii="仿宋" w:hAnsi="仿宋" w:cs="仿宋"/>
              </w:rPr>
            </w:pPr>
            <w:r>
              <w:rPr>
                <w:rFonts w:hint="eastAsia" w:ascii="仿宋" w:hAnsi="仿宋" w:cs="仿宋"/>
                <w:bCs/>
              </w:rPr>
              <w:t>2、学分预警：学生可实时通过移动端、电脑端查看自己应修学分（课程）、已修学分（课程）、未修学分（课程），特别是快到毕业学期时，应重点提醒，可通过手机短信、学习通通知等方式进行。</w:t>
            </w:r>
          </w:p>
        </w:tc>
      </w:tr>
      <w:tr w14:paraId="0421128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44" w:hRule="atLeast"/>
        </w:trPr>
        <w:tc>
          <w:tcPr>
            <w:tcW w:w="55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722A8D2">
            <w:pPr>
              <w:jc w:val="center"/>
              <w:rPr>
                <w:rFonts w:ascii="仿宋" w:hAnsi="仿宋" w:cs="仿宋"/>
              </w:rPr>
            </w:pPr>
          </w:p>
        </w:tc>
        <w:tc>
          <w:tcPr>
            <w:tcW w:w="464" w:type="pct"/>
            <w:tcBorders>
              <w:top w:val="single" w:color="auto" w:sz="4" w:space="0"/>
              <w:left w:val="single" w:color="auto" w:sz="4" w:space="0"/>
              <w:bottom w:val="single" w:color="auto" w:sz="4" w:space="0"/>
              <w:right w:val="single" w:color="000000" w:sz="4" w:space="0"/>
            </w:tcBorders>
            <w:shd w:val="clear" w:color="auto" w:fill="auto"/>
            <w:vAlign w:val="center"/>
          </w:tcPr>
          <w:p w14:paraId="49458BB8">
            <w:pPr>
              <w:jc w:val="center"/>
              <w:rPr>
                <w:rFonts w:ascii="仿宋" w:hAnsi="仿宋" w:cs="仿宋"/>
              </w:rPr>
            </w:pPr>
            <w:r>
              <w:rPr>
                <w:rFonts w:hint="eastAsia" w:ascii="仿宋" w:hAnsi="仿宋" w:cs="仿宋"/>
              </w:rPr>
              <w:t>5.3</w:t>
            </w:r>
          </w:p>
          <w:p w14:paraId="2C27430F">
            <w:pPr>
              <w:jc w:val="center"/>
              <w:rPr>
                <w:rFonts w:ascii="仿宋" w:hAnsi="仿宋" w:cs="仿宋"/>
              </w:rPr>
            </w:pPr>
            <w:r>
              <w:rPr>
                <w:rFonts w:hint="eastAsia" w:ascii="仿宋" w:hAnsi="仿宋" w:cs="仿宋"/>
              </w:rPr>
              <w:t>班主任督学</w:t>
            </w:r>
          </w:p>
        </w:tc>
        <w:tc>
          <w:tcPr>
            <w:tcW w:w="3977" w:type="pct"/>
            <w:tcBorders>
              <w:top w:val="single" w:color="auto" w:sz="4" w:space="0"/>
              <w:left w:val="single" w:color="000000" w:sz="4" w:space="0"/>
              <w:bottom w:val="single" w:color="auto" w:sz="4" w:space="0"/>
            </w:tcBorders>
            <w:shd w:val="clear" w:color="auto" w:fill="auto"/>
            <w:vAlign w:val="center"/>
          </w:tcPr>
          <w:p w14:paraId="4B5C762A">
            <w:pPr>
              <w:rPr>
                <w:rFonts w:ascii="仿宋" w:hAnsi="仿宋" w:cs="仿宋"/>
              </w:rPr>
            </w:pPr>
            <w:r>
              <w:rPr>
                <w:rFonts w:hint="eastAsia" w:ascii="仿宋" w:hAnsi="仿宋" w:cs="仿宋"/>
              </w:rPr>
              <w:t>开展班主任的在线学业指导功能。按学校管理模式进行班主任配置，班主任能在线全方位查看班级学生的各状态数据信息，方便班主任开展督学和导学。支持开展博雅实践的组织实施，建立活动管理功能，利用平台开展学历继续教育开学典礼、毕业典礼等活动。</w:t>
            </w:r>
          </w:p>
        </w:tc>
      </w:tr>
      <w:tr w14:paraId="3E520CD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84" w:hRule="atLeast"/>
        </w:trPr>
        <w:tc>
          <w:tcPr>
            <w:tcW w:w="557" w:type="pct"/>
            <w:vMerge w:val="restart"/>
            <w:tcBorders>
              <w:top w:val="single" w:color="auto" w:sz="4" w:space="0"/>
              <w:left w:val="single" w:color="auto" w:sz="4" w:space="0"/>
              <w:right w:val="single" w:color="auto" w:sz="4" w:space="0"/>
            </w:tcBorders>
            <w:shd w:val="clear" w:color="auto" w:fill="auto"/>
            <w:noWrap/>
            <w:vAlign w:val="center"/>
          </w:tcPr>
          <w:p w14:paraId="59F3AE82">
            <w:pPr>
              <w:jc w:val="center"/>
              <w:rPr>
                <w:rFonts w:ascii="仿宋" w:hAnsi="仿宋" w:cs="仿宋"/>
              </w:rPr>
            </w:pPr>
          </w:p>
          <w:p w14:paraId="532B46B1">
            <w:pPr>
              <w:jc w:val="center"/>
              <w:rPr>
                <w:rFonts w:ascii="仿宋" w:hAnsi="仿宋" w:cs="仿宋"/>
              </w:rPr>
            </w:pPr>
          </w:p>
          <w:p w14:paraId="0BDA3346">
            <w:pPr>
              <w:jc w:val="center"/>
              <w:rPr>
                <w:rFonts w:ascii="仿宋" w:hAnsi="仿宋" w:cs="仿宋"/>
              </w:rPr>
            </w:pPr>
          </w:p>
          <w:p w14:paraId="194714A7">
            <w:pPr>
              <w:jc w:val="center"/>
              <w:rPr>
                <w:rFonts w:ascii="仿宋" w:hAnsi="仿宋" w:cs="仿宋"/>
              </w:rPr>
            </w:pPr>
          </w:p>
          <w:p w14:paraId="61D1B043">
            <w:pPr>
              <w:jc w:val="center"/>
              <w:rPr>
                <w:rFonts w:ascii="仿宋" w:hAnsi="仿宋" w:cs="仿宋"/>
              </w:rPr>
            </w:pPr>
            <w:r>
              <w:rPr>
                <w:rFonts w:hint="eastAsia" w:ascii="仿宋" w:hAnsi="仿宋" w:cs="仿宋"/>
              </w:rPr>
              <w:t>6、</w:t>
            </w:r>
          </w:p>
          <w:p w14:paraId="23F5002C">
            <w:pPr>
              <w:jc w:val="center"/>
              <w:rPr>
                <w:rFonts w:ascii="仿宋" w:hAnsi="仿宋" w:cs="仿宋"/>
              </w:rPr>
            </w:pPr>
            <w:r>
              <w:rPr>
                <w:rFonts w:hint="eastAsia" w:ascii="仿宋" w:hAnsi="仿宋" w:cs="仿宋"/>
              </w:rPr>
              <w:t>身份识别应用</w:t>
            </w:r>
          </w:p>
        </w:tc>
        <w:tc>
          <w:tcPr>
            <w:tcW w:w="464" w:type="pct"/>
            <w:tcBorders>
              <w:top w:val="single" w:color="000000" w:sz="4" w:space="0"/>
              <w:left w:val="single" w:color="auto" w:sz="4" w:space="0"/>
              <w:bottom w:val="single" w:color="auto" w:sz="4" w:space="0"/>
              <w:right w:val="single" w:color="000000" w:sz="4" w:space="0"/>
            </w:tcBorders>
            <w:shd w:val="clear" w:color="auto" w:fill="auto"/>
            <w:vAlign w:val="center"/>
          </w:tcPr>
          <w:p w14:paraId="3A5E8910">
            <w:pPr>
              <w:jc w:val="center"/>
              <w:rPr>
                <w:rFonts w:ascii="仿宋" w:hAnsi="仿宋" w:cs="仿宋"/>
              </w:rPr>
            </w:pPr>
            <w:r>
              <w:rPr>
                <w:rFonts w:hint="eastAsia" w:ascii="仿宋" w:hAnsi="仿宋" w:cs="仿宋"/>
              </w:rPr>
              <w:t>6.1</w:t>
            </w:r>
          </w:p>
          <w:p w14:paraId="5E2E0974">
            <w:pPr>
              <w:jc w:val="center"/>
              <w:rPr>
                <w:rFonts w:ascii="仿宋" w:hAnsi="仿宋" w:cs="仿宋"/>
              </w:rPr>
            </w:pPr>
            <w:r>
              <w:rPr>
                <w:rFonts w:hint="eastAsia" w:ascii="仿宋" w:hAnsi="仿宋" w:cs="仿宋"/>
              </w:rPr>
              <w:t>总体需求</w:t>
            </w:r>
          </w:p>
        </w:tc>
        <w:tc>
          <w:tcPr>
            <w:tcW w:w="3977" w:type="pct"/>
            <w:tcBorders>
              <w:top w:val="single" w:color="000000" w:sz="4" w:space="0"/>
              <w:left w:val="single" w:color="000000" w:sz="4" w:space="0"/>
              <w:bottom w:val="single" w:color="auto" w:sz="4" w:space="0"/>
            </w:tcBorders>
            <w:shd w:val="clear" w:color="auto" w:fill="auto"/>
            <w:vAlign w:val="center"/>
          </w:tcPr>
          <w:p w14:paraId="4E232006">
            <w:pPr>
              <w:rPr>
                <w:rFonts w:ascii="仿宋" w:hAnsi="仿宋" w:cs="仿宋"/>
              </w:rPr>
            </w:pPr>
            <w:r>
              <w:rPr>
                <w:rFonts w:hint="eastAsia" w:ascii="仿宋" w:hAnsi="仿宋" w:cs="仿宋"/>
              </w:rPr>
              <w:t>当前人工智能技术日趋成熟，越来越多的应用于教务教学管理中，为提升我校平台的扩展性，可预留人脸识别功能接口，当前可优先对接后续学员的报到入学人脸识别与系统留档数据比对。</w:t>
            </w:r>
          </w:p>
        </w:tc>
      </w:tr>
      <w:tr w14:paraId="763F5EA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40" w:hRule="atLeast"/>
        </w:trPr>
        <w:tc>
          <w:tcPr>
            <w:tcW w:w="557" w:type="pct"/>
            <w:vMerge w:val="continue"/>
            <w:tcBorders>
              <w:left w:val="single" w:color="auto" w:sz="4" w:space="0"/>
              <w:bottom w:val="single" w:color="auto" w:sz="4" w:space="0"/>
              <w:right w:val="single" w:color="auto" w:sz="4" w:space="0"/>
            </w:tcBorders>
            <w:shd w:val="clear" w:color="auto" w:fill="auto"/>
            <w:noWrap/>
            <w:vAlign w:val="center"/>
          </w:tcPr>
          <w:p w14:paraId="35883CDA">
            <w:pPr>
              <w:jc w:val="center"/>
              <w:rPr>
                <w:rFonts w:ascii="仿宋" w:hAnsi="仿宋" w:cs="仿宋"/>
              </w:rPr>
            </w:pPr>
          </w:p>
        </w:tc>
        <w:tc>
          <w:tcPr>
            <w:tcW w:w="464" w:type="pct"/>
            <w:tcBorders>
              <w:top w:val="single" w:color="auto" w:sz="4" w:space="0"/>
              <w:left w:val="single" w:color="auto" w:sz="4" w:space="0"/>
              <w:bottom w:val="single" w:color="000000" w:sz="4" w:space="0"/>
              <w:right w:val="single" w:color="000000" w:sz="4" w:space="0"/>
            </w:tcBorders>
            <w:shd w:val="clear" w:color="auto" w:fill="auto"/>
            <w:vAlign w:val="center"/>
          </w:tcPr>
          <w:p w14:paraId="39B3EF02">
            <w:pPr>
              <w:jc w:val="center"/>
              <w:rPr>
                <w:rFonts w:ascii="仿宋" w:hAnsi="仿宋" w:cs="仿宋"/>
              </w:rPr>
            </w:pPr>
            <w:r>
              <w:rPr>
                <w:rFonts w:hint="eastAsia" w:ascii="仿宋" w:hAnsi="仿宋" w:cs="仿宋"/>
              </w:rPr>
              <w:t>6.2</w:t>
            </w:r>
          </w:p>
          <w:p w14:paraId="0F4A44F6">
            <w:pPr>
              <w:jc w:val="center"/>
              <w:rPr>
                <w:rFonts w:ascii="仿宋" w:hAnsi="仿宋" w:cs="仿宋"/>
              </w:rPr>
            </w:pPr>
            <w:r>
              <w:rPr>
                <w:rFonts w:hint="eastAsia" w:ascii="仿宋" w:hAnsi="仿宋" w:cs="仿宋"/>
              </w:rPr>
              <w:t>具体需求</w:t>
            </w:r>
          </w:p>
        </w:tc>
        <w:tc>
          <w:tcPr>
            <w:tcW w:w="3977" w:type="pct"/>
            <w:tcBorders>
              <w:top w:val="single" w:color="auto" w:sz="4" w:space="0"/>
              <w:left w:val="single" w:color="000000" w:sz="4" w:space="0"/>
              <w:bottom w:val="single" w:color="000000" w:sz="4" w:space="0"/>
            </w:tcBorders>
            <w:shd w:val="clear" w:color="auto" w:fill="auto"/>
            <w:vAlign w:val="center"/>
          </w:tcPr>
          <w:p w14:paraId="477FDD0D">
            <w:pPr>
              <w:rPr>
                <w:rFonts w:ascii="仿宋" w:hAnsi="仿宋" w:cs="仿宋"/>
              </w:rPr>
            </w:pPr>
            <w:r>
              <w:rPr>
                <w:rFonts w:hint="eastAsia" w:ascii="仿宋" w:hAnsi="仿宋" w:cs="仿宋"/>
              </w:rPr>
              <w:t>(1)综合使用人脸识别技术，开发新生入学报到人像比对审查功能，实现将现场采集的新生报到照片与高校录取照片、居民身份证照片进行人像比对，以及人工审核功能。</w:t>
            </w:r>
          </w:p>
          <w:p w14:paraId="64CF1208">
            <w:pPr>
              <w:rPr>
                <w:rFonts w:ascii="仿宋" w:hAnsi="仿宋" w:cs="仿宋"/>
              </w:rPr>
            </w:pPr>
            <w:r>
              <w:rPr>
                <w:rFonts w:hint="eastAsia" w:ascii="仿宋" w:hAnsi="仿宋" w:cs="仿宋"/>
              </w:rPr>
              <w:t>(2)新生注册支持微信公众号进行新生注册，学生通过输入身份证号，进入人像比对模块。比对流程和要求按照上述说明，比对通过完成注册；比对不通过，进入人工审查，审查通过，完成注册，审查未通过，处于待注册状态。</w:t>
            </w:r>
          </w:p>
          <w:p w14:paraId="6EE32BD2">
            <w:pPr>
              <w:rPr>
                <w:rFonts w:ascii="仿宋" w:hAnsi="仿宋" w:cs="仿宋"/>
              </w:rPr>
            </w:pPr>
            <w:r>
              <w:rPr>
                <w:rFonts w:hint="eastAsia" w:ascii="仿宋" w:hAnsi="仿宋" w:cs="仿宋"/>
              </w:rPr>
              <w:t>(3)支持身份核验成功后自动新生注册。</w:t>
            </w:r>
          </w:p>
          <w:p w14:paraId="19E60EED">
            <w:pPr>
              <w:rPr>
                <w:rFonts w:ascii="仿宋" w:hAnsi="仿宋" w:cs="仿宋"/>
              </w:rPr>
            </w:pPr>
            <w:r>
              <w:rPr>
                <w:rFonts w:hint="eastAsia" w:ascii="仿宋" w:hAnsi="仿宋" w:cs="仿宋"/>
              </w:rPr>
              <w:t>(4)支持线上学习、线下面授课、考试的签到人脸识别比对，确保本人参加课程学习和考试。</w:t>
            </w:r>
          </w:p>
          <w:p w14:paraId="2360117D">
            <w:pPr>
              <w:rPr>
                <w:rFonts w:ascii="仿宋" w:hAnsi="仿宋" w:cs="仿宋"/>
              </w:rPr>
            </w:pPr>
            <w:r>
              <w:rPr>
                <w:rFonts w:hint="eastAsia" w:ascii="仿宋" w:hAnsi="仿宋" w:cs="仿宋"/>
              </w:rPr>
              <w:t>(5)需预留人脸识别应用对接接口，支持未来业务扩展，保障系统的可扩展性。</w:t>
            </w:r>
          </w:p>
          <w:p w14:paraId="788A7536">
            <w:pPr>
              <w:rPr>
                <w:rFonts w:ascii="仿宋" w:hAnsi="仿宋" w:cs="仿宋"/>
              </w:rPr>
            </w:pPr>
            <w:r>
              <w:rPr>
                <w:rFonts w:hint="eastAsia" w:ascii="仿宋" w:hAnsi="仿宋" w:cs="仿宋"/>
              </w:rPr>
              <w:t>(6)支持设置学生进入课程时是否开启人脸识别；观看章节视频时开启抓拍监控(可以设置抓拍模式、抓拍时间点等)；支持人脸识别匹配失败时限制学生学习；人脸匹配失败累计次数达到一定次数时，清除章节视频学习成绩。</w:t>
            </w:r>
          </w:p>
          <w:p w14:paraId="718796B5">
            <w:pPr>
              <w:rPr>
                <w:rFonts w:ascii="仿宋" w:hAnsi="仿宋" w:cs="仿宋"/>
              </w:rPr>
            </w:pPr>
            <w:r>
              <w:rPr>
                <w:rFonts w:hint="eastAsia" w:ascii="仿宋" w:hAnsi="仿宋" w:cs="仿宋"/>
              </w:rPr>
              <w:t>(7)支持自定义配置是否开启核验功能控制；支持设置是否需要验证手机号；支持自定义设置识别通过的阈值，含入学照片、采集照片、证件照片相似度分析；支持自定义设置学生页面及附件上传页的说明内容。设置完成后，需完整演示学生通过手机号验证后进行人脸识别，同时可查看识别通过的结果数据。</w:t>
            </w:r>
          </w:p>
        </w:tc>
      </w:tr>
      <w:tr w14:paraId="7650E9D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607" w:hRule="atLeast"/>
        </w:trPr>
        <w:tc>
          <w:tcPr>
            <w:tcW w:w="557" w:type="pct"/>
            <w:vMerge w:val="restart"/>
            <w:tcBorders>
              <w:top w:val="single" w:color="auto" w:sz="4" w:space="0"/>
              <w:left w:val="single" w:color="auto" w:sz="4" w:space="0"/>
              <w:right w:val="single" w:color="auto" w:sz="4" w:space="0"/>
            </w:tcBorders>
            <w:shd w:val="clear" w:color="auto" w:fill="auto"/>
            <w:noWrap/>
            <w:vAlign w:val="center"/>
          </w:tcPr>
          <w:p w14:paraId="14D91076">
            <w:pPr>
              <w:jc w:val="center"/>
              <w:rPr>
                <w:rFonts w:ascii="仿宋" w:hAnsi="仿宋" w:cs="仿宋"/>
              </w:rPr>
            </w:pPr>
            <w:r>
              <w:rPr>
                <w:rFonts w:hint="eastAsia" w:ascii="仿宋" w:hAnsi="仿宋" w:cs="仿宋"/>
              </w:rPr>
              <w:t>7、校外教学点管理</w:t>
            </w:r>
          </w:p>
        </w:tc>
        <w:tc>
          <w:tcPr>
            <w:tcW w:w="464" w:type="pct"/>
            <w:tcBorders>
              <w:top w:val="single" w:color="000000" w:sz="4" w:space="0"/>
              <w:left w:val="single" w:color="auto" w:sz="4" w:space="0"/>
              <w:bottom w:val="single" w:color="auto" w:sz="4" w:space="0"/>
              <w:right w:val="single" w:color="000000" w:sz="4" w:space="0"/>
            </w:tcBorders>
            <w:shd w:val="clear" w:color="auto" w:fill="auto"/>
            <w:vAlign w:val="center"/>
          </w:tcPr>
          <w:p w14:paraId="23C49914">
            <w:pPr>
              <w:jc w:val="center"/>
              <w:rPr>
                <w:rFonts w:ascii="仿宋" w:hAnsi="仿宋" w:cs="仿宋"/>
              </w:rPr>
            </w:pPr>
            <w:r>
              <w:rPr>
                <w:rFonts w:hint="eastAsia" w:ascii="仿宋" w:hAnsi="仿宋" w:cs="仿宋"/>
              </w:rPr>
              <w:t>7.1</w:t>
            </w:r>
          </w:p>
          <w:p w14:paraId="2E277EA0">
            <w:pPr>
              <w:jc w:val="center"/>
              <w:rPr>
                <w:rFonts w:ascii="仿宋" w:hAnsi="仿宋" w:cs="仿宋"/>
              </w:rPr>
            </w:pPr>
            <w:r>
              <w:rPr>
                <w:rFonts w:hint="eastAsia" w:ascii="仿宋" w:hAnsi="仿宋" w:cs="仿宋"/>
              </w:rPr>
              <w:t>总体需求</w:t>
            </w:r>
          </w:p>
        </w:tc>
        <w:tc>
          <w:tcPr>
            <w:tcW w:w="3977" w:type="pct"/>
            <w:tcBorders>
              <w:top w:val="single" w:color="000000" w:sz="4" w:space="0"/>
              <w:left w:val="single" w:color="000000" w:sz="4" w:space="0"/>
              <w:bottom w:val="single" w:color="auto" w:sz="4" w:space="0"/>
            </w:tcBorders>
            <w:shd w:val="clear" w:color="auto" w:fill="auto"/>
            <w:vAlign w:val="center"/>
          </w:tcPr>
          <w:p w14:paraId="7CFE372A">
            <w:pPr>
              <w:rPr>
                <w:rFonts w:ascii="仿宋" w:hAnsi="仿宋" w:cs="仿宋"/>
              </w:rPr>
            </w:pPr>
            <w:r>
              <w:rPr>
                <w:rFonts w:hint="eastAsia" w:ascii="仿宋" w:hAnsi="仿宋" w:cs="仿宋"/>
              </w:rPr>
              <w:t>按《教育部办公厅关于严格规范高等学历继续教育校外教学点设置与管理工作的通知》文件要求，结合学校教学模式，实现对各校外教学点的设置、办学场地、教学设施、人员、专业设置、学生、教学过程等进行管理，开展校外教学点的在线监管和巡检，通过数字化技术和手段实现校外教学点“真教、真学、真考”的动态监测，加强教学点办学预警管理功能，实现教学点的绩效考核管理。</w:t>
            </w:r>
          </w:p>
        </w:tc>
      </w:tr>
      <w:tr w14:paraId="52A1750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96" w:hRule="atLeast"/>
        </w:trPr>
        <w:tc>
          <w:tcPr>
            <w:tcW w:w="557" w:type="pct"/>
            <w:vMerge w:val="continue"/>
            <w:tcBorders>
              <w:left w:val="single" w:color="auto" w:sz="4" w:space="0"/>
              <w:right w:val="single" w:color="auto" w:sz="4" w:space="0"/>
            </w:tcBorders>
            <w:shd w:val="clear" w:color="auto" w:fill="auto"/>
            <w:noWrap/>
            <w:vAlign w:val="center"/>
          </w:tcPr>
          <w:p w14:paraId="40E2E865">
            <w:pPr>
              <w:jc w:val="center"/>
              <w:rPr>
                <w:rFonts w:ascii="仿宋" w:hAnsi="仿宋" w:cs="仿宋"/>
              </w:rPr>
            </w:pPr>
          </w:p>
        </w:tc>
        <w:tc>
          <w:tcPr>
            <w:tcW w:w="464" w:type="pct"/>
            <w:tcBorders>
              <w:top w:val="single" w:color="auto" w:sz="4" w:space="0"/>
              <w:left w:val="single" w:color="auto" w:sz="4" w:space="0"/>
              <w:bottom w:val="single" w:color="auto" w:sz="4" w:space="0"/>
              <w:right w:val="single" w:color="000000" w:sz="4" w:space="0"/>
            </w:tcBorders>
            <w:shd w:val="clear" w:color="auto" w:fill="auto"/>
            <w:vAlign w:val="center"/>
          </w:tcPr>
          <w:p w14:paraId="4A3F670D">
            <w:pPr>
              <w:jc w:val="center"/>
              <w:rPr>
                <w:rFonts w:ascii="仿宋" w:hAnsi="仿宋" w:cs="仿宋"/>
              </w:rPr>
            </w:pPr>
            <w:r>
              <w:rPr>
                <w:rFonts w:hint="eastAsia" w:ascii="仿宋" w:hAnsi="仿宋" w:cs="仿宋"/>
              </w:rPr>
              <w:t>7.2</w:t>
            </w:r>
          </w:p>
          <w:p w14:paraId="41E885BC">
            <w:pPr>
              <w:jc w:val="center"/>
              <w:rPr>
                <w:rFonts w:ascii="仿宋" w:hAnsi="仿宋" w:cs="仿宋"/>
              </w:rPr>
            </w:pPr>
            <w:r>
              <w:rPr>
                <w:rFonts w:hint="eastAsia" w:ascii="仿宋" w:hAnsi="仿宋" w:cs="仿宋"/>
              </w:rPr>
              <w:t>教学点信息管理</w:t>
            </w:r>
          </w:p>
        </w:tc>
        <w:tc>
          <w:tcPr>
            <w:tcW w:w="3977" w:type="pct"/>
            <w:tcBorders>
              <w:top w:val="single" w:color="auto" w:sz="4" w:space="0"/>
              <w:left w:val="single" w:color="000000" w:sz="4" w:space="0"/>
              <w:bottom w:val="single" w:color="auto" w:sz="4" w:space="0"/>
            </w:tcBorders>
            <w:shd w:val="clear" w:color="auto" w:fill="auto"/>
            <w:vAlign w:val="center"/>
          </w:tcPr>
          <w:p w14:paraId="13033DA2">
            <w:pPr>
              <w:rPr>
                <w:rFonts w:ascii="仿宋" w:hAnsi="仿宋" w:cs="仿宋"/>
              </w:rPr>
            </w:pPr>
            <w:r>
              <w:rPr>
                <w:rFonts w:hint="eastAsia" w:ascii="仿宋" w:hAnsi="仿宋" w:cs="仿宋"/>
              </w:rPr>
              <w:t>(1)教学点信息管理：支持对教学点的性质进行区分，名称可在系统内进行修改，支持进行新增、维护和删除操作。支持教学点负责人、位置、场地、教学设施、师资力量、合同、备案材料上传等管理。</w:t>
            </w:r>
          </w:p>
          <w:p w14:paraId="7E2A120E">
            <w:pPr>
              <w:rPr>
                <w:rFonts w:ascii="仿宋" w:hAnsi="仿宋" w:cs="仿宋"/>
              </w:rPr>
            </w:pPr>
            <w:r>
              <w:rPr>
                <w:rFonts w:hint="eastAsia" w:ascii="仿宋" w:hAnsi="仿宋" w:cs="仿宋"/>
              </w:rPr>
              <w:t>(2)教学点管理人员：按学校办学基本要求，实现教学点管理人员、助教、班主任、教辅等各类人员的管理。支持账号的新增、暂停和删除、权限配置。</w:t>
            </w:r>
          </w:p>
          <w:p w14:paraId="295284AD">
            <w:pPr>
              <w:rPr>
                <w:rFonts w:ascii="仿宋" w:hAnsi="仿宋" w:cs="仿宋"/>
              </w:rPr>
            </w:pPr>
            <w:r>
              <w:rPr>
                <w:rFonts w:hint="eastAsia" w:ascii="仿宋" w:hAnsi="仿宋" w:cs="仿宋"/>
              </w:rPr>
              <w:t>(3)学生管理：对各教学点历年招生专业、人数、在籍人数等进行管理和查询。</w:t>
            </w:r>
          </w:p>
        </w:tc>
      </w:tr>
      <w:tr w14:paraId="4F86420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958" w:hRule="atLeast"/>
        </w:trPr>
        <w:tc>
          <w:tcPr>
            <w:tcW w:w="557" w:type="pct"/>
            <w:vMerge w:val="continue"/>
            <w:tcBorders>
              <w:left w:val="single" w:color="auto" w:sz="4" w:space="0"/>
              <w:right w:val="single" w:color="auto" w:sz="4" w:space="0"/>
            </w:tcBorders>
            <w:shd w:val="clear" w:color="auto" w:fill="auto"/>
            <w:noWrap/>
            <w:vAlign w:val="center"/>
          </w:tcPr>
          <w:p w14:paraId="11D98BA1">
            <w:pPr>
              <w:jc w:val="center"/>
              <w:rPr>
                <w:rFonts w:ascii="仿宋" w:hAnsi="仿宋" w:cs="仿宋"/>
              </w:rPr>
            </w:pPr>
          </w:p>
        </w:tc>
        <w:tc>
          <w:tcPr>
            <w:tcW w:w="464" w:type="pct"/>
            <w:tcBorders>
              <w:top w:val="single" w:color="auto" w:sz="4" w:space="0"/>
              <w:left w:val="single" w:color="auto" w:sz="4" w:space="0"/>
              <w:bottom w:val="single" w:color="auto" w:sz="4" w:space="0"/>
              <w:right w:val="single" w:color="000000" w:sz="4" w:space="0"/>
            </w:tcBorders>
            <w:shd w:val="clear" w:color="auto" w:fill="auto"/>
            <w:vAlign w:val="center"/>
          </w:tcPr>
          <w:p w14:paraId="2F0D726F">
            <w:pPr>
              <w:jc w:val="center"/>
              <w:rPr>
                <w:rFonts w:ascii="仿宋" w:hAnsi="仿宋" w:cs="仿宋"/>
              </w:rPr>
            </w:pPr>
            <w:r>
              <w:rPr>
                <w:rFonts w:hint="eastAsia" w:ascii="仿宋" w:hAnsi="仿宋" w:cs="仿宋"/>
              </w:rPr>
              <w:t>7.3</w:t>
            </w:r>
          </w:p>
          <w:p w14:paraId="3FD23A17">
            <w:pPr>
              <w:jc w:val="center"/>
              <w:rPr>
                <w:rFonts w:ascii="仿宋" w:hAnsi="仿宋" w:cs="仿宋"/>
              </w:rPr>
            </w:pPr>
            <w:r>
              <w:rPr>
                <w:rFonts w:hint="eastAsia" w:ascii="仿宋" w:hAnsi="仿宋" w:cs="仿宋"/>
              </w:rPr>
              <w:t>教学点预警和考核</w:t>
            </w:r>
          </w:p>
        </w:tc>
        <w:tc>
          <w:tcPr>
            <w:tcW w:w="3977" w:type="pct"/>
            <w:tcBorders>
              <w:top w:val="single" w:color="auto" w:sz="4" w:space="0"/>
              <w:left w:val="single" w:color="000000" w:sz="4" w:space="0"/>
              <w:bottom w:val="single" w:color="auto" w:sz="4" w:space="0"/>
            </w:tcBorders>
            <w:shd w:val="clear" w:color="auto" w:fill="auto"/>
            <w:vAlign w:val="center"/>
          </w:tcPr>
          <w:p w14:paraId="3EB227AE">
            <w:pPr>
              <w:rPr>
                <w:rFonts w:ascii="仿宋" w:hAnsi="仿宋" w:cs="仿宋"/>
              </w:rPr>
            </w:pPr>
            <w:r>
              <w:rPr>
                <w:rFonts w:hint="eastAsia" w:ascii="仿宋" w:hAnsi="仿宋" w:cs="仿宋"/>
              </w:rPr>
              <w:t>(1)教学点预警：支持通过设置阈值，对教学点活动进行预警。如设置学习进度的阈值，当教学点学生的学习进度不满足条件时，则会对管理员进行通知预警，及时提醒学生进行学习，以保证教学点的教学质量。</w:t>
            </w:r>
          </w:p>
          <w:p w14:paraId="189DB0D7">
            <w:pPr>
              <w:rPr>
                <w:rFonts w:ascii="仿宋" w:hAnsi="仿宋" w:cs="仿宋"/>
              </w:rPr>
            </w:pPr>
            <w:r>
              <w:rPr>
                <w:rFonts w:hint="eastAsia" w:ascii="仿宋" w:hAnsi="仿宋" w:cs="仿宋"/>
              </w:rPr>
              <w:t>(2)绩效考核：在学期教学活动过程中，支持随时对教学点的工作进行打分考核，支持每年对教学点的基数数据进行审核。按学校教学点绩效考核指标和方法，能自动抽取有关状态数据，实现教学点年度绩效考核。</w:t>
            </w:r>
          </w:p>
          <w:p w14:paraId="31B2B8DD">
            <w:pPr>
              <w:rPr>
                <w:rFonts w:ascii="仿宋" w:hAnsi="仿宋" w:cs="仿宋"/>
              </w:rPr>
            </w:pPr>
            <w:r>
              <w:rPr>
                <w:rFonts w:hint="eastAsia" w:ascii="仿宋" w:hAnsi="仿宋" w:cs="仿宋"/>
              </w:rPr>
              <w:t>(3)</w:t>
            </w:r>
            <w:r>
              <w:rPr>
                <w:rFonts w:hint="eastAsia" w:ascii="仿宋" w:hAnsi="仿宋" w:cs="仿宋"/>
                <w:bCs/>
              </w:rPr>
              <w:t>支持在线对教学点进行考核打分，并允许教学点在线提交申辩。</w:t>
            </w:r>
          </w:p>
        </w:tc>
      </w:tr>
      <w:tr w14:paraId="69D177C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64" w:hRule="atLeast"/>
        </w:trPr>
        <w:tc>
          <w:tcPr>
            <w:tcW w:w="557" w:type="pct"/>
            <w:vMerge w:val="continue"/>
            <w:tcBorders>
              <w:left w:val="single" w:color="auto" w:sz="4" w:space="0"/>
              <w:bottom w:val="single" w:color="auto" w:sz="4" w:space="0"/>
              <w:right w:val="single" w:color="auto" w:sz="4" w:space="0"/>
            </w:tcBorders>
            <w:shd w:val="clear" w:color="auto" w:fill="auto"/>
            <w:noWrap/>
            <w:vAlign w:val="center"/>
          </w:tcPr>
          <w:p w14:paraId="125FC051">
            <w:pPr>
              <w:jc w:val="center"/>
              <w:rPr>
                <w:rFonts w:ascii="仿宋" w:hAnsi="仿宋" w:cs="仿宋"/>
              </w:rPr>
            </w:pPr>
          </w:p>
        </w:tc>
        <w:tc>
          <w:tcPr>
            <w:tcW w:w="464" w:type="pct"/>
            <w:tcBorders>
              <w:top w:val="single" w:color="auto" w:sz="4" w:space="0"/>
              <w:left w:val="single" w:color="auto" w:sz="4" w:space="0"/>
              <w:bottom w:val="single" w:color="000000" w:sz="4" w:space="0"/>
              <w:right w:val="single" w:color="000000" w:sz="4" w:space="0"/>
            </w:tcBorders>
            <w:shd w:val="clear" w:color="auto" w:fill="auto"/>
            <w:vAlign w:val="center"/>
          </w:tcPr>
          <w:p w14:paraId="25079CF8">
            <w:pPr>
              <w:jc w:val="center"/>
              <w:rPr>
                <w:rFonts w:ascii="仿宋" w:hAnsi="仿宋" w:cs="仿宋"/>
              </w:rPr>
            </w:pPr>
            <w:r>
              <w:rPr>
                <w:rFonts w:hint="eastAsia" w:ascii="仿宋" w:hAnsi="仿宋" w:cs="仿宋"/>
              </w:rPr>
              <w:t>7.4</w:t>
            </w:r>
          </w:p>
          <w:p w14:paraId="06F5C4E7">
            <w:pPr>
              <w:jc w:val="center"/>
              <w:rPr>
                <w:rFonts w:ascii="仿宋" w:hAnsi="仿宋" w:cs="仿宋"/>
              </w:rPr>
            </w:pPr>
            <w:r>
              <w:rPr>
                <w:rFonts w:hint="eastAsia" w:ascii="仿宋" w:hAnsi="仿宋" w:cs="仿宋"/>
              </w:rPr>
              <w:t>教学点教学管理</w:t>
            </w:r>
          </w:p>
        </w:tc>
        <w:tc>
          <w:tcPr>
            <w:tcW w:w="3977" w:type="pct"/>
            <w:tcBorders>
              <w:top w:val="single" w:color="auto" w:sz="4" w:space="0"/>
              <w:left w:val="single" w:color="000000" w:sz="4" w:space="0"/>
              <w:bottom w:val="single" w:color="000000" w:sz="4" w:space="0"/>
            </w:tcBorders>
            <w:shd w:val="clear" w:color="auto" w:fill="auto"/>
            <w:vAlign w:val="center"/>
          </w:tcPr>
          <w:p w14:paraId="6942AE97">
            <w:pPr>
              <w:rPr>
                <w:rFonts w:ascii="仿宋" w:hAnsi="仿宋" w:cs="仿宋"/>
              </w:rPr>
            </w:pPr>
            <w:r>
              <w:rPr>
                <w:rFonts w:hint="eastAsia" w:ascii="仿宋" w:hAnsi="仿宋" w:cs="仿宋"/>
              </w:rPr>
              <w:t>(1)线下面授：实现对各教学点的线下面授教学的组织情况进行统计分析，对异常的状态进行报警。按学校有关要求，可以实现线下面授过程视频采集，在平台进行统一存储，能进行统一查看。</w:t>
            </w:r>
          </w:p>
          <w:p w14:paraId="457257A1">
            <w:pPr>
              <w:rPr>
                <w:rFonts w:ascii="仿宋" w:hAnsi="仿宋" w:cs="仿宋"/>
              </w:rPr>
            </w:pPr>
            <w:r>
              <w:rPr>
                <w:rFonts w:hint="eastAsia" w:ascii="仿宋" w:hAnsi="仿宋" w:cs="仿宋"/>
              </w:rPr>
              <w:t>(2)线上学习情况：按教学点进行学生线上学习状态的统计分析，对应学生学习异常行为进行报警。</w:t>
            </w:r>
          </w:p>
          <w:p w14:paraId="6CED26FD">
            <w:pPr>
              <w:rPr>
                <w:rFonts w:ascii="仿宋" w:hAnsi="仿宋" w:cs="仿宋"/>
              </w:rPr>
            </w:pPr>
            <w:r>
              <w:rPr>
                <w:rFonts w:hint="eastAsia" w:ascii="仿宋" w:hAnsi="仿宋" w:cs="仿宋"/>
              </w:rPr>
              <w:t>(3)作业情况：实现对各教学点学生的作业提交、助教作业批改等情况进行统计分析，对异常的状态进行报警。</w:t>
            </w:r>
          </w:p>
          <w:p w14:paraId="7AD73E78">
            <w:pPr>
              <w:rPr>
                <w:rFonts w:ascii="仿宋" w:hAnsi="仿宋" w:cs="仿宋"/>
              </w:rPr>
            </w:pPr>
            <w:r>
              <w:rPr>
                <w:rFonts w:hint="eastAsia" w:ascii="仿宋" w:hAnsi="仿宋" w:cs="仿宋"/>
              </w:rPr>
              <w:t>(4)考试管理：实现对各教学点的考试组织进行管理，对考试组织过程中的异常状态进行报警。</w:t>
            </w:r>
          </w:p>
          <w:p w14:paraId="15C883DF">
            <w:pPr>
              <w:rPr>
                <w:rFonts w:ascii="仿宋" w:hAnsi="仿宋" w:cs="仿宋"/>
              </w:rPr>
            </w:pPr>
            <w:r>
              <w:rPr>
                <w:rFonts w:hint="eastAsia" w:ascii="仿宋" w:hAnsi="仿宋" w:cs="仿宋"/>
              </w:rPr>
              <w:t>(5)成绩管理：实现对各教学点的课程成绩进行统计分析，对异常的课程成绩进行报警。</w:t>
            </w:r>
          </w:p>
        </w:tc>
      </w:tr>
      <w:tr w14:paraId="27379BB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83" w:hRule="atLeast"/>
        </w:trPr>
        <w:tc>
          <w:tcPr>
            <w:tcW w:w="557" w:type="pct"/>
            <w:vMerge w:val="restart"/>
            <w:tcBorders>
              <w:top w:val="single" w:color="auto" w:sz="4" w:space="0"/>
              <w:left w:val="single" w:color="auto" w:sz="4" w:space="0"/>
              <w:right w:val="single" w:color="auto" w:sz="4" w:space="0"/>
            </w:tcBorders>
            <w:shd w:val="clear" w:color="auto" w:fill="auto"/>
            <w:noWrap/>
            <w:vAlign w:val="center"/>
          </w:tcPr>
          <w:p w14:paraId="0476E4A5">
            <w:pPr>
              <w:jc w:val="center"/>
              <w:rPr>
                <w:rFonts w:ascii="仿宋" w:hAnsi="仿宋" w:cs="仿宋"/>
              </w:rPr>
            </w:pPr>
            <w:r>
              <w:rPr>
                <w:rFonts w:hint="eastAsia" w:ascii="仿宋" w:hAnsi="仿宋" w:cs="仿宋"/>
              </w:rPr>
              <w:t>8、</w:t>
            </w:r>
          </w:p>
          <w:p w14:paraId="08F5B1FA">
            <w:pPr>
              <w:jc w:val="center"/>
              <w:rPr>
                <w:rFonts w:ascii="仿宋" w:hAnsi="仿宋" w:cs="仿宋"/>
              </w:rPr>
            </w:pPr>
            <w:r>
              <w:rPr>
                <w:rFonts w:hint="eastAsia" w:ascii="仿宋" w:hAnsi="仿宋" w:cs="仿宋"/>
              </w:rPr>
              <w:t>毕业论文管理</w:t>
            </w:r>
          </w:p>
        </w:tc>
        <w:tc>
          <w:tcPr>
            <w:tcW w:w="464" w:type="pct"/>
            <w:tcBorders>
              <w:top w:val="single" w:color="000000" w:sz="4" w:space="0"/>
              <w:left w:val="single" w:color="auto" w:sz="4" w:space="0"/>
              <w:bottom w:val="single" w:color="auto" w:sz="4" w:space="0"/>
              <w:right w:val="single" w:color="000000" w:sz="4" w:space="0"/>
            </w:tcBorders>
            <w:shd w:val="clear" w:color="auto" w:fill="auto"/>
            <w:vAlign w:val="center"/>
          </w:tcPr>
          <w:p w14:paraId="20E8283F">
            <w:pPr>
              <w:jc w:val="center"/>
              <w:rPr>
                <w:rFonts w:ascii="仿宋" w:hAnsi="仿宋" w:cs="仿宋"/>
              </w:rPr>
            </w:pPr>
            <w:r>
              <w:rPr>
                <w:rFonts w:hint="eastAsia" w:ascii="仿宋" w:hAnsi="仿宋" w:cs="仿宋"/>
              </w:rPr>
              <w:t>8.1</w:t>
            </w:r>
          </w:p>
          <w:p w14:paraId="21E7002C">
            <w:pPr>
              <w:jc w:val="center"/>
              <w:rPr>
                <w:rFonts w:ascii="仿宋" w:hAnsi="仿宋" w:cs="仿宋"/>
              </w:rPr>
            </w:pPr>
            <w:r>
              <w:rPr>
                <w:rFonts w:hint="eastAsia" w:ascii="仿宋" w:hAnsi="仿宋" w:cs="仿宋"/>
              </w:rPr>
              <w:t>论文模板管理</w:t>
            </w:r>
          </w:p>
        </w:tc>
        <w:tc>
          <w:tcPr>
            <w:tcW w:w="3977" w:type="pct"/>
            <w:tcBorders>
              <w:top w:val="single" w:color="000000" w:sz="4" w:space="0"/>
              <w:left w:val="single" w:color="000000" w:sz="4" w:space="0"/>
              <w:bottom w:val="single" w:color="auto" w:sz="4" w:space="0"/>
            </w:tcBorders>
            <w:shd w:val="clear" w:color="auto" w:fill="auto"/>
            <w:vAlign w:val="center"/>
          </w:tcPr>
          <w:p w14:paraId="68629FF5">
            <w:pPr>
              <w:rPr>
                <w:rFonts w:ascii="仿宋" w:hAnsi="仿宋" w:cs="仿宋"/>
              </w:rPr>
            </w:pPr>
            <w:r>
              <w:rPr>
                <w:rFonts w:hint="eastAsia" w:ascii="仿宋" w:hAnsi="仿宋" w:cs="仿宋"/>
              </w:rPr>
              <w:t>支持总站管理员可以新增、编辑、删除论文流程模板，可以自定义配置论文流程，包括但不限于选题、开题报告、初稿、终稿等论文流程配置。需满足如下要求：</w:t>
            </w:r>
          </w:p>
          <w:p w14:paraId="6467F3FE">
            <w:pPr>
              <w:rPr>
                <w:rFonts w:ascii="仿宋" w:hAnsi="仿宋" w:cs="仿宋"/>
              </w:rPr>
            </w:pPr>
            <w:r>
              <w:rPr>
                <w:rFonts w:hint="eastAsia" w:ascii="仿宋" w:hAnsi="仿宋" w:cs="仿宋"/>
              </w:rPr>
              <w:t>(1)支持根据学生、指导教师、评阅教师角色设置各类流程。所有流程设置均支持按专业设置，不需要走该流程的专业可以进行单独设置。</w:t>
            </w:r>
          </w:p>
          <w:p w14:paraId="03BFE3F2">
            <w:pPr>
              <w:rPr>
                <w:rFonts w:ascii="仿宋" w:hAnsi="仿宋" w:cs="仿宋"/>
              </w:rPr>
            </w:pPr>
            <w:r>
              <w:rPr>
                <w:rFonts w:hint="eastAsia" w:ascii="仿宋" w:hAnsi="仿宋" w:cs="仿宋"/>
              </w:rPr>
              <w:t>(2)支持设置学生端需要提交的各类文件、文件类型、选题文件。</w:t>
            </w:r>
          </w:p>
          <w:p w14:paraId="21AD2F83">
            <w:pPr>
              <w:rPr>
                <w:rFonts w:ascii="仿宋" w:hAnsi="仿宋" w:cs="仿宋"/>
              </w:rPr>
            </w:pPr>
            <w:r>
              <w:rPr>
                <w:rFonts w:hint="eastAsia" w:ascii="仿宋" w:hAnsi="仿宋" w:cs="仿宋"/>
              </w:rPr>
              <w:t>(3)支持设置教师审核学生论文材料，包括上传审核附件、填写审核意见、评分、设置是否通过、查看审核记录等。支持设置是否允许教师审核后是否发送通知给学生，支持设置允许教师撤销审核。</w:t>
            </w:r>
          </w:p>
        </w:tc>
      </w:tr>
      <w:tr w14:paraId="7614819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975" w:hRule="atLeast"/>
        </w:trPr>
        <w:tc>
          <w:tcPr>
            <w:tcW w:w="557" w:type="pct"/>
            <w:vMerge w:val="continue"/>
            <w:tcBorders>
              <w:top w:val="single" w:color="auto" w:sz="4" w:space="0"/>
              <w:left w:val="single" w:color="auto" w:sz="4" w:space="0"/>
              <w:right w:val="single" w:color="auto" w:sz="4" w:space="0"/>
            </w:tcBorders>
            <w:shd w:val="clear" w:color="auto" w:fill="auto"/>
            <w:noWrap/>
            <w:vAlign w:val="center"/>
          </w:tcPr>
          <w:p w14:paraId="2EC9E48C">
            <w:pPr>
              <w:jc w:val="center"/>
              <w:rPr>
                <w:rFonts w:ascii="仿宋" w:hAnsi="仿宋" w:cs="仿宋"/>
              </w:rPr>
            </w:pPr>
          </w:p>
        </w:tc>
        <w:tc>
          <w:tcPr>
            <w:tcW w:w="464" w:type="pct"/>
            <w:tcBorders>
              <w:top w:val="single" w:color="auto" w:sz="4" w:space="0"/>
              <w:left w:val="single" w:color="auto" w:sz="4" w:space="0"/>
              <w:bottom w:val="single" w:color="auto" w:sz="4" w:space="0"/>
              <w:right w:val="single" w:color="000000" w:sz="4" w:space="0"/>
            </w:tcBorders>
            <w:shd w:val="clear" w:color="auto" w:fill="auto"/>
            <w:vAlign w:val="center"/>
          </w:tcPr>
          <w:p w14:paraId="269BE094">
            <w:pPr>
              <w:jc w:val="center"/>
              <w:rPr>
                <w:rFonts w:ascii="仿宋" w:hAnsi="仿宋" w:cs="仿宋"/>
              </w:rPr>
            </w:pPr>
            <w:r>
              <w:rPr>
                <w:rFonts w:hint="eastAsia" w:ascii="仿宋" w:hAnsi="仿宋" w:cs="仿宋"/>
              </w:rPr>
              <w:t>8.2</w:t>
            </w:r>
          </w:p>
          <w:p w14:paraId="0D894C80">
            <w:pPr>
              <w:jc w:val="center"/>
              <w:rPr>
                <w:rFonts w:ascii="仿宋" w:hAnsi="仿宋" w:cs="仿宋"/>
              </w:rPr>
            </w:pPr>
            <w:r>
              <w:rPr>
                <w:rFonts w:hint="eastAsia" w:ascii="仿宋" w:hAnsi="仿宋" w:cs="仿宋"/>
              </w:rPr>
              <w:t>论文批次管理</w:t>
            </w:r>
          </w:p>
        </w:tc>
        <w:tc>
          <w:tcPr>
            <w:tcW w:w="3977" w:type="pct"/>
            <w:tcBorders>
              <w:top w:val="single" w:color="auto" w:sz="4" w:space="0"/>
              <w:left w:val="single" w:color="000000" w:sz="4" w:space="0"/>
              <w:bottom w:val="single" w:color="auto" w:sz="4" w:space="0"/>
            </w:tcBorders>
            <w:shd w:val="clear" w:color="auto" w:fill="auto"/>
            <w:vAlign w:val="center"/>
          </w:tcPr>
          <w:p w14:paraId="16834A6D">
            <w:pPr>
              <w:rPr>
                <w:rFonts w:ascii="仿宋" w:hAnsi="仿宋" w:cs="仿宋"/>
              </w:rPr>
            </w:pPr>
            <w:r>
              <w:rPr>
                <w:rFonts w:hint="eastAsia" w:ascii="仿宋" w:hAnsi="仿宋" w:cs="仿宋"/>
              </w:rPr>
              <w:t>(1)支持总站管理员可以新增、编辑、删除批次信息，支持设置论文批次下生成学生的规则，并自动生成对应学生名单。支持同一个学期同时设置毕业论文、学位论文类型的批次，支持两个批次同时进行。</w:t>
            </w:r>
          </w:p>
          <w:p w14:paraId="0770E138">
            <w:pPr>
              <w:rPr>
                <w:rFonts w:ascii="仿宋" w:hAnsi="仿宋" w:cs="仿宋"/>
              </w:rPr>
            </w:pPr>
            <w:r>
              <w:rPr>
                <w:rFonts w:hint="eastAsia" w:ascii="仿宋" w:hAnsi="仿宋" w:cs="仿宋"/>
              </w:rPr>
              <w:t>(2)支持查看当前批次论文全流程，支持设置每个流程的起止时间，含论文选题、初稿、终稿、答辩各节点对应的起止时间。</w:t>
            </w:r>
          </w:p>
          <w:p w14:paraId="70A7368F">
            <w:pPr>
              <w:rPr>
                <w:rFonts w:ascii="仿宋" w:hAnsi="仿宋" w:cs="仿宋"/>
              </w:rPr>
            </w:pPr>
            <w:r>
              <w:rPr>
                <w:rFonts w:hint="eastAsia" w:ascii="仿宋" w:hAnsi="仿宋" w:cs="仿宋"/>
              </w:rPr>
              <w:t>(3)成绩管理：支持管理员设置论文成绩的类型，支持五级制、百分制，支持自定义设置等级成绩名称所对应的分数段；管理员可设置论文成绩、答辩成绩、评阅成绩合成毕业课程最终成绩的权重，支持针对不同层次设置生效权重。</w:t>
            </w:r>
          </w:p>
        </w:tc>
      </w:tr>
      <w:tr w14:paraId="06CCFAD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6" w:hRule="atLeast"/>
        </w:trPr>
        <w:tc>
          <w:tcPr>
            <w:tcW w:w="557" w:type="pct"/>
            <w:vMerge w:val="continue"/>
            <w:tcBorders>
              <w:top w:val="single" w:color="auto" w:sz="4" w:space="0"/>
              <w:left w:val="single" w:color="auto" w:sz="4" w:space="0"/>
              <w:right w:val="single" w:color="auto" w:sz="4" w:space="0"/>
            </w:tcBorders>
            <w:shd w:val="clear" w:color="auto" w:fill="auto"/>
            <w:noWrap/>
            <w:vAlign w:val="center"/>
          </w:tcPr>
          <w:p w14:paraId="1A922688">
            <w:pPr>
              <w:jc w:val="center"/>
              <w:rPr>
                <w:rFonts w:ascii="仿宋" w:hAnsi="仿宋" w:cs="仿宋"/>
              </w:rPr>
            </w:pPr>
          </w:p>
        </w:tc>
        <w:tc>
          <w:tcPr>
            <w:tcW w:w="464" w:type="pct"/>
            <w:tcBorders>
              <w:top w:val="single" w:color="auto" w:sz="4" w:space="0"/>
              <w:left w:val="single" w:color="auto" w:sz="4" w:space="0"/>
              <w:bottom w:val="single" w:color="auto" w:sz="4" w:space="0"/>
              <w:right w:val="single" w:color="000000" w:sz="4" w:space="0"/>
            </w:tcBorders>
            <w:shd w:val="clear" w:color="auto" w:fill="auto"/>
            <w:vAlign w:val="center"/>
          </w:tcPr>
          <w:p w14:paraId="06643B44">
            <w:pPr>
              <w:jc w:val="center"/>
              <w:rPr>
                <w:rFonts w:ascii="仿宋" w:hAnsi="仿宋" w:cs="仿宋"/>
              </w:rPr>
            </w:pPr>
            <w:r>
              <w:rPr>
                <w:rFonts w:hint="eastAsia" w:ascii="仿宋" w:hAnsi="仿宋" w:cs="仿宋"/>
              </w:rPr>
              <w:t>8.3</w:t>
            </w:r>
          </w:p>
          <w:p w14:paraId="292CFD84">
            <w:pPr>
              <w:jc w:val="center"/>
              <w:rPr>
                <w:rFonts w:ascii="仿宋" w:hAnsi="仿宋" w:cs="仿宋"/>
              </w:rPr>
            </w:pPr>
            <w:r>
              <w:rPr>
                <w:rFonts w:hint="eastAsia" w:ascii="仿宋" w:hAnsi="仿宋" w:cs="仿宋"/>
              </w:rPr>
              <w:t>论文管理</w:t>
            </w:r>
          </w:p>
        </w:tc>
        <w:tc>
          <w:tcPr>
            <w:tcW w:w="3977" w:type="pct"/>
            <w:tcBorders>
              <w:top w:val="single" w:color="auto" w:sz="4" w:space="0"/>
              <w:left w:val="single" w:color="000000" w:sz="4" w:space="0"/>
              <w:bottom w:val="single" w:color="auto" w:sz="4" w:space="0"/>
            </w:tcBorders>
            <w:shd w:val="clear" w:color="auto" w:fill="auto"/>
            <w:vAlign w:val="center"/>
          </w:tcPr>
          <w:p w14:paraId="77FBC681">
            <w:pPr>
              <w:rPr>
                <w:rFonts w:ascii="仿宋" w:hAnsi="仿宋" w:cs="仿宋"/>
              </w:rPr>
            </w:pPr>
            <w:r>
              <w:rPr>
                <w:rFonts w:hint="eastAsia" w:ascii="仿宋" w:hAnsi="仿宋" w:cs="仿宋"/>
              </w:rPr>
              <w:t>(1)支持管理员查看学生论文业务的相关信息，包括但不限于指导教师、论文题目、论文题目状态、开题报告状态等；可批量下载定稿、查重报告、调整分配教师等。</w:t>
            </w:r>
          </w:p>
          <w:p w14:paraId="780B05C3">
            <w:pPr>
              <w:rPr>
                <w:rFonts w:ascii="仿宋" w:hAnsi="仿宋" w:cs="仿宋"/>
              </w:rPr>
            </w:pPr>
            <w:r>
              <w:rPr>
                <w:rFonts w:hint="eastAsia" w:ascii="仿宋" w:hAnsi="仿宋" w:cs="仿宋"/>
              </w:rPr>
              <w:t>(2)支持按论文抽检要求进行抽检文件命名设置，支持导出论文抽检文件及Excel表格数据内容。</w:t>
            </w:r>
          </w:p>
          <w:p w14:paraId="48242F17">
            <w:pPr>
              <w:rPr>
                <w:rFonts w:ascii="仿宋" w:hAnsi="仿宋" w:cs="仿宋"/>
              </w:rPr>
            </w:pPr>
            <w:r>
              <w:rPr>
                <w:rFonts w:hint="eastAsia" w:ascii="仿宋" w:hAnsi="仿宋" w:cs="仿宋"/>
              </w:rPr>
              <w:t>(3)论文题目管理：支持管理员新增、编辑、删除论文题目，支持上传论文任务书，设置选题限制人数以及选题限制对应的专业。</w:t>
            </w:r>
          </w:p>
          <w:p w14:paraId="569E74CF">
            <w:pPr>
              <w:rPr>
                <w:rFonts w:ascii="仿宋" w:hAnsi="仿宋" w:cs="仿宋"/>
              </w:rPr>
            </w:pPr>
            <w:r>
              <w:rPr>
                <w:rFonts w:hint="eastAsia" w:ascii="仿宋" w:hAnsi="仿宋" w:cs="仿宋"/>
              </w:rPr>
              <w:t>(4)指导教师管理：支持从基础数据教师管理添加教师为指导教师，设置指导教学点、指导专业、最大指导人数。</w:t>
            </w:r>
          </w:p>
          <w:p w14:paraId="2586620F">
            <w:pPr>
              <w:rPr>
                <w:rFonts w:ascii="仿宋" w:hAnsi="仿宋" w:cs="仿宋"/>
              </w:rPr>
            </w:pPr>
            <w:r>
              <w:rPr>
                <w:rFonts w:hint="eastAsia" w:ascii="仿宋" w:hAnsi="仿宋" w:cs="仿宋"/>
              </w:rPr>
              <w:t>(5)论文规范文件：支持管理员依据不同专业上传对应毕业论文规范文件，学生可以在学生端查看、下载对应的论文规范文件。</w:t>
            </w:r>
          </w:p>
        </w:tc>
      </w:tr>
      <w:tr w14:paraId="1E7E031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4" w:hRule="atLeast"/>
        </w:trPr>
        <w:tc>
          <w:tcPr>
            <w:tcW w:w="557" w:type="pct"/>
            <w:vMerge w:val="continue"/>
            <w:tcBorders>
              <w:top w:val="single" w:color="auto" w:sz="4" w:space="0"/>
              <w:left w:val="single" w:color="auto" w:sz="4" w:space="0"/>
              <w:right w:val="single" w:color="auto" w:sz="4" w:space="0"/>
            </w:tcBorders>
            <w:shd w:val="clear" w:color="auto" w:fill="auto"/>
            <w:noWrap/>
            <w:vAlign w:val="center"/>
          </w:tcPr>
          <w:p w14:paraId="23069A02">
            <w:pPr>
              <w:jc w:val="center"/>
              <w:rPr>
                <w:rFonts w:ascii="仿宋" w:hAnsi="仿宋" w:cs="仿宋"/>
              </w:rPr>
            </w:pPr>
          </w:p>
        </w:tc>
        <w:tc>
          <w:tcPr>
            <w:tcW w:w="464" w:type="pct"/>
            <w:tcBorders>
              <w:top w:val="single" w:color="auto" w:sz="4" w:space="0"/>
              <w:left w:val="single" w:color="auto" w:sz="4" w:space="0"/>
              <w:bottom w:val="single" w:color="auto" w:sz="4" w:space="0"/>
              <w:right w:val="single" w:color="000000" w:sz="4" w:space="0"/>
            </w:tcBorders>
            <w:shd w:val="clear" w:color="auto" w:fill="auto"/>
            <w:vAlign w:val="center"/>
          </w:tcPr>
          <w:p w14:paraId="3AD9C3E4">
            <w:pPr>
              <w:jc w:val="center"/>
              <w:rPr>
                <w:rFonts w:ascii="仿宋" w:hAnsi="仿宋" w:cs="仿宋"/>
              </w:rPr>
            </w:pPr>
            <w:r>
              <w:rPr>
                <w:rFonts w:hint="eastAsia" w:ascii="仿宋" w:hAnsi="仿宋" w:cs="仿宋"/>
              </w:rPr>
              <w:t>8.4</w:t>
            </w:r>
          </w:p>
          <w:p w14:paraId="680E7739">
            <w:pPr>
              <w:jc w:val="center"/>
              <w:rPr>
                <w:rFonts w:ascii="仿宋" w:hAnsi="仿宋" w:cs="仿宋"/>
              </w:rPr>
            </w:pPr>
            <w:r>
              <w:rPr>
                <w:rFonts w:hint="eastAsia" w:ascii="仿宋" w:hAnsi="仿宋" w:cs="仿宋"/>
              </w:rPr>
              <w:t>答辩管理</w:t>
            </w:r>
          </w:p>
        </w:tc>
        <w:tc>
          <w:tcPr>
            <w:tcW w:w="3977" w:type="pct"/>
            <w:tcBorders>
              <w:top w:val="single" w:color="auto" w:sz="4" w:space="0"/>
              <w:left w:val="single" w:color="000000" w:sz="4" w:space="0"/>
              <w:bottom w:val="single" w:color="auto" w:sz="4" w:space="0"/>
            </w:tcBorders>
            <w:shd w:val="clear" w:color="auto" w:fill="auto"/>
            <w:vAlign w:val="center"/>
          </w:tcPr>
          <w:p w14:paraId="67E611F4">
            <w:pPr>
              <w:rPr>
                <w:rFonts w:ascii="仿宋" w:hAnsi="仿宋" w:cs="仿宋"/>
              </w:rPr>
            </w:pPr>
            <w:r>
              <w:rPr>
                <w:rFonts w:hint="eastAsia" w:ascii="仿宋" w:hAnsi="仿宋" w:cs="仿宋"/>
              </w:rPr>
              <w:t>(1)答辩批次管理：支持管理员添加、编辑、删除答辩批次信息，设置对应的论文批次，并且生成答辩学生。</w:t>
            </w:r>
          </w:p>
          <w:p w14:paraId="5167D9D0">
            <w:pPr>
              <w:rPr>
                <w:rFonts w:ascii="仿宋" w:hAnsi="仿宋" w:cs="仿宋"/>
              </w:rPr>
            </w:pPr>
            <w:r>
              <w:rPr>
                <w:rFonts w:hint="eastAsia" w:ascii="仿宋" w:hAnsi="仿宋" w:cs="仿宋"/>
              </w:rPr>
              <w:t>(2)答辩学生管理：支持管理员查看答辩学生信息，含所属教学点、层次、专业、手机号、论文题目、论文成绩等。</w:t>
            </w:r>
          </w:p>
          <w:p w14:paraId="7A48D214">
            <w:pPr>
              <w:rPr>
                <w:rFonts w:ascii="仿宋" w:hAnsi="仿宋" w:cs="仿宋"/>
              </w:rPr>
            </w:pPr>
            <w:r>
              <w:rPr>
                <w:rFonts w:hint="eastAsia" w:ascii="仿宋" w:hAnsi="仿宋" w:cs="仿宋"/>
              </w:rPr>
              <w:t>(3)答辩成绩管理：支持管理员单个录入、批量导入答辩学生成绩、评语，支持根据权重设置将论文成绩、答辩成绩、评阅成绩根据比例进行合成，支持发布到总评成绩。</w:t>
            </w:r>
          </w:p>
        </w:tc>
      </w:tr>
      <w:tr w14:paraId="795E0DB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1" w:hRule="atLeast"/>
        </w:trPr>
        <w:tc>
          <w:tcPr>
            <w:tcW w:w="557" w:type="pct"/>
            <w:vMerge w:val="continue"/>
            <w:tcBorders>
              <w:top w:val="single" w:color="auto" w:sz="4" w:space="0"/>
              <w:left w:val="single" w:color="auto" w:sz="4" w:space="0"/>
              <w:right w:val="single" w:color="auto" w:sz="4" w:space="0"/>
            </w:tcBorders>
            <w:shd w:val="clear" w:color="auto" w:fill="auto"/>
            <w:noWrap/>
            <w:vAlign w:val="center"/>
          </w:tcPr>
          <w:p w14:paraId="57EEFBED">
            <w:pPr>
              <w:jc w:val="center"/>
              <w:rPr>
                <w:rFonts w:ascii="仿宋" w:hAnsi="仿宋" w:cs="仿宋"/>
              </w:rPr>
            </w:pPr>
          </w:p>
        </w:tc>
        <w:tc>
          <w:tcPr>
            <w:tcW w:w="464" w:type="pct"/>
            <w:tcBorders>
              <w:top w:val="single" w:color="auto" w:sz="4" w:space="0"/>
              <w:left w:val="single" w:color="auto" w:sz="4" w:space="0"/>
              <w:bottom w:val="single" w:color="auto" w:sz="4" w:space="0"/>
              <w:right w:val="single" w:color="000000" w:sz="4" w:space="0"/>
            </w:tcBorders>
            <w:shd w:val="clear" w:color="auto" w:fill="auto"/>
            <w:vAlign w:val="center"/>
          </w:tcPr>
          <w:p w14:paraId="1E0F9688">
            <w:pPr>
              <w:jc w:val="center"/>
              <w:rPr>
                <w:rFonts w:ascii="仿宋" w:hAnsi="仿宋" w:cs="仿宋"/>
              </w:rPr>
            </w:pPr>
            <w:r>
              <w:rPr>
                <w:rFonts w:hint="eastAsia" w:ascii="仿宋" w:hAnsi="仿宋" w:cs="仿宋"/>
              </w:rPr>
              <w:t>8.5</w:t>
            </w:r>
          </w:p>
          <w:p w14:paraId="25EAB004">
            <w:pPr>
              <w:jc w:val="center"/>
              <w:rPr>
                <w:rFonts w:ascii="仿宋" w:hAnsi="仿宋" w:cs="仿宋"/>
              </w:rPr>
            </w:pPr>
            <w:r>
              <w:rPr>
                <w:rFonts w:hint="eastAsia" w:ascii="仿宋" w:hAnsi="仿宋" w:cs="仿宋"/>
              </w:rPr>
              <w:t>成绩管理</w:t>
            </w:r>
          </w:p>
        </w:tc>
        <w:tc>
          <w:tcPr>
            <w:tcW w:w="3977" w:type="pct"/>
            <w:tcBorders>
              <w:top w:val="single" w:color="auto" w:sz="4" w:space="0"/>
              <w:left w:val="single" w:color="000000" w:sz="4" w:space="0"/>
              <w:bottom w:val="single" w:color="auto" w:sz="4" w:space="0"/>
            </w:tcBorders>
            <w:shd w:val="clear" w:color="auto" w:fill="auto"/>
            <w:vAlign w:val="center"/>
          </w:tcPr>
          <w:p w14:paraId="3E764937">
            <w:pPr>
              <w:rPr>
                <w:rFonts w:ascii="仿宋" w:hAnsi="仿宋" w:cs="仿宋"/>
              </w:rPr>
            </w:pPr>
            <w:r>
              <w:rPr>
                <w:rFonts w:hint="eastAsia" w:ascii="仿宋" w:hAnsi="仿宋" w:cs="仿宋"/>
              </w:rPr>
              <w:t>(1)论文成绩发布：支持管理员查看指导教师给出的论文成绩，支持将论文成绩发布到总评成绩中，同时也支持导入通用版成绩数据。</w:t>
            </w:r>
          </w:p>
          <w:p w14:paraId="7978AB1C">
            <w:pPr>
              <w:rPr>
                <w:rFonts w:ascii="仿宋" w:hAnsi="仿宋" w:cs="仿宋"/>
              </w:rPr>
            </w:pPr>
            <w:r>
              <w:rPr>
                <w:rFonts w:hint="eastAsia" w:ascii="仿宋" w:hAnsi="仿宋" w:cs="仿宋"/>
              </w:rPr>
              <w:t>(2)支持根据权重设置将论文成绩、答辩成绩、评阅成绩根据比例进行合成，支持发布到总评成绩。</w:t>
            </w:r>
          </w:p>
          <w:p w14:paraId="5F98DAAE">
            <w:pPr>
              <w:rPr>
                <w:rFonts w:ascii="仿宋" w:hAnsi="仿宋" w:cs="仿宋"/>
              </w:rPr>
            </w:pPr>
            <w:r>
              <w:rPr>
                <w:rFonts w:hint="eastAsia" w:ascii="仿宋" w:hAnsi="仿宋" w:cs="仿宋"/>
              </w:rPr>
              <w:t>(3)支持在线生成《毕业设计(论文)暨答辩成绩单》，并可批量下载。</w:t>
            </w:r>
          </w:p>
          <w:p w14:paraId="28FA14DC">
            <w:pPr>
              <w:rPr>
                <w:rFonts w:ascii="仿宋" w:hAnsi="仿宋" w:cs="仿宋"/>
              </w:rPr>
            </w:pPr>
            <w:r>
              <w:rPr>
                <w:rFonts w:hint="eastAsia" w:ascii="仿宋" w:hAnsi="仿宋" w:cs="仿宋"/>
              </w:rPr>
              <w:t>(4)指导教师可以下载、查看学生论文所有相关信息；可以输入或导入专业实践成绩和毕业设计(论文)成绩；可以导出学生汇总信息；可以打印相应的成绩汇总表；可以自定义五级制成绩评语以及学生个性化评语；可以批量生成每个学生的答辩成绩单；可以批量下载学生论文等文件。能免费开展在线作业、课程小论文、毕业论文等查重服务。</w:t>
            </w:r>
          </w:p>
          <w:p w14:paraId="54B49289">
            <w:pPr>
              <w:rPr>
                <w:rFonts w:ascii="仿宋" w:hAnsi="仿宋" w:cs="仿宋"/>
              </w:rPr>
            </w:pPr>
            <w:r>
              <w:rPr>
                <w:rFonts w:hint="eastAsia" w:ascii="仿宋" w:hAnsi="仿宋" w:cs="仿宋"/>
              </w:rPr>
              <w:t>(5)支持按照教育厅要求指定格式上报论文及相关电子资料，导出的数据能兼容“全国本科毕业论文(设计)抽检信息平台”中《20XX/20XX学年度本科毕业论文(设计)抽检工作学位授予信息补充、论文原文及专家库上报要求》。</w:t>
            </w:r>
          </w:p>
        </w:tc>
      </w:tr>
      <w:tr w14:paraId="1681B32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49" w:hRule="atLeast"/>
        </w:trPr>
        <w:tc>
          <w:tcPr>
            <w:tcW w:w="557" w:type="pct"/>
            <w:vMerge w:val="continue"/>
            <w:tcBorders>
              <w:top w:val="single" w:color="auto" w:sz="4" w:space="0"/>
              <w:left w:val="single" w:color="auto" w:sz="4" w:space="0"/>
              <w:right w:val="single" w:color="auto" w:sz="4" w:space="0"/>
            </w:tcBorders>
            <w:shd w:val="clear" w:color="auto" w:fill="auto"/>
            <w:noWrap/>
            <w:vAlign w:val="center"/>
          </w:tcPr>
          <w:p w14:paraId="61F4A6E0">
            <w:pPr>
              <w:jc w:val="center"/>
              <w:rPr>
                <w:rFonts w:ascii="仿宋" w:hAnsi="仿宋" w:cs="仿宋"/>
              </w:rPr>
            </w:pPr>
          </w:p>
        </w:tc>
        <w:tc>
          <w:tcPr>
            <w:tcW w:w="464" w:type="pct"/>
            <w:tcBorders>
              <w:top w:val="single" w:color="auto" w:sz="4" w:space="0"/>
              <w:left w:val="single" w:color="auto" w:sz="4" w:space="0"/>
              <w:right w:val="single" w:color="000000" w:sz="4" w:space="0"/>
            </w:tcBorders>
            <w:shd w:val="clear" w:color="auto" w:fill="auto"/>
            <w:vAlign w:val="center"/>
          </w:tcPr>
          <w:p w14:paraId="04523A07">
            <w:pPr>
              <w:jc w:val="center"/>
              <w:rPr>
                <w:rFonts w:ascii="仿宋" w:hAnsi="仿宋" w:cs="仿宋"/>
              </w:rPr>
            </w:pPr>
            <w:r>
              <w:rPr>
                <w:rFonts w:hint="eastAsia" w:ascii="仿宋" w:hAnsi="仿宋" w:cs="仿宋"/>
              </w:rPr>
              <w:t>8.6</w:t>
            </w:r>
          </w:p>
          <w:p w14:paraId="3D784BD5">
            <w:pPr>
              <w:jc w:val="center"/>
              <w:rPr>
                <w:rFonts w:ascii="仿宋" w:hAnsi="仿宋" w:cs="仿宋"/>
              </w:rPr>
            </w:pPr>
            <w:r>
              <w:rPr>
                <w:rFonts w:hint="eastAsia" w:ascii="仿宋" w:hAnsi="仿宋" w:cs="仿宋"/>
              </w:rPr>
              <w:t>专业实践管理</w:t>
            </w:r>
          </w:p>
        </w:tc>
        <w:tc>
          <w:tcPr>
            <w:tcW w:w="3977" w:type="pct"/>
            <w:tcBorders>
              <w:top w:val="single" w:color="auto" w:sz="4" w:space="0"/>
              <w:left w:val="single" w:color="000000" w:sz="4" w:space="0"/>
            </w:tcBorders>
            <w:shd w:val="clear" w:color="auto" w:fill="auto"/>
            <w:vAlign w:val="center"/>
          </w:tcPr>
          <w:p w14:paraId="4C1235AE">
            <w:pPr>
              <w:rPr>
                <w:rFonts w:ascii="仿宋" w:hAnsi="仿宋" w:cs="仿宋"/>
              </w:rPr>
            </w:pPr>
            <w:r>
              <w:rPr>
                <w:rFonts w:hint="eastAsia" w:ascii="仿宋" w:hAnsi="仿宋" w:cs="仿宋"/>
              </w:rPr>
              <w:t>支持同班级分配多个指导老师指导专业实践，支持专业实践课线上全流程管理，学生可线上提交专业实践材料，免费开展材料的相似度检查，并将结果反馈给教师和管理人员。方便教师开展实习实践成绩的评定，实现成绩的导入、导出和打印等功能。</w:t>
            </w:r>
          </w:p>
        </w:tc>
      </w:tr>
      <w:tr w14:paraId="60CADC9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67" w:hRule="atLeast"/>
        </w:trPr>
        <w:tc>
          <w:tcPr>
            <w:tcW w:w="557" w:type="pct"/>
            <w:vMerge w:val="restart"/>
            <w:tcBorders>
              <w:top w:val="single" w:color="auto" w:sz="4" w:space="0"/>
              <w:left w:val="single" w:color="auto" w:sz="4" w:space="0"/>
              <w:right w:val="single" w:color="auto" w:sz="4" w:space="0"/>
            </w:tcBorders>
            <w:shd w:val="clear" w:color="auto" w:fill="auto"/>
            <w:noWrap/>
            <w:vAlign w:val="center"/>
          </w:tcPr>
          <w:p w14:paraId="057FCE66">
            <w:pPr>
              <w:jc w:val="center"/>
              <w:rPr>
                <w:rFonts w:ascii="仿宋" w:hAnsi="仿宋" w:cs="仿宋"/>
              </w:rPr>
            </w:pPr>
            <w:r>
              <w:rPr>
                <w:rFonts w:hint="eastAsia" w:ascii="仿宋" w:hAnsi="仿宋" w:cs="仿宋"/>
              </w:rPr>
              <w:t>9、</w:t>
            </w:r>
          </w:p>
          <w:p w14:paraId="40FCC6A9">
            <w:pPr>
              <w:jc w:val="center"/>
              <w:rPr>
                <w:rFonts w:ascii="仿宋" w:hAnsi="仿宋" w:cs="仿宋"/>
              </w:rPr>
            </w:pPr>
            <w:r>
              <w:rPr>
                <w:rFonts w:hint="eastAsia" w:ascii="仿宋" w:hAnsi="仿宋" w:cs="仿宋"/>
              </w:rPr>
              <w:t>其他管理模块升级</w:t>
            </w:r>
          </w:p>
        </w:tc>
        <w:tc>
          <w:tcPr>
            <w:tcW w:w="464" w:type="pct"/>
            <w:tcBorders>
              <w:top w:val="single" w:color="auto" w:sz="4" w:space="0"/>
              <w:left w:val="single" w:color="auto" w:sz="4" w:space="0"/>
              <w:bottom w:val="single" w:color="000000" w:sz="4" w:space="0"/>
              <w:right w:val="single" w:color="000000" w:sz="4" w:space="0"/>
            </w:tcBorders>
            <w:shd w:val="clear" w:color="auto" w:fill="auto"/>
            <w:vAlign w:val="center"/>
          </w:tcPr>
          <w:p w14:paraId="7BA67135">
            <w:pPr>
              <w:jc w:val="center"/>
              <w:rPr>
                <w:rFonts w:ascii="仿宋" w:hAnsi="仿宋" w:cs="仿宋"/>
              </w:rPr>
            </w:pPr>
            <w:r>
              <w:rPr>
                <w:rFonts w:hint="eastAsia" w:ascii="仿宋" w:hAnsi="仿宋" w:cs="仿宋"/>
              </w:rPr>
              <w:t>9.1</w:t>
            </w:r>
          </w:p>
          <w:p w14:paraId="5A29820B">
            <w:pPr>
              <w:jc w:val="center"/>
              <w:rPr>
                <w:rFonts w:ascii="仿宋" w:hAnsi="仿宋" w:cs="仿宋"/>
              </w:rPr>
            </w:pPr>
            <w:r>
              <w:rPr>
                <w:rFonts w:hint="eastAsia" w:ascii="仿宋" w:hAnsi="仿宋" w:cs="仿宋"/>
              </w:rPr>
              <w:t>课程库管理</w:t>
            </w:r>
          </w:p>
        </w:tc>
        <w:tc>
          <w:tcPr>
            <w:tcW w:w="3977" w:type="pct"/>
            <w:tcBorders>
              <w:top w:val="single" w:color="auto" w:sz="4" w:space="0"/>
              <w:left w:val="single" w:color="000000" w:sz="4" w:space="0"/>
              <w:bottom w:val="single" w:color="000000" w:sz="4" w:space="0"/>
            </w:tcBorders>
            <w:shd w:val="clear" w:color="auto" w:fill="auto"/>
            <w:vAlign w:val="center"/>
          </w:tcPr>
          <w:p w14:paraId="6625317B">
            <w:pPr>
              <w:rPr>
                <w:rFonts w:ascii="仿宋" w:hAnsi="仿宋" w:cs="仿宋"/>
              </w:rPr>
            </w:pPr>
            <w:r>
              <w:rPr>
                <w:rFonts w:hint="eastAsia" w:ascii="仿宋" w:hAnsi="仿宋" w:cs="仿宋"/>
              </w:rPr>
              <w:t>建立课程库，按学校的课程体系和课程编码规则，进行课程的分类管理。实现课程教学大纲、视频、课件、题库、教材等各类资源管理，方便师生和管理人员进行课程查阅和管理。</w:t>
            </w:r>
          </w:p>
        </w:tc>
      </w:tr>
      <w:tr w14:paraId="19CA821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75" w:hRule="atLeast"/>
        </w:trPr>
        <w:tc>
          <w:tcPr>
            <w:tcW w:w="557" w:type="pct"/>
            <w:vMerge w:val="continue"/>
            <w:tcBorders>
              <w:left w:val="single" w:color="auto" w:sz="4" w:space="0"/>
              <w:right w:val="single" w:color="auto" w:sz="4" w:space="0"/>
            </w:tcBorders>
            <w:shd w:val="clear" w:color="auto" w:fill="auto"/>
            <w:noWrap/>
            <w:vAlign w:val="center"/>
          </w:tcPr>
          <w:p w14:paraId="5E2D230D">
            <w:pPr>
              <w:jc w:val="center"/>
              <w:rPr>
                <w:rFonts w:ascii="仿宋" w:hAnsi="仿宋" w:cs="仿宋"/>
              </w:rPr>
            </w:pPr>
          </w:p>
        </w:tc>
        <w:tc>
          <w:tcPr>
            <w:tcW w:w="464" w:type="pct"/>
            <w:tcBorders>
              <w:top w:val="single" w:color="000000" w:sz="4" w:space="0"/>
              <w:left w:val="single" w:color="auto" w:sz="4" w:space="0"/>
              <w:bottom w:val="single" w:color="auto" w:sz="4" w:space="0"/>
              <w:right w:val="single" w:color="000000" w:sz="4" w:space="0"/>
            </w:tcBorders>
            <w:shd w:val="clear" w:color="auto" w:fill="auto"/>
            <w:vAlign w:val="center"/>
          </w:tcPr>
          <w:p w14:paraId="71DB8E96">
            <w:pPr>
              <w:jc w:val="center"/>
              <w:rPr>
                <w:rFonts w:ascii="仿宋" w:hAnsi="仿宋" w:cs="仿宋"/>
              </w:rPr>
            </w:pPr>
            <w:r>
              <w:rPr>
                <w:rFonts w:hint="eastAsia" w:ascii="仿宋" w:hAnsi="仿宋" w:cs="仿宋"/>
              </w:rPr>
              <w:t>9.2</w:t>
            </w:r>
          </w:p>
          <w:p w14:paraId="0A828F36">
            <w:pPr>
              <w:jc w:val="center"/>
              <w:rPr>
                <w:rFonts w:ascii="仿宋" w:hAnsi="仿宋" w:cs="仿宋"/>
              </w:rPr>
            </w:pPr>
            <w:r>
              <w:rPr>
                <w:rFonts w:hint="eastAsia" w:ascii="仿宋" w:hAnsi="仿宋" w:cs="仿宋"/>
              </w:rPr>
              <w:t>成绩管理</w:t>
            </w:r>
          </w:p>
        </w:tc>
        <w:tc>
          <w:tcPr>
            <w:tcW w:w="3977" w:type="pct"/>
            <w:tcBorders>
              <w:top w:val="single" w:color="000000" w:sz="4" w:space="0"/>
              <w:left w:val="single" w:color="000000" w:sz="4" w:space="0"/>
              <w:bottom w:val="single" w:color="auto" w:sz="4" w:space="0"/>
            </w:tcBorders>
            <w:shd w:val="clear" w:color="auto" w:fill="auto"/>
            <w:vAlign w:val="center"/>
          </w:tcPr>
          <w:p w14:paraId="2903637D">
            <w:pPr>
              <w:rPr>
                <w:rFonts w:ascii="仿宋" w:hAnsi="仿宋" w:cs="仿宋"/>
              </w:rPr>
            </w:pPr>
            <w:r>
              <w:rPr>
                <w:rFonts w:hint="eastAsia" w:ascii="仿宋" w:hAnsi="仿宋" w:cs="仿宋"/>
              </w:rPr>
              <w:t>方便各类老师能快速输入课程的正考、补考、重学等各类成绩，界面友好。与考试系统对接，能把考试过程中缺考等异常状态信息自动在课程成绩中进行设置，实现无人工干预。各类成绩的输入、修改等在系统中长期留痕。能进行成绩分布合理性分析统计，并进行可视化展示。</w:t>
            </w:r>
          </w:p>
        </w:tc>
      </w:tr>
      <w:tr w14:paraId="794FA64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58" w:hRule="atLeast"/>
        </w:trPr>
        <w:tc>
          <w:tcPr>
            <w:tcW w:w="557" w:type="pct"/>
            <w:vMerge w:val="continue"/>
            <w:tcBorders>
              <w:left w:val="single" w:color="auto" w:sz="4" w:space="0"/>
              <w:right w:val="single" w:color="auto" w:sz="4" w:space="0"/>
            </w:tcBorders>
            <w:shd w:val="clear" w:color="auto" w:fill="auto"/>
            <w:noWrap/>
            <w:vAlign w:val="center"/>
          </w:tcPr>
          <w:p w14:paraId="5DFED5BF">
            <w:pPr>
              <w:jc w:val="center"/>
              <w:rPr>
                <w:rFonts w:ascii="仿宋" w:hAnsi="仿宋" w:cs="仿宋"/>
              </w:rPr>
            </w:pPr>
          </w:p>
        </w:tc>
        <w:tc>
          <w:tcPr>
            <w:tcW w:w="464" w:type="pct"/>
            <w:tcBorders>
              <w:top w:val="single" w:color="auto" w:sz="4" w:space="0"/>
              <w:left w:val="single" w:color="auto" w:sz="4" w:space="0"/>
              <w:bottom w:val="single" w:color="000000" w:sz="4" w:space="0"/>
              <w:right w:val="single" w:color="000000" w:sz="4" w:space="0"/>
            </w:tcBorders>
            <w:shd w:val="clear" w:color="auto" w:fill="auto"/>
            <w:vAlign w:val="center"/>
          </w:tcPr>
          <w:p w14:paraId="35C8ACAE">
            <w:pPr>
              <w:jc w:val="center"/>
              <w:rPr>
                <w:rFonts w:ascii="仿宋" w:hAnsi="仿宋" w:cs="仿宋"/>
              </w:rPr>
            </w:pPr>
            <w:r>
              <w:rPr>
                <w:rFonts w:hint="eastAsia" w:ascii="仿宋" w:hAnsi="仿宋" w:cs="仿宋"/>
              </w:rPr>
              <w:t>9.3</w:t>
            </w:r>
          </w:p>
          <w:p w14:paraId="22197A25">
            <w:pPr>
              <w:jc w:val="center"/>
              <w:rPr>
                <w:rFonts w:ascii="仿宋" w:hAnsi="仿宋" w:cs="仿宋"/>
              </w:rPr>
            </w:pPr>
            <w:r>
              <w:rPr>
                <w:rFonts w:hint="eastAsia" w:ascii="仿宋" w:hAnsi="仿宋" w:cs="仿宋"/>
              </w:rPr>
              <w:t>重修管理</w:t>
            </w:r>
          </w:p>
        </w:tc>
        <w:tc>
          <w:tcPr>
            <w:tcW w:w="3977" w:type="pct"/>
            <w:tcBorders>
              <w:top w:val="single" w:color="auto" w:sz="4" w:space="0"/>
              <w:left w:val="single" w:color="000000" w:sz="4" w:space="0"/>
              <w:bottom w:val="single" w:color="000000" w:sz="4" w:space="0"/>
            </w:tcBorders>
            <w:shd w:val="clear" w:color="auto" w:fill="auto"/>
            <w:vAlign w:val="center"/>
          </w:tcPr>
          <w:p w14:paraId="01C58E94">
            <w:pPr>
              <w:rPr>
                <w:rFonts w:ascii="仿宋" w:hAnsi="仿宋" w:cs="仿宋"/>
              </w:rPr>
            </w:pPr>
            <w:r>
              <w:rPr>
                <w:rFonts w:hint="eastAsia" w:ascii="仿宋" w:hAnsi="仿宋" w:cs="仿宋"/>
              </w:rPr>
              <w:t>根据人才培养方案，结合学期教学计划和学生选课人数，开展重修课程开设，实现学生重修课程的在线申请、缴费、学习、考试、成绩等重修业务一体化管理。教学管理中，所有学生的申请(包括学籍异动、免修申请、重修申请等)，在管理员审核之前应能修改。</w:t>
            </w:r>
          </w:p>
        </w:tc>
      </w:tr>
      <w:tr w14:paraId="279E2BA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47" w:hRule="atLeast"/>
        </w:trPr>
        <w:tc>
          <w:tcPr>
            <w:tcW w:w="557" w:type="pct"/>
            <w:vMerge w:val="continue"/>
            <w:tcBorders>
              <w:left w:val="single" w:color="auto" w:sz="4" w:space="0"/>
              <w:right w:val="single" w:color="auto" w:sz="4" w:space="0"/>
            </w:tcBorders>
            <w:shd w:val="clear" w:color="auto" w:fill="auto"/>
            <w:noWrap/>
            <w:vAlign w:val="center"/>
          </w:tcPr>
          <w:p w14:paraId="32CF528A">
            <w:pPr>
              <w:jc w:val="center"/>
              <w:rPr>
                <w:rFonts w:ascii="仿宋" w:hAnsi="仿宋" w:cs="仿宋"/>
              </w:rPr>
            </w:pPr>
          </w:p>
        </w:tc>
        <w:tc>
          <w:tcPr>
            <w:tcW w:w="464" w:type="pct"/>
            <w:tcBorders>
              <w:top w:val="single" w:color="000000" w:sz="4" w:space="0"/>
              <w:left w:val="single" w:color="auto" w:sz="4" w:space="0"/>
              <w:bottom w:val="single" w:color="000000" w:sz="4" w:space="0"/>
              <w:right w:val="single" w:color="000000" w:sz="4" w:space="0"/>
            </w:tcBorders>
            <w:shd w:val="clear" w:color="auto" w:fill="auto"/>
            <w:vAlign w:val="center"/>
          </w:tcPr>
          <w:p w14:paraId="5D7BAE02">
            <w:pPr>
              <w:jc w:val="center"/>
              <w:rPr>
                <w:rFonts w:ascii="仿宋" w:hAnsi="仿宋" w:cs="仿宋"/>
              </w:rPr>
            </w:pPr>
            <w:r>
              <w:rPr>
                <w:rFonts w:hint="eastAsia" w:ascii="仿宋" w:hAnsi="仿宋" w:cs="仿宋"/>
              </w:rPr>
              <w:t>9.4</w:t>
            </w:r>
          </w:p>
          <w:p w14:paraId="2275CDA8">
            <w:pPr>
              <w:jc w:val="center"/>
              <w:rPr>
                <w:rFonts w:ascii="仿宋" w:hAnsi="仿宋" w:cs="仿宋"/>
              </w:rPr>
            </w:pPr>
            <w:r>
              <w:rPr>
                <w:rFonts w:hint="eastAsia" w:ascii="仿宋" w:hAnsi="仿宋" w:cs="仿宋"/>
              </w:rPr>
              <w:t>毕业管理</w:t>
            </w:r>
          </w:p>
        </w:tc>
        <w:tc>
          <w:tcPr>
            <w:tcW w:w="3977" w:type="pct"/>
            <w:tcBorders>
              <w:top w:val="single" w:color="000000" w:sz="4" w:space="0"/>
              <w:left w:val="single" w:color="000000" w:sz="4" w:space="0"/>
              <w:bottom w:val="single" w:color="000000" w:sz="4" w:space="0"/>
            </w:tcBorders>
            <w:shd w:val="clear" w:color="auto" w:fill="auto"/>
            <w:vAlign w:val="center"/>
          </w:tcPr>
          <w:p w14:paraId="600651DF">
            <w:pPr>
              <w:rPr>
                <w:rFonts w:ascii="仿宋" w:hAnsi="仿宋" w:cs="仿宋"/>
              </w:rPr>
            </w:pPr>
            <w:r>
              <w:rPr>
                <w:rFonts w:hint="eastAsia" w:ascii="仿宋" w:hAnsi="仿宋" w:cs="仿宋"/>
              </w:rPr>
              <w:t>(1)档案补办：支持管理员后台导入平台外得学生信息，生成毕业证明书补办，学位证明书补办，支持导出毕业证明书和学位证明书。</w:t>
            </w:r>
          </w:p>
          <w:p w14:paraId="5A4D8129">
            <w:pPr>
              <w:rPr>
                <w:rFonts w:ascii="仿宋" w:hAnsi="仿宋" w:cs="仿宋"/>
              </w:rPr>
            </w:pPr>
            <w:r>
              <w:rPr>
                <w:rFonts w:hint="eastAsia" w:ascii="仿宋" w:hAnsi="仿宋" w:cs="仿宋"/>
              </w:rPr>
              <w:t>(2)支持毕业学生和结业学生需要一起生成证书编号。</w:t>
            </w:r>
          </w:p>
          <w:p w14:paraId="3654D881">
            <w:pPr>
              <w:rPr>
                <w:rFonts w:ascii="仿宋" w:hAnsi="仿宋" w:cs="仿宋"/>
              </w:rPr>
            </w:pPr>
            <w:r>
              <w:rPr>
                <w:rFonts w:hint="eastAsia" w:ascii="仿宋" w:hAnsi="仿宋" w:cs="仿宋"/>
              </w:rPr>
              <w:t>(3)支持导出证书发放一览表。</w:t>
            </w:r>
          </w:p>
          <w:p w14:paraId="381DA226">
            <w:pPr>
              <w:rPr>
                <w:rFonts w:ascii="仿宋" w:hAnsi="仿宋" w:cs="仿宋"/>
              </w:rPr>
            </w:pPr>
            <w:r>
              <w:rPr>
                <w:rFonts w:hint="eastAsia" w:ascii="仿宋" w:hAnsi="仿宋" w:cs="仿宋"/>
              </w:rPr>
              <w:t>支持预毕业学生信息的管理，支持从外部导入毕业生数据，进行信息维护、编号、毕业审核、证书打印等操作，且不影响这批学生在系统中的原有所有操作，如录成绩等。</w:t>
            </w:r>
          </w:p>
          <w:p w14:paraId="4D49C1BE">
            <w:pPr>
              <w:rPr>
                <w:rFonts w:ascii="仿宋" w:hAnsi="仿宋" w:cs="仿宋"/>
              </w:rPr>
            </w:pPr>
            <w:r>
              <w:rPr>
                <w:rFonts w:hint="eastAsia" w:ascii="仿宋" w:hAnsi="仿宋" w:cs="仿宋"/>
              </w:rPr>
              <w:t>(4)支持往届毕业生信息的维护管理，支持查询、统计等功能，结业换证功能。</w:t>
            </w:r>
          </w:p>
        </w:tc>
      </w:tr>
      <w:tr w14:paraId="0A2093B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50" w:hRule="atLeast"/>
        </w:trPr>
        <w:tc>
          <w:tcPr>
            <w:tcW w:w="557" w:type="pct"/>
            <w:vMerge w:val="continue"/>
            <w:tcBorders>
              <w:left w:val="single" w:color="auto" w:sz="4" w:space="0"/>
              <w:bottom w:val="single" w:color="auto" w:sz="4" w:space="0"/>
              <w:right w:val="single" w:color="auto" w:sz="4" w:space="0"/>
            </w:tcBorders>
            <w:shd w:val="clear" w:color="auto" w:fill="auto"/>
            <w:noWrap/>
            <w:vAlign w:val="center"/>
          </w:tcPr>
          <w:p w14:paraId="643B370F">
            <w:pPr>
              <w:jc w:val="center"/>
              <w:rPr>
                <w:rFonts w:ascii="仿宋" w:hAnsi="仿宋" w:cs="仿宋"/>
              </w:rPr>
            </w:pPr>
          </w:p>
        </w:tc>
        <w:tc>
          <w:tcPr>
            <w:tcW w:w="464" w:type="pct"/>
            <w:tcBorders>
              <w:top w:val="single" w:color="000000" w:sz="4" w:space="0"/>
              <w:left w:val="single" w:color="auto" w:sz="4" w:space="0"/>
              <w:bottom w:val="single" w:color="auto" w:sz="4" w:space="0"/>
              <w:right w:val="single" w:color="000000" w:sz="4" w:space="0"/>
            </w:tcBorders>
            <w:shd w:val="clear" w:color="auto" w:fill="auto"/>
            <w:vAlign w:val="center"/>
          </w:tcPr>
          <w:p w14:paraId="11925C70">
            <w:pPr>
              <w:jc w:val="center"/>
              <w:rPr>
                <w:rFonts w:ascii="仿宋" w:hAnsi="仿宋" w:cs="仿宋"/>
              </w:rPr>
            </w:pPr>
            <w:r>
              <w:rPr>
                <w:rFonts w:hint="eastAsia" w:ascii="仿宋" w:hAnsi="仿宋" w:cs="仿宋"/>
              </w:rPr>
              <w:t>9.5</w:t>
            </w:r>
          </w:p>
          <w:p w14:paraId="16976776">
            <w:pPr>
              <w:jc w:val="center"/>
              <w:rPr>
                <w:rFonts w:ascii="仿宋" w:hAnsi="仿宋" w:cs="仿宋"/>
              </w:rPr>
            </w:pPr>
            <w:r>
              <w:rPr>
                <w:rFonts w:hint="eastAsia" w:ascii="仿宋" w:hAnsi="仿宋" w:cs="仿宋"/>
              </w:rPr>
              <w:t>学位管理</w:t>
            </w:r>
          </w:p>
        </w:tc>
        <w:tc>
          <w:tcPr>
            <w:tcW w:w="3977" w:type="pct"/>
            <w:tcBorders>
              <w:top w:val="single" w:color="000000" w:sz="4" w:space="0"/>
              <w:left w:val="single" w:color="000000" w:sz="4" w:space="0"/>
              <w:bottom w:val="single" w:color="auto" w:sz="4" w:space="0"/>
            </w:tcBorders>
            <w:shd w:val="clear" w:color="auto" w:fill="auto"/>
            <w:vAlign w:val="center"/>
          </w:tcPr>
          <w:p w14:paraId="61A0B932">
            <w:pPr>
              <w:rPr>
                <w:rFonts w:ascii="仿宋" w:hAnsi="仿宋" w:cs="仿宋"/>
              </w:rPr>
            </w:pPr>
            <w:r>
              <w:rPr>
                <w:rFonts w:hint="eastAsia" w:ascii="仿宋" w:hAnsi="仿宋" w:cs="仿宋"/>
              </w:rPr>
              <w:t>(1)支持设置学位申请条件：能按学校成人高等学历学士学位授予条例（按学生毕业时间），开展学位申请条件的设置。</w:t>
            </w:r>
          </w:p>
          <w:p w14:paraId="124A509C">
            <w:pPr>
              <w:rPr>
                <w:rFonts w:ascii="仿宋" w:hAnsi="仿宋" w:cs="仿宋"/>
              </w:rPr>
            </w:pPr>
            <w:r>
              <w:rPr>
                <w:rFonts w:hint="eastAsia" w:ascii="仿宋" w:hAnsi="仿宋" w:cs="仿宋"/>
              </w:rPr>
              <w:t>(2)支持管理员设置英语证书类型，支持学生申请学位时选择学位英语证书。</w:t>
            </w:r>
          </w:p>
          <w:p w14:paraId="0BF8E07D">
            <w:pPr>
              <w:rPr>
                <w:rFonts w:ascii="仿宋" w:hAnsi="仿宋" w:cs="仿宋"/>
              </w:rPr>
            </w:pPr>
            <w:r>
              <w:rPr>
                <w:rFonts w:hint="eastAsia" w:ascii="仿宋" w:hAnsi="仿宋" w:cs="仿宋"/>
              </w:rPr>
              <w:t>(3)支持对申请学生进行二级审核。</w:t>
            </w:r>
          </w:p>
          <w:p w14:paraId="4D7A23DF">
            <w:pPr>
              <w:rPr>
                <w:rFonts w:ascii="仿宋" w:hAnsi="仿宋" w:cs="仿宋"/>
              </w:rPr>
            </w:pPr>
            <w:r>
              <w:rPr>
                <w:rFonts w:hint="eastAsia" w:ascii="仿宋" w:hAnsi="仿宋" w:cs="仿宋"/>
              </w:rPr>
              <w:t>(4)支持导出学位证书签收单、学士学位授予登记表。</w:t>
            </w:r>
          </w:p>
          <w:p w14:paraId="31DDBA29">
            <w:pPr>
              <w:rPr>
                <w:rFonts w:ascii="仿宋" w:hAnsi="仿宋" w:cs="仿宋"/>
              </w:rPr>
            </w:pPr>
            <w:r>
              <w:rPr>
                <w:rFonts w:hint="eastAsia" w:ascii="仿宋" w:hAnsi="仿宋" w:cs="仿宋"/>
              </w:rPr>
              <w:t>(5)支持学位的预申请制。</w:t>
            </w:r>
          </w:p>
          <w:p w14:paraId="0C91BB71">
            <w:pPr>
              <w:rPr>
                <w:rFonts w:ascii="仿宋" w:hAnsi="仿宋" w:cs="仿宋"/>
              </w:rPr>
            </w:pPr>
            <w:r>
              <w:rPr>
                <w:rFonts w:hint="eastAsia" w:ascii="仿宋" w:hAnsi="仿宋" w:cs="仿宋"/>
              </w:rPr>
              <w:t>(6)支持往届毕业生学位信息维护与管理。</w:t>
            </w:r>
          </w:p>
        </w:tc>
      </w:tr>
      <w:tr w14:paraId="7FAFB2C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57" w:hRule="atLeast"/>
        </w:trPr>
        <w:tc>
          <w:tcPr>
            <w:tcW w:w="557" w:type="pct"/>
            <w:vMerge w:val="restart"/>
            <w:tcBorders>
              <w:top w:val="single" w:color="auto" w:sz="4" w:space="0"/>
              <w:left w:val="single" w:color="auto" w:sz="4" w:space="0"/>
              <w:right w:val="single" w:color="auto" w:sz="4" w:space="0"/>
            </w:tcBorders>
            <w:shd w:val="clear" w:color="auto" w:fill="auto"/>
            <w:noWrap/>
            <w:vAlign w:val="center"/>
          </w:tcPr>
          <w:p w14:paraId="2910C917">
            <w:pPr>
              <w:jc w:val="center"/>
              <w:rPr>
                <w:rFonts w:ascii="仿宋" w:hAnsi="仿宋" w:cs="仿宋"/>
              </w:rPr>
            </w:pPr>
            <w:r>
              <w:rPr>
                <w:rFonts w:hint="eastAsia" w:ascii="仿宋" w:hAnsi="仿宋" w:cs="仿宋"/>
              </w:rPr>
              <w:t>10、</w:t>
            </w:r>
          </w:p>
          <w:p w14:paraId="49DD357E">
            <w:pPr>
              <w:jc w:val="center"/>
              <w:rPr>
                <w:rFonts w:ascii="仿宋" w:hAnsi="仿宋" w:cs="仿宋"/>
              </w:rPr>
            </w:pPr>
            <w:r>
              <w:rPr>
                <w:rFonts w:hint="eastAsia" w:ascii="仿宋" w:hAnsi="仿宋" w:cs="仿宋"/>
              </w:rPr>
              <w:t>督导评价管理</w:t>
            </w:r>
          </w:p>
        </w:tc>
        <w:tc>
          <w:tcPr>
            <w:tcW w:w="464" w:type="pct"/>
            <w:tcBorders>
              <w:top w:val="single" w:color="auto" w:sz="4" w:space="0"/>
              <w:left w:val="single" w:color="auto" w:sz="4" w:space="0"/>
              <w:bottom w:val="single" w:color="000000" w:sz="4" w:space="0"/>
              <w:right w:val="single" w:color="000000" w:sz="4" w:space="0"/>
            </w:tcBorders>
            <w:shd w:val="clear" w:color="auto" w:fill="auto"/>
            <w:vAlign w:val="center"/>
          </w:tcPr>
          <w:p w14:paraId="6333FB95">
            <w:pPr>
              <w:jc w:val="center"/>
              <w:rPr>
                <w:rFonts w:ascii="仿宋" w:hAnsi="仿宋" w:cs="仿宋"/>
              </w:rPr>
            </w:pPr>
            <w:r>
              <w:rPr>
                <w:rFonts w:hint="eastAsia" w:ascii="仿宋" w:hAnsi="仿宋" w:cs="仿宋"/>
              </w:rPr>
              <w:t>10.1</w:t>
            </w:r>
          </w:p>
          <w:p w14:paraId="57CB6DCD">
            <w:pPr>
              <w:jc w:val="center"/>
              <w:rPr>
                <w:rFonts w:ascii="仿宋" w:hAnsi="仿宋" w:cs="仿宋"/>
              </w:rPr>
            </w:pPr>
            <w:r>
              <w:rPr>
                <w:rFonts w:hint="eastAsia" w:ascii="仿宋" w:hAnsi="仿宋" w:cs="仿宋"/>
              </w:rPr>
              <w:t>教学督导</w:t>
            </w:r>
          </w:p>
        </w:tc>
        <w:tc>
          <w:tcPr>
            <w:tcW w:w="3977" w:type="pct"/>
            <w:tcBorders>
              <w:top w:val="single" w:color="auto" w:sz="4" w:space="0"/>
              <w:left w:val="single" w:color="000000" w:sz="4" w:space="0"/>
              <w:bottom w:val="single" w:color="000000" w:sz="4" w:space="0"/>
            </w:tcBorders>
            <w:shd w:val="clear" w:color="auto" w:fill="auto"/>
            <w:vAlign w:val="center"/>
          </w:tcPr>
          <w:p w14:paraId="22C95867">
            <w:pPr>
              <w:rPr>
                <w:rFonts w:ascii="仿宋" w:hAnsi="仿宋" w:cs="仿宋"/>
              </w:rPr>
            </w:pPr>
            <w:r>
              <w:rPr>
                <w:rFonts w:hint="eastAsia" w:ascii="仿宋" w:hAnsi="仿宋" w:cs="仿宋"/>
              </w:rPr>
              <w:t>督导组能进行主讲教师和助教聘任、教材征订、线上线下教学、期末考试、班主任聘任等情况的查阅。通过线上听课，检查教师线上授课及教师作业布置情况；通过查阅学生线上提交的作业，检查学生的作业提交情况、教师的作业批阅情况等，了解助教的相关工作；开展线下巡课，掌握线下面授情况。通过精准采集各类线上、线下的教与学的状态数据，图文并茂，开展督导评价。支持自定义问卷分类，用于后续设置题目所属分类，方便查询。</w:t>
            </w:r>
          </w:p>
        </w:tc>
      </w:tr>
      <w:tr w14:paraId="1F377E0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968" w:hRule="atLeast"/>
        </w:trPr>
        <w:tc>
          <w:tcPr>
            <w:tcW w:w="557" w:type="pct"/>
            <w:vMerge w:val="continue"/>
            <w:tcBorders>
              <w:left w:val="single" w:color="auto" w:sz="4" w:space="0"/>
              <w:right w:val="single" w:color="auto" w:sz="4" w:space="0"/>
            </w:tcBorders>
            <w:shd w:val="clear" w:color="auto" w:fill="auto"/>
            <w:noWrap/>
            <w:vAlign w:val="center"/>
          </w:tcPr>
          <w:p w14:paraId="08DC81A9">
            <w:pPr>
              <w:jc w:val="center"/>
              <w:rPr>
                <w:rFonts w:ascii="仿宋" w:hAnsi="仿宋" w:cs="仿宋"/>
              </w:rPr>
            </w:pPr>
          </w:p>
        </w:tc>
        <w:tc>
          <w:tcPr>
            <w:tcW w:w="464" w:type="pct"/>
            <w:tcBorders>
              <w:top w:val="single" w:color="auto" w:sz="4" w:space="0"/>
              <w:left w:val="single" w:color="auto" w:sz="4" w:space="0"/>
              <w:bottom w:val="single" w:color="auto" w:sz="4" w:space="0"/>
              <w:right w:val="single" w:color="000000" w:sz="4" w:space="0"/>
            </w:tcBorders>
            <w:shd w:val="clear" w:color="auto" w:fill="auto"/>
            <w:vAlign w:val="center"/>
          </w:tcPr>
          <w:p w14:paraId="10D6B2DE">
            <w:pPr>
              <w:jc w:val="center"/>
              <w:rPr>
                <w:rFonts w:ascii="仿宋" w:hAnsi="仿宋" w:cs="仿宋"/>
              </w:rPr>
            </w:pPr>
            <w:r>
              <w:rPr>
                <w:rFonts w:hint="eastAsia" w:ascii="仿宋" w:hAnsi="仿宋" w:cs="仿宋"/>
              </w:rPr>
              <w:t>10.2</w:t>
            </w:r>
          </w:p>
          <w:p w14:paraId="18F78464">
            <w:pPr>
              <w:jc w:val="center"/>
              <w:rPr>
                <w:rFonts w:ascii="仿宋" w:hAnsi="仿宋" w:cs="仿宋"/>
              </w:rPr>
            </w:pPr>
            <w:r>
              <w:rPr>
                <w:rFonts w:hint="eastAsia" w:ascii="仿宋" w:hAnsi="仿宋" w:cs="仿宋"/>
              </w:rPr>
              <w:t>题目管理</w:t>
            </w:r>
          </w:p>
        </w:tc>
        <w:tc>
          <w:tcPr>
            <w:tcW w:w="3977" w:type="pct"/>
            <w:tcBorders>
              <w:top w:val="single" w:color="000000" w:sz="4" w:space="0"/>
              <w:left w:val="single" w:color="000000" w:sz="4" w:space="0"/>
              <w:bottom w:val="single" w:color="auto" w:sz="4" w:space="0"/>
            </w:tcBorders>
            <w:shd w:val="clear" w:color="auto" w:fill="auto"/>
            <w:vAlign w:val="center"/>
          </w:tcPr>
          <w:p w14:paraId="08D72453">
            <w:pPr>
              <w:rPr>
                <w:rFonts w:ascii="仿宋" w:hAnsi="仿宋" w:cs="仿宋"/>
              </w:rPr>
            </w:pPr>
            <w:r>
              <w:rPr>
                <w:rFonts w:hint="eastAsia" w:ascii="仿宋" w:hAnsi="仿宋" w:cs="仿宋"/>
              </w:rPr>
              <w:t>(1)具备问卷题库维护管理页面。</w:t>
            </w:r>
          </w:p>
          <w:p w14:paraId="3B639722">
            <w:pPr>
              <w:rPr>
                <w:rFonts w:ascii="仿宋" w:hAnsi="仿宋" w:cs="仿宋"/>
              </w:rPr>
            </w:pPr>
            <w:r>
              <w:rPr>
                <w:rFonts w:hint="eastAsia" w:ascii="仿宋" w:hAnsi="仿宋" w:cs="仿宋"/>
              </w:rPr>
              <w:t>(2)支持设置多种题型的题目，包括单选、多选、简答、打分题等。</w:t>
            </w:r>
          </w:p>
          <w:p w14:paraId="40AEB269">
            <w:pPr>
              <w:rPr>
                <w:rFonts w:ascii="仿宋" w:hAnsi="仿宋" w:cs="仿宋"/>
              </w:rPr>
            </w:pPr>
            <w:r>
              <w:rPr>
                <w:rFonts w:hint="eastAsia" w:ascii="仿宋" w:hAnsi="仿宋" w:cs="仿宋"/>
              </w:rPr>
              <w:t>(3)支持批量导入题目。</w:t>
            </w:r>
          </w:p>
          <w:p w14:paraId="395BC7C9">
            <w:pPr>
              <w:rPr>
                <w:rFonts w:ascii="仿宋" w:hAnsi="仿宋" w:cs="仿宋"/>
              </w:rPr>
            </w:pPr>
            <w:r>
              <w:rPr>
                <w:rFonts w:hint="eastAsia" w:ascii="仿宋" w:hAnsi="仿宋" w:cs="仿宋"/>
              </w:rPr>
              <w:t>(4)支持自定义设置题目所属分类。</w:t>
            </w:r>
          </w:p>
          <w:p w14:paraId="76503914">
            <w:pPr>
              <w:rPr>
                <w:rFonts w:ascii="仿宋" w:hAnsi="仿宋" w:cs="仿宋"/>
              </w:rPr>
            </w:pPr>
            <w:r>
              <w:rPr>
                <w:rFonts w:hint="eastAsia" w:ascii="仿宋" w:hAnsi="仿宋" w:cs="仿宋"/>
              </w:rPr>
              <w:t>(5)支持题目上传附件。</w:t>
            </w:r>
          </w:p>
          <w:p w14:paraId="26D95EE3">
            <w:pPr>
              <w:rPr>
                <w:rFonts w:ascii="仿宋" w:hAnsi="仿宋" w:cs="仿宋"/>
              </w:rPr>
            </w:pPr>
            <w:r>
              <w:rPr>
                <w:rFonts w:hint="eastAsia" w:ascii="仿宋" w:hAnsi="仿宋" w:cs="仿宋"/>
              </w:rPr>
              <w:t>(6)支持题库建设时，可以直接从教学平台建设的网络课程中的题库板块中引用试题。</w:t>
            </w:r>
          </w:p>
          <w:p w14:paraId="43B02434">
            <w:pPr>
              <w:rPr>
                <w:rFonts w:ascii="仿宋" w:hAnsi="仿宋" w:cs="仿宋"/>
              </w:rPr>
            </w:pPr>
            <w:r>
              <w:rPr>
                <w:rFonts w:hint="eastAsia" w:ascii="仿宋" w:hAnsi="仿宋" w:cs="仿宋"/>
              </w:rPr>
              <w:t>(7)支持设置好组卷逻辑之后，可以从指定的题库中按照设置的组卷逻辑进行随机抽题组卷，每次组卷数量上限不得低于20套，支持按知识点、文件夹、题型、难易度等多维度组合抽题组卷，支持设置组卷的题目重复率，避免抽取到大量重复题目。</w:t>
            </w:r>
          </w:p>
        </w:tc>
      </w:tr>
      <w:tr w14:paraId="537C920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429" w:hRule="atLeast"/>
        </w:trPr>
        <w:tc>
          <w:tcPr>
            <w:tcW w:w="557" w:type="pct"/>
            <w:vMerge w:val="continue"/>
            <w:tcBorders>
              <w:left w:val="single" w:color="auto" w:sz="4" w:space="0"/>
              <w:right w:val="single" w:color="auto" w:sz="4" w:space="0"/>
            </w:tcBorders>
            <w:shd w:val="clear" w:color="auto" w:fill="auto"/>
            <w:noWrap/>
            <w:vAlign w:val="center"/>
          </w:tcPr>
          <w:p w14:paraId="393A5A8E">
            <w:pPr>
              <w:jc w:val="center"/>
              <w:rPr>
                <w:rFonts w:ascii="仿宋" w:hAnsi="仿宋" w:cs="仿宋"/>
              </w:rPr>
            </w:pPr>
          </w:p>
        </w:tc>
        <w:tc>
          <w:tcPr>
            <w:tcW w:w="464" w:type="pct"/>
            <w:tcBorders>
              <w:top w:val="single" w:color="auto" w:sz="4" w:space="0"/>
              <w:left w:val="single" w:color="auto" w:sz="4" w:space="0"/>
              <w:bottom w:val="single" w:color="auto" w:sz="4" w:space="0"/>
              <w:right w:val="single" w:color="000000" w:sz="4" w:space="0"/>
            </w:tcBorders>
            <w:shd w:val="clear" w:color="auto" w:fill="auto"/>
            <w:vAlign w:val="center"/>
          </w:tcPr>
          <w:p w14:paraId="0EA35541">
            <w:pPr>
              <w:jc w:val="center"/>
              <w:rPr>
                <w:rFonts w:ascii="仿宋" w:hAnsi="仿宋" w:cs="仿宋"/>
              </w:rPr>
            </w:pPr>
            <w:r>
              <w:rPr>
                <w:rFonts w:hint="eastAsia" w:ascii="仿宋" w:hAnsi="仿宋" w:cs="仿宋"/>
              </w:rPr>
              <w:t>10.3</w:t>
            </w:r>
          </w:p>
          <w:p w14:paraId="4EAA7ACD">
            <w:pPr>
              <w:jc w:val="center"/>
              <w:rPr>
                <w:rFonts w:ascii="仿宋" w:hAnsi="仿宋" w:cs="仿宋"/>
              </w:rPr>
            </w:pPr>
            <w:r>
              <w:rPr>
                <w:rFonts w:hint="eastAsia" w:ascii="仿宋" w:hAnsi="仿宋" w:cs="仿宋"/>
              </w:rPr>
              <w:t>问卷发放</w:t>
            </w:r>
          </w:p>
        </w:tc>
        <w:tc>
          <w:tcPr>
            <w:tcW w:w="3977" w:type="pct"/>
            <w:tcBorders>
              <w:top w:val="single" w:color="auto" w:sz="4" w:space="0"/>
              <w:left w:val="single" w:color="000000" w:sz="4" w:space="0"/>
              <w:bottom w:val="single" w:color="auto" w:sz="4" w:space="0"/>
            </w:tcBorders>
            <w:shd w:val="clear" w:color="auto" w:fill="auto"/>
            <w:vAlign w:val="center"/>
          </w:tcPr>
          <w:p w14:paraId="1B477CCF">
            <w:pPr>
              <w:rPr>
                <w:rFonts w:ascii="仿宋" w:hAnsi="仿宋" w:cs="仿宋"/>
              </w:rPr>
            </w:pPr>
            <w:r>
              <w:rPr>
                <w:rFonts w:hint="eastAsia" w:ascii="仿宋" w:hAnsi="仿宋" w:cs="仿宋"/>
              </w:rPr>
              <w:t>(1)具备发放问卷页面。</w:t>
            </w:r>
          </w:p>
          <w:p w14:paraId="63C7BBC2">
            <w:pPr>
              <w:rPr>
                <w:rFonts w:ascii="仿宋" w:hAnsi="仿宋" w:cs="仿宋"/>
              </w:rPr>
            </w:pPr>
            <w:r>
              <w:rPr>
                <w:rFonts w:hint="eastAsia" w:ascii="仿宋" w:hAnsi="仿宋" w:cs="仿宋"/>
              </w:rPr>
              <w:t>(2)支持自定义组合题目创建问卷。</w:t>
            </w:r>
          </w:p>
          <w:p w14:paraId="6273ACA1">
            <w:pPr>
              <w:rPr>
                <w:rFonts w:ascii="仿宋" w:hAnsi="仿宋" w:cs="仿宋"/>
              </w:rPr>
            </w:pPr>
            <w:r>
              <w:rPr>
                <w:rFonts w:hint="eastAsia" w:ascii="仿宋" w:hAnsi="仿宋" w:cs="仿宋"/>
              </w:rPr>
              <w:t>(3)支持预览问卷。</w:t>
            </w:r>
          </w:p>
          <w:p w14:paraId="4108CF40">
            <w:pPr>
              <w:rPr>
                <w:rFonts w:ascii="仿宋" w:hAnsi="仿宋" w:cs="仿宋"/>
              </w:rPr>
            </w:pPr>
            <w:r>
              <w:rPr>
                <w:rFonts w:hint="eastAsia" w:ascii="仿宋" w:hAnsi="仿宋" w:cs="仿宋"/>
              </w:rPr>
              <w:t>(4)支持问卷创建后编辑修改问卷内容。</w:t>
            </w:r>
          </w:p>
          <w:p w14:paraId="2B1E0FEC">
            <w:pPr>
              <w:rPr>
                <w:rFonts w:ascii="仿宋" w:hAnsi="仿宋" w:cs="仿宋"/>
              </w:rPr>
            </w:pPr>
            <w:r>
              <w:rPr>
                <w:rFonts w:hint="eastAsia" w:ascii="仿宋" w:hAnsi="仿宋" w:cs="仿宋"/>
              </w:rPr>
              <w:t>(5)支持自定义设置问卷的起止时间。</w:t>
            </w:r>
          </w:p>
          <w:p w14:paraId="097726DA">
            <w:pPr>
              <w:rPr>
                <w:rFonts w:ascii="仿宋" w:hAnsi="仿宋" w:cs="仿宋"/>
              </w:rPr>
            </w:pPr>
            <w:r>
              <w:rPr>
                <w:rFonts w:hint="eastAsia" w:ascii="仿宋" w:hAnsi="仿宋" w:cs="仿宋"/>
              </w:rPr>
              <w:t>(6)支持定时发放问卷。</w:t>
            </w:r>
          </w:p>
          <w:p w14:paraId="3126D1FE">
            <w:pPr>
              <w:rPr>
                <w:rFonts w:ascii="仿宋" w:hAnsi="仿宋" w:cs="仿宋"/>
              </w:rPr>
            </w:pPr>
            <w:r>
              <w:rPr>
                <w:rFonts w:hint="eastAsia" w:ascii="仿宋" w:hAnsi="仿宋" w:cs="仿宋"/>
              </w:rPr>
              <w:t>(7)支持自定义组合发布对象和评价对象，支持学生、教师、管理员角色自定义设置。</w:t>
            </w:r>
          </w:p>
        </w:tc>
      </w:tr>
      <w:tr w14:paraId="53C9310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626" w:hRule="atLeast"/>
        </w:trPr>
        <w:tc>
          <w:tcPr>
            <w:tcW w:w="557" w:type="pct"/>
            <w:vMerge w:val="continue"/>
            <w:tcBorders>
              <w:left w:val="single" w:color="auto" w:sz="4" w:space="0"/>
              <w:right w:val="single" w:color="auto" w:sz="4" w:space="0"/>
            </w:tcBorders>
            <w:shd w:val="clear" w:color="auto" w:fill="auto"/>
            <w:noWrap/>
            <w:vAlign w:val="center"/>
          </w:tcPr>
          <w:p w14:paraId="39559402">
            <w:pPr>
              <w:jc w:val="center"/>
              <w:rPr>
                <w:rFonts w:ascii="仿宋" w:hAnsi="仿宋" w:cs="仿宋"/>
              </w:rPr>
            </w:pPr>
          </w:p>
        </w:tc>
        <w:tc>
          <w:tcPr>
            <w:tcW w:w="464" w:type="pct"/>
            <w:tcBorders>
              <w:top w:val="single" w:color="auto" w:sz="4" w:space="0"/>
              <w:left w:val="single" w:color="auto" w:sz="4" w:space="0"/>
              <w:bottom w:val="single" w:color="auto" w:sz="4" w:space="0"/>
              <w:right w:val="single" w:color="000000" w:sz="4" w:space="0"/>
            </w:tcBorders>
            <w:shd w:val="clear" w:color="auto" w:fill="auto"/>
            <w:vAlign w:val="center"/>
          </w:tcPr>
          <w:p w14:paraId="28C73B76">
            <w:pPr>
              <w:jc w:val="center"/>
              <w:rPr>
                <w:rFonts w:ascii="仿宋" w:hAnsi="仿宋" w:cs="仿宋"/>
              </w:rPr>
            </w:pPr>
            <w:r>
              <w:rPr>
                <w:rFonts w:hint="eastAsia" w:ascii="仿宋" w:hAnsi="仿宋" w:cs="仿宋"/>
              </w:rPr>
              <w:t>10.4</w:t>
            </w:r>
          </w:p>
          <w:p w14:paraId="4D19801D">
            <w:pPr>
              <w:jc w:val="center"/>
              <w:rPr>
                <w:rFonts w:ascii="仿宋" w:hAnsi="仿宋" w:cs="仿宋"/>
              </w:rPr>
            </w:pPr>
            <w:r>
              <w:rPr>
                <w:rFonts w:hint="eastAsia" w:ascii="仿宋" w:hAnsi="仿宋" w:cs="仿宋"/>
              </w:rPr>
              <w:t>评教发放</w:t>
            </w:r>
          </w:p>
        </w:tc>
        <w:tc>
          <w:tcPr>
            <w:tcW w:w="3977" w:type="pct"/>
            <w:tcBorders>
              <w:top w:val="single" w:color="auto" w:sz="4" w:space="0"/>
              <w:left w:val="single" w:color="000000" w:sz="4" w:space="0"/>
              <w:bottom w:val="single" w:color="auto" w:sz="4" w:space="0"/>
            </w:tcBorders>
            <w:shd w:val="clear" w:color="auto" w:fill="auto"/>
            <w:vAlign w:val="center"/>
          </w:tcPr>
          <w:p w14:paraId="6E51BFC3">
            <w:pPr>
              <w:rPr>
                <w:rFonts w:ascii="仿宋" w:hAnsi="仿宋" w:cs="仿宋"/>
              </w:rPr>
            </w:pPr>
            <w:r>
              <w:rPr>
                <w:rFonts w:hint="eastAsia" w:ascii="仿宋" w:hAnsi="仿宋" w:cs="仿宋"/>
              </w:rPr>
              <w:t>(1)支持按照教学计划选择授课教师进行发放。</w:t>
            </w:r>
          </w:p>
          <w:p w14:paraId="2E5F14A1">
            <w:pPr>
              <w:rPr>
                <w:rFonts w:ascii="仿宋" w:hAnsi="仿宋" w:cs="仿宋"/>
              </w:rPr>
            </w:pPr>
            <w:r>
              <w:rPr>
                <w:rFonts w:hint="eastAsia" w:ascii="仿宋" w:hAnsi="仿宋" w:cs="仿宋"/>
              </w:rPr>
              <w:t>(2)支持按照选课给学生发放评教。</w:t>
            </w:r>
          </w:p>
          <w:p w14:paraId="3F6611AF">
            <w:pPr>
              <w:rPr>
                <w:rFonts w:ascii="仿宋" w:hAnsi="仿宋" w:cs="仿宋"/>
              </w:rPr>
            </w:pPr>
            <w:r>
              <w:rPr>
                <w:rFonts w:hint="eastAsia" w:ascii="仿宋" w:hAnsi="仿宋" w:cs="仿宋"/>
              </w:rPr>
              <w:t>(3)支持定时发放评教。</w:t>
            </w:r>
          </w:p>
          <w:p w14:paraId="783B31B4">
            <w:pPr>
              <w:rPr>
                <w:rFonts w:ascii="仿宋" w:hAnsi="仿宋" w:cs="仿宋"/>
              </w:rPr>
            </w:pPr>
            <w:r>
              <w:rPr>
                <w:rFonts w:hint="eastAsia" w:ascii="仿宋" w:hAnsi="仿宋" w:cs="仿宋"/>
              </w:rPr>
              <w:t>(4)支持预览评教问卷。</w:t>
            </w:r>
          </w:p>
          <w:p w14:paraId="54027008">
            <w:pPr>
              <w:rPr>
                <w:rFonts w:ascii="仿宋" w:hAnsi="仿宋" w:cs="仿宋"/>
              </w:rPr>
            </w:pPr>
            <w:r>
              <w:rPr>
                <w:rFonts w:hint="eastAsia" w:ascii="仿宋" w:hAnsi="仿宋" w:cs="仿宋"/>
              </w:rPr>
              <w:t>(5)支持创建评教后进行修改。</w:t>
            </w:r>
          </w:p>
        </w:tc>
      </w:tr>
      <w:tr w14:paraId="59C7618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210" w:hRule="atLeast"/>
        </w:trPr>
        <w:tc>
          <w:tcPr>
            <w:tcW w:w="557" w:type="pct"/>
            <w:vMerge w:val="continue"/>
            <w:tcBorders>
              <w:left w:val="single" w:color="auto" w:sz="4" w:space="0"/>
              <w:right w:val="single" w:color="auto" w:sz="4" w:space="0"/>
            </w:tcBorders>
            <w:shd w:val="clear" w:color="auto" w:fill="auto"/>
            <w:noWrap/>
            <w:vAlign w:val="center"/>
          </w:tcPr>
          <w:p w14:paraId="5DF895E4">
            <w:pPr>
              <w:jc w:val="center"/>
              <w:rPr>
                <w:rFonts w:ascii="仿宋" w:hAnsi="仿宋" w:cs="仿宋"/>
              </w:rPr>
            </w:pPr>
          </w:p>
        </w:tc>
        <w:tc>
          <w:tcPr>
            <w:tcW w:w="464" w:type="pct"/>
            <w:tcBorders>
              <w:top w:val="single" w:color="auto" w:sz="4" w:space="0"/>
              <w:left w:val="single" w:color="auto" w:sz="4" w:space="0"/>
              <w:bottom w:val="single" w:color="auto" w:sz="4" w:space="0"/>
              <w:right w:val="single" w:color="000000" w:sz="4" w:space="0"/>
            </w:tcBorders>
            <w:shd w:val="clear" w:color="auto" w:fill="auto"/>
            <w:vAlign w:val="center"/>
          </w:tcPr>
          <w:p w14:paraId="67839D23">
            <w:pPr>
              <w:jc w:val="center"/>
              <w:rPr>
                <w:rFonts w:ascii="仿宋" w:hAnsi="仿宋" w:cs="仿宋"/>
              </w:rPr>
            </w:pPr>
            <w:r>
              <w:rPr>
                <w:rFonts w:hint="eastAsia" w:ascii="仿宋" w:hAnsi="仿宋" w:cs="仿宋"/>
              </w:rPr>
              <w:t>10.5</w:t>
            </w:r>
          </w:p>
          <w:p w14:paraId="3016F5F3">
            <w:pPr>
              <w:jc w:val="center"/>
              <w:rPr>
                <w:rFonts w:ascii="仿宋" w:hAnsi="仿宋" w:cs="仿宋"/>
              </w:rPr>
            </w:pPr>
            <w:r>
              <w:rPr>
                <w:rFonts w:hint="eastAsia" w:ascii="仿宋" w:hAnsi="仿宋" w:cs="仿宋"/>
              </w:rPr>
              <w:t>问卷结果统计</w:t>
            </w:r>
          </w:p>
        </w:tc>
        <w:tc>
          <w:tcPr>
            <w:tcW w:w="3977" w:type="pct"/>
            <w:tcBorders>
              <w:top w:val="single" w:color="auto" w:sz="4" w:space="0"/>
              <w:left w:val="single" w:color="000000" w:sz="4" w:space="0"/>
              <w:bottom w:val="single" w:color="auto" w:sz="4" w:space="0"/>
            </w:tcBorders>
            <w:shd w:val="clear" w:color="auto" w:fill="auto"/>
            <w:vAlign w:val="center"/>
          </w:tcPr>
          <w:p w14:paraId="718197E3">
            <w:pPr>
              <w:rPr>
                <w:rFonts w:ascii="仿宋" w:hAnsi="仿宋" w:cs="仿宋"/>
              </w:rPr>
            </w:pPr>
            <w:r>
              <w:rPr>
                <w:rFonts w:hint="eastAsia" w:ascii="仿宋" w:hAnsi="仿宋" w:cs="仿宋"/>
              </w:rPr>
              <w:t>(1)具备查看问卷结果统计数据的页面。</w:t>
            </w:r>
          </w:p>
          <w:p w14:paraId="7DF2E692">
            <w:pPr>
              <w:rPr>
                <w:rFonts w:ascii="仿宋" w:hAnsi="仿宋" w:cs="仿宋"/>
              </w:rPr>
            </w:pPr>
            <w:r>
              <w:rPr>
                <w:rFonts w:hint="eastAsia" w:ascii="仿宋" w:hAnsi="仿宋" w:cs="仿宋"/>
              </w:rPr>
              <w:t>(2)支持查看问卷评价进度。</w:t>
            </w:r>
          </w:p>
          <w:p w14:paraId="54486F8E">
            <w:pPr>
              <w:rPr>
                <w:rFonts w:ascii="仿宋" w:hAnsi="仿宋" w:cs="仿宋"/>
              </w:rPr>
            </w:pPr>
            <w:r>
              <w:rPr>
                <w:rFonts w:hint="eastAsia" w:ascii="仿宋" w:hAnsi="仿宋" w:cs="仿宋"/>
              </w:rPr>
              <w:t>(3)支持根据问卷评价人的评分计算出该问卷的平均分，并进行结果导出。</w:t>
            </w:r>
          </w:p>
          <w:p w14:paraId="528008B6">
            <w:pPr>
              <w:rPr>
                <w:rFonts w:ascii="仿宋" w:hAnsi="仿宋" w:cs="仿宋"/>
              </w:rPr>
            </w:pPr>
            <w:r>
              <w:rPr>
                <w:rFonts w:hint="eastAsia" w:ascii="仿宋" w:hAnsi="仿宋" w:cs="仿宋"/>
              </w:rPr>
              <w:t>(4)支持查看评价人提交的评卷评价详情，可查看具体每题的评价情况，并进行结果导出。</w:t>
            </w:r>
          </w:p>
          <w:p w14:paraId="0C0EC773">
            <w:pPr>
              <w:rPr>
                <w:rFonts w:ascii="仿宋" w:hAnsi="仿宋" w:cs="仿宋"/>
              </w:rPr>
            </w:pPr>
            <w:r>
              <w:rPr>
                <w:rFonts w:hint="eastAsia" w:ascii="仿宋" w:hAnsi="仿宋" w:cs="仿宋"/>
              </w:rPr>
              <w:t>(5)支持修改问卷的截止时间。</w:t>
            </w:r>
          </w:p>
          <w:p w14:paraId="55EA473E">
            <w:pPr>
              <w:rPr>
                <w:rFonts w:ascii="仿宋" w:hAnsi="仿宋" w:cs="仿宋"/>
              </w:rPr>
            </w:pPr>
            <w:r>
              <w:rPr>
                <w:rFonts w:hint="eastAsia" w:ascii="仿宋" w:hAnsi="仿宋" w:cs="仿宋"/>
              </w:rPr>
              <w:t>(6)支持督促未评人员及时评教。</w:t>
            </w:r>
          </w:p>
          <w:p w14:paraId="16548584">
            <w:pPr>
              <w:rPr>
                <w:rFonts w:ascii="仿宋" w:hAnsi="仿宋" w:cs="仿宋"/>
              </w:rPr>
            </w:pPr>
            <w:r>
              <w:rPr>
                <w:rFonts w:hint="eastAsia" w:ascii="仿宋" w:hAnsi="仿宋" w:cs="仿宋"/>
              </w:rPr>
              <w:t>(7)支持问卷重新发放。</w:t>
            </w:r>
          </w:p>
        </w:tc>
      </w:tr>
      <w:tr w14:paraId="7BBF218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408" w:hRule="atLeast"/>
        </w:trPr>
        <w:tc>
          <w:tcPr>
            <w:tcW w:w="557" w:type="pct"/>
            <w:vMerge w:val="continue"/>
            <w:tcBorders>
              <w:left w:val="single" w:color="auto" w:sz="4" w:space="0"/>
              <w:right w:val="single" w:color="auto" w:sz="4" w:space="0"/>
            </w:tcBorders>
            <w:shd w:val="clear" w:color="auto" w:fill="auto"/>
            <w:noWrap/>
            <w:vAlign w:val="center"/>
          </w:tcPr>
          <w:p w14:paraId="74353322">
            <w:pPr>
              <w:jc w:val="center"/>
              <w:rPr>
                <w:rFonts w:ascii="仿宋" w:hAnsi="仿宋" w:cs="仿宋"/>
              </w:rPr>
            </w:pPr>
          </w:p>
        </w:tc>
        <w:tc>
          <w:tcPr>
            <w:tcW w:w="464" w:type="pct"/>
            <w:tcBorders>
              <w:top w:val="single" w:color="auto" w:sz="4" w:space="0"/>
              <w:left w:val="single" w:color="auto" w:sz="4" w:space="0"/>
              <w:right w:val="single" w:color="000000" w:sz="4" w:space="0"/>
            </w:tcBorders>
            <w:shd w:val="clear" w:color="auto" w:fill="auto"/>
            <w:vAlign w:val="center"/>
          </w:tcPr>
          <w:p w14:paraId="09F449AF">
            <w:pPr>
              <w:jc w:val="center"/>
              <w:rPr>
                <w:rFonts w:ascii="仿宋" w:hAnsi="仿宋" w:cs="仿宋"/>
              </w:rPr>
            </w:pPr>
            <w:r>
              <w:rPr>
                <w:rFonts w:hint="eastAsia" w:ascii="仿宋" w:hAnsi="仿宋" w:cs="仿宋"/>
              </w:rPr>
              <w:t>10.6</w:t>
            </w:r>
          </w:p>
          <w:p w14:paraId="30000A8D">
            <w:pPr>
              <w:jc w:val="center"/>
              <w:rPr>
                <w:rFonts w:ascii="仿宋" w:hAnsi="仿宋" w:cs="仿宋"/>
              </w:rPr>
            </w:pPr>
            <w:r>
              <w:rPr>
                <w:rFonts w:hint="eastAsia" w:ascii="仿宋" w:hAnsi="仿宋" w:cs="仿宋"/>
              </w:rPr>
              <w:t>评教结果</w:t>
            </w:r>
          </w:p>
        </w:tc>
        <w:tc>
          <w:tcPr>
            <w:tcW w:w="3977" w:type="pct"/>
            <w:tcBorders>
              <w:top w:val="single" w:color="auto" w:sz="4" w:space="0"/>
              <w:left w:val="single" w:color="000000" w:sz="4" w:space="0"/>
            </w:tcBorders>
            <w:shd w:val="clear" w:color="auto" w:fill="auto"/>
            <w:vAlign w:val="center"/>
          </w:tcPr>
          <w:p w14:paraId="6DE3E792">
            <w:pPr>
              <w:rPr>
                <w:rFonts w:ascii="仿宋" w:hAnsi="仿宋" w:cs="仿宋"/>
              </w:rPr>
            </w:pPr>
            <w:r>
              <w:rPr>
                <w:rFonts w:hint="eastAsia" w:ascii="仿宋" w:hAnsi="仿宋" w:cs="仿宋"/>
              </w:rPr>
              <w:t>(1)支持查看各个评价者的具体评价。</w:t>
            </w:r>
          </w:p>
          <w:p w14:paraId="3197833C">
            <w:pPr>
              <w:rPr>
                <w:rFonts w:ascii="仿宋" w:hAnsi="仿宋" w:cs="仿宋"/>
              </w:rPr>
            </w:pPr>
            <w:r>
              <w:rPr>
                <w:rFonts w:hint="eastAsia" w:ascii="仿宋" w:hAnsi="仿宋" w:cs="仿宋"/>
              </w:rPr>
              <w:t>(2)支持系统自动计算评教平均分。</w:t>
            </w:r>
          </w:p>
          <w:p w14:paraId="719B9748">
            <w:pPr>
              <w:rPr>
                <w:rFonts w:ascii="仿宋" w:hAnsi="仿宋" w:cs="仿宋"/>
              </w:rPr>
            </w:pPr>
            <w:r>
              <w:rPr>
                <w:rFonts w:hint="eastAsia" w:ascii="仿宋" w:hAnsi="仿宋" w:cs="仿宋"/>
              </w:rPr>
              <w:t>(3)支持督促未评人员及时评教。</w:t>
            </w:r>
          </w:p>
          <w:p w14:paraId="0973CF00">
            <w:pPr>
              <w:rPr>
                <w:rFonts w:ascii="仿宋" w:hAnsi="仿宋" w:cs="仿宋"/>
              </w:rPr>
            </w:pPr>
            <w:r>
              <w:rPr>
                <w:rFonts w:hint="eastAsia" w:ascii="仿宋" w:hAnsi="仿宋" w:cs="仿宋"/>
              </w:rPr>
              <w:t>(4)支持修改评教截止时间。</w:t>
            </w:r>
          </w:p>
          <w:p w14:paraId="0B24214E">
            <w:pPr>
              <w:rPr>
                <w:rFonts w:ascii="仿宋" w:hAnsi="仿宋" w:cs="仿宋"/>
              </w:rPr>
            </w:pPr>
            <w:r>
              <w:rPr>
                <w:rFonts w:hint="eastAsia" w:ascii="仿宋" w:hAnsi="仿宋" w:cs="仿宋"/>
              </w:rPr>
              <w:t>(5)支持查看评教进度，已评，未评人员名单。</w:t>
            </w:r>
          </w:p>
          <w:p w14:paraId="58E86A8C">
            <w:pPr>
              <w:rPr>
                <w:rFonts w:ascii="仿宋" w:hAnsi="仿宋" w:cs="仿宋"/>
              </w:rPr>
            </w:pPr>
            <w:r>
              <w:rPr>
                <w:rFonts w:hint="eastAsia" w:ascii="仿宋" w:hAnsi="仿宋" w:cs="仿宋"/>
              </w:rPr>
              <w:t>(6)按学校要求导出各类结果。</w:t>
            </w:r>
          </w:p>
        </w:tc>
      </w:tr>
      <w:tr w14:paraId="5218352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6" w:hRule="atLeast"/>
        </w:trPr>
        <w:tc>
          <w:tcPr>
            <w:tcW w:w="557" w:type="pct"/>
            <w:vMerge w:val="restart"/>
            <w:tcBorders>
              <w:top w:val="single" w:color="000000" w:sz="4" w:space="0"/>
              <w:left w:val="single" w:color="auto" w:sz="4" w:space="0"/>
              <w:right w:val="single" w:color="000000" w:sz="4" w:space="0"/>
            </w:tcBorders>
            <w:shd w:val="clear" w:color="auto" w:fill="auto"/>
            <w:noWrap/>
            <w:vAlign w:val="center"/>
          </w:tcPr>
          <w:p w14:paraId="6B7A50C5">
            <w:pPr>
              <w:jc w:val="center"/>
              <w:rPr>
                <w:rFonts w:ascii="仿宋" w:hAnsi="仿宋" w:cs="仿宋"/>
              </w:rPr>
            </w:pPr>
            <w:r>
              <w:rPr>
                <w:rFonts w:hint="eastAsia" w:ascii="仿宋" w:hAnsi="仿宋" w:cs="仿宋"/>
              </w:rPr>
              <w:t>11、</w:t>
            </w:r>
          </w:p>
          <w:p w14:paraId="438A2AF1">
            <w:pPr>
              <w:jc w:val="center"/>
              <w:rPr>
                <w:rFonts w:ascii="仿宋" w:hAnsi="仿宋" w:cs="仿宋"/>
              </w:rPr>
            </w:pPr>
            <w:r>
              <w:rPr>
                <w:rFonts w:hint="eastAsia" w:ascii="仿宋" w:hAnsi="仿宋" w:cs="仿宋"/>
              </w:rPr>
              <w:t>学分互认管理</w:t>
            </w:r>
          </w:p>
        </w:tc>
        <w:tc>
          <w:tcPr>
            <w:tcW w:w="464" w:type="pct"/>
            <w:tcBorders>
              <w:top w:val="single" w:color="000000" w:sz="4" w:space="0"/>
              <w:left w:val="single" w:color="000000" w:sz="4" w:space="0"/>
              <w:bottom w:val="single" w:color="auto" w:sz="4" w:space="0"/>
              <w:right w:val="single" w:color="000000" w:sz="4" w:space="0"/>
            </w:tcBorders>
            <w:shd w:val="clear" w:color="auto" w:fill="auto"/>
            <w:vAlign w:val="center"/>
          </w:tcPr>
          <w:p w14:paraId="1F6FD6CB">
            <w:pPr>
              <w:jc w:val="center"/>
              <w:rPr>
                <w:rFonts w:ascii="仿宋" w:hAnsi="仿宋" w:cs="仿宋"/>
              </w:rPr>
            </w:pPr>
            <w:r>
              <w:rPr>
                <w:rFonts w:hint="eastAsia" w:ascii="仿宋" w:hAnsi="仿宋" w:cs="仿宋"/>
              </w:rPr>
              <w:t>11.1</w:t>
            </w:r>
          </w:p>
          <w:p w14:paraId="3F7CD7CB">
            <w:pPr>
              <w:jc w:val="center"/>
              <w:rPr>
                <w:rFonts w:ascii="仿宋" w:hAnsi="仿宋" w:cs="仿宋"/>
              </w:rPr>
            </w:pPr>
            <w:r>
              <w:rPr>
                <w:rFonts w:hint="eastAsia" w:ascii="仿宋" w:hAnsi="仿宋" w:cs="仿宋"/>
              </w:rPr>
              <w:t>学分互认批次设置</w:t>
            </w:r>
          </w:p>
        </w:tc>
        <w:tc>
          <w:tcPr>
            <w:tcW w:w="3977" w:type="pct"/>
            <w:tcBorders>
              <w:top w:val="single" w:color="000000" w:sz="4" w:space="0"/>
              <w:left w:val="single" w:color="000000" w:sz="4" w:space="0"/>
              <w:bottom w:val="single" w:color="auto" w:sz="4" w:space="0"/>
            </w:tcBorders>
            <w:shd w:val="clear" w:color="auto" w:fill="auto"/>
            <w:vAlign w:val="center"/>
          </w:tcPr>
          <w:p w14:paraId="61D1CA1F">
            <w:pPr>
              <w:rPr>
                <w:rFonts w:ascii="仿宋" w:hAnsi="仿宋" w:cs="仿宋"/>
              </w:rPr>
            </w:pPr>
            <w:r>
              <w:rPr>
                <w:rFonts w:hint="eastAsia" w:ascii="仿宋" w:hAnsi="仿宋" w:cs="仿宋"/>
              </w:rPr>
              <w:t>(1)学习成果互认支持按照批次进行管理，能够设置申请时间段和每个学生学习成果互认分数上限，也可以按年级限制允许申请的学生数据。</w:t>
            </w:r>
          </w:p>
          <w:p w14:paraId="3BCB3E63">
            <w:pPr>
              <w:rPr>
                <w:rFonts w:ascii="仿宋" w:hAnsi="仿宋" w:cs="仿宋"/>
              </w:rPr>
            </w:pPr>
            <w:r>
              <w:rPr>
                <w:rFonts w:hint="eastAsia" w:ascii="仿宋" w:hAnsi="仿宋" w:cs="仿宋"/>
              </w:rPr>
              <w:t>(2)支持添加可申请学习成果互认的条件，只有满足标准的学生才可以进行学分互认申请操作。</w:t>
            </w:r>
          </w:p>
          <w:p w14:paraId="479ECB32">
            <w:pPr>
              <w:rPr>
                <w:rFonts w:ascii="仿宋" w:hAnsi="仿宋" w:cs="仿宋"/>
              </w:rPr>
            </w:pPr>
            <w:r>
              <w:rPr>
                <w:rFonts w:hint="eastAsia" w:ascii="仿宋" w:hAnsi="仿宋" w:cs="仿宋"/>
              </w:rPr>
              <w:t>(3)不同的学习成果互认条件需对应不同的证书类型或课程，学生在申请学习成果互认时，需上传互认条件中所设置的证书类型。</w:t>
            </w:r>
          </w:p>
        </w:tc>
      </w:tr>
      <w:tr w14:paraId="42FFBCC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47" w:hRule="atLeast"/>
        </w:trPr>
        <w:tc>
          <w:tcPr>
            <w:tcW w:w="557" w:type="pct"/>
            <w:vMerge w:val="continue"/>
            <w:tcBorders>
              <w:top w:val="single" w:color="000000" w:sz="4" w:space="0"/>
              <w:left w:val="single" w:color="auto" w:sz="4" w:space="0"/>
              <w:right w:val="single" w:color="000000" w:sz="4" w:space="0"/>
            </w:tcBorders>
            <w:shd w:val="clear" w:color="auto" w:fill="auto"/>
            <w:noWrap/>
            <w:vAlign w:val="center"/>
          </w:tcPr>
          <w:p w14:paraId="5253E1D5">
            <w:pPr>
              <w:jc w:val="center"/>
              <w:rPr>
                <w:rFonts w:ascii="仿宋" w:hAnsi="仿宋" w:cs="仿宋"/>
              </w:rPr>
            </w:pPr>
          </w:p>
        </w:tc>
        <w:tc>
          <w:tcPr>
            <w:tcW w:w="464" w:type="pct"/>
            <w:tcBorders>
              <w:top w:val="single" w:color="auto" w:sz="4" w:space="0"/>
              <w:left w:val="single" w:color="000000" w:sz="4" w:space="0"/>
              <w:right w:val="single" w:color="000000" w:sz="4" w:space="0"/>
            </w:tcBorders>
            <w:shd w:val="clear" w:color="auto" w:fill="auto"/>
            <w:vAlign w:val="center"/>
          </w:tcPr>
          <w:p w14:paraId="5EDC8F80">
            <w:pPr>
              <w:jc w:val="center"/>
              <w:rPr>
                <w:rFonts w:ascii="仿宋" w:hAnsi="仿宋" w:cs="仿宋"/>
              </w:rPr>
            </w:pPr>
            <w:r>
              <w:rPr>
                <w:rFonts w:hint="eastAsia" w:ascii="仿宋" w:hAnsi="仿宋" w:cs="仿宋"/>
              </w:rPr>
              <w:t>11.2</w:t>
            </w:r>
          </w:p>
          <w:p w14:paraId="2B9E4B9F">
            <w:pPr>
              <w:jc w:val="center"/>
              <w:rPr>
                <w:rFonts w:ascii="仿宋" w:hAnsi="仿宋" w:cs="仿宋"/>
              </w:rPr>
            </w:pPr>
            <w:r>
              <w:rPr>
                <w:rFonts w:hint="eastAsia" w:ascii="仿宋" w:hAnsi="仿宋" w:cs="仿宋"/>
              </w:rPr>
              <w:t>学分互认流程管理</w:t>
            </w:r>
          </w:p>
        </w:tc>
        <w:tc>
          <w:tcPr>
            <w:tcW w:w="3977" w:type="pct"/>
            <w:tcBorders>
              <w:top w:val="single" w:color="auto" w:sz="4" w:space="0"/>
              <w:left w:val="single" w:color="000000" w:sz="4" w:space="0"/>
            </w:tcBorders>
            <w:shd w:val="clear" w:color="auto" w:fill="auto"/>
            <w:vAlign w:val="center"/>
          </w:tcPr>
          <w:p w14:paraId="03FAA179">
            <w:pPr>
              <w:rPr>
                <w:rFonts w:ascii="仿宋" w:hAnsi="仿宋" w:cs="仿宋"/>
              </w:rPr>
            </w:pPr>
            <w:r>
              <w:rPr>
                <w:rFonts w:hint="eastAsia" w:ascii="仿宋" w:hAnsi="仿宋" w:cs="仿宋"/>
              </w:rPr>
              <w:t>(1)学分互认代申请：管理人员可以在管理平台直接帮学生进行学习成果互认代申请操作，如所代申请的学生不满足学习成果互认条件，则系统需要给出明确提示。</w:t>
            </w:r>
          </w:p>
          <w:p w14:paraId="4001FF81">
            <w:pPr>
              <w:rPr>
                <w:rFonts w:ascii="仿宋" w:hAnsi="仿宋" w:cs="仿宋"/>
              </w:rPr>
            </w:pPr>
            <w:r>
              <w:rPr>
                <w:rFonts w:hint="eastAsia" w:ascii="仿宋" w:hAnsi="仿宋" w:cs="仿宋"/>
              </w:rPr>
              <w:t>(2)学分互认学生申请：学生在自己的学习空间中可进行申请操作，如果当前学生不在学习成果互认批次的允许范围内或者不满足学习成果互认的条件，则系统需给出明确提示不允许进行学分互认。</w:t>
            </w:r>
          </w:p>
          <w:p w14:paraId="5FB90DBD">
            <w:pPr>
              <w:rPr>
                <w:rFonts w:ascii="仿宋" w:hAnsi="仿宋" w:cs="仿宋"/>
              </w:rPr>
            </w:pPr>
            <w:r>
              <w:rPr>
                <w:rFonts w:hint="eastAsia" w:ascii="仿宋" w:hAnsi="仿宋" w:cs="仿宋"/>
              </w:rPr>
              <w:t>(3)学分互认初审:自主申请或者管理员代申请的数据，需要先经过学习中心初审，初审之后才能进入终审。</w:t>
            </w:r>
          </w:p>
          <w:p w14:paraId="19A0D042">
            <w:pPr>
              <w:rPr>
                <w:rFonts w:ascii="仿宋" w:hAnsi="仿宋" w:cs="仿宋"/>
              </w:rPr>
            </w:pPr>
            <w:r>
              <w:rPr>
                <w:rFonts w:hint="eastAsia" w:ascii="仿宋" w:hAnsi="仿宋" w:cs="仿宋"/>
              </w:rPr>
              <w:t>(4)初审通过之后的数据，需在终审页面进行最终审核，终审通过之后学生学习成果互认才算申请成功。</w:t>
            </w:r>
          </w:p>
          <w:p w14:paraId="741C6A5C">
            <w:pPr>
              <w:rPr>
                <w:rFonts w:ascii="仿宋" w:hAnsi="仿宋" w:cs="仿宋"/>
              </w:rPr>
            </w:pPr>
            <w:r>
              <w:rPr>
                <w:rFonts w:hint="eastAsia" w:ascii="仿宋" w:hAnsi="仿宋" w:cs="仿宋"/>
              </w:rPr>
              <w:t>(5)审核需支持单个审核和批量审核两种方式。</w:t>
            </w:r>
          </w:p>
          <w:p w14:paraId="757870EA">
            <w:pPr>
              <w:rPr>
                <w:rFonts w:ascii="仿宋" w:hAnsi="仿宋" w:cs="仿宋"/>
              </w:rPr>
            </w:pPr>
            <w:r>
              <w:rPr>
                <w:rFonts w:hint="eastAsia" w:ascii="仿宋" w:hAnsi="仿宋" w:cs="仿宋"/>
              </w:rPr>
              <w:t>(6)学习成果互认数据发布之后需对财务和成绩模块的关联自动生效。</w:t>
            </w:r>
          </w:p>
        </w:tc>
      </w:tr>
      <w:tr w14:paraId="4B9972B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4" w:hRule="atLeast"/>
        </w:trPr>
        <w:tc>
          <w:tcPr>
            <w:tcW w:w="557" w:type="pct"/>
            <w:vMerge w:val="restart"/>
            <w:tcBorders>
              <w:top w:val="single" w:color="000000" w:sz="4" w:space="0"/>
              <w:left w:val="single" w:color="auto" w:sz="4" w:space="0"/>
              <w:right w:val="single" w:color="000000" w:sz="4" w:space="0"/>
            </w:tcBorders>
            <w:shd w:val="clear" w:color="auto" w:fill="auto"/>
            <w:noWrap/>
            <w:vAlign w:val="center"/>
          </w:tcPr>
          <w:p w14:paraId="0B19967C">
            <w:pPr>
              <w:jc w:val="center"/>
              <w:rPr>
                <w:rFonts w:ascii="仿宋" w:hAnsi="仿宋" w:cs="仿宋"/>
              </w:rPr>
            </w:pPr>
            <w:r>
              <w:rPr>
                <w:rFonts w:hint="eastAsia" w:ascii="仿宋" w:hAnsi="仿宋" w:cs="仿宋"/>
              </w:rPr>
              <w:t>12、</w:t>
            </w:r>
          </w:p>
          <w:p w14:paraId="697E0E97">
            <w:pPr>
              <w:jc w:val="center"/>
              <w:rPr>
                <w:rFonts w:ascii="仿宋" w:hAnsi="仿宋" w:cs="仿宋"/>
              </w:rPr>
            </w:pPr>
            <w:r>
              <w:rPr>
                <w:rFonts w:hint="eastAsia" w:ascii="仿宋" w:hAnsi="仿宋" w:cs="仿宋"/>
              </w:rPr>
              <w:t>非学历培训平台升级</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9A6F3">
            <w:pPr>
              <w:jc w:val="center"/>
              <w:rPr>
                <w:rFonts w:ascii="仿宋" w:hAnsi="仿宋" w:cs="仿宋"/>
              </w:rPr>
            </w:pPr>
            <w:r>
              <w:rPr>
                <w:rFonts w:hint="eastAsia" w:ascii="仿宋" w:hAnsi="仿宋" w:cs="仿宋"/>
              </w:rPr>
              <w:t>12.1</w:t>
            </w:r>
          </w:p>
          <w:p w14:paraId="3A8C258E">
            <w:pPr>
              <w:jc w:val="center"/>
              <w:rPr>
                <w:rFonts w:ascii="仿宋" w:hAnsi="仿宋" w:cs="仿宋"/>
              </w:rPr>
            </w:pPr>
            <w:r>
              <w:rPr>
                <w:rFonts w:hint="eastAsia" w:ascii="仿宋" w:hAnsi="仿宋" w:cs="仿宋"/>
              </w:rPr>
              <w:t>总体优化</w:t>
            </w:r>
          </w:p>
        </w:tc>
        <w:tc>
          <w:tcPr>
            <w:tcW w:w="3977" w:type="pct"/>
            <w:tcBorders>
              <w:top w:val="single" w:color="000000" w:sz="4" w:space="0"/>
              <w:left w:val="single" w:color="000000" w:sz="4" w:space="0"/>
              <w:bottom w:val="single" w:color="000000" w:sz="4" w:space="0"/>
            </w:tcBorders>
            <w:shd w:val="clear" w:color="auto" w:fill="auto"/>
            <w:vAlign w:val="center"/>
          </w:tcPr>
          <w:p w14:paraId="7F754D1D">
            <w:pPr>
              <w:rPr>
                <w:rFonts w:ascii="仿宋" w:hAnsi="仿宋" w:cs="仿宋"/>
              </w:rPr>
            </w:pPr>
            <w:r>
              <w:rPr>
                <w:rFonts w:hint="eastAsia" w:ascii="仿宋" w:hAnsi="仿宋" w:cs="仿宋"/>
              </w:rPr>
              <w:t>非学历培训平台进行全面升级，支持依据新政策实现管办分离功能使用。实现学院各类非学历培训班的SOP流程管理。</w:t>
            </w:r>
          </w:p>
        </w:tc>
      </w:tr>
      <w:tr w14:paraId="5ADCCD8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557" w:type="pct"/>
            <w:vMerge w:val="continue"/>
            <w:tcBorders>
              <w:left w:val="single" w:color="auto" w:sz="4" w:space="0"/>
              <w:right w:val="single" w:color="000000" w:sz="4" w:space="0"/>
            </w:tcBorders>
            <w:shd w:val="clear" w:color="auto" w:fill="auto"/>
            <w:noWrap/>
            <w:vAlign w:val="center"/>
          </w:tcPr>
          <w:p w14:paraId="54016E53">
            <w:pPr>
              <w:jc w:val="center"/>
              <w:rPr>
                <w:rFonts w:ascii="仿宋" w:hAnsi="仿宋" w:cs="仿宋"/>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F2403">
            <w:pPr>
              <w:jc w:val="center"/>
              <w:rPr>
                <w:rFonts w:ascii="仿宋" w:hAnsi="仿宋" w:cs="仿宋"/>
              </w:rPr>
            </w:pPr>
            <w:r>
              <w:rPr>
                <w:rFonts w:hint="eastAsia" w:ascii="仿宋" w:hAnsi="仿宋" w:cs="仿宋"/>
              </w:rPr>
              <w:t>12.2</w:t>
            </w:r>
          </w:p>
          <w:p w14:paraId="3858224E">
            <w:pPr>
              <w:jc w:val="center"/>
              <w:rPr>
                <w:rFonts w:ascii="仿宋" w:hAnsi="仿宋" w:cs="仿宋"/>
              </w:rPr>
            </w:pPr>
            <w:r>
              <w:rPr>
                <w:rFonts w:hint="eastAsia" w:ascii="仿宋" w:hAnsi="仿宋" w:cs="仿宋"/>
              </w:rPr>
              <w:t>UI界面以及整体操作流程优化</w:t>
            </w:r>
          </w:p>
        </w:tc>
        <w:tc>
          <w:tcPr>
            <w:tcW w:w="3977" w:type="pct"/>
            <w:tcBorders>
              <w:top w:val="single" w:color="000000" w:sz="4" w:space="0"/>
              <w:left w:val="single" w:color="000000" w:sz="4" w:space="0"/>
              <w:bottom w:val="single" w:color="000000" w:sz="4" w:space="0"/>
            </w:tcBorders>
            <w:shd w:val="clear" w:color="auto" w:fill="auto"/>
            <w:vAlign w:val="center"/>
          </w:tcPr>
          <w:p w14:paraId="21B609E8">
            <w:pPr>
              <w:rPr>
                <w:rFonts w:ascii="仿宋" w:hAnsi="仿宋" w:cs="仿宋"/>
              </w:rPr>
            </w:pPr>
            <w:r>
              <w:rPr>
                <w:rFonts w:hint="eastAsia" w:ascii="仿宋" w:hAnsi="仿宋" w:cs="仿宋"/>
              </w:rPr>
              <w:t>(1)UI界面优化：保持界面设计简洁，避免过多的信息和复杂的布局。将重要的功能和信息置于显眼的位置，便于用户快速找到。确保整个应用的UI设计风格和布局一致，使用户能够迅速适应并理解不同页面或功能的使用方法。</w:t>
            </w:r>
          </w:p>
          <w:p w14:paraId="1265C593">
            <w:pPr>
              <w:rPr>
                <w:rFonts w:ascii="仿宋" w:hAnsi="仿宋" w:cs="仿宋"/>
              </w:rPr>
            </w:pPr>
            <w:r>
              <w:rPr>
                <w:rFonts w:hint="eastAsia" w:ascii="仿宋" w:hAnsi="仿宋" w:cs="仿宋"/>
              </w:rPr>
              <w:t>(2)图标与图像：使用直观、易懂的图标和图像，帮助用户快速理解功能。确保图标与功能相对应，避免混淆。</w:t>
            </w:r>
          </w:p>
          <w:p w14:paraId="6F7F3D8F">
            <w:pPr>
              <w:rPr>
                <w:rFonts w:ascii="仿宋" w:hAnsi="仿宋" w:cs="仿宋"/>
              </w:rPr>
            </w:pPr>
            <w:r>
              <w:rPr>
                <w:rFonts w:hint="eastAsia" w:ascii="仿宋" w:hAnsi="仿宋" w:cs="仿宋"/>
              </w:rPr>
              <w:t>(3)反馈与提示：提供及时的反馈和提示，告知用户当前的操作状态或结果。例如，使用进度条、提示框等。</w:t>
            </w:r>
          </w:p>
          <w:p w14:paraId="09A4EA36">
            <w:pPr>
              <w:rPr>
                <w:rFonts w:ascii="仿宋" w:hAnsi="仿宋" w:cs="仿宋"/>
              </w:rPr>
            </w:pPr>
            <w:r>
              <w:rPr>
                <w:rFonts w:hint="eastAsia" w:ascii="仿宋" w:hAnsi="仿宋" w:cs="仿宋"/>
              </w:rPr>
              <w:t>(4)操作流程：设计合理的任务流程。确保流程清晰、简洁，减少不必要的步骤和环节。</w:t>
            </w:r>
          </w:p>
        </w:tc>
      </w:tr>
      <w:tr w14:paraId="6C3103E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557" w:type="pct"/>
            <w:vMerge w:val="continue"/>
            <w:tcBorders>
              <w:left w:val="single" w:color="auto" w:sz="4" w:space="0"/>
              <w:right w:val="single" w:color="000000" w:sz="4" w:space="0"/>
            </w:tcBorders>
            <w:shd w:val="clear" w:color="auto" w:fill="auto"/>
            <w:noWrap/>
            <w:vAlign w:val="center"/>
          </w:tcPr>
          <w:p w14:paraId="71CB5A8E">
            <w:pPr>
              <w:jc w:val="center"/>
              <w:rPr>
                <w:rFonts w:ascii="仿宋" w:hAnsi="仿宋" w:cs="仿宋"/>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B1D05">
            <w:pPr>
              <w:jc w:val="center"/>
              <w:rPr>
                <w:rFonts w:ascii="仿宋" w:hAnsi="仿宋" w:cs="仿宋"/>
              </w:rPr>
            </w:pPr>
            <w:r>
              <w:rPr>
                <w:rFonts w:hint="eastAsia" w:ascii="仿宋" w:hAnsi="仿宋" w:cs="仿宋"/>
              </w:rPr>
              <w:t>12.3</w:t>
            </w:r>
          </w:p>
          <w:p w14:paraId="08F71301">
            <w:pPr>
              <w:jc w:val="center"/>
              <w:rPr>
                <w:rFonts w:ascii="仿宋" w:hAnsi="仿宋" w:cs="仿宋"/>
              </w:rPr>
            </w:pPr>
            <w:r>
              <w:rPr>
                <w:rFonts w:hint="eastAsia" w:ascii="仿宋" w:hAnsi="仿宋" w:cs="仿宋"/>
              </w:rPr>
              <w:t>项目立项审核流程管理功能升级</w:t>
            </w:r>
          </w:p>
        </w:tc>
        <w:tc>
          <w:tcPr>
            <w:tcW w:w="3977" w:type="pct"/>
            <w:tcBorders>
              <w:top w:val="single" w:color="000000" w:sz="4" w:space="0"/>
              <w:left w:val="single" w:color="000000" w:sz="4" w:space="0"/>
              <w:bottom w:val="single" w:color="000000" w:sz="4" w:space="0"/>
            </w:tcBorders>
            <w:shd w:val="clear" w:color="auto" w:fill="auto"/>
            <w:vAlign w:val="center"/>
          </w:tcPr>
          <w:p w14:paraId="15E59C4A">
            <w:pPr>
              <w:rPr>
                <w:rFonts w:ascii="仿宋" w:hAnsi="仿宋" w:cs="仿宋"/>
              </w:rPr>
            </w:pPr>
            <w:r>
              <w:rPr>
                <w:rFonts w:hint="eastAsia" w:ascii="仿宋" w:hAnsi="仿宋" w:cs="仿宋"/>
              </w:rPr>
              <w:t>(1)审核流程创建：支持可视化自定义设置审批流程，实现多层级多人审核；支持多人审批支持或签、会签与比例签。审核列表管理：支持按照待审核、已审核、我创建的以及抄送我的内容管理审批列表。</w:t>
            </w:r>
          </w:p>
          <w:p w14:paraId="30343E18">
            <w:pPr>
              <w:rPr>
                <w:rFonts w:ascii="仿宋" w:hAnsi="仿宋" w:cs="仿宋"/>
              </w:rPr>
            </w:pPr>
            <w:r>
              <w:rPr>
                <w:rFonts w:hint="eastAsia" w:ascii="仿宋" w:hAnsi="仿宋" w:cs="仿宋"/>
              </w:rPr>
              <w:t>(2)审核状态：审核状态包括“待审核、已通过、未通过”。审批时支持添加审核评语与在线签名。</w:t>
            </w:r>
          </w:p>
          <w:p w14:paraId="707DF1F7">
            <w:pPr>
              <w:rPr>
                <w:rFonts w:ascii="仿宋" w:hAnsi="仿宋" w:cs="仿宋"/>
              </w:rPr>
            </w:pPr>
            <w:r>
              <w:rPr>
                <w:rFonts w:hint="eastAsia" w:ascii="仿宋" w:hAnsi="仿宋" w:cs="仿宋"/>
              </w:rPr>
              <w:t>(3)审核业务：支持业务关联固定审批流程，已支持关联项目立项审核、经费预算审核、培训计划审核、合格标准审核、开班审核、课表审核等审批业务。</w:t>
            </w:r>
          </w:p>
        </w:tc>
      </w:tr>
      <w:tr w14:paraId="72884F8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68" w:hRule="atLeast"/>
        </w:trPr>
        <w:tc>
          <w:tcPr>
            <w:tcW w:w="557" w:type="pct"/>
            <w:vMerge w:val="continue"/>
            <w:tcBorders>
              <w:left w:val="single" w:color="auto" w:sz="4" w:space="0"/>
              <w:right w:val="single" w:color="000000" w:sz="4" w:space="0"/>
            </w:tcBorders>
            <w:shd w:val="clear" w:color="auto" w:fill="auto"/>
            <w:noWrap/>
            <w:vAlign w:val="center"/>
          </w:tcPr>
          <w:p w14:paraId="217FD10C">
            <w:pPr>
              <w:jc w:val="center"/>
              <w:rPr>
                <w:rFonts w:ascii="仿宋" w:hAnsi="仿宋" w:cs="仿宋"/>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25F49">
            <w:pPr>
              <w:jc w:val="center"/>
              <w:rPr>
                <w:rFonts w:ascii="仿宋" w:hAnsi="仿宋" w:cs="仿宋"/>
              </w:rPr>
            </w:pPr>
            <w:r>
              <w:rPr>
                <w:rFonts w:hint="eastAsia" w:ascii="仿宋" w:hAnsi="仿宋" w:cs="仿宋"/>
              </w:rPr>
              <w:t>12.4</w:t>
            </w:r>
          </w:p>
          <w:p w14:paraId="67BEB552">
            <w:pPr>
              <w:jc w:val="center"/>
              <w:rPr>
                <w:rFonts w:ascii="仿宋" w:hAnsi="仿宋" w:cs="仿宋"/>
              </w:rPr>
            </w:pPr>
            <w:r>
              <w:rPr>
                <w:rFonts w:hint="eastAsia" w:ascii="仿宋" w:hAnsi="仿宋" w:cs="仿宋"/>
              </w:rPr>
              <w:t>项目管理功能升级</w:t>
            </w:r>
          </w:p>
        </w:tc>
        <w:tc>
          <w:tcPr>
            <w:tcW w:w="3977" w:type="pct"/>
            <w:tcBorders>
              <w:top w:val="single" w:color="000000" w:sz="4" w:space="0"/>
              <w:left w:val="single" w:color="000000" w:sz="4" w:space="0"/>
              <w:bottom w:val="single" w:color="000000" w:sz="4" w:space="0"/>
            </w:tcBorders>
            <w:shd w:val="clear" w:color="auto" w:fill="auto"/>
            <w:vAlign w:val="center"/>
          </w:tcPr>
          <w:p w14:paraId="6F02ED63">
            <w:pPr>
              <w:rPr>
                <w:rFonts w:ascii="仿宋" w:hAnsi="仿宋" w:cs="仿宋"/>
              </w:rPr>
            </w:pPr>
            <w:r>
              <w:rPr>
                <w:rFonts w:hint="eastAsia" w:ascii="仿宋" w:hAnsi="仿宋" w:cs="仿宋"/>
              </w:rPr>
              <w:t>(1)项目以及培训班字段的自定义管理功能:字段管理：支持配置与管理学员字段、学员信息确认字段、注册字段、报名字段、教师字段、管理员字段、项目字段、培训班字段、组织机构字段、学员单位字段、培训课(网络课/面授课)字段、合同字段、后勤字段；除了标准字段，同时支持添加选项/文本/时间/规则/图片/附件等自定义字段。</w:t>
            </w:r>
          </w:p>
          <w:p w14:paraId="33EA98E6">
            <w:pPr>
              <w:rPr>
                <w:rFonts w:ascii="仿宋" w:hAnsi="仿宋" w:cs="仿宋"/>
              </w:rPr>
            </w:pPr>
            <w:r>
              <w:rPr>
                <w:rFonts w:hint="eastAsia" w:ascii="仿宋" w:hAnsi="仿宋" w:cs="仿宋"/>
              </w:rPr>
              <w:t>(2)项目立项：支持在指定项目类型下申报多个新项目；不同类型项目支持自定义配置开班步骤；支持引导式项目申请，设置班级基本信息、经费预算、培训计划；支持多种类型培训项目的申报。支持提交保存相关合同协议资料。</w:t>
            </w:r>
          </w:p>
          <w:p w14:paraId="5133E1B5">
            <w:pPr>
              <w:rPr>
                <w:rFonts w:ascii="仿宋" w:hAnsi="仿宋" w:cs="仿宋"/>
              </w:rPr>
            </w:pPr>
            <w:r>
              <w:rPr>
                <w:rFonts w:hint="eastAsia" w:ascii="仿宋" w:hAnsi="仿宋" w:cs="仿宋"/>
              </w:rPr>
              <w:t>(3)管理项目：支持项目查询和编辑；支持查看和编辑项目基本信息、经费预算以及培训计划情况等；支持查看项目下班级，以及项目内开新班级；支持查看该项目下所有培训班信息；支持查看并添加平台管理员或教师为项目管理员；支持查看项目下班级的收入与支出明细；支持查看培训班下发起的评价内容，支持查看学员评价情况。</w:t>
            </w:r>
          </w:p>
          <w:p w14:paraId="4BB7AFCD">
            <w:pPr>
              <w:rPr>
                <w:rFonts w:ascii="仿宋" w:hAnsi="仿宋" w:cs="仿宋"/>
              </w:rPr>
            </w:pPr>
            <w:r>
              <w:rPr>
                <w:rFonts w:hint="eastAsia" w:ascii="仿宋" w:hAnsi="仿宋" w:cs="仿宋"/>
              </w:rPr>
              <w:t>(4)项目公示：支持建立项目属性栏目，并将已立项审核通过的项目推送到指定栏目中；支持将项目属性栏目推送到培训平台门户或者智慧门户。</w:t>
            </w:r>
          </w:p>
        </w:tc>
      </w:tr>
      <w:tr w14:paraId="00E2085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68" w:hRule="atLeast"/>
        </w:trPr>
        <w:tc>
          <w:tcPr>
            <w:tcW w:w="557" w:type="pct"/>
            <w:vMerge w:val="continue"/>
            <w:tcBorders>
              <w:left w:val="single" w:color="auto" w:sz="4" w:space="0"/>
              <w:right w:val="single" w:color="000000" w:sz="4" w:space="0"/>
            </w:tcBorders>
            <w:shd w:val="clear" w:color="auto" w:fill="auto"/>
            <w:noWrap/>
            <w:vAlign w:val="center"/>
          </w:tcPr>
          <w:p w14:paraId="624534CB">
            <w:pPr>
              <w:jc w:val="center"/>
              <w:rPr>
                <w:rFonts w:ascii="仿宋" w:hAnsi="仿宋" w:cs="仿宋"/>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CCD8D">
            <w:pPr>
              <w:jc w:val="center"/>
              <w:rPr>
                <w:rFonts w:ascii="仿宋" w:hAnsi="仿宋" w:cs="仿宋"/>
              </w:rPr>
            </w:pPr>
            <w:r>
              <w:rPr>
                <w:rFonts w:hint="eastAsia" w:ascii="仿宋" w:hAnsi="仿宋" w:cs="仿宋"/>
              </w:rPr>
              <w:t>12.5</w:t>
            </w:r>
          </w:p>
          <w:p w14:paraId="184F485A">
            <w:pPr>
              <w:jc w:val="center"/>
              <w:rPr>
                <w:rFonts w:ascii="仿宋" w:hAnsi="仿宋" w:cs="仿宋"/>
              </w:rPr>
            </w:pPr>
            <w:r>
              <w:rPr>
                <w:rFonts w:hint="eastAsia" w:ascii="仿宋" w:hAnsi="仿宋" w:cs="仿宋"/>
              </w:rPr>
              <w:t>培训班级报名管理升级</w:t>
            </w:r>
          </w:p>
        </w:tc>
        <w:tc>
          <w:tcPr>
            <w:tcW w:w="3977" w:type="pct"/>
            <w:tcBorders>
              <w:top w:val="single" w:color="000000" w:sz="4" w:space="0"/>
              <w:left w:val="single" w:color="000000" w:sz="4" w:space="0"/>
              <w:bottom w:val="single" w:color="000000" w:sz="4" w:space="0"/>
            </w:tcBorders>
            <w:shd w:val="clear" w:color="auto" w:fill="auto"/>
            <w:vAlign w:val="center"/>
          </w:tcPr>
          <w:p w14:paraId="5285653A">
            <w:pPr>
              <w:rPr>
                <w:rFonts w:ascii="仿宋" w:hAnsi="仿宋" w:cs="仿宋"/>
              </w:rPr>
            </w:pPr>
            <w:r>
              <w:rPr>
                <w:rFonts w:hint="eastAsia" w:ascii="仿宋" w:hAnsi="仿宋" w:cs="仿宋"/>
              </w:rPr>
              <w:t>(1)报名：支持有关培训班的线上报名。</w:t>
            </w:r>
          </w:p>
          <w:p w14:paraId="402C4D31">
            <w:pPr>
              <w:rPr>
                <w:rFonts w:ascii="仿宋" w:hAnsi="仿宋" w:cs="仿宋"/>
              </w:rPr>
            </w:pPr>
            <w:r>
              <w:rPr>
                <w:rFonts w:hint="eastAsia" w:ascii="仿宋" w:hAnsi="仿宋" w:cs="仿宋"/>
              </w:rPr>
              <w:t>(2)开班：支持一站式开班申请及分步式开班申请；不同类型项目支持自定义配置开班步骤；设置班级基本信息、经费预算、培训计划、合格标准内容；支持在指定项目类型-项目名称下开设多个新班级；支持批量开班，批量导入班级信息进行开班，支持针对每个班级下的推荐到门户展示的信息、学员端展示逻辑、班主任所对应的菜单等进行灵活配置。</w:t>
            </w:r>
          </w:p>
          <w:p w14:paraId="6C7C04E7">
            <w:pPr>
              <w:rPr>
                <w:rFonts w:ascii="仿宋" w:hAnsi="仿宋" w:cs="仿宋"/>
              </w:rPr>
            </w:pPr>
            <w:r>
              <w:rPr>
                <w:rFonts w:hint="eastAsia" w:ascii="仿宋" w:hAnsi="仿宋" w:cs="仿宋"/>
              </w:rPr>
              <w:t>合格标准：支持开班时设置合格标准，按照培训计划分别设置、培训计划整体设置、学时维度设置、签到维度设置、综合成绩维度设置合格标准；支持设置、组合不同维度的合格状态判定规则。</w:t>
            </w:r>
          </w:p>
          <w:p w14:paraId="48E04248">
            <w:pPr>
              <w:rPr>
                <w:rFonts w:ascii="仿宋" w:hAnsi="仿宋" w:cs="仿宋"/>
              </w:rPr>
            </w:pPr>
            <w:r>
              <w:rPr>
                <w:rFonts w:hint="eastAsia" w:ascii="仿宋" w:hAnsi="仿宋" w:cs="仿宋"/>
              </w:rPr>
              <w:t>(3)班级基础管理：支持查看班级综合信息；支持查看培训班所有学员信息，查询报到、合格、发证和缴费等状态；支持设置证书模板，手动或自动发放证书。</w:t>
            </w:r>
          </w:p>
          <w:p w14:paraId="0A6D9F01">
            <w:pPr>
              <w:rPr>
                <w:rFonts w:ascii="仿宋" w:hAnsi="仿宋" w:cs="仿宋"/>
              </w:rPr>
            </w:pPr>
            <w:r>
              <w:rPr>
                <w:rFonts w:hint="eastAsia" w:ascii="仿宋" w:hAnsi="仿宋" w:cs="仿宋"/>
              </w:rPr>
              <w:t>(4)教务管理：支持签到请假、班级活动、班级督学成绩、培训计划、班级课表、问卷管理和题库自测等教务管理；a、支持为培训计划添加分组，支持调整分组顺序，支持设置分组完成条件，实现在培训过程中，学员培训计划上一分组达到完成条件，下一分组自动开启；b、支持组内闯关以及组间闯关模式，根据完成条件设置实现培训计划与培训计划之间、分组与分组之间的学习闯关。</w:t>
            </w:r>
          </w:p>
          <w:p w14:paraId="47FCE1E3">
            <w:pPr>
              <w:rPr>
                <w:rFonts w:ascii="仿宋" w:hAnsi="仿宋" w:cs="仿宋"/>
              </w:rPr>
            </w:pPr>
            <w:r>
              <w:rPr>
                <w:rFonts w:hint="eastAsia" w:ascii="仿宋" w:hAnsi="仿宋" w:cs="仿宋"/>
              </w:rPr>
              <w:t>(5)班务管理：支持班级资料、班级收支、评价管理、学员评价、人员管理、工作安排、物料管理、班级承诺书、模板管理、听评督导、通知管理、和审核详情等班务管理。</w:t>
            </w:r>
          </w:p>
          <w:p w14:paraId="2CC8F0C6">
            <w:pPr>
              <w:rPr>
                <w:rFonts w:ascii="仿宋" w:hAnsi="仿宋" w:cs="仿宋"/>
              </w:rPr>
            </w:pPr>
            <w:r>
              <w:rPr>
                <w:rFonts w:hint="eastAsia" w:ascii="仿宋" w:hAnsi="仿宋" w:cs="仿宋"/>
              </w:rPr>
              <w:t>(6)证书管理：支持线上证书发放和线下证书打印，支持设置班级证书模板、发证条件、发证时间、流水号规则以及流水号生成范围、发证单位等字段；支持管理员申请发放班级证书，并审核相应操作。</w:t>
            </w:r>
          </w:p>
        </w:tc>
      </w:tr>
      <w:tr w14:paraId="2369E71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68" w:hRule="atLeast"/>
        </w:trPr>
        <w:tc>
          <w:tcPr>
            <w:tcW w:w="557" w:type="pct"/>
            <w:vMerge w:val="continue"/>
            <w:tcBorders>
              <w:left w:val="single" w:color="auto" w:sz="4" w:space="0"/>
              <w:right w:val="single" w:color="000000" w:sz="4" w:space="0"/>
            </w:tcBorders>
            <w:shd w:val="clear" w:color="auto" w:fill="auto"/>
            <w:noWrap/>
            <w:vAlign w:val="center"/>
          </w:tcPr>
          <w:p w14:paraId="4AD03E08">
            <w:pPr>
              <w:jc w:val="center"/>
              <w:rPr>
                <w:rFonts w:ascii="仿宋" w:hAnsi="仿宋" w:cs="仿宋"/>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8C6EA">
            <w:pPr>
              <w:jc w:val="center"/>
              <w:rPr>
                <w:rFonts w:ascii="仿宋" w:hAnsi="仿宋" w:cs="仿宋"/>
              </w:rPr>
            </w:pPr>
            <w:r>
              <w:rPr>
                <w:rFonts w:hint="eastAsia" w:ascii="仿宋" w:hAnsi="仿宋" w:cs="仿宋"/>
              </w:rPr>
              <w:t>12.6</w:t>
            </w:r>
          </w:p>
          <w:p w14:paraId="400A302A">
            <w:pPr>
              <w:jc w:val="center"/>
              <w:rPr>
                <w:rFonts w:ascii="仿宋" w:hAnsi="仿宋" w:cs="仿宋"/>
              </w:rPr>
            </w:pPr>
            <w:r>
              <w:rPr>
                <w:rFonts w:hint="eastAsia" w:ascii="仿宋" w:hAnsi="仿宋" w:cs="仿宋"/>
              </w:rPr>
              <w:t>证书管理升级</w:t>
            </w:r>
          </w:p>
        </w:tc>
        <w:tc>
          <w:tcPr>
            <w:tcW w:w="3977" w:type="pct"/>
            <w:tcBorders>
              <w:top w:val="single" w:color="000000" w:sz="4" w:space="0"/>
              <w:left w:val="single" w:color="000000" w:sz="4" w:space="0"/>
              <w:bottom w:val="single" w:color="000000" w:sz="4" w:space="0"/>
            </w:tcBorders>
            <w:shd w:val="clear" w:color="auto" w:fill="auto"/>
            <w:vAlign w:val="center"/>
          </w:tcPr>
          <w:p w14:paraId="6FF5EB2F">
            <w:pPr>
              <w:rPr>
                <w:rFonts w:ascii="仿宋" w:hAnsi="仿宋" w:cs="仿宋"/>
              </w:rPr>
            </w:pPr>
            <w:r>
              <w:rPr>
                <w:rFonts w:hint="eastAsia" w:ascii="仿宋" w:hAnsi="仿宋" w:cs="仿宋"/>
              </w:rPr>
              <w:t>(1)在线编辑：支持证书在线编辑工作台，可以通过拖拽字段方式添加图片，线段等多种元素；支持内置模板，支持设置模板大小。</w:t>
            </w:r>
          </w:p>
          <w:p w14:paraId="2E5E99EF">
            <w:pPr>
              <w:rPr>
                <w:rFonts w:ascii="仿宋" w:hAnsi="仿宋" w:cs="仿宋"/>
              </w:rPr>
            </w:pPr>
            <w:r>
              <w:rPr>
                <w:rFonts w:hint="eastAsia" w:ascii="仿宋" w:hAnsi="仿宋" w:cs="仿宋"/>
              </w:rPr>
              <w:t>(2)模板管理：支持导入模板；支持生成多种类型模板并设置默认模板；支持设置模板的权限。</w:t>
            </w:r>
          </w:p>
          <w:p w14:paraId="0A41BD4A">
            <w:pPr>
              <w:rPr>
                <w:rFonts w:ascii="仿宋" w:hAnsi="仿宋" w:cs="仿宋"/>
              </w:rPr>
            </w:pPr>
            <w:r>
              <w:rPr>
                <w:rFonts w:hint="eastAsia" w:ascii="仿宋" w:hAnsi="仿宋" w:cs="仿宋"/>
              </w:rPr>
              <w:t>(3)字段设置：支持按照学员、教师、培训班、培训计划等展示字段详情。支持更新固定字段，添加自定义字段。支持按照一定规则生成字段，支持选择系统已有的固定字段以及自定义字段和设置流水号以及流水位数。</w:t>
            </w:r>
          </w:p>
          <w:p w14:paraId="15561F54">
            <w:pPr>
              <w:rPr>
                <w:rFonts w:ascii="仿宋" w:hAnsi="仿宋" w:cs="仿宋"/>
              </w:rPr>
            </w:pPr>
            <w:r>
              <w:rPr>
                <w:rFonts w:hint="eastAsia" w:ascii="仿宋" w:hAnsi="仿宋" w:cs="仿宋"/>
              </w:rPr>
              <w:t>(4)证书管理：支持查看学员证书、单课证书、成绩单、已撤回证书以及外部证书。支持导入证书运单号，支持批量打印证书。</w:t>
            </w:r>
          </w:p>
          <w:p w14:paraId="107CF708">
            <w:pPr>
              <w:rPr>
                <w:rFonts w:ascii="仿宋" w:hAnsi="仿宋" w:cs="仿宋"/>
              </w:rPr>
            </w:pPr>
            <w:r>
              <w:rPr>
                <w:rFonts w:hint="eastAsia" w:ascii="仿宋" w:hAnsi="仿宋" w:cs="仿宋"/>
              </w:rPr>
              <w:t>(5)证书查询：支持按照学员姓名以及证件号查询与下载学员所有证书数据。支持二维码校验。</w:t>
            </w:r>
          </w:p>
          <w:p w14:paraId="4A9522D4">
            <w:pPr>
              <w:rPr>
                <w:rFonts w:ascii="仿宋" w:hAnsi="仿宋" w:cs="仿宋"/>
              </w:rPr>
            </w:pPr>
            <w:r>
              <w:rPr>
                <w:rFonts w:hint="eastAsia" w:ascii="仿宋" w:hAnsi="仿宋" w:cs="仿宋"/>
              </w:rPr>
              <w:t>(6)支持证书与电子章的对接。</w:t>
            </w:r>
          </w:p>
        </w:tc>
      </w:tr>
      <w:tr w14:paraId="51ECD6A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6" w:hRule="atLeast"/>
        </w:trPr>
        <w:tc>
          <w:tcPr>
            <w:tcW w:w="557" w:type="pct"/>
            <w:vMerge w:val="continue"/>
            <w:tcBorders>
              <w:left w:val="single" w:color="auto" w:sz="4" w:space="0"/>
              <w:right w:val="single" w:color="000000" w:sz="4" w:space="0"/>
            </w:tcBorders>
            <w:shd w:val="clear" w:color="auto" w:fill="auto"/>
            <w:noWrap/>
            <w:vAlign w:val="center"/>
          </w:tcPr>
          <w:p w14:paraId="5EC1EC9E">
            <w:pPr>
              <w:jc w:val="center"/>
              <w:rPr>
                <w:rFonts w:ascii="仿宋" w:hAnsi="仿宋" w:cs="仿宋"/>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E73EF">
            <w:pPr>
              <w:jc w:val="center"/>
              <w:rPr>
                <w:rFonts w:ascii="仿宋" w:hAnsi="仿宋" w:cs="仿宋"/>
              </w:rPr>
            </w:pPr>
            <w:r>
              <w:rPr>
                <w:rFonts w:hint="eastAsia" w:ascii="仿宋" w:hAnsi="仿宋" w:cs="仿宋"/>
              </w:rPr>
              <w:t>12.7</w:t>
            </w:r>
          </w:p>
          <w:p w14:paraId="3E1313AD">
            <w:pPr>
              <w:jc w:val="center"/>
              <w:rPr>
                <w:rFonts w:ascii="仿宋" w:hAnsi="仿宋" w:cs="仿宋"/>
              </w:rPr>
            </w:pPr>
            <w:r>
              <w:rPr>
                <w:rFonts w:hint="eastAsia" w:ascii="仿宋" w:hAnsi="仿宋" w:cs="仿宋"/>
              </w:rPr>
              <w:t>系统对接</w:t>
            </w:r>
          </w:p>
        </w:tc>
        <w:tc>
          <w:tcPr>
            <w:tcW w:w="3977" w:type="pct"/>
            <w:tcBorders>
              <w:top w:val="single" w:color="000000" w:sz="4" w:space="0"/>
              <w:left w:val="single" w:color="000000" w:sz="4" w:space="0"/>
              <w:bottom w:val="single" w:color="000000" w:sz="4" w:space="0"/>
            </w:tcBorders>
            <w:shd w:val="clear" w:color="auto" w:fill="auto"/>
            <w:vAlign w:val="center"/>
          </w:tcPr>
          <w:p w14:paraId="496E70F6">
            <w:pPr>
              <w:rPr>
                <w:rFonts w:ascii="仿宋" w:hAnsi="仿宋" w:cs="仿宋"/>
              </w:rPr>
            </w:pPr>
            <w:r>
              <w:rPr>
                <w:rFonts w:hint="eastAsia" w:ascii="仿宋" w:hAnsi="仿宋" w:cs="仿宋"/>
              </w:rPr>
              <w:t>(1)对接学校OA，自动同步教职工信息(包括职务、工号、手机号等信息)，自动获取教职工所属组织架构。</w:t>
            </w:r>
          </w:p>
          <w:p w14:paraId="78A2DD4D">
            <w:pPr>
              <w:rPr>
                <w:rFonts w:ascii="仿宋" w:hAnsi="仿宋" w:cs="仿宋"/>
              </w:rPr>
            </w:pPr>
            <w:r>
              <w:rPr>
                <w:rFonts w:hint="eastAsia" w:ascii="仿宋" w:hAnsi="仿宋" w:cs="仿宋"/>
              </w:rPr>
              <w:t>(2)对接学校办事大厅，实现审批流程审批人消息自动推送至学校办事大厅消息中心，供审批人进行审批操作。</w:t>
            </w:r>
          </w:p>
        </w:tc>
      </w:tr>
      <w:tr w14:paraId="5F1135C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41" w:hRule="atLeast"/>
        </w:trPr>
        <w:tc>
          <w:tcPr>
            <w:tcW w:w="557" w:type="pct"/>
            <w:vMerge w:val="continue"/>
            <w:tcBorders>
              <w:left w:val="single" w:color="auto" w:sz="4" w:space="0"/>
              <w:right w:val="single" w:color="000000" w:sz="4" w:space="0"/>
            </w:tcBorders>
            <w:shd w:val="clear" w:color="auto" w:fill="auto"/>
            <w:noWrap/>
            <w:vAlign w:val="center"/>
          </w:tcPr>
          <w:p w14:paraId="44EE74AF">
            <w:pPr>
              <w:jc w:val="center"/>
              <w:rPr>
                <w:rFonts w:ascii="仿宋" w:hAnsi="仿宋" w:cs="仿宋"/>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F796A">
            <w:pPr>
              <w:jc w:val="center"/>
              <w:rPr>
                <w:rFonts w:ascii="仿宋" w:hAnsi="仿宋" w:cs="仿宋"/>
              </w:rPr>
            </w:pPr>
            <w:r>
              <w:rPr>
                <w:rFonts w:hint="eastAsia" w:ascii="仿宋" w:hAnsi="仿宋" w:cs="仿宋"/>
              </w:rPr>
              <w:t>12.8</w:t>
            </w:r>
          </w:p>
          <w:p w14:paraId="4E56111E">
            <w:pPr>
              <w:jc w:val="center"/>
              <w:rPr>
                <w:rFonts w:ascii="仿宋" w:hAnsi="仿宋" w:cs="仿宋"/>
              </w:rPr>
            </w:pPr>
            <w:r>
              <w:rPr>
                <w:rFonts w:hint="eastAsia" w:ascii="仿宋" w:hAnsi="仿宋" w:cs="仿宋"/>
              </w:rPr>
              <w:t>数据迁移</w:t>
            </w:r>
          </w:p>
        </w:tc>
        <w:tc>
          <w:tcPr>
            <w:tcW w:w="3977" w:type="pct"/>
            <w:tcBorders>
              <w:top w:val="single" w:color="000000" w:sz="4" w:space="0"/>
              <w:left w:val="single" w:color="000000" w:sz="4" w:space="0"/>
              <w:bottom w:val="single" w:color="000000" w:sz="4" w:space="0"/>
            </w:tcBorders>
            <w:shd w:val="clear" w:color="auto" w:fill="auto"/>
            <w:vAlign w:val="center"/>
          </w:tcPr>
          <w:p w14:paraId="2B6BAA9B">
            <w:pPr>
              <w:rPr>
                <w:rFonts w:ascii="仿宋" w:hAnsi="仿宋" w:cs="仿宋"/>
              </w:rPr>
            </w:pPr>
            <w:r>
              <w:rPr>
                <w:rFonts w:hint="eastAsia" w:ascii="仿宋" w:hAnsi="仿宋" w:cs="仿宋"/>
              </w:rPr>
              <w:t>(1)实现旧平台历史数据的迁移。</w:t>
            </w:r>
          </w:p>
          <w:p w14:paraId="26C06B14">
            <w:pPr>
              <w:rPr>
                <w:rFonts w:ascii="仿宋" w:hAnsi="仿宋" w:cs="仿宋"/>
              </w:rPr>
            </w:pPr>
            <w:r>
              <w:rPr>
                <w:rFonts w:hint="eastAsia" w:ascii="仿宋" w:hAnsi="仿宋" w:cs="仿宋"/>
              </w:rPr>
              <w:t>(2)迁移内容包括但不限于：培训学员信息、培训教师信息、培训课程信息、培训班信息、证书信息内容等。</w:t>
            </w:r>
          </w:p>
          <w:p w14:paraId="4B28251C">
            <w:pPr>
              <w:rPr>
                <w:rFonts w:ascii="仿宋" w:hAnsi="仿宋" w:cs="仿宋"/>
              </w:rPr>
            </w:pPr>
            <w:r>
              <w:rPr>
                <w:rFonts w:hint="eastAsia" w:ascii="仿宋" w:hAnsi="仿宋" w:cs="仿宋"/>
              </w:rPr>
              <w:t>(3)有效的与旧系统平台中的网络课程实现无缝对接。</w:t>
            </w:r>
          </w:p>
        </w:tc>
      </w:tr>
      <w:tr w14:paraId="4AB26A0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70" w:hRule="atLeast"/>
        </w:trPr>
        <w:tc>
          <w:tcPr>
            <w:tcW w:w="557" w:type="pct"/>
            <w:vMerge w:val="restart"/>
            <w:tcBorders>
              <w:top w:val="single" w:color="auto" w:sz="4" w:space="0"/>
              <w:left w:val="single" w:color="auto" w:sz="4" w:space="0"/>
              <w:right w:val="single" w:color="000000" w:sz="4" w:space="0"/>
            </w:tcBorders>
            <w:shd w:val="clear" w:color="auto" w:fill="auto"/>
            <w:noWrap/>
            <w:vAlign w:val="center"/>
          </w:tcPr>
          <w:p w14:paraId="505A7456">
            <w:pPr>
              <w:jc w:val="center"/>
              <w:rPr>
                <w:rFonts w:ascii="仿宋" w:hAnsi="仿宋" w:cs="仿宋"/>
                <w:lang w:eastAsia="zh-Hans"/>
              </w:rPr>
            </w:pPr>
            <w:r>
              <w:rPr>
                <w:rFonts w:hint="eastAsia" w:ascii="仿宋" w:hAnsi="仿宋" w:cs="仿宋"/>
              </w:rPr>
              <w:t>13、</w:t>
            </w:r>
          </w:p>
          <w:p w14:paraId="2CBF1D49">
            <w:pPr>
              <w:jc w:val="center"/>
              <w:rPr>
                <w:rFonts w:ascii="仿宋" w:hAnsi="仿宋" w:cs="仿宋"/>
              </w:rPr>
            </w:pPr>
            <w:r>
              <w:rPr>
                <w:rFonts w:hint="eastAsia" w:ascii="仿宋" w:hAnsi="仿宋" w:cs="仿宋"/>
                <w:lang w:eastAsia="zh-Hans"/>
              </w:rPr>
              <w:t>大数据展示</w:t>
            </w:r>
          </w:p>
        </w:tc>
        <w:tc>
          <w:tcPr>
            <w:tcW w:w="464" w:type="pct"/>
            <w:tcBorders>
              <w:top w:val="single" w:color="000000" w:sz="4" w:space="0"/>
              <w:left w:val="single" w:color="000000" w:sz="4" w:space="0"/>
              <w:bottom w:val="single" w:color="auto" w:sz="4" w:space="0"/>
              <w:right w:val="single" w:color="000000" w:sz="4" w:space="0"/>
            </w:tcBorders>
            <w:shd w:val="clear" w:color="auto" w:fill="auto"/>
            <w:vAlign w:val="center"/>
          </w:tcPr>
          <w:p w14:paraId="5AA933DD">
            <w:pPr>
              <w:jc w:val="center"/>
              <w:rPr>
                <w:rFonts w:ascii="仿宋" w:hAnsi="仿宋" w:cs="仿宋"/>
              </w:rPr>
            </w:pPr>
            <w:r>
              <w:rPr>
                <w:rFonts w:hint="eastAsia" w:ascii="仿宋" w:hAnsi="仿宋" w:cs="仿宋"/>
              </w:rPr>
              <w:t>13.1</w:t>
            </w:r>
          </w:p>
          <w:p w14:paraId="75217082">
            <w:pPr>
              <w:jc w:val="center"/>
              <w:rPr>
                <w:rFonts w:ascii="仿宋" w:hAnsi="仿宋" w:cs="仿宋"/>
              </w:rPr>
            </w:pPr>
            <w:r>
              <w:rPr>
                <w:rFonts w:hint="eastAsia" w:ascii="仿宋" w:hAnsi="仿宋" w:cs="仿宋"/>
              </w:rPr>
              <w:t>总体要求</w:t>
            </w:r>
          </w:p>
        </w:tc>
        <w:tc>
          <w:tcPr>
            <w:tcW w:w="3977" w:type="pct"/>
            <w:tcBorders>
              <w:top w:val="single" w:color="000000" w:sz="4" w:space="0"/>
              <w:left w:val="single" w:color="000000" w:sz="4" w:space="0"/>
              <w:bottom w:val="single" w:color="auto" w:sz="4" w:space="0"/>
            </w:tcBorders>
            <w:shd w:val="clear" w:color="auto" w:fill="auto"/>
            <w:vAlign w:val="center"/>
          </w:tcPr>
          <w:p w14:paraId="298C43DD">
            <w:pPr>
              <w:rPr>
                <w:rFonts w:ascii="仿宋" w:hAnsi="仿宋" w:cs="仿宋"/>
              </w:rPr>
            </w:pPr>
            <w:r>
              <w:rPr>
                <w:rFonts w:hint="eastAsia" w:ascii="仿宋" w:hAnsi="仿宋" w:cs="仿宋"/>
              </w:rPr>
              <w:t>大数据分析将教师和学生基本信息、线上教学、线下面授、作业、考试、成绩、毕业、学位、财务等全过程进行数据的跟踪管理，后台进行数据的分析、汇总和展现，为学院的科学决策提供数据支撑。</w:t>
            </w:r>
          </w:p>
        </w:tc>
      </w:tr>
      <w:tr w14:paraId="3078B1A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13" w:hRule="atLeast"/>
        </w:trPr>
        <w:tc>
          <w:tcPr>
            <w:tcW w:w="557" w:type="pct"/>
            <w:vMerge w:val="continue"/>
            <w:tcBorders>
              <w:left w:val="single" w:color="auto" w:sz="4" w:space="0"/>
              <w:right w:val="single" w:color="000000" w:sz="4" w:space="0"/>
            </w:tcBorders>
            <w:shd w:val="clear" w:color="auto" w:fill="auto"/>
            <w:noWrap/>
            <w:vAlign w:val="center"/>
          </w:tcPr>
          <w:p w14:paraId="72B9F085">
            <w:pPr>
              <w:jc w:val="center"/>
              <w:rPr>
                <w:rFonts w:ascii="仿宋" w:hAnsi="仿宋" w:cs="仿宋"/>
              </w:rPr>
            </w:pPr>
          </w:p>
        </w:tc>
        <w:tc>
          <w:tcPr>
            <w:tcW w:w="464" w:type="pct"/>
            <w:tcBorders>
              <w:top w:val="single" w:color="auto" w:sz="4" w:space="0"/>
              <w:left w:val="single" w:color="000000" w:sz="4" w:space="0"/>
              <w:bottom w:val="single" w:color="auto" w:sz="4" w:space="0"/>
              <w:right w:val="single" w:color="000000" w:sz="4" w:space="0"/>
            </w:tcBorders>
            <w:shd w:val="clear" w:color="auto" w:fill="auto"/>
            <w:vAlign w:val="center"/>
          </w:tcPr>
          <w:p w14:paraId="3BFAB2D3">
            <w:pPr>
              <w:jc w:val="center"/>
              <w:rPr>
                <w:rFonts w:ascii="仿宋" w:hAnsi="仿宋" w:cs="仿宋"/>
              </w:rPr>
            </w:pPr>
            <w:r>
              <w:rPr>
                <w:rFonts w:hint="eastAsia" w:ascii="仿宋" w:hAnsi="仿宋" w:cs="仿宋"/>
              </w:rPr>
              <w:t>13.2</w:t>
            </w:r>
          </w:p>
          <w:p w14:paraId="6FB82EAA">
            <w:pPr>
              <w:jc w:val="center"/>
              <w:rPr>
                <w:rFonts w:ascii="仿宋" w:hAnsi="仿宋" w:cs="仿宋"/>
              </w:rPr>
            </w:pPr>
            <w:r>
              <w:rPr>
                <w:rFonts w:hint="eastAsia" w:ascii="仿宋" w:hAnsi="仿宋" w:cs="仿宋"/>
              </w:rPr>
              <w:t>基本信息大数据分析展示</w:t>
            </w:r>
          </w:p>
        </w:tc>
        <w:tc>
          <w:tcPr>
            <w:tcW w:w="3977" w:type="pct"/>
            <w:tcBorders>
              <w:top w:val="single" w:color="auto" w:sz="4" w:space="0"/>
              <w:left w:val="single" w:color="000000" w:sz="4" w:space="0"/>
              <w:bottom w:val="single" w:color="auto" w:sz="4" w:space="0"/>
            </w:tcBorders>
            <w:shd w:val="clear" w:color="auto" w:fill="auto"/>
            <w:vAlign w:val="center"/>
          </w:tcPr>
          <w:p w14:paraId="133A9756">
            <w:pPr>
              <w:rPr>
                <w:rFonts w:ascii="仿宋" w:hAnsi="仿宋" w:cs="仿宋"/>
              </w:rPr>
            </w:pPr>
            <w:r>
              <w:rPr>
                <w:rFonts w:hint="eastAsia" w:ascii="仿宋" w:hAnsi="仿宋" w:cs="仿宋"/>
              </w:rPr>
              <w:t>支持自定义统计分析，通过自定义报表名称，自定义设置招生、学籍、教学过程、成绩、毕业的统计维度和统计内容生成统计报表，统计结果以柱状图和折线图进行展示，并支持下载。支持自定义配置大屏logo、地图省份等基础设置。大屏可以展示在校学生统计数据、毕业情况、学生访问平台情况等。</w:t>
            </w:r>
          </w:p>
        </w:tc>
      </w:tr>
      <w:tr w14:paraId="141E8B9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20" w:hRule="atLeast"/>
        </w:trPr>
        <w:tc>
          <w:tcPr>
            <w:tcW w:w="557" w:type="pct"/>
            <w:vMerge w:val="continue"/>
            <w:tcBorders>
              <w:left w:val="single" w:color="auto" w:sz="4" w:space="0"/>
              <w:bottom w:val="single" w:color="auto" w:sz="4" w:space="0"/>
              <w:right w:val="single" w:color="000000" w:sz="4" w:space="0"/>
            </w:tcBorders>
            <w:shd w:val="clear" w:color="auto" w:fill="auto"/>
            <w:noWrap/>
            <w:vAlign w:val="center"/>
          </w:tcPr>
          <w:p w14:paraId="17088C13">
            <w:pPr>
              <w:jc w:val="center"/>
              <w:rPr>
                <w:rFonts w:ascii="仿宋" w:hAnsi="仿宋" w:cs="仿宋"/>
              </w:rPr>
            </w:pPr>
          </w:p>
        </w:tc>
        <w:tc>
          <w:tcPr>
            <w:tcW w:w="464" w:type="pct"/>
            <w:tcBorders>
              <w:top w:val="single" w:color="auto" w:sz="4" w:space="0"/>
              <w:left w:val="single" w:color="000000" w:sz="4" w:space="0"/>
              <w:bottom w:val="single" w:color="auto" w:sz="4" w:space="0"/>
              <w:right w:val="single" w:color="000000" w:sz="4" w:space="0"/>
            </w:tcBorders>
            <w:shd w:val="clear" w:color="auto" w:fill="auto"/>
            <w:vAlign w:val="center"/>
          </w:tcPr>
          <w:p w14:paraId="25213C39">
            <w:pPr>
              <w:jc w:val="center"/>
              <w:rPr>
                <w:rFonts w:ascii="仿宋" w:hAnsi="仿宋" w:cs="仿宋"/>
              </w:rPr>
            </w:pPr>
            <w:r>
              <w:rPr>
                <w:rFonts w:hint="eastAsia" w:ascii="仿宋" w:hAnsi="仿宋" w:cs="仿宋"/>
              </w:rPr>
              <w:t>13.3</w:t>
            </w:r>
          </w:p>
          <w:p w14:paraId="5C847F68">
            <w:pPr>
              <w:jc w:val="center"/>
              <w:rPr>
                <w:rFonts w:ascii="仿宋" w:hAnsi="仿宋" w:cs="仿宋"/>
              </w:rPr>
            </w:pPr>
            <w:r>
              <w:rPr>
                <w:rFonts w:hint="eastAsia" w:ascii="仿宋" w:hAnsi="仿宋" w:cs="仿宋"/>
              </w:rPr>
              <w:t>教学大数据分析展示</w:t>
            </w:r>
          </w:p>
        </w:tc>
        <w:tc>
          <w:tcPr>
            <w:tcW w:w="3977" w:type="pct"/>
            <w:tcBorders>
              <w:top w:val="single" w:color="auto" w:sz="4" w:space="0"/>
              <w:left w:val="single" w:color="000000" w:sz="4" w:space="0"/>
              <w:bottom w:val="single" w:color="auto" w:sz="4" w:space="0"/>
            </w:tcBorders>
            <w:shd w:val="clear" w:color="auto" w:fill="auto"/>
            <w:vAlign w:val="center"/>
          </w:tcPr>
          <w:p w14:paraId="7FCB3FD9">
            <w:pPr>
              <w:rPr>
                <w:rFonts w:ascii="仿宋" w:hAnsi="仿宋" w:cs="仿宋"/>
              </w:rPr>
            </w:pPr>
            <w:r>
              <w:rPr>
                <w:rFonts w:hint="eastAsia" w:ascii="仿宋" w:hAnsi="仿宋" w:cs="仿宋"/>
              </w:rPr>
              <w:t>(1)今日动态:包括今日教师资源上传量、今日学生签到率、今日上线师生人数及运行课程，运行班级数今日师生活动数、师生活动类型分布，较为活跃的课程及师生实时动态，给管理者呈现今日的实时动态。</w:t>
            </w:r>
          </w:p>
          <w:p w14:paraId="5D3FAB81">
            <w:pPr>
              <w:rPr>
                <w:rFonts w:ascii="仿宋" w:hAnsi="仿宋" w:cs="仿宋"/>
              </w:rPr>
            </w:pPr>
            <w:r>
              <w:rPr>
                <w:rFonts w:hint="eastAsia" w:ascii="仿宋" w:hAnsi="仿宋" w:cs="仿宋"/>
              </w:rPr>
              <w:t>(2)整体概况:以课程维度，展示平台的本学期活跃课程数量、近30天课程访问量变化趋势；以教师维度，展示平台本学期累计使用教师人数、教师发布任务点累计、发布课堂活动累计、发布测验作业考试数累计、线上发起讨论数、教师本学期累计在线时长；以学生维度，展示平台本学期累计使用学生人数、学生参与任务点累计、参与课堂活动累计、完成测验作业考试数累计、线上参与讨论数、学生本学期累计在线时长。</w:t>
            </w:r>
          </w:p>
          <w:p w14:paraId="560C481C">
            <w:pPr>
              <w:rPr>
                <w:rFonts w:ascii="仿宋" w:hAnsi="仿宋" w:cs="仿宋"/>
              </w:rPr>
            </w:pPr>
            <w:r>
              <w:rPr>
                <w:rFonts w:hint="eastAsia" w:ascii="仿宋" w:hAnsi="仿宋" w:cs="仿宋"/>
              </w:rPr>
              <w:t>(3)签到监控:全体学生整体签到率、各课程签到率排行，近一月每日签到走势对比；近一月班级排行榜、今日上课班级签到排行榜、今日签到学生排行榜实时动态。</w:t>
            </w:r>
          </w:p>
          <w:p w14:paraId="6F014F2E">
            <w:pPr>
              <w:rPr>
                <w:rFonts w:ascii="仿宋" w:hAnsi="仿宋" w:cs="仿宋"/>
              </w:rPr>
            </w:pPr>
            <w:r>
              <w:rPr>
                <w:rFonts w:hint="eastAsia" w:ascii="仿宋" w:hAnsi="仿宋" w:cs="仿宋"/>
              </w:rPr>
              <w:t>(4)课堂活动:统计展示近30天课堂活动总数量、课堂活动中的投票、选人、评分、问卷、主题讨论、分组任务每一个互动类型的教师发布情况、学生完成情况；师生课堂活动趋势、课堂活动数最多的5门课程、近30日课堂活动数，参与的师生人数统计。</w:t>
            </w:r>
          </w:p>
          <w:p w14:paraId="204458A6">
            <w:pPr>
              <w:rPr>
                <w:rFonts w:ascii="仿宋" w:hAnsi="仿宋" w:cs="仿宋"/>
              </w:rPr>
            </w:pPr>
            <w:r>
              <w:rPr>
                <w:rFonts w:hint="eastAsia" w:ascii="仿宋" w:hAnsi="仿宋" w:cs="仿宋"/>
              </w:rPr>
              <w:t>(5)活跃度监控:统计了近7日师生活动数、近7日活跃师生人数、近7日活跃课程及班级数、活跃课程排行及近24小时师生活跃趋势变化情况、近7日活跃师生榜。</w:t>
            </w:r>
          </w:p>
          <w:p w14:paraId="5C628974">
            <w:pPr>
              <w:rPr>
                <w:rFonts w:ascii="仿宋" w:hAnsi="仿宋" w:cs="仿宋"/>
              </w:rPr>
            </w:pPr>
            <w:r>
              <w:rPr>
                <w:rFonts w:hint="eastAsia" w:ascii="仿宋" w:hAnsi="仿宋" w:cs="仿宋"/>
              </w:rPr>
              <w:t>(6)考试在线监控:进行考试各考场监控视频的集中展示，并集成考场信息、考生签到等有关状态数据，方便学校进行在线监考。</w:t>
            </w:r>
          </w:p>
          <w:p w14:paraId="084E3E34">
            <w:pPr>
              <w:rPr>
                <w:rFonts w:ascii="仿宋" w:hAnsi="仿宋" w:cs="仿宋"/>
              </w:rPr>
            </w:pPr>
            <w:r>
              <w:rPr>
                <w:rFonts w:hint="eastAsia" w:ascii="仿宋" w:hAnsi="仿宋" w:cs="仿宋"/>
              </w:rPr>
              <w:t>(7)资源监控:统计全部题库量、资源总量、资源类型及占比、近3天资源增长趋势、全部题库建设情况，题库总量及各个题型占比、教师资源上传排行榜。</w:t>
            </w:r>
          </w:p>
        </w:tc>
      </w:tr>
    </w:tbl>
    <w:p w14:paraId="2A1BEE1E">
      <w:pPr>
        <w:spacing w:line="360" w:lineRule="auto"/>
        <w:ind w:firstLine="482" w:firstLineChars="200"/>
        <w:rPr>
          <w:rFonts w:ascii="宋体" w:hAnsi="宋体" w:cs="宋体"/>
          <w:b/>
          <w:bCs/>
        </w:rPr>
      </w:pPr>
      <w:r>
        <w:rPr>
          <w:rFonts w:hint="eastAsia" w:ascii="宋体" w:hAnsi="宋体" w:cs="宋体"/>
          <w:b/>
          <w:bCs/>
        </w:rPr>
        <w:t>2.线上考试系统升级</w:t>
      </w:r>
    </w:p>
    <w:tbl>
      <w:tblPr>
        <w:tblStyle w:val="62"/>
        <w:tblW w:w="4779"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978"/>
        <w:gridCol w:w="836"/>
        <w:gridCol w:w="7062"/>
      </w:tblGrid>
      <w:tr w14:paraId="4DF6C2C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blHeader/>
        </w:trPr>
        <w:tc>
          <w:tcPr>
            <w:tcW w:w="551" w:type="pct"/>
            <w:tcBorders>
              <w:left w:val="single" w:color="000000" w:sz="4" w:space="0"/>
              <w:bottom w:val="single" w:color="auto" w:sz="4" w:space="0"/>
              <w:right w:val="single" w:color="000000" w:sz="4" w:space="0"/>
            </w:tcBorders>
            <w:shd w:val="clear" w:color="auto" w:fill="auto"/>
            <w:noWrap/>
            <w:vAlign w:val="center"/>
          </w:tcPr>
          <w:p w14:paraId="2B464483">
            <w:pPr>
              <w:jc w:val="center"/>
              <w:rPr>
                <w:b/>
                <w:bCs/>
              </w:rPr>
            </w:pPr>
            <w:r>
              <w:rPr>
                <w:rFonts w:hint="eastAsia"/>
                <w:b/>
                <w:bCs/>
              </w:rPr>
              <w:t>模块</w:t>
            </w:r>
          </w:p>
        </w:tc>
        <w:tc>
          <w:tcPr>
            <w:tcW w:w="471" w:type="pct"/>
            <w:tcBorders>
              <w:left w:val="single" w:color="000000" w:sz="4" w:space="0"/>
              <w:bottom w:val="single" w:color="auto" w:sz="4" w:space="0"/>
              <w:right w:val="single" w:color="000000" w:sz="4" w:space="0"/>
            </w:tcBorders>
            <w:shd w:val="clear" w:color="auto" w:fill="auto"/>
            <w:noWrap/>
            <w:vAlign w:val="center"/>
          </w:tcPr>
          <w:p w14:paraId="3809E5B1">
            <w:pPr>
              <w:jc w:val="center"/>
              <w:rPr>
                <w:b/>
                <w:bCs/>
              </w:rPr>
            </w:pPr>
            <w:r>
              <w:rPr>
                <w:rFonts w:hint="eastAsia"/>
                <w:b/>
                <w:bCs/>
              </w:rPr>
              <w:t>功能</w:t>
            </w:r>
          </w:p>
        </w:tc>
        <w:tc>
          <w:tcPr>
            <w:tcW w:w="3976" w:type="pct"/>
            <w:tcBorders>
              <w:left w:val="single" w:color="000000" w:sz="4" w:space="0"/>
              <w:bottom w:val="single" w:color="auto" w:sz="4" w:space="0"/>
            </w:tcBorders>
            <w:shd w:val="clear" w:color="auto" w:fill="auto"/>
            <w:noWrap/>
            <w:vAlign w:val="center"/>
          </w:tcPr>
          <w:p w14:paraId="1794FBB2">
            <w:pPr>
              <w:jc w:val="center"/>
              <w:rPr>
                <w:b/>
                <w:bCs/>
              </w:rPr>
            </w:pPr>
            <w:r>
              <w:rPr>
                <w:rFonts w:hint="eastAsia"/>
                <w:b/>
                <w:bCs/>
              </w:rPr>
              <w:t>功能描述</w:t>
            </w:r>
          </w:p>
        </w:tc>
      </w:tr>
      <w:tr w14:paraId="740D068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rPr>
        <w:tc>
          <w:tcPr>
            <w:tcW w:w="551" w:type="pct"/>
            <w:vMerge w:val="restart"/>
            <w:tcBorders>
              <w:top w:val="single" w:color="auto" w:sz="4" w:space="0"/>
              <w:left w:val="single" w:color="000000" w:sz="4" w:space="0"/>
              <w:right w:val="single" w:color="000000" w:sz="4" w:space="0"/>
            </w:tcBorders>
            <w:shd w:val="clear" w:color="auto" w:fill="auto"/>
            <w:noWrap/>
            <w:vAlign w:val="center"/>
          </w:tcPr>
          <w:p w14:paraId="753B8C85">
            <w:r>
              <w:rPr>
                <w:rFonts w:hint="eastAsia"/>
              </w:rPr>
              <w:t>1、考试管理</w:t>
            </w:r>
          </w:p>
        </w:tc>
        <w:tc>
          <w:tcPr>
            <w:tcW w:w="471"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6DD56B34">
            <w:pPr>
              <w:jc w:val="center"/>
            </w:pPr>
            <w:r>
              <w:rPr>
                <w:rFonts w:hint="eastAsia"/>
              </w:rPr>
              <w:t>1.1</w:t>
            </w:r>
          </w:p>
          <w:p w14:paraId="29E504D9">
            <w:pPr>
              <w:jc w:val="center"/>
            </w:pPr>
            <w:r>
              <w:rPr>
                <w:rFonts w:hint="eastAsia"/>
              </w:rPr>
              <w:t>总体需求</w:t>
            </w:r>
          </w:p>
        </w:tc>
        <w:tc>
          <w:tcPr>
            <w:tcW w:w="3976" w:type="pct"/>
            <w:tcBorders>
              <w:top w:val="single" w:color="auto" w:sz="4" w:space="0"/>
              <w:left w:val="single" w:color="000000" w:sz="4" w:space="0"/>
              <w:bottom w:val="single" w:color="auto" w:sz="4" w:space="0"/>
            </w:tcBorders>
            <w:shd w:val="clear" w:color="auto" w:fill="auto"/>
            <w:noWrap/>
            <w:vAlign w:val="center"/>
          </w:tcPr>
          <w:p w14:paraId="53102736">
            <w:r>
              <w:rPr>
                <w:rFonts w:hint="eastAsia"/>
              </w:rPr>
              <w:t>开展各类考试的在线报名，与教学管理系统对接，实现期末考试、统考以及非学历培训等各类考试的排考、发布等考务管理功能。能快速简便进行考生身份识别，实现基于PC、手机、PAD等不同终端的在线集中式考试。实现试卷自动组卷、在线自动监控和成绩自动判定，具有教师在线阅卷、成绩记录统计的功能。能与教学管理系统对接，实现考试结果数据的无缝自动导入。按上级教育行政部门和省继续教育高质量发展联盟的有关要求，开展考试全过程状态数据自动采集。适用于继续教育学历和非学历各类线上考试的组织和实施。</w:t>
            </w:r>
          </w:p>
        </w:tc>
      </w:tr>
      <w:tr w14:paraId="55B4226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rPr>
        <w:tc>
          <w:tcPr>
            <w:tcW w:w="551" w:type="pct"/>
            <w:vMerge w:val="continue"/>
            <w:tcBorders>
              <w:left w:val="single" w:color="000000" w:sz="4" w:space="0"/>
              <w:right w:val="single" w:color="000000" w:sz="4" w:space="0"/>
            </w:tcBorders>
            <w:shd w:val="clear" w:color="auto" w:fill="auto"/>
            <w:noWrap/>
            <w:vAlign w:val="center"/>
          </w:tcPr>
          <w:p w14:paraId="323C0F25"/>
        </w:tc>
        <w:tc>
          <w:tcPr>
            <w:tcW w:w="471"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2167F50F">
            <w:pPr>
              <w:jc w:val="center"/>
            </w:pPr>
            <w:r>
              <w:rPr>
                <w:rFonts w:hint="eastAsia"/>
              </w:rPr>
              <w:t>1.2</w:t>
            </w:r>
          </w:p>
          <w:p w14:paraId="74052590">
            <w:pPr>
              <w:jc w:val="center"/>
            </w:pPr>
            <w:r>
              <w:rPr>
                <w:rFonts w:hint="eastAsia"/>
              </w:rPr>
              <w:t>线上报名</w:t>
            </w:r>
          </w:p>
        </w:tc>
        <w:tc>
          <w:tcPr>
            <w:tcW w:w="3976" w:type="pct"/>
            <w:tcBorders>
              <w:top w:val="single" w:color="auto" w:sz="4" w:space="0"/>
              <w:left w:val="single" w:color="000000" w:sz="4" w:space="0"/>
              <w:bottom w:val="single" w:color="auto" w:sz="4" w:space="0"/>
            </w:tcBorders>
            <w:shd w:val="clear" w:color="auto" w:fill="auto"/>
            <w:noWrap/>
            <w:vAlign w:val="center"/>
          </w:tcPr>
          <w:p w14:paraId="79E1BA95">
            <w:r>
              <w:rPr>
                <w:rFonts w:hint="eastAsia"/>
              </w:rPr>
              <w:t>实现各类课程考试、学位</w:t>
            </w:r>
            <w:r>
              <w:t>英语、</w:t>
            </w:r>
            <w:r>
              <w:rPr>
                <w:rFonts w:hint="eastAsia"/>
              </w:rPr>
              <w:t>社会化考试、非学历培训考试等线上报名功能，并将报名数据无缝衔接考试管理。</w:t>
            </w:r>
          </w:p>
        </w:tc>
      </w:tr>
      <w:tr w14:paraId="16F3BA8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rPr>
        <w:tc>
          <w:tcPr>
            <w:tcW w:w="551" w:type="pct"/>
            <w:vMerge w:val="continue"/>
            <w:tcBorders>
              <w:left w:val="single" w:color="000000" w:sz="4" w:space="0"/>
              <w:right w:val="single" w:color="000000" w:sz="4" w:space="0"/>
            </w:tcBorders>
            <w:shd w:val="clear" w:color="auto" w:fill="auto"/>
            <w:noWrap/>
            <w:vAlign w:val="center"/>
          </w:tcPr>
          <w:p w14:paraId="10DD56B8"/>
        </w:tc>
        <w:tc>
          <w:tcPr>
            <w:tcW w:w="471"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783481AF">
            <w:pPr>
              <w:jc w:val="center"/>
            </w:pPr>
            <w:r>
              <w:rPr>
                <w:rFonts w:hint="eastAsia"/>
              </w:rPr>
              <w:t>1.3</w:t>
            </w:r>
          </w:p>
          <w:p w14:paraId="23C269F8">
            <w:pPr>
              <w:jc w:val="center"/>
            </w:pPr>
            <w:r>
              <w:rPr>
                <w:rFonts w:hint="eastAsia"/>
              </w:rPr>
              <w:t>批次管理</w:t>
            </w:r>
          </w:p>
        </w:tc>
        <w:tc>
          <w:tcPr>
            <w:tcW w:w="3976" w:type="pct"/>
            <w:tcBorders>
              <w:top w:val="single" w:color="auto" w:sz="4" w:space="0"/>
              <w:left w:val="single" w:color="000000" w:sz="4" w:space="0"/>
              <w:bottom w:val="single" w:color="auto" w:sz="4" w:space="0"/>
            </w:tcBorders>
            <w:shd w:val="clear" w:color="auto" w:fill="auto"/>
            <w:noWrap/>
            <w:vAlign w:val="center"/>
          </w:tcPr>
          <w:p w14:paraId="6008F492">
            <w:r>
              <w:rPr>
                <w:rFonts w:hint="eastAsia"/>
              </w:rPr>
              <w:t>支持设置考试批次名称、排考场开始时间和结束时间、考核方式、考试内容。</w:t>
            </w:r>
          </w:p>
        </w:tc>
      </w:tr>
      <w:tr w14:paraId="703C981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rPr>
        <w:tc>
          <w:tcPr>
            <w:tcW w:w="551" w:type="pct"/>
            <w:vMerge w:val="continue"/>
            <w:tcBorders>
              <w:left w:val="single" w:color="000000" w:sz="4" w:space="0"/>
              <w:right w:val="single" w:color="000000" w:sz="4" w:space="0"/>
            </w:tcBorders>
            <w:shd w:val="clear" w:color="auto" w:fill="auto"/>
            <w:noWrap/>
            <w:vAlign w:val="center"/>
          </w:tcPr>
          <w:p w14:paraId="12A9D0D7"/>
        </w:tc>
        <w:tc>
          <w:tcPr>
            <w:tcW w:w="471"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1DB5D6C1">
            <w:pPr>
              <w:jc w:val="center"/>
            </w:pPr>
            <w:r>
              <w:rPr>
                <w:rFonts w:hint="eastAsia"/>
              </w:rPr>
              <w:t>1.4</w:t>
            </w:r>
          </w:p>
          <w:p w14:paraId="56BB4838">
            <w:pPr>
              <w:jc w:val="center"/>
            </w:pPr>
            <w:r>
              <w:rPr>
                <w:rFonts w:hint="eastAsia"/>
              </w:rPr>
              <w:t>场次管理</w:t>
            </w:r>
          </w:p>
        </w:tc>
        <w:tc>
          <w:tcPr>
            <w:tcW w:w="3976" w:type="pct"/>
            <w:tcBorders>
              <w:top w:val="single" w:color="auto" w:sz="4" w:space="0"/>
              <w:left w:val="single" w:color="000000" w:sz="4" w:space="0"/>
              <w:bottom w:val="single" w:color="auto" w:sz="4" w:space="0"/>
            </w:tcBorders>
            <w:shd w:val="clear" w:color="auto" w:fill="auto"/>
            <w:noWrap/>
            <w:vAlign w:val="center"/>
          </w:tcPr>
          <w:p w14:paraId="009D323F">
            <w:r>
              <w:rPr>
                <w:rFonts w:hint="eastAsia"/>
              </w:rPr>
              <w:t>支持设置场次名称、所属考试批次、开始时间、结束时间、考试课程、考试时长。</w:t>
            </w:r>
          </w:p>
        </w:tc>
      </w:tr>
      <w:tr w14:paraId="16260D3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rPr>
        <w:tc>
          <w:tcPr>
            <w:tcW w:w="551" w:type="pct"/>
            <w:vMerge w:val="continue"/>
            <w:tcBorders>
              <w:left w:val="single" w:color="000000" w:sz="4" w:space="0"/>
              <w:right w:val="single" w:color="000000" w:sz="4" w:space="0"/>
            </w:tcBorders>
            <w:shd w:val="clear" w:color="auto" w:fill="auto"/>
            <w:noWrap/>
            <w:vAlign w:val="center"/>
          </w:tcPr>
          <w:p w14:paraId="43114D35"/>
        </w:tc>
        <w:tc>
          <w:tcPr>
            <w:tcW w:w="471"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2629CB90">
            <w:pPr>
              <w:jc w:val="center"/>
            </w:pPr>
            <w:r>
              <w:rPr>
                <w:rFonts w:hint="eastAsia"/>
              </w:rPr>
              <w:t>1.5</w:t>
            </w:r>
          </w:p>
          <w:p w14:paraId="365B9FA0">
            <w:pPr>
              <w:jc w:val="center"/>
            </w:pPr>
            <w:r>
              <w:rPr>
                <w:rFonts w:hint="eastAsia"/>
              </w:rPr>
              <w:t>考试班级管理</w:t>
            </w:r>
          </w:p>
        </w:tc>
        <w:tc>
          <w:tcPr>
            <w:tcW w:w="3976" w:type="pct"/>
            <w:tcBorders>
              <w:top w:val="single" w:color="auto" w:sz="4" w:space="0"/>
              <w:left w:val="single" w:color="000000" w:sz="4" w:space="0"/>
              <w:bottom w:val="single" w:color="auto" w:sz="4" w:space="0"/>
            </w:tcBorders>
            <w:shd w:val="clear" w:color="auto" w:fill="auto"/>
            <w:noWrap/>
            <w:vAlign w:val="center"/>
          </w:tcPr>
          <w:p w14:paraId="674B3CFD">
            <w:r>
              <w:rPr>
                <w:rFonts w:hint="eastAsia"/>
              </w:rPr>
              <w:t>支持按照行政班考试科目班级自动生成考试班级，支持自定义添加考试班级。支持同一个班拆分成多个教室考试；支持多个班级合到一个教室考试。</w:t>
            </w:r>
          </w:p>
        </w:tc>
      </w:tr>
      <w:tr w14:paraId="491E715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rPr>
        <w:tc>
          <w:tcPr>
            <w:tcW w:w="551" w:type="pct"/>
            <w:vMerge w:val="continue"/>
            <w:tcBorders>
              <w:left w:val="single" w:color="000000" w:sz="4" w:space="0"/>
              <w:right w:val="single" w:color="000000" w:sz="4" w:space="0"/>
            </w:tcBorders>
            <w:shd w:val="clear" w:color="auto" w:fill="auto"/>
            <w:noWrap/>
            <w:vAlign w:val="center"/>
          </w:tcPr>
          <w:p w14:paraId="066FB15B"/>
        </w:tc>
        <w:tc>
          <w:tcPr>
            <w:tcW w:w="471"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7254C44D">
            <w:pPr>
              <w:jc w:val="center"/>
            </w:pPr>
            <w:r>
              <w:rPr>
                <w:rFonts w:hint="eastAsia"/>
              </w:rPr>
              <w:t>1.6</w:t>
            </w:r>
          </w:p>
          <w:p w14:paraId="242B7FBC">
            <w:pPr>
              <w:jc w:val="center"/>
            </w:pPr>
            <w:r>
              <w:rPr>
                <w:rFonts w:hint="eastAsia"/>
              </w:rPr>
              <w:t>排考管理</w:t>
            </w:r>
          </w:p>
        </w:tc>
        <w:tc>
          <w:tcPr>
            <w:tcW w:w="3976" w:type="pct"/>
            <w:tcBorders>
              <w:top w:val="single" w:color="auto" w:sz="4" w:space="0"/>
              <w:left w:val="single" w:color="000000" w:sz="4" w:space="0"/>
              <w:bottom w:val="single" w:color="auto" w:sz="4" w:space="0"/>
            </w:tcBorders>
            <w:shd w:val="clear" w:color="auto" w:fill="auto"/>
            <w:noWrap/>
            <w:vAlign w:val="center"/>
          </w:tcPr>
          <w:p w14:paraId="124F0D52">
            <w:r>
              <w:rPr>
                <w:rFonts w:hint="eastAsia"/>
              </w:rPr>
              <w:t>支持按照考试批次、考试场次开始时间、结束时间、课程、课程代码、教学点设置对应考试班级，支持查看已排班级数。</w:t>
            </w:r>
          </w:p>
        </w:tc>
      </w:tr>
      <w:tr w14:paraId="298BF8D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rPr>
        <w:tc>
          <w:tcPr>
            <w:tcW w:w="551" w:type="pct"/>
            <w:vMerge w:val="continue"/>
            <w:tcBorders>
              <w:left w:val="single" w:color="000000" w:sz="4" w:space="0"/>
              <w:right w:val="single" w:color="000000" w:sz="4" w:space="0"/>
            </w:tcBorders>
            <w:shd w:val="clear" w:color="auto" w:fill="auto"/>
            <w:noWrap/>
            <w:vAlign w:val="center"/>
          </w:tcPr>
          <w:p w14:paraId="3DDE2A49"/>
        </w:tc>
        <w:tc>
          <w:tcPr>
            <w:tcW w:w="471"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4BAFF675">
            <w:pPr>
              <w:jc w:val="center"/>
            </w:pPr>
            <w:r>
              <w:rPr>
                <w:rFonts w:hint="eastAsia"/>
              </w:rPr>
              <w:t>1.7</w:t>
            </w:r>
          </w:p>
          <w:p w14:paraId="371441D9">
            <w:pPr>
              <w:jc w:val="center"/>
            </w:pPr>
            <w:r>
              <w:rPr>
                <w:rFonts w:hint="eastAsia"/>
              </w:rPr>
              <w:t>手动设置</w:t>
            </w:r>
          </w:p>
        </w:tc>
        <w:tc>
          <w:tcPr>
            <w:tcW w:w="3976" w:type="pct"/>
            <w:tcBorders>
              <w:top w:val="single" w:color="auto" w:sz="4" w:space="0"/>
              <w:left w:val="single" w:color="000000" w:sz="4" w:space="0"/>
              <w:bottom w:val="single" w:color="auto" w:sz="4" w:space="0"/>
            </w:tcBorders>
            <w:shd w:val="clear" w:color="auto" w:fill="auto"/>
            <w:noWrap/>
            <w:vAlign w:val="center"/>
          </w:tcPr>
          <w:p w14:paraId="4AF7CA4F">
            <w:r>
              <w:rPr>
                <w:rFonts w:hint="eastAsia"/>
              </w:rPr>
              <w:t>支持手动设置考试教室、监考老师、发布排考结果。</w:t>
            </w:r>
          </w:p>
        </w:tc>
      </w:tr>
      <w:tr w14:paraId="7EBD8C8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rPr>
        <w:tc>
          <w:tcPr>
            <w:tcW w:w="551" w:type="pct"/>
            <w:vMerge w:val="continue"/>
            <w:tcBorders>
              <w:left w:val="single" w:color="000000" w:sz="4" w:space="0"/>
              <w:right w:val="single" w:color="000000" w:sz="4" w:space="0"/>
            </w:tcBorders>
            <w:shd w:val="clear" w:color="auto" w:fill="auto"/>
            <w:noWrap/>
            <w:vAlign w:val="center"/>
          </w:tcPr>
          <w:p w14:paraId="5235ED59"/>
        </w:tc>
        <w:tc>
          <w:tcPr>
            <w:tcW w:w="471"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4A59800A">
            <w:pPr>
              <w:jc w:val="center"/>
            </w:pPr>
            <w:r>
              <w:rPr>
                <w:rFonts w:hint="eastAsia"/>
              </w:rPr>
              <w:t>1.8</w:t>
            </w:r>
          </w:p>
          <w:p w14:paraId="119F2E2B">
            <w:pPr>
              <w:jc w:val="center"/>
            </w:pPr>
            <w:r>
              <w:rPr>
                <w:rFonts w:hint="eastAsia"/>
              </w:rPr>
              <w:t>考试考场展示</w:t>
            </w:r>
          </w:p>
        </w:tc>
        <w:tc>
          <w:tcPr>
            <w:tcW w:w="3976" w:type="pct"/>
            <w:tcBorders>
              <w:top w:val="single" w:color="auto" w:sz="4" w:space="0"/>
              <w:left w:val="single" w:color="000000" w:sz="4" w:space="0"/>
              <w:bottom w:val="single" w:color="auto" w:sz="4" w:space="0"/>
            </w:tcBorders>
            <w:shd w:val="clear" w:color="auto" w:fill="auto"/>
            <w:noWrap/>
            <w:vAlign w:val="center"/>
          </w:tcPr>
          <w:p w14:paraId="2D9B2724">
            <w:r>
              <w:rPr>
                <w:rFonts w:hint="eastAsia"/>
              </w:rPr>
              <w:t>支持展示排考结果，包括具体的考试批次、考试场次、教学点、考试班级、考试教室、监考老师、考试时间、排考人数、课程名称、课程代码、考试时长、是否发布；支持查看考场详情、签到详情、查看考场二维码；支持考生自主打印、管理人员打印准考证。</w:t>
            </w:r>
          </w:p>
        </w:tc>
      </w:tr>
      <w:tr w14:paraId="0ECFA08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rPr>
        <w:tc>
          <w:tcPr>
            <w:tcW w:w="551" w:type="pct"/>
            <w:vMerge w:val="continue"/>
            <w:tcBorders>
              <w:left w:val="single" w:color="000000" w:sz="4" w:space="0"/>
              <w:right w:val="single" w:color="000000" w:sz="4" w:space="0"/>
            </w:tcBorders>
            <w:shd w:val="clear" w:color="auto" w:fill="auto"/>
            <w:noWrap/>
            <w:vAlign w:val="center"/>
          </w:tcPr>
          <w:p w14:paraId="10B4ABEB"/>
        </w:tc>
        <w:tc>
          <w:tcPr>
            <w:tcW w:w="471"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52C21C2C">
            <w:pPr>
              <w:jc w:val="center"/>
            </w:pPr>
            <w:r>
              <w:rPr>
                <w:rFonts w:hint="eastAsia"/>
              </w:rPr>
              <w:t>1.9</w:t>
            </w:r>
          </w:p>
          <w:p w14:paraId="5D8B6040">
            <w:pPr>
              <w:jc w:val="center"/>
            </w:pPr>
            <w:r>
              <w:rPr>
                <w:rFonts w:hint="eastAsia"/>
              </w:rPr>
              <w:t>考试表单管理</w:t>
            </w:r>
          </w:p>
        </w:tc>
        <w:tc>
          <w:tcPr>
            <w:tcW w:w="3976" w:type="pct"/>
            <w:tcBorders>
              <w:top w:val="single" w:color="auto" w:sz="4" w:space="0"/>
              <w:left w:val="single" w:color="000000" w:sz="4" w:space="0"/>
              <w:bottom w:val="single" w:color="auto" w:sz="4" w:space="0"/>
            </w:tcBorders>
            <w:shd w:val="clear" w:color="auto" w:fill="auto"/>
            <w:noWrap/>
            <w:vAlign w:val="center"/>
          </w:tcPr>
          <w:p w14:paraId="41A8C60B">
            <w:r>
              <w:rPr>
                <w:rFonts w:hint="eastAsia"/>
              </w:rPr>
              <w:t>支持平台自动生成考务需要的表单，包括但不限于：考场签到表、考场门贴、考场座位号、试卷袋标签及试卷袋统计表、考试安排一览表等。</w:t>
            </w:r>
          </w:p>
        </w:tc>
      </w:tr>
      <w:tr w14:paraId="7831E86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rPr>
        <w:tc>
          <w:tcPr>
            <w:tcW w:w="551" w:type="pct"/>
            <w:vMerge w:val="continue"/>
            <w:tcBorders>
              <w:left w:val="single" w:color="000000" w:sz="4" w:space="0"/>
              <w:right w:val="single" w:color="000000" w:sz="4" w:space="0"/>
            </w:tcBorders>
            <w:shd w:val="clear" w:color="auto" w:fill="auto"/>
            <w:noWrap/>
            <w:vAlign w:val="center"/>
          </w:tcPr>
          <w:p w14:paraId="4E1972CD"/>
        </w:tc>
        <w:tc>
          <w:tcPr>
            <w:tcW w:w="471"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6F4C7B50">
            <w:pPr>
              <w:jc w:val="center"/>
            </w:pPr>
            <w:r>
              <w:rPr>
                <w:rFonts w:hint="eastAsia"/>
              </w:rPr>
              <w:t>1.10自定义导出</w:t>
            </w:r>
          </w:p>
        </w:tc>
        <w:tc>
          <w:tcPr>
            <w:tcW w:w="3976" w:type="pct"/>
            <w:tcBorders>
              <w:top w:val="single" w:color="auto" w:sz="4" w:space="0"/>
              <w:left w:val="single" w:color="000000" w:sz="4" w:space="0"/>
              <w:bottom w:val="single" w:color="auto" w:sz="4" w:space="0"/>
            </w:tcBorders>
            <w:shd w:val="clear" w:color="auto" w:fill="auto"/>
            <w:noWrap/>
            <w:vAlign w:val="center"/>
          </w:tcPr>
          <w:p w14:paraId="0D6843A2">
            <w:r>
              <w:rPr>
                <w:rFonts w:hint="eastAsia"/>
              </w:rPr>
              <w:t>支持考试安排表导出、试卷包装袋导出、考试签到表导出、教学点试卷汇总表导出、考试试卷详细表导出、本部试卷汇总表导出。</w:t>
            </w:r>
          </w:p>
        </w:tc>
      </w:tr>
      <w:tr w14:paraId="6D1E82A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rPr>
        <w:tc>
          <w:tcPr>
            <w:tcW w:w="551" w:type="pct"/>
            <w:vMerge w:val="continue"/>
            <w:tcBorders>
              <w:left w:val="single" w:color="000000" w:sz="4" w:space="0"/>
              <w:bottom w:val="single" w:color="000000" w:sz="4" w:space="0"/>
              <w:right w:val="single" w:color="000000" w:sz="4" w:space="0"/>
            </w:tcBorders>
            <w:shd w:val="clear" w:color="auto" w:fill="auto"/>
            <w:noWrap/>
            <w:vAlign w:val="center"/>
          </w:tcPr>
          <w:p w14:paraId="32D86C0C"/>
        </w:tc>
        <w:tc>
          <w:tcPr>
            <w:tcW w:w="471"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76117555">
            <w:pPr>
              <w:jc w:val="center"/>
            </w:pPr>
            <w:r>
              <w:rPr>
                <w:rFonts w:hint="eastAsia"/>
              </w:rPr>
              <w:t>1.11</w:t>
            </w:r>
          </w:p>
          <w:p w14:paraId="5AACB4E3">
            <w:pPr>
              <w:jc w:val="center"/>
            </w:pPr>
            <w:r>
              <w:rPr>
                <w:rFonts w:hint="eastAsia"/>
              </w:rPr>
              <w:t>考试结果分析</w:t>
            </w:r>
          </w:p>
        </w:tc>
        <w:tc>
          <w:tcPr>
            <w:tcW w:w="3976" w:type="pct"/>
            <w:tcBorders>
              <w:top w:val="single" w:color="auto" w:sz="4" w:space="0"/>
              <w:left w:val="single" w:color="000000" w:sz="4" w:space="0"/>
              <w:bottom w:val="single" w:color="auto" w:sz="4" w:space="0"/>
            </w:tcBorders>
            <w:shd w:val="clear" w:color="auto" w:fill="auto"/>
            <w:noWrap/>
            <w:vAlign w:val="center"/>
          </w:tcPr>
          <w:p w14:paraId="482833D2">
            <w:r>
              <w:rPr>
                <w:rFonts w:hint="eastAsia"/>
              </w:rPr>
              <w:t>对各类考试数据进行集中采集，强化数据分析，加强校外教学点考试监管。考试管理模块能适用于各类线上、线下的考试形式。</w:t>
            </w:r>
          </w:p>
        </w:tc>
      </w:tr>
      <w:tr w14:paraId="7AF3738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rPr>
        <w:tc>
          <w:tcPr>
            <w:tcW w:w="551" w:type="pct"/>
            <w:vMerge w:val="restart"/>
            <w:tcBorders>
              <w:top w:val="single" w:color="auto" w:sz="4" w:space="0"/>
              <w:left w:val="single" w:color="000000" w:sz="4" w:space="0"/>
              <w:right w:val="single" w:color="000000" w:sz="4" w:space="0"/>
            </w:tcBorders>
            <w:shd w:val="clear" w:color="auto" w:fill="auto"/>
            <w:noWrap/>
            <w:vAlign w:val="center"/>
          </w:tcPr>
          <w:p w14:paraId="22371798">
            <w:r>
              <w:rPr>
                <w:rFonts w:hint="eastAsia"/>
              </w:rPr>
              <w:t>2、</w:t>
            </w:r>
          </w:p>
          <w:p w14:paraId="47F75464">
            <w:r>
              <w:rPr>
                <w:rFonts w:hint="eastAsia"/>
              </w:rPr>
              <w:t>在线考试系统</w:t>
            </w:r>
          </w:p>
        </w:tc>
        <w:tc>
          <w:tcPr>
            <w:tcW w:w="471"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2B5C89F5">
            <w:pPr>
              <w:jc w:val="center"/>
            </w:pPr>
            <w:r>
              <w:rPr>
                <w:rFonts w:hint="eastAsia"/>
              </w:rPr>
              <w:t>2.1</w:t>
            </w:r>
          </w:p>
          <w:p w14:paraId="5F68C1B9">
            <w:pPr>
              <w:jc w:val="center"/>
            </w:pPr>
            <w:r>
              <w:rPr>
                <w:rFonts w:hint="eastAsia"/>
              </w:rPr>
              <w:t>总体需求</w:t>
            </w:r>
          </w:p>
        </w:tc>
        <w:tc>
          <w:tcPr>
            <w:tcW w:w="3976" w:type="pct"/>
            <w:tcBorders>
              <w:top w:val="single" w:color="auto" w:sz="4" w:space="0"/>
              <w:left w:val="single" w:color="000000" w:sz="4" w:space="0"/>
              <w:bottom w:val="single" w:color="auto" w:sz="4" w:space="0"/>
            </w:tcBorders>
            <w:shd w:val="clear" w:color="auto" w:fill="auto"/>
            <w:noWrap/>
            <w:vAlign w:val="center"/>
          </w:tcPr>
          <w:p w14:paraId="4336DC4E">
            <w:r>
              <w:rPr>
                <w:rFonts w:hint="eastAsia"/>
              </w:rPr>
              <w:t>按浙江省继续教育高质量发展联盟《高等学历继续教育核心课程考试指南》有关要求，开展考试全过程状态数据自动采集，进行各考场监控视频统一采集、云平台统一存储，方便学校进行考场视频查看。自动推送需要线上考试课程或科目，支持查询考试人数(补考人数)。支持进行题库管理、试卷库管理、考试设置，与教学平台实现无缝对接。支持PC、手机、PAD等各类终端的在线考试，实现线上、线下的监考和巡考。</w:t>
            </w:r>
          </w:p>
        </w:tc>
      </w:tr>
      <w:tr w14:paraId="3C334D7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rPr>
        <w:tc>
          <w:tcPr>
            <w:tcW w:w="551" w:type="pct"/>
            <w:vMerge w:val="continue"/>
            <w:tcBorders>
              <w:left w:val="single" w:color="000000" w:sz="4" w:space="0"/>
              <w:right w:val="single" w:color="000000" w:sz="4" w:space="0"/>
            </w:tcBorders>
            <w:shd w:val="clear" w:color="auto" w:fill="auto"/>
            <w:noWrap/>
            <w:vAlign w:val="center"/>
          </w:tcPr>
          <w:p w14:paraId="53DCD535"/>
        </w:tc>
        <w:tc>
          <w:tcPr>
            <w:tcW w:w="471"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67111FFB">
            <w:pPr>
              <w:jc w:val="center"/>
            </w:pPr>
            <w:r>
              <w:rPr>
                <w:rFonts w:hint="eastAsia"/>
              </w:rPr>
              <w:t>2.2</w:t>
            </w:r>
          </w:p>
          <w:p w14:paraId="08277266">
            <w:pPr>
              <w:jc w:val="center"/>
            </w:pPr>
            <w:r>
              <w:rPr>
                <w:rFonts w:hint="eastAsia"/>
              </w:rPr>
              <w:t>考场及考试发布优化</w:t>
            </w:r>
          </w:p>
          <w:p w14:paraId="3F494761">
            <w:pPr>
              <w:jc w:val="center"/>
            </w:pPr>
          </w:p>
        </w:tc>
        <w:tc>
          <w:tcPr>
            <w:tcW w:w="3976" w:type="pct"/>
            <w:tcBorders>
              <w:top w:val="single" w:color="auto" w:sz="4" w:space="0"/>
              <w:left w:val="single" w:color="000000" w:sz="4" w:space="0"/>
              <w:bottom w:val="single" w:color="auto" w:sz="4" w:space="0"/>
            </w:tcBorders>
            <w:shd w:val="clear" w:color="auto" w:fill="auto"/>
            <w:noWrap/>
            <w:vAlign w:val="center"/>
          </w:tcPr>
          <w:p w14:paraId="07C6F6A2">
            <w:r>
              <w:rPr>
                <w:rFonts w:hint="eastAsia"/>
              </w:rPr>
              <w:t>(1)考试场次管理：支持设置多场考试，为考试场次添加考试课程。</w:t>
            </w:r>
          </w:p>
          <w:p w14:paraId="424A6E50">
            <w:r>
              <w:rPr>
                <w:rFonts w:hint="eastAsia"/>
              </w:rPr>
              <w:t>(2)排考数据管理：支持查询已排考的学生和课程，按一定的筛选条件自动推送到考试系统，支持线上考试成绩自动回传。</w:t>
            </w:r>
          </w:p>
          <w:p w14:paraId="0D84C158">
            <w:r>
              <w:rPr>
                <w:rFonts w:hint="eastAsia"/>
              </w:rPr>
              <w:t>(3)未发布考试：可以选择试卷批量发布考试，设置考试开始时间、截至时间、考试时长，最早交卷时间、最晚进入考试时间。</w:t>
            </w:r>
          </w:p>
          <w:p w14:paraId="5E151F6F">
            <w:r>
              <w:rPr>
                <w:rFonts w:hint="eastAsia"/>
              </w:rPr>
              <w:t>(4)已发布考试管理：在线监考老师可随时查看每位考生的考试行为记录，详情以时间轴形式呈现，也可查看考试试卷。</w:t>
            </w:r>
          </w:p>
        </w:tc>
      </w:tr>
      <w:tr w14:paraId="05D8129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rPr>
        <w:tc>
          <w:tcPr>
            <w:tcW w:w="551" w:type="pct"/>
            <w:vMerge w:val="continue"/>
            <w:tcBorders>
              <w:left w:val="single" w:color="000000" w:sz="4" w:space="0"/>
              <w:right w:val="single" w:color="000000" w:sz="4" w:space="0"/>
            </w:tcBorders>
            <w:shd w:val="clear" w:color="auto" w:fill="auto"/>
            <w:noWrap/>
            <w:vAlign w:val="center"/>
          </w:tcPr>
          <w:p w14:paraId="22F155E9"/>
        </w:tc>
        <w:tc>
          <w:tcPr>
            <w:tcW w:w="471"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1EAB48A0">
            <w:pPr>
              <w:jc w:val="center"/>
            </w:pPr>
            <w:r>
              <w:rPr>
                <w:rFonts w:hint="eastAsia"/>
              </w:rPr>
              <w:t>2.3</w:t>
            </w:r>
          </w:p>
          <w:p w14:paraId="52C21E80">
            <w:pPr>
              <w:jc w:val="center"/>
            </w:pPr>
            <w:r>
              <w:rPr>
                <w:rFonts w:hint="eastAsia"/>
              </w:rPr>
              <w:t>人脸识别</w:t>
            </w:r>
          </w:p>
        </w:tc>
        <w:tc>
          <w:tcPr>
            <w:tcW w:w="3976" w:type="pct"/>
            <w:tcBorders>
              <w:top w:val="single" w:color="auto" w:sz="4" w:space="0"/>
              <w:left w:val="single" w:color="000000" w:sz="4" w:space="0"/>
              <w:bottom w:val="single" w:color="auto" w:sz="4" w:space="0"/>
            </w:tcBorders>
            <w:shd w:val="clear" w:color="auto" w:fill="auto"/>
            <w:noWrap/>
            <w:vAlign w:val="center"/>
          </w:tcPr>
          <w:p w14:paraId="0464B061">
            <w:r>
              <w:rPr>
                <w:rFonts w:hint="eastAsia"/>
              </w:rPr>
              <w:t>(1)采集管理：人脸识别照片支持管理员从后台批量导入，照片格式支持png、jpg；人脸识别照片支持考试自主上传，上传后管理员可对采集到的人脸照片进行审核，对不合规的照片进行打回。</w:t>
            </w:r>
          </w:p>
          <w:p w14:paraId="418AE283">
            <w:r>
              <w:rPr>
                <w:rFonts w:hint="eastAsia"/>
              </w:rPr>
              <w:t>(2)考试前，监考老师和考务人员能通过手机、人脸识别专用设备等相关硬件产品，进行考场考生的身份识别。将识别结果对接考试系统和成绩系统，及时干预考试过程，学校能动态掌握各考场考生实际数据，实现“真人真考”。</w:t>
            </w:r>
          </w:p>
          <w:p w14:paraId="6CC42A58">
            <w:r>
              <w:rPr>
                <w:rFonts w:hint="eastAsia"/>
              </w:rPr>
              <w:t>(3)考试过程中，可通过手机、电脑、PAD等设备的摄像头进行考生人脸识别，并将识别情况进行汇总，与成绩系统进行对接，实现缺考等数据的导入。</w:t>
            </w:r>
          </w:p>
        </w:tc>
      </w:tr>
      <w:tr w14:paraId="5AE7C13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rPr>
        <w:tc>
          <w:tcPr>
            <w:tcW w:w="551" w:type="pct"/>
            <w:vMerge w:val="continue"/>
            <w:tcBorders>
              <w:left w:val="single" w:color="000000" w:sz="4" w:space="0"/>
              <w:right w:val="single" w:color="000000" w:sz="4" w:space="0"/>
            </w:tcBorders>
            <w:shd w:val="clear" w:color="auto" w:fill="auto"/>
            <w:noWrap/>
            <w:vAlign w:val="center"/>
          </w:tcPr>
          <w:p w14:paraId="0746C227"/>
        </w:tc>
        <w:tc>
          <w:tcPr>
            <w:tcW w:w="471"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190CF6C2">
            <w:pPr>
              <w:jc w:val="center"/>
            </w:pPr>
            <w:r>
              <w:rPr>
                <w:rFonts w:hint="eastAsia"/>
              </w:rPr>
              <w:t>2.4</w:t>
            </w:r>
          </w:p>
          <w:p w14:paraId="2E09B3AB">
            <w:pPr>
              <w:jc w:val="center"/>
            </w:pPr>
            <w:r>
              <w:rPr>
                <w:rFonts w:hint="eastAsia"/>
              </w:rPr>
              <w:t>题库管理</w:t>
            </w:r>
          </w:p>
        </w:tc>
        <w:tc>
          <w:tcPr>
            <w:tcW w:w="3976" w:type="pct"/>
            <w:tcBorders>
              <w:top w:val="single" w:color="auto" w:sz="4" w:space="0"/>
              <w:left w:val="single" w:color="000000" w:sz="4" w:space="0"/>
              <w:bottom w:val="single" w:color="auto" w:sz="4" w:space="0"/>
            </w:tcBorders>
            <w:shd w:val="clear" w:color="auto" w:fill="auto"/>
            <w:noWrap/>
            <w:vAlign w:val="center"/>
          </w:tcPr>
          <w:p w14:paraId="432BA4FF">
            <w:r>
              <w:rPr>
                <w:rFonts w:hint="eastAsia"/>
              </w:rPr>
              <w:t>(1)题库分类：题库支持自定义多级分类管理，对分类支持增加、删除、修改操作，建设好的题库可以调整所属分类。</w:t>
            </w:r>
          </w:p>
          <w:p w14:paraId="126AF031">
            <w:r>
              <w:rPr>
                <w:rFonts w:hint="eastAsia"/>
              </w:rPr>
              <w:t>(2)建设任务指派：管理者对每个题库可以指派多名建设教师，并对每位教师的题库建设情况可以详细监控。</w:t>
            </w:r>
          </w:p>
          <w:p w14:paraId="13FD7CF9">
            <w:r>
              <w:rPr>
                <w:rFonts w:hint="eastAsia"/>
              </w:rPr>
              <w:t>(3)题库加密：为保障系统题库安全，题库建设者可为自己所负责的题库设置安全口令，只有输入安全口令才能进入题库，避免因题库泄露导致考试事故的发生。</w:t>
            </w:r>
          </w:p>
          <w:p w14:paraId="3E58F061">
            <w:r>
              <w:rPr>
                <w:rFonts w:hint="eastAsia"/>
              </w:rPr>
              <w:t>(4)题型支持：支持至少应支持单选、多选、填空、判断、简答、名词解析、论述、计算、分录、连线、排序、完形填空、阅读理解、口语、听力等常见题型，并支持题型自定义。</w:t>
            </w:r>
          </w:p>
          <w:p w14:paraId="3CD0C5BD">
            <w:r>
              <w:rPr>
                <w:rFonts w:hint="eastAsia"/>
              </w:rPr>
              <w:t>(5)试题设置：对试题的相关属性进行设置，如难度等级、所属知识点等情况进行设置和分类检索。</w:t>
            </w:r>
          </w:p>
          <w:p w14:paraId="46E2B316">
            <w:r>
              <w:rPr>
                <w:rFonts w:hint="eastAsia"/>
              </w:rPr>
              <w:t>(6)试题导入：教师建设题库时除可以手动录入外应支持模板导入功能，模板至少提供常用的word和excel两种格式。</w:t>
            </w:r>
          </w:p>
          <w:p w14:paraId="6D432038">
            <w:r>
              <w:rPr>
                <w:rFonts w:hint="eastAsia"/>
              </w:rPr>
              <w:t>(7)智能识别：题库建设时可直接从文档中自能识别题并录入题库，识别有误时智能提醒，调整后再次录入。</w:t>
            </w:r>
          </w:p>
          <w:p w14:paraId="183A3E5D">
            <w:r>
              <w:rPr>
                <w:rFonts w:hint="eastAsia"/>
              </w:rPr>
              <w:t>(8)分文件夹管理：每个题库支持按文件夹形式对题库中的试题进行分类管理。</w:t>
            </w:r>
          </w:p>
          <w:p w14:paraId="7CF6797F">
            <w:r>
              <w:rPr>
                <w:rFonts w:hint="eastAsia"/>
              </w:rPr>
              <w:t>(9)建设好的题支持移动、复制、再次编辑、删除等操作。</w:t>
            </w:r>
          </w:p>
          <w:p w14:paraId="5858C8D5">
            <w:r>
              <w:rPr>
                <w:rFonts w:hint="eastAsia"/>
              </w:rPr>
              <w:t>(10)题库提供回收站，误删题之后可以从回收站恢复。</w:t>
            </w:r>
          </w:p>
          <w:p w14:paraId="3726A571">
            <w:r>
              <w:rPr>
                <w:rFonts w:hint="eastAsia"/>
              </w:rPr>
              <w:t>(11)题库中的所有题支持一键导出。</w:t>
            </w:r>
          </w:p>
          <w:p w14:paraId="5BEBDAE3">
            <w:r>
              <w:rPr>
                <w:rFonts w:hint="eastAsia"/>
              </w:rPr>
              <w:t>(12)题库加密：对每个题库可设置独立的密码进行加密，加密后需要输入密码才能访问题库。</w:t>
            </w:r>
          </w:p>
        </w:tc>
      </w:tr>
      <w:tr w14:paraId="556D05E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rPr>
        <w:tc>
          <w:tcPr>
            <w:tcW w:w="551" w:type="pct"/>
            <w:vMerge w:val="continue"/>
            <w:tcBorders>
              <w:left w:val="single" w:color="000000" w:sz="4" w:space="0"/>
              <w:right w:val="single" w:color="000000" w:sz="4" w:space="0"/>
            </w:tcBorders>
            <w:shd w:val="clear" w:color="auto" w:fill="auto"/>
            <w:noWrap/>
            <w:vAlign w:val="center"/>
          </w:tcPr>
          <w:p w14:paraId="284A223C"/>
        </w:tc>
        <w:tc>
          <w:tcPr>
            <w:tcW w:w="471"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0AF98F4F">
            <w:pPr>
              <w:jc w:val="center"/>
            </w:pPr>
            <w:r>
              <w:rPr>
                <w:rFonts w:hint="eastAsia"/>
              </w:rPr>
              <w:t>2.5</w:t>
            </w:r>
          </w:p>
          <w:p w14:paraId="251467BA">
            <w:pPr>
              <w:jc w:val="center"/>
            </w:pPr>
            <w:r>
              <w:rPr>
                <w:rFonts w:hint="eastAsia"/>
              </w:rPr>
              <w:t>试卷管理</w:t>
            </w:r>
          </w:p>
        </w:tc>
        <w:tc>
          <w:tcPr>
            <w:tcW w:w="3976" w:type="pct"/>
            <w:tcBorders>
              <w:top w:val="single" w:color="auto" w:sz="4" w:space="0"/>
              <w:left w:val="single" w:color="000000" w:sz="4" w:space="0"/>
              <w:bottom w:val="single" w:color="auto" w:sz="4" w:space="0"/>
            </w:tcBorders>
            <w:shd w:val="clear" w:color="auto" w:fill="auto"/>
            <w:noWrap/>
            <w:vAlign w:val="center"/>
          </w:tcPr>
          <w:p w14:paraId="2BEE51CD">
            <w:r>
              <w:rPr>
                <w:rFonts w:hint="eastAsia"/>
              </w:rPr>
              <w:t>(1)自动组卷：设置好组卷逻辑之后，可以从指定的题库中按照设置的组卷逻辑进行随机抽题组卷，每次组卷数量上限不得低于20套。</w:t>
            </w:r>
          </w:p>
          <w:p w14:paraId="50808A68">
            <w:r>
              <w:rPr>
                <w:rFonts w:hint="eastAsia"/>
              </w:rPr>
              <w:t>(2)手动组卷：可以手动从题库选择试题进行组卷，选择试题后如果发现题目有误，支持在线修改。</w:t>
            </w:r>
          </w:p>
          <w:p w14:paraId="59776CDA">
            <w:r>
              <w:rPr>
                <w:rFonts w:hint="eastAsia"/>
              </w:rPr>
              <w:t>(3)试卷封存：为防止试卷泄漏，组卷完成后可将试卷进行封存，封存的试卷只有输入密码才能开启，有效防止泄题事故的发生。</w:t>
            </w:r>
          </w:p>
          <w:p w14:paraId="34FC10A3">
            <w:r>
              <w:rPr>
                <w:rFonts w:hint="eastAsia"/>
              </w:rPr>
              <w:t>(4)试卷编辑：对组卷完成的试卷可进行预览、编辑、复制、删除、指派试卷负责老师等工作，对于试卷负责老师可以限定权限。</w:t>
            </w:r>
          </w:p>
          <w:p w14:paraId="5CD244E7">
            <w:r>
              <w:rPr>
                <w:rFonts w:hint="eastAsia"/>
              </w:rPr>
              <w:t>(5)试卷导出：支持试卷按标准版和模板导出，按模板导出时，可以自定义模板内容，导出后按照标准的线下考试试卷进行排版，可直接打印用于线下考试。</w:t>
            </w:r>
          </w:p>
          <w:p w14:paraId="3CEAF695">
            <w:r>
              <w:rPr>
                <w:rFonts w:hint="eastAsia"/>
              </w:rPr>
              <w:t>(6)试卷封存：对组好的试卷可进行封存保管，对封存的试卷在考试前必须输入试卷密码才能开启试卷。</w:t>
            </w:r>
          </w:p>
        </w:tc>
      </w:tr>
      <w:tr w14:paraId="5682C41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rPr>
        <w:tc>
          <w:tcPr>
            <w:tcW w:w="551" w:type="pct"/>
            <w:vMerge w:val="continue"/>
            <w:tcBorders>
              <w:left w:val="single" w:color="000000" w:sz="4" w:space="0"/>
              <w:right w:val="single" w:color="000000" w:sz="4" w:space="0"/>
            </w:tcBorders>
            <w:shd w:val="clear" w:color="auto" w:fill="auto"/>
            <w:noWrap/>
            <w:vAlign w:val="center"/>
          </w:tcPr>
          <w:p w14:paraId="0976FDAD"/>
        </w:tc>
        <w:tc>
          <w:tcPr>
            <w:tcW w:w="471"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778C1EF2">
            <w:pPr>
              <w:jc w:val="center"/>
            </w:pPr>
            <w:r>
              <w:rPr>
                <w:rFonts w:hint="eastAsia"/>
              </w:rPr>
              <w:t>2.6</w:t>
            </w:r>
          </w:p>
          <w:p w14:paraId="0DAAB55A">
            <w:pPr>
              <w:jc w:val="center"/>
            </w:pPr>
            <w:r>
              <w:rPr>
                <w:rFonts w:hint="eastAsia"/>
              </w:rPr>
              <w:t>考试过程设置</w:t>
            </w:r>
          </w:p>
        </w:tc>
        <w:tc>
          <w:tcPr>
            <w:tcW w:w="3976" w:type="pct"/>
            <w:tcBorders>
              <w:top w:val="single" w:color="auto" w:sz="4" w:space="0"/>
              <w:left w:val="single" w:color="000000" w:sz="4" w:space="0"/>
              <w:bottom w:val="single" w:color="auto" w:sz="4" w:space="0"/>
            </w:tcBorders>
            <w:shd w:val="clear" w:color="auto" w:fill="auto"/>
            <w:noWrap/>
            <w:vAlign w:val="center"/>
          </w:tcPr>
          <w:p w14:paraId="3E29CB39">
            <w:r>
              <w:rPr>
                <w:rFonts w:hint="eastAsia"/>
              </w:rPr>
              <w:t>(1)考试时间：可以设置考试开始时间、截至时间、考试时长，最早交卷时间、最晚进入考试时间。</w:t>
            </w:r>
          </w:p>
          <w:p w14:paraId="221334CE">
            <w:r>
              <w:rPr>
                <w:rFonts w:hint="eastAsia"/>
              </w:rPr>
              <w:t>(2)考生管理：考生支持手动添加、批量导入、根据组织架构选择、也可以从网络课程的教学班中直接选择学生。</w:t>
            </w:r>
          </w:p>
          <w:p w14:paraId="467DF34F">
            <w:r>
              <w:rPr>
                <w:rFonts w:hint="eastAsia"/>
              </w:rPr>
              <w:t>(3)人脸识别：考生在考试前需进行活体人脸核对，核对通过后才能参加考试。考生的整个答题过程进行抓拍，抓拍时将同时采集前后摄像头照片，管理员或者监考老师可以随时查看所有考生抓拍所得照片。</w:t>
            </w:r>
          </w:p>
          <w:p w14:paraId="20E62E7D">
            <w:r>
              <w:rPr>
                <w:rFonts w:hint="eastAsia"/>
              </w:rPr>
              <w:t>(4)切屏监控：在考生考试过程中将全程监控考生的答题界面，对考生切出页面的次数与时长进行记录，管理员或者监考老师可以随时查看所有考生切屏记录。</w:t>
            </w:r>
          </w:p>
          <w:p w14:paraId="4B04241D">
            <w:r>
              <w:rPr>
                <w:rFonts w:hint="eastAsia"/>
              </w:rPr>
              <w:t>(5)指定IP：设置好考试IP之后，考试只能在指定IP下才能参加考试。</w:t>
            </w:r>
          </w:p>
          <w:p w14:paraId="2D96E3E4">
            <w:r>
              <w:rPr>
                <w:rFonts w:hint="eastAsia"/>
              </w:rPr>
              <w:t>(6)题目乱序：每位考生所收到试卷的题目顺序进动打乱排列。</w:t>
            </w:r>
          </w:p>
          <w:p w14:paraId="6AE6513F">
            <w:r>
              <w:rPr>
                <w:rFonts w:hint="eastAsia"/>
              </w:rPr>
              <w:t>(7)选项乱序：对于选择题的每个选项进行打乱排列。</w:t>
            </w:r>
          </w:p>
          <w:p w14:paraId="719F5CD6">
            <w:r>
              <w:rPr>
                <w:rFonts w:hint="eastAsia"/>
              </w:rPr>
              <w:t>(8)考生终端：可以指定考试终端，设置为客户端考试时考生只能到学校机房进行考试，满足集中考试需求。</w:t>
            </w:r>
          </w:p>
          <w:p w14:paraId="78CB9E0D">
            <w:r>
              <w:rPr>
                <w:rFonts w:hint="eastAsia"/>
              </w:rPr>
              <w:t>(9)其他设置：提供及格分数、允许重考次数、多次考试时分数取值方式、查看试卷权限、试卷提交查看答案权限、查看分数权限、答案防粘贴、截至时间自动交卷、填空题为客观题、填空题答案判定标准、多选题分数设置、随机抽题等设置，满足不同类型考试需求。</w:t>
            </w:r>
          </w:p>
          <w:p w14:paraId="05DE2D6A">
            <w:r>
              <w:rPr>
                <w:rFonts w:hint="eastAsia"/>
              </w:rPr>
              <w:t>(10)监考教师：考试发布时可以指定监考教师，监考教师会收到监考任务，进行线上监考。</w:t>
            </w:r>
          </w:p>
          <w:p w14:paraId="4405E451">
            <w:r>
              <w:rPr>
                <w:rFonts w:hint="eastAsia"/>
              </w:rPr>
              <w:t>(11)阅卷教师：考试发布时可以指定监考教师，阅卷教师会收到阅卷任务进行线上阅卷。</w:t>
            </w:r>
          </w:p>
          <w:p w14:paraId="01B40E70">
            <w:r>
              <w:rPr>
                <w:rFonts w:hint="eastAsia"/>
              </w:rPr>
              <w:t>(12)阅卷机制：阅卷时需支持流水阅卷和整卷批阅。</w:t>
            </w:r>
          </w:p>
        </w:tc>
      </w:tr>
      <w:tr w14:paraId="52197AC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rPr>
        <w:tc>
          <w:tcPr>
            <w:tcW w:w="551" w:type="pct"/>
            <w:vMerge w:val="continue"/>
            <w:tcBorders>
              <w:left w:val="single" w:color="000000" w:sz="4" w:space="0"/>
              <w:right w:val="single" w:color="000000" w:sz="4" w:space="0"/>
            </w:tcBorders>
            <w:shd w:val="clear" w:color="auto" w:fill="auto"/>
            <w:noWrap/>
            <w:vAlign w:val="center"/>
          </w:tcPr>
          <w:p w14:paraId="385C4969"/>
        </w:tc>
        <w:tc>
          <w:tcPr>
            <w:tcW w:w="471"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72201CD9">
            <w:pPr>
              <w:jc w:val="center"/>
            </w:pPr>
            <w:r>
              <w:rPr>
                <w:rFonts w:hint="eastAsia"/>
              </w:rPr>
              <w:t>2.7</w:t>
            </w:r>
          </w:p>
          <w:p w14:paraId="11E95200">
            <w:pPr>
              <w:jc w:val="center"/>
            </w:pPr>
            <w:r>
              <w:rPr>
                <w:rFonts w:hint="eastAsia"/>
              </w:rPr>
              <w:t>在线监考</w:t>
            </w:r>
          </w:p>
        </w:tc>
        <w:tc>
          <w:tcPr>
            <w:tcW w:w="3976" w:type="pct"/>
            <w:tcBorders>
              <w:top w:val="single" w:color="auto" w:sz="4" w:space="0"/>
              <w:left w:val="single" w:color="000000" w:sz="4" w:space="0"/>
              <w:bottom w:val="single" w:color="auto" w:sz="4" w:space="0"/>
            </w:tcBorders>
            <w:shd w:val="clear" w:color="auto" w:fill="auto"/>
            <w:noWrap/>
            <w:vAlign w:val="center"/>
          </w:tcPr>
          <w:p w14:paraId="701E80F7">
            <w:r>
              <w:rPr>
                <w:rFonts w:hint="eastAsia"/>
              </w:rPr>
              <w:t>(1)在线监考：监考教师需实时查看每位考生是否进入考试、进入时间、当前状态、IP地址、所在地区、人脸识别情况、违规次数、切屏次数等。</w:t>
            </w:r>
          </w:p>
          <w:p w14:paraId="1DA3572E">
            <w:r>
              <w:rPr>
                <w:rFonts w:hint="eastAsia"/>
              </w:rPr>
              <w:t>(2)通知提醒：针对未及时参加考试的考生或者有异常行为的考生，监考老师可对考生发送提醒通知。</w:t>
            </w:r>
          </w:p>
          <w:p w14:paraId="099E423D">
            <w:r>
              <w:rPr>
                <w:rFonts w:hint="eastAsia"/>
              </w:rPr>
              <w:t>(3)强制收卷：监考老师发现有异常行为的考生可进行强制收卷。</w:t>
            </w:r>
          </w:p>
          <w:p w14:paraId="39511C0F">
            <w:r>
              <w:rPr>
                <w:rFonts w:hint="eastAsia"/>
              </w:rPr>
              <w:t>(4)查看考生详情：监考老师可随时查看每位考生的考试行为记录，详情以时间轴形式呈现，也可查看考试试卷。</w:t>
            </w:r>
          </w:p>
          <w:p w14:paraId="1289E4BA">
            <w:r>
              <w:rPr>
                <w:rFonts w:hint="eastAsia"/>
              </w:rPr>
              <w:t>(5)查看抓拍监控：将所有考生前后摄像头的抓拍监控画面展示在一个页面上，便于监考老师更加直观了解每位考生当前的作答情况。</w:t>
            </w:r>
          </w:p>
          <w:p w14:paraId="57D25AB5">
            <w:r>
              <w:rPr>
                <w:rFonts w:hint="eastAsia"/>
              </w:rPr>
              <w:t>(6)直播监控：考试过程中、监考老师可以随时调取考生的直播画面进行直播监考，进一步确认考生的真实考试情况。</w:t>
            </w:r>
          </w:p>
        </w:tc>
      </w:tr>
      <w:tr w14:paraId="2039CEB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rPr>
        <w:tc>
          <w:tcPr>
            <w:tcW w:w="551" w:type="pct"/>
            <w:vMerge w:val="continue"/>
            <w:tcBorders>
              <w:left w:val="single" w:color="000000" w:sz="4" w:space="0"/>
              <w:right w:val="single" w:color="000000" w:sz="4" w:space="0"/>
            </w:tcBorders>
            <w:shd w:val="clear" w:color="auto" w:fill="auto"/>
            <w:noWrap/>
            <w:vAlign w:val="center"/>
          </w:tcPr>
          <w:p w14:paraId="66F33AD5"/>
        </w:tc>
        <w:tc>
          <w:tcPr>
            <w:tcW w:w="471"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7DF257AF">
            <w:pPr>
              <w:jc w:val="center"/>
            </w:pPr>
            <w:r>
              <w:rPr>
                <w:rFonts w:hint="eastAsia"/>
              </w:rPr>
              <w:t>2.8</w:t>
            </w:r>
          </w:p>
          <w:p w14:paraId="682BBB15">
            <w:pPr>
              <w:jc w:val="center"/>
            </w:pPr>
            <w:r>
              <w:rPr>
                <w:rFonts w:hint="eastAsia"/>
              </w:rPr>
              <w:t>考试阅卷</w:t>
            </w:r>
          </w:p>
        </w:tc>
        <w:tc>
          <w:tcPr>
            <w:tcW w:w="3976" w:type="pct"/>
            <w:tcBorders>
              <w:top w:val="single" w:color="auto" w:sz="4" w:space="0"/>
              <w:left w:val="single" w:color="000000" w:sz="4" w:space="0"/>
              <w:bottom w:val="single" w:color="auto" w:sz="4" w:space="0"/>
            </w:tcBorders>
            <w:shd w:val="clear" w:color="auto" w:fill="auto"/>
            <w:noWrap/>
            <w:vAlign w:val="center"/>
          </w:tcPr>
          <w:p w14:paraId="6861483B">
            <w:r>
              <w:rPr>
                <w:rFonts w:hint="eastAsia"/>
              </w:rPr>
              <w:t>(1)客观题批阅：对于客观题系统自动批阅并计算分数，无需人工干预。</w:t>
            </w:r>
          </w:p>
          <w:p w14:paraId="2221C83E">
            <w:r>
              <w:rPr>
                <w:rFonts w:hint="eastAsia"/>
              </w:rPr>
              <w:t>(2)主观题批阅：主观题批阅时支持打分和写批语，批语除支持文字录入之外也支持公式、符号、图片以及附件录入。</w:t>
            </w:r>
          </w:p>
          <w:p w14:paraId="367CA630">
            <w:r>
              <w:rPr>
                <w:rFonts w:hint="eastAsia"/>
              </w:rPr>
              <w:t>(3)试卷导出：批阅完成的试卷支持一键打包下载，便于存档。</w:t>
            </w:r>
          </w:p>
          <w:p w14:paraId="680DE5DD">
            <w:r>
              <w:rPr>
                <w:rFonts w:hint="eastAsia"/>
              </w:rPr>
              <w:t>(4)阅卷完成后，可以无缝对接成绩系统，按学校的课程考核要求进行最终成绩计算，并实现成绩自动导入。</w:t>
            </w:r>
          </w:p>
        </w:tc>
      </w:tr>
      <w:tr w14:paraId="7454934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rPr>
        <w:tc>
          <w:tcPr>
            <w:tcW w:w="551" w:type="pct"/>
            <w:vMerge w:val="continue"/>
            <w:tcBorders>
              <w:left w:val="single" w:color="000000" w:sz="4" w:space="0"/>
              <w:bottom w:val="single" w:color="000000" w:sz="4" w:space="0"/>
              <w:right w:val="single" w:color="000000" w:sz="4" w:space="0"/>
            </w:tcBorders>
            <w:shd w:val="clear" w:color="auto" w:fill="auto"/>
            <w:noWrap/>
            <w:vAlign w:val="center"/>
          </w:tcPr>
          <w:p w14:paraId="5E7E1CEB"/>
        </w:tc>
        <w:tc>
          <w:tcPr>
            <w:tcW w:w="471"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005243B3">
            <w:pPr>
              <w:jc w:val="center"/>
            </w:pPr>
            <w:r>
              <w:rPr>
                <w:rFonts w:hint="eastAsia"/>
              </w:rPr>
              <w:t>2.9</w:t>
            </w:r>
          </w:p>
          <w:p w14:paraId="5EFDCF48">
            <w:pPr>
              <w:jc w:val="center"/>
            </w:pPr>
            <w:r>
              <w:rPr>
                <w:rFonts w:hint="eastAsia"/>
              </w:rPr>
              <w:t>考场监控视频</w:t>
            </w:r>
          </w:p>
        </w:tc>
        <w:tc>
          <w:tcPr>
            <w:tcW w:w="3976" w:type="pct"/>
            <w:tcBorders>
              <w:top w:val="single" w:color="auto" w:sz="4" w:space="0"/>
              <w:left w:val="single" w:color="000000" w:sz="4" w:space="0"/>
              <w:bottom w:val="single" w:color="auto" w:sz="4" w:space="0"/>
            </w:tcBorders>
            <w:shd w:val="clear" w:color="auto" w:fill="auto"/>
            <w:noWrap/>
            <w:vAlign w:val="center"/>
          </w:tcPr>
          <w:p w14:paraId="46AE9E26">
            <w:r>
              <w:rPr>
                <w:rFonts w:hint="eastAsia"/>
              </w:rPr>
              <w:t>考场监控视频按浙江省继续教育高质量发展联盟《高等学历继续教育核心课程考试指南》有关要求，开展考试全过程状态数据自动采集，进行各考场监控视频统一采集、云平台统一存储，方便学校进行考场视频查看。</w:t>
            </w:r>
          </w:p>
        </w:tc>
      </w:tr>
    </w:tbl>
    <w:p w14:paraId="56F165FC">
      <w:pPr>
        <w:spacing w:line="360" w:lineRule="auto"/>
        <w:ind w:firstLine="482" w:firstLineChars="200"/>
        <w:rPr>
          <w:rFonts w:ascii="宋体" w:hAnsi="宋体" w:cs="宋体"/>
          <w:b/>
          <w:bCs/>
        </w:rPr>
      </w:pPr>
      <w:r>
        <w:rPr>
          <w:rFonts w:hint="eastAsia" w:ascii="宋体" w:hAnsi="宋体" w:cs="宋体"/>
          <w:b/>
          <w:bCs/>
        </w:rPr>
        <w:t>3.教学平台升级</w:t>
      </w:r>
    </w:p>
    <w:tbl>
      <w:tblPr>
        <w:tblStyle w:val="62"/>
        <w:tblW w:w="4787"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946"/>
        <w:gridCol w:w="900"/>
        <w:gridCol w:w="7044"/>
      </w:tblGrid>
      <w:tr w14:paraId="4B38794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rPr>
        <w:tc>
          <w:tcPr>
            <w:tcW w:w="532" w:type="pct"/>
            <w:tcBorders>
              <w:left w:val="single" w:color="000000" w:sz="4" w:space="0"/>
              <w:bottom w:val="single" w:color="auto" w:sz="4" w:space="0"/>
              <w:right w:val="single" w:color="000000" w:sz="4" w:space="0"/>
            </w:tcBorders>
            <w:shd w:val="clear" w:color="auto" w:fill="auto"/>
            <w:noWrap/>
            <w:vAlign w:val="center"/>
          </w:tcPr>
          <w:p w14:paraId="24B84AE9">
            <w:pPr>
              <w:jc w:val="center"/>
              <w:rPr>
                <w:rFonts w:ascii="仿宋" w:hAnsi="仿宋" w:cs="仿宋"/>
                <w:b/>
                <w:bCs/>
              </w:rPr>
            </w:pPr>
            <w:r>
              <w:rPr>
                <w:rFonts w:hint="eastAsia" w:ascii="仿宋" w:hAnsi="仿宋" w:cs="仿宋"/>
                <w:b/>
                <w:bCs/>
              </w:rPr>
              <w:t>模块</w:t>
            </w:r>
          </w:p>
        </w:tc>
        <w:tc>
          <w:tcPr>
            <w:tcW w:w="506" w:type="pct"/>
            <w:tcBorders>
              <w:left w:val="single" w:color="000000" w:sz="4" w:space="0"/>
              <w:bottom w:val="single" w:color="auto" w:sz="4" w:space="0"/>
              <w:right w:val="single" w:color="000000" w:sz="4" w:space="0"/>
            </w:tcBorders>
            <w:shd w:val="clear" w:color="auto" w:fill="auto"/>
            <w:noWrap/>
            <w:vAlign w:val="center"/>
          </w:tcPr>
          <w:p w14:paraId="02FA4966">
            <w:pPr>
              <w:jc w:val="center"/>
              <w:rPr>
                <w:rFonts w:ascii="仿宋" w:hAnsi="仿宋" w:cs="仿宋"/>
                <w:b/>
                <w:bCs/>
              </w:rPr>
            </w:pPr>
            <w:r>
              <w:rPr>
                <w:rFonts w:hint="eastAsia" w:ascii="仿宋" w:hAnsi="仿宋" w:cs="仿宋"/>
                <w:b/>
                <w:bCs/>
              </w:rPr>
              <w:t>功能</w:t>
            </w:r>
          </w:p>
        </w:tc>
        <w:tc>
          <w:tcPr>
            <w:tcW w:w="3961" w:type="pct"/>
            <w:tcBorders>
              <w:left w:val="single" w:color="000000" w:sz="4" w:space="0"/>
              <w:bottom w:val="single" w:color="auto" w:sz="4" w:space="0"/>
            </w:tcBorders>
            <w:shd w:val="clear" w:color="auto" w:fill="auto"/>
            <w:noWrap/>
            <w:vAlign w:val="center"/>
          </w:tcPr>
          <w:p w14:paraId="746FD8DC">
            <w:pPr>
              <w:rPr>
                <w:rFonts w:ascii="仿宋" w:hAnsi="仿宋" w:cs="仿宋"/>
                <w:b/>
                <w:bCs/>
              </w:rPr>
            </w:pPr>
            <w:r>
              <w:rPr>
                <w:rFonts w:hint="eastAsia" w:ascii="仿宋" w:hAnsi="仿宋" w:cs="仿宋"/>
                <w:b/>
                <w:bCs/>
              </w:rPr>
              <w:t>功能描述</w:t>
            </w:r>
          </w:p>
        </w:tc>
      </w:tr>
      <w:tr w14:paraId="07F3453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41" w:hRule="atLeast"/>
        </w:trPr>
        <w:tc>
          <w:tcPr>
            <w:tcW w:w="532" w:type="pct"/>
            <w:vMerge w:val="restart"/>
            <w:tcBorders>
              <w:top w:val="single" w:color="auto" w:sz="4" w:space="0"/>
              <w:left w:val="single" w:color="000000" w:sz="4" w:space="0"/>
              <w:right w:val="single" w:color="000000" w:sz="4" w:space="0"/>
            </w:tcBorders>
            <w:shd w:val="clear" w:color="auto" w:fill="auto"/>
            <w:noWrap/>
            <w:vAlign w:val="center"/>
          </w:tcPr>
          <w:p w14:paraId="44541FE7">
            <w:pPr>
              <w:jc w:val="center"/>
              <w:rPr>
                <w:rFonts w:ascii="仿宋" w:hAnsi="仿宋" w:cs="仿宋"/>
              </w:rPr>
            </w:pPr>
            <w:r>
              <w:rPr>
                <w:rFonts w:hint="eastAsia" w:ascii="仿宋" w:hAnsi="仿宋" w:cs="仿宋"/>
              </w:rPr>
              <w:t>1、</w:t>
            </w:r>
          </w:p>
          <w:p w14:paraId="27C75D80">
            <w:pPr>
              <w:jc w:val="center"/>
              <w:rPr>
                <w:rFonts w:ascii="仿宋" w:hAnsi="仿宋" w:cs="仿宋"/>
              </w:rPr>
            </w:pPr>
            <w:r>
              <w:rPr>
                <w:rFonts w:hint="eastAsia" w:ascii="仿宋" w:hAnsi="仿宋" w:cs="仿宋"/>
              </w:rPr>
              <w:t>活动管理</w:t>
            </w:r>
          </w:p>
        </w:tc>
        <w:tc>
          <w:tcPr>
            <w:tcW w:w="506"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250D7D7F">
            <w:pPr>
              <w:jc w:val="center"/>
              <w:rPr>
                <w:rFonts w:ascii="仿宋" w:hAnsi="仿宋" w:cs="仿宋"/>
              </w:rPr>
            </w:pPr>
            <w:r>
              <w:rPr>
                <w:rFonts w:hint="eastAsia" w:ascii="仿宋" w:hAnsi="仿宋" w:cs="仿宋"/>
              </w:rPr>
              <w:t>1.1</w:t>
            </w:r>
          </w:p>
          <w:p w14:paraId="70488F16">
            <w:pPr>
              <w:jc w:val="center"/>
              <w:rPr>
                <w:rFonts w:ascii="仿宋" w:hAnsi="仿宋" w:cs="仿宋"/>
              </w:rPr>
            </w:pPr>
            <w:r>
              <w:rPr>
                <w:rFonts w:hint="eastAsia" w:ascii="仿宋" w:hAnsi="仿宋" w:cs="仿宋"/>
              </w:rPr>
              <w:t>总体需求</w:t>
            </w:r>
          </w:p>
        </w:tc>
        <w:tc>
          <w:tcPr>
            <w:tcW w:w="3961" w:type="pct"/>
            <w:tcBorders>
              <w:top w:val="single" w:color="auto" w:sz="4" w:space="0"/>
              <w:left w:val="single" w:color="000000" w:sz="4" w:space="0"/>
              <w:bottom w:val="single" w:color="auto" w:sz="4" w:space="0"/>
            </w:tcBorders>
            <w:shd w:val="clear" w:color="auto" w:fill="auto"/>
            <w:noWrap/>
            <w:vAlign w:val="center"/>
          </w:tcPr>
          <w:p w14:paraId="2F5A0979">
            <w:pPr>
              <w:rPr>
                <w:rFonts w:ascii="仿宋" w:hAnsi="仿宋" w:cs="仿宋"/>
              </w:rPr>
            </w:pPr>
            <w:r>
              <w:rPr>
                <w:rFonts w:hint="eastAsia" w:ascii="仿宋" w:hAnsi="仿宋" w:cs="仿宋"/>
              </w:rPr>
              <w:t>可用于学校各项活动的开办，例如：线下开学典礼、毕业典礼等活动的报名参加，照片留存，活动奖项发放等，也可以支持线上讲座等有关活动的开展。将各类活动管理纳入博雅实践教学范围。</w:t>
            </w:r>
          </w:p>
        </w:tc>
      </w:tr>
      <w:tr w14:paraId="6228929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22" w:hRule="atLeast"/>
        </w:trPr>
        <w:tc>
          <w:tcPr>
            <w:tcW w:w="532" w:type="pct"/>
            <w:vMerge w:val="continue"/>
            <w:tcBorders>
              <w:left w:val="single" w:color="000000" w:sz="4" w:space="0"/>
              <w:bottom w:val="single" w:color="auto" w:sz="4" w:space="0"/>
              <w:right w:val="single" w:color="000000" w:sz="4" w:space="0"/>
            </w:tcBorders>
            <w:shd w:val="clear" w:color="auto" w:fill="auto"/>
            <w:noWrap/>
            <w:vAlign w:val="center"/>
          </w:tcPr>
          <w:p w14:paraId="505CBC06">
            <w:pPr>
              <w:jc w:val="center"/>
              <w:rPr>
                <w:rFonts w:ascii="仿宋" w:hAnsi="仿宋" w:cs="仿宋"/>
              </w:rPr>
            </w:pPr>
          </w:p>
        </w:tc>
        <w:tc>
          <w:tcPr>
            <w:tcW w:w="506"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5DFC1C7F">
            <w:pPr>
              <w:jc w:val="center"/>
              <w:rPr>
                <w:rFonts w:ascii="仿宋" w:hAnsi="仿宋" w:cs="仿宋"/>
              </w:rPr>
            </w:pPr>
            <w:r>
              <w:rPr>
                <w:rFonts w:hint="eastAsia" w:ascii="仿宋" w:hAnsi="仿宋" w:cs="仿宋"/>
              </w:rPr>
              <w:t>1.2</w:t>
            </w:r>
          </w:p>
          <w:p w14:paraId="04004D31">
            <w:pPr>
              <w:jc w:val="center"/>
              <w:rPr>
                <w:rFonts w:ascii="仿宋" w:hAnsi="仿宋" w:cs="仿宋"/>
              </w:rPr>
            </w:pPr>
            <w:r>
              <w:rPr>
                <w:rFonts w:hint="eastAsia" w:ascii="仿宋" w:hAnsi="仿宋" w:cs="仿宋"/>
              </w:rPr>
              <w:t>具体需求</w:t>
            </w:r>
          </w:p>
        </w:tc>
        <w:tc>
          <w:tcPr>
            <w:tcW w:w="3961" w:type="pct"/>
            <w:tcBorders>
              <w:top w:val="single" w:color="auto" w:sz="4" w:space="0"/>
              <w:left w:val="single" w:color="000000" w:sz="4" w:space="0"/>
              <w:bottom w:val="single" w:color="auto" w:sz="4" w:space="0"/>
            </w:tcBorders>
            <w:shd w:val="clear" w:color="auto" w:fill="auto"/>
            <w:noWrap/>
            <w:vAlign w:val="center"/>
          </w:tcPr>
          <w:p w14:paraId="72027FE5">
            <w:pPr>
              <w:rPr>
                <w:rFonts w:ascii="仿宋" w:hAnsi="仿宋" w:cs="仿宋"/>
              </w:rPr>
            </w:pPr>
            <w:r>
              <w:rPr>
                <w:rFonts w:hint="eastAsia" w:ascii="仿宋" w:hAnsi="仿宋" w:cs="仿宋"/>
              </w:rPr>
              <w:t>(1)活动类型：支持添加和管理活动类型，可自定义活动类型名称，开展方式(线上/线下)，以及启动/禁用状态设置。</w:t>
            </w:r>
          </w:p>
          <w:p w14:paraId="07DF1974">
            <w:pPr>
              <w:rPr>
                <w:rFonts w:ascii="仿宋" w:hAnsi="仿宋" w:cs="仿宋"/>
              </w:rPr>
            </w:pPr>
            <w:r>
              <w:rPr>
                <w:rFonts w:hint="eastAsia" w:ascii="仿宋" w:hAnsi="仿宋" w:cs="仿宋"/>
              </w:rPr>
              <w:t>(2)活动奖项管理：支持添加和编辑活动奖项，可针对不同的活动类型设置不同的奖项。</w:t>
            </w:r>
          </w:p>
          <w:p w14:paraId="562BE42A">
            <w:pPr>
              <w:rPr>
                <w:rFonts w:ascii="仿宋" w:hAnsi="仿宋" w:cs="仿宋"/>
              </w:rPr>
            </w:pPr>
            <w:r>
              <w:rPr>
                <w:rFonts w:hint="eastAsia" w:ascii="仿宋" w:hAnsi="仿宋" w:cs="仿宋"/>
              </w:rPr>
              <w:t>(3)活动创建：支持创建线上或线下活动，可以设定活动的参与对象范围，可以选择活动类型，标记活动的开展时间、场地、活动描述等内容。</w:t>
            </w:r>
          </w:p>
          <w:p w14:paraId="6B78A7AA">
            <w:pPr>
              <w:rPr>
                <w:rFonts w:ascii="仿宋" w:hAnsi="仿宋" w:cs="仿宋"/>
              </w:rPr>
            </w:pPr>
            <w:r>
              <w:rPr>
                <w:rFonts w:hint="eastAsia" w:ascii="仿宋" w:hAnsi="仿宋" w:cs="仿宋"/>
              </w:rPr>
              <w:t>(4)活动管理：支持管理已经创建的活动，查看活动的基础信息，活动内容，活动参与情况，支持对排名活动的排名结果进行管理和发布，线上活动支持添加评审人员，评审人员可线上进行评审。</w:t>
            </w:r>
          </w:p>
        </w:tc>
      </w:tr>
      <w:tr w14:paraId="7B1A1C6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55" w:hRule="atLeast"/>
        </w:trPr>
        <w:tc>
          <w:tcPr>
            <w:tcW w:w="532" w:type="pct"/>
            <w:vMerge w:val="restart"/>
            <w:tcBorders>
              <w:top w:val="single" w:color="auto" w:sz="4" w:space="0"/>
              <w:left w:val="single" w:color="000000" w:sz="4" w:space="0"/>
              <w:right w:val="single" w:color="000000" w:sz="4" w:space="0"/>
            </w:tcBorders>
            <w:shd w:val="clear" w:color="auto" w:fill="auto"/>
            <w:noWrap/>
            <w:vAlign w:val="center"/>
          </w:tcPr>
          <w:p w14:paraId="559A1B23">
            <w:pPr>
              <w:jc w:val="center"/>
              <w:rPr>
                <w:rFonts w:ascii="仿宋" w:hAnsi="仿宋" w:cs="仿宋"/>
              </w:rPr>
            </w:pPr>
            <w:r>
              <w:rPr>
                <w:rFonts w:hint="eastAsia" w:ascii="仿宋" w:hAnsi="仿宋" w:cs="仿宋"/>
              </w:rPr>
              <w:t>2、</w:t>
            </w:r>
          </w:p>
          <w:p w14:paraId="739E5623">
            <w:pPr>
              <w:jc w:val="center"/>
              <w:rPr>
                <w:rFonts w:ascii="仿宋" w:hAnsi="仿宋" w:cs="仿宋"/>
              </w:rPr>
            </w:pPr>
            <w:r>
              <w:rPr>
                <w:rFonts w:hint="eastAsia" w:ascii="仿宋" w:hAnsi="仿宋" w:cs="仿宋"/>
              </w:rPr>
              <w:t>教学管理</w:t>
            </w:r>
          </w:p>
        </w:tc>
        <w:tc>
          <w:tcPr>
            <w:tcW w:w="506"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31593C83">
            <w:pPr>
              <w:jc w:val="center"/>
              <w:rPr>
                <w:rFonts w:ascii="仿宋" w:hAnsi="仿宋" w:cs="仿宋"/>
              </w:rPr>
            </w:pPr>
            <w:r>
              <w:rPr>
                <w:rFonts w:hint="eastAsia" w:ascii="仿宋" w:hAnsi="仿宋" w:cs="仿宋"/>
              </w:rPr>
              <w:t>2.1</w:t>
            </w:r>
          </w:p>
          <w:p w14:paraId="7EC60B83">
            <w:pPr>
              <w:jc w:val="center"/>
              <w:rPr>
                <w:rFonts w:ascii="仿宋" w:hAnsi="仿宋" w:cs="仿宋"/>
              </w:rPr>
            </w:pPr>
            <w:r>
              <w:rPr>
                <w:rFonts w:hint="eastAsia" w:ascii="仿宋" w:hAnsi="仿宋" w:cs="仿宋"/>
              </w:rPr>
              <w:t>教学计划管理</w:t>
            </w:r>
          </w:p>
        </w:tc>
        <w:tc>
          <w:tcPr>
            <w:tcW w:w="3961" w:type="pct"/>
            <w:vMerge w:val="restart"/>
            <w:tcBorders>
              <w:top w:val="single" w:color="auto" w:sz="4" w:space="0"/>
              <w:left w:val="single" w:color="000000" w:sz="4" w:space="0"/>
            </w:tcBorders>
            <w:shd w:val="clear" w:color="auto" w:fill="auto"/>
            <w:noWrap/>
            <w:vAlign w:val="center"/>
          </w:tcPr>
          <w:p w14:paraId="0085D0CC">
            <w:pPr>
              <w:rPr>
                <w:rFonts w:ascii="仿宋" w:hAnsi="仿宋" w:cs="仿宋"/>
              </w:rPr>
            </w:pPr>
            <w:r>
              <w:rPr>
                <w:rFonts w:hint="eastAsia" w:ascii="仿宋" w:hAnsi="仿宋" w:cs="仿宋"/>
              </w:rPr>
              <w:t>按照教育部新的人才培养的要求，构建各专业教学计划，满足学生个性化学习需求。根据学生的需求进行个性化培养，支持完全学分制教学，实现学习资源的个性化推送。支持不同年级、不同学习形式、订单式的各类人才培养方案的编制，实现多种类型培养方案的在线运行。</w:t>
            </w:r>
          </w:p>
          <w:p w14:paraId="183E7DDE">
            <w:pPr>
              <w:rPr>
                <w:rFonts w:ascii="仿宋" w:hAnsi="仿宋" w:cs="仿宋"/>
              </w:rPr>
            </w:pPr>
            <w:r>
              <w:rPr>
                <w:rFonts w:hint="eastAsia" w:ascii="仿宋" w:hAnsi="仿宋" w:cs="仿宋"/>
              </w:rPr>
              <w:t>按学校学历继续教育教材管理方式，由学校统一课程教材目录和审核，各教学点按教材目录进行征订、发放，实现教材统一管理。</w:t>
            </w:r>
          </w:p>
          <w:p w14:paraId="7A57E0EB">
            <w:pPr>
              <w:rPr>
                <w:rFonts w:ascii="仿宋" w:hAnsi="仿宋" w:cs="仿宋"/>
              </w:rPr>
            </w:pPr>
            <w:r>
              <w:rPr>
                <w:rFonts w:hint="eastAsia" w:ascii="仿宋" w:hAnsi="仿宋" w:cs="仿宋"/>
              </w:rPr>
              <w:t>(1)建立教材库，进行教材和课程绑定，且支持一门课程绑定多本教材。</w:t>
            </w:r>
          </w:p>
          <w:p w14:paraId="6F128627">
            <w:pPr>
              <w:rPr>
                <w:rFonts w:ascii="仿宋" w:hAnsi="仿宋" w:cs="仿宋"/>
              </w:rPr>
            </w:pPr>
            <w:r>
              <w:rPr>
                <w:rFonts w:hint="eastAsia" w:ascii="仿宋" w:hAnsi="仿宋" w:cs="仿宋"/>
              </w:rPr>
              <w:t>(2)每学期教师聘用完成后，根据教学任务生成教材和课程的对应关系，支持给教师发送教材通知，支持教师修改课程对应教材。</w:t>
            </w:r>
          </w:p>
          <w:p w14:paraId="774DC887">
            <w:pPr>
              <w:rPr>
                <w:rFonts w:ascii="仿宋" w:hAnsi="仿宋" w:cs="仿宋"/>
              </w:rPr>
            </w:pPr>
            <w:r>
              <w:rPr>
                <w:rFonts w:hint="eastAsia" w:ascii="仿宋" w:hAnsi="仿宋" w:cs="仿宋"/>
              </w:rPr>
              <w:t>(3)教师修改教材后，管理员在教材设置进度页面审核，审核通过后，更新本学期下基础数据中课程和教材的关系。</w:t>
            </w:r>
          </w:p>
          <w:p w14:paraId="722F733E">
            <w:pPr>
              <w:rPr>
                <w:rFonts w:ascii="仿宋" w:hAnsi="仿宋" w:cs="仿宋"/>
              </w:rPr>
            </w:pPr>
            <w:r>
              <w:rPr>
                <w:rFonts w:hint="eastAsia" w:ascii="仿宋" w:hAnsi="仿宋" w:cs="仿宋"/>
              </w:rPr>
              <w:t>(4)教材设置进度管理，支持查询学期下对应教材和课程的关系。</w:t>
            </w:r>
          </w:p>
          <w:p w14:paraId="0942A2EF">
            <w:pPr>
              <w:rPr>
                <w:rFonts w:ascii="仿宋" w:hAnsi="仿宋" w:cs="仿宋"/>
              </w:rPr>
            </w:pPr>
            <w:r>
              <w:rPr>
                <w:rFonts w:hint="eastAsia" w:ascii="仿宋" w:hAnsi="仿宋" w:cs="仿宋"/>
              </w:rPr>
              <w:t>(5)对入库的教材进行教材审核管理。</w:t>
            </w:r>
          </w:p>
          <w:p w14:paraId="2F1C72B0">
            <w:pPr>
              <w:rPr>
                <w:rFonts w:ascii="仿宋" w:hAnsi="仿宋" w:cs="仿宋"/>
              </w:rPr>
            </w:pPr>
            <w:r>
              <w:rPr>
                <w:rFonts w:hint="eastAsia" w:ascii="仿宋" w:hAnsi="仿宋" w:cs="仿宋"/>
              </w:rPr>
              <w:t>(6)管理员可以直接在教材设置进度页面修改使用教材，修改后，同步更新基础数据下的关联教材的信息。各类教材信息可按学期、专业、班级、教学点等进行查询、统计和下载。</w:t>
            </w:r>
          </w:p>
        </w:tc>
      </w:tr>
      <w:tr w14:paraId="65A77BB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38" w:hRule="exact"/>
        </w:trPr>
        <w:tc>
          <w:tcPr>
            <w:tcW w:w="532" w:type="pct"/>
            <w:vMerge w:val="continue"/>
            <w:tcBorders>
              <w:left w:val="single" w:color="000000" w:sz="4" w:space="0"/>
              <w:right w:val="single" w:color="000000" w:sz="4" w:space="0"/>
            </w:tcBorders>
            <w:shd w:val="clear" w:color="auto" w:fill="auto"/>
            <w:noWrap/>
            <w:vAlign w:val="center"/>
          </w:tcPr>
          <w:p w14:paraId="26C641D5">
            <w:pPr>
              <w:jc w:val="center"/>
              <w:rPr>
                <w:rFonts w:ascii="仿宋" w:hAnsi="仿宋" w:cs="仿宋"/>
              </w:rPr>
            </w:pPr>
          </w:p>
        </w:tc>
        <w:tc>
          <w:tcPr>
            <w:tcW w:w="506"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4A382665">
            <w:pPr>
              <w:jc w:val="center"/>
              <w:rPr>
                <w:rFonts w:ascii="仿宋" w:hAnsi="仿宋" w:cs="仿宋"/>
              </w:rPr>
            </w:pPr>
            <w:r>
              <w:rPr>
                <w:rFonts w:hint="eastAsia" w:ascii="仿宋" w:hAnsi="仿宋" w:cs="仿宋"/>
              </w:rPr>
              <w:t>2.2</w:t>
            </w:r>
          </w:p>
          <w:p w14:paraId="1D9241C4">
            <w:pPr>
              <w:jc w:val="center"/>
              <w:rPr>
                <w:rFonts w:ascii="仿宋" w:hAnsi="仿宋" w:cs="仿宋"/>
              </w:rPr>
            </w:pPr>
            <w:r>
              <w:rPr>
                <w:rFonts w:hint="eastAsia" w:ascii="仿宋" w:hAnsi="仿宋" w:cs="仿宋"/>
              </w:rPr>
              <w:t>教材管理</w:t>
            </w:r>
          </w:p>
        </w:tc>
        <w:tc>
          <w:tcPr>
            <w:tcW w:w="3961" w:type="pct"/>
            <w:vMerge w:val="continue"/>
            <w:tcBorders>
              <w:left w:val="single" w:color="000000" w:sz="4" w:space="0"/>
              <w:bottom w:val="single" w:color="auto" w:sz="4" w:space="0"/>
            </w:tcBorders>
            <w:shd w:val="clear" w:color="auto" w:fill="auto"/>
            <w:noWrap/>
            <w:vAlign w:val="center"/>
          </w:tcPr>
          <w:p w14:paraId="0F71B6D6">
            <w:pPr>
              <w:rPr>
                <w:rFonts w:ascii="仿宋" w:hAnsi="仿宋" w:cs="仿宋"/>
              </w:rPr>
            </w:pPr>
          </w:p>
        </w:tc>
      </w:tr>
      <w:tr w14:paraId="47A062F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650" w:hRule="atLeast"/>
        </w:trPr>
        <w:tc>
          <w:tcPr>
            <w:tcW w:w="532" w:type="pct"/>
            <w:vMerge w:val="continue"/>
            <w:tcBorders>
              <w:left w:val="single" w:color="000000" w:sz="4" w:space="0"/>
              <w:right w:val="single" w:color="000000" w:sz="4" w:space="0"/>
            </w:tcBorders>
            <w:shd w:val="clear" w:color="auto" w:fill="auto"/>
            <w:noWrap/>
            <w:vAlign w:val="center"/>
          </w:tcPr>
          <w:p w14:paraId="4B60886A">
            <w:pPr>
              <w:jc w:val="center"/>
              <w:rPr>
                <w:rFonts w:ascii="仿宋" w:hAnsi="仿宋" w:cs="仿宋"/>
              </w:rPr>
            </w:pPr>
          </w:p>
        </w:tc>
        <w:tc>
          <w:tcPr>
            <w:tcW w:w="506"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58C40342">
            <w:pPr>
              <w:jc w:val="center"/>
              <w:rPr>
                <w:rFonts w:ascii="仿宋" w:hAnsi="仿宋" w:cs="仿宋"/>
              </w:rPr>
            </w:pPr>
            <w:r>
              <w:rPr>
                <w:rFonts w:hint="eastAsia" w:ascii="仿宋" w:hAnsi="仿宋" w:cs="仿宋"/>
              </w:rPr>
              <w:t>2.3</w:t>
            </w:r>
          </w:p>
          <w:p w14:paraId="2B3E726E">
            <w:pPr>
              <w:jc w:val="center"/>
              <w:rPr>
                <w:rFonts w:ascii="仿宋" w:hAnsi="仿宋" w:cs="仿宋"/>
              </w:rPr>
            </w:pPr>
            <w:r>
              <w:rPr>
                <w:rFonts w:hint="eastAsia" w:ascii="仿宋" w:hAnsi="仿宋" w:cs="仿宋"/>
              </w:rPr>
              <w:t>线下面授管理</w:t>
            </w:r>
          </w:p>
        </w:tc>
        <w:tc>
          <w:tcPr>
            <w:tcW w:w="3961" w:type="pct"/>
            <w:tcBorders>
              <w:top w:val="single" w:color="auto" w:sz="4" w:space="0"/>
              <w:left w:val="single" w:color="000000" w:sz="4" w:space="0"/>
              <w:bottom w:val="single" w:color="auto" w:sz="4" w:space="0"/>
            </w:tcBorders>
            <w:shd w:val="clear" w:color="auto" w:fill="auto"/>
            <w:noWrap/>
            <w:vAlign w:val="center"/>
          </w:tcPr>
          <w:p w14:paraId="59000465">
            <w:pPr>
              <w:rPr>
                <w:rFonts w:ascii="仿宋" w:hAnsi="仿宋" w:cs="仿宋"/>
              </w:rPr>
            </w:pPr>
            <w:r>
              <w:rPr>
                <w:rFonts w:hint="eastAsia" w:ascii="仿宋" w:hAnsi="仿宋" w:cs="仿宋"/>
              </w:rPr>
              <w:t>(1)线下授课排课：支持针对课程班级进行线下授课排课，灵活支持线下面授有关状态参数的设置。经学校同意，支持线下面授可转到线上进行，同步排课结果性数据，并对已排课程所对应的直播产出直播链接，支持对所排直播发起签到，支持学生端观看直播并签到。</w:t>
            </w:r>
          </w:p>
          <w:p w14:paraId="2264A09C">
            <w:pPr>
              <w:rPr>
                <w:rFonts w:ascii="仿宋" w:hAnsi="仿宋" w:cs="仿宋"/>
              </w:rPr>
            </w:pPr>
            <w:r>
              <w:rPr>
                <w:rFonts w:hint="eastAsia" w:ascii="仿宋" w:hAnsi="仿宋" w:cs="仿宋"/>
              </w:rPr>
              <w:t>(2)支持各类管理员从线下授课监管模块中查看直播统计：学期、教学点、年级、层次、专业、班级、课程代码、课程名称、授课助教、直播名称、排课日期、节次、直播状态、应到人数、已到人数、未到人数、直播开始时间、直播授课时长、授课地点、已发布签到数、已完成签到数、平均签到率。</w:t>
            </w:r>
          </w:p>
          <w:p w14:paraId="041A6704">
            <w:pPr>
              <w:rPr>
                <w:rFonts w:ascii="仿宋" w:hAnsi="仿宋" w:cs="仿宋"/>
              </w:rPr>
            </w:pPr>
            <w:r>
              <w:rPr>
                <w:rFonts w:hint="eastAsia" w:ascii="仿宋" w:hAnsi="仿宋" w:cs="仿宋"/>
              </w:rPr>
              <w:t>(3)支持线下面授签到管理，可实现地图签到，并在地图中设定常用地点，满足学生参与线下面授时快速定位选择使用签到地点。</w:t>
            </w:r>
          </w:p>
          <w:p w14:paraId="07A51DEB">
            <w:pPr>
              <w:rPr>
                <w:rFonts w:ascii="仿宋" w:hAnsi="仿宋" w:cs="仿宋"/>
              </w:rPr>
            </w:pPr>
            <w:r>
              <w:rPr>
                <w:rFonts w:hint="eastAsia" w:ascii="仿宋" w:hAnsi="仿宋" w:cs="仿宋"/>
              </w:rPr>
              <w:t>(4)实现线下面授排课、签到等数据的统计分析，强化教学点监管。</w:t>
            </w:r>
          </w:p>
        </w:tc>
      </w:tr>
      <w:tr w14:paraId="61C5AEC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298" w:hRule="atLeast"/>
        </w:trPr>
        <w:tc>
          <w:tcPr>
            <w:tcW w:w="532" w:type="pct"/>
            <w:vMerge w:val="continue"/>
            <w:tcBorders>
              <w:left w:val="single" w:color="000000" w:sz="4" w:space="0"/>
              <w:right w:val="single" w:color="000000" w:sz="4" w:space="0"/>
            </w:tcBorders>
            <w:shd w:val="clear" w:color="auto" w:fill="auto"/>
            <w:noWrap/>
            <w:vAlign w:val="center"/>
          </w:tcPr>
          <w:p w14:paraId="6C7B1405">
            <w:pPr>
              <w:jc w:val="center"/>
              <w:rPr>
                <w:rFonts w:ascii="仿宋" w:hAnsi="仿宋" w:cs="仿宋"/>
              </w:rPr>
            </w:pPr>
          </w:p>
        </w:tc>
        <w:tc>
          <w:tcPr>
            <w:tcW w:w="506"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4B05DC78">
            <w:pPr>
              <w:jc w:val="center"/>
              <w:rPr>
                <w:rFonts w:ascii="仿宋" w:hAnsi="仿宋" w:cs="仿宋"/>
              </w:rPr>
            </w:pPr>
            <w:r>
              <w:rPr>
                <w:rFonts w:hint="eastAsia" w:ascii="仿宋" w:hAnsi="仿宋" w:cs="仿宋"/>
              </w:rPr>
              <w:t>2.4</w:t>
            </w:r>
          </w:p>
          <w:p w14:paraId="007C685E">
            <w:pPr>
              <w:jc w:val="center"/>
              <w:rPr>
                <w:rFonts w:ascii="仿宋" w:hAnsi="仿宋" w:cs="仿宋"/>
              </w:rPr>
            </w:pPr>
            <w:r>
              <w:rPr>
                <w:rFonts w:hint="eastAsia" w:ascii="仿宋" w:hAnsi="仿宋" w:cs="仿宋"/>
              </w:rPr>
              <w:t>校本课程资源整合</w:t>
            </w:r>
          </w:p>
        </w:tc>
        <w:tc>
          <w:tcPr>
            <w:tcW w:w="3961" w:type="pct"/>
            <w:tcBorders>
              <w:top w:val="single" w:color="auto" w:sz="4" w:space="0"/>
              <w:left w:val="single" w:color="000000" w:sz="4" w:space="0"/>
              <w:bottom w:val="single" w:color="auto" w:sz="4" w:space="0"/>
            </w:tcBorders>
            <w:shd w:val="clear" w:color="auto" w:fill="auto"/>
            <w:noWrap/>
            <w:vAlign w:val="center"/>
          </w:tcPr>
          <w:p w14:paraId="01F3A043">
            <w:pPr>
              <w:rPr>
                <w:rFonts w:ascii="仿宋" w:hAnsi="仿宋" w:cs="仿宋"/>
              </w:rPr>
            </w:pPr>
            <w:r>
              <w:rPr>
                <w:rFonts w:hint="eastAsia" w:ascii="仿宋" w:hAnsi="仿宋" w:cs="仿宋"/>
              </w:rPr>
              <w:t>实现校本资源整合，将校内已有的网络课程资源通过网络教学平台实现无缝对接，在网络教学平台中依据继续教育特色进行改造后迁移到继续教育教学平台。</w:t>
            </w:r>
          </w:p>
        </w:tc>
      </w:tr>
      <w:tr w14:paraId="56B8A61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48" w:hRule="atLeast"/>
        </w:trPr>
        <w:tc>
          <w:tcPr>
            <w:tcW w:w="532" w:type="pct"/>
            <w:vMerge w:val="continue"/>
            <w:tcBorders>
              <w:left w:val="single" w:color="000000" w:sz="4" w:space="0"/>
              <w:right w:val="single" w:color="000000" w:sz="4" w:space="0"/>
            </w:tcBorders>
            <w:shd w:val="clear" w:color="auto" w:fill="auto"/>
            <w:noWrap/>
            <w:vAlign w:val="center"/>
          </w:tcPr>
          <w:p w14:paraId="3808032A">
            <w:pPr>
              <w:jc w:val="center"/>
              <w:rPr>
                <w:rFonts w:ascii="仿宋" w:hAnsi="仿宋" w:cs="仿宋"/>
              </w:rPr>
            </w:pPr>
          </w:p>
        </w:tc>
        <w:tc>
          <w:tcPr>
            <w:tcW w:w="506"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7B6A08E4">
            <w:pPr>
              <w:jc w:val="center"/>
              <w:rPr>
                <w:rFonts w:ascii="仿宋" w:hAnsi="仿宋" w:cs="仿宋"/>
              </w:rPr>
            </w:pPr>
            <w:r>
              <w:rPr>
                <w:rFonts w:hint="eastAsia" w:ascii="仿宋" w:hAnsi="仿宋" w:cs="仿宋"/>
              </w:rPr>
              <w:t>2.5</w:t>
            </w:r>
          </w:p>
          <w:p w14:paraId="43CD984B">
            <w:pPr>
              <w:jc w:val="center"/>
              <w:rPr>
                <w:rFonts w:ascii="仿宋" w:hAnsi="仿宋" w:cs="仿宋"/>
              </w:rPr>
            </w:pPr>
            <w:r>
              <w:rPr>
                <w:rFonts w:hint="eastAsia" w:ascii="仿宋" w:hAnsi="仿宋" w:cs="仿宋"/>
              </w:rPr>
              <w:t>直播管理</w:t>
            </w:r>
          </w:p>
        </w:tc>
        <w:tc>
          <w:tcPr>
            <w:tcW w:w="3961" w:type="pct"/>
            <w:tcBorders>
              <w:top w:val="single" w:color="auto" w:sz="4" w:space="0"/>
              <w:left w:val="single" w:color="000000" w:sz="4" w:space="0"/>
              <w:bottom w:val="single" w:color="auto" w:sz="4" w:space="0"/>
            </w:tcBorders>
            <w:shd w:val="clear" w:color="auto" w:fill="auto"/>
            <w:noWrap/>
            <w:vAlign w:val="center"/>
          </w:tcPr>
          <w:p w14:paraId="175EC1CE">
            <w:pPr>
              <w:rPr>
                <w:rFonts w:ascii="仿宋" w:hAnsi="仿宋" w:cs="仿宋"/>
              </w:rPr>
            </w:pPr>
            <w:r>
              <w:rPr>
                <w:rFonts w:hint="eastAsia" w:ascii="仿宋" w:hAnsi="仿宋" w:cs="仿宋"/>
              </w:rPr>
              <w:t>直播管理主要可进行学历直播教学、直播答疑、直播多场景应用等，主要包含如下功能：</w:t>
            </w:r>
          </w:p>
          <w:p w14:paraId="461047D1">
            <w:pPr>
              <w:rPr>
                <w:rFonts w:ascii="仿宋" w:hAnsi="仿宋" w:cs="仿宋"/>
              </w:rPr>
            </w:pPr>
            <w:r>
              <w:rPr>
                <w:rFonts w:hint="eastAsia" w:ascii="仿宋" w:hAnsi="仿宋" w:cs="仿宋"/>
              </w:rPr>
              <w:t>(1)支持授课方式更改为自定义设置方式，权重可设置为对应直播权重。</w:t>
            </w:r>
          </w:p>
          <w:p w14:paraId="06341515">
            <w:pPr>
              <w:rPr>
                <w:rFonts w:ascii="仿宋" w:hAnsi="仿宋" w:cs="仿宋"/>
              </w:rPr>
            </w:pPr>
            <w:r>
              <w:rPr>
                <w:rFonts w:hint="eastAsia" w:ascii="仿宋" w:hAnsi="仿宋" w:cs="仿宋"/>
              </w:rPr>
              <w:t>(2)直播排课：支持对班级课程按照时间节次进行排课，支持排课结果发布后自动在课程章节中生成直播。</w:t>
            </w:r>
          </w:p>
          <w:p w14:paraId="62B26870">
            <w:pPr>
              <w:rPr>
                <w:rFonts w:ascii="仿宋" w:hAnsi="仿宋" w:cs="仿宋"/>
              </w:rPr>
            </w:pPr>
            <w:r>
              <w:rPr>
                <w:rFonts w:hint="eastAsia" w:ascii="仿宋" w:hAnsi="仿宋" w:cs="仿宋"/>
              </w:rPr>
              <w:t>(3)支持管理员查看直播巡课统计：包括课程、授课教师、上课日期、授课时长、上课时间、直播状态、直播总人数、已参加人数、观看直播人数、未参加人数、学生在线情况，实现对教学质量的管理把控。</w:t>
            </w:r>
          </w:p>
          <w:p w14:paraId="35B0DC2B">
            <w:pPr>
              <w:rPr>
                <w:rFonts w:ascii="仿宋" w:hAnsi="仿宋" w:cs="仿宋"/>
              </w:rPr>
            </w:pPr>
            <w:r>
              <w:rPr>
                <w:rFonts w:hint="eastAsia" w:ascii="仿宋" w:hAnsi="仿宋" w:cs="仿宋"/>
              </w:rPr>
              <w:t>(4)支持直播在线巡课，可查看当前在直播的课程。</w:t>
            </w:r>
          </w:p>
          <w:p w14:paraId="303856E3">
            <w:pPr>
              <w:rPr>
                <w:rFonts w:ascii="仿宋" w:hAnsi="仿宋" w:cs="仿宋"/>
              </w:rPr>
            </w:pPr>
            <w:r>
              <w:rPr>
                <w:rFonts w:hint="eastAsia" w:ascii="仿宋" w:hAnsi="仿宋" w:cs="仿宋"/>
              </w:rPr>
              <w:t>(5)直播敏感内容监控，包含文字内容监控功能。</w:t>
            </w:r>
          </w:p>
          <w:p w14:paraId="56FD3B22">
            <w:pPr>
              <w:rPr>
                <w:rFonts w:ascii="仿宋" w:hAnsi="仿宋" w:cs="仿宋"/>
              </w:rPr>
            </w:pPr>
            <w:r>
              <w:rPr>
                <w:rFonts w:hint="eastAsia" w:ascii="仿宋" w:hAnsi="仿宋" w:cs="仿宋"/>
              </w:rPr>
              <w:t>(6)支持后台直播统计功能，可查看直播统计数据。</w:t>
            </w:r>
          </w:p>
          <w:p w14:paraId="4AAFDD86">
            <w:pPr>
              <w:rPr>
                <w:rFonts w:ascii="仿宋" w:hAnsi="仿宋" w:cs="仿宋"/>
              </w:rPr>
            </w:pPr>
            <w:r>
              <w:rPr>
                <w:rFonts w:hint="eastAsia" w:ascii="仿宋" w:hAnsi="仿宋" w:cs="仿宋"/>
              </w:rPr>
              <w:t>(7)支持管理员按照学期查看教师直播统计：包括直播总数、已完成直播、未完成直播。</w:t>
            </w:r>
          </w:p>
          <w:p w14:paraId="4E3E4689">
            <w:pPr>
              <w:rPr>
                <w:rFonts w:ascii="仿宋" w:hAnsi="仿宋" w:cs="仿宋"/>
              </w:rPr>
            </w:pPr>
            <w:r>
              <w:rPr>
                <w:rFonts w:hint="eastAsia" w:ascii="仿宋" w:hAnsi="仿宋" w:cs="仿宋"/>
              </w:rPr>
              <w:t>(8)支持教师在课程管理设置中根据需要自由开启课程章节视频翻译功能。功能开启后，支持对章节视频进行语音识别，生成字幕并进行翻译，学生在课程章节中观看视频时可自由开启带翻译的字幕。语音识别内容翻译支持中转英、英转中等。</w:t>
            </w:r>
          </w:p>
          <w:p w14:paraId="781BD5DB">
            <w:pPr>
              <w:rPr>
                <w:rFonts w:ascii="仿宋" w:hAnsi="仿宋" w:cs="仿宋"/>
              </w:rPr>
            </w:pPr>
            <w:r>
              <w:rPr>
                <w:rFonts w:hint="eastAsia" w:ascii="仿宋" w:hAnsi="仿宋" w:cs="仿宋"/>
              </w:rPr>
              <w:t>(9)教师可以在网络课程章节中插入直播课堂，教师可以通过点击章节直播课堂卡片页，唤起直播课堂客户端，快速进入直播课堂进行教学。教师也可通过移动app在网络课程章节直播课堂卡片页中快速进入直播课堂进行教学。</w:t>
            </w:r>
          </w:p>
        </w:tc>
      </w:tr>
      <w:tr w14:paraId="580BEB7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49" w:hRule="atLeast"/>
        </w:trPr>
        <w:tc>
          <w:tcPr>
            <w:tcW w:w="532" w:type="pct"/>
            <w:vMerge w:val="continue"/>
            <w:tcBorders>
              <w:left w:val="single" w:color="000000" w:sz="4" w:space="0"/>
              <w:right w:val="single" w:color="000000" w:sz="4" w:space="0"/>
            </w:tcBorders>
            <w:shd w:val="clear" w:color="auto" w:fill="auto"/>
            <w:noWrap/>
            <w:vAlign w:val="center"/>
          </w:tcPr>
          <w:p w14:paraId="4CD2B241">
            <w:pPr>
              <w:jc w:val="center"/>
              <w:rPr>
                <w:rFonts w:ascii="仿宋" w:hAnsi="仿宋" w:cs="仿宋"/>
              </w:rPr>
            </w:pPr>
          </w:p>
        </w:tc>
        <w:tc>
          <w:tcPr>
            <w:tcW w:w="506" w:type="pct"/>
            <w:tcBorders>
              <w:top w:val="single" w:color="auto" w:sz="4" w:space="0"/>
              <w:left w:val="single" w:color="000000" w:sz="4" w:space="0"/>
              <w:right w:val="single" w:color="000000" w:sz="4" w:space="0"/>
            </w:tcBorders>
            <w:shd w:val="clear" w:color="auto" w:fill="auto"/>
            <w:noWrap/>
            <w:vAlign w:val="center"/>
          </w:tcPr>
          <w:p w14:paraId="1B3222EF">
            <w:pPr>
              <w:jc w:val="center"/>
              <w:rPr>
                <w:rFonts w:ascii="仿宋" w:hAnsi="仿宋" w:cs="仿宋"/>
              </w:rPr>
            </w:pPr>
            <w:r>
              <w:rPr>
                <w:rFonts w:hint="eastAsia" w:ascii="仿宋" w:hAnsi="仿宋" w:cs="仿宋"/>
              </w:rPr>
              <w:t>2.6</w:t>
            </w:r>
          </w:p>
          <w:p w14:paraId="5687E12B">
            <w:pPr>
              <w:jc w:val="center"/>
              <w:rPr>
                <w:rFonts w:ascii="仿宋" w:hAnsi="仿宋" w:cs="仿宋"/>
              </w:rPr>
            </w:pPr>
            <w:r>
              <w:rPr>
                <w:rFonts w:hint="eastAsia" w:ascii="仿宋" w:hAnsi="仿宋" w:cs="仿宋"/>
              </w:rPr>
              <w:t>校本课程思政模块管理</w:t>
            </w:r>
          </w:p>
        </w:tc>
        <w:tc>
          <w:tcPr>
            <w:tcW w:w="3961" w:type="pct"/>
            <w:tcBorders>
              <w:top w:val="single" w:color="auto" w:sz="4" w:space="0"/>
              <w:left w:val="single" w:color="000000" w:sz="4" w:space="0"/>
            </w:tcBorders>
            <w:shd w:val="clear" w:color="auto" w:fill="auto"/>
            <w:noWrap/>
            <w:vAlign w:val="center"/>
          </w:tcPr>
          <w:p w14:paraId="227FCE27">
            <w:pPr>
              <w:rPr>
                <w:rFonts w:ascii="仿宋" w:hAnsi="仿宋" w:cs="仿宋"/>
              </w:rPr>
            </w:pPr>
            <w:r>
              <w:rPr>
                <w:rFonts w:hint="eastAsia" w:ascii="仿宋" w:hAnsi="仿宋" w:cs="仿宋"/>
              </w:rPr>
              <w:t>根据学校专业群-专业-课程体系及元素属性，辅助学校搭建校本课程思政资源体系。课程思政模块库建设：支持学校自行修改、校内教师共建共享、校企共建课程思政模块库的原则。平台提供的课程思政模块库也可以按照育人元素分为9大类，分别为：核心价值观、模范人物、创新成果、先进文化、历史征程、科学精神、工匠精神、劳模精神、职业精神。平台课程思政模块库包含大量的优质思政案例视频、图片、文本等素材。课程思政育人元素以高标准完成制作，坚持以教学为中心的原则，由专家设定文本，专业的编辑团队收集素材或实地拍摄，制作完成。模块库保持一定的更新频率，确保案例与时俱进，常用常新。</w:t>
            </w:r>
          </w:p>
          <w:p w14:paraId="75E26693">
            <w:pPr>
              <w:rPr>
                <w:rFonts w:ascii="仿宋" w:hAnsi="仿宋" w:cs="仿宋"/>
              </w:rPr>
            </w:pPr>
            <w:r>
              <w:rPr>
                <w:rFonts w:hint="eastAsia" w:ascii="仿宋" w:hAnsi="仿宋" w:cs="仿宋"/>
              </w:rPr>
              <w:t>(1)为学校打造专属的校本课程思政模块库，提供模块库平台支持和资源定制。在个人空间提供资源上传应用，学校管理员可根据学校实际业务需求设置审批流程，支持设置多级审批，支持不同用户等级不同权限操作资源上传下载、在线编辑查看。支持资源本地化，防止资源泄露。支持图文、视频等多种类型资源上传。资源经审核通过后即可实时回传至思政模块库，方便学校后期课程使用。</w:t>
            </w:r>
          </w:p>
          <w:p w14:paraId="7CE5FC05">
            <w:pPr>
              <w:rPr>
                <w:rFonts w:ascii="仿宋" w:hAnsi="仿宋" w:cs="仿宋"/>
              </w:rPr>
            </w:pPr>
            <w:r>
              <w:rPr>
                <w:rFonts w:hint="eastAsia" w:ascii="仿宋" w:hAnsi="仿宋" w:cs="仿宋"/>
              </w:rPr>
              <w:t>(2)平台积极推进与学校和地方的合作，帮助、配合学校建设本地的、本校的特色资源，包括教学资料、案例视频等育人元素。这些资源实现科学管理后不仅方便传播、使用，同时还可实现永久保存，成为学校的资产，并可通过平台构建与国内外其他高校的资源共建共享体系，在教学、研究和学校风采展示方面提供有力的支持。</w:t>
            </w:r>
          </w:p>
          <w:p w14:paraId="6AF757D5">
            <w:pPr>
              <w:rPr>
                <w:rFonts w:ascii="仿宋" w:hAnsi="仿宋" w:cs="仿宋"/>
              </w:rPr>
            </w:pPr>
            <w:r>
              <w:rPr>
                <w:rFonts w:hint="eastAsia" w:ascii="仿宋" w:hAnsi="仿宋" w:cs="仿宋"/>
              </w:rPr>
              <w:t>(3) 课程思政模块库育人元素可通过多种形式添加到“继续教育数字化综合管理平台”专业课程建设过程中。</w:t>
            </w:r>
          </w:p>
          <w:p w14:paraId="35420D9F">
            <w:pPr>
              <w:rPr>
                <w:rFonts w:ascii="仿宋" w:hAnsi="仿宋" w:cs="仿宋"/>
              </w:rPr>
            </w:pPr>
            <w:r>
              <w:rPr>
                <w:rFonts w:hint="eastAsia" w:ascii="仿宋" w:hAnsi="仿宋" w:cs="仿宋"/>
              </w:rPr>
              <w:t>a.通过模块库将育人元素添加到课程章节中、也直接教师下载资源，然后添加到课程章节中。</w:t>
            </w:r>
          </w:p>
          <w:p w14:paraId="03A45030">
            <w:pPr>
              <w:rPr>
                <w:rFonts w:ascii="仿宋" w:hAnsi="仿宋" w:cs="仿宋"/>
              </w:rPr>
            </w:pPr>
            <w:r>
              <w:rPr>
                <w:rFonts w:hint="eastAsia" w:ascii="仿宋" w:hAnsi="仿宋" w:cs="仿宋"/>
              </w:rPr>
              <w:t>b.在专业课建设中，在课程章节编辑页面，通过插入功能，直接将育人元素添加到章节中</w:t>
            </w:r>
          </w:p>
          <w:p w14:paraId="45A43F19">
            <w:pPr>
              <w:rPr>
                <w:rFonts w:ascii="仿宋" w:hAnsi="仿宋" w:cs="仿宋"/>
              </w:rPr>
            </w:pPr>
            <w:r>
              <w:rPr>
                <w:rFonts w:hint="eastAsia" w:ascii="仿宋" w:hAnsi="仿宋" w:cs="仿宋"/>
              </w:rPr>
              <w:t>c.可根据育人元素添加任务点、防拖拽、放窗口切换等管理功能。</w:t>
            </w:r>
          </w:p>
          <w:p w14:paraId="3300781A">
            <w:pPr>
              <w:rPr>
                <w:rFonts w:ascii="仿宋" w:hAnsi="仿宋" w:cs="仿宋"/>
              </w:rPr>
            </w:pPr>
            <w:r>
              <w:rPr>
                <w:rFonts w:hint="eastAsia" w:ascii="仿宋" w:hAnsi="仿宋" w:cs="仿宋"/>
              </w:rPr>
              <w:t>d.在课程中，可以添加投票、问卷、选人、主题讨论等育人活动，有效调动师生学习积极性。</w:t>
            </w:r>
          </w:p>
          <w:p w14:paraId="1C7EB34B">
            <w:pPr>
              <w:rPr>
                <w:rFonts w:ascii="仿宋" w:hAnsi="仿宋" w:cs="仿宋"/>
              </w:rPr>
            </w:pPr>
            <w:r>
              <w:rPr>
                <w:rFonts w:hint="eastAsia" w:ascii="仿宋" w:hAnsi="仿宋" w:cs="仿宋"/>
              </w:rPr>
              <w:t>e.育人元素活动数据展示：展示思政元素任务点完成情况、视频观看时长、活动参与情况等数据。</w:t>
            </w:r>
          </w:p>
        </w:tc>
      </w:tr>
      <w:tr w14:paraId="6C6630C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400" w:hRule="atLeast"/>
        </w:trPr>
        <w:tc>
          <w:tcPr>
            <w:tcW w:w="532" w:type="pct"/>
            <w:vMerge w:val="continue"/>
            <w:tcBorders>
              <w:left w:val="single" w:color="000000" w:sz="4" w:space="0"/>
              <w:right w:val="single" w:color="000000" w:sz="4" w:space="0"/>
            </w:tcBorders>
            <w:shd w:val="clear" w:color="auto" w:fill="auto"/>
            <w:noWrap/>
            <w:vAlign w:val="center"/>
          </w:tcPr>
          <w:p w14:paraId="42F4A86A">
            <w:pPr>
              <w:jc w:val="center"/>
              <w:rPr>
                <w:rFonts w:ascii="仿宋" w:hAnsi="仿宋" w:cs="仿宋"/>
              </w:rPr>
            </w:pPr>
          </w:p>
        </w:tc>
        <w:tc>
          <w:tcPr>
            <w:tcW w:w="506"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4060783E">
            <w:pPr>
              <w:jc w:val="center"/>
              <w:rPr>
                <w:rFonts w:ascii="仿宋" w:hAnsi="仿宋" w:cs="仿宋"/>
              </w:rPr>
            </w:pPr>
            <w:r>
              <w:rPr>
                <w:rFonts w:hint="eastAsia" w:ascii="仿宋" w:hAnsi="仿宋" w:cs="仿宋"/>
              </w:rPr>
              <w:t>2.7</w:t>
            </w:r>
          </w:p>
          <w:p w14:paraId="5AD60B44">
            <w:pPr>
              <w:jc w:val="center"/>
              <w:rPr>
                <w:rFonts w:ascii="仿宋" w:hAnsi="仿宋" w:cs="仿宋"/>
              </w:rPr>
            </w:pPr>
            <w:r>
              <w:rPr>
                <w:rFonts w:hint="eastAsia" w:ascii="仿宋" w:hAnsi="仿宋" w:cs="仿宋"/>
              </w:rPr>
              <w:t>多类型线上教学形式</w:t>
            </w:r>
          </w:p>
        </w:tc>
        <w:tc>
          <w:tcPr>
            <w:tcW w:w="3961" w:type="pct"/>
            <w:tcBorders>
              <w:top w:val="single" w:color="auto" w:sz="4" w:space="0"/>
              <w:left w:val="single" w:color="000000" w:sz="4" w:space="0"/>
              <w:bottom w:val="single" w:color="auto" w:sz="4" w:space="0"/>
            </w:tcBorders>
            <w:shd w:val="clear" w:color="auto" w:fill="auto"/>
            <w:noWrap/>
            <w:vAlign w:val="center"/>
          </w:tcPr>
          <w:p w14:paraId="0EB4FBA1">
            <w:pPr>
              <w:rPr>
                <w:rFonts w:ascii="仿宋" w:hAnsi="仿宋" w:cs="仿宋"/>
              </w:rPr>
            </w:pPr>
            <w:r>
              <w:rPr>
                <w:rFonts w:hint="eastAsia" w:ascii="仿宋" w:hAnsi="仿宋" w:cs="仿宋"/>
              </w:rPr>
              <w:t>兼容现在的直播教学形式，支持网络课程、在线开放课程、微课等不同的线上授课形式。建立课程介绍、教师介绍等课程信息；能上传课程视频、教学课件、课程大纲等各类课程资源；主讲教师和助教在平台上开展教学支持服务，形成服务记录；建立课程习题库，开展平时作业布置和学习测验。在网络课程、在线开放课程、微课中能开展直播教学，实现同一课程的多种线上授课形式。精准采集教师教学和学生学习的有关状态数据信息，为教师(主讲教师、助教)工作量计算、学生成绩生成、教学督导等提供数据支持。</w:t>
            </w:r>
          </w:p>
        </w:tc>
      </w:tr>
      <w:tr w14:paraId="480B171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532" w:type="pct"/>
            <w:vMerge w:val="continue"/>
            <w:tcBorders>
              <w:left w:val="single" w:color="000000" w:sz="4" w:space="0"/>
              <w:right w:val="single" w:color="000000" w:sz="4" w:space="0"/>
            </w:tcBorders>
            <w:shd w:val="clear" w:color="auto" w:fill="auto"/>
            <w:noWrap/>
            <w:vAlign w:val="center"/>
          </w:tcPr>
          <w:p w14:paraId="35F3B197">
            <w:pPr>
              <w:jc w:val="center"/>
              <w:rPr>
                <w:rFonts w:ascii="仿宋" w:hAnsi="仿宋" w:cs="仿宋"/>
              </w:rPr>
            </w:pPr>
          </w:p>
        </w:tc>
        <w:tc>
          <w:tcPr>
            <w:tcW w:w="506" w:type="pct"/>
            <w:tcBorders>
              <w:top w:val="single" w:color="auto" w:sz="4" w:space="0"/>
              <w:left w:val="single" w:color="000000" w:sz="4" w:space="0"/>
              <w:right w:val="single" w:color="000000" w:sz="4" w:space="0"/>
            </w:tcBorders>
            <w:shd w:val="clear" w:color="auto" w:fill="auto"/>
            <w:noWrap/>
            <w:vAlign w:val="center"/>
          </w:tcPr>
          <w:p w14:paraId="2208D5AE">
            <w:pPr>
              <w:jc w:val="center"/>
              <w:rPr>
                <w:rFonts w:ascii="仿宋" w:hAnsi="仿宋" w:cs="仿宋"/>
              </w:rPr>
            </w:pPr>
            <w:r>
              <w:rPr>
                <w:rFonts w:hint="eastAsia" w:ascii="仿宋" w:hAnsi="仿宋" w:cs="仿宋"/>
              </w:rPr>
              <w:t>2.8</w:t>
            </w:r>
          </w:p>
          <w:p w14:paraId="7F4476AB">
            <w:pPr>
              <w:jc w:val="center"/>
              <w:rPr>
                <w:rFonts w:ascii="仿宋" w:hAnsi="仿宋" w:cs="仿宋"/>
              </w:rPr>
            </w:pPr>
            <w:r>
              <w:rPr>
                <w:rFonts w:hint="eastAsia" w:ascii="仿宋" w:hAnsi="仿宋" w:cs="仿宋"/>
              </w:rPr>
              <w:t>多元化课程考核评价体系</w:t>
            </w:r>
          </w:p>
        </w:tc>
        <w:tc>
          <w:tcPr>
            <w:tcW w:w="3961" w:type="pct"/>
            <w:tcBorders>
              <w:top w:val="single" w:color="auto" w:sz="4" w:space="0"/>
              <w:left w:val="single" w:color="000000" w:sz="4" w:space="0"/>
            </w:tcBorders>
            <w:shd w:val="clear" w:color="auto" w:fill="auto"/>
            <w:noWrap/>
            <w:vAlign w:val="center"/>
          </w:tcPr>
          <w:p w14:paraId="36929708">
            <w:pPr>
              <w:rPr>
                <w:rFonts w:ascii="仿宋" w:hAnsi="仿宋" w:cs="仿宋"/>
              </w:rPr>
            </w:pPr>
            <w:r>
              <w:rPr>
                <w:rFonts w:hint="eastAsia" w:ascii="仿宋" w:hAnsi="仿宋" w:cs="仿宋"/>
              </w:rPr>
              <w:t>按课程要求和特点，能科学设定各课程过程性与总结性考核比例，把“线上学习、作业、线下面授考勤、平时测验”等环节纳入课程平时成绩，精准采集线上学习、作业、线下面授考勤、平时测验学习过程状态数据。</w:t>
            </w:r>
          </w:p>
          <w:p w14:paraId="69059CD0">
            <w:pPr>
              <w:rPr>
                <w:rFonts w:ascii="仿宋" w:hAnsi="仿宋" w:cs="仿宋"/>
              </w:rPr>
            </w:pPr>
          </w:p>
        </w:tc>
      </w:tr>
      <w:tr w14:paraId="545354F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rPr>
        <w:tc>
          <w:tcPr>
            <w:tcW w:w="532" w:type="pct"/>
            <w:vMerge w:val="restart"/>
            <w:tcBorders>
              <w:top w:val="single" w:color="auto" w:sz="4" w:space="0"/>
              <w:left w:val="single" w:color="000000" w:sz="4" w:space="0"/>
              <w:right w:val="single" w:color="000000" w:sz="4" w:space="0"/>
            </w:tcBorders>
            <w:shd w:val="clear" w:color="auto" w:fill="auto"/>
            <w:noWrap/>
            <w:vAlign w:val="center"/>
          </w:tcPr>
          <w:p w14:paraId="3763980A">
            <w:pPr>
              <w:jc w:val="center"/>
              <w:rPr>
                <w:rFonts w:ascii="仿宋" w:hAnsi="仿宋" w:cs="仿宋"/>
              </w:rPr>
            </w:pPr>
            <w:r>
              <w:rPr>
                <w:rFonts w:hint="eastAsia" w:ascii="仿宋" w:hAnsi="仿宋" w:cs="仿宋"/>
              </w:rPr>
              <w:t>3、</w:t>
            </w:r>
          </w:p>
          <w:p w14:paraId="58ACE40A">
            <w:pPr>
              <w:jc w:val="center"/>
              <w:rPr>
                <w:rFonts w:ascii="仿宋" w:hAnsi="仿宋" w:cs="仿宋"/>
              </w:rPr>
            </w:pPr>
            <w:r>
              <w:rPr>
                <w:rFonts w:hint="eastAsia" w:ascii="仿宋" w:hAnsi="仿宋" w:cs="仿宋"/>
              </w:rPr>
              <w:t>在线课堂</w:t>
            </w:r>
          </w:p>
        </w:tc>
        <w:tc>
          <w:tcPr>
            <w:tcW w:w="506"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1D235A5D">
            <w:pPr>
              <w:jc w:val="center"/>
              <w:rPr>
                <w:rFonts w:ascii="仿宋" w:hAnsi="仿宋" w:cs="仿宋"/>
              </w:rPr>
            </w:pPr>
            <w:r>
              <w:rPr>
                <w:rFonts w:hint="eastAsia" w:ascii="仿宋" w:hAnsi="仿宋" w:cs="仿宋"/>
              </w:rPr>
              <w:t>3.1</w:t>
            </w:r>
          </w:p>
          <w:p w14:paraId="37225036">
            <w:pPr>
              <w:jc w:val="center"/>
              <w:rPr>
                <w:rFonts w:ascii="仿宋" w:hAnsi="仿宋" w:cs="仿宋"/>
              </w:rPr>
            </w:pPr>
            <w:r>
              <w:rPr>
                <w:rFonts w:hint="eastAsia" w:ascii="仿宋" w:hAnsi="仿宋" w:cs="仿宋"/>
              </w:rPr>
              <w:t>基本要求</w:t>
            </w:r>
          </w:p>
        </w:tc>
        <w:tc>
          <w:tcPr>
            <w:tcW w:w="3961" w:type="pct"/>
            <w:tcBorders>
              <w:top w:val="single" w:color="auto" w:sz="4" w:space="0"/>
              <w:left w:val="single" w:color="000000" w:sz="4" w:space="0"/>
              <w:bottom w:val="single" w:color="auto" w:sz="4" w:space="0"/>
            </w:tcBorders>
            <w:shd w:val="clear" w:color="auto" w:fill="auto"/>
            <w:noWrap/>
            <w:vAlign w:val="center"/>
          </w:tcPr>
          <w:p w14:paraId="50C7E196">
            <w:pPr>
              <w:rPr>
                <w:rFonts w:ascii="仿宋" w:hAnsi="仿宋" w:cs="仿宋"/>
              </w:rPr>
            </w:pPr>
            <w:r>
              <w:rPr>
                <w:rFonts w:hint="eastAsia" w:ascii="仿宋" w:hAnsi="仿宋" w:cs="仿宋"/>
              </w:rPr>
              <w:t>(1)超大容量：最高支持十万人的大班授课。</w:t>
            </w:r>
          </w:p>
          <w:p w14:paraId="313D0FF4">
            <w:pPr>
              <w:rPr>
                <w:rFonts w:ascii="仿宋" w:hAnsi="仿宋" w:cs="仿宋"/>
              </w:rPr>
            </w:pPr>
            <w:r>
              <w:rPr>
                <w:rFonts w:hint="eastAsia" w:ascii="仿宋" w:hAnsi="仿宋" w:cs="仿宋"/>
              </w:rPr>
              <w:t>(2)高清画质：1080P高清视频。</w:t>
            </w:r>
          </w:p>
          <w:p w14:paraId="421B6E62">
            <w:pPr>
              <w:rPr>
                <w:rFonts w:ascii="仿宋" w:hAnsi="仿宋" w:cs="仿宋"/>
              </w:rPr>
            </w:pPr>
            <w:r>
              <w:rPr>
                <w:rFonts w:hint="eastAsia" w:ascii="仿宋" w:hAnsi="仿宋" w:cs="仿宋"/>
              </w:rPr>
              <w:t>(3)流程体验：音视频智能降噪。</w:t>
            </w:r>
          </w:p>
          <w:p w14:paraId="5FA031F5">
            <w:pPr>
              <w:rPr>
                <w:rFonts w:ascii="仿宋" w:hAnsi="仿宋" w:cs="仿宋"/>
              </w:rPr>
            </w:pPr>
            <w:r>
              <w:rPr>
                <w:rFonts w:hint="eastAsia" w:ascii="仿宋" w:hAnsi="仿宋" w:cs="仿宋"/>
              </w:rPr>
              <w:t>(4)全球部署：全球CDN加速节点，让国外留学生无惧地域限制。</w:t>
            </w:r>
          </w:p>
          <w:p w14:paraId="12B08487">
            <w:pPr>
              <w:rPr>
                <w:rFonts w:ascii="仿宋" w:hAnsi="仿宋" w:cs="仿宋"/>
              </w:rPr>
            </w:pPr>
            <w:r>
              <w:rPr>
                <w:rFonts w:hint="eastAsia" w:ascii="仿宋" w:hAnsi="仿宋" w:cs="仿宋"/>
              </w:rPr>
              <w:t>(5)超低时延：音视频时延低。</w:t>
            </w:r>
          </w:p>
          <w:p w14:paraId="5469BE97">
            <w:pPr>
              <w:rPr>
                <w:rFonts w:ascii="仿宋" w:hAnsi="仿宋" w:cs="仿宋"/>
              </w:rPr>
            </w:pPr>
            <w:r>
              <w:rPr>
                <w:rFonts w:hint="eastAsia" w:ascii="仿宋" w:hAnsi="仿宋" w:cs="仿宋"/>
              </w:rPr>
              <w:t>(6)稳定运行：音视频抗丢包、抗抖动。</w:t>
            </w:r>
          </w:p>
          <w:p w14:paraId="10032BE8">
            <w:pPr>
              <w:rPr>
                <w:rFonts w:ascii="仿宋" w:hAnsi="仿宋" w:cs="仿宋"/>
              </w:rPr>
            </w:pPr>
            <w:r>
              <w:rPr>
                <w:rFonts w:hint="eastAsia" w:ascii="仿宋" w:hAnsi="仿宋" w:cs="仿宋"/>
              </w:rPr>
              <w:t>(7)平台对接：对接继续教育管理平台、教学平台的人、班、课信息，授课教师可以对多个班级学生进行直播，不影响平台班级结构，非本课程用户通过申请后才可以观看。</w:t>
            </w:r>
          </w:p>
          <w:p w14:paraId="360B44D9">
            <w:pPr>
              <w:rPr>
                <w:rFonts w:ascii="仿宋" w:hAnsi="仿宋" w:cs="仿宋"/>
              </w:rPr>
            </w:pPr>
            <w:r>
              <w:rPr>
                <w:rFonts w:hint="eastAsia" w:ascii="仿宋" w:hAnsi="仿宋" w:cs="仿宋"/>
              </w:rPr>
              <w:t>(8)课表对接：支持和课程无缝对接，实现教师和学生通过课表进入在线课堂。</w:t>
            </w:r>
          </w:p>
          <w:p w14:paraId="37CD9CD0">
            <w:pPr>
              <w:rPr>
                <w:rFonts w:ascii="仿宋" w:hAnsi="仿宋" w:cs="仿宋"/>
              </w:rPr>
            </w:pPr>
            <w:r>
              <w:rPr>
                <w:rFonts w:hint="eastAsia" w:ascii="仿宋" w:hAnsi="仿宋" w:cs="仿宋"/>
              </w:rPr>
              <w:t>(9)终端：支持现在市场主流移动端和桌面端的系统。</w:t>
            </w:r>
          </w:p>
        </w:tc>
      </w:tr>
      <w:tr w14:paraId="10AA6DD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rPr>
        <w:tc>
          <w:tcPr>
            <w:tcW w:w="532" w:type="pct"/>
            <w:vMerge w:val="continue"/>
            <w:tcBorders>
              <w:left w:val="single" w:color="000000" w:sz="4" w:space="0"/>
              <w:right w:val="single" w:color="000000" w:sz="4" w:space="0"/>
            </w:tcBorders>
            <w:shd w:val="clear" w:color="auto" w:fill="auto"/>
            <w:noWrap/>
            <w:vAlign w:val="center"/>
          </w:tcPr>
          <w:p w14:paraId="4DF7962F">
            <w:pPr>
              <w:jc w:val="center"/>
              <w:rPr>
                <w:rFonts w:ascii="仿宋" w:hAnsi="仿宋" w:cs="仿宋"/>
              </w:rPr>
            </w:pPr>
          </w:p>
        </w:tc>
        <w:tc>
          <w:tcPr>
            <w:tcW w:w="506"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15798DDC">
            <w:pPr>
              <w:jc w:val="center"/>
              <w:rPr>
                <w:rFonts w:ascii="仿宋" w:hAnsi="仿宋" w:cs="仿宋"/>
              </w:rPr>
            </w:pPr>
            <w:r>
              <w:rPr>
                <w:rFonts w:hint="eastAsia" w:ascii="仿宋" w:hAnsi="仿宋" w:cs="仿宋"/>
              </w:rPr>
              <w:t>3.2</w:t>
            </w:r>
          </w:p>
          <w:p w14:paraId="24CA8DA2">
            <w:pPr>
              <w:jc w:val="center"/>
              <w:rPr>
                <w:rFonts w:ascii="仿宋" w:hAnsi="仿宋" w:cs="仿宋"/>
              </w:rPr>
            </w:pPr>
            <w:r>
              <w:rPr>
                <w:rFonts w:hint="eastAsia" w:ascii="仿宋" w:hAnsi="仿宋" w:cs="仿宋"/>
              </w:rPr>
              <w:t>课堂活动</w:t>
            </w:r>
          </w:p>
        </w:tc>
        <w:tc>
          <w:tcPr>
            <w:tcW w:w="3961" w:type="pct"/>
            <w:tcBorders>
              <w:top w:val="single" w:color="auto" w:sz="4" w:space="0"/>
              <w:left w:val="single" w:color="000000" w:sz="4" w:space="0"/>
              <w:bottom w:val="single" w:color="auto" w:sz="4" w:space="0"/>
            </w:tcBorders>
            <w:shd w:val="clear" w:color="auto" w:fill="auto"/>
            <w:noWrap/>
            <w:vAlign w:val="center"/>
          </w:tcPr>
          <w:p w14:paraId="4B850A9A">
            <w:pPr>
              <w:rPr>
                <w:rFonts w:ascii="仿宋" w:hAnsi="仿宋" w:cs="仿宋"/>
              </w:rPr>
            </w:pPr>
            <w:r>
              <w:rPr>
                <w:rFonts w:hint="eastAsia" w:ascii="仿宋" w:hAnsi="仿宋" w:cs="仿宋"/>
              </w:rPr>
              <w:t>(1)签到：支持五种签到方式：普通签到、拍照签到、手势签到、位置签到、二维码签到，还可设置签到时间，教师可根据情况自行选择。</w:t>
            </w:r>
          </w:p>
          <w:p w14:paraId="77B5FBBE">
            <w:pPr>
              <w:rPr>
                <w:rFonts w:ascii="仿宋" w:hAnsi="仿宋" w:cs="仿宋"/>
              </w:rPr>
            </w:pPr>
            <w:r>
              <w:rPr>
                <w:rFonts w:hint="eastAsia" w:ascii="仿宋" w:hAnsi="仿宋" w:cs="仿宋"/>
              </w:rPr>
              <w:t>(2)投票：调动学生积极性，针对某个观点进行选择。</w:t>
            </w:r>
          </w:p>
          <w:p w14:paraId="03F59930">
            <w:pPr>
              <w:rPr>
                <w:rFonts w:ascii="仿宋" w:hAnsi="仿宋" w:cs="仿宋"/>
              </w:rPr>
            </w:pPr>
            <w:r>
              <w:rPr>
                <w:rFonts w:hint="eastAsia" w:ascii="仿宋" w:hAnsi="仿宋" w:cs="仿宋"/>
              </w:rPr>
              <w:t>(3)选人：可实现系统公平选人进行提问等活动，还可对选中的人加分或减分。</w:t>
            </w:r>
          </w:p>
          <w:p w14:paraId="57D9A55B">
            <w:pPr>
              <w:rPr>
                <w:rFonts w:ascii="仿宋" w:hAnsi="仿宋" w:cs="仿宋"/>
              </w:rPr>
            </w:pPr>
            <w:r>
              <w:rPr>
                <w:rFonts w:hint="eastAsia" w:ascii="仿宋" w:hAnsi="仿宋" w:cs="仿宋"/>
              </w:rPr>
              <w:t>(4)随堂练习：随堂练习一共有五种题型：单选题、多选题、填空题、判断题、简答题，可自定义编辑也可从题库导入，主要用来对学生的听课效果进行考核评估，提高课堂效率。</w:t>
            </w:r>
          </w:p>
          <w:p w14:paraId="28E6A306">
            <w:pPr>
              <w:rPr>
                <w:rFonts w:ascii="仿宋" w:hAnsi="仿宋" w:cs="仿宋"/>
              </w:rPr>
            </w:pPr>
            <w:r>
              <w:rPr>
                <w:rFonts w:hint="eastAsia" w:ascii="仿宋" w:hAnsi="仿宋" w:cs="仿宋"/>
              </w:rPr>
              <w:t>(5)主题讨论：课堂中针对某一个主题让学生进行分组讨论。讨论内容公布，并生成高频词组成词云，快速总结观点。</w:t>
            </w:r>
          </w:p>
          <w:p w14:paraId="6E943AE6">
            <w:pPr>
              <w:rPr>
                <w:rFonts w:ascii="仿宋" w:hAnsi="仿宋" w:cs="仿宋"/>
              </w:rPr>
            </w:pPr>
            <w:r>
              <w:rPr>
                <w:rFonts w:hint="eastAsia" w:ascii="仿宋" w:hAnsi="仿宋" w:cs="仿宋"/>
              </w:rPr>
              <w:t>(6)抢答：教师可设置抢答题目，并对抢答同学奖励积分。</w:t>
            </w:r>
          </w:p>
          <w:p w14:paraId="5205588E">
            <w:pPr>
              <w:rPr>
                <w:rFonts w:ascii="仿宋" w:hAnsi="仿宋" w:cs="仿宋"/>
              </w:rPr>
            </w:pPr>
            <w:r>
              <w:rPr>
                <w:rFonts w:hint="eastAsia" w:ascii="仿宋" w:hAnsi="仿宋" w:cs="仿宋"/>
              </w:rPr>
              <w:t>(7)问卷：问卷一共有三种题型：单选题、多选题、简答题，可自定义编辑也可从问卷库导入，快速了解学生的想法来调整教学方法。</w:t>
            </w:r>
          </w:p>
          <w:p w14:paraId="66AB2DC2">
            <w:pPr>
              <w:rPr>
                <w:rFonts w:ascii="仿宋" w:hAnsi="仿宋" w:cs="仿宋"/>
              </w:rPr>
            </w:pPr>
            <w:r>
              <w:rPr>
                <w:rFonts w:hint="eastAsia" w:ascii="仿宋" w:hAnsi="仿宋" w:cs="仿宋"/>
              </w:rPr>
              <w:t>(8)分组任务：可让学生成立小组，共同完成一个任务，包括固定分组、学生自选分组、组长建组、随机分组四种分组方式，还可设置不同的评价方式进行评分。</w:t>
            </w:r>
          </w:p>
          <w:p w14:paraId="4948291E">
            <w:pPr>
              <w:rPr>
                <w:rFonts w:ascii="仿宋" w:hAnsi="仿宋" w:cs="仿宋"/>
              </w:rPr>
            </w:pPr>
            <w:r>
              <w:rPr>
                <w:rFonts w:hint="eastAsia" w:ascii="仿宋" w:hAnsi="仿宋" w:cs="仿宋"/>
              </w:rPr>
              <w:t>(9)投票：投票一共有四种类型：赞同/反对、正确/错误、选A/选B、A/B/C/D，教师可根据情况自行选择。</w:t>
            </w:r>
          </w:p>
          <w:p w14:paraId="2C6E1F9D">
            <w:pPr>
              <w:rPr>
                <w:rFonts w:ascii="仿宋" w:hAnsi="仿宋" w:cs="仿宋"/>
              </w:rPr>
            </w:pPr>
            <w:r>
              <w:rPr>
                <w:rFonts w:hint="eastAsia" w:ascii="仿宋" w:hAnsi="仿宋" w:cs="仿宋"/>
              </w:rPr>
              <w:t>(10)评分：教师可让学生就某一评分内容进行打分。</w:t>
            </w:r>
          </w:p>
          <w:p w14:paraId="5DDC3D84">
            <w:pPr>
              <w:rPr>
                <w:rFonts w:ascii="仿宋" w:hAnsi="仿宋" w:cs="仿宋"/>
              </w:rPr>
            </w:pPr>
            <w:r>
              <w:rPr>
                <w:rFonts w:hint="eastAsia" w:ascii="仿宋" w:hAnsi="仿宋" w:cs="仿宋"/>
              </w:rPr>
              <w:t>(11)群聊：可就某一话题展开群聊。</w:t>
            </w:r>
          </w:p>
          <w:p w14:paraId="18639BA9">
            <w:pPr>
              <w:rPr>
                <w:rFonts w:ascii="仿宋" w:hAnsi="仿宋" w:cs="仿宋"/>
              </w:rPr>
            </w:pPr>
            <w:r>
              <w:rPr>
                <w:rFonts w:hint="eastAsia" w:ascii="仿宋" w:hAnsi="仿宋" w:cs="仿宋"/>
              </w:rPr>
              <w:t>(12)白板：教师可在白板上手动书写笔记。</w:t>
            </w:r>
          </w:p>
          <w:p w14:paraId="515E260C">
            <w:pPr>
              <w:rPr>
                <w:rFonts w:ascii="仿宋" w:hAnsi="仿宋" w:cs="仿宋"/>
              </w:rPr>
            </w:pPr>
            <w:r>
              <w:rPr>
                <w:rFonts w:hint="eastAsia" w:ascii="仿宋" w:hAnsi="仿宋" w:cs="仿宋"/>
              </w:rPr>
              <w:t>(13)计时器：可进行计时和倒计时。</w:t>
            </w:r>
          </w:p>
          <w:p w14:paraId="34F0A708">
            <w:pPr>
              <w:rPr>
                <w:rFonts w:ascii="仿宋" w:hAnsi="仿宋" w:cs="仿宋"/>
              </w:rPr>
            </w:pPr>
            <w:r>
              <w:rPr>
                <w:rFonts w:hint="eastAsia" w:ascii="仿宋" w:hAnsi="仿宋" w:cs="仿宋"/>
              </w:rPr>
              <w:t>(14)分组讨论：教师可就某个话题发起小组讨论，分组有随机分组和成员自选分组两种方式，学生进入到某个小组后，可在小组内部讨论问题，并最后以小组名义进行总结发言。</w:t>
            </w:r>
          </w:p>
          <w:p w14:paraId="44B70994">
            <w:pPr>
              <w:rPr>
                <w:rFonts w:ascii="仿宋" w:hAnsi="仿宋" w:cs="仿宋"/>
              </w:rPr>
            </w:pPr>
            <w:r>
              <w:rPr>
                <w:rFonts w:hint="eastAsia" w:ascii="仿宋" w:hAnsi="仿宋" w:cs="仿宋"/>
              </w:rPr>
              <w:t>(15)活动库：所有的互动活动都会留存下来，查看互动记录，并支持再次发放。</w:t>
            </w:r>
          </w:p>
        </w:tc>
      </w:tr>
      <w:tr w14:paraId="06F9A00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rPr>
        <w:tc>
          <w:tcPr>
            <w:tcW w:w="532" w:type="pct"/>
            <w:vMerge w:val="continue"/>
            <w:tcBorders>
              <w:left w:val="single" w:color="000000" w:sz="4" w:space="0"/>
              <w:right w:val="single" w:color="000000" w:sz="4" w:space="0"/>
            </w:tcBorders>
            <w:shd w:val="clear" w:color="auto" w:fill="auto"/>
            <w:noWrap/>
            <w:vAlign w:val="center"/>
          </w:tcPr>
          <w:p w14:paraId="3C0AE7CC">
            <w:pPr>
              <w:jc w:val="center"/>
              <w:rPr>
                <w:rFonts w:ascii="仿宋" w:hAnsi="仿宋" w:cs="仿宋"/>
              </w:rPr>
            </w:pPr>
          </w:p>
        </w:tc>
        <w:tc>
          <w:tcPr>
            <w:tcW w:w="506"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1D4BEBDD">
            <w:pPr>
              <w:jc w:val="center"/>
              <w:rPr>
                <w:rFonts w:ascii="仿宋" w:hAnsi="仿宋" w:cs="仿宋"/>
              </w:rPr>
            </w:pPr>
            <w:r>
              <w:rPr>
                <w:rFonts w:hint="eastAsia" w:ascii="仿宋" w:hAnsi="仿宋" w:cs="仿宋"/>
              </w:rPr>
              <w:t>3.3</w:t>
            </w:r>
          </w:p>
          <w:p w14:paraId="65DB393E">
            <w:pPr>
              <w:jc w:val="center"/>
              <w:rPr>
                <w:rFonts w:ascii="仿宋" w:hAnsi="仿宋" w:cs="仿宋"/>
              </w:rPr>
            </w:pPr>
            <w:r>
              <w:rPr>
                <w:rFonts w:hint="eastAsia" w:ascii="仿宋" w:hAnsi="仿宋" w:cs="仿宋"/>
              </w:rPr>
              <w:t>课堂控制</w:t>
            </w:r>
          </w:p>
        </w:tc>
        <w:tc>
          <w:tcPr>
            <w:tcW w:w="3961" w:type="pct"/>
            <w:tcBorders>
              <w:top w:val="single" w:color="auto" w:sz="4" w:space="0"/>
              <w:left w:val="single" w:color="000000" w:sz="4" w:space="0"/>
              <w:bottom w:val="single" w:color="auto" w:sz="4" w:space="0"/>
            </w:tcBorders>
            <w:shd w:val="clear" w:color="auto" w:fill="auto"/>
            <w:noWrap/>
            <w:vAlign w:val="center"/>
          </w:tcPr>
          <w:p w14:paraId="24342D3E">
            <w:pPr>
              <w:rPr>
                <w:rFonts w:ascii="仿宋" w:hAnsi="仿宋" w:cs="仿宋"/>
              </w:rPr>
            </w:pPr>
            <w:r>
              <w:rPr>
                <w:rFonts w:hint="eastAsia" w:ascii="仿宋" w:hAnsi="仿宋" w:cs="仿宋"/>
              </w:rPr>
              <w:t>(1)共享屏幕：桌面和移动端均可共享，可共享声音、桌面画面等，可共享整个桌面画面，也可仅选择一个页面进行共享，例如浏览器页面、PPT等。若选择共享整个桌面的画面，还可使用画中画模式，实现既共享桌面又分享老师端摄像头视频的效果。</w:t>
            </w:r>
          </w:p>
          <w:p w14:paraId="0A8DDDA9">
            <w:pPr>
              <w:rPr>
                <w:rFonts w:ascii="仿宋" w:hAnsi="仿宋" w:cs="仿宋"/>
              </w:rPr>
            </w:pPr>
            <w:r>
              <w:rPr>
                <w:rFonts w:hint="eastAsia" w:ascii="仿宋" w:hAnsi="仿宋" w:cs="仿宋"/>
              </w:rPr>
              <w:t>(2)学习资料：支持上传学习资料，文档、表格、幻灯片、PDF等多种格式文档。</w:t>
            </w:r>
          </w:p>
          <w:p w14:paraId="21197A25">
            <w:pPr>
              <w:rPr>
                <w:rFonts w:ascii="仿宋" w:hAnsi="仿宋" w:cs="仿宋"/>
              </w:rPr>
            </w:pPr>
            <w:r>
              <w:rPr>
                <w:rFonts w:hint="eastAsia" w:ascii="仿宋" w:hAnsi="仿宋" w:cs="仿宋"/>
              </w:rPr>
              <w:t>(3)课堂聊天：支持开麦聊天外，还有聊天窗口，支持文字和表情发放。让展示更生动，让学生的反馈更及时。共享屏幕时，老师可在桌面左下角弹幕区实时看到学生发的互动消息，也可在此快速给学生回复互动消息，共享屏幕的同时不影响收发消息。</w:t>
            </w:r>
          </w:p>
          <w:p w14:paraId="5539654B">
            <w:pPr>
              <w:rPr>
                <w:rFonts w:ascii="仿宋" w:hAnsi="仿宋" w:cs="仿宋"/>
              </w:rPr>
            </w:pPr>
            <w:r>
              <w:rPr>
                <w:rFonts w:hint="eastAsia" w:ascii="仿宋" w:hAnsi="仿宋" w:cs="仿宋"/>
              </w:rPr>
              <w:t>(4)演讲者视图：支持切换右侧成员列表和顶部成员列表。更聚焦屏幕分享的内容。</w:t>
            </w:r>
          </w:p>
          <w:p w14:paraId="285FAAB2">
            <w:pPr>
              <w:rPr>
                <w:rFonts w:ascii="仿宋" w:hAnsi="仿宋" w:cs="仿宋"/>
              </w:rPr>
            </w:pPr>
            <w:r>
              <w:rPr>
                <w:rFonts w:hint="eastAsia" w:ascii="仿宋" w:hAnsi="仿宋" w:cs="仿宋"/>
              </w:rPr>
              <w:t>(5)宫格视图：支持设置一屏9等分和25等分，更聚焦成员的摄像头视频内容。</w:t>
            </w:r>
          </w:p>
          <w:p w14:paraId="73CB1A53">
            <w:pPr>
              <w:rPr>
                <w:rFonts w:ascii="仿宋" w:hAnsi="仿宋" w:cs="仿宋"/>
              </w:rPr>
            </w:pPr>
            <w:r>
              <w:rPr>
                <w:rFonts w:hint="eastAsia" w:ascii="仿宋" w:hAnsi="仿宋" w:cs="仿宋"/>
              </w:rPr>
              <w:t>(6)课堂直播：云端实时直播，观看人数支持近千人大课，适用于大型培训、公开课、线上峰会等场景。</w:t>
            </w:r>
          </w:p>
          <w:p w14:paraId="63156988">
            <w:pPr>
              <w:rPr>
                <w:rFonts w:ascii="仿宋" w:hAnsi="仿宋" w:cs="仿宋"/>
              </w:rPr>
            </w:pPr>
            <w:r>
              <w:rPr>
                <w:rFonts w:hint="eastAsia" w:ascii="仿宋" w:hAnsi="仿宋" w:cs="仿宋"/>
              </w:rPr>
              <w:t>(7)录制回放：本地录制与云端录制相结合，课堂内容一键存档，方便后续复习和分享。支持将共享屏幕和音视频内容进行录制，录制视频自动上传和转码至个人云盘或课程资料空间，上传完成以站内信函形式通知授课教师，教师可对录制内容进行编辑后发布，方便学生回看。</w:t>
            </w:r>
          </w:p>
          <w:p w14:paraId="32140AAD">
            <w:pPr>
              <w:rPr>
                <w:rFonts w:ascii="仿宋" w:hAnsi="仿宋" w:cs="仿宋"/>
              </w:rPr>
            </w:pPr>
            <w:r>
              <w:rPr>
                <w:rFonts w:hint="eastAsia" w:ascii="仿宋" w:hAnsi="仿宋" w:cs="仿宋"/>
              </w:rPr>
              <w:t>(8)发起课堂：支持教师发起云端课堂，设置课堂主题、课堂说明，自动生成课堂码，并进入该课堂；支持快速复制已发起课堂码；自动记录过往发布的课堂，支持对过往课堂的删除、统计、编辑功能。</w:t>
            </w:r>
          </w:p>
          <w:p w14:paraId="310515B1">
            <w:pPr>
              <w:rPr>
                <w:rFonts w:ascii="仿宋" w:hAnsi="仿宋" w:cs="仿宋"/>
              </w:rPr>
            </w:pPr>
            <w:r>
              <w:rPr>
                <w:rFonts w:hint="eastAsia" w:ascii="仿宋" w:hAnsi="仿宋" w:cs="仿宋"/>
              </w:rPr>
              <w:t>(9)进入课堂：支持教师、学生从课程或者课表进入；支持教师通过已发起课堂一键进入课堂；支持教师或学生输入课堂码进入课堂。</w:t>
            </w:r>
          </w:p>
          <w:p w14:paraId="3494D8E8">
            <w:pPr>
              <w:rPr>
                <w:rFonts w:ascii="仿宋" w:hAnsi="仿宋" w:cs="仿宋"/>
              </w:rPr>
            </w:pPr>
            <w:r>
              <w:rPr>
                <w:rFonts w:hint="eastAsia" w:ascii="仿宋" w:hAnsi="仿宋" w:cs="仿宋"/>
              </w:rPr>
              <w:t>(10)语音功能：支持教师实时语音授课，或与学生连麦进行多人语音互动教学。</w:t>
            </w:r>
          </w:p>
          <w:p w14:paraId="4E36694C">
            <w:pPr>
              <w:rPr>
                <w:rFonts w:ascii="仿宋" w:hAnsi="仿宋" w:cs="仿宋"/>
              </w:rPr>
            </w:pPr>
            <w:r>
              <w:rPr>
                <w:rFonts w:hint="eastAsia" w:ascii="仿宋" w:hAnsi="仿宋" w:cs="仿宋"/>
              </w:rPr>
              <w:t>(11)视频功能：支持教师和多名学生进行超低延时直播教学，学生可以开启直播和语音，与老师进行直播互动教学。</w:t>
            </w:r>
          </w:p>
          <w:p w14:paraId="583CBBAF">
            <w:pPr>
              <w:rPr>
                <w:rFonts w:ascii="仿宋" w:hAnsi="仿宋" w:cs="仿宋"/>
              </w:rPr>
            </w:pPr>
            <w:r>
              <w:rPr>
                <w:rFonts w:hint="eastAsia" w:ascii="仿宋" w:hAnsi="仿宋" w:cs="仿宋"/>
              </w:rPr>
              <w:t>(12)成员管理：教师或学生可以查看课堂成员姓名，教师可以进行全员静音或单人静音。</w:t>
            </w:r>
          </w:p>
          <w:p w14:paraId="06863939">
            <w:pPr>
              <w:rPr>
                <w:rFonts w:ascii="仿宋" w:hAnsi="仿宋" w:cs="仿宋"/>
              </w:rPr>
            </w:pPr>
            <w:r>
              <w:rPr>
                <w:rFonts w:hint="eastAsia" w:ascii="仿宋" w:hAnsi="仿宋" w:cs="仿宋"/>
              </w:rPr>
              <w:t>(13)公告：支持教师发布富媒体公告，学员以弹窗形式查看公告内容，学员还可以在互动栏目和公告栏目中查看公告内容，防止学员遗漏信息。</w:t>
            </w:r>
          </w:p>
          <w:p w14:paraId="5E96EAA6">
            <w:pPr>
              <w:rPr>
                <w:rFonts w:ascii="仿宋" w:hAnsi="仿宋" w:cs="仿宋"/>
              </w:rPr>
            </w:pPr>
            <w:r>
              <w:rPr>
                <w:rFonts w:hint="eastAsia" w:ascii="仿宋" w:hAnsi="仿宋" w:cs="仿宋"/>
              </w:rPr>
              <w:t>(14)离开/结束课堂：支持教师设置离开课堂或结束课堂操作，离开课堂该课堂可以继续运行，结束课堂全部成员将自动退出课堂。</w:t>
            </w:r>
          </w:p>
          <w:p w14:paraId="05B9961B">
            <w:pPr>
              <w:rPr>
                <w:rFonts w:ascii="仿宋" w:hAnsi="仿宋" w:cs="仿宋"/>
              </w:rPr>
            </w:pPr>
            <w:r>
              <w:rPr>
                <w:rFonts w:hint="eastAsia" w:ascii="仿宋" w:hAnsi="仿宋" w:cs="仿宋"/>
              </w:rPr>
              <w:t>(15)旁听模式：以旁听模式进入课堂，可以听老师授课，不能参加课堂活动及互动，学习不计入课堂成绩。</w:t>
            </w:r>
          </w:p>
        </w:tc>
      </w:tr>
      <w:tr w14:paraId="4D539BD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rPr>
        <w:tc>
          <w:tcPr>
            <w:tcW w:w="532" w:type="pct"/>
            <w:vMerge w:val="continue"/>
            <w:tcBorders>
              <w:left w:val="single" w:color="000000" w:sz="4" w:space="0"/>
              <w:right w:val="single" w:color="000000" w:sz="4" w:space="0"/>
            </w:tcBorders>
            <w:shd w:val="clear" w:color="auto" w:fill="auto"/>
            <w:noWrap/>
            <w:vAlign w:val="center"/>
          </w:tcPr>
          <w:p w14:paraId="7109DEF3">
            <w:pPr>
              <w:jc w:val="center"/>
              <w:rPr>
                <w:rFonts w:ascii="仿宋" w:hAnsi="仿宋" w:cs="仿宋"/>
              </w:rPr>
            </w:pPr>
          </w:p>
        </w:tc>
        <w:tc>
          <w:tcPr>
            <w:tcW w:w="506"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39B9DE3C">
            <w:pPr>
              <w:jc w:val="center"/>
              <w:rPr>
                <w:rFonts w:ascii="仿宋" w:hAnsi="仿宋" w:cs="仿宋"/>
              </w:rPr>
            </w:pPr>
            <w:r>
              <w:rPr>
                <w:rFonts w:hint="eastAsia" w:ascii="仿宋" w:hAnsi="仿宋" w:cs="仿宋"/>
              </w:rPr>
              <w:t>3.4</w:t>
            </w:r>
          </w:p>
          <w:p w14:paraId="3ED0A8D6">
            <w:pPr>
              <w:jc w:val="center"/>
              <w:rPr>
                <w:rFonts w:ascii="仿宋" w:hAnsi="仿宋" w:cs="仿宋"/>
              </w:rPr>
            </w:pPr>
            <w:r>
              <w:rPr>
                <w:rFonts w:hint="eastAsia" w:ascii="仿宋" w:hAnsi="仿宋" w:cs="仿宋"/>
              </w:rPr>
              <w:t>各角色可操作功能</w:t>
            </w:r>
          </w:p>
        </w:tc>
        <w:tc>
          <w:tcPr>
            <w:tcW w:w="3961" w:type="pct"/>
            <w:tcBorders>
              <w:top w:val="single" w:color="auto" w:sz="4" w:space="0"/>
              <w:left w:val="single" w:color="000000" w:sz="4" w:space="0"/>
              <w:bottom w:val="single" w:color="auto" w:sz="4" w:space="0"/>
            </w:tcBorders>
            <w:shd w:val="clear" w:color="auto" w:fill="auto"/>
            <w:noWrap/>
            <w:vAlign w:val="center"/>
          </w:tcPr>
          <w:p w14:paraId="3B4B2F65">
            <w:pPr>
              <w:rPr>
                <w:rFonts w:ascii="仿宋" w:hAnsi="仿宋" w:cs="仿宋"/>
              </w:rPr>
            </w:pPr>
            <w:r>
              <w:rPr>
                <w:rFonts w:hint="eastAsia" w:ascii="仿宋" w:hAnsi="仿宋" w:cs="仿宋"/>
              </w:rPr>
              <w:t>(1)身份设置：课堂创建者进入课堂，打开成员列表，可将一个或多个成员设置成为助教。在上课过程中，助教可协助教师对课程参与成员进行开关麦克风、开关视频、分组讨论、发放活动等进行操作和管控，为教师分担压力，从而提高上课效率。</w:t>
            </w:r>
          </w:p>
          <w:p w14:paraId="4BC86D82">
            <w:pPr>
              <w:rPr>
                <w:rFonts w:ascii="仿宋" w:hAnsi="仿宋" w:cs="仿宋"/>
              </w:rPr>
            </w:pPr>
            <w:r>
              <w:rPr>
                <w:rFonts w:hint="eastAsia" w:ascii="仿宋" w:hAnsi="仿宋" w:cs="仿宋"/>
              </w:rPr>
              <w:t>(2)教师操作功能：可设置课程助教；将学生移出课堂；向学生发送解除静音或请求、向学生发送开启视频请求；强制学生和助教静音和关闭摄像头；进行成员比对和查看比对历史；发布、删除和编辑公告；发布分组讨论、签到等活动。</w:t>
            </w:r>
          </w:p>
          <w:p w14:paraId="36A4118F">
            <w:pPr>
              <w:rPr>
                <w:rFonts w:ascii="仿宋" w:hAnsi="仿宋" w:cs="仿宋"/>
              </w:rPr>
            </w:pPr>
            <w:r>
              <w:rPr>
                <w:rFonts w:hint="eastAsia" w:ascii="仿宋" w:hAnsi="仿宋" w:cs="仿宋"/>
              </w:rPr>
              <w:t>(3)助教操作功能：将学生移出课堂；向学生发送解除静音或请求、向学生发送开启视频请求；强制学生静音和关闭摄像头；进行成员比对和查看比对历史；发布、删除和编辑公告；发布分组讨论、签到等活动。</w:t>
            </w:r>
          </w:p>
          <w:p w14:paraId="76226BC7">
            <w:pPr>
              <w:rPr>
                <w:rFonts w:ascii="仿宋" w:hAnsi="仿宋" w:cs="仿宋"/>
              </w:rPr>
            </w:pPr>
            <w:r>
              <w:rPr>
                <w:rFonts w:hint="eastAsia" w:ascii="仿宋" w:hAnsi="仿宋" w:cs="仿宋"/>
              </w:rPr>
              <w:t>(4)普通成员可操作功能：静音/取消静音；开启/关闭视频。</w:t>
            </w:r>
          </w:p>
        </w:tc>
      </w:tr>
      <w:tr w14:paraId="6462C25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rPr>
        <w:tc>
          <w:tcPr>
            <w:tcW w:w="532" w:type="pct"/>
            <w:vMerge w:val="continue"/>
            <w:tcBorders>
              <w:left w:val="single" w:color="000000" w:sz="4" w:space="0"/>
              <w:right w:val="single" w:color="000000" w:sz="4" w:space="0"/>
            </w:tcBorders>
            <w:shd w:val="clear" w:color="auto" w:fill="auto"/>
            <w:noWrap/>
            <w:vAlign w:val="center"/>
          </w:tcPr>
          <w:p w14:paraId="557D6DA0">
            <w:pPr>
              <w:jc w:val="center"/>
              <w:rPr>
                <w:rFonts w:ascii="仿宋" w:hAnsi="仿宋" w:cs="仿宋"/>
              </w:rPr>
            </w:pPr>
          </w:p>
        </w:tc>
        <w:tc>
          <w:tcPr>
            <w:tcW w:w="506"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63A2F41E">
            <w:pPr>
              <w:jc w:val="center"/>
              <w:rPr>
                <w:rFonts w:ascii="仿宋" w:hAnsi="仿宋" w:cs="仿宋"/>
              </w:rPr>
            </w:pPr>
            <w:r>
              <w:rPr>
                <w:rFonts w:hint="eastAsia" w:ascii="仿宋" w:hAnsi="仿宋" w:cs="仿宋"/>
              </w:rPr>
              <w:t>3.5</w:t>
            </w:r>
          </w:p>
          <w:p w14:paraId="75B956C8">
            <w:pPr>
              <w:jc w:val="center"/>
              <w:rPr>
                <w:rFonts w:ascii="仿宋" w:hAnsi="仿宋" w:cs="仿宋"/>
              </w:rPr>
            </w:pPr>
            <w:r>
              <w:rPr>
                <w:rFonts w:hint="eastAsia" w:ascii="仿宋" w:hAnsi="仿宋" w:cs="仿宋"/>
              </w:rPr>
              <w:t>课堂安全</w:t>
            </w:r>
          </w:p>
        </w:tc>
        <w:tc>
          <w:tcPr>
            <w:tcW w:w="3961" w:type="pct"/>
            <w:tcBorders>
              <w:top w:val="single" w:color="auto" w:sz="4" w:space="0"/>
              <w:left w:val="single" w:color="000000" w:sz="4" w:space="0"/>
              <w:bottom w:val="single" w:color="auto" w:sz="4" w:space="0"/>
            </w:tcBorders>
            <w:shd w:val="clear" w:color="auto" w:fill="auto"/>
            <w:noWrap/>
            <w:vAlign w:val="center"/>
          </w:tcPr>
          <w:p w14:paraId="508F18CC">
            <w:pPr>
              <w:rPr>
                <w:rFonts w:ascii="仿宋" w:hAnsi="仿宋" w:cs="仿宋"/>
              </w:rPr>
            </w:pPr>
            <w:r>
              <w:rPr>
                <w:rFonts w:hint="eastAsia" w:ascii="仿宋" w:hAnsi="仿宋" w:cs="仿宋"/>
              </w:rPr>
              <w:t>(1)课前的安全控制：发起课堂时，进入课堂的设置界面，即可对加入课堂权限进行设置：允许任何人加入/允许本单位人员加入/选择允许加入的人员。</w:t>
            </w:r>
          </w:p>
          <w:p w14:paraId="744A18D7">
            <w:pPr>
              <w:rPr>
                <w:rFonts w:ascii="仿宋" w:hAnsi="仿宋" w:cs="仿宋"/>
              </w:rPr>
            </w:pPr>
            <w:r>
              <w:rPr>
                <w:rFonts w:hint="eastAsia" w:ascii="仿宋" w:hAnsi="仿宋" w:cs="仿宋"/>
              </w:rPr>
              <w:t>(2)课中的安全控制：进入课堂的设置界面，即可对加课权限进行设置：允许任何人加入/允许本单位人员加入/选择允许加入的人员；锁定课堂，开启后，所有人不能再加入课堂；全员静音后，选择是否允许学生自我解除静音。支持开启等候室功能，等候室开启后，在课堂未开始的情况下，学生可以在等候室等待。</w:t>
            </w:r>
          </w:p>
          <w:p w14:paraId="39C1D089">
            <w:pPr>
              <w:rPr>
                <w:rFonts w:ascii="仿宋" w:hAnsi="仿宋" w:cs="仿宋"/>
              </w:rPr>
            </w:pPr>
            <w:r>
              <w:rPr>
                <w:rFonts w:hint="eastAsia" w:ascii="仿宋" w:hAnsi="仿宋" w:cs="仿宋"/>
              </w:rPr>
              <w:t>(3)可以单独设置学生观看课程视频、作业和考试是否需要进行异常监控，针对产生的异常数据支持异常分析，查看监控详情，可对学生异常学习进行提醒，同时可支持对异常数据进行异常状态处理。</w:t>
            </w:r>
          </w:p>
        </w:tc>
      </w:tr>
      <w:tr w14:paraId="0DB892F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rPr>
        <w:tc>
          <w:tcPr>
            <w:tcW w:w="532" w:type="pct"/>
            <w:vMerge w:val="continue"/>
            <w:tcBorders>
              <w:left w:val="single" w:color="000000" w:sz="4" w:space="0"/>
              <w:bottom w:val="single" w:color="000000" w:sz="4" w:space="0"/>
              <w:right w:val="single" w:color="000000" w:sz="4" w:space="0"/>
            </w:tcBorders>
            <w:shd w:val="clear" w:color="auto" w:fill="auto"/>
            <w:noWrap/>
            <w:vAlign w:val="center"/>
          </w:tcPr>
          <w:p w14:paraId="739B954A">
            <w:pPr>
              <w:jc w:val="center"/>
              <w:rPr>
                <w:rFonts w:ascii="仿宋" w:hAnsi="仿宋" w:cs="仿宋"/>
              </w:rPr>
            </w:pPr>
          </w:p>
        </w:tc>
        <w:tc>
          <w:tcPr>
            <w:tcW w:w="506"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7877E7D9">
            <w:pPr>
              <w:jc w:val="center"/>
              <w:rPr>
                <w:rFonts w:ascii="仿宋" w:hAnsi="仿宋" w:cs="仿宋"/>
              </w:rPr>
            </w:pPr>
            <w:r>
              <w:rPr>
                <w:rFonts w:hint="eastAsia" w:ascii="仿宋" w:hAnsi="仿宋" w:cs="仿宋"/>
              </w:rPr>
              <w:t>3.6</w:t>
            </w:r>
          </w:p>
          <w:p w14:paraId="345B2F79">
            <w:pPr>
              <w:jc w:val="center"/>
              <w:rPr>
                <w:rFonts w:ascii="仿宋" w:hAnsi="仿宋" w:cs="仿宋"/>
              </w:rPr>
            </w:pPr>
            <w:r>
              <w:rPr>
                <w:rFonts w:hint="eastAsia" w:ascii="仿宋" w:hAnsi="仿宋" w:cs="仿宋"/>
              </w:rPr>
              <w:t>在线课堂排课</w:t>
            </w:r>
          </w:p>
        </w:tc>
        <w:tc>
          <w:tcPr>
            <w:tcW w:w="3961" w:type="pct"/>
            <w:tcBorders>
              <w:top w:val="single" w:color="auto" w:sz="4" w:space="0"/>
              <w:left w:val="single" w:color="000000" w:sz="4" w:space="0"/>
              <w:bottom w:val="single" w:color="auto" w:sz="4" w:space="0"/>
            </w:tcBorders>
            <w:shd w:val="clear" w:color="auto" w:fill="auto"/>
            <w:noWrap/>
            <w:vAlign w:val="center"/>
          </w:tcPr>
          <w:p w14:paraId="17F4859B">
            <w:pPr>
              <w:rPr>
                <w:rFonts w:ascii="仿宋" w:hAnsi="仿宋" w:cs="仿宋"/>
              </w:rPr>
            </w:pPr>
            <w:r>
              <w:rPr>
                <w:rFonts w:hint="eastAsia" w:ascii="仿宋" w:hAnsi="仿宋" w:cs="仿宋"/>
              </w:rPr>
              <w:t>(1)支持通过教务管理后台完成在线课堂排课，可以选择在线课堂作为上课方式，并支持设置在线课堂是否为任务点。</w:t>
            </w:r>
          </w:p>
          <w:p w14:paraId="27B78E72">
            <w:pPr>
              <w:rPr>
                <w:rFonts w:ascii="仿宋" w:hAnsi="仿宋" w:cs="仿宋"/>
              </w:rPr>
            </w:pPr>
            <w:r>
              <w:rPr>
                <w:rFonts w:hint="eastAsia" w:ascii="仿宋" w:hAnsi="仿宋" w:cs="仿宋"/>
              </w:rPr>
              <w:t>(2)支持在线课堂排课结果查询、发布排课结果及调课功能。</w:t>
            </w:r>
          </w:p>
          <w:p w14:paraId="4E3747D8">
            <w:pPr>
              <w:rPr>
                <w:rFonts w:ascii="仿宋" w:hAnsi="仿宋" w:cs="仿宋"/>
              </w:rPr>
            </w:pPr>
            <w:r>
              <w:rPr>
                <w:rFonts w:hint="eastAsia" w:ascii="仿宋" w:hAnsi="仿宋" w:cs="仿宋"/>
              </w:rPr>
              <w:t>(3)支持在线课堂授课权重设置，可以按照学生参与绑定班级的在线课堂总时长计算课程得分，并可以设置参与在线课堂的总时长达到多长时间取得满分。</w:t>
            </w:r>
          </w:p>
        </w:tc>
      </w:tr>
      <w:tr w14:paraId="023698F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rPr>
        <w:tc>
          <w:tcPr>
            <w:tcW w:w="532" w:type="pct"/>
            <w:vMerge w:val="restart"/>
            <w:tcBorders>
              <w:top w:val="single" w:color="auto" w:sz="4" w:space="0"/>
              <w:left w:val="single" w:color="000000" w:sz="4" w:space="0"/>
              <w:right w:val="single" w:color="000000" w:sz="4" w:space="0"/>
            </w:tcBorders>
            <w:shd w:val="clear" w:color="auto" w:fill="auto"/>
            <w:noWrap/>
            <w:vAlign w:val="center"/>
          </w:tcPr>
          <w:p w14:paraId="0F8DB888">
            <w:pPr>
              <w:jc w:val="center"/>
              <w:rPr>
                <w:rFonts w:ascii="仿宋" w:hAnsi="仿宋" w:cs="仿宋"/>
              </w:rPr>
            </w:pPr>
            <w:r>
              <w:rPr>
                <w:rFonts w:hint="eastAsia" w:ascii="仿宋" w:hAnsi="仿宋" w:cs="仿宋"/>
              </w:rPr>
              <w:t>4、</w:t>
            </w:r>
          </w:p>
          <w:p w14:paraId="48F3E67B">
            <w:pPr>
              <w:jc w:val="center"/>
              <w:rPr>
                <w:rFonts w:ascii="仿宋" w:hAnsi="仿宋" w:cs="仿宋"/>
              </w:rPr>
            </w:pPr>
            <w:r>
              <w:rPr>
                <w:rFonts w:hint="eastAsia" w:ascii="仿宋" w:hAnsi="仿宋" w:cs="仿宋"/>
              </w:rPr>
              <w:t>知识图谱</w:t>
            </w:r>
          </w:p>
        </w:tc>
        <w:tc>
          <w:tcPr>
            <w:tcW w:w="506"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06AE9E18">
            <w:pPr>
              <w:jc w:val="center"/>
              <w:rPr>
                <w:rFonts w:ascii="仿宋" w:hAnsi="仿宋" w:cs="仿宋"/>
              </w:rPr>
            </w:pPr>
            <w:r>
              <w:rPr>
                <w:rFonts w:hint="eastAsia" w:ascii="仿宋" w:hAnsi="仿宋" w:cs="仿宋"/>
              </w:rPr>
              <w:t>4.1</w:t>
            </w:r>
          </w:p>
          <w:p w14:paraId="50B470BB">
            <w:pPr>
              <w:jc w:val="center"/>
              <w:rPr>
                <w:rFonts w:ascii="仿宋" w:hAnsi="仿宋" w:cs="仿宋"/>
              </w:rPr>
            </w:pPr>
            <w:r>
              <w:rPr>
                <w:rFonts w:hint="eastAsia" w:ascii="仿宋" w:hAnsi="仿宋" w:cs="仿宋"/>
              </w:rPr>
              <w:t>知识图谱构建</w:t>
            </w:r>
          </w:p>
        </w:tc>
        <w:tc>
          <w:tcPr>
            <w:tcW w:w="3961" w:type="pct"/>
            <w:tcBorders>
              <w:top w:val="single" w:color="auto" w:sz="4" w:space="0"/>
              <w:left w:val="single" w:color="000000" w:sz="4" w:space="0"/>
              <w:bottom w:val="single" w:color="auto" w:sz="4" w:space="0"/>
            </w:tcBorders>
            <w:shd w:val="clear" w:color="auto" w:fill="auto"/>
            <w:noWrap/>
            <w:vAlign w:val="center"/>
          </w:tcPr>
          <w:p w14:paraId="01DA8675">
            <w:pPr>
              <w:rPr>
                <w:rFonts w:ascii="仿宋" w:hAnsi="仿宋" w:cs="仿宋"/>
              </w:rPr>
            </w:pPr>
            <w:r>
              <w:rPr>
                <w:rFonts w:hint="eastAsia" w:ascii="仿宋" w:hAnsi="仿宋" w:cs="仿宋"/>
              </w:rPr>
              <w:t>(1)支持知识点多层级架构建立，生成子父级知识点关系。</w:t>
            </w:r>
          </w:p>
          <w:p w14:paraId="44657233">
            <w:pPr>
              <w:rPr>
                <w:rFonts w:ascii="仿宋" w:hAnsi="仿宋" w:cs="仿宋"/>
              </w:rPr>
            </w:pPr>
            <w:r>
              <w:rPr>
                <w:rFonts w:hint="eastAsia" w:ascii="仿宋" w:hAnsi="仿宋" w:cs="仿宋"/>
              </w:rPr>
              <w:t>(2)支持手动添加、模板导入等方式手动构建知识图谱。</w:t>
            </w:r>
          </w:p>
          <w:p w14:paraId="17024BCB">
            <w:pPr>
              <w:rPr>
                <w:rFonts w:ascii="仿宋" w:hAnsi="仿宋" w:cs="仿宋"/>
              </w:rPr>
            </w:pPr>
            <w:r>
              <w:rPr>
                <w:rFonts w:hint="eastAsia" w:ascii="仿宋" w:hAnsi="仿宋" w:cs="仿宋"/>
              </w:rPr>
              <w:t>(3)支持智能导入，用户上传课程大纲、教材等，系统智能识别构建生成知识图谱。</w:t>
            </w:r>
          </w:p>
          <w:p w14:paraId="00BDE240">
            <w:pPr>
              <w:rPr>
                <w:rFonts w:ascii="仿宋" w:hAnsi="仿宋" w:cs="仿宋"/>
              </w:rPr>
            </w:pPr>
            <w:r>
              <w:rPr>
                <w:rFonts w:hint="eastAsia" w:ascii="仿宋" w:hAnsi="仿宋" w:cs="仿宋"/>
              </w:rPr>
              <w:t>(4)支持课程章节一件转化生成知识图谱，并同时进行资源关联。</w:t>
            </w:r>
          </w:p>
          <w:p w14:paraId="3F2EEC14">
            <w:pPr>
              <w:rPr>
                <w:rFonts w:ascii="仿宋" w:hAnsi="仿宋" w:cs="仿宋"/>
              </w:rPr>
            </w:pPr>
            <w:r>
              <w:rPr>
                <w:rFonts w:hint="eastAsia" w:ascii="仿宋" w:hAnsi="仿宋" w:cs="仿宋"/>
              </w:rPr>
              <w:t>(5)支持导入xmind格式的思维导图文件，自动读取文件数据，生成课程知识图谱。</w:t>
            </w:r>
          </w:p>
          <w:p w14:paraId="768D622F">
            <w:pPr>
              <w:rPr>
                <w:rFonts w:ascii="仿宋" w:hAnsi="仿宋" w:cs="仿宋"/>
              </w:rPr>
            </w:pPr>
            <w:r>
              <w:rPr>
                <w:rFonts w:hint="eastAsia" w:ascii="仿宋" w:hAnsi="仿宋" w:cs="仿宋"/>
              </w:rPr>
              <w:t>(6)支持克隆或继承前课程的知识图谱以及相关关系。</w:t>
            </w:r>
          </w:p>
        </w:tc>
      </w:tr>
      <w:tr w14:paraId="0A7CB7E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rPr>
        <w:tc>
          <w:tcPr>
            <w:tcW w:w="532" w:type="pct"/>
            <w:vMerge w:val="continue"/>
            <w:tcBorders>
              <w:left w:val="single" w:color="000000" w:sz="4" w:space="0"/>
              <w:right w:val="single" w:color="000000" w:sz="4" w:space="0"/>
            </w:tcBorders>
            <w:shd w:val="clear" w:color="auto" w:fill="auto"/>
            <w:noWrap/>
            <w:vAlign w:val="center"/>
          </w:tcPr>
          <w:p w14:paraId="2E10ADBF">
            <w:pPr>
              <w:jc w:val="center"/>
              <w:rPr>
                <w:rFonts w:ascii="仿宋" w:hAnsi="仿宋" w:cs="仿宋"/>
              </w:rPr>
            </w:pPr>
          </w:p>
        </w:tc>
        <w:tc>
          <w:tcPr>
            <w:tcW w:w="506"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143DE90C">
            <w:pPr>
              <w:jc w:val="center"/>
              <w:rPr>
                <w:rFonts w:ascii="仿宋" w:hAnsi="仿宋" w:cs="仿宋"/>
              </w:rPr>
            </w:pPr>
            <w:r>
              <w:rPr>
                <w:rFonts w:hint="eastAsia" w:ascii="仿宋" w:hAnsi="仿宋" w:cs="仿宋"/>
              </w:rPr>
              <w:t>4.2、</w:t>
            </w:r>
          </w:p>
          <w:p w14:paraId="5F0C1C15">
            <w:pPr>
              <w:jc w:val="center"/>
              <w:rPr>
                <w:rFonts w:ascii="仿宋" w:hAnsi="仿宋" w:cs="仿宋"/>
              </w:rPr>
            </w:pPr>
            <w:r>
              <w:rPr>
                <w:rFonts w:hint="eastAsia" w:ascii="仿宋" w:hAnsi="仿宋" w:cs="仿宋"/>
              </w:rPr>
              <w:t>知识图谱管理</w:t>
            </w:r>
          </w:p>
        </w:tc>
        <w:tc>
          <w:tcPr>
            <w:tcW w:w="3961" w:type="pct"/>
            <w:tcBorders>
              <w:top w:val="single" w:color="auto" w:sz="4" w:space="0"/>
              <w:left w:val="single" w:color="000000" w:sz="4" w:space="0"/>
              <w:bottom w:val="single" w:color="auto" w:sz="4" w:space="0"/>
            </w:tcBorders>
            <w:shd w:val="clear" w:color="auto" w:fill="auto"/>
            <w:noWrap/>
            <w:vAlign w:val="center"/>
          </w:tcPr>
          <w:p w14:paraId="278A58B4">
            <w:pPr>
              <w:rPr>
                <w:rFonts w:ascii="仿宋" w:hAnsi="仿宋" w:cs="仿宋"/>
              </w:rPr>
            </w:pPr>
            <w:r>
              <w:rPr>
                <w:rFonts w:hint="eastAsia" w:ascii="仿宋" w:hAnsi="仿宋" w:cs="仿宋"/>
              </w:rPr>
              <w:t>(1)支持知识点之间进行前置关系、后置关系、关联关系的设置。</w:t>
            </w:r>
          </w:p>
          <w:p w14:paraId="443F2529">
            <w:pPr>
              <w:rPr>
                <w:rFonts w:ascii="仿宋" w:hAnsi="仿宋" w:cs="仿宋"/>
              </w:rPr>
            </w:pPr>
            <w:r>
              <w:rPr>
                <w:rFonts w:hint="eastAsia" w:ascii="仿宋" w:hAnsi="仿宋" w:cs="仿宋"/>
              </w:rPr>
              <w:t>(2)支持关联关系自定义，可进行添加描述并显示在图谱页面。</w:t>
            </w:r>
          </w:p>
          <w:p w14:paraId="603B0289">
            <w:pPr>
              <w:rPr>
                <w:rFonts w:ascii="仿宋" w:hAnsi="仿宋" w:cs="仿宋"/>
              </w:rPr>
            </w:pPr>
            <w:r>
              <w:rPr>
                <w:rFonts w:hint="eastAsia" w:ascii="仿宋" w:hAnsi="仿宋" w:cs="仿宋"/>
              </w:rPr>
              <w:t>(3)支持给知识点打标签，自定义标签内容，同一个支持点标记多个标签，可以按照知识点和标签两个维度进行知识点的筛选查看。</w:t>
            </w:r>
          </w:p>
          <w:p w14:paraId="7D56696D">
            <w:pPr>
              <w:rPr>
                <w:rFonts w:ascii="仿宋" w:hAnsi="仿宋" w:cs="仿宋"/>
              </w:rPr>
            </w:pPr>
            <w:r>
              <w:rPr>
                <w:rFonts w:hint="eastAsia" w:ascii="仿宋" w:hAnsi="仿宋" w:cs="仿宋"/>
              </w:rPr>
              <w:t>(4)支持进行跨课知识点关联，实现不同课程自之间知识的聚合联动，关联后可以实现跨课学习并进行专业下多门课程的知识点关联展示应用。</w:t>
            </w:r>
          </w:p>
          <w:p w14:paraId="022B58D1">
            <w:pPr>
              <w:rPr>
                <w:rFonts w:ascii="仿宋" w:hAnsi="仿宋" w:cs="仿宋"/>
              </w:rPr>
            </w:pPr>
            <w:r>
              <w:rPr>
                <w:rFonts w:hint="eastAsia" w:ascii="仿宋" w:hAnsi="仿宋" w:cs="仿宋"/>
              </w:rPr>
              <w:t>(5)支持教师对图谱样式进行自定义设置，包含知识点的显示形状、颜色、位置，以及组别位置，适配多种展示场景并设定学生端默认显示方案。</w:t>
            </w:r>
          </w:p>
          <w:p w14:paraId="1BFB4C68">
            <w:pPr>
              <w:rPr>
                <w:rFonts w:ascii="仿宋" w:hAnsi="仿宋" w:cs="仿宋"/>
              </w:rPr>
            </w:pPr>
            <w:r>
              <w:rPr>
                <w:rFonts w:hint="eastAsia" w:ascii="仿宋" w:hAnsi="仿宋" w:cs="仿宋"/>
              </w:rPr>
              <w:t>(6)支持智能识别视频内容，并进行知识点标记和视频切分，只需要微调、编辑即可快速生成多个知识点视频并添加到课程。</w:t>
            </w:r>
          </w:p>
          <w:p w14:paraId="75B56F57">
            <w:pPr>
              <w:rPr>
                <w:rFonts w:ascii="仿宋" w:hAnsi="仿宋" w:cs="仿宋"/>
              </w:rPr>
            </w:pPr>
            <w:r>
              <w:rPr>
                <w:rFonts w:hint="eastAsia" w:ascii="仿宋" w:hAnsi="仿宋" w:cs="仿宋"/>
              </w:rPr>
              <w:t>(7)支持批量对课程资料标记知识点，按知识点上传资源，并查看知识点关联资源数量，方便教师按知识点管理资源。</w:t>
            </w:r>
          </w:p>
          <w:p w14:paraId="0874B9B4">
            <w:pPr>
              <w:rPr>
                <w:rFonts w:ascii="仿宋" w:hAnsi="仿宋" w:cs="仿宋"/>
              </w:rPr>
            </w:pPr>
            <w:r>
              <w:rPr>
                <w:rFonts w:hint="eastAsia" w:ascii="仿宋" w:hAnsi="仿宋" w:cs="仿宋"/>
              </w:rPr>
              <w:t>(8)支持学生学习知识图谱时,系统支持自动推荐知识点百科介绍、开放课、期刊、图书、视频、文档、音频、链接、图片等多种系统自带的知识点扩展资源，无需教师手动关联，并支持学生自主换选一批推荐资源。</w:t>
            </w:r>
          </w:p>
        </w:tc>
      </w:tr>
      <w:tr w14:paraId="07EB61A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rPr>
        <w:tc>
          <w:tcPr>
            <w:tcW w:w="532" w:type="pct"/>
            <w:vMerge w:val="continue"/>
            <w:tcBorders>
              <w:left w:val="single" w:color="000000" w:sz="4" w:space="0"/>
              <w:right w:val="single" w:color="000000" w:sz="4" w:space="0"/>
            </w:tcBorders>
            <w:shd w:val="clear" w:color="auto" w:fill="auto"/>
            <w:noWrap/>
            <w:vAlign w:val="center"/>
          </w:tcPr>
          <w:p w14:paraId="007A71C7">
            <w:pPr>
              <w:jc w:val="center"/>
              <w:rPr>
                <w:rFonts w:ascii="仿宋" w:hAnsi="仿宋" w:cs="仿宋"/>
              </w:rPr>
            </w:pPr>
          </w:p>
        </w:tc>
        <w:tc>
          <w:tcPr>
            <w:tcW w:w="506"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648DA448">
            <w:pPr>
              <w:jc w:val="center"/>
              <w:rPr>
                <w:rFonts w:ascii="仿宋" w:hAnsi="仿宋" w:cs="仿宋"/>
              </w:rPr>
            </w:pPr>
            <w:r>
              <w:rPr>
                <w:rFonts w:hint="eastAsia" w:ascii="仿宋" w:hAnsi="仿宋" w:cs="仿宋"/>
              </w:rPr>
              <w:t>4.3、</w:t>
            </w:r>
          </w:p>
          <w:p w14:paraId="5FB90819">
            <w:pPr>
              <w:jc w:val="center"/>
              <w:rPr>
                <w:rFonts w:ascii="仿宋" w:hAnsi="仿宋" w:cs="仿宋"/>
              </w:rPr>
            </w:pPr>
            <w:r>
              <w:rPr>
                <w:rFonts w:hint="eastAsia" w:ascii="仿宋" w:hAnsi="仿宋" w:cs="仿宋"/>
              </w:rPr>
              <w:t>知识图谱展示</w:t>
            </w:r>
          </w:p>
        </w:tc>
        <w:tc>
          <w:tcPr>
            <w:tcW w:w="3961" w:type="pct"/>
            <w:tcBorders>
              <w:top w:val="single" w:color="auto" w:sz="4" w:space="0"/>
              <w:left w:val="single" w:color="000000" w:sz="4" w:space="0"/>
              <w:bottom w:val="single" w:color="auto" w:sz="4" w:space="0"/>
            </w:tcBorders>
            <w:shd w:val="clear" w:color="auto" w:fill="auto"/>
            <w:noWrap/>
            <w:vAlign w:val="center"/>
          </w:tcPr>
          <w:p w14:paraId="47B32224">
            <w:pPr>
              <w:rPr>
                <w:rFonts w:ascii="仿宋" w:hAnsi="仿宋" w:cs="仿宋"/>
              </w:rPr>
            </w:pPr>
            <w:r>
              <w:rPr>
                <w:rFonts w:hint="eastAsia" w:ascii="仿宋" w:hAnsi="仿宋" w:cs="仿宋"/>
              </w:rPr>
              <w:t>(1)系统支持根据知识树的关联关系，自动生成知识图谱；并在图谱页面以连线节点方式进行展示。</w:t>
            </w:r>
          </w:p>
          <w:p w14:paraId="1BC667C9">
            <w:pPr>
              <w:rPr>
                <w:rFonts w:ascii="仿宋" w:hAnsi="仿宋" w:cs="仿宋"/>
              </w:rPr>
            </w:pPr>
            <w:r>
              <w:rPr>
                <w:rFonts w:hint="eastAsia" w:ascii="仿宋" w:hAnsi="仿宋" w:cs="仿宋"/>
              </w:rPr>
              <w:t>(2)支持知识图谱形成网状结构，点击对应知识点即可查看知识点的相关资源。</w:t>
            </w:r>
          </w:p>
          <w:p w14:paraId="112BABEB">
            <w:pPr>
              <w:rPr>
                <w:rFonts w:ascii="仿宋" w:hAnsi="仿宋" w:cs="仿宋"/>
              </w:rPr>
            </w:pPr>
            <w:r>
              <w:rPr>
                <w:rFonts w:hint="eastAsia" w:ascii="仿宋" w:hAnsi="仿宋" w:cs="仿宋"/>
              </w:rPr>
              <w:t>(3)支持按照知识点的关系属性(父子、关联、前后置关系)联动筛选。</w:t>
            </w:r>
          </w:p>
          <w:p w14:paraId="25A402B8">
            <w:pPr>
              <w:rPr>
                <w:rFonts w:ascii="仿宋" w:hAnsi="仿宋" w:cs="仿宋"/>
              </w:rPr>
            </w:pPr>
            <w:r>
              <w:rPr>
                <w:rFonts w:hint="eastAsia" w:ascii="仿宋" w:hAnsi="仿宋" w:cs="仿宋"/>
              </w:rPr>
              <w:t>(4)支持按照知识点和标签两个维度进行知识点的筛选查看。</w:t>
            </w:r>
          </w:p>
          <w:p w14:paraId="3B5D304C">
            <w:pPr>
              <w:rPr>
                <w:rFonts w:ascii="仿宋" w:hAnsi="仿宋" w:cs="仿宋"/>
              </w:rPr>
            </w:pPr>
            <w:r>
              <w:rPr>
                <w:rFonts w:hint="eastAsia" w:ascii="仿宋" w:hAnsi="仿宋" w:cs="仿宋"/>
              </w:rPr>
              <w:t>(5)支持教师端显示知识点统计卡片，点击对应知识点可以查看知识图谱建设情况以及学生学习情况。</w:t>
            </w:r>
          </w:p>
          <w:p w14:paraId="4F369D37">
            <w:pPr>
              <w:rPr>
                <w:rFonts w:ascii="仿宋" w:hAnsi="仿宋" w:cs="仿宋"/>
              </w:rPr>
            </w:pPr>
            <w:r>
              <w:rPr>
                <w:rFonts w:hint="eastAsia" w:ascii="仿宋" w:hAnsi="仿宋" w:cs="仿宋"/>
              </w:rPr>
              <w:t>(6)支持智能生成学科/专业知识图谱，直观展示课程的点以及跨课程的知识点相关关系帮助交叉学科以及整合课程的发现与规划。</w:t>
            </w:r>
          </w:p>
          <w:p w14:paraId="319D563A">
            <w:pPr>
              <w:rPr>
                <w:rFonts w:ascii="仿宋" w:hAnsi="仿宋" w:cs="仿宋"/>
              </w:rPr>
            </w:pPr>
            <w:r>
              <w:rPr>
                <w:rFonts w:hint="eastAsia" w:ascii="仿宋" w:hAnsi="仿宋" w:cs="仿宋"/>
              </w:rPr>
              <w:t>(7)支持知识图谱的显示展开收起功能，默认显示父级知识点，点击显示子级知识点。</w:t>
            </w:r>
          </w:p>
          <w:p w14:paraId="61F0A6E6">
            <w:pPr>
              <w:rPr>
                <w:rFonts w:ascii="仿宋" w:hAnsi="仿宋" w:cs="仿宋"/>
              </w:rPr>
            </w:pPr>
            <w:r>
              <w:rPr>
                <w:rFonts w:hint="eastAsia" w:ascii="仿宋" w:hAnsi="仿宋" w:cs="仿宋"/>
              </w:rPr>
              <w:t>(8)教师端在图谱上支持显示所有知识点的综合统计情况卡片。</w:t>
            </w:r>
          </w:p>
          <w:p w14:paraId="47EE3082">
            <w:pPr>
              <w:rPr>
                <w:rFonts w:ascii="仿宋" w:hAnsi="仿宋" w:cs="仿宋"/>
              </w:rPr>
            </w:pPr>
            <w:r>
              <w:rPr>
                <w:rFonts w:hint="eastAsia" w:ascii="仿宋" w:hAnsi="仿宋" w:cs="仿宋"/>
              </w:rPr>
              <w:t>(9)支持显示教师端自定义图谱样式，并进行配色方案切换展示。</w:t>
            </w:r>
          </w:p>
          <w:p w14:paraId="5EC682DB">
            <w:pPr>
              <w:rPr>
                <w:rFonts w:ascii="仿宋" w:hAnsi="仿宋" w:cs="仿宋"/>
              </w:rPr>
            </w:pPr>
            <w:r>
              <w:rPr>
                <w:rFonts w:hint="eastAsia" w:ascii="仿宋" w:hAnsi="仿宋" w:cs="仿宋"/>
              </w:rPr>
              <w:t>(10)支持思维导图模式展示图谱内容，支持切换不同的结构形式查看以及检索知识点快速查找；同时思维导图支持编辑模式，可进行操作的回退前进，知识点的增删改，以及属性编辑等。</w:t>
            </w:r>
          </w:p>
          <w:p w14:paraId="5E16B6E4">
            <w:pPr>
              <w:rPr>
                <w:rFonts w:ascii="仿宋" w:hAnsi="仿宋" w:cs="仿宋"/>
              </w:rPr>
            </w:pPr>
            <w:r>
              <w:rPr>
                <w:rFonts w:hint="eastAsia" w:ascii="仿宋" w:hAnsi="仿宋" w:cs="仿宋"/>
              </w:rPr>
              <w:t>(11)问题图谱模块，支持教师进行问题图谱建设(支持自定义名称及描述)，添加问题卡片，同一层级的卡片支持拖动移动，拖动连线串联及删除连接等快捷操作，同时可进行标签以及知识点的关联关系建立；支持查看此问题关联的知识点小图谱，基于问题支线进行知识串联，能更好的进行同一问题场景下的知识学习。</w:t>
            </w:r>
          </w:p>
        </w:tc>
      </w:tr>
      <w:tr w14:paraId="6E59E76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rPr>
        <w:tc>
          <w:tcPr>
            <w:tcW w:w="532" w:type="pct"/>
            <w:vMerge w:val="continue"/>
            <w:tcBorders>
              <w:left w:val="single" w:color="000000" w:sz="4" w:space="0"/>
              <w:right w:val="single" w:color="000000" w:sz="4" w:space="0"/>
            </w:tcBorders>
            <w:shd w:val="clear" w:color="auto" w:fill="auto"/>
            <w:noWrap/>
            <w:vAlign w:val="center"/>
          </w:tcPr>
          <w:p w14:paraId="26F276F2">
            <w:pPr>
              <w:jc w:val="center"/>
              <w:rPr>
                <w:rFonts w:ascii="仿宋" w:hAnsi="仿宋" w:cs="仿宋"/>
              </w:rPr>
            </w:pPr>
          </w:p>
        </w:tc>
        <w:tc>
          <w:tcPr>
            <w:tcW w:w="506"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61FE4D82">
            <w:pPr>
              <w:jc w:val="center"/>
              <w:rPr>
                <w:rFonts w:ascii="仿宋" w:hAnsi="仿宋" w:cs="仿宋"/>
              </w:rPr>
            </w:pPr>
            <w:r>
              <w:rPr>
                <w:rFonts w:hint="eastAsia" w:ascii="仿宋" w:hAnsi="仿宋" w:cs="仿宋"/>
              </w:rPr>
              <w:t>4.4、</w:t>
            </w:r>
          </w:p>
          <w:p w14:paraId="62FC691C">
            <w:pPr>
              <w:jc w:val="center"/>
              <w:rPr>
                <w:rFonts w:ascii="仿宋" w:hAnsi="仿宋" w:cs="仿宋"/>
              </w:rPr>
            </w:pPr>
            <w:r>
              <w:rPr>
                <w:rFonts w:hint="eastAsia" w:ascii="仿宋" w:hAnsi="仿宋" w:cs="仿宋"/>
              </w:rPr>
              <w:t>知识图谱应用</w:t>
            </w:r>
          </w:p>
        </w:tc>
        <w:tc>
          <w:tcPr>
            <w:tcW w:w="3961" w:type="pct"/>
            <w:tcBorders>
              <w:top w:val="single" w:color="auto" w:sz="4" w:space="0"/>
              <w:left w:val="single" w:color="000000" w:sz="4" w:space="0"/>
              <w:bottom w:val="single" w:color="auto" w:sz="4" w:space="0"/>
            </w:tcBorders>
            <w:shd w:val="clear" w:color="auto" w:fill="auto"/>
            <w:noWrap/>
            <w:vAlign w:val="center"/>
          </w:tcPr>
          <w:p w14:paraId="52A19461">
            <w:pPr>
              <w:rPr>
                <w:rFonts w:ascii="仿宋" w:hAnsi="仿宋" w:cs="仿宋"/>
              </w:rPr>
            </w:pPr>
            <w:r>
              <w:rPr>
                <w:rFonts w:hint="eastAsia" w:ascii="仿宋" w:hAnsi="仿宋" w:cs="仿宋"/>
              </w:rPr>
              <w:t>(1)资源：支持教师对课程章节中的视频、音频、文档、图书、章节测验等进行知识点标记，学生可以按照知识点进行任务学习。视频播放时学生可以快速定位到对应的知识点位置进行学习。</w:t>
            </w:r>
          </w:p>
          <w:p w14:paraId="1F6427D2">
            <w:pPr>
              <w:rPr>
                <w:rFonts w:ascii="仿宋" w:hAnsi="仿宋" w:cs="仿宋"/>
              </w:rPr>
            </w:pPr>
            <w:r>
              <w:rPr>
                <w:rFonts w:hint="eastAsia" w:ascii="仿宋" w:hAnsi="仿宋" w:cs="仿宋"/>
              </w:rPr>
              <w:t>(2)题库：支持在创建或编辑题目时标记每道题对应的知识点，并支持按知识点筛选管理题目；题目关联知识点操作时系统支持智能推荐知识点，便于教师快速进行关联操作。</w:t>
            </w:r>
          </w:p>
          <w:p w14:paraId="37199133">
            <w:pPr>
              <w:rPr>
                <w:rFonts w:ascii="仿宋" w:hAnsi="仿宋" w:cs="仿宋"/>
              </w:rPr>
            </w:pPr>
            <w:r>
              <w:rPr>
                <w:rFonts w:hint="eastAsia" w:ascii="仿宋" w:hAnsi="仿宋" w:cs="仿宋"/>
              </w:rPr>
              <w:t>(3)作业：创建作业时，按知识点抽题，组建带有知识点的作业发放给学生作答。</w:t>
            </w:r>
          </w:p>
          <w:p w14:paraId="2A027CB4">
            <w:pPr>
              <w:rPr>
                <w:rFonts w:ascii="仿宋" w:hAnsi="仿宋" w:cs="仿宋"/>
              </w:rPr>
            </w:pPr>
            <w:r>
              <w:rPr>
                <w:rFonts w:hint="eastAsia" w:ascii="仿宋" w:hAnsi="仿宋" w:cs="仿宋"/>
              </w:rPr>
              <w:t>(4)考试：手动组建考试试卷和智能组卷可以按知识点抽题，组建带有知识点的试卷发放给学生考试。</w:t>
            </w:r>
          </w:p>
          <w:p w14:paraId="43F7039F">
            <w:pPr>
              <w:rPr>
                <w:rFonts w:ascii="仿宋" w:hAnsi="仿宋" w:cs="仿宋"/>
              </w:rPr>
            </w:pPr>
            <w:r>
              <w:rPr>
                <w:rFonts w:hint="eastAsia" w:ascii="仿宋" w:hAnsi="仿宋" w:cs="仿宋"/>
              </w:rPr>
              <w:t>(5)支持学生查看课程知识图谱，按知识点进行课程任务学习，观看课程视频，阅读课程资料等，并查看每个知识点的学习进度、掌握情况。支持为学生推荐知识点相关资源，帮助学生拓展学习。支持学生按知识点从题库或错题本抽题，逐题自测。</w:t>
            </w:r>
          </w:p>
        </w:tc>
      </w:tr>
      <w:tr w14:paraId="14116EF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rPr>
        <w:tc>
          <w:tcPr>
            <w:tcW w:w="532" w:type="pct"/>
            <w:vMerge w:val="continue"/>
            <w:tcBorders>
              <w:left w:val="single" w:color="000000" w:sz="4" w:space="0"/>
              <w:right w:val="single" w:color="000000" w:sz="4" w:space="0"/>
            </w:tcBorders>
            <w:shd w:val="clear" w:color="auto" w:fill="auto"/>
            <w:noWrap/>
            <w:vAlign w:val="center"/>
          </w:tcPr>
          <w:p w14:paraId="4D1EF449">
            <w:pPr>
              <w:jc w:val="center"/>
              <w:rPr>
                <w:rFonts w:ascii="仿宋" w:hAnsi="仿宋" w:cs="仿宋"/>
              </w:rPr>
            </w:pPr>
          </w:p>
        </w:tc>
        <w:tc>
          <w:tcPr>
            <w:tcW w:w="506"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3C2297C0">
            <w:pPr>
              <w:jc w:val="center"/>
              <w:rPr>
                <w:rFonts w:ascii="仿宋" w:hAnsi="仿宋" w:cs="仿宋"/>
              </w:rPr>
            </w:pPr>
            <w:r>
              <w:rPr>
                <w:rFonts w:hint="eastAsia" w:ascii="仿宋" w:hAnsi="仿宋" w:cs="仿宋"/>
              </w:rPr>
              <w:t>4.5</w:t>
            </w:r>
          </w:p>
          <w:p w14:paraId="2EB657AE">
            <w:pPr>
              <w:jc w:val="center"/>
              <w:rPr>
                <w:rFonts w:ascii="仿宋" w:hAnsi="仿宋" w:cs="仿宋"/>
              </w:rPr>
            </w:pPr>
            <w:r>
              <w:rPr>
                <w:rFonts w:hint="eastAsia" w:ascii="仿宋" w:hAnsi="仿宋" w:cs="仿宋"/>
              </w:rPr>
              <w:t>知识图谱统计</w:t>
            </w:r>
          </w:p>
        </w:tc>
        <w:tc>
          <w:tcPr>
            <w:tcW w:w="3961" w:type="pct"/>
            <w:tcBorders>
              <w:top w:val="single" w:color="auto" w:sz="4" w:space="0"/>
              <w:left w:val="single" w:color="000000" w:sz="4" w:space="0"/>
              <w:bottom w:val="single" w:color="auto" w:sz="4" w:space="0"/>
            </w:tcBorders>
            <w:shd w:val="clear" w:color="auto" w:fill="auto"/>
            <w:noWrap/>
            <w:vAlign w:val="center"/>
          </w:tcPr>
          <w:p w14:paraId="2E806BEC">
            <w:pPr>
              <w:rPr>
                <w:rFonts w:ascii="仿宋" w:hAnsi="仿宋" w:cs="仿宋"/>
              </w:rPr>
            </w:pPr>
            <w:r>
              <w:rPr>
                <w:rFonts w:hint="eastAsia" w:ascii="仿宋" w:hAnsi="仿宋" w:cs="仿宋"/>
              </w:rPr>
              <w:t>(1)支持教师查看班级整体知识点分析统计，查看知识点平均完成率、平均掌握率、完成率分布和掌握率分布等；支持按知识点查看每个知识点的关联学习资源数、平均完成率、平均掌握率、课程资料数、课程资料人均阅读情况等。</w:t>
            </w:r>
          </w:p>
          <w:p w14:paraId="6BEA11C3">
            <w:pPr>
              <w:rPr>
                <w:rFonts w:ascii="仿宋" w:hAnsi="仿宋" w:cs="仿宋"/>
              </w:rPr>
            </w:pPr>
            <w:r>
              <w:rPr>
                <w:rFonts w:hint="eastAsia" w:ascii="仿宋" w:hAnsi="仿宋" w:cs="仿宋"/>
              </w:rPr>
              <w:t>(2)支持教师查看单个知识点的班级统计分析详情和推荐资源，包括此知识点的平均完成率、最高掌握率、最低掌握率、平均掌握率、每个学生的此知识点完成情况和掌握情况、此知识点的每个教学任务的平均完成情况、掌握情况等，以及查看此知识点的课程资源和系统推荐的拓展资源，支持教师添加拓展资源到课程，方便教师共享给学生阅读观看。</w:t>
            </w:r>
          </w:p>
          <w:p w14:paraId="75CDF216">
            <w:pPr>
              <w:rPr>
                <w:rFonts w:ascii="仿宋" w:hAnsi="仿宋" w:cs="仿宋"/>
              </w:rPr>
            </w:pPr>
            <w:r>
              <w:rPr>
                <w:rFonts w:hint="eastAsia" w:ascii="仿宋" w:hAnsi="仿宋" w:cs="仿宋"/>
              </w:rPr>
              <w:t>(3)支持查看班级下每个学生的知识点平均完成情况、平均掌握情况、课程资料阅读情况等。</w:t>
            </w:r>
          </w:p>
          <w:p w14:paraId="0FADEF00">
            <w:pPr>
              <w:rPr>
                <w:rFonts w:ascii="仿宋" w:hAnsi="仿宋" w:cs="仿宋"/>
              </w:rPr>
            </w:pPr>
            <w:r>
              <w:rPr>
                <w:rFonts w:hint="eastAsia" w:ascii="仿宋" w:hAnsi="仿宋" w:cs="仿宋"/>
              </w:rPr>
              <w:t>(4)支持教师查看某一位学生的每个知识点的详情统计，包括每个知识点的完成情况、掌握情况、课程资料阅读情况等；支持查看某一位学生某个知识点的统计详情，包括学生此知识点的完成情况、掌握情况、知识点关联的学习任务完成详情等以及查看此知识点的课程资源和系统推荐的拓展资源。</w:t>
            </w:r>
          </w:p>
          <w:p w14:paraId="08C5AB4A">
            <w:pPr>
              <w:rPr>
                <w:rFonts w:ascii="仿宋" w:hAnsi="仿宋" w:cs="仿宋"/>
              </w:rPr>
            </w:pPr>
            <w:r>
              <w:rPr>
                <w:rFonts w:hint="eastAsia" w:ascii="仿宋" w:hAnsi="仿宋" w:cs="仿宋"/>
              </w:rPr>
              <w:t>(5)支持自定义变量进行统计，系统自动输出图谱或散点图。</w:t>
            </w:r>
          </w:p>
        </w:tc>
      </w:tr>
      <w:tr w14:paraId="42D1C42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rPr>
        <w:tc>
          <w:tcPr>
            <w:tcW w:w="532" w:type="pct"/>
            <w:vMerge w:val="continue"/>
            <w:tcBorders>
              <w:left w:val="single" w:color="000000" w:sz="4" w:space="0"/>
              <w:bottom w:val="single" w:color="000000" w:sz="4" w:space="0"/>
              <w:right w:val="single" w:color="000000" w:sz="4" w:space="0"/>
            </w:tcBorders>
            <w:shd w:val="clear" w:color="auto" w:fill="auto"/>
            <w:noWrap/>
            <w:vAlign w:val="center"/>
          </w:tcPr>
          <w:p w14:paraId="5E312AF0">
            <w:pPr>
              <w:jc w:val="center"/>
              <w:rPr>
                <w:rFonts w:ascii="仿宋" w:hAnsi="仿宋" w:cs="仿宋"/>
              </w:rPr>
            </w:pPr>
          </w:p>
        </w:tc>
        <w:tc>
          <w:tcPr>
            <w:tcW w:w="506"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05AD4B93">
            <w:pPr>
              <w:jc w:val="center"/>
              <w:rPr>
                <w:rFonts w:ascii="仿宋" w:hAnsi="仿宋" w:cs="仿宋"/>
              </w:rPr>
            </w:pPr>
            <w:r>
              <w:rPr>
                <w:rFonts w:hint="eastAsia" w:ascii="仿宋" w:hAnsi="仿宋" w:cs="仿宋"/>
              </w:rPr>
              <w:t>4.6</w:t>
            </w:r>
          </w:p>
          <w:p w14:paraId="1F0820F5">
            <w:pPr>
              <w:jc w:val="center"/>
              <w:rPr>
                <w:rFonts w:ascii="仿宋" w:hAnsi="仿宋" w:cs="仿宋"/>
              </w:rPr>
            </w:pPr>
            <w:r>
              <w:rPr>
                <w:rFonts w:hint="eastAsia" w:ascii="仿宋" w:hAnsi="仿宋" w:cs="仿宋"/>
              </w:rPr>
              <w:t>资源推荐</w:t>
            </w:r>
          </w:p>
        </w:tc>
        <w:tc>
          <w:tcPr>
            <w:tcW w:w="3961" w:type="pct"/>
            <w:tcBorders>
              <w:top w:val="single" w:color="auto" w:sz="4" w:space="0"/>
              <w:left w:val="single" w:color="000000" w:sz="4" w:space="0"/>
              <w:bottom w:val="single" w:color="auto" w:sz="4" w:space="0"/>
            </w:tcBorders>
            <w:shd w:val="clear" w:color="auto" w:fill="auto"/>
            <w:noWrap/>
            <w:vAlign w:val="center"/>
          </w:tcPr>
          <w:p w14:paraId="1EB38BEE">
            <w:pPr>
              <w:rPr>
                <w:rFonts w:ascii="仿宋" w:hAnsi="仿宋" w:cs="仿宋"/>
              </w:rPr>
            </w:pPr>
            <w:r>
              <w:rPr>
                <w:rFonts w:hint="eastAsia" w:ascii="仿宋" w:hAnsi="仿宋" w:cs="仿宋"/>
              </w:rPr>
              <w:t>(1)支持学生查看基于知识点的智能学习路径，系统根据学生知识点掌握情况，智能规划知识点学习路径，学生可以按学习路径进行知识点的学习和巩固。</w:t>
            </w:r>
          </w:p>
          <w:p w14:paraId="0BF9990B">
            <w:pPr>
              <w:rPr>
                <w:rFonts w:ascii="仿宋" w:hAnsi="仿宋" w:cs="仿宋"/>
              </w:rPr>
            </w:pPr>
            <w:r>
              <w:rPr>
                <w:rFonts w:hint="eastAsia" w:ascii="仿宋" w:hAnsi="仿宋" w:cs="仿宋"/>
              </w:rPr>
              <w:t>(2)支持按照知识点，系统智能推荐拓展资源给学生学习。</w:t>
            </w:r>
          </w:p>
          <w:p w14:paraId="5CF99C2A">
            <w:pPr>
              <w:rPr>
                <w:rFonts w:ascii="仿宋" w:hAnsi="仿宋" w:cs="仿宋"/>
              </w:rPr>
            </w:pPr>
            <w:r>
              <w:rPr>
                <w:rFonts w:hint="eastAsia" w:ascii="仿宋" w:hAnsi="仿宋" w:cs="仿宋"/>
              </w:rPr>
              <w:t>(3)支持推荐课内资源(教师关联的资源)和一期教学平台资源(海量安全权威的资源推荐)，并支持一键添加关联。</w:t>
            </w:r>
          </w:p>
          <w:p w14:paraId="654EFFA2">
            <w:pPr>
              <w:rPr>
                <w:rFonts w:ascii="仿宋" w:hAnsi="仿宋" w:cs="仿宋"/>
              </w:rPr>
            </w:pPr>
            <w:r>
              <w:rPr>
                <w:rFonts w:hint="eastAsia" w:ascii="仿宋" w:hAnsi="仿宋" w:cs="仿宋"/>
              </w:rPr>
              <w:t>(4)支持课程和专业的知识图谱资源推荐。</w:t>
            </w:r>
          </w:p>
        </w:tc>
      </w:tr>
      <w:tr w14:paraId="3FCE522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rPr>
        <w:tc>
          <w:tcPr>
            <w:tcW w:w="532" w:type="pct"/>
            <w:vMerge w:val="restart"/>
            <w:tcBorders>
              <w:left w:val="single" w:color="000000" w:sz="4" w:space="0"/>
              <w:right w:val="single" w:color="000000" w:sz="4" w:space="0"/>
            </w:tcBorders>
            <w:shd w:val="clear" w:color="auto" w:fill="auto"/>
            <w:noWrap/>
            <w:vAlign w:val="center"/>
          </w:tcPr>
          <w:p w14:paraId="0C7D7572">
            <w:pPr>
              <w:jc w:val="center"/>
              <w:rPr>
                <w:rFonts w:ascii="仿宋" w:hAnsi="仿宋" w:cs="仿宋"/>
              </w:rPr>
            </w:pPr>
            <w:r>
              <w:rPr>
                <w:rFonts w:hint="eastAsia" w:ascii="仿宋" w:hAnsi="仿宋" w:cs="仿宋"/>
              </w:rPr>
              <w:t>5</w:t>
            </w:r>
          </w:p>
          <w:p w14:paraId="1C1161D4">
            <w:pPr>
              <w:jc w:val="center"/>
              <w:rPr>
                <w:rFonts w:ascii="仿宋" w:hAnsi="仿宋" w:cs="仿宋"/>
              </w:rPr>
            </w:pPr>
            <w:r>
              <w:rPr>
                <w:rFonts w:hint="eastAsia" w:ascii="仿宋" w:hAnsi="仿宋" w:cs="仿宋"/>
              </w:rPr>
              <w:t>智能客服</w:t>
            </w:r>
          </w:p>
        </w:tc>
        <w:tc>
          <w:tcPr>
            <w:tcW w:w="506"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21973161">
            <w:pPr>
              <w:jc w:val="center"/>
              <w:rPr>
                <w:rFonts w:ascii="仿宋" w:hAnsi="仿宋" w:cs="仿宋"/>
              </w:rPr>
            </w:pPr>
            <w:r>
              <w:rPr>
                <w:rFonts w:hint="eastAsia" w:ascii="仿宋" w:hAnsi="仿宋" w:cs="仿宋"/>
              </w:rPr>
              <w:t>5.1</w:t>
            </w:r>
          </w:p>
          <w:p w14:paraId="423DF721">
            <w:pPr>
              <w:jc w:val="center"/>
              <w:rPr>
                <w:rFonts w:ascii="仿宋" w:hAnsi="仿宋" w:cs="仿宋"/>
              </w:rPr>
            </w:pPr>
            <w:r>
              <w:rPr>
                <w:rFonts w:hint="eastAsia" w:ascii="仿宋" w:hAnsi="仿宋" w:cs="仿宋"/>
              </w:rPr>
              <w:t>总体要求</w:t>
            </w:r>
          </w:p>
        </w:tc>
        <w:tc>
          <w:tcPr>
            <w:tcW w:w="3961" w:type="pct"/>
            <w:tcBorders>
              <w:top w:val="single" w:color="auto" w:sz="4" w:space="0"/>
              <w:left w:val="single" w:color="000000" w:sz="4" w:space="0"/>
              <w:bottom w:val="single" w:color="auto" w:sz="4" w:space="0"/>
            </w:tcBorders>
            <w:shd w:val="clear" w:color="auto" w:fill="auto"/>
            <w:noWrap/>
            <w:vAlign w:val="center"/>
          </w:tcPr>
          <w:p w14:paraId="08470379">
            <w:pPr>
              <w:rPr>
                <w:rFonts w:ascii="仿宋" w:hAnsi="仿宋" w:cs="仿宋"/>
              </w:rPr>
            </w:pPr>
            <w:r>
              <w:rPr>
                <w:rFonts w:hint="eastAsia" w:ascii="仿宋" w:hAnsi="仿宋" w:cs="仿宋"/>
              </w:rPr>
              <w:t>优化服务流程和标准，进行智能化客服建设，实现机器人智能解答和人工客服服务相结合，强化问答统计分析能力，提高数字化学习支持服务能力。</w:t>
            </w:r>
          </w:p>
        </w:tc>
      </w:tr>
      <w:tr w14:paraId="103BD0F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rPr>
        <w:tc>
          <w:tcPr>
            <w:tcW w:w="532" w:type="pct"/>
            <w:vMerge w:val="continue"/>
            <w:tcBorders>
              <w:left w:val="single" w:color="000000" w:sz="4" w:space="0"/>
              <w:right w:val="single" w:color="000000" w:sz="4" w:space="0"/>
            </w:tcBorders>
            <w:shd w:val="clear" w:color="auto" w:fill="auto"/>
            <w:noWrap/>
            <w:vAlign w:val="center"/>
          </w:tcPr>
          <w:p w14:paraId="13533941">
            <w:pPr>
              <w:jc w:val="center"/>
              <w:rPr>
                <w:rFonts w:ascii="仿宋" w:hAnsi="仿宋" w:cs="仿宋"/>
              </w:rPr>
            </w:pPr>
          </w:p>
        </w:tc>
        <w:tc>
          <w:tcPr>
            <w:tcW w:w="506"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48DB4396">
            <w:pPr>
              <w:jc w:val="center"/>
              <w:rPr>
                <w:rFonts w:ascii="仿宋" w:hAnsi="仿宋" w:cs="仿宋"/>
              </w:rPr>
            </w:pPr>
            <w:r>
              <w:rPr>
                <w:rFonts w:hint="eastAsia" w:ascii="仿宋" w:hAnsi="仿宋" w:cs="仿宋"/>
              </w:rPr>
              <w:t>5.2</w:t>
            </w:r>
          </w:p>
          <w:p w14:paraId="77C715A6">
            <w:pPr>
              <w:jc w:val="center"/>
              <w:rPr>
                <w:rFonts w:ascii="仿宋" w:hAnsi="仿宋" w:cs="仿宋"/>
              </w:rPr>
            </w:pPr>
            <w:r>
              <w:rPr>
                <w:rFonts w:hint="eastAsia" w:ascii="仿宋" w:hAnsi="仿宋" w:cs="仿宋"/>
              </w:rPr>
              <w:t>机器人智能解答</w:t>
            </w:r>
          </w:p>
        </w:tc>
        <w:tc>
          <w:tcPr>
            <w:tcW w:w="3961" w:type="pct"/>
            <w:tcBorders>
              <w:top w:val="single" w:color="auto" w:sz="4" w:space="0"/>
              <w:left w:val="single" w:color="000000" w:sz="4" w:space="0"/>
              <w:bottom w:val="single" w:color="auto" w:sz="4" w:space="0"/>
            </w:tcBorders>
            <w:shd w:val="clear" w:color="auto" w:fill="auto"/>
            <w:noWrap/>
            <w:vAlign w:val="center"/>
          </w:tcPr>
          <w:p w14:paraId="011526B6">
            <w:pPr>
              <w:rPr>
                <w:rFonts w:ascii="仿宋" w:hAnsi="仿宋" w:cs="仿宋"/>
              </w:rPr>
            </w:pPr>
            <w:r>
              <w:rPr>
                <w:rFonts w:hint="eastAsia" w:ascii="仿宋" w:hAnsi="仿宋" w:cs="仿宋"/>
              </w:rPr>
              <w:t>(1)支持自定义添加、编辑、删除业务问答分类，分类数量无限制；批量导入、批量导出、批量删除业务问答规则，业务问答规则数量无限制。</w:t>
            </w:r>
          </w:p>
          <w:p w14:paraId="5A5E0D8A">
            <w:pPr>
              <w:rPr>
                <w:rFonts w:ascii="仿宋" w:hAnsi="仿宋" w:cs="仿宋"/>
              </w:rPr>
            </w:pPr>
            <w:r>
              <w:rPr>
                <w:rFonts w:hint="eastAsia" w:ascii="仿宋" w:hAnsi="仿宋" w:cs="仿宋"/>
              </w:rPr>
              <w:t>(2)支持手工启用、手工停用业务问答规则，同时可根据关键词搜索业务内容。</w:t>
            </w:r>
          </w:p>
          <w:p w14:paraId="0770827E">
            <w:pPr>
              <w:rPr>
                <w:rFonts w:ascii="仿宋" w:hAnsi="仿宋" w:cs="仿宋"/>
              </w:rPr>
            </w:pPr>
            <w:r>
              <w:rPr>
                <w:rFonts w:hint="eastAsia" w:ascii="仿宋" w:hAnsi="仿宋" w:cs="仿宋"/>
              </w:rPr>
              <w:t>(3)支持在业务问答规则中，回答的答案支持文本、图片、语音、视频、自定义级联菜单、图文混排、链接等多种内容。</w:t>
            </w:r>
          </w:p>
          <w:p w14:paraId="1A5F84D9">
            <w:pPr>
              <w:rPr>
                <w:rFonts w:ascii="仿宋" w:hAnsi="仿宋" w:cs="仿宋"/>
              </w:rPr>
            </w:pPr>
            <w:r>
              <w:rPr>
                <w:rFonts w:hint="eastAsia" w:ascii="仿宋" w:hAnsi="仿宋" w:cs="仿宋"/>
              </w:rPr>
              <w:t>(4)支持自定义添加、编辑业务问答中问题标签；问答时根据标签进行问答提示。</w:t>
            </w:r>
          </w:p>
          <w:p w14:paraId="11C2D6D1">
            <w:pPr>
              <w:rPr>
                <w:rFonts w:ascii="仿宋" w:hAnsi="仿宋" w:cs="仿宋"/>
              </w:rPr>
            </w:pPr>
            <w:r>
              <w:rPr>
                <w:rFonts w:hint="eastAsia" w:ascii="仿宋" w:hAnsi="仿宋" w:cs="仿宋"/>
              </w:rPr>
              <w:t>(5)机器人自动对没有答案的问题描述进行关键词识别并统计聚类，按照关键词问答频率由高到低排序，同时可以批量导出未知问题。</w:t>
            </w:r>
          </w:p>
          <w:p w14:paraId="61C6DD5C">
            <w:pPr>
              <w:rPr>
                <w:rFonts w:ascii="仿宋" w:hAnsi="仿宋" w:cs="仿宋"/>
              </w:rPr>
            </w:pPr>
            <w:r>
              <w:rPr>
                <w:rFonts w:hint="eastAsia" w:ascii="仿宋" w:hAnsi="仿宋" w:cs="仿宋"/>
              </w:rPr>
              <w:t>(6)支持手工添加未知问题到业务问答规则，并支持自定义修改。</w:t>
            </w:r>
          </w:p>
          <w:p w14:paraId="7FF864B5">
            <w:pPr>
              <w:rPr>
                <w:rFonts w:ascii="仿宋" w:hAnsi="仿宋" w:cs="仿宋"/>
              </w:rPr>
            </w:pPr>
            <w:r>
              <w:rPr>
                <w:rFonts w:hint="eastAsia" w:ascii="仿宋" w:hAnsi="仿宋" w:cs="仿宋"/>
              </w:rPr>
              <w:t>(7)支持知识问答，内置知识图谱，可以回答常识类问题，比如“李白是谁”等。</w:t>
            </w:r>
          </w:p>
          <w:p w14:paraId="08A8324C">
            <w:pPr>
              <w:rPr>
                <w:rFonts w:ascii="仿宋" w:hAnsi="仿宋" w:cs="仿宋"/>
              </w:rPr>
            </w:pPr>
            <w:r>
              <w:rPr>
                <w:rFonts w:hint="eastAsia" w:ascii="仿宋" w:hAnsi="仿宋" w:cs="仿宋"/>
              </w:rPr>
              <w:t>(8)支持查询图书、期刊等文献，根据用户输入问题推荐相关文献；支持期刊元数据查看以及文献传递。</w:t>
            </w:r>
          </w:p>
          <w:p w14:paraId="216E27A2">
            <w:pPr>
              <w:rPr>
                <w:rFonts w:ascii="仿宋" w:hAnsi="仿宋" w:cs="仿宋"/>
              </w:rPr>
            </w:pPr>
            <w:r>
              <w:rPr>
                <w:rFonts w:hint="eastAsia" w:ascii="仿宋" w:hAnsi="仿宋" w:cs="仿宋"/>
              </w:rPr>
              <w:t>(9)支持根据用户输入问题进行匹配提示，支持问答无匹配时，提供用户语义中相似度最高的热门问题。</w:t>
            </w:r>
          </w:p>
          <w:p w14:paraId="39EE30FC">
            <w:pPr>
              <w:rPr>
                <w:rFonts w:ascii="仿宋" w:hAnsi="仿宋" w:cs="仿宋"/>
              </w:rPr>
            </w:pPr>
            <w:r>
              <w:rPr>
                <w:rFonts w:hint="eastAsia" w:ascii="仿宋" w:hAnsi="仿宋" w:cs="仿宋"/>
              </w:rPr>
              <w:t>(10)答案支持添加富文本、图文、图片、语音、菜单等多种格式的素材。</w:t>
            </w:r>
          </w:p>
          <w:p w14:paraId="30ABF7D3">
            <w:pPr>
              <w:rPr>
                <w:rFonts w:ascii="仿宋" w:hAnsi="仿宋" w:cs="仿宋"/>
              </w:rPr>
            </w:pPr>
            <w:r>
              <w:rPr>
                <w:rFonts w:hint="eastAsia" w:ascii="仿宋" w:hAnsi="仿宋" w:cs="仿宋"/>
              </w:rPr>
              <w:t>(11)支持微应用智能推荐。</w:t>
            </w:r>
          </w:p>
          <w:p w14:paraId="3C8BE261">
            <w:pPr>
              <w:rPr>
                <w:rFonts w:ascii="仿宋" w:hAnsi="仿宋" w:cs="仿宋"/>
              </w:rPr>
            </w:pPr>
            <w:r>
              <w:rPr>
                <w:rFonts w:hint="eastAsia" w:ascii="仿宋" w:hAnsi="仿宋" w:cs="仿宋"/>
              </w:rPr>
              <w:t>(12)智能学习功能，根据用户行为自动记录待学习问题，超级管理员可进行一键学习或一键通过。</w:t>
            </w:r>
          </w:p>
          <w:p w14:paraId="070A1980">
            <w:pPr>
              <w:rPr>
                <w:rFonts w:ascii="仿宋" w:hAnsi="仿宋" w:cs="仿宋"/>
              </w:rPr>
            </w:pPr>
            <w:r>
              <w:rPr>
                <w:rFonts w:hint="eastAsia" w:ascii="仿宋" w:hAnsi="仿宋" w:cs="仿宋"/>
              </w:rPr>
              <w:t>(13)问答库支持智能导入，上传文档后可通过AI抽取自动抽取出问答。抽取的问答支持添加到问答库。</w:t>
            </w:r>
          </w:p>
          <w:p w14:paraId="0EA734F9">
            <w:pPr>
              <w:rPr>
                <w:rFonts w:ascii="仿宋" w:hAnsi="仿宋" w:cs="仿宋"/>
              </w:rPr>
            </w:pPr>
            <w:r>
              <w:rPr>
                <w:rFonts w:hint="eastAsia" w:ascii="仿宋" w:hAnsi="仿宋" w:cs="仿宋"/>
              </w:rPr>
              <w:t>(14)支持自定义设置机器人头像、机器人名称、机器人标题等，可自定义添加多位机器人进行不同行业问答库。</w:t>
            </w:r>
          </w:p>
          <w:p w14:paraId="27AF38D1">
            <w:pPr>
              <w:rPr>
                <w:rFonts w:ascii="仿宋" w:hAnsi="仿宋" w:cs="仿宋"/>
              </w:rPr>
            </w:pPr>
            <w:r>
              <w:rPr>
                <w:rFonts w:hint="eastAsia" w:ascii="仿宋" w:hAnsi="仿宋" w:cs="仿宋"/>
              </w:rPr>
              <w:t>(15)支持设置不同接入渠道，含网页SDK接入及微信公众号接入。</w:t>
            </w:r>
          </w:p>
        </w:tc>
      </w:tr>
      <w:tr w14:paraId="41AAB3A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rPr>
        <w:tc>
          <w:tcPr>
            <w:tcW w:w="532" w:type="pct"/>
            <w:vMerge w:val="continue"/>
            <w:tcBorders>
              <w:left w:val="single" w:color="000000" w:sz="4" w:space="0"/>
              <w:right w:val="single" w:color="000000" w:sz="4" w:space="0"/>
            </w:tcBorders>
            <w:shd w:val="clear" w:color="auto" w:fill="auto"/>
            <w:noWrap/>
            <w:vAlign w:val="center"/>
          </w:tcPr>
          <w:p w14:paraId="54228A4B">
            <w:pPr>
              <w:jc w:val="center"/>
              <w:rPr>
                <w:rFonts w:ascii="仿宋" w:hAnsi="仿宋" w:cs="仿宋"/>
              </w:rPr>
            </w:pPr>
          </w:p>
        </w:tc>
        <w:tc>
          <w:tcPr>
            <w:tcW w:w="506"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03F31A3F">
            <w:pPr>
              <w:jc w:val="center"/>
              <w:rPr>
                <w:rFonts w:ascii="仿宋" w:hAnsi="仿宋" w:cs="仿宋"/>
              </w:rPr>
            </w:pPr>
            <w:r>
              <w:rPr>
                <w:rFonts w:hint="eastAsia" w:ascii="仿宋" w:hAnsi="仿宋" w:cs="仿宋"/>
              </w:rPr>
              <w:t>5.3</w:t>
            </w:r>
          </w:p>
          <w:p w14:paraId="1DB10B1D">
            <w:pPr>
              <w:jc w:val="center"/>
              <w:rPr>
                <w:rFonts w:ascii="仿宋" w:hAnsi="仿宋" w:cs="仿宋"/>
              </w:rPr>
            </w:pPr>
            <w:r>
              <w:rPr>
                <w:rFonts w:hint="eastAsia" w:ascii="仿宋" w:hAnsi="仿宋" w:cs="仿宋"/>
              </w:rPr>
              <w:t>人工客服服务</w:t>
            </w:r>
          </w:p>
        </w:tc>
        <w:tc>
          <w:tcPr>
            <w:tcW w:w="3961" w:type="pct"/>
            <w:tcBorders>
              <w:top w:val="single" w:color="auto" w:sz="4" w:space="0"/>
              <w:left w:val="single" w:color="000000" w:sz="4" w:space="0"/>
              <w:bottom w:val="single" w:color="auto" w:sz="4" w:space="0"/>
            </w:tcBorders>
            <w:shd w:val="clear" w:color="auto" w:fill="auto"/>
            <w:noWrap/>
            <w:vAlign w:val="center"/>
          </w:tcPr>
          <w:p w14:paraId="498A1B8D">
            <w:pPr>
              <w:rPr>
                <w:rFonts w:ascii="仿宋" w:hAnsi="仿宋" w:cs="仿宋"/>
              </w:rPr>
            </w:pPr>
            <w:r>
              <w:rPr>
                <w:rFonts w:hint="eastAsia" w:ascii="仿宋" w:hAnsi="仿宋" w:cs="仿宋"/>
              </w:rPr>
              <w:t>(1)人工客服会话窗口可以直接添加业务问答规则。</w:t>
            </w:r>
          </w:p>
          <w:p w14:paraId="731161DA">
            <w:pPr>
              <w:rPr>
                <w:rFonts w:ascii="仿宋" w:hAnsi="仿宋" w:cs="仿宋"/>
              </w:rPr>
            </w:pPr>
            <w:r>
              <w:rPr>
                <w:rFonts w:hint="eastAsia" w:ascii="仿宋" w:hAnsi="仿宋" w:cs="仿宋"/>
              </w:rPr>
              <w:t>(2)支持人工客服分组功能，支持访客选择不同业务组开始对话，比如“继续教育业务”、“网络中心业务”。</w:t>
            </w:r>
          </w:p>
          <w:p w14:paraId="248E9D9A">
            <w:pPr>
              <w:rPr>
                <w:rFonts w:ascii="仿宋" w:hAnsi="仿宋" w:cs="仿宋"/>
              </w:rPr>
            </w:pPr>
            <w:r>
              <w:rPr>
                <w:rFonts w:hint="eastAsia" w:ascii="仿宋" w:hAnsi="仿宋" w:cs="仿宋"/>
              </w:rPr>
              <w:t>(3)支持设置通过触发未知问题、关键词、点击转人工客服按钮等来实现自动转接人工客服。</w:t>
            </w:r>
          </w:p>
          <w:p w14:paraId="2CEE0C5F">
            <w:pPr>
              <w:rPr>
                <w:rFonts w:ascii="仿宋" w:hAnsi="仿宋" w:cs="仿宋"/>
              </w:rPr>
            </w:pPr>
            <w:r>
              <w:rPr>
                <w:rFonts w:hint="eastAsia" w:ascii="仿宋" w:hAnsi="仿宋" w:cs="仿宋"/>
              </w:rPr>
              <w:t>(4)支持人工客服不在线时留言，支持留言工单批量导出、批量删除。</w:t>
            </w:r>
          </w:p>
          <w:p w14:paraId="7F6D32A7">
            <w:pPr>
              <w:rPr>
                <w:rFonts w:ascii="仿宋" w:hAnsi="仿宋" w:cs="仿宋"/>
              </w:rPr>
            </w:pPr>
            <w:r>
              <w:rPr>
                <w:rFonts w:hint="eastAsia" w:ascii="仿宋" w:hAnsi="仿宋" w:cs="仿宋"/>
              </w:rPr>
              <w:t>(5)留言支持多次回复，支持查看回复记录和处理进度。</w:t>
            </w:r>
          </w:p>
          <w:p w14:paraId="7CAA2083">
            <w:pPr>
              <w:rPr>
                <w:rFonts w:ascii="仿宋" w:hAnsi="仿宋" w:cs="仿宋"/>
              </w:rPr>
            </w:pPr>
            <w:r>
              <w:rPr>
                <w:rFonts w:hint="eastAsia" w:ascii="仿宋" w:hAnsi="仿宋" w:cs="仿宋"/>
              </w:rPr>
              <w:t>(6)支持留言工单领取、派发、批量领取及批量派发。</w:t>
            </w:r>
          </w:p>
          <w:p w14:paraId="19DA891A">
            <w:pPr>
              <w:rPr>
                <w:rFonts w:ascii="仿宋" w:hAnsi="仿宋" w:cs="仿宋"/>
              </w:rPr>
            </w:pPr>
            <w:r>
              <w:rPr>
                <w:rFonts w:hint="eastAsia" w:ascii="仿宋" w:hAnsi="仿宋" w:cs="仿宋"/>
              </w:rPr>
              <w:t>(7)用户留言后，支持给管理员发送通知提醒。</w:t>
            </w:r>
          </w:p>
          <w:p w14:paraId="6CEBEDAC">
            <w:pPr>
              <w:rPr>
                <w:rFonts w:ascii="仿宋" w:hAnsi="仿宋" w:cs="仿宋"/>
              </w:rPr>
            </w:pPr>
            <w:r>
              <w:rPr>
                <w:rFonts w:hint="eastAsia" w:ascii="仿宋" w:hAnsi="仿宋" w:cs="仿宋"/>
              </w:rPr>
              <w:t>(8)支持会话转接，按业务组显示在线的人员列表和接待状态。</w:t>
            </w:r>
          </w:p>
          <w:p w14:paraId="63AF5ACF">
            <w:pPr>
              <w:rPr>
                <w:rFonts w:ascii="仿宋" w:hAnsi="仿宋" w:cs="仿宋"/>
              </w:rPr>
            </w:pPr>
            <w:r>
              <w:rPr>
                <w:rFonts w:hint="eastAsia" w:ascii="仿宋" w:hAnsi="仿宋" w:cs="仿宋"/>
              </w:rPr>
              <w:t>(9)增加知识库搜索功能，用户的问题按照语义匹配自动显示在搜索框。</w:t>
            </w:r>
          </w:p>
          <w:p w14:paraId="73798165">
            <w:pPr>
              <w:rPr>
                <w:rFonts w:ascii="仿宋" w:hAnsi="仿宋" w:cs="仿宋"/>
              </w:rPr>
            </w:pPr>
            <w:r>
              <w:rPr>
                <w:rFonts w:hint="eastAsia" w:ascii="仿宋" w:hAnsi="仿宋" w:cs="仿宋"/>
              </w:rPr>
              <w:t>(10)支持人工会话评价邀请。</w:t>
            </w:r>
          </w:p>
          <w:p w14:paraId="4A3BC8D3">
            <w:pPr>
              <w:rPr>
                <w:rFonts w:ascii="仿宋" w:hAnsi="仿宋" w:cs="仿宋"/>
              </w:rPr>
            </w:pPr>
            <w:r>
              <w:rPr>
                <w:rFonts w:hint="eastAsia" w:ascii="仿宋" w:hAnsi="仿宋" w:cs="仿宋"/>
              </w:rPr>
              <w:t>(11)留言支持直接添加到问答库。</w:t>
            </w:r>
          </w:p>
          <w:p w14:paraId="1C7B4C7A">
            <w:pPr>
              <w:rPr>
                <w:rFonts w:ascii="仿宋" w:hAnsi="仿宋" w:cs="仿宋"/>
              </w:rPr>
            </w:pPr>
            <w:r>
              <w:rPr>
                <w:rFonts w:hint="eastAsia" w:ascii="仿宋" w:hAnsi="仿宋" w:cs="仿宋"/>
              </w:rPr>
              <w:t>(12)人工会话结束后，支持自动发送会话评价；客服可手动发出会话评价；访客可自己进行会话评价。</w:t>
            </w:r>
          </w:p>
          <w:p w14:paraId="5C220587">
            <w:pPr>
              <w:rPr>
                <w:rFonts w:ascii="仿宋" w:hAnsi="仿宋" w:cs="仿宋"/>
              </w:rPr>
            </w:pPr>
            <w:r>
              <w:rPr>
                <w:rFonts w:hint="eastAsia" w:ascii="仿宋" w:hAnsi="仿宋" w:cs="仿宋"/>
              </w:rPr>
              <w:t>(13)支持快捷回复语自定义设置功能。</w:t>
            </w:r>
          </w:p>
        </w:tc>
      </w:tr>
      <w:tr w14:paraId="23DD1BB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rPr>
        <w:tc>
          <w:tcPr>
            <w:tcW w:w="532" w:type="pct"/>
            <w:vMerge w:val="continue"/>
            <w:tcBorders>
              <w:left w:val="single" w:color="000000" w:sz="4" w:space="0"/>
              <w:right w:val="single" w:color="000000" w:sz="4" w:space="0"/>
            </w:tcBorders>
            <w:shd w:val="clear" w:color="auto" w:fill="auto"/>
            <w:noWrap/>
            <w:vAlign w:val="center"/>
          </w:tcPr>
          <w:p w14:paraId="042C01FC">
            <w:pPr>
              <w:jc w:val="center"/>
              <w:rPr>
                <w:rFonts w:ascii="仿宋" w:hAnsi="仿宋" w:cs="仿宋"/>
              </w:rPr>
            </w:pPr>
          </w:p>
        </w:tc>
        <w:tc>
          <w:tcPr>
            <w:tcW w:w="506"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59DBB844">
            <w:pPr>
              <w:jc w:val="center"/>
              <w:rPr>
                <w:rFonts w:ascii="仿宋" w:hAnsi="仿宋" w:cs="仿宋"/>
              </w:rPr>
            </w:pPr>
            <w:r>
              <w:rPr>
                <w:rFonts w:hint="eastAsia" w:ascii="仿宋" w:hAnsi="仿宋" w:cs="仿宋"/>
              </w:rPr>
              <w:t>5.4</w:t>
            </w:r>
          </w:p>
          <w:p w14:paraId="11DFB467">
            <w:pPr>
              <w:rPr>
                <w:rFonts w:ascii="仿宋" w:hAnsi="仿宋" w:cs="仿宋"/>
              </w:rPr>
            </w:pPr>
            <w:r>
              <w:rPr>
                <w:rFonts w:hint="eastAsia" w:ascii="仿宋" w:hAnsi="仿宋" w:cs="仿宋"/>
              </w:rPr>
              <w:t>数智人服务</w:t>
            </w:r>
          </w:p>
        </w:tc>
        <w:tc>
          <w:tcPr>
            <w:tcW w:w="3961" w:type="pct"/>
            <w:tcBorders>
              <w:top w:val="single" w:color="auto" w:sz="4" w:space="0"/>
              <w:left w:val="single" w:color="000000" w:sz="4" w:space="0"/>
              <w:bottom w:val="single" w:color="auto" w:sz="4" w:space="0"/>
            </w:tcBorders>
            <w:shd w:val="clear" w:color="auto" w:fill="auto"/>
            <w:noWrap/>
            <w:vAlign w:val="center"/>
          </w:tcPr>
          <w:p w14:paraId="52443D03">
            <w:pPr>
              <w:rPr>
                <w:rFonts w:ascii="仿宋" w:hAnsi="仿宋" w:cs="仿宋"/>
              </w:rPr>
            </w:pPr>
            <w:r>
              <w:rPr>
                <w:rFonts w:hint="eastAsia" w:ascii="仿宋" w:hAnsi="仿宋" w:cs="仿宋"/>
              </w:rPr>
              <w:t>(1)虚拟人服务：3D高保仿真可视化虚拟服务，多种拟人化动态如：眨眼、微笑、嘴型张合等。</w:t>
            </w:r>
          </w:p>
          <w:p w14:paraId="39049ABB">
            <w:pPr>
              <w:rPr>
                <w:rFonts w:ascii="仿宋" w:hAnsi="仿宋" w:cs="仿宋"/>
              </w:rPr>
            </w:pPr>
            <w:r>
              <w:rPr>
                <w:rFonts w:hint="eastAsia" w:ascii="仿宋" w:hAnsi="仿宋" w:cs="仿宋"/>
              </w:rPr>
              <w:t>(2)语音交互：可进行人机问答，且支持云语音交互。</w:t>
            </w:r>
          </w:p>
          <w:p w14:paraId="68AE3507">
            <w:pPr>
              <w:rPr>
                <w:rFonts w:ascii="仿宋" w:hAnsi="仿宋" w:cs="仿宋"/>
              </w:rPr>
            </w:pPr>
            <w:r>
              <w:rPr>
                <w:rFonts w:hint="eastAsia" w:ascii="仿宋" w:hAnsi="仿宋" w:cs="仿宋"/>
              </w:rPr>
              <w:t>(3)常见问题：支持界面显示常见问题列表，列表问题支持后台配置是否显示。</w:t>
            </w:r>
          </w:p>
          <w:p w14:paraId="30FCB1E7">
            <w:pPr>
              <w:rPr>
                <w:rFonts w:ascii="仿宋" w:hAnsi="仿宋" w:cs="仿宋"/>
              </w:rPr>
            </w:pPr>
            <w:r>
              <w:rPr>
                <w:rFonts w:hint="eastAsia" w:ascii="仿宋" w:hAnsi="仿宋" w:cs="仿宋"/>
              </w:rPr>
              <w:t>(4)广告位：支持配置通知公告。</w:t>
            </w:r>
          </w:p>
          <w:p w14:paraId="3A4918C7">
            <w:pPr>
              <w:rPr>
                <w:rFonts w:ascii="仿宋" w:hAnsi="仿宋" w:cs="仿宋"/>
              </w:rPr>
            </w:pPr>
            <w:r>
              <w:rPr>
                <w:rFonts w:hint="eastAsia" w:ascii="仿宋" w:hAnsi="仿宋" w:cs="仿宋"/>
              </w:rPr>
              <w:t>(5)引导页：用户进入数字人界面有引导语；终端应用首页支持功能模块定制；如：logo显示等。</w:t>
            </w:r>
          </w:p>
          <w:p w14:paraId="6E3F1148">
            <w:pPr>
              <w:rPr>
                <w:rFonts w:ascii="仿宋" w:hAnsi="仿宋" w:cs="仿宋"/>
              </w:rPr>
            </w:pPr>
            <w:r>
              <w:rPr>
                <w:rFonts w:hint="eastAsia" w:ascii="仿宋" w:hAnsi="仿宋" w:cs="仿宋"/>
              </w:rPr>
              <w:t>(6)文献检索：用户可以查询海量文献资源及文献传递。</w:t>
            </w:r>
          </w:p>
          <w:p w14:paraId="1B508E5E">
            <w:pPr>
              <w:rPr>
                <w:rFonts w:ascii="仿宋" w:hAnsi="仿宋" w:cs="仿宋"/>
              </w:rPr>
            </w:pPr>
            <w:r>
              <w:rPr>
                <w:rFonts w:hint="eastAsia" w:ascii="仿宋" w:hAnsi="仿宋" w:cs="仿宋"/>
              </w:rPr>
              <w:t>(7)具备平台兼容性，可在客户微信公众号、APP、小程序、电脑端快捷接入使用，也可在阅读平台使用。</w:t>
            </w:r>
          </w:p>
        </w:tc>
      </w:tr>
      <w:tr w14:paraId="11B589D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rPr>
        <w:tc>
          <w:tcPr>
            <w:tcW w:w="532" w:type="pct"/>
            <w:vMerge w:val="continue"/>
            <w:tcBorders>
              <w:left w:val="single" w:color="000000" w:sz="4" w:space="0"/>
              <w:right w:val="single" w:color="000000" w:sz="4" w:space="0"/>
            </w:tcBorders>
            <w:shd w:val="clear" w:color="auto" w:fill="auto"/>
            <w:noWrap/>
            <w:vAlign w:val="center"/>
          </w:tcPr>
          <w:p w14:paraId="4DD7D84E">
            <w:pPr>
              <w:jc w:val="center"/>
              <w:rPr>
                <w:rFonts w:ascii="仿宋" w:hAnsi="仿宋" w:cs="仿宋"/>
              </w:rPr>
            </w:pPr>
          </w:p>
        </w:tc>
        <w:tc>
          <w:tcPr>
            <w:tcW w:w="506"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6B04816D">
            <w:pPr>
              <w:jc w:val="center"/>
              <w:rPr>
                <w:rFonts w:ascii="仿宋" w:hAnsi="仿宋" w:cs="仿宋"/>
              </w:rPr>
            </w:pPr>
            <w:r>
              <w:rPr>
                <w:rFonts w:hint="eastAsia" w:ascii="仿宋" w:hAnsi="仿宋" w:cs="仿宋"/>
              </w:rPr>
              <w:t>5.5</w:t>
            </w:r>
          </w:p>
          <w:p w14:paraId="7D0FB6B4">
            <w:pPr>
              <w:jc w:val="center"/>
              <w:rPr>
                <w:rFonts w:ascii="仿宋" w:hAnsi="仿宋" w:cs="仿宋"/>
              </w:rPr>
            </w:pPr>
            <w:r>
              <w:rPr>
                <w:rFonts w:hint="eastAsia" w:ascii="仿宋" w:hAnsi="仿宋" w:cs="仿宋"/>
              </w:rPr>
              <w:t>问答统计分析</w:t>
            </w:r>
          </w:p>
        </w:tc>
        <w:tc>
          <w:tcPr>
            <w:tcW w:w="3961" w:type="pct"/>
            <w:tcBorders>
              <w:top w:val="single" w:color="auto" w:sz="4" w:space="0"/>
              <w:left w:val="single" w:color="000000" w:sz="4" w:space="0"/>
              <w:bottom w:val="single" w:color="auto" w:sz="4" w:space="0"/>
            </w:tcBorders>
            <w:shd w:val="clear" w:color="auto" w:fill="auto"/>
            <w:noWrap/>
            <w:vAlign w:val="center"/>
          </w:tcPr>
          <w:p w14:paraId="0C4C41EC">
            <w:pPr>
              <w:rPr>
                <w:rFonts w:ascii="仿宋" w:hAnsi="仿宋" w:cs="仿宋"/>
              </w:rPr>
            </w:pPr>
            <w:r>
              <w:rPr>
                <w:rFonts w:hint="eastAsia" w:ascii="仿宋" w:hAnsi="仿宋" w:cs="仿宋"/>
              </w:rPr>
              <w:t>(1)支持机器人问答历史纪录查看，根据时间、来源筛选指定历史会话内容，同时可以批量导出机器人历史会话记录。</w:t>
            </w:r>
          </w:p>
          <w:p w14:paraId="00139A76">
            <w:pPr>
              <w:rPr>
                <w:rFonts w:ascii="仿宋" w:hAnsi="仿宋" w:cs="仿宋"/>
              </w:rPr>
            </w:pPr>
            <w:r>
              <w:rPr>
                <w:rFonts w:hint="eastAsia" w:ascii="仿宋" w:hAnsi="仿宋" w:cs="仿宋"/>
              </w:rPr>
              <w:t>(2)支持问答内容统计，根据会话内容形成问答内容趋势统计图，实时展示机器人直接回答、未回答、引导用户回答3类问答的统计数据。</w:t>
            </w:r>
          </w:p>
          <w:p w14:paraId="6868F967">
            <w:pPr>
              <w:rPr>
                <w:rFonts w:ascii="仿宋" w:hAnsi="仿宋" w:cs="仿宋"/>
              </w:rPr>
            </w:pPr>
            <w:r>
              <w:rPr>
                <w:rFonts w:hint="eastAsia" w:ascii="仿宋" w:hAnsi="仿宋" w:cs="仿宋"/>
              </w:rPr>
              <w:t>(3)支持热门问题统计，根据问答分类进行热门问题统计。</w:t>
            </w:r>
          </w:p>
          <w:p w14:paraId="61131064">
            <w:pPr>
              <w:rPr>
                <w:rFonts w:ascii="仿宋" w:hAnsi="仿宋" w:cs="仿宋"/>
              </w:rPr>
            </w:pPr>
            <w:r>
              <w:rPr>
                <w:rFonts w:hint="eastAsia" w:ascii="仿宋" w:hAnsi="仿宋" w:cs="仿宋"/>
              </w:rPr>
              <w:t>(4)支持访客统计，根据时间筛选查看访客数、会话数、消息总数。</w:t>
            </w:r>
          </w:p>
          <w:p w14:paraId="13213973">
            <w:pPr>
              <w:rPr>
                <w:rFonts w:ascii="仿宋" w:hAnsi="仿宋" w:cs="仿宋"/>
              </w:rPr>
            </w:pPr>
            <w:r>
              <w:rPr>
                <w:rFonts w:hint="eastAsia" w:ascii="仿宋" w:hAnsi="仿宋" w:cs="仿宋"/>
              </w:rPr>
              <w:t>(5)支持有效无效回复统计，根据时间筛选查看有效无效率。</w:t>
            </w:r>
          </w:p>
          <w:p w14:paraId="3F402F0A">
            <w:pPr>
              <w:rPr>
                <w:rFonts w:ascii="仿宋" w:hAnsi="仿宋" w:cs="仿宋"/>
              </w:rPr>
            </w:pPr>
            <w:r>
              <w:rPr>
                <w:rFonts w:hint="eastAsia" w:ascii="仿宋" w:hAnsi="仿宋" w:cs="仿宋"/>
              </w:rPr>
              <w:t>(6)支持人工问答统计，根据时间查看聊天记录。</w:t>
            </w:r>
          </w:p>
          <w:p w14:paraId="73A1EB00">
            <w:pPr>
              <w:rPr>
                <w:rFonts w:ascii="仿宋" w:hAnsi="仿宋" w:cs="仿宋"/>
              </w:rPr>
            </w:pPr>
            <w:r>
              <w:rPr>
                <w:rFonts w:hint="eastAsia" w:ascii="仿宋" w:hAnsi="仿宋" w:cs="仿宋"/>
              </w:rPr>
              <w:t>(7)支持客服详情统计功能，可以查看客服的评分和星级。</w:t>
            </w:r>
          </w:p>
          <w:p w14:paraId="1971C395">
            <w:pPr>
              <w:rPr>
                <w:rFonts w:ascii="仿宋" w:hAnsi="仿宋" w:cs="仿宋"/>
              </w:rPr>
            </w:pPr>
            <w:r>
              <w:rPr>
                <w:rFonts w:hint="eastAsia" w:ascii="仿宋" w:hAnsi="仿宋" w:cs="仿宋"/>
              </w:rPr>
              <w:t>(8)支持查看、导出客服接待会话的好评率、参评率、评分。</w:t>
            </w:r>
          </w:p>
          <w:p w14:paraId="13325EF8">
            <w:pPr>
              <w:rPr>
                <w:rFonts w:ascii="仿宋" w:hAnsi="仿宋" w:cs="仿宋"/>
              </w:rPr>
            </w:pPr>
            <w:r>
              <w:rPr>
                <w:rFonts w:hint="eastAsia" w:ascii="仿宋" w:hAnsi="仿宋" w:cs="仿宋"/>
              </w:rPr>
              <w:t>(9)支持查看、导出客服的会话首次响应时长、平均会话响应时长。</w:t>
            </w:r>
          </w:p>
          <w:p w14:paraId="7DA23AFF">
            <w:pPr>
              <w:rPr>
                <w:rFonts w:ascii="仿宋" w:hAnsi="仿宋" w:cs="仿宋"/>
              </w:rPr>
            </w:pPr>
            <w:r>
              <w:rPr>
                <w:rFonts w:hint="eastAsia" w:ascii="仿宋" w:hAnsi="仿宋" w:cs="仿宋"/>
              </w:rPr>
              <w:t>(10)支持查看机器人不同的回复类型，包括百科问答、知识库问答、文献咨询、任务问答等。</w:t>
            </w:r>
          </w:p>
        </w:tc>
      </w:tr>
      <w:tr w14:paraId="3E1DD71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rPr>
        <w:tc>
          <w:tcPr>
            <w:tcW w:w="532" w:type="pct"/>
            <w:vMerge w:val="continue"/>
            <w:tcBorders>
              <w:left w:val="single" w:color="000000" w:sz="4" w:space="0"/>
              <w:bottom w:val="single" w:color="000000" w:sz="4" w:space="0"/>
              <w:right w:val="single" w:color="000000" w:sz="4" w:space="0"/>
            </w:tcBorders>
            <w:shd w:val="clear" w:color="auto" w:fill="auto"/>
            <w:noWrap/>
            <w:vAlign w:val="center"/>
          </w:tcPr>
          <w:p w14:paraId="289839EC">
            <w:pPr>
              <w:jc w:val="center"/>
              <w:rPr>
                <w:rFonts w:ascii="仿宋" w:hAnsi="仿宋" w:cs="仿宋"/>
              </w:rPr>
            </w:pPr>
          </w:p>
        </w:tc>
        <w:tc>
          <w:tcPr>
            <w:tcW w:w="506"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62F4D025">
            <w:pPr>
              <w:jc w:val="center"/>
              <w:rPr>
                <w:rFonts w:ascii="仿宋" w:hAnsi="仿宋" w:cs="仿宋"/>
              </w:rPr>
            </w:pPr>
            <w:r>
              <w:rPr>
                <w:rFonts w:hint="eastAsia" w:ascii="仿宋" w:hAnsi="仿宋" w:cs="仿宋"/>
              </w:rPr>
              <w:t>5.6</w:t>
            </w:r>
          </w:p>
          <w:p w14:paraId="1148D9A0">
            <w:pPr>
              <w:jc w:val="center"/>
              <w:rPr>
                <w:rFonts w:ascii="仿宋" w:hAnsi="仿宋" w:cs="仿宋"/>
              </w:rPr>
            </w:pPr>
            <w:r>
              <w:rPr>
                <w:rFonts w:hint="eastAsia" w:ascii="仿宋" w:hAnsi="仿宋" w:cs="仿宋"/>
              </w:rPr>
              <w:t>业务账号管理</w:t>
            </w:r>
          </w:p>
        </w:tc>
        <w:tc>
          <w:tcPr>
            <w:tcW w:w="3961" w:type="pct"/>
            <w:tcBorders>
              <w:top w:val="single" w:color="auto" w:sz="4" w:space="0"/>
              <w:left w:val="single" w:color="000000" w:sz="4" w:space="0"/>
              <w:bottom w:val="single" w:color="auto" w:sz="4" w:space="0"/>
            </w:tcBorders>
            <w:shd w:val="clear" w:color="auto" w:fill="auto"/>
            <w:noWrap/>
            <w:vAlign w:val="center"/>
          </w:tcPr>
          <w:p w14:paraId="37FA24C0">
            <w:pPr>
              <w:rPr>
                <w:rFonts w:ascii="仿宋" w:hAnsi="仿宋" w:cs="仿宋"/>
              </w:rPr>
            </w:pPr>
            <w:r>
              <w:rPr>
                <w:rFonts w:hint="eastAsia" w:ascii="仿宋" w:hAnsi="仿宋" w:cs="仿宋"/>
              </w:rPr>
              <w:t>(1)默认开通1个机器人智能解答模块。</w:t>
            </w:r>
          </w:p>
          <w:p w14:paraId="4E4DB49B">
            <w:pPr>
              <w:rPr>
                <w:rFonts w:ascii="仿宋" w:hAnsi="仿宋" w:cs="仿宋"/>
              </w:rPr>
            </w:pPr>
            <w:r>
              <w:rPr>
                <w:rFonts w:hint="eastAsia" w:ascii="仿宋" w:hAnsi="仿宋" w:cs="仿宋"/>
              </w:rPr>
              <w:t>(2)超级管理员账号可以开通多个机器人。</w:t>
            </w:r>
          </w:p>
          <w:p w14:paraId="78370C11">
            <w:pPr>
              <w:rPr>
                <w:rFonts w:ascii="仿宋" w:hAnsi="仿宋" w:cs="仿宋"/>
              </w:rPr>
            </w:pPr>
            <w:r>
              <w:rPr>
                <w:rFonts w:hint="eastAsia" w:ascii="仿宋" w:hAnsi="仿宋" w:cs="仿宋"/>
              </w:rPr>
              <w:t>(3)人工客服账号不限数量开放。</w:t>
            </w:r>
          </w:p>
          <w:p w14:paraId="3DAC35F7">
            <w:pPr>
              <w:rPr>
                <w:rFonts w:ascii="仿宋" w:hAnsi="仿宋" w:cs="仿宋"/>
              </w:rPr>
            </w:pPr>
            <w:r>
              <w:rPr>
                <w:rFonts w:hint="eastAsia" w:ascii="仿宋" w:hAnsi="仿宋" w:cs="仿宋"/>
              </w:rPr>
              <w:t>(4)支持添加、编辑管理员，调整人数接待上限、所属业务分组。</w:t>
            </w:r>
          </w:p>
          <w:p w14:paraId="078929FF">
            <w:pPr>
              <w:rPr>
                <w:rFonts w:ascii="仿宋" w:hAnsi="仿宋" w:cs="仿宋"/>
              </w:rPr>
            </w:pPr>
            <w:r>
              <w:rPr>
                <w:rFonts w:hint="eastAsia" w:ascii="仿宋" w:hAnsi="仿宋" w:cs="仿宋"/>
              </w:rPr>
              <w:t>(5)支持开启黑名单功能。</w:t>
            </w:r>
          </w:p>
          <w:p w14:paraId="101D7C77">
            <w:pPr>
              <w:rPr>
                <w:rFonts w:ascii="仿宋" w:hAnsi="仿宋" w:cs="仿宋"/>
              </w:rPr>
            </w:pPr>
            <w:r>
              <w:rPr>
                <w:rFonts w:hint="eastAsia" w:ascii="仿宋" w:hAnsi="仿宋" w:cs="仿宋"/>
              </w:rPr>
              <w:t>(6)普通管理员可以添加、删除自己创建的业务组。</w:t>
            </w:r>
          </w:p>
          <w:p w14:paraId="46A58A24">
            <w:pPr>
              <w:rPr>
                <w:rFonts w:ascii="仿宋" w:hAnsi="仿宋" w:cs="仿宋"/>
              </w:rPr>
            </w:pPr>
            <w:r>
              <w:rPr>
                <w:rFonts w:hint="eastAsia" w:ascii="仿宋" w:hAnsi="仿宋" w:cs="仿宋"/>
              </w:rPr>
              <w:t>(7)可根据业务组id自动生成业务组地址。</w:t>
            </w:r>
          </w:p>
          <w:p w14:paraId="2C42285B">
            <w:pPr>
              <w:rPr>
                <w:rFonts w:ascii="仿宋" w:hAnsi="仿宋" w:cs="仿宋"/>
              </w:rPr>
            </w:pPr>
            <w:r>
              <w:rPr>
                <w:rFonts w:hint="eastAsia" w:ascii="仿宋" w:hAnsi="仿宋" w:cs="仿宋"/>
              </w:rPr>
              <w:t>(8)支持设置普通管理员的权限，分配机器人和对应的问答库。业务留言支持分配给管理员。</w:t>
            </w:r>
          </w:p>
        </w:tc>
      </w:tr>
    </w:tbl>
    <w:p w14:paraId="11FCEB0D">
      <w:pPr>
        <w:pStyle w:val="3"/>
        <w:numPr>
          <w:ilvl w:val="1"/>
          <w:numId w:val="0"/>
        </w:numPr>
        <w:spacing w:line="240" w:lineRule="auto"/>
        <w:rPr>
          <w:rFonts w:ascii="仿宋" w:eastAsia="仿宋" w:cs="仿宋"/>
          <w:color w:val="000000"/>
          <w:sz w:val="24"/>
          <w:szCs w:val="24"/>
          <w:lang w:val="en-US"/>
        </w:rPr>
      </w:pPr>
      <w:r>
        <w:rPr>
          <w:rFonts w:hint="eastAsia" w:ascii="仿宋" w:eastAsia="仿宋" w:cs="仿宋"/>
          <w:color w:val="000000"/>
          <w:sz w:val="24"/>
          <w:szCs w:val="24"/>
          <w:lang w:val="en-US"/>
        </w:rPr>
        <w:t>六、相关标准</w:t>
      </w:r>
    </w:p>
    <w:p w14:paraId="4ECD7149">
      <w:pPr>
        <w:spacing w:line="360" w:lineRule="auto"/>
        <w:ind w:firstLine="480" w:firstLineChars="200"/>
        <w:rPr>
          <w:rFonts w:ascii="宋体" w:hAnsi="宋体" w:cs="宋体"/>
          <w:color w:val="000000"/>
        </w:rPr>
      </w:pPr>
      <w:r>
        <w:rPr>
          <w:rFonts w:ascii="宋体" w:hAnsi="宋体" w:cs="宋体"/>
          <w:color w:val="000000"/>
        </w:rPr>
        <w:t>投标产品须满足国家相关标准。如有未特别注明需执行的国家相关标准、行业标准、地方标准或者其他标准、规范，则统一执行最新标准、规范。</w:t>
      </w:r>
    </w:p>
    <w:p w14:paraId="015ACDD6">
      <w:pPr>
        <w:pStyle w:val="3"/>
        <w:numPr>
          <w:ilvl w:val="1"/>
          <w:numId w:val="0"/>
        </w:numPr>
        <w:spacing w:line="240" w:lineRule="auto"/>
        <w:rPr>
          <w:rFonts w:ascii="仿宋" w:eastAsia="仿宋" w:cs="仿宋"/>
          <w:color w:val="000000"/>
          <w:sz w:val="24"/>
          <w:szCs w:val="24"/>
        </w:rPr>
      </w:pPr>
      <w:r>
        <w:rPr>
          <w:rFonts w:hint="eastAsia" w:ascii="仿宋" w:eastAsia="仿宋" w:cs="仿宋"/>
          <w:color w:val="000000"/>
          <w:sz w:val="24"/>
          <w:szCs w:val="24"/>
          <w:lang w:val="en-US"/>
        </w:rPr>
        <w:t>七、</w:t>
      </w:r>
      <w:r>
        <w:rPr>
          <w:rFonts w:hint="eastAsia" w:ascii="仿宋" w:eastAsia="仿宋" w:cs="仿宋"/>
          <w:color w:val="000000"/>
          <w:sz w:val="24"/>
          <w:szCs w:val="24"/>
        </w:rPr>
        <w:t>服务要求</w:t>
      </w:r>
      <w:r>
        <w:rPr>
          <w:rFonts w:hint="eastAsia" w:ascii="仿宋" w:eastAsia="仿宋" w:cs="仿宋"/>
          <w:b w:val="0"/>
          <w:bCs w:val="0"/>
          <w:color w:val="000000"/>
          <w:sz w:val="24"/>
          <w:szCs w:val="24"/>
        </w:rPr>
        <w:t>（技术要求里另有注明的以技术要求为准）</w:t>
      </w:r>
      <w:r>
        <w:rPr>
          <w:rFonts w:hint="eastAsia" w:ascii="仿宋" w:eastAsia="仿宋" w:cs="仿宋"/>
          <w:color w:val="000000"/>
          <w:sz w:val="24"/>
          <w:szCs w:val="24"/>
        </w:rPr>
        <w:t>：</w:t>
      </w:r>
    </w:p>
    <w:tbl>
      <w:tblPr>
        <w:tblStyle w:val="62"/>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45"/>
        <w:gridCol w:w="7539"/>
      </w:tblGrid>
      <w:tr w14:paraId="0A9751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0" w:type="pct"/>
            <w:tcBorders>
              <w:top w:val="single" w:color="auto" w:sz="4" w:space="0"/>
              <w:bottom w:val="single" w:color="auto" w:sz="4" w:space="0"/>
              <w:right w:val="single" w:color="auto" w:sz="4" w:space="0"/>
            </w:tcBorders>
            <w:vAlign w:val="center"/>
          </w:tcPr>
          <w:p w14:paraId="61AC7AE5">
            <w:pPr>
              <w:spacing w:line="360" w:lineRule="auto"/>
              <w:jc w:val="center"/>
              <w:rPr>
                <w:snapToGrid w:val="0"/>
                <w:color w:val="000000"/>
                <w:kern w:val="0"/>
                <w:szCs w:val="21"/>
              </w:rPr>
            </w:pPr>
            <w:r>
              <w:rPr>
                <w:snapToGrid w:val="0"/>
                <w:color w:val="000000"/>
                <w:kern w:val="0"/>
                <w:szCs w:val="21"/>
              </w:rPr>
              <w:t>免费质保期</w:t>
            </w:r>
          </w:p>
        </w:tc>
        <w:tc>
          <w:tcPr>
            <w:tcW w:w="7538" w:type="dxa"/>
            <w:tcBorders>
              <w:top w:val="single" w:color="auto" w:sz="4" w:space="0"/>
              <w:left w:val="single" w:color="auto" w:sz="4" w:space="0"/>
              <w:bottom w:val="single" w:color="auto" w:sz="4" w:space="0"/>
            </w:tcBorders>
            <w:vAlign w:val="center"/>
          </w:tcPr>
          <w:p w14:paraId="12729C47">
            <w:pPr>
              <w:spacing w:line="360" w:lineRule="auto"/>
              <w:rPr>
                <w:snapToGrid w:val="0"/>
                <w:color w:val="000000"/>
                <w:kern w:val="0"/>
                <w:szCs w:val="21"/>
              </w:rPr>
            </w:pPr>
            <w:r>
              <w:rPr>
                <w:b/>
                <w:bCs/>
                <w:snapToGrid w:val="0"/>
                <w:color w:val="000000"/>
                <w:kern w:val="0"/>
                <w:szCs w:val="21"/>
              </w:rPr>
              <w:t>免费质保期</w:t>
            </w:r>
            <w:r>
              <w:rPr>
                <w:rFonts w:hint="eastAsia"/>
                <w:b/>
                <w:bCs/>
                <w:snapToGrid w:val="0"/>
                <w:color w:val="000000"/>
                <w:kern w:val="0"/>
                <w:szCs w:val="21"/>
              </w:rPr>
              <w:t>3</w:t>
            </w:r>
            <w:r>
              <w:rPr>
                <w:b/>
                <w:bCs/>
                <w:snapToGrid w:val="0"/>
                <w:color w:val="000000"/>
                <w:kern w:val="0"/>
                <w:szCs w:val="21"/>
              </w:rPr>
              <w:t>年</w:t>
            </w:r>
            <w:r>
              <w:rPr>
                <w:rFonts w:hint="eastAsia"/>
                <w:snapToGrid w:val="0"/>
                <w:color w:val="000000"/>
                <w:kern w:val="0"/>
                <w:szCs w:val="21"/>
              </w:rPr>
              <w:t>。免费质保期内，供应商需提供每周不少于2天的工程师在校服务。免费质保期结束后，供应商终身维护，免收人工差旅费。</w:t>
            </w:r>
            <w:r>
              <w:rPr>
                <w:snapToGrid w:val="0"/>
                <w:color w:val="000000"/>
                <w:kern w:val="0"/>
                <w:szCs w:val="21"/>
              </w:rPr>
              <w:t>可根据实际情况提供更长的免费质保期。</w:t>
            </w:r>
          </w:p>
        </w:tc>
      </w:tr>
      <w:tr w14:paraId="45382B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0" w:type="pct"/>
            <w:tcBorders>
              <w:top w:val="single" w:color="auto" w:sz="4" w:space="0"/>
              <w:bottom w:val="single" w:color="auto" w:sz="4" w:space="0"/>
              <w:right w:val="single" w:color="auto" w:sz="4" w:space="0"/>
            </w:tcBorders>
            <w:vAlign w:val="center"/>
          </w:tcPr>
          <w:p w14:paraId="36E22E92">
            <w:pPr>
              <w:spacing w:line="360" w:lineRule="auto"/>
              <w:jc w:val="center"/>
              <w:rPr>
                <w:snapToGrid w:val="0"/>
                <w:color w:val="000000"/>
                <w:kern w:val="0"/>
                <w:szCs w:val="21"/>
              </w:rPr>
            </w:pPr>
            <w:r>
              <w:rPr>
                <w:snapToGrid w:val="0"/>
                <w:color w:val="000000"/>
                <w:kern w:val="0"/>
                <w:szCs w:val="21"/>
              </w:rPr>
              <w:t>服务标准</w:t>
            </w:r>
          </w:p>
        </w:tc>
        <w:tc>
          <w:tcPr>
            <w:tcW w:w="7538" w:type="dxa"/>
            <w:tcBorders>
              <w:top w:val="single" w:color="auto" w:sz="4" w:space="0"/>
              <w:left w:val="single" w:color="auto" w:sz="4" w:space="0"/>
              <w:bottom w:val="single" w:color="auto" w:sz="4" w:space="0"/>
            </w:tcBorders>
            <w:vAlign w:val="center"/>
          </w:tcPr>
          <w:p w14:paraId="119527DE">
            <w:pPr>
              <w:spacing w:line="360" w:lineRule="auto"/>
              <w:rPr>
                <w:snapToGrid w:val="0"/>
                <w:color w:val="000000"/>
                <w:kern w:val="0"/>
                <w:szCs w:val="21"/>
              </w:rPr>
            </w:pPr>
            <w:r>
              <w:rPr>
                <w:snapToGrid w:val="0"/>
                <w:color w:val="000000"/>
                <w:kern w:val="0"/>
                <w:szCs w:val="21"/>
              </w:rPr>
              <w:t>免费质保期内因不能排除的故障而影响工作的情况每发生一次，其免费质保期相应延长60天。免费质保期内因货物本身缺陷造成各种故障应由中标人免费予以更换，否则将扣除履约保证金作为对采购人的补偿。免费质保期满后，仅收取零配件成本费用，免人工费、差旅费，所涉及软件终身免费升级。</w:t>
            </w:r>
          </w:p>
        </w:tc>
      </w:tr>
      <w:tr w14:paraId="41467E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0" w:type="pct"/>
            <w:tcBorders>
              <w:top w:val="single" w:color="auto" w:sz="4" w:space="0"/>
              <w:bottom w:val="single" w:color="auto" w:sz="4" w:space="0"/>
              <w:right w:val="single" w:color="auto" w:sz="4" w:space="0"/>
            </w:tcBorders>
            <w:vAlign w:val="center"/>
          </w:tcPr>
          <w:p w14:paraId="0432BED2">
            <w:pPr>
              <w:spacing w:line="360" w:lineRule="auto"/>
              <w:jc w:val="center"/>
              <w:rPr>
                <w:snapToGrid w:val="0"/>
                <w:color w:val="000000"/>
                <w:kern w:val="0"/>
                <w:szCs w:val="21"/>
              </w:rPr>
            </w:pPr>
            <w:r>
              <w:rPr>
                <w:snapToGrid w:val="0"/>
                <w:color w:val="000000"/>
                <w:kern w:val="0"/>
                <w:szCs w:val="21"/>
              </w:rPr>
              <w:t>服务响应时间</w:t>
            </w:r>
          </w:p>
        </w:tc>
        <w:tc>
          <w:tcPr>
            <w:tcW w:w="7538" w:type="dxa"/>
            <w:tcBorders>
              <w:top w:val="single" w:color="auto" w:sz="4" w:space="0"/>
              <w:left w:val="single" w:color="auto" w:sz="4" w:space="0"/>
              <w:bottom w:val="single" w:color="auto" w:sz="4" w:space="0"/>
            </w:tcBorders>
            <w:vAlign w:val="center"/>
          </w:tcPr>
          <w:p w14:paraId="788B6203">
            <w:pPr>
              <w:spacing w:line="360" w:lineRule="auto"/>
              <w:rPr>
                <w:snapToGrid w:val="0"/>
                <w:color w:val="000000"/>
                <w:kern w:val="0"/>
                <w:szCs w:val="21"/>
              </w:rPr>
            </w:pPr>
            <w:r>
              <w:rPr>
                <w:snapToGrid w:val="0"/>
                <w:color w:val="000000"/>
                <w:kern w:val="0"/>
                <w:szCs w:val="21"/>
              </w:rPr>
              <w:t>合同货物出现故障后，中标人接到采购人通知应在不超过2小时内做出响应，不超过24个小时内解决故障。</w:t>
            </w:r>
          </w:p>
        </w:tc>
      </w:tr>
      <w:tr w14:paraId="7AC43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0" w:type="pct"/>
            <w:tcBorders>
              <w:top w:val="single" w:color="auto" w:sz="4" w:space="0"/>
              <w:bottom w:val="single" w:color="auto" w:sz="4" w:space="0"/>
              <w:right w:val="single" w:color="auto" w:sz="4" w:space="0"/>
            </w:tcBorders>
            <w:vAlign w:val="center"/>
          </w:tcPr>
          <w:p w14:paraId="310BE1D7">
            <w:pPr>
              <w:spacing w:line="360" w:lineRule="auto"/>
              <w:jc w:val="center"/>
              <w:rPr>
                <w:snapToGrid w:val="0"/>
                <w:color w:val="000000"/>
                <w:kern w:val="0"/>
                <w:szCs w:val="21"/>
              </w:rPr>
            </w:pPr>
            <w:r>
              <w:rPr>
                <w:snapToGrid w:val="0"/>
                <w:color w:val="000000"/>
                <w:kern w:val="0"/>
                <w:szCs w:val="21"/>
              </w:rPr>
              <w:t>交付时间和地点</w:t>
            </w:r>
          </w:p>
        </w:tc>
        <w:tc>
          <w:tcPr>
            <w:tcW w:w="7538" w:type="dxa"/>
            <w:tcBorders>
              <w:top w:val="single" w:color="auto" w:sz="4" w:space="0"/>
              <w:left w:val="single" w:color="auto" w:sz="4" w:space="0"/>
              <w:bottom w:val="single" w:color="auto" w:sz="4" w:space="0"/>
            </w:tcBorders>
            <w:vAlign w:val="center"/>
          </w:tcPr>
          <w:p w14:paraId="1CFC8413">
            <w:pPr>
              <w:spacing w:line="360" w:lineRule="auto"/>
              <w:rPr>
                <w:snapToGrid w:val="0"/>
                <w:kern w:val="0"/>
                <w:szCs w:val="21"/>
              </w:rPr>
            </w:pPr>
            <w:r>
              <w:rPr>
                <w:snapToGrid w:val="0"/>
                <w:kern w:val="0"/>
                <w:szCs w:val="21"/>
              </w:rPr>
              <w:t>交付时间：自合同签订生效之日起</w:t>
            </w:r>
            <w:r>
              <w:rPr>
                <w:rFonts w:hint="eastAsia"/>
                <w:snapToGrid w:val="0"/>
                <w:kern w:val="0"/>
                <w:szCs w:val="21"/>
              </w:rPr>
              <w:t>120日历天</w:t>
            </w:r>
            <w:r>
              <w:rPr>
                <w:snapToGrid w:val="0"/>
                <w:kern w:val="0"/>
                <w:szCs w:val="21"/>
              </w:rPr>
              <w:t>内</w:t>
            </w:r>
            <w:r>
              <w:rPr>
                <w:rFonts w:hint="eastAsia"/>
                <w:snapToGrid w:val="0"/>
                <w:kern w:val="0"/>
                <w:szCs w:val="21"/>
              </w:rPr>
              <w:t>完成项目实施并通过验收</w:t>
            </w:r>
            <w:r>
              <w:rPr>
                <w:snapToGrid w:val="0"/>
                <w:kern w:val="0"/>
                <w:szCs w:val="21"/>
              </w:rPr>
              <w:t>。</w:t>
            </w:r>
          </w:p>
          <w:p w14:paraId="3F26FAE7">
            <w:pPr>
              <w:spacing w:line="360" w:lineRule="auto"/>
              <w:rPr>
                <w:snapToGrid w:val="0"/>
                <w:color w:val="000000"/>
                <w:kern w:val="0"/>
                <w:szCs w:val="21"/>
              </w:rPr>
            </w:pPr>
            <w:r>
              <w:rPr>
                <w:snapToGrid w:val="0"/>
                <w:kern w:val="0"/>
                <w:szCs w:val="21"/>
              </w:rPr>
              <w:t>交货地点：采购人指定地点。</w:t>
            </w:r>
          </w:p>
        </w:tc>
      </w:tr>
      <w:tr w14:paraId="03CA6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0" w:type="pct"/>
            <w:tcBorders>
              <w:top w:val="single" w:color="auto" w:sz="4" w:space="0"/>
              <w:bottom w:val="single" w:color="auto" w:sz="4" w:space="0"/>
              <w:right w:val="single" w:color="auto" w:sz="4" w:space="0"/>
            </w:tcBorders>
            <w:vAlign w:val="center"/>
          </w:tcPr>
          <w:p w14:paraId="27D21363">
            <w:pPr>
              <w:spacing w:line="360" w:lineRule="auto"/>
              <w:jc w:val="center"/>
              <w:rPr>
                <w:snapToGrid w:val="0"/>
                <w:color w:val="000000"/>
                <w:kern w:val="0"/>
                <w:szCs w:val="21"/>
              </w:rPr>
            </w:pPr>
            <w:r>
              <w:rPr>
                <w:snapToGrid w:val="0"/>
                <w:color w:val="000000"/>
                <w:kern w:val="0"/>
                <w:szCs w:val="21"/>
              </w:rPr>
              <w:t>验收标准</w:t>
            </w:r>
          </w:p>
        </w:tc>
        <w:tc>
          <w:tcPr>
            <w:tcW w:w="7538" w:type="dxa"/>
            <w:tcBorders>
              <w:top w:val="single" w:color="auto" w:sz="4" w:space="0"/>
              <w:left w:val="single" w:color="auto" w:sz="4" w:space="0"/>
              <w:bottom w:val="single" w:color="auto" w:sz="4" w:space="0"/>
            </w:tcBorders>
            <w:vAlign w:val="center"/>
          </w:tcPr>
          <w:p w14:paraId="0F96F17A">
            <w:pPr>
              <w:spacing w:line="360" w:lineRule="auto"/>
            </w:pPr>
            <w:r>
              <w:t>1.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14:paraId="16409243">
            <w:pPr>
              <w:spacing w:line="360" w:lineRule="auto"/>
            </w:pPr>
            <w:r>
              <w:t>2.投标人应于投标文件中提供合同货物的验收标准和检测办法，并在验收中提供采购人认可的相应检测手段，验收标准应符合中国有关的国家、地方、行业的标准，如若中标，经采购人确认后作为验收的依据。</w:t>
            </w:r>
          </w:p>
          <w:p w14:paraId="74668DE8">
            <w:pPr>
              <w:spacing w:line="360" w:lineRule="auto"/>
            </w:pPr>
            <w:r>
              <w:t>3.如中标人委托国内代理（或其他机构）负责安装或配合安装，应在签约时指明，但中标人仍要对合同货物及其安装质量负全部责任。</w:t>
            </w:r>
          </w:p>
        </w:tc>
      </w:tr>
      <w:tr w14:paraId="6472B1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0" w:type="pct"/>
            <w:tcBorders>
              <w:top w:val="single" w:color="auto" w:sz="4" w:space="0"/>
              <w:bottom w:val="single" w:color="auto" w:sz="4" w:space="0"/>
              <w:right w:val="single" w:color="auto" w:sz="4" w:space="0"/>
            </w:tcBorders>
            <w:vAlign w:val="center"/>
          </w:tcPr>
          <w:p w14:paraId="3F30EF0E">
            <w:pPr>
              <w:spacing w:line="360" w:lineRule="auto"/>
              <w:jc w:val="center"/>
              <w:rPr>
                <w:snapToGrid w:val="0"/>
                <w:color w:val="000000"/>
                <w:kern w:val="0"/>
                <w:szCs w:val="21"/>
              </w:rPr>
            </w:pPr>
            <w:r>
              <w:rPr>
                <w:snapToGrid w:val="0"/>
                <w:color w:val="000000"/>
                <w:kern w:val="0"/>
                <w:szCs w:val="21"/>
              </w:rPr>
              <w:t>其他技术、服务要求</w:t>
            </w:r>
          </w:p>
        </w:tc>
        <w:tc>
          <w:tcPr>
            <w:tcW w:w="7538" w:type="dxa"/>
            <w:tcBorders>
              <w:top w:val="single" w:color="auto" w:sz="4" w:space="0"/>
              <w:left w:val="single" w:color="auto" w:sz="4" w:space="0"/>
              <w:bottom w:val="single" w:color="auto" w:sz="4" w:space="0"/>
            </w:tcBorders>
            <w:vAlign w:val="center"/>
          </w:tcPr>
          <w:p w14:paraId="37713166">
            <w:pPr>
              <w:spacing w:line="360" w:lineRule="auto"/>
              <w:rPr>
                <w:szCs w:val="22"/>
              </w:rPr>
            </w:pPr>
            <w:r>
              <w:rPr>
                <w:szCs w:val="22"/>
              </w:rPr>
              <w:t>1.培训：</w:t>
            </w:r>
          </w:p>
          <w:p w14:paraId="203E3384">
            <w:pPr>
              <w:spacing w:line="360" w:lineRule="auto"/>
              <w:rPr>
                <w:szCs w:val="22"/>
              </w:rPr>
            </w:pPr>
            <w:r>
              <w:rPr>
                <w:rFonts w:hint="eastAsia"/>
                <w:szCs w:val="22"/>
              </w:rPr>
              <w:t>培训应贯串于整个项目的实施过程中，包括在从项目准备、研发到项目运行的全过程中。提供详细的培训方案、培训内容、培训计划、软件使用、后期维护。需要提供以下几方面关于培训的描述：</w:t>
            </w:r>
          </w:p>
          <w:p w14:paraId="5C29E5F1">
            <w:pPr>
              <w:spacing w:line="360" w:lineRule="auto"/>
              <w:rPr>
                <w:szCs w:val="22"/>
              </w:rPr>
            </w:pPr>
            <w:r>
              <w:rPr>
                <w:szCs w:val="22"/>
              </w:rPr>
              <w:t xml:space="preserve">1.1 </w:t>
            </w:r>
            <w:r>
              <w:rPr>
                <w:rFonts w:hint="eastAsia"/>
                <w:szCs w:val="22"/>
              </w:rPr>
              <w:t>运行管理培训</w:t>
            </w:r>
          </w:p>
          <w:p w14:paraId="6B72F4E0">
            <w:pPr>
              <w:spacing w:line="360" w:lineRule="auto"/>
              <w:rPr>
                <w:szCs w:val="22"/>
              </w:rPr>
            </w:pPr>
            <w:r>
              <w:rPr>
                <w:rFonts w:hint="eastAsia"/>
                <w:szCs w:val="22"/>
              </w:rPr>
              <w:t>为了使学校的相关人员掌握系统的使用、维护和管理方法，达到能独立进行管理、故障处理、日常测试和维护等工作的目的，应进行技术培训，以保证所建设的系统能够正常、安全、平稳地运行。</w:t>
            </w:r>
          </w:p>
          <w:p w14:paraId="45C23936">
            <w:pPr>
              <w:spacing w:line="360" w:lineRule="auto"/>
              <w:rPr>
                <w:szCs w:val="22"/>
              </w:rPr>
            </w:pPr>
            <w:r>
              <w:rPr>
                <w:szCs w:val="22"/>
              </w:rPr>
              <w:t>1.</w:t>
            </w:r>
            <w:r>
              <w:rPr>
                <w:rFonts w:hint="eastAsia"/>
                <w:szCs w:val="22"/>
              </w:rPr>
              <w:t>2培训要求</w:t>
            </w:r>
          </w:p>
          <w:p w14:paraId="0D796C66">
            <w:pPr>
              <w:spacing w:line="360" w:lineRule="auto"/>
              <w:rPr>
                <w:szCs w:val="22"/>
              </w:rPr>
            </w:pPr>
            <w:r>
              <w:rPr>
                <w:rFonts w:hint="eastAsia"/>
                <w:szCs w:val="22"/>
              </w:rPr>
              <w:t>供应商派出的培训教师应具有丰富的同类课程的教学经验和应用经验；</w:t>
            </w:r>
          </w:p>
          <w:p w14:paraId="1FC1F8DB">
            <w:pPr>
              <w:spacing w:line="360" w:lineRule="auto"/>
              <w:rPr>
                <w:szCs w:val="22"/>
              </w:rPr>
            </w:pPr>
            <w:r>
              <w:rPr>
                <w:rFonts w:hint="eastAsia"/>
                <w:szCs w:val="22"/>
              </w:rPr>
              <w:t>所有的培训教师必须用中文授课；</w:t>
            </w:r>
          </w:p>
          <w:p w14:paraId="6D0442CA">
            <w:pPr>
              <w:spacing w:line="360" w:lineRule="auto"/>
              <w:rPr>
                <w:szCs w:val="22"/>
              </w:rPr>
            </w:pPr>
            <w:r>
              <w:rPr>
                <w:rFonts w:hint="eastAsia"/>
                <w:szCs w:val="22"/>
              </w:rPr>
              <w:t>供应商必须为所有被培训人员提供培训用文字资料和讲义等相关材料，如果培训地点在外地，供应商还应为所有被培训人员提供食宿；供应商应按合同规定安排培训时间和培训名额。</w:t>
            </w:r>
          </w:p>
          <w:p w14:paraId="272F6141">
            <w:pPr>
              <w:spacing w:line="360" w:lineRule="auto"/>
              <w:rPr>
                <w:szCs w:val="22"/>
              </w:rPr>
            </w:pPr>
            <w:r>
              <w:rPr>
                <w:szCs w:val="22"/>
              </w:rPr>
              <w:t>1.</w:t>
            </w:r>
            <w:r>
              <w:rPr>
                <w:rFonts w:hint="eastAsia"/>
                <w:szCs w:val="22"/>
              </w:rPr>
              <w:t>3培训方式</w:t>
            </w:r>
          </w:p>
          <w:p w14:paraId="2C422688">
            <w:pPr>
              <w:spacing w:line="360" w:lineRule="auto"/>
              <w:rPr>
                <w:szCs w:val="22"/>
              </w:rPr>
            </w:pPr>
            <w:r>
              <w:rPr>
                <w:rFonts w:hint="eastAsia"/>
                <w:szCs w:val="22"/>
              </w:rPr>
              <w:t>包括课堂讲解、上机操作和实际工作的参与。</w:t>
            </w:r>
          </w:p>
          <w:p w14:paraId="5BD273A3">
            <w:pPr>
              <w:spacing w:line="360" w:lineRule="auto"/>
              <w:rPr>
                <w:szCs w:val="22"/>
              </w:rPr>
            </w:pPr>
            <w:r>
              <w:rPr>
                <w:szCs w:val="22"/>
              </w:rPr>
              <w:t>1.</w:t>
            </w:r>
            <w:r>
              <w:rPr>
                <w:rFonts w:hint="eastAsia"/>
                <w:szCs w:val="22"/>
              </w:rPr>
              <w:t>4培训工作的内容和对象描述</w:t>
            </w:r>
          </w:p>
          <w:p w14:paraId="7618CF53">
            <w:pPr>
              <w:spacing w:line="360" w:lineRule="auto"/>
              <w:rPr>
                <w:szCs w:val="22"/>
              </w:rPr>
            </w:pPr>
            <w:r>
              <w:rPr>
                <w:rFonts w:hint="eastAsia"/>
                <w:szCs w:val="22"/>
              </w:rPr>
              <w:t>供应商进行的培训工作包括了培训方案的设计、培训制度的制定、培训开发、培训实施和培训效果评估，及时监控培训效果，保证培训课程符合浙江工业大学实际的需要</w:t>
            </w:r>
            <w:r>
              <w:rPr>
                <w:szCs w:val="22"/>
              </w:rPr>
              <w:t>。</w:t>
            </w:r>
          </w:p>
          <w:p w14:paraId="2C01C658">
            <w:pPr>
              <w:spacing w:line="360" w:lineRule="auto"/>
              <w:rPr>
                <w:szCs w:val="22"/>
              </w:rPr>
            </w:pPr>
            <w:r>
              <w:rPr>
                <w:szCs w:val="22"/>
              </w:rPr>
              <w:t>2.技术支持：</w:t>
            </w:r>
          </w:p>
          <w:p w14:paraId="6587769C">
            <w:pPr>
              <w:spacing w:line="360" w:lineRule="auto"/>
              <w:rPr>
                <w:szCs w:val="22"/>
              </w:rPr>
            </w:pPr>
            <w:r>
              <w:rPr>
                <w:szCs w:val="22"/>
              </w:rPr>
              <w:t>中标人应及时免费提供合同货物软件的升级，免费提供合同货物新功能和应用的资料。</w:t>
            </w:r>
          </w:p>
          <w:p w14:paraId="640AC18B">
            <w:pPr>
              <w:spacing w:line="360" w:lineRule="auto"/>
              <w:rPr>
                <w:szCs w:val="22"/>
              </w:rPr>
            </w:pPr>
            <w:r>
              <w:rPr>
                <w:szCs w:val="22"/>
              </w:rPr>
              <w:t>3.安装调试：</w:t>
            </w:r>
          </w:p>
          <w:p w14:paraId="28332A45">
            <w:pPr>
              <w:spacing w:line="360" w:lineRule="auto"/>
              <w:rPr>
                <w:szCs w:val="22"/>
              </w:rPr>
            </w:pPr>
            <w:r>
              <w:rPr>
                <w:szCs w:val="22"/>
              </w:rPr>
              <w:t>3.1 安装地点：采购人指定地点。</w:t>
            </w:r>
          </w:p>
          <w:p w14:paraId="0ADA0E5B">
            <w:pPr>
              <w:spacing w:line="360" w:lineRule="auto"/>
              <w:rPr>
                <w:szCs w:val="22"/>
              </w:rPr>
            </w:pPr>
            <w:r>
              <w:rPr>
                <w:szCs w:val="22"/>
              </w:rPr>
              <w:t>3.2 安装完成时间：接到采购人通知后在7日内完成安装和调试，如在规定的时间内由于中标人的原因不能完成安装和调试，中标人应承担由此给采购人造成的损失。</w:t>
            </w:r>
          </w:p>
          <w:p w14:paraId="5431BBBD">
            <w:pPr>
              <w:spacing w:line="360" w:lineRule="auto"/>
              <w:rPr>
                <w:szCs w:val="22"/>
              </w:rPr>
            </w:pPr>
            <w:r>
              <w:rPr>
                <w:szCs w:val="22"/>
              </w:rPr>
              <w:t>3.3 安装标准：符合我国国家有关技术规范要求和技术标准，所有的软件和硬件必须保证同时安装到位。</w:t>
            </w:r>
          </w:p>
          <w:p w14:paraId="12E27097">
            <w:pPr>
              <w:spacing w:line="360" w:lineRule="auto"/>
              <w:rPr>
                <w:szCs w:val="22"/>
              </w:rPr>
            </w:pPr>
            <w:r>
              <w:rPr>
                <w:szCs w:val="22"/>
              </w:rPr>
              <w:t>3.4 中标人免费提供合同货物、软件的安装服务。</w:t>
            </w:r>
          </w:p>
          <w:p w14:paraId="2AFFE9EE">
            <w:pPr>
              <w:spacing w:line="360" w:lineRule="auto"/>
            </w:pPr>
            <w:r>
              <w:rPr>
                <w:szCs w:val="22"/>
              </w:rPr>
              <w:t>3.5 中标人在投标文件中应提供安装调试计划、对安装场地和环境的要求。</w:t>
            </w:r>
          </w:p>
        </w:tc>
      </w:tr>
    </w:tbl>
    <w:p w14:paraId="0585645B">
      <w:pPr>
        <w:pStyle w:val="3"/>
        <w:numPr>
          <w:ilvl w:val="1"/>
          <w:numId w:val="0"/>
        </w:numPr>
        <w:rPr>
          <w:rFonts w:ascii="仿宋" w:eastAsia="仿宋" w:cs="仿宋"/>
          <w:color w:val="000000"/>
          <w:sz w:val="24"/>
          <w:szCs w:val="24"/>
          <w:lang w:val="en-US"/>
        </w:rPr>
      </w:pPr>
      <w:r>
        <w:rPr>
          <w:rFonts w:hint="eastAsia" w:ascii="仿宋" w:eastAsia="仿宋" w:cs="仿宋"/>
          <w:color w:val="000000"/>
          <w:sz w:val="24"/>
          <w:szCs w:val="24"/>
          <w:lang w:val="en-US"/>
        </w:rPr>
        <w:t>八、演示要求</w:t>
      </w:r>
    </w:p>
    <w:p w14:paraId="17E6AD72">
      <w:pPr>
        <w:pStyle w:val="972"/>
        <w:ind w:firstLine="480"/>
        <w:rPr>
          <w:rFonts w:ascii="宋体" w:hAnsi="宋体" w:cs="宋体"/>
        </w:rPr>
      </w:pPr>
      <w:r>
        <w:rPr>
          <w:rFonts w:hint="eastAsia" w:ascii="宋体" w:hAnsi="宋体" w:cs="宋体"/>
        </w:rPr>
        <w:t>本项目要求现场演示。演示必须用线上成熟系统。</w:t>
      </w:r>
    </w:p>
    <w:p w14:paraId="4201252A">
      <w:pPr>
        <w:pStyle w:val="972"/>
        <w:ind w:firstLine="480"/>
        <w:rPr>
          <w:rFonts w:ascii="宋体" w:hAnsi="宋体" w:cs="宋体"/>
        </w:rPr>
      </w:pPr>
      <w:r>
        <w:rPr>
          <w:rFonts w:hint="eastAsia" w:ascii="宋体" w:hAnsi="宋体" w:cs="宋体"/>
        </w:rPr>
        <w:t>演示设备：演示所需设备由投标人自行准备。</w:t>
      </w:r>
    </w:p>
    <w:p w14:paraId="545047B5">
      <w:pPr>
        <w:pStyle w:val="972"/>
        <w:ind w:firstLine="480"/>
        <w:rPr>
          <w:rFonts w:ascii="宋体" w:hAnsi="宋体" w:cs="宋体"/>
        </w:rPr>
      </w:pPr>
      <w:r>
        <w:rPr>
          <w:rFonts w:hint="eastAsia" w:ascii="宋体" w:hAnsi="宋体" w:cs="宋体"/>
        </w:rPr>
        <w:t>演示时间：每个投标人演示开始前的调试准备时间不超过15分钟，演示时间不超过30分钟，不包含评委提问解答时间。需以真人操作软件系统录制的视频或现场进行演示，演示时间不超过30分钟，演示内容要求如下：</w:t>
      </w:r>
    </w:p>
    <w:p w14:paraId="18B7847D">
      <w:pPr>
        <w:pStyle w:val="972"/>
        <w:ind w:firstLine="480"/>
        <w:rPr>
          <w:rFonts w:ascii="宋体" w:hAnsi="宋体" w:cs="宋体"/>
        </w:rPr>
      </w:pPr>
      <w:r>
        <w:rPr>
          <w:rFonts w:hint="eastAsia" w:ascii="宋体" w:hAnsi="宋体" w:cs="宋体"/>
        </w:rPr>
        <w:t>1、支持学生学习知识图谱时,系统支持自动推荐知识点百科介绍、开放课、期刊、图书、视频、文档、音频、链接、图片等多种系统自带的知识点扩展资源，无需教师手动关联，并支持学生自主换选一批推荐资源。</w:t>
      </w:r>
    </w:p>
    <w:p w14:paraId="77DA9362">
      <w:pPr>
        <w:pStyle w:val="972"/>
        <w:ind w:firstLine="480"/>
        <w:rPr>
          <w:rFonts w:ascii="宋体" w:hAnsi="宋体" w:cs="宋体"/>
        </w:rPr>
      </w:pPr>
      <w:r>
        <w:rPr>
          <w:rFonts w:hint="eastAsia" w:ascii="宋体" w:hAnsi="宋体" w:cs="宋体"/>
        </w:rPr>
        <w:t>2、支持题库建设时，可以直接从教学平台建设的网络课程中的题库板块中引用试题。</w:t>
      </w:r>
    </w:p>
    <w:p w14:paraId="06C5538D">
      <w:pPr>
        <w:pStyle w:val="972"/>
        <w:ind w:firstLine="480"/>
        <w:rPr>
          <w:rFonts w:ascii="宋体" w:hAnsi="宋体" w:cs="宋体"/>
        </w:rPr>
      </w:pPr>
      <w:r>
        <w:rPr>
          <w:rFonts w:hint="eastAsia" w:ascii="宋体" w:hAnsi="宋体" w:cs="宋体"/>
        </w:rPr>
        <w:t>3、支持设置好组卷逻辑之后，可以从指定的题库中按照设置的组卷逻辑进行随机抽题组卷，每次组卷数量上限不得低于20套，支持按知识点、文件夹、题型、难易度等多维度组合抽题组卷，支持设置组卷的题目重复率，避免抽取到大量重复题目。</w:t>
      </w:r>
    </w:p>
    <w:p w14:paraId="328280A2">
      <w:pPr>
        <w:pStyle w:val="972"/>
        <w:ind w:firstLine="480"/>
        <w:rPr>
          <w:rFonts w:ascii="宋体" w:hAnsi="宋体" w:cs="宋体"/>
        </w:rPr>
      </w:pPr>
      <w:r>
        <w:rPr>
          <w:rFonts w:hint="eastAsia" w:ascii="宋体" w:hAnsi="宋体" w:cs="宋体"/>
        </w:rPr>
        <w:t>4、新生报到人脸识别管理：支持自定义配置是否开启核验功能控制；支持设置是否需要验证手机号；支持自定义设置识别通过的阈值，含入学照片、采集照片、证件照片相似度分析；支持自定义设置学生页面及附件上传页的说明内容。设置完成后，需完整演示学生通过手机号验证后进行人脸识别，同时可查看识别通过的结果数据。</w:t>
      </w:r>
    </w:p>
    <w:p w14:paraId="5CD74CAD">
      <w:pPr>
        <w:pStyle w:val="972"/>
        <w:ind w:firstLine="480"/>
        <w:rPr>
          <w:rFonts w:ascii="宋体" w:hAnsi="宋体" w:cs="宋体"/>
        </w:rPr>
      </w:pPr>
      <w:r>
        <w:rPr>
          <w:rFonts w:hint="eastAsia" w:ascii="宋体" w:hAnsi="宋体" w:cs="宋体"/>
        </w:rPr>
        <w:t>5、大屏引擎：提供多种大屏模板，选择模板后可快速生新大屏，支持大屏可视化编辑流程，拖拽式页面布局。支持添加和设置应用基础模块，包含轮播图、多图列表、表格、图片、视频、天气、日期、内嵌网页、地图、柱状图、饼图、雷达图等多种基础模块，满足绝大部分大屏内容的展现形式，支持对接数据中台获取大屏数据源。</w:t>
      </w:r>
    </w:p>
    <w:p w14:paraId="5FD12D40">
      <w:pPr>
        <w:pStyle w:val="972"/>
        <w:ind w:firstLine="480"/>
        <w:rPr>
          <w:rFonts w:ascii="宋体" w:hAnsi="宋体" w:cs="宋体"/>
        </w:rPr>
      </w:pPr>
      <w:r>
        <w:rPr>
          <w:rFonts w:hint="eastAsia" w:ascii="宋体" w:hAnsi="宋体" w:cs="宋体"/>
        </w:rPr>
        <w:t>6、培训字段管理：支持配置与管理学员字段、注册字段、报名字段、教师字段、项目字段、培训班字段等，可设置字段是否配置和必填，同时支持添加选项/文本/时间/规则/图片/附件等自定义字段，由专家指定某一类字段进行设置。</w:t>
      </w:r>
    </w:p>
    <w:p w14:paraId="38F262F1">
      <w:pPr>
        <w:pStyle w:val="972"/>
        <w:ind w:firstLine="480"/>
        <w:rPr>
          <w:rFonts w:ascii="宋体" w:hAnsi="宋体" w:cs="宋体"/>
        </w:rPr>
      </w:pPr>
      <w:r>
        <w:rPr>
          <w:rFonts w:hint="eastAsia" w:ascii="宋体" w:hAnsi="宋体" w:cs="宋体"/>
        </w:rPr>
        <w:t>7、异常监控：可以单独设置学生观看课程视频、作业和考试是否需要进行异常监控，针对产生的异常数据支持异常分析，查看监控详情，可对学生异常学习进行提醒，同时可支持对异常数据进行异常状态处理。</w:t>
      </w:r>
    </w:p>
    <w:p w14:paraId="35622653">
      <w:pPr>
        <w:pStyle w:val="972"/>
        <w:ind w:firstLine="480"/>
        <w:rPr>
          <w:rFonts w:ascii="宋体" w:hAnsi="宋体" w:cs="宋体"/>
        </w:rPr>
      </w:pPr>
      <w:r>
        <w:rPr>
          <w:rFonts w:hint="eastAsia" w:ascii="宋体" w:hAnsi="宋体" w:cs="宋体"/>
        </w:rPr>
        <w:t>8、人脸识别监控：支持设置学生进入课程时是否开启人脸识别；观看章节视频时开启抓拍监控(可以设置抓拍模式、抓拍时间点等)；支持人脸识别匹配失败时限制学生学习；人脸匹配失败累计次数达到一定次数时，清除章节视频学习成绩。</w:t>
      </w:r>
    </w:p>
    <w:p w14:paraId="3371B663">
      <w:pPr>
        <w:pStyle w:val="972"/>
        <w:ind w:firstLine="480"/>
        <w:rPr>
          <w:rFonts w:ascii="宋体" w:hAnsi="宋体" w:cs="宋体"/>
        </w:rPr>
      </w:pPr>
      <w:r>
        <w:rPr>
          <w:rFonts w:hint="eastAsia" w:ascii="宋体" w:hAnsi="宋体" w:cs="宋体"/>
        </w:rPr>
        <w:t>9、章节视频翻译：支持教师在课程管理设置中根据需要自由开启课程章节视频翻译功能。功能开启后，支持对章节视频进行语音识别，生成字幕并进行翻译，学生在课程章节中观看视频时可自由开启带翻译的字幕。语音识别内容翻译支持中转英、英转中等。</w:t>
      </w:r>
    </w:p>
    <w:p w14:paraId="51FBFA4B">
      <w:pPr>
        <w:pStyle w:val="972"/>
        <w:ind w:firstLine="480"/>
        <w:rPr>
          <w:rFonts w:ascii="宋体" w:hAnsi="宋体" w:cs="宋体"/>
        </w:rPr>
      </w:pPr>
      <w:r>
        <w:rPr>
          <w:rFonts w:hint="eastAsia" w:ascii="宋体" w:hAnsi="宋体" w:cs="宋体"/>
        </w:rPr>
        <w:t>10、课堂管理：教师可以在网络课程章节中插入直播课堂，教师可以通过点击章节直播课堂卡片页，唤起直播课堂客户端，快速进入直播课堂进行教学。教师也可通过移动app在网络课程章节直播课堂卡片页中快速进入直播课堂进行教学。</w:t>
      </w:r>
    </w:p>
    <w:p w14:paraId="21659FA9">
      <w:pPr>
        <w:pStyle w:val="3"/>
        <w:numPr>
          <w:ilvl w:val="1"/>
          <w:numId w:val="0"/>
        </w:numPr>
        <w:rPr>
          <w:rFonts w:ascii="仿宋" w:eastAsia="仿宋" w:cs="仿宋"/>
          <w:color w:val="000000"/>
          <w:sz w:val="24"/>
          <w:szCs w:val="24"/>
          <w:lang w:val="en-US"/>
        </w:rPr>
      </w:pPr>
      <w:bookmarkStart w:id="41" w:name="_Toc8429"/>
      <w:bookmarkStart w:id="42" w:name="_Toc1863"/>
      <w:r>
        <w:rPr>
          <w:rFonts w:hint="eastAsia" w:ascii="仿宋" w:eastAsia="仿宋" w:cs="仿宋"/>
          <w:color w:val="000000"/>
          <w:sz w:val="24"/>
          <w:szCs w:val="24"/>
          <w:lang w:val="en-US"/>
        </w:rPr>
        <w:t>九、商务条款</w:t>
      </w:r>
      <w:bookmarkEnd w:id="41"/>
      <w:bookmarkEnd w:id="42"/>
    </w:p>
    <w:p w14:paraId="3C3042AB">
      <w:pPr>
        <w:pStyle w:val="24"/>
        <w:spacing w:line="360" w:lineRule="auto"/>
        <w:rPr>
          <w:rFonts w:ascii="仿宋" w:hAnsi="仿宋" w:cs="仿宋"/>
        </w:rPr>
      </w:pPr>
      <w:r>
        <w:rPr>
          <w:rFonts w:hint="eastAsia" w:ascii="仿宋" w:hAnsi="仿宋" w:cs="仿宋"/>
        </w:rPr>
        <w:t>▲1.履约保证金</w:t>
      </w:r>
    </w:p>
    <w:p w14:paraId="79452B07">
      <w:pPr>
        <w:pStyle w:val="24"/>
        <w:spacing w:line="360" w:lineRule="auto"/>
        <w:rPr>
          <w:rFonts w:ascii="仿宋" w:hAnsi="仿宋" w:cs="仿宋"/>
        </w:rPr>
      </w:pPr>
      <w:r>
        <w:rPr>
          <w:rFonts w:hint="eastAsia" w:ascii="仿宋" w:hAnsi="仿宋" w:cs="仿宋"/>
        </w:rPr>
        <w:t>（1）履约保证金递交形式：支票、汇票、本票或者金融机构、担保机构出具的保函等非现金形式；</w:t>
      </w:r>
    </w:p>
    <w:p w14:paraId="04D2D9AA">
      <w:pPr>
        <w:pStyle w:val="24"/>
        <w:spacing w:line="360" w:lineRule="auto"/>
        <w:rPr>
          <w:rFonts w:ascii="仿宋" w:hAnsi="仿宋" w:cs="仿宋"/>
        </w:rPr>
      </w:pPr>
      <w:r>
        <w:rPr>
          <w:rFonts w:hint="eastAsia" w:ascii="仿宋" w:hAnsi="仿宋" w:cs="仿宋"/>
        </w:rPr>
        <w:t>（2）金额：合同总价的1%；</w:t>
      </w:r>
    </w:p>
    <w:p w14:paraId="0D3FC229">
      <w:pPr>
        <w:pStyle w:val="24"/>
        <w:spacing w:line="360" w:lineRule="auto"/>
        <w:rPr>
          <w:rFonts w:ascii="仿宋" w:hAnsi="仿宋" w:cs="仿宋"/>
        </w:rPr>
      </w:pPr>
      <w:r>
        <w:rPr>
          <w:rFonts w:hint="eastAsia" w:ascii="仿宋" w:hAnsi="仿宋" w:cs="仿宋"/>
        </w:rPr>
        <w:t>（3）递交时间：收到采购人发出的签订合同要约后7天内。</w:t>
      </w:r>
    </w:p>
    <w:p w14:paraId="6BA02B19">
      <w:pPr>
        <w:pStyle w:val="24"/>
        <w:spacing w:line="360" w:lineRule="auto"/>
        <w:rPr>
          <w:rFonts w:ascii="仿宋" w:hAnsi="仿宋" w:cs="仿宋"/>
        </w:rPr>
      </w:pPr>
      <w:r>
        <w:rPr>
          <w:rFonts w:hint="eastAsia" w:ascii="仿宋" w:hAnsi="仿宋" w:cs="仿宋"/>
        </w:rPr>
        <w:t>（4）履约保证金若以电汇、网银交纳的，请将电汇底单复印件、网银电脑打印凭证写上所投项目名称、编号到本校采购中心拿到相关联系单后，在本校计划财务处开取收据；若以现金、支票方式交纳的，直接至学校采购中心拿到相关联系单后，交纳本校计划财务处开取收据。</w:t>
      </w:r>
    </w:p>
    <w:p w14:paraId="3BC4FCFE">
      <w:pPr>
        <w:pStyle w:val="24"/>
        <w:spacing w:line="360" w:lineRule="auto"/>
        <w:rPr>
          <w:rFonts w:ascii="仿宋" w:hAnsi="仿宋" w:cs="仿宋"/>
        </w:rPr>
      </w:pPr>
      <w:r>
        <w:rPr>
          <w:rFonts w:hint="eastAsia" w:ascii="仿宋" w:hAnsi="仿宋" w:cs="仿宋"/>
        </w:rPr>
        <w:t>户名：浙江工业大学；开户银行：农业银行杭州朝晖支行；银行帐号：19015601040001412；税号：1233000047000441XK。</w:t>
      </w:r>
    </w:p>
    <w:p w14:paraId="249527AE">
      <w:pPr>
        <w:pStyle w:val="24"/>
        <w:spacing w:line="360" w:lineRule="auto"/>
        <w:rPr>
          <w:rFonts w:ascii="仿宋" w:hAnsi="仿宋" w:cs="仿宋"/>
          <w:highlight w:val="none"/>
        </w:rPr>
      </w:pPr>
      <w:r>
        <w:rPr>
          <w:rFonts w:hint="eastAsia" w:ascii="仿宋" w:hAnsi="仿宋" w:cs="仿宋"/>
          <w:highlight w:val="none"/>
        </w:rPr>
        <w:t>▲2.付款方式</w:t>
      </w:r>
    </w:p>
    <w:p w14:paraId="7FD9D750">
      <w:pPr>
        <w:pStyle w:val="24"/>
        <w:spacing w:line="360" w:lineRule="auto"/>
        <w:rPr>
          <w:rFonts w:ascii="仿宋" w:hAnsi="仿宋" w:cs="仿宋"/>
          <w:highlight w:val="none"/>
        </w:rPr>
      </w:pPr>
      <w:r>
        <w:rPr>
          <w:rFonts w:hint="eastAsia" w:ascii="仿宋" w:hAnsi="仿宋" w:cs="仿宋"/>
          <w:highlight w:val="none"/>
        </w:rPr>
        <w:t>合同生效以及具备实施条件后7个工作日内采购人向成交供应商支付合同金额的40%（签订合同时成交供应商明确表示无需预付款或者主动要求降低预付款比例的可不适用前述规定），项目完成并经采购人验收合格后，采购人于7个工作日内向成交供应商支付剩余合同价款。</w:t>
      </w:r>
    </w:p>
    <w:p w14:paraId="7968637C">
      <w:pPr>
        <w:pStyle w:val="3"/>
        <w:numPr>
          <w:ilvl w:val="1"/>
          <w:numId w:val="0"/>
        </w:numPr>
        <w:rPr>
          <w:rFonts w:ascii="仿宋" w:eastAsia="仿宋" w:cs="仿宋"/>
          <w:color w:val="000000"/>
          <w:sz w:val="24"/>
          <w:szCs w:val="24"/>
          <w:highlight w:val="none"/>
          <w:lang w:val="en-US"/>
        </w:rPr>
      </w:pPr>
      <w:bookmarkStart w:id="43" w:name="_Toc10116"/>
      <w:bookmarkStart w:id="44" w:name="_Toc28740"/>
      <w:r>
        <w:rPr>
          <w:rFonts w:hint="eastAsia" w:ascii="仿宋" w:eastAsia="仿宋" w:cs="仿宋"/>
          <w:color w:val="000000"/>
          <w:sz w:val="24"/>
          <w:szCs w:val="24"/>
          <w:highlight w:val="none"/>
          <w:lang w:val="en-US"/>
        </w:rPr>
        <w:t>十、其他要求</w:t>
      </w:r>
      <w:bookmarkEnd w:id="43"/>
    </w:p>
    <w:p w14:paraId="187DA530">
      <w:pPr>
        <w:spacing w:line="360" w:lineRule="auto"/>
        <w:ind w:firstLine="480" w:firstLineChars="200"/>
        <w:rPr>
          <w:rFonts w:ascii="仿宋" w:hAnsi="仿宋" w:cs="仿宋"/>
        </w:rPr>
      </w:pPr>
      <w:r>
        <w:rPr>
          <w:rFonts w:hint="eastAsia" w:ascii="仿宋" w:hAnsi="仿宋" w:cs="仿宋"/>
          <w:highlight w:val="none"/>
        </w:rPr>
        <w:t>1.供应商具有有效的知识产</w:t>
      </w:r>
      <w:r>
        <w:rPr>
          <w:rFonts w:hint="eastAsia" w:ascii="仿宋" w:hAnsi="仿宋" w:cs="仿宋"/>
        </w:rPr>
        <w:t>权管理体系认证证书、ISO9001质量管理体系认证证书。</w:t>
      </w:r>
    </w:p>
    <w:p w14:paraId="0788DC6B">
      <w:pPr>
        <w:spacing w:line="360" w:lineRule="auto"/>
        <w:ind w:firstLine="480" w:firstLineChars="200"/>
        <w:rPr>
          <w:rFonts w:ascii="仿宋" w:hAnsi="仿宋" w:cs="仿宋"/>
        </w:rPr>
      </w:pPr>
      <w:r>
        <w:rPr>
          <w:rFonts w:hint="eastAsia" w:ascii="仿宋" w:hAnsi="仿宋" w:cs="仿宋"/>
        </w:rPr>
        <w:t>2.供应商自2021年1月1日以来（以合同签订时间为准）具有已成功实施的同类项目业绩（以提供的合同扫描件为准）。</w:t>
      </w:r>
    </w:p>
    <w:p w14:paraId="2FDE0574">
      <w:pPr>
        <w:spacing w:line="360" w:lineRule="auto"/>
        <w:ind w:firstLine="480" w:firstLineChars="200"/>
        <w:rPr>
          <w:rFonts w:ascii="仿宋" w:hAnsi="仿宋" w:cs="仿宋"/>
        </w:rPr>
      </w:pPr>
      <w:r>
        <w:rPr>
          <w:rFonts w:hint="eastAsia" w:ascii="仿宋" w:hAnsi="仿宋" w:cs="仿宋"/>
        </w:rPr>
        <w:t>3.供应商</w:t>
      </w:r>
      <w:r>
        <w:rPr>
          <w:rFonts w:hint="eastAsia" w:ascii="宋体" w:hAnsi="宋体" w:cs="宋体"/>
          <w:szCs w:val="21"/>
        </w:rPr>
        <w:t>所投产品具备与下列功能要求相关的国家版权局颁发的《计算机软件著作权登记证书》：</w:t>
      </w:r>
    </w:p>
    <w:p w14:paraId="7BF9CDB7">
      <w:pPr>
        <w:spacing w:line="360" w:lineRule="auto"/>
        <w:ind w:firstLine="480" w:firstLineChars="200"/>
        <w:rPr>
          <w:rFonts w:ascii="仿宋" w:hAnsi="仿宋" w:cs="仿宋"/>
        </w:rPr>
      </w:pPr>
      <w:r>
        <w:rPr>
          <w:rFonts w:hint="eastAsia" w:ascii="仿宋" w:hAnsi="仿宋" w:cs="仿宋"/>
        </w:rPr>
        <w:t>（1）供应商所投产品能够整合校本教学资源，实现直播教学、网络教学、在线考试的互通功能，并具有数据整合服务系统相关的计算机软件著作权登记证书；</w:t>
      </w:r>
    </w:p>
    <w:p w14:paraId="19259592">
      <w:pPr>
        <w:spacing w:line="360" w:lineRule="auto"/>
        <w:ind w:firstLine="480" w:firstLineChars="200"/>
        <w:rPr>
          <w:rFonts w:ascii="仿宋" w:hAnsi="仿宋" w:cs="仿宋"/>
        </w:rPr>
      </w:pPr>
      <w:r>
        <w:rPr>
          <w:rFonts w:hint="eastAsia" w:ascii="仿宋" w:hAnsi="仿宋" w:cs="仿宋"/>
        </w:rPr>
        <w:t>（2）</w:t>
      </w:r>
      <w:r>
        <w:rPr>
          <w:rFonts w:hint="eastAsia" w:ascii="宋体" w:hAnsi="宋体" w:cs="宋体"/>
          <w:szCs w:val="21"/>
        </w:rPr>
        <w:t>供应商所投产品</w:t>
      </w:r>
      <w:r>
        <w:rPr>
          <w:rFonts w:hint="eastAsia" w:ascii="宋体" w:hAnsi="宋体" w:cs="宋体"/>
        </w:rPr>
        <w:t>能够依据采购人的人才培养方案需求进行课程匹配及日常教学安排功能，并具有培养方案管理系统</w:t>
      </w:r>
      <w:r>
        <w:rPr>
          <w:rFonts w:hint="eastAsia" w:ascii="宋体" w:hAnsi="宋体" w:cs="宋体"/>
          <w:szCs w:val="21"/>
        </w:rPr>
        <w:t>相关</w:t>
      </w:r>
      <w:r>
        <w:rPr>
          <w:rFonts w:hint="eastAsia" w:ascii="宋体" w:hAnsi="宋体" w:cs="宋体"/>
        </w:rPr>
        <w:t>的计算机软件著作权登记证书</w:t>
      </w:r>
      <w:r>
        <w:rPr>
          <w:rFonts w:hint="eastAsia" w:ascii="仿宋" w:hAnsi="仿宋" w:cs="仿宋"/>
        </w:rPr>
        <w:t>；</w:t>
      </w:r>
    </w:p>
    <w:p w14:paraId="4638BB6A">
      <w:pPr>
        <w:spacing w:line="360" w:lineRule="auto"/>
        <w:ind w:firstLine="480" w:firstLineChars="200"/>
        <w:rPr>
          <w:rFonts w:ascii="仿宋" w:hAnsi="仿宋" w:cs="仿宋"/>
        </w:rPr>
      </w:pPr>
      <w:r>
        <w:rPr>
          <w:rFonts w:hint="eastAsia" w:ascii="仿宋" w:hAnsi="仿宋" w:cs="仿宋"/>
        </w:rPr>
        <w:t>（3）</w:t>
      </w:r>
      <w:r>
        <w:rPr>
          <w:rFonts w:hint="eastAsia" w:ascii="宋体" w:hAnsi="宋体" w:cs="宋体"/>
          <w:szCs w:val="21"/>
        </w:rPr>
        <w:t>供应商所投产品可实现对学生远程观看教师授课情况、学生在线下上课学情进行统计分析</w:t>
      </w:r>
      <w:r>
        <w:rPr>
          <w:rFonts w:hint="eastAsia" w:ascii="宋体" w:hAnsi="宋体" w:cs="宋体"/>
        </w:rPr>
        <w:t>功能</w:t>
      </w:r>
      <w:r>
        <w:rPr>
          <w:rFonts w:hint="eastAsia" w:ascii="宋体" w:hAnsi="宋体" w:cs="宋体"/>
          <w:szCs w:val="21"/>
        </w:rPr>
        <w:t>，并具有智能巡课系统相关的计算机软件著作权登记证书</w:t>
      </w:r>
      <w:r>
        <w:rPr>
          <w:rFonts w:hint="eastAsia" w:ascii="仿宋" w:hAnsi="仿宋" w:cs="仿宋"/>
        </w:rPr>
        <w:t>；</w:t>
      </w:r>
    </w:p>
    <w:p w14:paraId="38D3A998">
      <w:pPr>
        <w:spacing w:line="360" w:lineRule="auto"/>
        <w:ind w:firstLine="480" w:firstLineChars="200"/>
        <w:rPr>
          <w:rFonts w:ascii="仿宋" w:hAnsi="仿宋" w:cs="仿宋"/>
        </w:rPr>
      </w:pPr>
      <w:r>
        <w:rPr>
          <w:rFonts w:hint="eastAsia" w:ascii="仿宋" w:hAnsi="仿宋" w:cs="仿宋"/>
        </w:rPr>
        <w:t>（4）</w:t>
      </w:r>
      <w:r>
        <w:rPr>
          <w:rFonts w:hint="eastAsia" w:ascii="宋体" w:hAnsi="宋体" w:cs="宋体"/>
          <w:szCs w:val="21"/>
        </w:rPr>
        <w:t>供应商所投产品可实现对网络敏感词汇自动过滤、筛查、检测功能，</w:t>
      </w:r>
      <w:r>
        <w:rPr>
          <w:rFonts w:hint="eastAsia" w:ascii="宋体" w:hAnsi="宋体" w:cs="宋体"/>
        </w:rPr>
        <w:t>并</w:t>
      </w:r>
      <w:r>
        <w:rPr>
          <w:rFonts w:hint="eastAsia" w:ascii="宋体" w:hAnsi="宋体" w:cs="宋体"/>
          <w:szCs w:val="21"/>
        </w:rPr>
        <w:t>具有内容安全审核平台相关的计算机软件著作权登记证书</w:t>
      </w:r>
      <w:r>
        <w:rPr>
          <w:rFonts w:hint="eastAsia" w:ascii="仿宋" w:hAnsi="仿宋" w:cs="仿宋"/>
        </w:rPr>
        <w:t>；</w:t>
      </w:r>
    </w:p>
    <w:p w14:paraId="3A6C9A57">
      <w:pPr>
        <w:spacing w:line="360" w:lineRule="auto"/>
        <w:ind w:firstLine="480" w:firstLineChars="200"/>
        <w:rPr>
          <w:rFonts w:ascii="仿宋" w:hAnsi="仿宋" w:cs="仿宋"/>
        </w:rPr>
      </w:pPr>
      <w:r>
        <w:rPr>
          <w:rFonts w:hint="eastAsia" w:ascii="仿宋" w:hAnsi="仿宋" w:cs="仿宋"/>
        </w:rPr>
        <w:t>（5）</w:t>
      </w:r>
      <w:r>
        <w:rPr>
          <w:rFonts w:hint="eastAsia" w:ascii="宋体" w:hAnsi="宋体" w:cs="宋体"/>
          <w:szCs w:val="21"/>
        </w:rPr>
        <w:t>供应商所投产品可实现利用知识图谱技术构建专业图谱功能，</w:t>
      </w:r>
      <w:r>
        <w:rPr>
          <w:rFonts w:hint="eastAsia" w:ascii="宋体" w:hAnsi="宋体" w:cs="宋体"/>
        </w:rPr>
        <w:t>并</w:t>
      </w:r>
      <w:r>
        <w:rPr>
          <w:rFonts w:hint="eastAsia" w:ascii="宋体" w:hAnsi="宋体" w:cs="宋体"/>
          <w:szCs w:val="21"/>
        </w:rPr>
        <w:t>具有知识图谱相关的计算机软件著作权登记证书</w:t>
      </w:r>
      <w:r>
        <w:rPr>
          <w:rFonts w:hint="eastAsia" w:ascii="仿宋" w:hAnsi="仿宋" w:cs="仿宋"/>
        </w:rPr>
        <w:t>；</w:t>
      </w:r>
    </w:p>
    <w:p w14:paraId="2D1C557C">
      <w:pPr>
        <w:spacing w:line="360" w:lineRule="auto"/>
        <w:ind w:firstLine="480" w:firstLineChars="200"/>
        <w:rPr>
          <w:rFonts w:ascii="仿宋" w:hAnsi="仿宋" w:cs="仿宋"/>
        </w:rPr>
      </w:pPr>
      <w:r>
        <w:rPr>
          <w:rFonts w:hint="eastAsia" w:ascii="仿宋" w:hAnsi="仿宋" w:cs="仿宋"/>
        </w:rPr>
        <w:t>4.供应商</w:t>
      </w:r>
      <w:r>
        <w:rPr>
          <w:rFonts w:hint="eastAsia" w:ascii="宋体" w:hAnsi="宋体" w:cs="宋体"/>
          <w:szCs w:val="21"/>
        </w:rPr>
        <w:t>所投产品具备与下列功能要求相关的第三方检测机构出具的测试报告</w:t>
      </w:r>
      <w:r>
        <w:rPr>
          <w:rFonts w:hint="eastAsia" w:ascii="仿宋" w:hAnsi="仿宋" w:cs="仿宋"/>
        </w:rPr>
        <w:t>：</w:t>
      </w:r>
    </w:p>
    <w:p w14:paraId="52A6411B">
      <w:pPr>
        <w:spacing w:line="360" w:lineRule="auto"/>
        <w:ind w:firstLine="480" w:firstLineChars="200"/>
        <w:rPr>
          <w:rFonts w:ascii="仿宋" w:hAnsi="仿宋" w:cs="仿宋"/>
        </w:rPr>
      </w:pPr>
      <w:r>
        <w:rPr>
          <w:rFonts w:hint="eastAsia" w:ascii="仿宋" w:hAnsi="仿宋" w:cs="仿宋"/>
        </w:rPr>
        <w:t>（1）</w:t>
      </w:r>
      <w:r>
        <w:rPr>
          <w:rFonts w:hint="eastAsia" w:ascii="宋体" w:hAnsi="宋体" w:cs="宋体"/>
          <w:szCs w:val="21"/>
        </w:rPr>
        <w:t>供应商所投产品需具备人脸识别技术应用</w:t>
      </w:r>
      <w:r>
        <w:rPr>
          <w:rFonts w:hint="eastAsia" w:ascii="仿宋" w:hAnsi="仿宋" w:cs="仿宋"/>
        </w:rPr>
        <w:t>；</w:t>
      </w:r>
    </w:p>
    <w:p w14:paraId="1930D7B0">
      <w:pPr>
        <w:spacing w:line="360" w:lineRule="auto"/>
        <w:ind w:firstLine="480" w:firstLineChars="200"/>
        <w:rPr>
          <w:rFonts w:ascii="仿宋" w:hAnsi="仿宋" w:cs="仿宋"/>
        </w:rPr>
      </w:pPr>
      <w:r>
        <w:rPr>
          <w:rFonts w:hint="eastAsia" w:ascii="仿宋" w:hAnsi="仿宋" w:cs="仿宋"/>
        </w:rPr>
        <w:t>（2）</w:t>
      </w:r>
      <w:r>
        <w:rPr>
          <w:rFonts w:hint="eastAsia" w:ascii="宋体" w:hAnsi="宋体" w:cs="宋体"/>
          <w:szCs w:val="21"/>
        </w:rPr>
        <w:t>供应商所投产品需支持大数据统计分析功能</w:t>
      </w:r>
      <w:r>
        <w:rPr>
          <w:rFonts w:hint="eastAsia" w:ascii="仿宋" w:hAnsi="仿宋" w:cs="仿宋"/>
        </w:rPr>
        <w:t>；</w:t>
      </w:r>
    </w:p>
    <w:p w14:paraId="64D9C561">
      <w:pPr>
        <w:spacing w:line="360" w:lineRule="auto"/>
        <w:ind w:firstLine="480" w:firstLineChars="200"/>
        <w:rPr>
          <w:rFonts w:ascii="仿宋" w:hAnsi="仿宋" w:cs="仿宋"/>
        </w:rPr>
      </w:pPr>
      <w:r>
        <w:rPr>
          <w:rFonts w:hint="eastAsia" w:ascii="仿宋" w:hAnsi="仿宋" w:cs="仿宋"/>
        </w:rPr>
        <w:t>（3）</w:t>
      </w:r>
      <w:r>
        <w:rPr>
          <w:rFonts w:hint="eastAsia" w:ascii="宋体" w:hAnsi="宋体" w:cs="宋体"/>
          <w:szCs w:val="21"/>
        </w:rPr>
        <w:t>供应商所投产品具有和学生学习行为有关的业务(如访问课程、观看课程视频等)用户秒级并发性能测试报告</w:t>
      </w:r>
      <w:r>
        <w:rPr>
          <w:rFonts w:hint="eastAsia" w:ascii="仿宋" w:hAnsi="仿宋" w:cs="仿宋"/>
        </w:rPr>
        <w:t>；</w:t>
      </w:r>
    </w:p>
    <w:p w14:paraId="00F417AE">
      <w:pPr>
        <w:spacing w:line="360" w:lineRule="auto"/>
        <w:ind w:firstLine="480" w:firstLineChars="200"/>
        <w:rPr>
          <w:rFonts w:ascii="仿宋" w:hAnsi="仿宋" w:cs="仿宋"/>
        </w:rPr>
      </w:pPr>
      <w:r>
        <w:rPr>
          <w:rFonts w:hint="eastAsia" w:ascii="仿宋" w:hAnsi="仿宋" w:cs="仿宋"/>
        </w:rPr>
        <w:t>（4）</w:t>
      </w:r>
      <w:r>
        <w:rPr>
          <w:rFonts w:hint="eastAsia" w:ascii="宋体" w:hAnsi="宋体" w:cs="宋体"/>
          <w:szCs w:val="21"/>
        </w:rPr>
        <w:t>供应商需提供</w:t>
      </w:r>
      <w:r>
        <w:rPr>
          <w:rFonts w:hint="eastAsia"/>
        </w:rPr>
        <w:t>具有资质的第三方检测机构出具的</w:t>
      </w:r>
      <w:r>
        <w:rPr>
          <w:rFonts w:hint="eastAsia" w:ascii="宋体" w:hAnsi="宋体" w:cs="宋体"/>
          <w:szCs w:val="21"/>
        </w:rPr>
        <w:t>针对智慧教学平台单项功能测试报告和性能测试报告。测试标准依据：GB/T25000.51-2016系统与软件工程系统与软件质量要求和评价(SQuaRE)第51部分或其他同等或更优的标准：就绪可用软件产品(RUSP)的质量要求和测试细则。</w:t>
      </w:r>
    </w:p>
    <w:p w14:paraId="780EE361">
      <w:pPr>
        <w:spacing w:line="360" w:lineRule="auto"/>
        <w:ind w:firstLine="480" w:firstLineChars="200"/>
        <w:rPr>
          <w:rFonts w:ascii="仿宋" w:hAnsi="仿宋" w:cs="仿宋"/>
        </w:rPr>
      </w:pPr>
      <w:r>
        <w:rPr>
          <w:rFonts w:hint="eastAsia" w:ascii="仿宋" w:hAnsi="仿宋" w:cs="仿宋"/>
        </w:rPr>
        <w:t>5.供应商在响应文件中提供与网络教学与教务综合管理系统相关的三级等保备案证明及等保测评报告扫描件。</w:t>
      </w:r>
    </w:p>
    <w:p w14:paraId="55FE6EBE">
      <w:pPr>
        <w:spacing w:line="360" w:lineRule="auto"/>
        <w:ind w:firstLine="480" w:firstLineChars="200"/>
        <w:rPr>
          <w:rFonts w:ascii="仿宋" w:hAnsi="仿宋" w:cs="仿宋"/>
        </w:rPr>
      </w:pPr>
      <w:r>
        <w:rPr>
          <w:rFonts w:hint="eastAsia" w:ascii="仿宋" w:hAnsi="仿宋" w:cs="仿宋"/>
        </w:rPr>
        <w:t>6.供应商须在响应文件中提供系统设计方案（包含系统需求分析、系统总体架构、网络架构设计、功能设计、硬件部署等内容）。</w:t>
      </w:r>
    </w:p>
    <w:p w14:paraId="23285A4F">
      <w:pPr>
        <w:spacing w:line="360" w:lineRule="auto"/>
        <w:ind w:firstLine="480" w:firstLineChars="200"/>
        <w:rPr>
          <w:rFonts w:ascii="仿宋" w:hAnsi="仿宋" w:cs="仿宋"/>
        </w:rPr>
      </w:pPr>
      <w:r>
        <w:rPr>
          <w:rFonts w:hint="eastAsia" w:ascii="仿宋" w:hAnsi="仿宋" w:cs="仿宋"/>
        </w:rPr>
        <w:t>7.供应商须在响应文件中提供售后服务及培训方案（包含①售后服务承诺②培训计划③培训课程内容④保证培训成效的措施⑤为保证后期项目的正常运行，售后服务团队在接到反馈后30分钟内响应，对于无法通过远程技术支持方式解决的，工程师在1小时内赶到现场进行指导）。</w:t>
      </w:r>
    </w:p>
    <w:p w14:paraId="352E2E2A">
      <w:pPr>
        <w:rPr>
          <w:rFonts w:ascii="仿宋" w:hAnsi="仿宋" w:cs="仿宋"/>
          <w:b/>
          <w:sz w:val="36"/>
          <w:szCs w:val="36"/>
        </w:rPr>
      </w:pPr>
      <w:r>
        <w:rPr>
          <w:rFonts w:hint="eastAsia" w:ascii="仿宋" w:hAnsi="仿宋" w:cs="仿宋"/>
          <w:b/>
          <w:sz w:val="36"/>
          <w:szCs w:val="36"/>
        </w:rPr>
        <w:br w:type="page"/>
      </w:r>
    </w:p>
    <w:p w14:paraId="3CD26306">
      <w:pPr>
        <w:spacing w:line="360" w:lineRule="auto"/>
        <w:jc w:val="center"/>
        <w:outlineLvl w:val="0"/>
        <w:rPr>
          <w:rFonts w:ascii="仿宋" w:hAnsi="仿宋" w:cs="仿宋"/>
          <w:b/>
          <w:sz w:val="36"/>
          <w:szCs w:val="36"/>
        </w:rPr>
      </w:pPr>
      <w:r>
        <w:rPr>
          <w:rFonts w:hint="eastAsia" w:ascii="仿宋" w:hAnsi="仿宋" w:cs="仿宋"/>
          <w:b/>
          <w:sz w:val="36"/>
          <w:szCs w:val="36"/>
        </w:rPr>
        <w:t xml:space="preserve">第四部分  </w:t>
      </w:r>
      <w:bookmarkStart w:id="45" w:name="_Toc184308092"/>
      <w:bookmarkEnd w:id="45"/>
      <w:bookmarkStart w:id="46" w:name="_Toc184312085"/>
      <w:bookmarkEnd w:id="46"/>
      <w:bookmarkStart w:id="47" w:name="_Toc184308101"/>
      <w:bookmarkEnd w:id="47"/>
      <w:bookmarkStart w:id="48" w:name="_Toc184312138"/>
      <w:bookmarkEnd w:id="48"/>
      <w:bookmarkStart w:id="49" w:name="_Toc184308082"/>
      <w:bookmarkEnd w:id="49"/>
      <w:bookmarkStart w:id="50" w:name="_Toc184313308"/>
      <w:bookmarkEnd w:id="50"/>
      <w:bookmarkStart w:id="51" w:name="_Toc184313284"/>
      <w:bookmarkEnd w:id="51"/>
      <w:bookmarkStart w:id="52" w:name="_Toc184312113"/>
      <w:bookmarkEnd w:id="52"/>
      <w:bookmarkStart w:id="53" w:name="_Toc184310330"/>
      <w:bookmarkEnd w:id="53"/>
      <w:bookmarkStart w:id="54" w:name="_Toc184310320"/>
      <w:bookmarkEnd w:id="54"/>
      <w:bookmarkStart w:id="55" w:name="_Toc184308058"/>
      <w:bookmarkEnd w:id="55"/>
      <w:bookmarkStart w:id="56" w:name="_Toc184314443"/>
      <w:bookmarkEnd w:id="56"/>
      <w:bookmarkStart w:id="57" w:name="_Toc184312076"/>
      <w:bookmarkEnd w:id="57"/>
      <w:bookmarkStart w:id="58" w:name="_Toc184314432"/>
      <w:bookmarkEnd w:id="58"/>
      <w:bookmarkStart w:id="59" w:name="_Toc184314424"/>
      <w:bookmarkEnd w:id="59"/>
      <w:bookmarkStart w:id="60" w:name="_Toc184312075"/>
      <w:bookmarkEnd w:id="60"/>
      <w:bookmarkStart w:id="61" w:name="_Toc184310323"/>
      <w:bookmarkEnd w:id="61"/>
      <w:bookmarkStart w:id="62" w:name="_Toc184310324"/>
      <w:bookmarkEnd w:id="62"/>
      <w:bookmarkStart w:id="63" w:name="_Toc184308037"/>
      <w:bookmarkEnd w:id="63"/>
      <w:bookmarkStart w:id="64" w:name="_Toc184314429"/>
      <w:bookmarkEnd w:id="64"/>
      <w:bookmarkStart w:id="65" w:name="_Toc184312099"/>
      <w:bookmarkEnd w:id="65"/>
      <w:bookmarkStart w:id="66" w:name="_Toc184312091"/>
      <w:bookmarkEnd w:id="66"/>
      <w:bookmarkStart w:id="67" w:name="_Toc184313306"/>
      <w:bookmarkEnd w:id="67"/>
      <w:bookmarkStart w:id="68" w:name="_Toc184313268"/>
      <w:bookmarkEnd w:id="68"/>
      <w:bookmarkStart w:id="69" w:name="_Toc184313238"/>
      <w:bookmarkEnd w:id="69"/>
      <w:bookmarkStart w:id="70" w:name="_Toc184312103"/>
      <w:bookmarkEnd w:id="70"/>
      <w:bookmarkStart w:id="71" w:name="_Toc184308099"/>
      <w:bookmarkEnd w:id="71"/>
      <w:bookmarkStart w:id="72" w:name="_Toc184312088"/>
      <w:bookmarkEnd w:id="72"/>
      <w:bookmarkStart w:id="73" w:name="_Toc184310280"/>
      <w:bookmarkEnd w:id="73"/>
      <w:bookmarkStart w:id="74" w:name="_Toc184314450"/>
      <w:bookmarkEnd w:id="74"/>
      <w:bookmarkStart w:id="75" w:name="_Toc184313307"/>
      <w:bookmarkEnd w:id="75"/>
      <w:bookmarkStart w:id="76" w:name="_Toc184313299"/>
      <w:bookmarkEnd w:id="76"/>
      <w:bookmarkStart w:id="77" w:name="_Toc184308072"/>
      <w:bookmarkEnd w:id="77"/>
      <w:bookmarkStart w:id="78" w:name="_Toc184312106"/>
      <w:bookmarkEnd w:id="78"/>
      <w:bookmarkStart w:id="79" w:name="_Toc184314444"/>
      <w:bookmarkEnd w:id="79"/>
      <w:bookmarkStart w:id="80" w:name="_Toc184308060"/>
      <w:bookmarkEnd w:id="80"/>
      <w:bookmarkStart w:id="81" w:name="_Toc184310287"/>
      <w:bookmarkEnd w:id="81"/>
      <w:bookmarkStart w:id="82" w:name="_Toc184314416"/>
      <w:bookmarkEnd w:id="82"/>
      <w:bookmarkStart w:id="83" w:name="_Toc184308064"/>
      <w:bookmarkEnd w:id="83"/>
      <w:bookmarkStart w:id="84" w:name="_Toc184312082"/>
      <w:bookmarkEnd w:id="84"/>
      <w:bookmarkStart w:id="85" w:name="_Toc184310306"/>
      <w:bookmarkEnd w:id="85"/>
      <w:bookmarkStart w:id="86" w:name="_Toc184314446"/>
      <w:bookmarkEnd w:id="86"/>
      <w:bookmarkStart w:id="87" w:name="_Toc184313249"/>
      <w:bookmarkEnd w:id="87"/>
      <w:bookmarkStart w:id="88" w:name="_Toc184308047"/>
      <w:bookmarkEnd w:id="88"/>
      <w:bookmarkStart w:id="89" w:name="_Toc184313309"/>
      <w:bookmarkEnd w:id="89"/>
      <w:bookmarkStart w:id="90" w:name="_Toc184308075"/>
      <w:bookmarkEnd w:id="90"/>
      <w:bookmarkStart w:id="91" w:name="_Toc184314418"/>
      <w:bookmarkEnd w:id="91"/>
      <w:bookmarkStart w:id="92" w:name="_Toc184308080"/>
      <w:bookmarkEnd w:id="92"/>
      <w:bookmarkStart w:id="93" w:name="_Toc184312125"/>
      <w:bookmarkEnd w:id="93"/>
      <w:bookmarkStart w:id="94" w:name="_Toc184313301"/>
      <w:bookmarkEnd w:id="94"/>
      <w:bookmarkStart w:id="95" w:name="_Toc184314479"/>
      <w:bookmarkEnd w:id="95"/>
      <w:bookmarkStart w:id="96" w:name="_Toc184310317"/>
      <w:bookmarkEnd w:id="96"/>
      <w:bookmarkStart w:id="97" w:name="_Toc184310314"/>
      <w:bookmarkEnd w:id="97"/>
      <w:bookmarkStart w:id="98" w:name="_Toc184310311"/>
      <w:bookmarkEnd w:id="98"/>
      <w:bookmarkStart w:id="99" w:name="_Toc184310278"/>
      <w:bookmarkEnd w:id="99"/>
      <w:bookmarkStart w:id="100" w:name="_Toc184312134"/>
      <w:bookmarkEnd w:id="100"/>
      <w:bookmarkStart w:id="101" w:name="_Toc184308041"/>
      <w:bookmarkEnd w:id="101"/>
      <w:bookmarkStart w:id="102" w:name="_Toc184312114"/>
      <w:bookmarkEnd w:id="102"/>
      <w:bookmarkStart w:id="103" w:name="_Toc184312102"/>
      <w:bookmarkEnd w:id="103"/>
      <w:bookmarkStart w:id="104" w:name="_Toc184314456"/>
      <w:bookmarkEnd w:id="104"/>
      <w:bookmarkStart w:id="105" w:name="_Toc184308086"/>
      <w:bookmarkEnd w:id="105"/>
      <w:bookmarkStart w:id="106" w:name="_Toc184314447"/>
      <w:bookmarkEnd w:id="106"/>
      <w:bookmarkStart w:id="107" w:name="_Toc184310337"/>
      <w:bookmarkEnd w:id="107"/>
      <w:bookmarkStart w:id="108" w:name="_Toc184308090"/>
      <w:bookmarkEnd w:id="108"/>
      <w:bookmarkStart w:id="109" w:name="_Toc184313242"/>
      <w:bookmarkEnd w:id="109"/>
      <w:bookmarkStart w:id="110" w:name="_Toc184312100"/>
      <w:bookmarkEnd w:id="110"/>
      <w:bookmarkStart w:id="111" w:name="_Toc184313253"/>
      <w:bookmarkEnd w:id="111"/>
      <w:bookmarkStart w:id="112" w:name="_Toc184308050"/>
      <w:bookmarkEnd w:id="112"/>
      <w:bookmarkStart w:id="113" w:name="_Toc184308044"/>
      <w:bookmarkEnd w:id="113"/>
      <w:bookmarkStart w:id="114" w:name="_Toc184314481"/>
      <w:bookmarkEnd w:id="114"/>
      <w:bookmarkStart w:id="115" w:name="_Toc184310275"/>
      <w:bookmarkEnd w:id="115"/>
      <w:bookmarkStart w:id="116" w:name="_Toc184313298"/>
      <w:bookmarkEnd w:id="116"/>
      <w:bookmarkStart w:id="117" w:name="_Toc184312097"/>
      <w:bookmarkEnd w:id="117"/>
      <w:bookmarkStart w:id="118" w:name="_Toc184310343"/>
      <w:bookmarkEnd w:id="118"/>
      <w:bookmarkStart w:id="119" w:name="_Toc184310299"/>
      <w:bookmarkEnd w:id="119"/>
      <w:bookmarkStart w:id="120" w:name="_Toc184310277"/>
      <w:bookmarkEnd w:id="120"/>
      <w:bookmarkStart w:id="121" w:name="_Toc184312111"/>
      <w:bookmarkEnd w:id="121"/>
      <w:bookmarkStart w:id="122" w:name="_Toc184312087"/>
      <w:bookmarkEnd w:id="122"/>
      <w:bookmarkStart w:id="123" w:name="_Toc184308083"/>
      <w:bookmarkEnd w:id="123"/>
      <w:bookmarkStart w:id="124" w:name="_Toc184312132"/>
      <w:bookmarkEnd w:id="124"/>
      <w:bookmarkStart w:id="125" w:name="_Toc184310302"/>
      <w:bookmarkEnd w:id="125"/>
      <w:bookmarkStart w:id="126" w:name="_Toc184308049"/>
      <w:bookmarkEnd w:id="126"/>
      <w:bookmarkStart w:id="127" w:name="_Toc184312074"/>
      <w:bookmarkEnd w:id="127"/>
      <w:bookmarkStart w:id="128" w:name="_Toc184308105"/>
      <w:bookmarkEnd w:id="128"/>
      <w:bookmarkStart w:id="129" w:name="_Toc184313280"/>
      <w:bookmarkEnd w:id="129"/>
      <w:bookmarkStart w:id="130" w:name="_Toc184314440"/>
      <w:bookmarkEnd w:id="130"/>
      <w:bookmarkStart w:id="131" w:name="_Toc184314411"/>
      <w:bookmarkEnd w:id="131"/>
      <w:bookmarkStart w:id="132" w:name="_Toc184308048"/>
      <w:bookmarkEnd w:id="132"/>
      <w:bookmarkStart w:id="133" w:name="_Toc184313281"/>
      <w:bookmarkEnd w:id="133"/>
      <w:bookmarkStart w:id="134" w:name="_Toc184312130"/>
      <w:bookmarkEnd w:id="134"/>
      <w:bookmarkStart w:id="135" w:name="_Toc184308057"/>
      <w:bookmarkEnd w:id="135"/>
      <w:bookmarkStart w:id="136" w:name="_Toc184308036"/>
      <w:bookmarkEnd w:id="136"/>
      <w:bookmarkStart w:id="137" w:name="_Toc184313300"/>
      <w:bookmarkEnd w:id="137"/>
      <w:bookmarkStart w:id="138" w:name="_Toc184308046"/>
      <w:bookmarkEnd w:id="138"/>
      <w:bookmarkStart w:id="139" w:name="_Toc184308076"/>
      <w:bookmarkEnd w:id="139"/>
      <w:bookmarkStart w:id="140" w:name="_Toc184313293"/>
      <w:bookmarkEnd w:id="140"/>
      <w:bookmarkStart w:id="141" w:name="_Toc184312124"/>
      <w:bookmarkEnd w:id="141"/>
      <w:bookmarkStart w:id="142" w:name="_Toc184312072"/>
      <w:bookmarkEnd w:id="142"/>
      <w:bookmarkStart w:id="143" w:name="_Toc184313255"/>
      <w:bookmarkEnd w:id="143"/>
      <w:bookmarkStart w:id="144" w:name="_Toc184308045"/>
      <w:bookmarkEnd w:id="144"/>
      <w:bookmarkStart w:id="145" w:name="_Toc184314415"/>
      <w:bookmarkEnd w:id="145"/>
      <w:bookmarkStart w:id="146" w:name="_Toc184314438"/>
      <w:bookmarkEnd w:id="146"/>
      <w:bookmarkStart w:id="147" w:name="_Toc184314458"/>
      <w:bookmarkEnd w:id="147"/>
      <w:bookmarkStart w:id="148" w:name="_Toc184313305"/>
      <w:bookmarkEnd w:id="148"/>
      <w:bookmarkStart w:id="149" w:name="_Toc184310325"/>
      <w:bookmarkEnd w:id="149"/>
      <w:bookmarkStart w:id="150" w:name="_Toc184310286"/>
      <w:bookmarkEnd w:id="150"/>
      <w:bookmarkStart w:id="151" w:name="_Toc184314413"/>
      <w:bookmarkEnd w:id="151"/>
      <w:bookmarkStart w:id="152" w:name="_Toc184308038"/>
      <w:bookmarkEnd w:id="152"/>
      <w:bookmarkStart w:id="153" w:name="_Toc184308085"/>
      <w:bookmarkEnd w:id="153"/>
      <w:bookmarkStart w:id="154" w:name="_Toc184308091"/>
      <w:bookmarkEnd w:id="154"/>
      <w:bookmarkStart w:id="155" w:name="_Toc184312077"/>
      <w:bookmarkEnd w:id="155"/>
      <w:bookmarkStart w:id="156" w:name="_Toc184313256"/>
      <w:bookmarkEnd w:id="156"/>
      <w:bookmarkStart w:id="157" w:name="_Toc184308098"/>
      <w:bookmarkEnd w:id="157"/>
      <w:bookmarkStart w:id="158" w:name="_Toc184312139"/>
      <w:bookmarkEnd w:id="158"/>
      <w:bookmarkStart w:id="159" w:name="_Toc184308095"/>
      <w:bookmarkEnd w:id="159"/>
      <w:bookmarkStart w:id="160" w:name="_Toc184313279"/>
      <w:bookmarkEnd w:id="160"/>
      <w:bookmarkStart w:id="161" w:name="_Toc184312133"/>
      <w:bookmarkEnd w:id="161"/>
      <w:bookmarkStart w:id="162" w:name="_Toc184308079"/>
      <w:bookmarkEnd w:id="162"/>
      <w:bookmarkStart w:id="163" w:name="_Toc184314466"/>
      <w:bookmarkEnd w:id="163"/>
      <w:bookmarkStart w:id="164" w:name="_Toc184310321"/>
      <w:bookmarkEnd w:id="164"/>
      <w:bookmarkStart w:id="165" w:name="_Toc184310293"/>
      <w:bookmarkEnd w:id="165"/>
      <w:bookmarkStart w:id="166" w:name="_Toc184313252"/>
      <w:bookmarkEnd w:id="166"/>
      <w:bookmarkStart w:id="167" w:name="_Toc184313288"/>
      <w:bookmarkEnd w:id="167"/>
      <w:bookmarkStart w:id="168" w:name="_Toc184313277"/>
      <w:bookmarkEnd w:id="168"/>
      <w:bookmarkStart w:id="169" w:name="_Toc184312093"/>
      <w:bookmarkEnd w:id="169"/>
      <w:bookmarkStart w:id="170" w:name="_Toc184313273"/>
      <w:bookmarkEnd w:id="170"/>
      <w:bookmarkStart w:id="171" w:name="_Toc184314464"/>
      <w:bookmarkEnd w:id="171"/>
      <w:bookmarkStart w:id="172" w:name="_Toc184312112"/>
      <w:bookmarkEnd w:id="172"/>
      <w:bookmarkStart w:id="173" w:name="_Toc184314460"/>
      <w:bookmarkEnd w:id="173"/>
      <w:bookmarkStart w:id="174" w:name="_Toc184314467"/>
      <w:bookmarkEnd w:id="174"/>
      <w:bookmarkStart w:id="175" w:name="_Toc184310297"/>
      <w:bookmarkEnd w:id="175"/>
      <w:bookmarkStart w:id="176" w:name="_Toc184313267"/>
      <w:bookmarkEnd w:id="176"/>
      <w:bookmarkStart w:id="177" w:name="_Toc184313275"/>
      <w:bookmarkEnd w:id="177"/>
      <w:bookmarkStart w:id="178" w:name="_Toc184313290"/>
      <w:bookmarkEnd w:id="178"/>
      <w:bookmarkStart w:id="179" w:name="_Toc184312131"/>
      <w:bookmarkEnd w:id="179"/>
      <w:bookmarkStart w:id="180" w:name="_Toc184312101"/>
      <w:bookmarkEnd w:id="180"/>
      <w:bookmarkStart w:id="181" w:name="_Toc184310322"/>
      <w:bookmarkEnd w:id="181"/>
      <w:bookmarkStart w:id="182" w:name="_Toc184308042"/>
      <w:bookmarkEnd w:id="182"/>
      <w:bookmarkStart w:id="183" w:name="_Toc184310328"/>
      <w:bookmarkEnd w:id="183"/>
      <w:bookmarkStart w:id="184" w:name="_Toc184312090"/>
      <w:bookmarkEnd w:id="184"/>
      <w:bookmarkStart w:id="185" w:name="_Toc184314414"/>
      <w:bookmarkEnd w:id="185"/>
      <w:bookmarkStart w:id="186" w:name="_Toc184310284"/>
      <w:bookmarkEnd w:id="186"/>
      <w:bookmarkStart w:id="187" w:name="_Toc184310308"/>
      <w:bookmarkEnd w:id="187"/>
      <w:bookmarkStart w:id="188" w:name="_Toc184308093"/>
      <w:bookmarkEnd w:id="188"/>
      <w:bookmarkStart w:id="189" w:name="_Toc184312127"/>
      <w:bookmarkEnd w:id="189"/>
      <w:bookmarkStart w:id="190" w:name="_Toc184314482"/>
      <w:bookmarkEnd w:id="190"/>
      <w:bookmarkStart w:id="191" w:name="_Toc184310283"/>
      <w:bookmarkEnd w:id="191"/>
      <w:bookmarkStart w:id="192" w:name="_Toc184314420"/>
      <w:bookmarkEnd w:id="192"/>
      <w:bookmarkStart w:id="193" w:name="_Toc184313286"/>
      <w:bookmarkEnd w:id="193"/>
      <w:bookmarkStart w:id="194" w:name="_Toc184314475"/>
      <w:bookmarkEnd w:id="194"/>
      <w:bookmarkStart w:id="195" w:name="_Toc184312107"/>
      <w:bookmarkEnd w:id="195"/>
      <w:bookmarkStart w:id="196" w:name="_Toc184310310"/>
      <w:bookmarkEnd w:id="196"/>
      <w:bookmarkStart w:id="197" w:name="_Toc184308055"/>
      <w:bookmarkEnd w:id="197"/>
      <w:bookmarkStart w:id="198" w:name="_Toc184314448"/>
      <w:bookmarkEnd w:id="198"/>
      <w:bookmarkStart w:id="199" w:name="_Toc184314459"/>
      <w:bookmarkEnd w:id="199"/>
      <w:bookmarkStart w:id="200" w:name="_Toc184312119"/>
      <w:bookmarkEnd w:id="200"/>
      <w:bookmarkStart w:id="201" w:name="_Toc184313261"/>
      <w:bookmarkEnd w:id="201"/>
      <w:bookmarkStart w:id="202" w:name="_Toc184314454"/>
      <w:bookmarkEnd w:id="202"/>
      <w:bookmarkStart w:id="203" w:name="_Toc184310318"/>
      <w:bookmarkEnd w:id="203"/>
      <w:bookmarkStart w:id="204" w:name="_Toc184313289"/>
      <w:bookmarkEnd w:id="204"/>
      <w:bookmarkStart w:id="205" w:name="_Toc184310290"/>
      <w:bookmarkEnd w:id="205"/>
      <w:bookmarkStart w:id="206" w:name="_Toc184312071"/>
      <w:bookmarkEnd w:id="206"/>
      <w:bookmarkStart w:id="207" w:name="_Toc184312120"/>
      <w:bookmarkEnd w:id="207"/>
      <w:bookmarkStart w:id="208" w:name="_Toc184313304"/>
      <w:bookmarkEnd w:id="208"/>
      <w:bookmarkStart w:id="209" w:name="_Toc184312115"/>
      <w:bookmarkEnd w:id="209"/>
      <w:bookmarkStart w:id="210" w:name="_Toc184314477"/>
      <w:bookmarkEnd w:id="210"/>
      <w:bookmarkStart w:id="211" w:name="_Toc184312136"/>
      <w:bookmarkEnd w:id="211"/>
      <w:bookmarkStart w:id="212" w:name="_Toc184314419"/>
      <w:bookmarkEnd w:id="212"/>
      <w:bookmarkStart w:id="213" w:name="_Toc184310315"/>
      <w:bookmarkEnd w:id="213"/>
      <w:bookmarkStart w:id="214" w:name="_Toc184308081"/>
      <w:bookmarkEnd w:id="214"/>
      <w:bookmarkStart w:id="215" w:name="_Toc184314431"/>
      <w:bookmarkEnd w:id="215"/>
      <w:bookmarkStart w:id="216" w:name="_Toc184313297"/>
      <w:bookmarkEnd w:id="216"/>
      <w:bookmarkStart w:id="217" w:name="_Toc184314455"/>
      <w:bookmarkEnd w:id="217"/>
      <w:bookmarkStart w:id="218" w:name="_Toc184312084"/>
      <w:bookmarkEnd w:id="218"/>
      <w:bookmarkStart w:id="219" w:name="_Toc184310281"/>
      <w:bookmarkEnd w:id="219"/>
      <w:bookmarkStart w:id="220" w:name="_Toc184313239"/>
      <w:bookmarkEnd w:id="220"/>
      <w:bookmarkStart w:id="221" w:name="_Toc184314461"/>
      <w:bookmarkEnd w:id="221"/>
      <w:bookmarkStart w:id="222" w:name="_Toc184313295"/>
      <w:bookmarkEnd w:id="222"/>
      <w:bookmarkStart w:id="223" w:name="_Toc184310305"/>
      <w:bookmarkEnd w:id="223"/>
      <w:bookmarkStart w:id="224" w:name="_Toc184313246"/>
      <w:bookmarkEnd w:id="224"/>
      <w:bookmarkStart w:id="225" w:name="_Toc184308067"/>
      <w:bookmarkEnd w:id="225"/>
      <w:bookmarkStart w:id="226" w:name="_Toc184314472"/>
      <w:bookmarkEnd w:id="226"/>
      <w:bookmarkStart w:id="227" w:name="_Toc184310282"/>
      <w:bookmarkEnd w:id="227"/>
      <w:bookmarkStart w:id="228" w:name="_Toc184310291"/>
      <w:bookmarkEnd w:id="228"/>
      <w:bookmarkStart w:id="229" w:name="_Toc184314473"/>
      <w:bookmarkEnd w:id="229"/>
      <w:bookmarkStart w:id="230" w:name="_Toc184313240"/>
      <w:bookmarkEnd w:id="230"/>
      <w:bookmarkStart w:id="231" w:name="_Toc184314410"/>
      <w:bookmarkEnd w:id="231"/>
      <w:bookmarkStart w:id="232" w:name="_Toc184313243"/>
      <w:bookmarkEnd w:id="232"/>
      <w:bookmarkStart w:id="233" w:name="_Toc184308040"/>
      <w:bookmarkEnd w:id="233"/>
      <w:bookmarkStart w:id="234" w:name="_Toc184308063"/>
      <w:bookmarkEnd w:id="234"/>
      <w:bookmarkStart w:id="235" w:name="_Toc184314449"/>
      <w:bookmarkEnd w:id="235"/>
      <w:bookmarkStart w:id="236" w:name="_Toc184313292"/>
      <w:bookmarkEnd w:id="236"/>
      <w:bookmarkStart w:id="237" w:name="_Toc184314445"/>
      <w:bookmarkEnd w:id="237"/>
      <w:bookmarkStart w:id="238" w:name="_Toc184308062"/>
      <w:bookmarkEnd w:id="238"/>
      <w:bookmarkStart w:id="239" w:name="_Toc184310301"/>
      <w:bookmarkEnd w:id="239"/>
      <w:bookmarkStart w:id="240" w:name="_Toc184314412"/>
      <w:bookmarkEnd w:id="240"/>
      <w:bookmarkStart w:id="241" w:name="_Toc184310316"/>
      <w:bookmarkEnd w:id="241"/>
      <w:bookmarkStart w:id="242" w:name="_Toc184308106"/>
      <w:bookmarkEnd w:id="242"/>
      <w:bookmarkStart w:id="243" w:name="_Toc184314453"/>
      <w:bookmarkEnd w:id="243"/>
      <w:bookmarkStart w:id="244" w:name="_Toc184310285"/>
      <w:bookmarkEnd w:id="244"/>
      <w:bookmarkStart w:id="245" w:name="_Toc184310289"/>
      <w:bookmarkEnd w:id="245"/>
      <w:bookmarkStart w:id="246" w:name="_Toc184314436"/>
      <w:bookmarkEnd w:id="246"/>
      <w:bookmarkStart w:id="247" w:name="_Toc184314478"/>
      <w:bookmarkEnd w:id="247"/>
      <w:bookmarkStart w:id="248" w:name="_Toc184313258"/>
      <w:bookmarkEnd w:id="248"/>
      <w:bookmarkStart w:id="249" w:name="_Toc184313271"/>
      <w:bookmarkEnd w:id="249"/>
      <w:bookmarkStart w:id="250" w:name="_Toc184313310"/>
      <w:bookmarkEnd w:id="250"/>
      <w:bookmarkStart w:id="251" w:name="_Toc184308088"/>
      <w:bookmarkEnd w:id="251"/>
      <w:bookmarkStart w:id="252" w:name="_Toc184312096"/>
      <w:bookmarkEnd w:id="252"/>
      <w:bookmarkStart w:id="253" w:name="_Toc184313283"/>
      <w:bookmarkEnd w:id="253"/>
      <w:bookmarkStart w:id="254" w:name="_Toc184308089"/>
      <w:bookmarkEnd w:id="254"/>
      <w:bookmarkStart w:id="255" w:name="_Toc184313244"/>
      <w:bookmarkEnd w:id="255"/>
      <w:bookmarkStart w:id="256" w:name="_Toc184314421"/>
      <w:bookmarkEnd w:id="256"/>
      <w:bookmarkStart w:id="257" w:name="_Toc184310300"/>
      <w:bookmarkEnd w:id="257"/>
      <w:bookmarkStart w:id="258" w:name="_Toc184308071"/>
      <w:bookmarkEnd w:id="258"/>
      <w:bookmarkStart w:id="259" w:name="_Toc184308097"/>
      <w:bookmarkEnd w:id="259"/>
      <w:bookmarkStart w:id="260" w:name="_Toc184313291"/>
      <w:bookmarkEnd w:id="260"/>
      <w:bookmarkStart w:id="261" w:name="_Toc184308094"/>
      <w:bookmarkEnd w:id="261"/>
      <w:bookmarkStart w:id="262" w:name="_Toc184308073"/>
      <w:bookmarkEnd w:id="262"/>
      <w:bookmarkStart w:id="263" w:name="_Toc184314433"/>
      <w:bookmarkEnd w:id="263"/>
      <w:bookmarkStart w:id="264" w:name="_Toc184308068"/>
      <w:bookmarkEnd w:id="264"/>
      <w:bookmarkStart w:id="265" w:name="_Toc184308066"/>
      <w:bookmarkEnd w:id="265"/>
      <w:bookmarkStart w:id="266" w:name="_Toc184310332"/>
      <w:bookmarkEnd w:id="266"/>
      <w:bookmarkStart w:id="267" w:name="_Toc184312109"/>
      <w:bookmarkEnd w:id="267"/>
      <w:bookmarkStart w:id="268" w:name="_Toc184314468"/>
      <w:bookmarkEnd w:id="268"/>
      <w:bookmarkStart w:id="269" w:name="_Toc184313302"/>
      <w:bookmarkEnd w:id="269"/>
      <w:bookmarkStart w:id="270" w:name="_Toc184312070"/>
      <w:bookmarkEnd w:id="270"/>
      <w:bookmarkStart w:id="271" w:name="_Toc184312098"/>
      <w:bookmarkEnd w:id="271"/>
      <w:bookmarkStart w:id="272" w:name="_Toc184313259"/>
      <w:bookmarkEnd w:id="272"/>
      <w:bookmarkStart w:id="273" w:name="_Toc184312123"/>
      <w:bookmarkEnd w:id="273"/>
      <w:bookmarkStart w:id="274" w:name="_Toc184310344"/>
      <w:bookmarkEnd w:id="274"/>
      <w:bookmarkStart w:id="275" w:name="_Toc184308104"/>
      <w:bookmarkEnd w:id="275"/>
      <w:bookmarkStart w:id="276" w:name="_Toc184312092"/>
      <w:bookmarkEnd w:id="276"/>
      <w:bookmarkStart w:id="277" w:name="_Toc184313274"/>
      <w:bookmarkEnd w:id="277"/>
      <w:bookmarkStart w:id="278" w:name="_Toc184310326"/>
      <w:bookmarkEnd w:id="278"/>
      <w:bookmarkStart w:id="279" w:name="_Toc184310336"/>
      <w:bookmarkEnd w:id="279"/>
      <w:bookmarkStart w:id="280" w:name="_Toc184308077"/>
      <w:bookmarkEnd w:id="280"/>
      <w:bookmarkStart w:id="281" w:name="_Toc184310312"/>
      <w:bookmarkEnd w:id="281"/>
      <w:bookmarkStart w:id="282" w:name="_Toc184313260"/>
      <w:bookmarkEnd w:id="282"/>
      <w:bookmarkStart w:id="283" w:name="_Toc184314469"/>
      <w:bookmarkEnd w:id="283"/>
      <w:bookmarkStart w:id="284" w:name="_Toc184312089"/>
      <w:bookmarkEnd w:id="284"/>
      <w:bookmarkStart w:id="285" w:name="_Toc184314463"/>
      <w:bookmarkEnd w:id="285"/>
      <w:bookmarkStart w:id="286" w:name="_Toc184308052"/>
      <w:bookmarkEnd w:id="286"/>
      <w:bookmarkStart w:id="287" w:name="_Toc184310340"/>
      <w:bookmarkEnd w:id="287"/>
      <w:bookmarkStart w:id="288" w:name="_Toc184308054"/>
      <w:bookmarkEnd w:id="288"/>
      <w:bookmarkStart w:id="289" w:name="_Toc184310331"/>
      <w:bookmarkEnd w:id="289"/>
      <w:bookmarkStart w:id="290" w:name="_Toc184312073"/>
      <w:bookmarkEnd w:id="290"/>
      <w:bookmarkStart w:id="291" w:name="_Toc184313282"/>
      <w:bookmarkEnd w:id="291"/>
      <w:bookmarkStart w:id="292" w:name="_Toc184314437"/>
      <w:bookmarkEnd w:id="292"/>
      <w:bookmarkStart w:id="293" w:name="_Toc184310304"/>
      <w:bookmarkEnd w:id="293"/>
      <w:bookmarkStart w:id="294" w:name="_Toc184310341"/>
      <w:bookmarkEnd w:id="294"/>
      <w:bookmarkStart w:id="295" w:name="_Toc184312121"/>
      <w:bookmarkEnd w:id="295"/>
      <w:bookmarkStart w:id="296" w:name="_Toc184308069"/>
      <w:bookmarkEnd w:id="296"/>
      <w:bookmarkStart w:id="297" w:name="_Toc184314425"/>
      <w:bookmarkEnd w:id="297"/>
      <w:bookmarkStart w:id="298" w:name="_Toc184313303"/>
      <w:bookmarkEnd w:id="298"/>
      <w:bookmarkStart w:id="299" w:name="_Toc184310319"/>
      <w:bookmarkEnd w:id="299"/>
      <w:bookmarkStart w:id="300" w:name="_Toc184313262"/>
      <w:bookmarkEnd w:id="300"/>
      <w:bookmarkStart w:id="301" w:name="_Toc184312083"/>
      <w:bookmarkEnd w:id="301"/>
      <w:bookmarkStart w:id="302" w:name="_Toc184314428"/>
      <w:bookmarkEnd w:id="302"/>
      <w:bookmarkStart w:id="303" w:name="_Toc184314423"/>
      <w:bookmarkEnd w:id="303"/>
      <w:bookmarkStart w:id="304" w:name="_Toc184308078"/>
      <w:bookmarkEnd w:id="304"/>
      <w:bookmarkStart w:id="305" w:name="_Toc184312118"/>
      <w:bookmarkEnd w:id="305"/>
      <w:bookmarkStart w:id="306" w:name="_Toc184313285"/>
      <w:bookmarkEnd w:id="306"/>
      <w:bookmarkStart w:id="307" w:name="_Toc184310276"/>
      <w:bookmarkEnd w:id="307"/>
      <w:bookmarkStart w:id="308" w:name="_Toc184314435"/>
      <w:bookmarkEnd w:id="308"/>
      <w:bookmarkStart w:id="309" w:name="_Toc184313263"/>
      <w:bookmarkEnd w:id="309"/>
      <w:bookmarkStart w:id="310" w:name="_Toc184310288"/>
      <w:bookmarkEnd w:id="310"/>
      <w:bookmarkStart w:id="311" w:name="_Toc184308100"/>
      <w:bookmarkEnd w:id="311"/>
      <w:bookmarkStart w:id="312" w:name="_Toc184310335"/>
      <w:bookmarkEnd w:id="312"/>
      <w:bookmarkStart w:id="313" w:name="_Toc184312081"/>
      <w:bookmarkEnd w:id="313"/>
      <w:bookmarkStart w:id="314" w:name="_Toc184314451"/>
      <w:bookmarkEnd w:id="314"/>
      <w:bookmarkStart w:id="315" w:name="_Toc184314457"/>
      <w:bookmarkEnd w:id="315"/>
      <w:bookmarkStart w:id="316" w:name="_Toc184314422"/>
      <w:bookmarkEnd w:id="316"/>
      <w:bookmarkStart w:id="317" w:name="_Toc184308108"/>
      <w:bookmarkEnd w:id="317"/>
      <w:bookmarkStart w:id="318" w:name="_Toc184312128"/>
      <w:bookmarkEnd w:id="318"/>
      <w:bookmarkStart w:id="319" w:name="_Toc184312117"/>
      <w:bookmarkEnd w:id="319"/>
      <w:bookmarkStart w:id="320" w:name="_Toc184308103"/>
      <w:bookmarkEnd w:id="320"/>
      <w:bookmarkStart w:id="321" w:name="_Toc184310313"/>
      <w:bookmarkEnd w:id="321"/>
      <w:bookmarkStart w:id="322" w:name="_Toc184314452"/>
      <w:bookmarkEnd w:id="322"/>
      <w:bookmarkStart w:id="323" w:name="_Toc184308096"/>
      <w:bookmarkEnd w:id="323"/>
      <w:bookmarkStart w:id="324" w:name="_Toc184312105"/>
      <w:bookmarkEnd w:id="324"/>
      <w:bookmarkStart w:id="325" w:name="_Toc184314441"/>
      <w:bookmarkEnd w:id="325"/>
      <w:bookmarkStart w:id="326" w:name="_Toc184314474"/>
      <w:bookmarkEnd w:id="326"/>
      <w:bookmarkStart w:id="327" w:name="_Toc184310272"/>
      <w:bookmarkEnd w:id="327"/>
      <w:bookmarkStart w:id="328" w:name="_Toc184312079"/>
      <w:bookmarkEnd w:id="328"/>
      <w:bookmarkStart w:id="329" w:name="_Toc184312104"/>
      <w:bookmarkEnd w:id="329"/>
      <w:bookmarkStart w:id="330" w:name="_Toc184310274"/>
      <w:bookmarkEnd w:id="330"/>
      <w:bookmarkStart w:id="331" w:name="_Toc184314462"/>
      <w:bookmarkEnd w:id="331"/>
      <w:bookmarkStart w:id="332" w:name="_Toc184310279"/>
      <w:bookmarkEnd w:id="332"/>
      <w:bookmarkStart w:id="333" w:name="_Toc184312122"/>
      <w:bookmarkEnd w:id="333"/>
      <w:bookmarkStart w:id="334" w:name="_Toc184310342"/>
      <w:bookmarkEnd w:id="334"/>
      <w:bookmarkStart w:id="335" w:name="_Toc184312126"/>
      <w:bookmarkEnd w:id="335"/>
      <w:bookmarkStart w:id="336" w:name="_Toc184313254"/>
      <w:bookmarkEnd w:id="336"/>
      <w:bookmarkStart w:id="337" w:name="_Toc184310295"/>
      <w:bookmarkEnd w:id="337"/>
      <w:bookmarkStart w:id="338" w:name="_Toc184312086"/>
      <w:bookmarkEnd w:id="338"/>
      <w:bookmarkStart w:id="339" w:name="_Toc184310327"/>
      <w:bookmarkEnd w:id="339"/>
      <w:bookmarkStart w:id="340" w:name="_Toc184308059"/>
      <w:bookmarkEnd w:id="340"/>
      <w:bookmarkStart w:id="341" w:name="_Toc184314427"/>
      <w:bookmarkEnd w:id="341"/>
      <w:bookmarkStart w:id="342" w:name="_Toc184313257"/>
      <w:bookmarkEnd w:id="342"/>
      <w:bookmarkStart w:id="343" w:name="_Toc184314470"/>
      <w:bookmarkEnd w:id="343"/>
      <w:bookmarkStart w:id="344" w:name="_Toc184314430"/>
      <w:bookmarkEnd w:id="344"/>
      <w:bookmarkStart w:id="345" w:name="_Toc184314476"/>
      <w:bookmarkEnd w:id="345"/>
      <w:bookmarkStart w:id="346" w:name="_Toc184312095"/>
      <w:bookmarkEnd w:id="346"/>
      <w:bookmarkStart w:id="347" w:name="_Toc184312069"/>
      <w:bookmarkEnd w:id="347"/>
      <w:bookmarkStart w:id="348" w:name="_Toc184313272"/>
      <w:bookmarkEnd w:id="348"/>
      <w:bookmarkStart w:id="349" w:name="_Toc184308039"/>
      <w:bookmarkEnd w:id="349"/>
      <w:bookmarkStart w:id="350" w:name="_Toc184310296"/>
      <w:bookmarkEnd w:id="350"/>
      <w:bookmarkStart w:id="351" w:name="_Toc184310338"/>
      <w:bookmarkEnd w:id="351"/>
      <w:bookmarkStart w:id="352" w:name="_Toc184313269"/>
      <w:bookmarkEnd w:id="352"/>
      <w:bookmarkStart w:id="353" w:name="_Toc184312080"/>
      <w:bookmarkEnd w:id="353"/>
      <w:bookmarkStart w:id="354" w:name="_Toc184312137"/>
      <w:bookmarkEnd w:id="354"/>
      <w:bookmarkStart w:id="355" w:name="_Toc184310307"/>
      <w:bookmarkEnd w:id="355"/>
      <w:bookmarkStart w:id="356" w:name="_Toc184312116"/>
      <w:bookmarkEnd w:id="356"/>
      <w:bookmarkStart w:id="357" w:name="_Toc184308056"/>
      <w:bookmarkEnd w:id="357"/>
      <w:bookmarkStart w:id="358" w:name="_Toc184313296"/>
      <w:bookmarkEnd w:id="358"/>
      <w:bookmarkStart w:id="359" w:name="_Toc184308074"/>
      <w:bookmarkEnd w:id="359"/>
      <w:bookmarkStart w:id="360" w:name="_Toc184314439"/>
      <w:bookmarkEnd w:id="360"/>
      <w:bookmarkStart w:id="361" w:name="_Toc184314434"/>
      <w:bookmarkEnd w:id="361"/>
      <w:bookmarkStart w:id="362" w:name="_Toc184313264"/>
      <w:bookmarkEnd w:id="362"/>
      <w:bookmarkStart w:id="363" w:name="_Toc184308053"/>
      <w:bookmarkEnd w:id="363"/>
      <w:bookmarkStart w:id="364" w:name="_Toc184314426"/>
      <w:bookmarkEnd w:id="364"/>
      <w:bookmarkStart w:id="365" w:name="_Toc184312135"/>
      <w:bookmarkEnd w:id="365"/>
      <w:bookmarkStart w:id="366" w:name="_Toc184312068"/>
      <w:bookmarkEnd w:id="366"/>
      <w:bookmarkStart w:id="367" w:name="_Toc184308084"/>
      <w:bookmarkEnd w:id="367"/>
      <w:bookmarkStart w:id="368" w:name="_Toc184312078"/>
      <w:bookmarkEnd w:id="368"/>
      <w:bookmarkStart w:id="369" w:name="_Toc184313266"/>
      <w:bookmarkEnd w:id="369"/>
      <w:bookmarkStart w:id="370" w:name="_Toc184314465"/>
      <w:bookmarkEnd w:id="370"/>
      <w:bookmarkStart w:id="371" w:name="_Toc184310334"/>
      <w:bookmarkEnd w:id="371"/>
      <w:bookmarkStart w:id="372" w:name="_Toc184310329"/>
      <w:bookmarkEnd w:id="372"/>
      <w:bookmarkStart w:id="373" w:name="_Toc184312094"/>
      <w:bookmarkEnd w:id="373"/>
      <w:bookmarkStart w:id="374" w:name="_Toc184312129"/>
      <w:bookmarkEnd w:id="374"/>
      <w:bookmarkStart w:id="375" w:name="_Toc184310292"/>
      <w:bookmarkEnd w:id="375"/>
      <w:bookmarkStart w:id="376" w:name="_Toc184310333"/>
      <w:bookmarkEnd w:id="376"/>
      <w:bookmarkStart w:id="377" w:name="_Toc184314480"/>
      <w:bookmarkEnd w:id="377"/>
      <w:bookmarkStart w:id="378" w:name="_Toc184313245"/>
      <w:bookmarkEnd w:id="378"/>
      <w:bookmarkStart w:id="379" w:name="_Toc184313251"/>
      <w:bookmarkEnd w:id="379"/>
      <w:bookmarkStart w:id="380" w:name="_Toc184314417"/>
      <w:bookmarkEnd w:id="380"/>
      <w:bookmarkStart w:id="381" w:name="_Toc184314471"/>
      <w:bookmarkEnd w:id="381"/>
      <w:bookmarkStart w:id="382" w:name="_Toc184308061"/>
      <w:bookmarkEnd w:id="382"/>
      <w:bookmarkStart w:id="383" w:name="_Toc184313250"/>
      <w:bookmarkEnd w:id="383"/>
      <w:bookmarkStart w:id="384" w:name="_Toc184313265"/>
      <w:bookmarkEnd w:id="384"/>
      <w:bookmarkStart w:id="385" w:name="_Toc184308065"/>
      <w:bookmarkEnd w:id="385"/>
      <w:bookmarkStart w:id="386" w:name="_Toc184310339"/>
      <w:bookmarkEnd w:id="386"/>
      <w:bookmarkStart w:id="387" w:name="_Toc184310303"/>
      <w:bookmarkEnd w:id="387"/>
      <w:bookmarkStart w:id="388" w:name="_Toc184313248"/>
      <w:bookmarkEnd w:id="388"/>
      <w:bookmarkStart w:id="389" w:name="_Toc184310273"/>
      <w:bookmarkEnd w:id="389"/>
      <w:bookmarkStart w:id="390" w:name="_Toc184313270"/>
      <w:bookmarkEnd w:id="390"/>
      <w:bookmarkStart w:id="391" w:name="_Toc184313287"/>
      <w:bookmarkEnd w:id="391"/>
      <w:bookmarkStart w:id="392" w:name="_Toc184313241"/>
      <w:bookmarkEnd w:id="392"/>
      <w:bookmarkStart w:id="393" w:name="_Toc184308107"/>
      <w:bookmarkEnd w:id="393"/>
      <w:bookmarkStart w:id="394" w:name="_Toc184312067"/>
      <w:bookmarkEnd w:id="394"/>
      <w:bookmarkStart w:id="395" w:name="_Toc184310309"/>
      <w:bookmarkEnd w:id="395"/>
      <w:bookmarkStart w:id="396" w:name="_Toc184312110"/>
      <w:bookmarkEnd w:id="396"/>
      <w:bookmarkStart w:id="397" w:name="_Toc184313276"/>
      <w:bookmarkEnd w:id="397"/>
      <w:bookmarkStart w:id="398" w:name="_Toc184314442"/>
      <w:bookmarkEnd w:id="398"/>
      <w:bookmarkStart w:id="399" w:name="_Toc184308051"/>
      <w:bookmarkEnd w:id="399"/>
      <w:bookmarkStart w:id="400" w:name="_Toc184308102"/>
      <w:bookmarkEnd w:id="400"/>
      <w:bookmarkStart w:id="401" w:name="_Toc184313247"/>
      <w:bookmarkEnd w:id="401"/>
      <w:bookmarkStart w:id="402" w:name="_Toc184312108"/>
      <w:bookmarkEnd w:id="402"/>
      <w:bookmarkStart w:id="403" w:name="_Toc184308070"/>
      <w:bookmarkEnd w:id="403"/>
      <w:bookmarkStart w:id="404" w:name="_Toc184313294"/>
      <w:bookmarkEnd w:id="404"/>
      <w:bookmarkStart w:id="405" w:name="_Toc184310298"/>
      <w:bookmarkEnd w:id="405"/>
      <w:bookmarkStart w:id="406" w:name="_Toc184310294"/>
      <w:bookmarkEnd w:id="406"/>
      <w:bookmarkStart w:id="407" w:name="_Toc184308043"/>
      <w:bookmarkEnd w:id="407"/>
      <w:bookmarkStart w:id="408" w:name="_Toc184313278"/>
      <w:bookmarkEnd w:id="408"/>
      <w:bookmarkStart w:id="409" w:name="_Toc184308087"/>
      <w:bookmarkEnd w:id="409"/>
      <w:r>
        <w:rPr>
          <w:rFonts w:hint="eastAsia" w:ascii="仿宋" w:hAnsi="仿宋" w:cs="仿宋"/>
          <w:b/>
          <w:sz w:val="36"/>
          <w:szCs w:val="36"/>
        </w:rPr>
        <w:t>评标办法</w:t>
      </w:r>
      <w:bookmarkEnd w:id="44"/>
    </w:p>
    <w:p w14:paraId="18608E85">
      <w:pPr>
        <w:spacing w:before="120" w:beforeLines="50" w:after="120" w:afterLines="50" w:line="360" w:lineRule="auto"/>
        <w:jc w:val="center"/>
        <w:outlineLvl w:val="1"/>
        <w:rPr>
          <w:rFonts w:ascii="仿宋" w:hAnsi="仿宋" w:cs="仿宋"/>
          <w:b/>
          <w:sz w:val="28"/>
          <w:szCs w:val="28"/>
        </w:rPr>
      </w:pPr>
      <w:r>
        <w:rPr>
          <w:rFonts w:hint="eastAsia" w:ascii="仿宋" w:hAnsi="仿宋" w:cs="仿宋"/>
          <w:b/>
          <w:sz w:val="28"/>
          <w:szCs w:val="28"/>
        </w:rPr>
        <w:t>评标办法前附表</w:t>
      </w:r>
    </w:p>
    <w:tbl>
      <w:tblPr>
        <w:tblStyle w:val="62"/>
        <w:tblpPr w:leftFromText="180" w:rightFromText="180" w:vertAnchor="text" w:horzAnchor="page" w:tblpX="1116" w:tblpY="977"/>
        <w:tblW w:w="9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5255"/>
        <w:gridCol w:w="796"/>
        <w:gridCol w:w="1107"/>
        <w:gridCol w:w="1881"/>
      </w:tblGrid>
      <w:tr w14:paraId="7D8D1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blHeader/>
        </w:trPr>
        <w:tc>
          <w:tcPr>
            <w:tcW w:w="908" w:type="dxa"/>
            <w:vAlign w:val="center"/>
          </w:tcPr>
          <w:p w14:paraId="4BE0C51C">
            <w:pPr>
              <w:spacing w:line="240" w:lineRule="auto"/>
              <w:jc w:val="center"/>
              <w:outlineLvl w:val="0"/>
              <w:rPr>
                <w:rFonts w:ascii="仿宋" w:hAnsi="仿宋" w:cs="仿宋"/>
                <w:bCs/>
              </w:rPr>
            </w:pPr>
            <w:r>
              <w:rPr>
                <w:rFonts w:hint="eastAsia" w:ascii="仿宋" w:hAnsi="仿宋" w:cs="仿宋"/>
                <w:bCs/>
              </w:rPr>
              <w:t>序号</w:t>
            </w:r>
          </w:p>
        </w:tc>
        <w:tc>
          <w:tcPr>
            <w:tcW w:w="5255" w:type="dxa"/>
            <w:vAlign w:val="center"/>
          </w:tcPr>
          <w:p w14:paraId="7F1803FF">
            <w:pPr>
              <w:spacing w:line="240" w:lineRule="auto"/>
              <w:jc w:val="center"/>
              <w:outlineLvl w:val="0"/>
              <w:rPr>
                <w:rFonts w:ascii="仿宋" w:hAnsi="仿宋" w:cs="仿宋"/>
                <w:bCs/>
              </w:rPr>
            </w:pPr>
            <w:r>
              <w:rPr>
                <w:rFonts w:hint="eastAsia" w:ascii="仿宋" w:hAnsi="仿宋" w:cs="仿宋"/>
                <w:bCs/>
              </w:rPr>
              <w:t>评标标准</w:t>
            </w:r>
          </w:p>
        </w:tc>
        <w:tc>
          <w:tcPr>
            <w:tcW w:w="796" w:type="dxa"/>
            <w:vAlign w:val="center"/>
          </w:tcPr>
          <w:p w14:paraId="6BAC9F5F">
            <w:pPr>
              <w:spacing w:line="240" w:lineRule="auto"/>
              <w:jc w:val="center"/>
              <w:outlineLvl w:val="0"/>
              <w:rPr>
                <w:rFonts w:ascii="仿宋" w:hAnsi="仿宋" w:cs="仿宋"/>
                <w:bCs/>
              </w:rPr>
            </w:pPr>
            <w:r>
              <w:rPr>
                <w:rFonts w:hint="eastAsia" w:ascii="仿宋" w:hAnsi="仿宋" w:cs="仿宋"/>
                <w:bCs/>
              </w:rPr>
              <w:t>权重</w:t>
            </w:r>
          </w:p>
        </w:tc>
        <w:tc>
          <w:tcPr>
            <w:tcW w:w="1107" w:type="dxa"/>
          </w:tcPr>
          <w:p w14:paraId="681A8163">
            <w:pPr>
              <w:spacing w:line="240" w:lineRule="auto"/>
              <w:jc w:val="center"/>
              <w:outlineLvl w:val="0"/>
              <w:rPr>
                <w:rFonts w:ascii="仿宋" w:hAnsi="仿宋" w:cs="仿宋"/>
                <w:bCs/>
              </w:rPr>
            </w:pPr>
            <w:r>
              <w:rPr>
                <w:rFonts w:hint="eastAsia" w:ascii="仿宋" w:hAnsi="仿宋" w:cs="仿宋"/>
                <w:bCs/>
              </w:rPr>
              <w:t>主观分/客观分属性</w:t>
            </w:r>
          </w:p>
        </w:tc>
        <w:tc>
          <w:tcPr>
            <w:tcW w:w="1881" w:type="dxa"/>
          </w:tcPr>
          <w:p w14:paraId="63887E4E">
            <w:pPr>
              <w:spacing w:line="240" w:lineRule="auto"/>
              <w:jc w:val="center"/>
              <w:outlineLvl w:val="0"/>
              <w:rPr>
                <w:rFonts w:ascii="仿宋" w:hAnsi="仿宋" w:cs="仿宋"/>
                <w:bCs/>
              </w:rPr>
            </w:pPr>
            <w:r>
              <w:rPr>
                <w:rFonts w:hint="eastAsia" w:ascii="仿宋" w:hAnsi="仿宋" w:cs="仿宋"/>
                <w:bCs/>
                <w:sz w:val="21"/>
                <w:szCs w:val="21"/>
              </w:rPr>
              <w:t>投标文件中评标标准相应的商务技术资料目录</w:t>
            </w:r>
            <w:r>
              <w:rPr>
                <w:rFonts w:hint="eastAsia" w:ascii="仿宋" w:hAnsi="仿宋" w:cs="仿宋"/>
                <w:sz w:val="21"/>
                <w:szCs w:val="21"/>
                <w:shd w:val="clear" w:color="auto" w:fill="FFFFFF"/>
              </w:rPr>
              <w:t>*</w:t>
            </w:r>
          </w:p>
        </w:tc>
      </w:tr>
      <w:tr w14:paraId="0BDC5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8" w:type="dxa"/>
            <w:vAlign w:val="center"/>
          </w:tcPr>
          <w:p w14:paraId="1846C332">
            <w:pPr>
              <w:spacing w:line="240" w:lineRule="auto"/>
              <w:jc w:val="center"/>
              <w:rPr>
                <w:rFonts w:ascii="仿宋" w:hAnsi="仿宋" w:cs="仿宋"/>
                <w:szCs w:val="32"/>
              </w:rPr>
            </w:pPr>
            <w:r>
              <w:rPr>
                <w:rFonts w:hint="eastAsia" w:ascii="仿宋" w:hAnsi="仿宋" w:cs="仿宋"/>
                <w:szCs w:val="32"/>
              </w:rPr>
              <w:t>1</w:t>
            </w:r>
          </w:p>
        </w:tc>
        <w:tc>
          <w:tcPr>
            <w:tcW w:w="5255" w:type="dxa"/>
            <w:vAlign w:val="center"/>
          </w:tcPr>
          <w:p w14:paraId="0C14F6EA">
            <w:pPr>
              <w:wordWrap w:val="0"/>
              <w:spacing w:line="240" w:lineRule="auto"/>
              <w:outlineLvl w:val="0"/>
              <w:rPr>
                <w:rFonts w:ascii="宋体" w:hAnsi="宋体" w:cs="宋体"/>
                <w:szCs w:val="21"/>
              </w:rPr>
            </w:pPr>
            <w:r>
              <w:rPr>
                <w:rFonts w:hint="eastAsia" w:ascii="宋体" w:hAnsi="宋体" w:cs="宋体"/>
                <w:szCs w:val="21"/>
              </w:rPr>
              <w:t>全部产品质保期在满足招标文件要求的基础上每延长一年（部分产品延长不算）得0.5分，最多得1分，延长时间不足一年的不计入得分，质保期不满足招标文件要求的投标无效。</w:t>
            </w:r>
          </w:p>
        </w:tc>
        <w:tc>
          <w:tcPr>
            <w:tcW w:w="796" w:type="dxa"/>
            <w:vAlign w:val="center"/>
          </w:tcPr>
          <w:p w14:paraId="07F2FC90">
            <w:pPr>
              <w:spacing w:line="240" w:lineRule="auto"/>
              <w:jc w:val="center"/>
              <w:rPr>
                <w:rFonts w:ascii="仿宋" w:hAnsi="仿宋" w:cs="仿宋"/>
                <w:szCs w:val="32"/>
              </w:rPr>
            </w:pPr>
            <w:r>
              <w:rPr>
                <w:rFonts w:hint="eastAsia" w:ascii="宋体" w:hAnsi="宋体" w:cs="宋体"/>
                <w:szCs w:val="21"/>
              </w:rPr>
              <w:t>1</w:t>
            </w:r>
          </w:p>
        </w:tc>
        <w:tc>
          <w:tcPr>
            <w:tcW w:w="1107" w:type="dxa"/>
            <w:vAlign w:val="center"/>
          </w:tcPr>
          <w:p w14:paraId="5A6FE462">
            <w:pPr>
              <w:spacing w:line="240" w:lineRule="auto"/>
              <w:jc w:val="left"/>
              <w:rPr>
                <w:rFonts w:ascii="仿宋" w:hAnsi="仿宋" w:cs="仿宋"/>
                <w:szCs w:val="32"/>
              </w:rPr>
            </w:pPr>
            <w:r>
              <w:rPr>
                <w:rFonts w:hint="eastAsia" w:ascii="仿宋" w:hAnsi="仿宋" w:cs="仿宋"/>
                <w:szCs w:val="32"/>
              </w:rPr>
              <w:t>客观分</w:t>
            </w:r>
          </w:p>
        </w:tc>
        <w:tc>
          <w:tcPr>
            <w:tcW w:w="1881" w:type="dxa"/>
            <w:vAlign w:val="center"/>
          </w:tcPr>
          <w:p w14:paraId="290C2FF4">
            <w:pPr>
              <w:spacing w:line="240" w:lineRule="auto"/>
              <w:jc w:val="left"/>
              <w:outlineLvl w:val="0"/>
              <w:rPr>
                <w:rFonts w:ascii="仿宋" w:hAnsi="仿宋" w:cs="仿宋"/>
              </w:rPr>
            </w:pPr>
          </w:p>
        </w:tc>
      </w:tr>
      <w:tr w14:paraId="3937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8" w:type="dxa"/>
            <w:vAlign w:val="center"/>
          </w:tcPr>
          <w:p w14:paraId="6A07D05F">
            <w:pPr>
              <w:spacing w:line="240" w:lineRule="auto"/>
              <w:jc w:val="center"/>
              <w:rPr>
                <w:rFonts w:ascii="仿宋" w:hAnsi="仿宋" w:cs="仿宋"/>
                <w:szCs w:val="32"/>
              </w:rPr>
            </w:pPr>
            <w:r>
              <w:rPr>
                <w:rFonts w:hint="eastAsia" w:ascii="仿宋" w:hAnsi="仿宋" w:cs="仿宋"/>
                <w:szCs w:val="32"/>
              </w:rPr>
              <w:t>2</w:t>
            </w:r>
          </w:p>
        </w:tc>
        <w:tc>
          <w:tcPr>
            <w:tcW w:w="5255" w:type="dxa"/>
            <w:vAlign w:val="center"/>
          </w:tcPr>
          <w:p w14:paraId="4070A2A6">
            <w:pPr>
              <w:wordWrap w:val="0"/>
              <w:spacing w:line="240" w:lineRule="auto"/>
              <w:outlineLvl w:val="0"/>
              <w:rPr>
                <w:rFonts w:ascii="宋体" w:hAnsi="宋体" w:cs="宋体"/>
                <w:szCs w:val="21"/>
              </w:rPr>
            </w:pPr>
            <w:r>
              <w:rPr>
                <w:rFonts w:hint="eastAsia" w:ascii="宋体" w:hAnsi="宋体" w:cs="宋体"/>
                <w:szCs w:val="21"/>
              </w:rPr>
              <w:t>体系认证。供应商具有有效的知识产权管理体系认证证书、ISO9001质量管理体系认证证书的，每有1类证书得1分，最高得2分。</w:t>
            </w:r>
          </w:p>
          <w:p w14:paraId="6624C055">
            <w:pPr>
              <w:wordWrap w:val="0"/>
              <w:spacing w:line="240" w:lineRule="auto"/>
              <w:outlineLvl w:val="0"/>
              <w:rPr>
                <w:rFonts w:ascii="宋体" w:hAnsi="宋体" w:cs="宋体"/>
                <w:szCs w:val="21"/>
              </w:rPr>
            </w:pPr>
            <w:r>
              <w:rPr>
                <w:rFonts w:hint="eastAsia" w:ascii="宋体" w:hAnsi="宋体" w:cs="宋体"/>
                <w:szCs w:val="21"/>
              </w:rPr>
              <w:t>响应文件中提供相关有效证书扫描件及全国认证认可信息公共服务平台网站证书信息查询截图，否则不得分。</w:t>
            </w:r>
          </w:p>
        </w:tc>
        <w:tc>
          <w:tcPr>
            <w:tcW w:w="796" w:type="dxa"/>
            <w:vAlign w:val="center"/>
          </w:tcPr>
          <w:p w14:paraId="1981D300">
            <w:pPr>
              <w:spacing w:line="240" w:lineRule="auto"/>
              <w:jc w:val="center"/>
              <w:rPr>
                <w:rFonts w:ascii="仿宋" w:hAnsi="仿宋" w:cs="仿宋"/>
                <w:szCs w:val="32"/>
              </w:rPr>
            </w:pPr>
            <w:r>
              <w:rPr>
                <w:rFonts w:hint="eastAsia" w:ascii="仿宋" w:hAnsi="仿宋" w:cs="仿宋"/>
                <w:szCs w:val="32"/>
              </w:rPr>
              <w:t>2</w:t>
            </w:r>
          </w:p>
        </w:tc>
        <w:tc>
          <w:tcPr>
            <w:tcW w:w="1107" w:type="dxa"/>
            <w:vAlign w:val="center"/>
          </w:tcPr>
          <w:p w14:paraId="636A3EB0">
            <w:pPr>
              <w:spacing w:line="240" w:lineRule="auto"/>
              <w:jc w:val="center"/>
              <w:rPr>
                <w:rFonts w:ascii="仿宋" w:hAnsi="仿宋" w:cs="仿宋"/>
                <w:szCs w:val="32"/>
              </w:rPr>
            </w:pPr>
            <w:r>
              <w:rPr>
                <w:rFonts w:hint="eastAsia" w:ascii="仿宋" w:hAnsi="仿宋" w:cs="仿宋"/>
                <w:szCs w:val="32"/>
              </w:rPr>
              <w:t>客观分</w:t>
            </w:r>
          </w:p>
        </w:tc>
        <w:tc>
          <w:tcPr>
            <w:tcW w:w="1881" w:type="dxa"/>
            <w:vAlign w:val="center"/>
          </w:tcPr>
          <w:p w14:paraId="735BE0FC">
            <w:pPr>
              <w:spacing w:line="240" w:lineRule="auto"/>
              <w:jc w:val="left"/>
              <w:outlineLvl w:val="0"/>
              <w:rPr>
                <w:rFonts w:ascii="仿宋" w:hAnsi="仿宋" w:cs="仿宋"/>
              </w:rPr>
            </w:pPr>
          </w:p>
        </w:tc>
      </w:tr>
      <w:tr w14:paraId="6E3DB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8" w:type="dxa"/>
            <w:vAlign w:val="center"/>
          </w:tcPr>
          <w:p w14:paraId="0E73362F">
            <w:pPr>
              <w:spacing w:line="240" w:lineRule="auto"/>
              <w:jc w:val="center"/>
              <w:rPr>
                <w:rFonts w:ascii="仿宋" w:hAnsi="仿宋" w:cs="仿宋"/>
                <w:szCs w:val="32"/>
              </w:rPr>
            </w:pPr>
            <w:r>
              <w:rPr>
                <w:rFonts w:hint="eastAsia" w:ascii="仿宋" w:hAnsi="仿宋" w:cs="仿宋"/>
                <w:szCs w:val="32"/>
              </w:rPr>
              <w:t>3</w:t>
            </w:r>
          </w:p>
        </w:tc>
        <w:tc>
          <w:tcPr>
            <w:tcW w:w="5255" w:type="dxa"/>
            <w:vAlign w:val="center"/>
          </w:tcPr>
          <w:p w14:paraId="3ED9378F">
            <w:pPr>
              <w:wordWrap w:val="0"/>
              <w:spacing w:line="240" w:lineRule="auto"/>
              <w:outlineLvl w:val="0"/>
              <w:rPr>
                <w:rFonts w:ascii="宋体" w:hAnsi="宋体" w:cs="宋体"/>
                <w:szCs w:val="21"/>
              </w:rPr>
            </w:pPr>
            <w:r>
              <w:rPr>
                <w:rFonts w:hint="eastAsia" w:ascii="宋体" w:hAnsi="宋体" w:cs="宋体"/>
                <w:szCs w:val="21"/>
              </w:rPr>
              <w:t>投标人自2021年1月1日以来（以合同签订时间为准）已成功实施的同类项目业绩（以提供的合同扫描件为准）：每提供1份合同业绩得1分，最高得3分。</w:t>
            </w:r>
          </w:p>
        </w:tc>
        <w:tc>
          <w:tcPr>
            <w:tcW w:w="796" w:type="dxa"/>
            <w:vAlign w:val="center"/>
          </w:tcPr>
          <w:p w14:paraId="372A5D4A">
            <w:pPr>
              <w:spacing w:line="240" w:lineRule="auto"/>
              <w:jc w:val="center"/>
              <w:rPr>
                <w:rFonts w:ascii="仿宋" w:hAnsi="仿宋" w:cs="仿宋"/>
                <w:szCs w:val="32"/>
              </w:rPr>
            </w:pPr>
            <w:r>
              <w:rPr>
                <w:rFonts w:hint="eastAsia" w:ascii="仿宋" w:hAnsi="仿宋" w:cs="仿宋"/>
                <w:szCs w:val="32"/>
              </w:rPr>
              <w:t>3</w:t>
            </w:r>
          </w:p>
        </w:tc>
        <w:tc>
          <w:tcPr>
            <w:tcW w:w="1107" w:type="dxa"/>
            <w:vAlign w:val="center"/>
          </w:tcPr>
          <w:p w14:paraId="26513B37">
            <w:pPr>
              <w:spacing w:line="240" w:lineRule="auto"/>
              <w:jc w:val="center"/>
              <w:rPr>
                <w:rFonts w:ascii="仿宋" w:hAnsi="仿宋" w:cs="仿宋"/>
                <w:szCs w:val="32"/>
              </w:rPr>
            </w:pPr>
            <w:r>
              <w:rPr>
                <w:rFonts w:hint="eastAsia" w:ascii="仿宋" w:hAnsi="仿宋" w:cs="仿宋"/>
                <w:szCs w:val="32"/>
              </w:rPr>
              <w:t>客观分</w:t>
            </w:r>
          </w:p>
        </w:tc>
        <w:tc>
          <w:tcPr>
            <w:tcW w:w="1881" w:type="dxa"/>
            <w:vAlign w:val="center"/>
          </w:tcPr>
          <w:p w14:paraId="1C8B6F67">
            <w:pPr>
              <w:spacing w:line="240" w:lineRule="auto"/>
              <w:jc w:val="left"/>
              <w:outlineLvl w:val="0"/>
              <w:rPr>
                <w:rFonts w:ascii="仿宋" w:hAnsi="仿宋" w:cs="仿宋"/>
              </w:rPr>
            </w:pPr>
          </w:p>
        </w:tc>
      </w:tr>
      <w:tr w14:paraId="3DC2A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8" w:type="dxa"/>
            <w:vAlign w:val="center"/>
          </w:tcPr>
          <w:p w14:paraId="2E091473">
            <w:pPr>
              <w:spacing w:line="240" w:lineRule="auto"/>
              <w:jc w:val="center"/>
              <w:rPr>
                <w:rFonts w:ascii="仿宋" w:hAnsi="仿宋" w:cs="仿宋"/>
                <w:szCs w:val="32"/>
              </w:rPr>
            </w:pPr>
            <w:r>
              <w:rPr>
                <w:rFonts w:hint="eastAsia" w:ascii="仿宋" w:hAnsi="仿宋" w:cs="仿宋"/>
                <w:szCs w:val="32"/>
              </w:rPr>
              <w:t>4</w:t>
            </w:r>
          </w:p>
        </w:tc>
        <w:tc>
          <w:tcPr>
            <w:tcW w:w="5255" w:type="dxa"/>
            <w:vAlign w:val="center"/>
          </w:tcPr>
          <w:p w14:paraId="7602741D">
            <w:pPr>
              <w:wordWrap w:val="0"/>
              <w:spacing w:line="240" w:lineRule="auto"/>
              <w:outlineLvl w:val="0"/>
              <w:rPr>
                <w:rFonts w:ascii="仿宋" w:hAnsi="仿宋" w:cs="仿宋"/>
                <w:szCs w:val="21"/>
              </w:rPr>
            </w:pPr>
            <w:r>
              <w:rPr>
                <w:rFonts w:ascii="宋体" w:hAnsi="宋体" w:cs="宋体"/>
                <w:szCs w:val="21"/>
              </w:rPr>
              <w:t>投标产品</w:t>
            </w:r>
            <w:r>
              <w:rPr>
                <w:rFonts w:hint="eastAsia" w:ascii="宋体" w:hAnsi="宋体" w:cs="宋体"/>
                <w:szCs w:val="21"/>
              </w:rPr>
              <w:t>具备与下列功能要求相关的国家版权局颁发的《计算机软件著作权登记证书》的，每项得1分；否则不得分。需提供有效证书扫描件并加盖公章，未提供不得分。</w:t>
            </w:r>
          </w:p>
        </w:tc>
        <w:tc>
          <w:tcPr>
            <w:tcW w:w="796" w:type="dxa"/>
            <w:vAlign w:val="center"/>
          </w:tcPr>
          <w:p w14:paraId="32297998">
            <w:pPr>
              <w:spacing w:line="240" w:lineRule="auto"/>
              <w:jc w:val="center"/>
              <w:rPr>
                <w:rFonts w:ascii="仿宋" w:hAnsi="仿宋" w:cs="仿宋"/>
                <w:szCs w:val="32"/>
              </w:rPr>
            </w:pPr>
            <w:r>
              <w:rPr>
                <w:rFonts w:hint="eastAsia" w:ascii="仿宋" w:hAnsi="仿宋" w:cs="仿宋"/>
                <w:szCs w:val="32"/>
              </w:rPr>
              <w:t>/</w:t>
            </w:r>
          </w:p>
        </w:tc>
        <w:tc>
          <w:tcPr>
            <w:tcW w:w="1107" w:type="dxa"/>
            <w:vAlign w:val="center"/>
          </w:tcPr>
          <w:p w14:paraId="16523B5D">
            <w:pPr>
              <w:spacing w:line="240" w:lineRule="auto"/>
              <w:jc w:val="center"/>
              <w:rPr>
                <w:rFonts w:ascii="仿宋" w:hAnsi="仿宋" w:cs="仿宋"/>
                <w:szCs w:val="32"/>
              </w:rPr>
            </w:pPr>
            <w:r>
              <w:rPr>
                <w:rFonts w:hint="eastAsia" w:ascii="仿宋" w:hAnsi="仿宋" w:cs="仿宋"/>
                <w:szCs w:val="32"/>
              </w:rPr>
              <w:t>/</w:t>
            </w:r>
          </w:p>
        </w:tc>
        <w:tc>
          <w:tcPr>
            <w:tcW w:w="1881" w:type="dxa"/>
          </w:tcPr>
          <w:p w14:paraId="66BE6800">
            <w:pPr>
              <w:spacing w:line="240" w:lineRule="auto"/>
              <w:jc w:val="left"/>
              <w:outlineLvl w:val="0"/>
              <w:rPr>
                <w:rFonts w:ascii="仿宋" w:hAnsi="仿宋" w:cs="仿宋"/>
              </w:rPr>
            </w:pPr>
          </w:p>
        </w:tc>
      </w:tr>
      <w:tr w14:paraId="081C8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908" w:type="dxa"/>
            <w:vAlign w:val="center"/>
          </w:tcPr>
          <w:p w14:paraId="1BBE4267">
            <w:pPr>
              <w:spacing w:line="240" w:lineRule="auto"/>
              <w:jc w:val="center"/>
              <w:rPr>
                <w:rFonts w:ascii="仿宋" w:hAnsi="仿宋" w:cs="仿宋"/>
                <w:szCs w:val="32"/>
              </w:rPr>
            </w:pPr>
            <w:r>
              <w:rPr>
                <w:rFonts w:hint="eastAsia" w:ascii="仿宋" w:hAnsi="仿宋" w:cs="仿宋"/>
                <w:szCs w:val="32"/>
              </w:rPr>
              <w:t>4.1</w:t>
            </w:r>
          </w:p>
        </w:tc>
        <w:tc>
          <w:tcPr>
            <w:tcW w:w="5255" w:type="dxa"/>
            <w:vAlign w:val="center"/>
          </w:tcPr>
          <w:p w14:paraId="4FF20CE8">
            <w:pPr>
              <w:outlineLvl w:val="0"/>
              <w:rPr>
                <w:rFonts w:ascii="宋体" w:hAnsi="宋体" w:cs="宋体"/>
                <w:szCs w:val="21"/>
              </w:rPr>
            </w:pPr>
            <w:r>
              <w:rPr>
                <w:rFonts w:hint="eastAsia" w:ascii="宋体" w:hAnsi="宋体" w:cs="宋体"/>
                <w:szCs w:val="21"/>
              </w:rPr>
              <w:t>供应商所投产品能够整合校本教学资源，实现直播教学、网络教学、在线考试的互通</w:t>
            </w:r>
            <w:r>
              <w:rPr>
                <w:rFonts w:hint="eastAsia" w:ascii="宋体" w:hAnsi="宋体" w:cs="宋体"/>
              </w:rPr>
              <w:t>功能</w:t>
            </w:r>
            <w:r>
              <w:rPr>
                <w:rFonts w:hint="eastAsia" w:ascii="宋体" w:hAnsi="宋体" w:cs="宋体"/>
                <w:szCs w:val="21"/>
              </w:rPr>
              <w:t>，并具有数据整合服务系统相关的计算机软件著作权登记证书的得1分，否则不得分。</w:t>
            </w:r>
          </w:p>
        </w:tc>
        <w:tc>
          <w:tcPr>
            <w:tcW w:w="796" w:type="dxa"/>
            <w:vAlign w:val="center"/>
          </w:tcPr>
          <w:p w14:paraId="52141AC2">
            <w:pPr>
              <w:spacing w:line="240" w:lineRule="auto"/>
              <w:jc w:val="center"/>
              <w:rPr>
                <w:rFonts w:ascii="仿宋" w:hAnsi="仿宋" w:cs="仿宋"/>
                <w:szCs w:val="32"/>
              </w:rPr>
            </w:pPr>
            <w:r>
              <w:rPr>
                <w:rFonts w:hint="eastAsia" w:ascii="仿宋" w:hAnsi="仿宋" w:cs="仿宋"/>
                <w:szCs w:val="32"/>
              </w:rPr>
              <w:t>1</w:t>
            </w:r>
          </w:p>
        </w:tc>
        <w:tc>
          <w:tcPr>
            <w:tcW w:w="1107" w:type="dxa"/>
            <w:vAlign w:val="center"/>
          </w:tcPr>
          <w:p w14:paraId="27E010D6">
            <w:pPr>
              <w:spacing w:line="240" w:lineRule="auto"/>
              <w:jc w:val="center"/>
              <w:rPr>
                <w:rFonts w:ascii="仿宋" w:hAnsi="仿宋" w:cs="仿宋"/>
                <w:szCs w:val="32"/>
              </w:rPr>
            </w:pPr>
            <w:r>
              <w:rPr>
                <w:rFonts w:hint="eastAsia" w:ascii="仿宋" w:hAnsi="仿宋" w:cs="仿宋"/>
                <w:szCs w:val="32"/>
              </w:rPr>
              <w:t>客观分</w:t>
            </w:r>
          </w:p>
        </w:tc>
        <w:tc>
          <w:tcPr>
            <w:tcW w:w="1881" w:type="dxa"/>
          </w:tcPr>
          <w:p w14:paraId="0AF63FBB">
            <w:pPr>
              <w:spacing w:line="240" w:lineRule="auto"/>
              <w:jc w:val="left"/>
              <w:outlineLvl w:val="0"/>
              <w:rPr>
                <w:rFonts w:ascii="仿宋" w:hAnsi="仿宋" w:cs="仿宋"/>
              </w:rPr>
            </w:pPr>
          </w:p>
        </w:tc>
      </w:tr>
      <w:tr w14:paraId="7D66C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8" w:type="dxa"/>
            <w:vAlign w:val="center"/>
          </w:tcPr>
          <w:p w14:paraId="6FDCC2C5">
            <w:pPr>
              <w:spacing w:line="240" w:lineRule="auto"/>
              <w:jc w:val="center"/>
              <w:rPr>
                <w:rFonts w:ascii="仿宋" w:hAnsi="仿宋" w:cs="仿宋"/>
                <w:szCs w:val="32"/>
              </w:rPr>
            </w:pPr>
            <w:r>
              <w:rPr>
                <w:rFonts w:hint="eastAsia" w:ascii="仿宋" w:hAnsi="仿宋" w:cs="仿宋"/>
                <w:szCs w:val="32"/>
              </w:rPr>
              <w:t>4.2</w:t>
            </w:r>
          </w:p>
        </w:tc>
        <w:tc>
          <w:tcPr>
            <w:tcW w:w="5255" w:type="dxa"/>
            <w:vAlign w:val="center"/>
          </w:tcPr>
          <w:p w14:paraId="33DB1707">
            <w:pPr>
              <w:widowControl/>
              <w:spacing w:line="360" w:lineRule="exact"/>
              <w:rPr>
                <w:rFonts w:ascii="宋体" w:hAnsi="宋体" w:cs="宋体"/>
                <w:szCs w:val="21"/>
              </w:rPr>
            </w:pPr>
            <w:r>
              <w:rPr>
                <w:rFonts w:hint="eastAsia" w:ascii="宋体" w:hAnsi="宋体" w:cs="宋体"/>
                <w:szCs w:val="21"/>
              </w:rPr>
              <w:t>供应商所投产品</w:t>
            </w:r>
            <w:r>
              <w:rPr>
                <w:rFonts w:hint="eastAsia" w:ascii="宋体" w:hAnsi="宋体" w:cs="宋体"/>
              </w:rPr>
              <w:t>能够依据采购人的人才培养方案需求进行课程匹配及日常教学安排功能，并具有培养方案管理系统</w:t>
            </w:r>
            <w:r>
              <w:rPr>
                <w:rFonts w:hint="eastAsia" w:ascii="宋体" w:hAnsi="宋体" w:cs="宋体"/>
                <w:szCs w:val="21"/>
              </w:rPr>
              <w:t>相关</w:t>
            </w:r>
            <w:r>
              <w:rPr>
                <w:rFonts w:hint="eastAsia" w:ascii="宋体" w:hAnsi="宋体" w:cs="宋体"/>
              </w:rPr>
              <w:t>的计算机软件著作权登记证书</w:t>
            </w:r>
            <w:r>
              <w:rPr>
                <w:rFonts w:hint="eastAsia" w:ascii="宋体" w:hAnsi="宋体" w:cs="宋体"/>
                <w:szCs w:val="21"/>
              </w:rPr>
              <w:t>的</w:t>
            </w:r>
            <w:r>
              <w:rPr>
                <w:rFonts w:hint="eastAsia" w:ascii="宋体" w:hAnsi="宋体" w:cs="宋体"/>
              </w:rPr>
              <w:t>得1分</w:t>
            </w:r>
            <w:r>
              <w:rPr>
                <w:rFonts w:hint="eastAsia" w:ascii="宋体" w:hAnsi="宋体" w:cs="宋体"/>
                <w:szCs w:val="21"/>
              </w:rPr>
              <w:t>，否则不得分。</w:t>
            </w:r>
          </w:p>
        </w:tc>
        <w:tc>
          <w:tcPr>
            <w:tcW w:w="796" w:type="dxa"/>
            <w:vAlign w:val="center"/>
          </w:tcPr>
          <w:p w14:paraId="4EF4844F">
            <w:pPr>
              <w:spacing w:line="240" w:lineRule="auto"/>
              <w:jc w:val="center"/>
              <w:rPr>
                <w:rFonts w:ascii="仿宋" w:hAnsi="仿宋" w:cs="仿宋"/>
                <w:szCs w:val="32"/>
              </w:rPr>
            </w:pPr>
            <w:r>
              <w:rPr>
                <w:rFonts w:hint="eastAsia" w:ascii="仿宋" w:hAnsi="仿宋" w:cs="仿宋"/>
                <w:szCs w:val="32"/>
              </w:rPr>
              <w:t>1</w:t>
            </w:r>
          </w:p>
        </w:tc>
        <w:tc>
          <w:tcPr>
            <w:tcW w:w="1107" w:type="dxa"/>
            <w:vAlign w:val="center"/>
          </w:tcPr>
          <w:p w14:paraId="75F2FBD0">
            <w:pPr>
              <w:spacing w:line="240" w:lineRule="auto"/>
              <w:jc w:val="center"/>
              <w:rPr>
                <w:rFonts w:ascii="仿宋" w:hAnsi="仿宋" w:cs="仿宋"/>
                <w:szCs w:val="32"/>
              </w:rPr>
            </w:pPr>
            <w:r>
              <w:rPr>
                <w:rFonts w:hint="eastAsia" w:ascii="仿宋" w:hAnsi="仿宋" w:cs="仿宋"/>
                <w:szCs w:val="32"/>
              </w:rPr>
              <w:t>客观分</w:t>
            </w:r>
          </w:p>
        </w:tc>
        <w:tc>
          <w:tcPr>
            <w:tcW w:w="1881" w:type="dxa"/>
          </w:tcPr>
          <w:p w14:paraId="114B7A6F">
            <w:pPr>
              <w:spacing w:line="240" w:lineRule="auto"/>
              <w:jc w:val="left"/>
              <w:outlineLvl w:val="0"/>
              <w:rPr>
                <w:rFonts w:ascii="仿宋" w:hAnsi="仿宋" w:cs="仿宋"/>
              </w:rPr>
            </w:pPr>
          </w:p>
        </w:tc>
      </w:tr>
      <w:tr w14:paraId="627F7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8" w:type="dxa"/>
            <w:vAlign w:val="center"/>
          </w:tcPr>
          <w:p w14:paraId="2388D2C5">
            <w:pPr>
              <w:spacing w:line="240" w:lineRule="auto"/>
              <w:jc w:val="center"/>
              <w:rPr>
                <w:rFonts w:ascii="仿宋" w:hAnsi="仿宋" w:cs="仿宋"/>
                <w:szCs w:val="32"/>
              </w:rPr>
            </w:pPr>
            <w:r>
              <w:rPr>
                <w:rFonts w:hint="eastAsia" w:ascii="仿宋" w:hAnsi="仿宋" w:cs="仿宋"/>
                <w:szCs w:val="32"/>
              </w:rPr>
              <w:t>4.3</w:t>
            </w:r>
          </w:p>
        </w:tc>
        <w:tc>
          <w:tcPr>
            <w:tcW w:w="5255" w:type="dxa"/>
            <w:vAlign w:val="center"/>
          </w:tcPr>
          <w:p w14:paraId="2416AB98">
            <w:pPr>
              <w:outlineLvl w:val="0"/>
              <w:rPr>
                <w:rFonts w:ascii="宋体" w:hAnsi="宋体" w:cs="宋体"/>
                <w:szCs w:val="21"/>
              </w:rPr>
            </w:pPr>
            <w:r>
              <w:rPr>
                <w:rFonts w:hint="eastAsia" w:ascii="宋体" w:hAnsi="宋体" w:cs="宋体"/>
                <w:szCs w:val="21"/>
              </w:rPr>
              <w:t>供应商所投产品可实现对学生远程观看教师授课情况、学生在线下上课学情进行统计分析</w:t>
            </w:r>
            <w:r>
              <w:rPr>
                <w:rFonts w:hint="eastAsia" w:ascii="宋体" w:hAnsi="宋体" w:cs="宋体"/>
              </w:rPr>
              <w:t>功能</w:t>
            </w:r>
            <w:r>
              <w:rPr>
                <w:rFonts w:hint="eastAsia" w:ascii="宋体" w:hAnsi="宋体" w:cs="宋体"/>
                <w:szCs w:val="21"/>
              </w:rPr>
              <w:t>，并具有智能巡课系统相关的计算机软件著作权登记证书的得1分，否则不得分。</w:t>
            </w:r>
          </w:p>
        </w:tc>
        <w:tc>
          <w:tcPr>
            <w:tcW w:w="796" w:type="dxa"/>
            <w:vAlign w:val="center"/>
          </w:tcPr>
          <w:p w14:paraId="15353953">
            <w:pPr>
              <w:spacing w:line="240" w:lineRule="auto"/>
              <w:jc w:val="center"/>
              <w:rPr>
                <w:rFonts w:ascii="仿宋" w:hAnsi="仿宋" w:cs="仿宋"/>
                <w:szCs w:val="32"/>
              </w:rPr>
            </w:pPr>
            <w:r>
              <w:rPr>
                <w:rFonts w:hint="eastAsia" w:ascii="仿宋" w:hAnsi="仿宋" w:cs="仿宋"/>
                <w:szCs w:val="32"/>
              </w:rPr>
              <w:t>1</w:t>
            </w:r>
          </w:p>
        </w:tc>
        <w:tc>
          <w:tcPr>
            <w:tcW w:w="1107" w:type="dxa"/>
            <w:vAlign w:val="center"/>
          </w:tcPr>
          <w:p w14:paraId="263C59D4">
            <w:pPr>
              <w:spacing w:line="240" w:lineRule="auto"/>
              <w:jc w:val="center"/>
              <w:rPr>
                <w:rFonts w:ascii="仿宋" w:hAnsi="仿宋" w:cs="仿宋"/>
                <w:szCs w:val="32"/>
              </w:rPr>
            </w:pPr>
            <w:r>
              <w:rPr>
                <w:rFonts w:hint="eastAsia" w:ascii="仿宋" w:hAnsi="仿宋" w:cs="仿宋"/>
                <w:szCs w:val="32"/>
              </w:rPr>
              <w:t>客观分</w:t>
            </w:r>
          </w:p>
        </w:tc>
        <w:tc>
          <w:tcPr>
            <w:tcW w:w="1881" w:type="dxa"/>
          </w:tcPr>
          <w:p w14:paraId="0B05DC00">
            <w:pPr>
              <w:spacing w:line="240" w:lineRule="auto"/>
              <w:jc w:val="left"/>
              <w:outlineLvl w:val="0"/>
              <w:rPr>
                <w:rFonts w:ascii="仿宋" w:hAnsi="仿宋" w:cs="仿宋"/>
              </w:rPr>
            </w:pPr>
          </w:p>
        </w:tc>
      </w:tr>
      <w:tr w14:paraId="43C8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8" w:type="dxa"/>
            <w:vAlign w:val="center"/>
          </w:tcPr>
          <w:p w14:paraId="51FC6EA9">
            <w:pPr>
              <w:spacing w:line="240" w:lineRule="auto"/>
              <w:jc w:val="center"/>
              <w:rPr>
                <w:rFonts w:ascii="仿宋" w:hAnsi="仿宋" w:cs="仿宋"/>
                <w:szCs w:val="32"/>
              </w:rPr>
            </w:pPr>
            <w:r>
              <w:rPr>
                <w:rFonts w:hint="eastAsia" w:ascii="仿宋" w:hAnsi="仿宋" w:cs="仿宋"/>
                <w:szCs w:val="32"/>
              </w:rPr>
              <w:t>4.4</w:t>
            </w:r>
          </w:p>
        </w:tc>
        <w:tc>
          <w:tcPr>
            <w:tcW w:w="5255" w:type="dxa"/>
            <w:vAlign w:val="center"/>
          </w:tcPr>
          <w:p w14:paraId="06E1FB57">
            <w:pPr>
              <w:outlineLvl w:val="0"/>
              <w:rPr>
                <w:rFonts w:ascii="宋体" w:hAnsi="宋体" w:cs="宋体"/>
                <w:szCs w:val="21"/>
              </w:rPr>
            </w:pPr>
            <w:r>
              <w:rPr>
                <w:rFonts w:hint="eastAsia" w:ascii="宋体" w:hAnsi="宋体" w:cs="宋体"/>
                <w:szCs w:val="21"/>
              </w:rPr>
              <w:t>供应商所投产品可实现对网络敏感词汇自动过滤、筛查、检测功能，</w:t>
            </w:r>
            <w:r>
              <w:rPr>
                <w:rFonts w:hint="eastAsia" w:ascii="宋体" w:hAnsi="宋体" w:cs="宋体"/>
              </w:rPr>
              <w:t>并</w:t>
            </w:r>
            <w:r>
              <w:rPr>
                <w:rFonts w:hint="eastAsia" w:ascii="宋体" w:hAnsi="宋体" w:cs="宋体"/>
                <w:szCs w:val="21"/>
              </w:rPr>
              <w:t>具有内容安全审核平台相关的计算机软件著作权登记证书的</w:t>
            </w:r>
            <w:r>
              <w:rPr>
                <w:rFonts w:hint="eastAsia" w:ascii="宋体" w:hAnsi="宋体" w:cs="宋体"/>
              </w:rPr>
              <w:t>得1分</w:t>
            </w:r>
            <w:r>
              <w:rPr>
                <w:rFonts w:hint="eastAsia" w:ascii="宋体" w:hAnsi="宋体" w:cs="宋体"/>
                <w:szCs w:val="21"/>
              </w:rPr>
              <w:t>，否则不得分。</w:t>
            </w:r>
          </w:p>
        </w:tc>
        <w:tc>
          <w:tcPr>
            <w:tcW w:w="796" w:type="dxa"/>
            <w:vAlign w:val="center"/>
          </w:tcPr>
          <w:p w14:paraId="0EB66A1B">
            <w:pPr>
              <w:spacing w:line="240" w:lineRule="auto"/>
              <w:jc w:val="center"/>
              <w:rPr>
                <w:rFonts w:ascii="仿宋" w:hAnsi="仿宋" w:cs="仿宋"/>
                <w:szCs w:val="32"/>
              </w:rPr>
            </w:pPr>
            <w:r>
              <w:rPr>
                <w:rFonts w:hint="eastAsia" w:ascii="仿宋" w:hAnsi="仿宋" w:cs="仿宋"/>
                <w:szCs w:val="32"/>
              </w:rPr>
              <w:t>1</w:t>
            </w:r>
          </w:p>
        </w:tc>
        <w:tc>
          <w:tcPr>
            <w:tcW w:w="1107" w:type="dxa"/>
            <w:vAlign w:val="center"/>
          </w:tcPr>
          <w:p w14:paraId="01E8C459">
            <w:pPr>
              <w:spacing w:line="240" w:lineRule="auto"/>
              <w:jc w:val="center"/>
              <w:rPr>
                <w:rFonts w:ascii="仿宋" w:hAnsi="仿宋" w:cs="仿宋"/>
                <w:szCs w:val="32"/>
              </w:rPr>
            </w:pPr>
            <w:r>
              <w:rPr>
                <w:rFonts w:hint="eastAsia" w:ascii="仿宋" w:hAnsi="仿宋" w:cs="仿宋"/>
                <w:szCs w:val="32"/>
              </w:rPr>
              <w:t>客观分</w:t>
            </w:r>
          </w:p>
        </w:tc>
        <w:tc>
          <w:tcPr>
            <w:tcW w:w="1881" w:type="dxa"/>
          </w:tcPr>
          <w:p w14:paraId="4AB9C3DB">
            <w:pPr>
              <w:spacing w:line="240" w:lineRule="auto"/>
              <w:jc w:val="left"/>
              <w:outlineLvl w:val="0"/>
              <w:rPr>
                <w:rFonts w:ascii="仿宋" w:hAnsi="仿宋" w:cs="仿宋"/>
              </w:rPr>
            </w:pPr>
          </w:p>
        </w:tc>
      </w:tr>
      <w:tr w14:paraId="68762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8" w:type="dxa"/>
            <w:vAlign w:val="center"/>
          </w:tcPr>
          <w:p w14:paraId="41FBC414">
            <w:pPr>
              <w:spacing w:line="240" w:lineRule="auto"/>
              <w:jc w:val="center"/>
              <w:rPr>
                <w:rFonts w:ascii="仿宋" w:hAnsi="仿宋" w:cs="仿宋"/>
                <w:szCs w:val="32"/>
              </w:rPr>
            </w:pPr>
            <w:r>
              <w:rPr>
                <w:rFonts w:hint="eastAsia" w:ascii="仿宋" w:hAnsi="仿宋" w:cs="仿宋"/>
                <w:szCs w:val="32"/>
              </w:rPr>
              <w:t>4.5</w:t>
            </w:r>
          </w:p>
        </w:tc>
        <w:tc>
          <w:tcPr>
            <w:tcW w:w="5255" w:type="dxa"/>
            <w:vAlign w:val="center"/>
          </w:tcPr>
          <w:p w14:paraId="1A8254BA">
            <w:pPr>
              <w:outlineLvl w:val="0"/>
              <w:rPr>
                <w:rFonts w:ascii="宋体" w:hAnsi="宋体" w:cs="宋体"/>
                <w:szCs w:val="21"/>
              </w:rPr>
            </w:pPr>
            <w:r>
              <w:rPr>
                <w:rFonts w:hint="eastAsia" w:ascii="宋体" w:hAnsi="宋体" w:cs="宋体"/>
                <w:szCs w:val="21"/>
              </w:rPr>
              <w:t>供应商所投产品可实现利用知识图谱技术构建专业图谱功能，</w:t>
            </w:r>
            <w:r>
              <w:rPr>
                <w:rFonts w:hint="eastAsia" w:ascii="宋体" w:hAnsi="宋体" w:cs="宋体"/>
              </w:rPr>
              <w:t>并</w:t>
            </w:r>
            <w:r>
              <w:rPr>
                <w:rFonts w:hint="eastAsia" w:ascii="宋体" w:hAnsi="宋体" w:cs="宋体"/>
                <w:szCs w:val="21"/>
              </w:rPr>
              <w:t>具有知识图谱相关的计算机软件著作权登记证书的</w:t>
            </w:r>
            <w:r>
              <w:rPr>
                <w:rFonts w:hint="eastAsia" w:ascii="宋体" w:hAnsi="宋体" w:cs="宋体"/>
              </w:rPr>
              <w:t>得</w:t>
            </w:r>
            <w:r>
              <w:rPr>
                <w:rFonts w:hint="eastAsia" w:ascii="宋体" w:hAnsi="宋体" w:cs="宋体"/>
                <w:szCs w:val="21"/>
              </w:rPr>
              <w:t>1分，否则不得分。</w:t>
            </w:r>
          </w:p>
        </w:tc>
        <w:tc>
          <w:tcPr>
            <w:tcW w:w="796" w:type="dxa"/>
            <w:vAlign w:val="center"/>
          </w:tcPr>
          <w:p w14:paraId="0864D8ED">
            <w:pPr>
              <w:spacing w:line="240" w:lineRule="auto"/>
              <w:jc w:val="center"/>
              <w:rPr>
                <w:rFonts w:ascii="仿宋" w:hAnsi="仿宋" w:cs="仿宋"/>
                <w:szCs w:val="32"/>
              </w:rPr>
            </w:pPr>
            <w:r>
              <w:rPr>
                <w:rFonts w:hint="eastAsia" w:ascii="仿宋" w:hAnsi="仿宋" w:cs="仿宋"/>
                <w:szCs w:val="32"/>
              </w:rPr>
              <w:t>1</w:t>
            </w:r>
          </w:p>
        </w:tc>
        <w:tc>
          <w:tcPr>
            <w:tcW w:w="1107" w:type="dxa"/>
            <w:vAlign w:val="center"/>
          </w:tcPr>
          <w:p w14:paraId="50A6F2AF">
            <w:pPr>
              <w:spacing w:line="240" w:lineRule="auto"/>
              <w:jc w:val="center"/>
              <w:rPr>
                <w:rFonts w:ascii="仿宋" w:hAnsi="仿宋" w:cs="仿宋"/>
                <w:szCs w:val="32"/>
              </w:rPr>
            </w:pPr>
            <w:r>
              <w:rPr>
                <w:rFonts w:hint="eastAsia" w:ascii="仿宋" w:hAnsi="仿宋" w:cs="仿宋"/>
                <w:szCs w:val="32"/>
              </w:rPr>
              <w:t>客观分</w:t>
            </w:r>
          </w:p>
        </w:tc>
        <w:tc>
          <w:tcPr>
            <w:tcW w:w="1881" w:type="dxa"/>
          </w:tcPr>
          <w:p w14:paraId="27BEFD34">
            <w:pPr>
              <w:spacing w:line="240" w:lineRule="auto"/>
              <w:jc w:val="left"/>
              <w:outlineLvl w:val="0"/>
              <w:rPr>
                <w:rFonts w:ascii="仿宋" w:hAnsi="仿宋" w:cs="仿宋"/>
              </w:rPr>
            </w:pPr>
          </w:p>
        </w:tc>
      </w:tr>
      <w:tr w14:paraId="0C2A1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908" w:type="dxa"/>
            <w:vAlign w:val="center"/>
          </w:tcPr>
          <w:p w14:paraId="3FF9D768">
            <w:pPr>
              <w:spacing w:line="240" w:lineRule="auto"/>
              <w:jc w:val="center"/>
              <w:rPr>
                <w:rFonts w:ascii="仿宋" w:hAnsi="仿宋" w:cs="仿宋"/>
                <w:szCs w:val="32"/>
              </w:rPr>
            </w:pPr>
            <w:r>
              <w:rPr>
                <w:rFonts w:hint="eastAsia" w:ascii="仿宋" w:hAnsi="仿宋" w:cs="仿宋"/>
                <w:szCs w:val="32"/>
              </w:rPr>
              <w:t>5</w:t>
            </w:r>
          </w:p>
        </w:tc>
        <w:tc>
          <w:tcPr>
            <w:tcW w:w="5255" w:type="dxa"/>
            <w:vAlign w:val="center"/>
          </w:tcPr>
          <w:p w14:paraId="4C40CF97">
            <w:pPr>
              <w:wordWrap w:val="0"/>
              <w:spacing w:line="240" w:lineRule="auto"/>
              <w:outlineLvl w:val="0"/>
              <w:rPr>
                <w:rFonts w:ascii="宋体" w:hAnsi="宋体" w:cs="宋体"/>
                <w:szCs w:val="21"/>
              </w:rPr>
            </w:pPr>
            <w:r>
              <w:rPr>
                <w:rFonts w:ascii="宋体" w:hAnsi="宋体" w:cs="宋体"/>
                <w:szCs w:val="21"/>
              </w:rPr>
              <w:t>产品响应程度</w:t>
            </w:r>
            <w:r>
              <w:rPr>
                <w:rFonts w:hint="eastAsia" w:ascii="宋体" w:hAnsi="宋体" w:cs="宋体"/>
                <w:szCs w:val="21"/>
              </w:rPr>
              <w:t>（不包含需演示的内容）。</w:t>
            </w:r>
          </w:p>
          <w:p w14:paraId="45FABF1C">
            <w:pPr>
              <w:wordWrap w:val="0"/>
              <w:spacing w:line="240" w:lineRule="auto"/>
              <w:outlineLvl w:val="0"/>
              <w:rPr>
                <w:rFonts w:ascii="仿宋" w:hAnsi="仿宋" w:cs="仿宋"/>
                <w:szCs w:val="21"/>
              </w:rPr>
            </w:pPr>
            <w:r>
              <w:rPr>
                <w:rFonts w:hint="eastAsia" w:ascii="仿宋" w:hAnsi="仿宋" w:cs="仿宋"/>
                <w:szCs w:val="21"/>
              </w:rPr>
              <w:t>不符合技术要求中标注“▲”条款的投标无效，满足招标文件明确的全部技术条款要求的得</w:t>
            </w:r>
            <w:r>
              <w:rPr>
                <w:rFonts w:ascii="仿宋" w:hAnsi="仿宋" w:cs="仿宋"/>
                <w:szCs w:val="21"/>
              </w:rPr>
              <w:t>10</w:t>
            </w:r>
            <w:r>
              <w:rPr>
                <w:rFonts w:hint="eastAsia" w:ascii="仿宋" w:hAnsi="仿宋" w:cs="仿宋"/>
                <w:szCs w:val="21"/>
              </w:rPr>
              <w:t>分，标注“★”条款不满足技术要求的每项扣</w:t>
            </w:r>
            <w:r>
              <w:rPr>
                <w:rFonts w:ascii="仿宋" w:hAnsi="仿宋" w:cs="仿宋"/>
                <w:szCs w:val="21"/>
              </w:rPr>
              <w:t>1</w:t>
            </w:r>
            <w:r>
              <w:rPr>
                <w:rFonts w:hint="eastAsia" w:ascii="仿宋" w:hAnsi="仿宋" w:cs="仿宋"/>
                <w:szCs w:val="21"/>
              </w:rPr>
              <w:t>分（</w:t>
            </w:r>
            <w:r>
              <w:rPr>
                <w:rFonts w:ascii="仿宋" w:hAnsi="仿宋" w:cs="仿宋"/>
                <w:szCs w:val="21"/>
              </w:rPr>
              <w:t>1</w:t>
            </w:r>
            <w:r>
              <w:rPr>
                <w:rFonts w:hint="eastAsia" w:ascii="仿宋" w:hAnsi="仿宋" w:cs="仿宋"/>
                <w:szCs w:val="21"/>
              </w:rPr>
              <w:t>0分起扣），其余技术条款不满足技术要求的每项扣</w:t>
            </w:r>
            <w:r>
              <w:rPr>
                <w:rFonts w:ascii="仿宋" w:hAnsi="仿宋" w:cs="仿宋"/>
                <w:szCs w:val="21"/>
              </w:rPr>
              <w:t>0.5</w:t>
            </w:r>
            <w:r>
              <w:rPr>
                <w:rFonts w:hint="eastAsia" w:ascii="仿宋" w:hAnsi="仿宋" w:cs="仿宋"/>
                <w:szCs w:val="21"/>
              </w:rPr>
              <w:t>分（</w:t>
            </w:r>
            <w:r>
              <w:rPr>
                <w:rFonts w:ascii="仿宋" w:hAnsi="仿宋" w:cs="仿宋"/>
                <w:szCs w:val="21"/>
              </w:rPr>
              <w:t>1</w:t>
            </w:r>
            <w:r>
              <w:rPr>
                <w:rFonts w:hint="eastAsia" w:ascii="仿宋" w:hAnsi="仿宋" w:cs="仿宋"/>
                <w:szCs w:val="21"/>
              </w:rPr>
              <w:t>0分起扣），技术偏离表技术要求中响应规格与技术支持资料不一致的视为不满足。</w:t>
            </w:r>
          </w:p>
        </w:tc>
        <w:tc>
          <w:tcPr>
            <w:tcW w:w="796" w:type="dxa"/>
            <w:vAlign w:val="center"/>
          </w:tcPr>
          <w:p w14:paraId="0834A003">
            <w:pPr>
              <w:spacing w:line="240" w:lineRule="auto"/>
              <w:jc w:val="center"/>
              <w:rPr>
                <w:rFonts w:ascii="仿宋" w:hAnsi="仿宋" w:cs="仿宋"/>
                <w:szCs w:val="32"/>
              </w:rPr>
            </w:pPr>
            <w:r>
              <w:rPr>
                <w:rFonts w:ascii="仿宋" w:hAnsi="仿宋" w:cs="仿宋"/>
                <w:szCs w:val="32"/>
              </w:rPr>
              <w:t>10</w:t>
            </w:r>
          </w:p>
        </w:tc>
        <w:tc>
          <w:tcPr>
            <w:tcW w:w="1107" w:type="dxa"/>
            <w:vAlign w:val="center"/>
          </w:tcPr>
          <w:p w14:paraId="4604055C">
            <w:pPr>
              <w:spacing w:line="240" w:lineRule="auto"/>
              <w:jc w:val="left"/>
              <w:rPr>
                <w:rFonts w:ascii="仿宋" w:hAnsi="仿宋" w:cs="仿宋"/>
                <w:szCs w:val="32"/>
              </w:rPr>
            </w:pPr>
            <w:r>
              <w:rPr>
                <w:rFonts w:hint="eastAsia" w:ascii="仿宋" w:hAnsi="仿宋" w:cs="仿宋"/>
                <w:szCs w:val="32"/>
              </w:rPr>
              <w:t>客观分</w:t>
            </w:r>
          </w:p>
        </w:tc>
        <w:tc>
          <w:tcPr>
            <w:tcW w:w="1881" w:type="dxa"/>
          </w:tcPr>
          <w:p w14:paraId="267FB923">
            <w:pPr>
              <w:spacing w:line="240" w:lineRule="auto"/>
              <w:jc w:val="left"/>
              <w:outlineLvl w:val="0"/>
              <w:rPr>
                <w:rFonts w:ascii="仿宋" w:hAnsi="仿宋" w:cs="仿宋"/>
              </w:rPr>
            </w:pPr>
          </w:p>
        </w:tc>
      </w:tr>
      <w:tr w14:paraId="45E24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08" w:type="dxa"/>
            <w:vAlign w:val="center"/>
          </w:tcPr>
          <w:p w14:paraId="6E8630B5">
            <w:pPr>
              <w:spacing w:line="240" w:lineRule="auto"/>
              <w:jc w:val="center"/>
              <w:rPr>
                <w:rFonts w:ascii="仿宋" w:hAnsi="仿宋" w:cs="仿宋"/>
                <w:szCs w:val="32"/>
              </w:rPr>
            </w:pPr>
            <w:r>
              <w:rPr>
                <w:rFonts w:hint="eastAsia" w:ascii="仿宋" w:hAnsi="仿宋" w:cs="仿宋"/>
                <w:szCs w:val="32"/>
              </w:rPr>
              <w:t>6</w:t>
            </w:r>
          </w:p>
        </w:tc>
        <w:tc>
          <w:tcPr>
            <w:tcW w:w="5255" w:type="dxa"/>
            <w:vAlign w:val="center"/>
          </w:tcPr>
          <w:p w14:paraId="0174BBC2">
            <w:pPr>
              <w:spacing w:line="276" w:lineRule="auto"/>
              <w:rPr>
                <w:rFonts w:ascii="仿宋" w:hAnsi="仿宋" w:cs="仿宋"/>
                <w:szCs w:val="21"/>
              </w:rPr>
            </w:pPr>
            <w:r>
              <w:rPr>
                <w:rFonts w:hint="eastAsia" w:ascii="仿宋" w:hAnsi="仿宋" w:cs="仿宋"/>
                <w:szCs w:val="21"/>
              </w:rPr>
              <w:t>产品性能</w:t>
            </w:r>
          </w:p>
        </w:tc>
        <w:tc>
          <w:tcPr>
            <w:tcW w:w="796" w:type="dxa"/>
            <w:vAlign w:val="center"/>
          </w:tcPr>
          <w:p w14:paraId="286E4F41">
            <w:pPr>
              <w:spacing w:line="240" w:lineRule="auto"/>
              <w:jc w:val="center"/>
              <w:rPr>
                <w:rFonts w:ascii="宋体" w:hAnsi="宋体" w:cs="宋体"/>
                <w:szCs w:val="21"/>
              </w:rPr>
            </w:pPr>
            <w:r>
              <w:rPr>
                <w:rFonts w:hint="eastAsia" w:ascii="仿宋" w:hAnsi="仿宋" w:cs="仿宋"/>
                <w:szCs w:val="32"/>
              </w:rPr>
              <w:t>/</w:t>
            </w:r>
          </w:p>
        </w:tc>
        <w:tc>
          <w:tcPr>
            <w:tcW w:w="1107" w:type="dxa"/>
            <w:vAlign w:val="center"/>
          </w:tcPr>
          <w:p w14:paraId="30FC6626">
            <w:pPr>
              <w:spacing w:line="240" w:lineRule="auto"/>
              <w:jc w:val="center"/>
              <w:rPr>
                <w:rFonts w:ascii="仿宋" w:hAnsi="仿宋" w:cs="仿宋"/>
                <w:szCs w:val="32"/>
              </w:rPr>
            </w:pPr>
            <w:r>
              <w:rPr>
                <w:rFonts w:hint="eastAsia" w:ascii="仿宋" w:hAnsi="仿宋" w:cs="仿宋"/>
                <w:szCs w:val="32"/>
              </w:rPr>
              <w:t>/</w:t>
            </w:r>
          </w:p>
        </w:tc>
        <w:tc>
          <w:tcPr>
            <w:tcW w:w="1881" w:type="dxa"/>
          </w:tcPr>
          <w:p w14:paraId="23FD0FD1">
            <w:pPr>
              <w:spacing w:line="240" w:lineRule="auto"/>
              <w:jc w:val="left"/>
              <w:outlineLvl w:val="0"/>
              <w:rPr>
                <w:rFonts w:ascii="仿宋" w:hAnsi="仿宋" w:cs="仿宋"/>
              </w:rPr>
            </w:pPr>
          </w:p>
        </w:tc>
      </w:tr>
      <w:tr w14:paraId="26042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908" w:type="dxa"/>
            <w:vAlign w:val="center"/>
          </w:tcPr>
          <w:p w14:paraId="03DFADF1">
            <w:pPr>
              <w:spacing w:line="240" w:lineRule="auto"/>
              <w:jc w:val="center"/>
              <w:rPr>
                <w:rFonts w:ascii="仿宋" w:hAnsi="仿宋" w:cs="仿宋"/>
                <w:szCs w:val="32"/>
              </w:rPr>
            </w:pPr>
            <w:r>
              <w:rPr>
                <w:rFonts w:hint="eastAsia" w:ascii="仿宋" w:hAnsi="仿宋" w:cs="仿宋"/>
                <w:szCs w:val="32"/>
              </w:rPr>
              <w:t>6.1</w:t>
            </w:r>
          </w:p>
        </w:tc>
        <w:tc>
          <w:tcPr>
            <w:tcW w:w="5255" w:type="dxa"/>
            <w:vAlign w:val="center"/>
          </w:tcPr>
          <w:p w14:paraId="054E9E8D">
            <w:pPr>
              <w:outlineLvl w:val="0"/>
              <w:rPr>
                <w:rFonts w:ascii="仿宋" w:hAnsi="仿宋" w:cs="仿宋"/>
                <w:szCs w:val="21"/>
              </w:rPr>
            </w:pPr>
            <w:r>
              <w:rPr>
                <w:rFonts w:hint="eastAsia" w:ascii="宋体" w:hAnsi="宋体" w:cs="宋体"/>
                <w:szCs w:val="21"/>
              </w:rPr>
              <w:t>供应商所投产品需具备人脸识别技术应用。供应商需在响应文件中提供</w:t>
            </w:r>
            <w:r>
              <w:rPr>
                <w:rFonts w:hint="eastAsia"/>
              </w:rPr>
              <w:t>具有资质的第三方检测机构出具</w:t>
            </w:r>
            <w:r>
              <w:rPr>
                <w:rFonts w:hint="eastAsia" w:ascii="宋体" w:hAnsi="宋体" w:cs="宋体"/>
                <w:szCs w:val="21"/>
              </w:rPr>
              <w:t>的测试报告扫描件以证明满足此项要求，未提供测试报告或者提供的测试报告不能证明满足此项要求的均不得分。</w:t>
            </w:r>
          </w:p>
        </w:tc>
        <w:tc>
          <w:tcPr>
            <w:tcW w:w="796" w:type="dxa"/>
            <w:vAlign w:val="center"/>
          </w:tcPr>
          <w:p w14:paraId="68E11C99">
            <w:pPr>
              <w:spacing w:line="240" w:lineRule="auto"/>
              <w:jc w:val="center"/>
              <w:rPr>
                <w:rFonts w:ascii="仿宋" w:hAnsi="仿宋" w:cs="仿宋"/>
                <w:szCs w:val="32"/>
              </w:rPr>
            </w:pPr>
            <w:r>
              <w:rPr>
                <w:rFonts w:hint="eastAsia" w:ascii="仿宋" w:hAnsi="仿宋" w:cs="仿宋"/>
                <w:szCs w:val="32"/>
              </w:rPr>
              <w:t>2.5</w:t>
            </w:r>
          </w:p>
        </w:tc>
        <w:tc>
          <w:tcPr>
            <w:tcW w:w="1107" w:type="dxa"/>
            <w:vAlign w:val="center"/>
          </w:tcPr>
          <w:p w14:paraId="0619C166">
            <w:pPr>
              <w:spacing w:line="240" w:lineRule="auto"/>
              <w:jc w:val="left"/>
              <w:rPr>
                <w:rFonts w:ascii="仿宋" w:hAnsi="仿宋" w:cs="仿宋"/>
                <w:szCs w:val="32"/>
              </w:rPr>
            </w:pPr>
            <w:r>
              <w:rPr>
                <w:rFonts w:hint="eastAsia" w:ascii="仿宋" w:hAnsi="仿宋" w:cs="仿宋"/>
                <w:szCs w:val="32"/>
              </w:rPr>
              <w:t>客观分</w:t>
            </w:r>
          </w:p>
        </w:tc>
        <w:tc>
          <w:tcPr>
            <w:tcW w:w="1881" w:type="dxa"/>
          </w:tcPr>
          <w:p w14:paraId="0CA1590E">
            <w:pPr>
              <w:spacing w:line="240" w:lineRule="auto"/>
              <w:jc w:val="left"/>
              <w:outlineLvl w:val="0"/>
              <w:rPr>
                <w:rFonts w:ascii="仿宋" w:hAnsi="仿宋" w:cs="仿宋"/>
              </w:rPr>
            </w:pPr>
          </w:p>
        </w:tc>
      </w:tr>
      <w:tr w14:paraId="34E96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908" w:type="dxa"/>
            <w:vAlign w:val="center"/>
          </w:tcPr>
          <w:p w14:paraId="183F90B1">
            <w:pPr>
              <w:spacing w:line="240" w:lineRule="auto"/>
              <w:jc w:val="center"/>
              <w:rPr>
                <w:rFonts w:ascii="仿宋" w:hAnsi="仿宋" w:cs="仿宋"/>
                <w:szCs w:val="32"/>
              </w:rPr>
            </w:pPr>
            <w:r>
              <w:rPr>
                <w:rFonts w:hint="eastAsia" w:ascii="仿宋" w:hAnsi="仿宋" w:cs="仿宋"/>
                <w:szCs w:val="32"/>
              </w:rPr>
              <w:t>6.2</w:t>
            </w:r>
          </w:p>
        </w:tc>
        <w:tc>
          <w:tcPr>
            <w:tcW w:w="5255" w:type="dxa"/>
            <w:vAlign w:val="center"/>
          </w:tcPr>
          <w:p w14:paraId="1A8420FC">
            <w:pPr>
              <w:wordWrap w:val="0"/>
              <w:spacing w:line="240" w:lineRule="auto"/>
              <w:rPr>
                <w:rFonts w:ascii="宋体" w:hAnsi="宋体" w:cs="宋体"/>
                <w:szCs w:val="21"/>
              </w:rPr>
            </w:pPr>
            <w:r>
              <w:rPr>
                <w:rFonts w:hint="eastAsia" w:ascii="宋体" w:hAnsi="宋体" w:cs="宋体"/>
                <w:szCs w:val="21"/>
              </w:rPr>
              <w:t>供应商所投产品需支持大数据统计分析功能。供应商需在响应文件中提供</w:t>
            </w:r>
            <w:r>
              <w:rPr>
                <w:rFonts w:hint="eastAsia"/>
              </w:rPr>
              <w:t>具有资质的第三方检测机构出具的</w:t>
            </w:r>
            <w:r>
              <w:rPr>
                <w:rFonts w:hint="eastAsia" w:ascii="宋体" w:hAnsi="宋体" w:cs="宋体"/>
                <w:szCs w:val="21"/>
              </w:rPr>
              <w:t>大数据综合分析展示系统相关的软件信息安全测试报告扫描件以证明满足此项要求，未提供测试报告或者提供的测试报告不能证明满足此项要求的均不得分。</w:t>
            </w:r>
          </w:p>
        </w:tc>
        <w:tc>
          <w:tcPr>
            <w:tcW w:w="796" w:type="dxa"/>
            <w:vAlign w:val="center"/>
          </w:tcPr>
          <w:p w14:paraId="33B382B5">
            <w:pPr>
              <w:spacing w:line="240" w:lineRule="auto"/>
              <w:jc w:val="center"/>
              <w:rPr>
                <w:rFonts w:ascii="仿宋" w:hAnsi="仿宋" w:cs="仿宋"/>
                <w:szCs w:val="32"/>
              </w:rPr>
            </w:pPr>
            <w:r>
              <w:rPr>
                <w:rFonts w:hint="eastAsia" w:ascii="仿宋" w:hAnsi="仿宋" w:cs="仿宋"/>
                <w:szCs w:val="32"/>
              </w:rPr>
              <w:t>2.5</w:t>
            </w:r>
          </w:p>
        </w:tc>
        <w:tc>
          <w:tcPr>
            <w:tcW w:w="1107" w:type="dxa"/>
            <w:vAlign w:val="center"/>
          </w:tcPr>
          <w:p w14:paraId="2791C7B4">
            <w:pPr>
              <w:spacing w:line="240" w:lineRule="auto"/>
              <w:jc w:val="left"/>
              <w:rPr>
                <w:rFonts w:ascii="仿宋" w:hAnsi="仿宋" w:cs="仿宋"/>
                <w:szCs w:val="32"/>
              </w:rPr>
            </w:pPr>
            <w:r>
              <w:rPr>
                <w:rFonts w:hint="eastAsia" w:ascii="仿宋" w:hAnsi="仿宋" w:cs="仿宋"/>
                <w:szCs w:val="32"/>
              </w:rPr>
              <w:t>客观分</w:t>
            </w:r>
          </w:p>
        </w:tc>
        <w:tc>
          <w:tcPr>
            <w:tcW w:w="1881" w:type="dxa"/>
          </w:tcPr>
          <w:p w14:paraId="1AEA85A0">
            <w:pPr>
              <w:spacing w:line="240" w:lineRule="auto"/>
              <w:jc w:val="left"/>
              <w:outlineLvl w:val="0"/>
              <w:rPr>
                <w:rFonts w:ascii="仿宋" w:hAnsi="仿宋" w:cs="仿宋"/>
              </w:rPr>
            </w:pPr>
          </w:p>
        </w:tc>
      </w:tr>
      <w:tr w14:paraId="15596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908" w:type="dxa"/>
            <w:vAlign w:val="center"/>
          </w:tcPr>
          <w:p w14:paraId="0D1A938C">
            <w:pPr>
              <w:spacing w:line="240" w:lineRule="auto"/>
              <w:jc w:val="center"/>
              <w:rPr>
                <w:rFonts w:ascii="仿宋" w:hAnsi="仿宋" w:cs="仿宋"/>
                <w:szCs w:val="32"/>
              </w:rPr>
            </w:pPr>
            <w:r>
              <w:rPr>
                <w:rFonts w:hint="eastAsia" w:ascii="仿宋" w:hAnsi="仿宋" w:cs="仿宋"/>
                <w:szCs w:val="32"/>
              </w:rPr>
              <w:t>6.3</w:t>
            </w:r>
          </w:p>
        </w:tc>
        <w:tc>
          <w:tcPr>
            <w:tcW w:w="5255" w:type="dxa"/>
            <w:vAlign w:val="center"/>
          </w:tcPr>
          <w:p w14:paraId="49A1C19B">
            <w:pPr>
              <w:wordWrap w:val="0"/>
              <w:spacing w:line="240" w:lineRule="auto"/>
              <w:rPr>
                <w:rFonts w:ascii="宋体" w:hAnsi="宋体" w:cs="宋体"/>
                <w:szCs w:val="21"/>
              </w:rPr>
            </w:pPr>
            <w:r>
              <w:rPr>
                <w:rFonts w:hint="eastAsia" w:ascii="宋体" w:hAnsi="宋体" w:cs="宋体"/>
                <w:szCs w:val="21"/>
              </w:rPr>
              <w:t>供应商需提供具有资质的第三方检测机构出具的所投产品和学生学习行为有关的业务(如访问课程、观看课程视频等)用户秒级并发性能测试报告扫描件以证明满足此项要求，未提供测试报告或者提供的测试报告不能证明满足此项要求的均不得分。</w:t>
            </w:r>
          </w:p>
        </w:tc>
        <w:tc>
          <w:tcPr>
            <w:tcW w:w="796" w:type="dxa"/>
            <w:vAlign w:val="center"/>
          </w:tcPr>
          <w:p w14:paraId="3010F4D0">
            <w:pPr>
              <w:spacing w:line="240" w:lineRule="auto"/>
              <w:jc w:val="center"/>
              <w:rPr>
                <w:rFonts w:ascii="仿宋" w:hAnsi="仿宋" w:cs="仿宋"/>
                <w:szCs w:val="32"/>
              </w:rPr>
            </w:pPr>
            <w:r>
              <w:rPr>
                <w:rFonts w:hint="eastAsia" w:ascii="仿宋" w:hAnsi="仿宋" w:cs="仿宋"/>
                <w:szCs w:val="32"/>
              </w:rPr>
              <w:t>2.5</w:t>
            </w:r>
          </w:p>
        </w:tc>
        <w:tc>
          <w:tcPr>
            <w:tcW w:w="1107" w:type="dxa"/>
            <w:vAlign w:val="center"/>
          </w:tcPr>
          <w:p w14:paraId="564A06F4">
            <w:pPr>
              <w:spacing w:line="240" w:lineRule="auto"/>
              <w:jc w:val="left"/>
              <w:rPr>
                <w:rFonts w:ascii="仿宋" w:hAnsi="仿宋" w:cs="仿宋"/>
                <w:szCs w:val="32"/>
              </w:rPr>
            </w:pPr>
            <w:r>
              <w:rPr>
                <w:rFonts w:hint="eastAsia" w:ascii="仿宋" w:hAnsi="仿宋" w:cs="仿宋"/>
                <w:szCs w:val="32"/>
              </w:rPr>
              <w:t>客观分</w:t>
            </w:r>
          </w:p>
        </w:tc>
        <w:tc>
          <w:tcPr>
            <w:tcW w:w="1881" w:type="dxa"/>
          </w:tcPr>
          <w:p w14:paraId="1DFD911F">
            <w:pPr>
              <w:spacing w:line="240" w:lineRule="auto"/>
              <w:jc w:val="left"/>
              <w:outlineLvl w:val="0"/>
              <w:rPr>
                <w:rFonts w:ascii="仿宋" w:hAnsi="仿宋" w:cs="仿宋"/>
              </w:rPr>
            </w:pPr>
          </w:p>
        </w:tc>
      </w:tr>
      <w:tr w14:paraId="4B229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08" w:type="dxa"/>
            <w:vAlign w:val="center"/>
          </w:tcPr>
          <w:p w14:paraId="3B37137B">
            <w:pPr>
              <w:spacing w:line="240" w:lineRule="auto"/>
              <w:jc w:val="center"/>
              <w:rPr>
                <w:rFonts w:ascii="仿宋" w:hAnsi="仿宋" w:cs="仿宋"/>
                <w:szCs w:val="32"/>
              </w:rPr>
            </w:pPr>
            <w:r>
              <w:rPr>
                <w:rFonts w:hint="eastAsia" w:ascii="仿宋" w:hAnsi="仿宋" w:cs="仿宋"/>
                <w:szCs w:val="32"/>
              </w:rPr>
              <w:t>6.4</w:t>
            </w:r>
          </w:p>
        </w:tc>
        <w:tc>
          <w:tcPr>
            <w:tcW w:w="5255" w:type="dxa"/>
            <w:vAlign w:val="center"/>
          </w:tcPr>
          <w:p w14:paraId="26965C60">
            <w:pPr>
              <w:wordWrap w:val="0"/>
              <w:spacing w:line="240" w:lineRule="auto"/>
              <w:rPr>
                <w:rFonts w:ascii="仿宋" w:hAnsi="仿宋" w:cs="仿宋"/>
                <w:szCs w:val="21"/>
              </w:rPr>
            </w:pPr>
            <w:r>
              <w:rPr>
                <w:rFonts w:hint="eastAsia" w:ascii="宋体" w:hAnsi="宋体" w:cs="宋体"/>
                <w:szCs w:val="21"/>
              </w:rPr>
              <w:t>供应商需提供</w:t>
            </w:r>
            <w:r>
              <w:rPr>
                <w:rFonts w:hint="eastAsia"/>
              </w:rPr>
              <w:t>具有资质的第三方检测机构出具的</w:t>
            </w:r>
            <w:r>
              <w:rPr>
                <w:rFonts w:hint="eastAsia" w:ascii="宋体" w:hAnsi="宋体" w:cs="宋体"/>
                <w:szCs w:val="21"/>
              </w:rPr>
              <w:t>针对智慧教学平台单项功能测试报告和性能测试报告。测试标准依据：GB/T25000.51-2016系统与软件工程系统与软件质量要求和评价(SQuaRE)第51部分或其他同等或更优的标准：就绪可用软件产品(RUSP)的质量要求和测试细则。满足测试标准要求的得2.5分，不满足或未提供相应材料的不得分。</w:t>
            </w:r>
          </w:p>
        </w:tc>
        <w:tc>
          <w:tcPr>
            <w:tcW w:w="796" w:type="dxa"/>
            <w:vAlign w:val="center"/>
          </w:tcPr>
          <w:p w14:paraId="0D5EB5F4">
            <w:pPr>
              <w:spacing w:line="240" w:lineRule="auto"/>
              <w:jc w:val="center"/>
              <w:rPr>
                <w:rFonts w:ascii="仿宋" w:hAnsi="仿宋" w:cs="仿宋"/>
                <w:szCs w:val="32"/>
              </w:rPr>
            </w:pPr>
            <w:r>
              <w:rPr>
                <w:rFonts w:hint="eastAsia" w:ascii="仿宋" w:hAnsi="仿宋" w:cs="仿宋"/>
                <w:szCs w:val="32"/>
              </w:rPr>
              <w:t>2.5</w:t>
            </w:r>
          </w:p>
        </w:tc>
        <w:tc>
          <w:tcPr>
            <w:tcW w:w="1107" w:type="dxa"/>
            <w:vAlign w:val="center"/>
          </w:tcPr>
          <w:p w14:paraId="359655FC">
            <w:pPr>
              <w:spacing w:line="240" w:lineRule="auto"/>
              <w:jc w:val="left"/>
              <w:rPr>
                <w:rFonts w:ascii="仿宋" w:hAnsi="仿宋" w:cs="仿宋"/>
                <w:szCs w:val="32"/>
              </w:rPr>
            </w:pPr>
            <w:r>
              <w:rPr>
                <w:rFonts w:hint="eastAsia" w:ascii="仿宋" w:hAnsi="仿宋" w:cs="仿宋"/>
                <w:szCs w:val="32"/>
              </w:rPr>
              <w:t>客观分</w:t>
            </w:r>
          </w:p>
        </w:tc>
        <w:tc>
          <w:tcPr>
            <w:tcW w:w="1881" w:type="dxa"/>
          </w:tcPr>
          <w:p w14:paraId="1D102EEB">
            <w:pPr>
              <w:spacing w:line="240" w:lineRule="auto"/>
              <w:jc w:val="left"/>
              <w:outlineLvl w:val="0"/>
              <w:rPr>
                <w:rFonts w:ascii="仿宋" w:hAnsi="仿宋" w:cs="仿宋"/>
              </w:rPr>
            </w:pPr>
          </w:p>
        </w:tc>
      </w:tr>
      <w:tr w14:paraId="7C41B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908" w:type="dxa"/>
            <w:vAlign w:val="center"/>
          </w:tcPr>
          <w:p w14:paraId="19AD2071">
            <w:pPr>
              <w:spacing w:line="240" w:lineRule="auto"/>
              <w:jc w:val="center"/>
              <w:rPr>
                <w:rFonts w:ascii="仿宋" w:hAnsi="仿宋" w:cs="仿宋"/>
                <w:szCs w:val="32"/>
              </w:rPr>
            </w:pPr>
            <w:r>
              <w:rPr>
                <w:rFonts w:hint="eastAsia" w:ascii="仿宋" w:hAnsi="仿宋" w:cs="仿宋"/>
                <w:szCs w:val="32"/>
              </w:rPr>
              <w:t>7</w:t>
            </w:r>
          </w:p>
        </w:tc>
        <w:tc>
          <w:tcPr>
            <w:tcW w:w="5255" w:type="dxa"/>
            <w:vAlign w:val="center"/>
          </w:tcPr>
          <w:p w14:paraId="554C3BA7">
            <w:pPr>
              <w:rPr>
                <w:rFonts w:ascii="宋体" w:hAnsi="宋体" w:cs="宋体"/>
                <w:szCs w:val="21"/>
              </w:rPr>
            </w:pPr>
            <w:r>
              <w:rPr>
                <w:rFonts w:hint="eastAsia" w:ascii="宋体" w:hAnsi="宋体" w:cs="宋体"/>
                <w:szCs w:val="21"/>
              </w:rPr>
              <w:t>等保要求</w:t>
            </w:r>
          </w:p>
          <w:p w14:paraId="5913FA80">
            <w:pPr>
              <w:rPr>
                <w:rFonts w:ascii="宋体" w:hAnsi="宋体" w:cs="宋体"/>
                <w:szCs w:val="21"/>
              </w:rPr>
            </w:pPr>
            <w:r>
              <w:rPr>
                <w:rFonts w:hint="eastAsia" w:ascii="宋体" w:hAnsi="宋体" w:cs="宋体"/>
                <w:szCs w:val="21"/>
              </w:rPr>
              <w:t>供应商在响应文件中提供与网络教学与教务综合管理系统相关的三级等保备案证明及等保测评报告扫描件的得2分；未提供证明材料或者提供的证明材料不能证明满足此项要求的均不得分。</w:t>
            </w:r>
          </w:p>
        </w:tc>
        <w:tc>
          <w:tcPr>
            <w:tcW w:w="796" w:type="dxa"/>
            <w:vAlign w:val="center"/>
          </w:tcPr>
          <w:p w14:paraId="053F9F13">
            <w:pPr>
              <w:spacing w:line="240" w:lineRule="auto"/>
              <w:jc w:val="center"/>
              <w:rPr>
                <w:rFonts w:ascii="仿宋" w:hAnsi="仿宋" w:cs="仿宋"/>
                <w:szCs w:val="32"/>
              </w:rPr>
            </w:pPr>
            <w:r>
              <w:rPr>
                <w:rFonts w:hint="eastAsia" w:ascii="仿宋" w:hAnsi="仿宋" w:cs="仿宋"/>
                <w:szCs w:val="32"/>
              </w:rPr>
              <w:t>2</w:t>
            </w:r>
          </w:p>
        </w:tc>
        <w:tc>
          <w:tcPr>
            <w:tcW w:w="1107" w:type="dxa"/>
            <w:vAlign w:val="center"/>
          </w:tcPr>
          <w:p w14:paraId="092CC0D5">
            <w:pPr>
              <w:spacing w:line="240" w:lineRule="auto"/>
              <w:jc w:val="left"/>
              <w:rPr>
                <w:rFonts w:ascii="仿宋" w:hAnsi="仿宋" w:cs="仿宋"/>
                <w:szCs w:val="32"/>
              </w:rPr>
            </w:pPr>
            <w:r>
              <w:rPr>
                <w:rFonts w:hint="eastAsia" w:ascii="仿宋" w:hAnsi="仿宋" w:cs="仿宋"/>
                <w:szCs w:val="32"/>
              </w:rPr>
              <w:t>客观分</w:t>
            </w:r>
          </w:p>
        </w:tc>
        <w:tc>
          <w:tcPr>
            <w:tcW w:w="1881" w:type="dxa"/>
          </w:tcPr>
          <w:p w14:paraId="0AA52F75">
            <w:pPr>
              <w:spacing w:line="240" w:lineRule="auto"/>
              <w:jc w:val="left"/>
              <w:outlineLvl w:val="0"/>
              <w:rPr>
                <w:rFonts w:ascii="仿宋" w:hAnsi="仿宋" w:cs="仿宋"/>
              </w:rPr>
            </w:pPr>
          </w:p>
        </w:tc>
      </w:tr>
      <w:tr w14:paraId="55023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8" w:type="dxa"/>
            <w:vAlign w:val="center"/>
          </w:tcPr>
          <w:p w14:paraId="5976F9E7">
            <w:pPr>
              <w:spacing w:line="240" w:lineRule="auto"/>
              <w:jc w:val="center"/>
              <w:rPr>
                <w:rFonts w:ascii="仿宋" w:hAnsi="仿宋" w:cs="仿宋"/>
                <w:szCs w:val="32"/>
              </w:rPr>
            </w:pPr>
            <w:r>
              <w:rPr>
                <w:rFonts w:hint="eastAsia" w:ascii="仿宋" w:hAnsi="仿宋" w:cs="仿宋"/>
                <w:szCs w:val="32"/>
              </w:rPr>
              <w:t>8</w:t>
            </w:r>
          </w:p>
        </w:tc>
        <w:tc>
          <w:tcPr>
            <w:tcW w:w="5255" w:type="dxa"/>
            <w:vAlign w:val="center"/>
          </w:tcPr>
          <w:p w14:paraId="6990E6DB">
            <w:pPr>
              <w:wordWrap w:val="0"/>
              <w:spacing w:line="240" w:lineRule="auto"/>
              <w:rPr>
                <w:rFonts w:ascii="仿宋" w:hAnsi="仿宋" w:cs="仿宋"/>
              </w:rPr>
            </w:pPr>
            <w:r>
              <w:rPr>
                <w:rFonts w:hint="eastAsia" w:ascii="仿宋" w:hAnsi="仿宋" w:cs="仿宋"/>
              </w:rPr>
              <w:t>系统设计方案</w:t>
            </w:r>
          </w:p>
          <w:p w14:paraId="437A2352">
            <w:pPr>
              <w:wordWrap w:val="0"/>
              <w:spacing w:line="240" w:lineRule="auto"/>
              <w:rPr>
                <w:rFonts w:ascii="仿宋" w:hAnsi="仿宋" w:cs="仿宋"/>
              </w:rPr>
            </w:pPr>
            <w:r>
              <w:rPr>
                <w:rFonts w:ascii="仿宋" w:hAnsi="仿宋" w:cs="仿宋"/>
              </w:rPr>
              <w:t>根据投标人</w:t>
            </w:r>
            <w:r>
              <w:rPr>
                <w:rFonts w:hint="eastAsia" w:ascii="仿宋" w:hAnsi="仿宋" w:cs="仿宋"/>
              </w:rPr>
              <w:t>所投产品针对本项目的定制改造</w:t>
            </w:r>
            <w:r>
              <w:rPr>
                <w:rFonts w:ascii="仿宋" w:hAnsi="仿宋" w:cs="仿宋"/>
              </w:rPr>
              <w:t>方案</w:t>
            </w:r>
            <w:r>
              <w:rPr>
                <w:rFonts w:hint="eastAsia" w:ascii="仿宋" w:hAnsi="仿宋" w:cs="仿宋"/>
              </w:rPr>
              <w:t>（包括系统需求分析</w:t>
            </w:r>
            <w:r>
              <w:rPr>
                <w:rFonts w:ascii="仿宋" w:hAnsi="仿宋" w:cs="仿宋"/>
              </w:rPr>
              <w:t>、</w:t>
            </w:r>
            <w:r>
              <w:rPr>
                <w:rFonts w:hint="eastAsia" w:ascii="仿宋" w:hAnsi="仿宋" w:cs="仿宋"/>
              </w:rPr>
              <w:t>系统总体架构</w:t>
            </w:r>
            <w:r>
              <w:rPr>
                <w:rFonts w:ascii="仿宋" w:hAnsi="仿宋" w:cs="仿宋"/>
              </w:rPr>
              <w:t>、</w:t>
            </w:r>
            <w:r>
              <w:rPr>
                <w:rFonts w:hint="eastAsia" w:ascii="仿宋" w:hAnsi="仿宋" w:cs="仿宋"/>
              </w:rPr>
              <w:t>网络架构设计、功能设计、硬件部署等）的</w:t>
            </w:r>
            <w:r>
              <w:rPr>
                <w:rFonts w:ascii="仿宋" w:hAnsi="仿宋" w:cs="仿宋"/>
              </w:rPr>
              <w:t>针对性、一致性、以及可行性进行评审打分。</w:t>
            </w:r>
          </w:p>
        </w:tc>
        <w:tc>
          <w:tcPr>
            <w:tcW w:w="796" w:type="dxa"/>
            <w:vAlign w:val="center"/>
          </w:tcPr>
          <w:p w14:paraId="6B934DD2">
            <w:pPr>
              <w:spacing w:line="240" w:lineRule="auto"/>
              <w:jc w:val="center"/>
              <w:rPr>
                <w:rFonts w:ascii="仿宋" w:hAnsi="仿宋" w:cs="仿宋"/>
                <w:szCs w:val="21"/>
              </w:rPr>
            </w:pPr>
            <w:r>
              <w:rPr>
                <w:rFonts w:hint="eastAsia" w:ascii="仿宋" w:hAnsi="仿宋" w:cs="仿宋"/>
                <w:szCs w:val="32"/>
              </w:rPr>
              <w:t>/</w:t>
            </w:r>
          </w:p>
        </w:tc>
        <w:tc>
          <w:tcPr>
            <w:tcW w:w="1107" w:type="dxa"/>
            <w:vAlign w:val="center"/>
          </w:tcPr>
          <w:p w14:paraId="18A02F5E">
            <w:pPr>
              <w:spacing w:line="240" w:lineRule="auto"/>
              <w:jc w:val="center"/>
              <w:rPr>
                <w:rFonts w:ascii="仿宋" w:hAnsi="仿宋" w:cs="仿宋"/>
                <w:szCs w:val="32"/>
              </w:rPr>
            </w:pPr>
            <w:r>
              <w:rPr>
                <w:rFonts w:hint="eastAsia" w:ascii="仿宋" w:hAnsi="仿宋" w:cs="仿宋"/>
                <w:szCs w:val="32"/>
              </w:rPr>
              <w:t>/</w:t>
            </w:r>
          </w:p>
        </w:tc>
        <w:tc>
          <w:tcPr>
            <w:tcW w:w="1881" w:type="dxa"/>
          </w:tcPr>
          <w:p w14:paraId="41126D9B">
            <w:pPr>
              <w:spacing w:line="240" w:lineRule="auto"/>
              <w:jc w:val="left"/>
              <w:outlineLvl w:val="0"/>
              <w:rPr>
                <w:rFonts w:ascii="仿宋" w:hAnsi="仿宋" w:cs="仿宋"/>
              </w:rPr>
            </w:pPr>
          </w:p>
        </w:tc>
      </w:tr>
      <w:tr w14:paraId="7BE2B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08" w:type="dxa"/>
            <w:vAlign w:val="center"/>
          </w:tcPr>
          <w:p w14:paraId="1BDE7E46">
            <w:pPr>
              <w:spacing w:line="240" w:lineRule="auto"/>
              <w:jc w:val="center"/>
              <w:rPr>
                <w:rFonts w:ascii="仿宋" w:hAnsi="仿宋" w:cs="仿宋"/>
                <w:szCs w:val="32"/>
              </w:rPr>
            </w:pPr>
            <w:r>
              <w:rPr>
                <w:rFonts w:hint="eastAsia" w:ascii="仿宋" w:hAnsi="仿宋" w:cs="仿宋"/>
                <w:szCs w:val="32"/>
              </w:rPr>
              <w:t>8.1</w:t>
            </w:r>
          </w:p>
        </w:tc>
        <w:tc>
          <w:tcPr>
            <w:tcW w:w="5255" w:type="dxa"/>
            <w:vAlign w:val="center"/>
          </w:tcPr>
          <w:p w14:paraId="69FA6A56">
            <w:pPr>
              <w:wordWrap w:val="0"/>
              <w:spacing w:line="240" w:lineRule="auto"/>
              <w:rPr>
                <w:rFonts w:ascii="仿宋" w:hAnsi="仿宋" w:cs="仿宋"/>
              </w:rPr>
            </w:pPr>
            <w:r>
              <w:rPr>
                <w:rFonts w:hint="eastAsia" w:ascii="仿宋" w:hAnsi="仿宋" w:cs="仿宋"/>
              </w:rPr>
              <w:t>系统需求分析（分值：3,2.5,2,1.5,1,0.5,0）</w:t>
            </w:r>
          </w:p>
        </w:tc>
        <w:tc>
          <w:tcPr>
            <w:tcW w:w="796" w:type="dxa"/>
            <w:vAlign w:val="center"/>
          </w:tcPr>
          <w:p w14:paraId="36D0DA60">
            <w:pPr>
              <w:jc w:val="center"/>
              <w:rPr>
                <w:rFonts w:ascii="仿宋" w:hAnsi="仿宋" w:cs="仿宋"/>
                <w:szCs w:val="21"/>
              </w:rPr>
            </w:pPr>
            <w:r>
              <w:rPr>
                <w:rFonts w:hint="eastAsia" w:ascii="宋体" w:hAnsi="宋体" w:cs="宋体"/>
                <w:szCs w:val="21"/>
              </w:rPr>
              <w:t>3</w:t>
            </w:r>
          </w:p>
        </w:tc>
        <w:tc>
          <w:tcPr>
            <w:tcW w:w="1107" w:type="dxa"/>
            <w:vAlign w:val="center"/>
          </w:tcPr>
          <w:p w14:paraId="12952C7D">
            <w:pPr>
              <w:spacing w:line="240" w:lineRule="auto"/>
              <w:jc w:val="center"/>
              <w:rPr>
                <w:rFonts w:ascii="仿宋" w:hAnsi="仿宋" w:cs="仿宋"/>
                <w:szCs w:val="32"/>
              </w:rPr>
            </w:pPr>
            <w:r>
              <w:rPr>
                <w:rFonts w:hint="eastAsia" w:ascii="仿宋" w:hAnsi="仿宋" w:cs="仿宋"/>
                <w:szCs w:val="32"/>
              </w:rPr>
              <w:t>主观分</w:t>
            </w:r>
          </w:p>
        </w:tc>
        <w:tc>
          <w:tcPr>
            <w:tcW w:w="1881" w:type="dxa"/>
          </w:tcPr>
          <w:p w14:paraId="3459B9E7">
            <w:pPr>
              <w:spacing w:line="240" w:lineRule="auto"/>
              <w:jc w:val="left"/>
              <w:outlineLvl w:val="0"/>
              <w:rPr>
                <w:rFonts w:ascii="仿宋" w:hAnsi="仿宋" w:cs="仿宋"/>
              </w:rPr>
            </w:pPr>
          </w:p>
        </w:tc>
      </w:tr>
      <w:tr w14:paraId="7179E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08" w:type="dxa"/>
            <w:vAlign w:val="center"/>
          </w:tcPr>
          <w:p w14:paraId="74E5FCAF">
            <w:pPr>
              <w:spacing w:line="240" w:lineRule="auto"/>
              <w:jc w:val="center"/>
              <w:rPr>
                <w:rFonts w:ascii="仿宋" w:hAnsi="仿宋" w:cs="仿宋"/>
                <w:szCs w:val="32"/>
              </w:rPr>
            </w:pPr>
            <w:r>
              <w:rPr>
                <w:rFonts w:hint="eastAsia" w:ascii="仿宋" w:hAnsi="仿宋" w:cs="仿宋"/>
                <w:szCs w:val="32"/>
              </w:rPr>
              <w:t>8.2</w:t>
            </w:r>
          </w:p>
        </w:tc>
        <w:tc>
          <w:tcPr>
            <w:tcW w:w="5255" w:type="dxa"/>
            <w:vAlign w:val="center"/>
          </w:tcPr>
          <w:p w14:paraId="4CE96E25">
            <w:pPr>
              <w:wordWrap w:val="0"/>
              <w:spacing w:line="240" w:lineRule="auto"/>
              <w:rPr>
                <w:rFonts w:ascii="仿宋" w:hAnsi="仿宋" w:cs="仿宋"/>
              </w:rPr>
            </w:pPr>
            <w:r>
              <w:rPr>
                <w:rFonts w:hint="eastAsia" w:ascii="仿宋" w:hAnsi="仿宋" w:cs="仿宋"/>
              </w:rPr>
              <w:t>系统总体架构（分值：2,1.5,1,0.5,0）</w:t>
            </w:r>
          </w:p>
        </w:tc>
        <w:tc>
          <w:tcPr>
            <w:tcW w:w="796" w:type="dxa"/>
            <w:vAlign w:val="center"/>
          </w:tcPr>
          <w:p w14:paraId="69271277">
            <w:pPr>
              <w:jc w:val="center"/>
              <w:rPr>
                <w:rFonts w:ascii="仿宋" w:hAnsi="仿宋" w:cs="仿宋"/>
                <w:szCs w:val="21"/>
              </w:rPr>
            </w:pPr>
            <w:r>
              <w:rPr>
                <w:rFonts w:hint="eastAsia" w:ascii="宋体" w:hAnsi="宋体" w:cs="宋体"/>
                <w:szCs w:val="21"/>
              </w:rPr>
              <w:t>2</w:t>
            </w:r>
          </w:p>
        </w:tc>
        <w:tc>
          <w:tcPr>
            <w:tcW w:w="1107" w:type="dxa"/>
            <w:vAlign w:val="center"/>
          </w:tcPr>
          <w:p w14:paraId="5A71F99B">
            <w:pPr>
              <w:spacing w:line="240" w:lineRule="auto"/>
              <w:jc w:val="center"/>
              <w:rPr>
                <w:rFonts w:ascii="仿宋" w:hAnsi="仿宋" w:cs="仿宋"/>
                <w:szCs w:val="32"/>
              </w:rPr>
            </w:pPr>
            <w:r>
              <w:rPr>
                <w:rFonts w:hint="eastAsia" w:ascii="仿宋" w:hAnsi="仿宋" w:cs="仿宋"/>
                <w:szCs w:val="32"/>
              </w:rPr>
              <w:t>主观分</w:t>
            </w:r>
          </w:p>
        </w:tc>
        <w:tc>
          <w:tcPr>
            <w:tcW w:w="1881" w:type="dxa"/>
          </w:tcPr>
          <w:p w14:paraId="6B76E8BD">
            <w:pPr>
              <w:spacing w:line="240" w:lineRule="auto"/>
              <w:jc w:val="left"/>
              <w:outlineLvl w:val="0"/>
              <w:rPr>
                <w:rFonts w:ascii="仿宋" w:hAnsi="仿宋" w:cs="仿宋"/>
              </w:rPr>
            </w:pPr>
          </w:p>
        </w:tc>
      </w:tr>
      <w:tr w14:paraId="4052D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08" w:type="dxa"/>
            <w:vAlign w:val="center"/>
          </w:tcPr>
          <w:p w14:paraId="0B0860F9">
            <w:pPr>
              <w:spacing w:line="240" w:lineRule="auto"/>
              <w:jc w:val="center"/>
              <w:rPr>
                <w:rFonts w:ascii="仿宋" w:hAnsi="仿宋" w:cs="仿宋"/>
                <w:szCs w:val="32"/>
              </w:rPr>
            </w:pPr>
            <w:r>
              <w:rPr>
                <w:rFonts w:hint="eastAsia" w:ascii="仿宋" w:hAnsi="仿宋" w:cs="仿宋"/>
                <w:szCs w:val="32"/>
              </w:rPr>
              <w:t>8.3</w:t>
            </w:r>
          </w:p>
        </w:tc>
        <w:tc>
          <w:tcPr>
            <w:tcW w:w="5255" w:type="dxa"/>
            <w:vAlign w:val="center"/>
          </w:tcPr>
          <w:p w14:paraId="6A562B7F">
            <w:pPr>
              <w:wordWrap w:val="0"/>
              <w:spacing w:line="240" w:lineRule="auto"/>
              <w:rPr>
                <w:rFonts w:ascii="仿宋" w:hAnsi="仿宋" w:cs="仿宋"/>
              </w:rPr>
            </w:pPr>
            <w:r>
              <w:rPr>
                <w:rFonts w:hint="eastAsia" w:ascii="仿宋" w:hAnsi="仿宋" w:cs="仿宋"/>
              </w:rPr>
              <w:t>网络架构设计（分值：2,1.5,1,0.5,0）</w:t>
            </w:r>
          </w:p>
        </w:tc>
        <w:tc>
          <w:tcPr>
            <w:tcW w:w="796" w:type="dxa"/>
            <w:vAlign w:val="center"/>
          </w:tcPr>
          <w:p w14:paraId="6EBB60EB">
            <w:pPr>
              <w:jc w:val="center"/>
              <w:rPr>
                <w:rFonts w:ascii="宋体" w:hAnsi="宋体" w:cs="宋体"/>
                <w:szCs w:val="21"/>
              </w:rPr>
            </w:pPr>
            <w:r>
              <w:rPr>
                <w:rFonts w:hint="eastAsia" w:ascii="宋体" w:hAnsi="宋体" w:cs="宋体"/>
                <w:szCs w:val="21"/>
              </w:rPr>
              <w:t>2</w:t>
            </w:r>
          </w:p>
        </w:tc>
        <w:tc>
          <w:tcPr>
            <w:tcW w:w="1107" w:type="dxa"/>
            <w:vAlign w:val="center"/>
          </w:tcPr>
          <w:p w14:paraId="0171FE9E">
            <w:pPr>
              <w:jc w:val="center"/>
              <w:rPr>
                <w:rFonts w:ascii="仿宋" w:hAnsi="仿宋" w:cs="仿宋"/>
                <w:szCs w:val="32"/>
              </w:rPr>
            </w:pPr>
            <w:r>
              <w:rPr>
                <w:rFonts w:hint="eastAsia" w:ascii="仿宋" w:hAnsi="仿宋" w:cs="仿宋"/>
                <w:szCs w:val="32"/>
              </w:rPr>
              <w:t>主观分</w:t>
            </w:r>
          </w:p>
        </w:tc>
        <w:tc>
          <w:tcPr>
            <w:tcW w:w="1881" w:type="dxa"/>
          </w:tcPr>
          <w:p w14:paraId="7FC27FB2">
            <w:pPr>
              <w:spacing w:line="240" w:lineRule="auto"/>
              <w:jc w:val="left"/>
              <w:outlineLvl w:val="0"/>
              <w:rPr>
                <w:rFonts w:ascii="仿宋" w:hAnsi="仿宋" w:cs="仿宋"/>
              </w:rPr>
            </w:pPr>
          </w:p>
        </w:tc>
      </w:tr>
      <w:tr w14:paraId="14DCE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08" w:type="dxa"/>
            <w:vAlign w:val="center"/>
          </w:tcPr>
          <w:p w14:paraId="3FC1A409">
            <w:pPr>
              <w:spacing w:line="240" w:lineRule="auto"/>
              <w:jc w:val="center"/>
              <w:rPr>
                <w:rFonts w:ascii="仿宋" w:hAnsi="仿宋" w:cs="仿宋"/>
                <w:szCs w:val="32"/>
              </w:rPr>
            </w:pPr>
            <w:r>
              <w:rPr>
                <w:rFonts w:hint="eastAsia" w:ascii="仿宋" w:hAnsi="仿宋" w:cs="仿宋"/>
                <w:szCs w:val="32"/>
              </w:rPr>
              <w:t>8.4</w:t>
            </w:r>
          </w:p>
        </w:tc>
        <w:tc>
          <w:tcPr>
            <w:tcW w:w="5255" w:type="dxa"/>
            <w:vAlign w:val="center"/>
          </w:tcPr>
          <w:p w14:paraId="24C12A37">
            <w:pPr>
              <w:wordWrap w:val="0"/>
              <w:spacing w:line="240" w:lineRule="auto"/>
              <w:rPr>
                <w:rFonts w:ascii="仿宋" w:hAnsi="仿宋" w:cs="仿宋"/>
              </w:rPr>
            </w:pPr>
            <w:r>
              <w:rPr>
                <w:rFonts w:hint="eastAsia" w:ascii="仿宋" w:hAnsi="仿宋" w:cs="仿宋"/>
              </w:rPr>
              <w:t>功能设计（分值：2,1.5,1,0.5,0）</w:t>
            </w:r>
          </w:p>
        </w:tc>
        <w:tc>
          <w:tcPr>
            <w:tcW w:w="796" w:type="dxa"/>
            <w:vAlign w:val="center"/>
          </w:tcPr>
          <w:p w14:paraId="363139F9">
            <w:pPr>
              <w:jc w:val="center"/>
              <w:rPr>
                <w:rFonts w:ascii="宋体" w:hAnsi="宋体" w:cs="宋体"/>
                <w:szCs w:val="21"/>
              </w:rPr>
            </w:pPr>
            <w:r>
              <w:rPr>
                <w:rFonts w:hint="eastAsia" w:ascii="宋体" w:hAnsi="宋体" w:cs="宋体"/>
                <w:szCs w:val="21"/>
              </w:rPr>
              <w:t>2</w:t>
            </w:r>
          </w:p>
        </w:tc>
        <w:tc>
          <w:tcPr>
            <w:tcW w:w="1107" w:type="dxa"/>
            <w:vAlign w:val="center"/>
          </w:tcPr>
          <w:p w14:paraId="5C54D5ED">
            <w:pPr>
              <w:jc w:val="center"/>
              <w:rPr>
                <w:rFonts w:ascii="仿宋" w:hAnsi="仿宋" w:cs="仿宋"/>
                <w:szCs w:val="32"/>
              </w:rPr>
            </w:pPr>
            <w:r>
              <w:rPr>
                <w:rFonts w:hint="eastAsia" w:ascii="仿宋" w:hAnsi="仿宋" w:cs="仿宋"/>
                <w:szCs w:val="32"/>
              </w:rPr>
              <w:t>主观分</w:t>
            </w:r>
          </w:p>
        </w:tc>
        <w:tc>
          <w:tcPr>
            <w:tcW w:w="1881" w:type="dxa"/>
          </w:tcPr>
          <w:p w14:paraId="32886890">
            <w:pPr>
              <w:spacing w:line="240" w:lineRule="auto"/>
              <w:jc w:val="left"/>
              <w:outlineLvl w:val="0"/>
              <w:rPr>
                <w:rFonts w:ascii="仿宋" w:hAnsi="仿宋" w:cs="仿宋"/>
              </w:rPr>
            </w:pPr>
          </w:p>
        </w:tc>
      </w:tr>
      <w:tr w14:paraId="4001F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08" w:type="dxa"/>
            <w:vAlign w:val="center"/>
          </w:tcPr>
          <w:p w14:paraId="421D536C">
            <w:pPr>
              <w:spacing w:line="240" w:lineRule="auto"/>
              <w:jc w:val="center"/>
              <w:rPr>
                <w:rFonts w:ascii="仿宋" w:hAnsi="仿宋" w:cs="仿宋"/>
                <w:szCs w:val="32"/>
              </w:rPr>
            </w:pPr>
            <w:r>
              <w:rPr>
                <w:rFonts w:hint="eastAsia" w:ascii="仿宋" w:hAnsi="仿宋" w:cs="仿宋"/>
                <w:szCs w:val="32"/>
              </w:rPr>
              <w:t>8.5</w:t>
            </w:r>
          </w:p>
        </w:tc>
        <w:tc>
          <w:tcPr>
            <w:tcW w:w="5255" w:type="dxa"/>
            <w:vAlign w:val="center"/>
          </w:tcPr>
          <w:p w14:paraId="50F9C1BA">
            <w:pPr>
              <w:wordWrap w:val="0"/>
              <w:spacing w:line="240" w:lineRule="auto"/>
              <w:rPr>
                <w:rFonts w:ascii="仿宋" w:hAnsi="仿宋" w:cs="仿宋"/>
              </w:rPr>
            </w:pPr>
            <w:r>
              <w:rPr>
                <w:rFonts w:hint="eastAsia" w:ascii="仿宋" w:hAnsi="仿宋" w:cs="仿宋"/>
              </w:rPr>
              <w:t>硬件部署（分值：3,2.5,2,1.5,1,0.5,0）</w:t>
            </w:r>
          </w:p>
        </w:tc>
        <w:tc>
          <w:tcPr>
            <w:tcW w:w="796" w:type="dxa"/>
            <w:vAlign w:val="center"/>
          </w:tcPr>
          <w:p w14:paraId="2C896587">
            <w:pPr>
              <w:jc w:val="center"/>
              <w:rPr>
                <w:rFonts w:ascii="宋体" w:hAnsi="宋体" w:cs="宋体"/>
                <w:szCs w:val="21"/>
              </w:rPr>
            </w:pPr>
            <w:r>
              <w:rPr>
                <w:rFonts w:hint="eastAsia" w:ascii="宋体" w:hAnsi="宋体" w:cs="宋体"/>
                <w:szCs w:val="21"/>
              </w:rPr>
              <w:t>3</w:t>
            </w:r>
          </w:p>
        </w:tc>
        <w:tc>
          <w:tcPr>
            <w:tcW w:w="1107" w:type="dxa"/>
            <w:vAlign w:val="center"/>
          </w:tcPr>
          <w:p w14:paraId="28F80FD1">
            <w:pPr>
              <w:jc w:val="center"/>
              <w:rPr>
                <w:rFonts w:ascii="仿宋" w:hAnsi="仿宋" w:cs="仿宋"/>
                <w:szCs w:val="32"/>
              </w:rPr>
            </w:pPr>
            <w:r>
              <w:rPr>
                <w:rFonts w:hint="eastAsia" w:ascii="仿宋" w:hAnsi="仿宋" w:cs="仿宋"/>
                <w:szCs w:val="32"/>
              </w:rPr>
              <w:t>主观分</w:t>
            </w:r>
          </w:p>
        </w:tc>
        <w:tc>
          <w:tcPr>
            <w:tcW w:w="1881" w:type="dxa"/>
          </w:tcPr>
          <w:p w14:paraId="5D905D7C">
            <w:pPr>
              <w:spacing w:line="240" w:lineRule="auto"/>
              <w:jc w:val="left"/>
              <w:outlineLvl w:val="0"/>
              <w:rPr>
                <w:rFonts w:ascii="仿宋" w:hAnsi="仿宋" w:cs="仿宋"/>
              </w:rPr>
            </w:pPr>
          </w:p>
        </w:tc>
      </w:tr>
      <w:tr w14:paraId="7528F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08" w:type="dxa"/>
            <w:vAlign w:val="center"/>
          </w:tcPr>
          <w:p w14:paraId="0267F094">
            <w:pPr>
              <w:spacing w:line="240" w:lineRule="auto"/>
              <w:jc w:val="center"/>
              <w:rPr>
                <w:rFonts w:ascii="仿宋" w:hAnsi="仿宋" w:cs="仿宋"/>
                <w:szCs w:val="32"/>
              </w:rPr>
            </w:pPr>
            <w:r>
              <w:rPr>
                <w:rFonts w:hint="eastAsia" w:ascii="仿宋" w:hAnsi="仿宋" w:cs="仿宋"/>
                <w:szCs w:val="32"/>
              </w:rPr>
              <w:t>9</w:t>
            </w:r>
          </w:p>
        </w:tc>
        <w:tc>
          <w:tcPr>
            <w:tcW w:w="5255" w:type="dxa"/>
            <w:vAlign w:val="center"/>
          </w:tcPr>
          <w:p w14:paraId="4C847A0D">
            <w:pPr>
              <w:wordWrap w:val="0"/>
              <w:spacing w:line="240" w:lineRule="auto"/>
              <w:rPr>
                <w:rFonts w:ascii="仿宋" w:hAnsi="仿宋" w:cs="仿宋"/>
              </w:rPr>
            </w:pPr>
            <w:r>
              <w:rPr>
                <w:rFonts w:hint="eastAsia" w:ascii="仿宋" w:hAnsi="仿宋" w:cs="仿宋"/>
              </w:rPr>
              <w:t>售后服务及培训</w:t>
            </w:r>
          </w:p>
          <w:p w14:paraId="0D941574">
            <w:pPr>
              <w:wordWrap w:val="0"/>
              <w:spacing w:line="240" w:lineRule="auto"/>
              <w:rPr>
                <w:rFonts w:ascii="仿宋" w:hAnsi="仿宋" w:cs="仿宋"/>
              </w:rPr>
            </w:pPr>
            <w:r>
              <w:rPr>
                <w:rFonts w:hint="eastAsia" w:ascii="仿宋" w:hAnsi="仿宋" w:cs="仿宋"/>
              </w:rPr>
              <w:t>供应商提供的售后服务及培训方案至少包括：①售后服务承诺②培训计划③培训课程内容④保证培训成效的措施⑤为保证后期项目的正常运行，售后服务团队在接到反馈后30分钟内响应，对于无法通过远程技术支持方式解决的，工程师在1小时内赶到现场进行指导。结合本项目各供应商具体实际情况及对本项目的理解，供应商单位根据自身情况进行分析及制作方案，方案详实且理解准确，完整、完全符合项目实际需求及项目情况得5分,以上内容每缺一项扣1分，每有一处缺陷或不完善扣0.5分，扣完为止。</w:t>
            </w:r>
          </w:p>
        </w:tc>
        <w:tc>
          <w:tcPr>
            <w:tcW w:w="796" w:type="dxa"/>
            <w:vAlign w:val="center"/>
          </w:tcPr>
          <w:p w14:paraId="7D333852">
            <w:pPr>
              <w:jc w:val="center"/>
              <w:rPr>
                <w:rFonts w:ascii="宋体" w:hAnsi="宋体" w:cs="宋体"/>
                <w:szCs w:val="21"/>
              </w:rPr>
            </w:pPr>
            <w:r>
              <w:rPr>
                <w:rFonts w:hint="eastAsia" w:ascii="宋体" w:hAnsi="宋体" w:cs="宋体"/>
                <w:szCs w:val="21"/>
              </w:rPr>
              <w:t>5</w:t>
            </w:r>
          </w:p>
        </w:tc>
        <w:tc>
          <w:tcPr>
            <w:tcW w:w="1107" w:type="dxa"/>
            <w:vAlign w:val="center"/>
          </w:tcPr>
          <w:p w14:paraId="705138B3">
            <w:pPr>
              <w:jc w:val="center"/>
              <w:rPr>
                <w:rFonts w:ascii="仿宋" w:hAnsi="仿宋" w:cs="仿宋"/>
                <w:szCs w:val="32"/>
              </w:rPr>
            </w:pPr>
            <w:r>
              <w:rPr>
                <w:rFonts w:hint="eastAsia" w:ascii="仿宋" w:hAnsi="仿宋" w:cs="仿宋"/>
                <w:szCs w:val="32"/>
              </w:rPr>
              <w:t>客观分</w:t>
            </w:r>
          </w:p>
        </w:tc>
        <w:tc>
          <w:tcPr>
            <w:tcW w:w="1881" w:type="dxa"/>
          </w:tcPr>
          <w:p w14:paraId="2830A3AE">
            <w:pPr>
              <w:spacing w:line="240" w:lineRule="auto"/>
              <w:jc w:val="left"/>
              <w:outlineLvl w:val="0"/>
              <w:rPr>
                <w:rFonts w:ascii="仿宋" w:hAnsi="仿宋" w:cs="仿宋"/>
              </w:rPr>
            </w:pPr>
          </w:p>
        </w:tc>
      </w:tr>
      <w:tr w14:paraId="73AEA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08" w:type="dxa"/>
            <w:vAlign w:val="center"/>
          </w:tcPr>
          <w:p w14:paraId="09D6BBD5">
            <w:pPr>
              <w:spacing w:line="240" w:lineRule="auto"/>
              <w:jc w:val="center"/>
              <w:rPr>
                <w:rFonts w:ascii="仿宋" w:hAnsi="仿宋" w:cs="仿宋"/>
                <w:szCs w:val="32"/>
              </w:rPr>
            </w:pPr>
            <w:r>
              <w:rPr>
                <w:rFonts w:hint="eastAsia" w:ascii="仿宋" w:hAnsi="仿宋" w:cs="仿宋"/>
                <w:szCs w:val="32"/>
              </w:rPr>
              <w:t>10</w:t>
            </w:r>
          </w:p>
        </w:tc>
        <w:tc>
          <w:tcPr>
            <w:tcW w:w="5255" w:type="dxa"/>
            <w:vAlign w:val="center"/>
          </w:tcPr>
          <w:p w14:paraId="2F2C3152">
            <w:pPr>
              <w:wordWrap w:val="0"/>
              <w:spacing w:line="240" w:lineRule="auto"/>
              <w:rPr>
                <w:rFonts w:ascii="仿宋" w:hAnsi="仿宋" w:cs="仿宋"/>
              </w:rPr>
            </w:pPr>
            <w:r>
              <w:rPr>
                <w:rFonts w:hint="eastAsia" w:ascii="仿宋" w:hAnsi="仿宋" w:cs="仿宋"/>
              </w:rPr>
              <w:t>系统演示。</w:t>
            </w:r>
          </w:p>
          <w:p w14:paraId="54EEC945">
            <w:pPr>
              <w:wordWrap w:val="0"/>
              <w:spacing w:line="240" w:lineRule="auto"/>
              <w:rPr>
                <w:rFonts w:ascii="仿宋" w:hAnsi="仿宋" w:cs="仿宋"/>
                <w:b/>
                <w:bCs/>
              </w:rPr>
            </w:pPr>
            <w:r>
              <w:rPr>
                <w:rFonts w:hint="eastAsia" w:ascii="仿宋" w:hAnsi="仿宋" w:cs="仿宋"/>
                <w:b/>
                <w:bCs/>
              </w:rPr>
              <w:t>演示必须用线上成熟系统，原型或PPT等替代不得分，评标委员会可根据各投标人演示的各项功能情况进行评审。</w:t>
            </w:r>
          </w:p>
          <w:p w14:paraId="707E0B36">
            <w:pPr>
              <w:wordWrap w:val="0"/>
              <w:spacing w:line="240" w:lineRule="auto"/>
              <w:rPr>
                <w:rFonts w:ascii="仿宋" w:hAnsi="仿宋" w:cs="仿宋"/>
                <w:b/>
                <w:bCs/>
              </w:rPr>
            </w:pPr>
            <w:r>
              <w:rPr>
                <w:rFonts w:hint="eastAsia" w:ascii="仿宋" w:hAnsi="仿宋" w:cs="仿宋"/>
                <w:b/>
                <w:bCs/>
              </w:rPr>
              <w:t>演示设备：演示所需设备由投标人自行准备。</w:t>
            </w:r>
          </w:p>
          <w:p w14:paraId="7870FC78">
            <w:pPr>
              <w:wordWrap w:val="0"/>
              <w:spacing w:line="240" w:lineRule="auto"/>
              <w:rPr>
                <w:rFonts w:ascii="仿宋" w:hAnsi="仿宋" w:cs="仿宋"/>
              </w:rPr>
            </w:pPr>
            <w:r>
              <w:rPr>
                <w:rFonts w:hint="eastAsia" w:ascii="仿宋" w:hAnsi="仿宋" w:cs="仿宋"/>
                <w:b/>
                <w:bCs/>
              </w:rPr>
              <w:t>演示时间：每个投标人演示开始前的调试准备时间不超过15分钟，演示时间不超过30分钟，不包含评委提问解答时间。</w:t>
            </w:r>
          </w:p>
        </w:tc>
        <w:tc>
          <w:tcPr>
            <w:tcW w:w="796" w:type="dxa"/>
            <w:vAlign w:val="center"/>
          </w:tcPr>
          <w:p w14:paraId="7F67170E">
            <w:pPr>
              <w:spacing w:line="240" w:lineRule="auto"/>
              <w:jc w:val="center"/>
              <w:rPr>
                <w:rFonts w:ascii="仿宋" w:hAnsi="仿宋" w:cs="仿宋"/>
                <w:szCs w:val="32"/>
              </w:rPr>
            </w:pPr>
            <w:r>
              <w:rPr>
                <w:rFonts w:hint="eastAsia" w:ascii="仿宋" w:hAnsi="仿宋" w:cs="仿宋"/>
                <w:szCs w:val="32"/>
              </w:rPr>
              <w:t>/</w:t>
            </w:r>
          </w:p>
        </w:tc>
        <w:tc>
          <w:tcPr>
            <w:tcW w:w="1107" w:type="dxa"/>
            <w:vAlign w:val="center"/>
          </w:tcPr>
          <w:p w14:paraId="4C1AD2F3">
            <w:pPr>
              <w:spacing w:line="240" w:lineRule="auto"/>
              <w:jc w:val="center"/>
              <w:rPr>
                <w:rFonts w:ascii="仿宋" w:hAnsi="仿宋" w:cs="仿宋"/>
                <w:szCs w:val="32"/>
              </w:rPr>
            </w:pPr>
            <w:r>
              <w:rPr>
                <w:rFonts w:hint="eastAsia" w:ascii="仿宋" w:hAnsi="仿宋" w:cs="仿宋"/>
                <w:szCs w:val="32"/>
              </w:rPr>
              <w:t>/</w:t>
            </w:r>
          </w:p>
        </w:tc>
        <w:tc>
          <w:tcPr>
            <w:tcW w:w="1881" w:type="dxa"/>
          </w:tcPr>
          <w:p w14:paraId="275B9A49">
            <w:pPr>
              <w:spacing w:line="240" w:lineRule="auto"/>
              <w:jc w:val="left"/>
              <w:outlineLvl w:val="0"/>
              <w:rPr>
                <w:rFonts w:ascii="仿宋" w:hAnsi="仿宋" w:cs="仿宋"/>
              </w:rPr>
            </w:pPr>
          </w:p>
        </w:tc>
      </w:tr>
      <w:tr w14:paraId="71A17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08" w:type="dxa"/>
            <w:vAlign w:val="center"/>
          </w:tcPr>
          <w:p w14:paraId="12B039CA">
            <w:pPr>
              <w:spacing w:line="240" w:lineRule="auto"/>
              <w:jc w:val="center"/>
              <w:rPr>
                <w:rFonts w:ascii="仿宋" w:hAnsi="仿宋" w:cs="仿宋"/>
                <w:szCs w:val="32"/>
              </w:rPr>
            </w:pPr>
            <w:r>
              <w:rPr>
                <w:rFonts w:hint="eastAsia" w:ascii="仿宋" w:hAnsi="仿宋" w:cs="仿宋"/>
                <w:szCs w:val="32"/>
              </w:rPr>
              <w:t>10.1</w:t>
            </w:r>
          </w:p>
        </w:tc>
        <w:tc>
          <w:tcPr>
            <w:tcW w:w="5255" w:type="dxa"/>
            <w:vAlign w:val="center"/>
          </w:tcPr>
          <w:p w14:paraId="615B0952">
            <w:pPr>
              <w:wordWrap w:val="0"/>
              <w:outlineLvl w:val="0"/>
              <w:rPr>
                <w:rFonts w:ascii="宋体" w:hAnsi="宋体" w:cs="宋体"/>
                <w:szCs w:val="21"/>
              </w:rPr>
            </w:pPr>
            <w:r>
              <w:rPr>
                <w:rFonts w:hint="eastAsia" w:ascii="宋体" w:hAnsi="宋体" w:cs="宋体"/>
                <w:szCs w:val="21"/>
              </w:rPr>
              <w:t>支持学生学习知识图谱时,系统支持自动推荐知识点百科介绍、开放课、期刊、图书、视频、文档、音频、链接、图片等多种系统自带的知识点扩展资源，无需教师手动关联，并支持学生自主换选一批推荐资源。（分值：</w:t>
            </w:r>
            <w:r>
              <w:rPr>
                <w:rFonts w:ascii="宋体" w:hAnsi="宋体" w:cs="宋体"/>
                <w:szCs w:val="21"/>
              </w:rPr>
              <w:t>2</w:t>
            </w:r>
            <w:r>
              <w:rPr>
                <w:rFonts w:hint="eastAsia" w:ascii="宋体" w:hAnsi="宋体" w:cs="宋体"/>
                <w:szCs w:val="21"/>
              </w:rPr>
              <w:t>，1</w:t>
            </w:r>
            <w:r>
              <w:rPr>
                <w:rFonts w:ascii="宋体" w:hAnsi="宋体" w:cs="宋体"/>
                <w:szCs w:val="21"/>
              </w:rPr>
              <w:t>.5</w:t>
            </w:r>
            <w:r>
              <w:rPr>
                <w:rFonts w:hint="eastAsia" w:ascii="宋体" w:hAnsi="宋体" w:cs="宋体"/>
                <w:szCs w:val="21"/>
              </w:rPr>
              <w:t>，1，0</w:t>
            </w:r>
            <w:r>
              <w:rPr>
                <w:rFonts w:ascii="宋体" w:hAnsi="宋体" w:cs="宋体"/>
                <w:szCs w:val="21"/>
              </w:rPr>
              <w:t>.5</w:t>
            </w:r>
            <w:r>
              <w:rPr>
                <w:rFonts w:hint="eastAsia" w:ascii="宋体" w:hAnsi="宋体" w:cs="宋体"/>
                <w:szCs w:val="21"/>
              </w:rPr>
              <w:t>，0）</w:t>
            </w:r>
          </w:p>
        </w:tc>
        <w:tc>
          <w:tcPr>
            <w:tcW w:w="796" w:type="dxa"/>
            <w:vAlign w:val="center"/>
          </w:tcPr>
          <w:p w14:paraId="0B8CEDA5">
            <w:pPr>
              <w:spacing w:line="240" w:lineRule="auto"/>
              <w:jc w:val="center"/>
              <w:rPr>
                <w:rFonts w:ascii="仿宋" w:hAnsi="仿宋" w:cs="仿宋"/>
                <w:szCs w:val="32"/>
              </w:rPr>
            </w:pPr>
            <w:r>
              <w:rPr>
                <w:rFonts w:ascii="仿宋" w:hAnsi="仿宋" w:cs="仿宋"/>
                <w:szCs w:val="32"/>
              </w:rPr>
              <w:t>2</w:t>
            </w:r>
          </w:p>
        </w:tc>
        <w:tc>
          <w:tcPr>
            <w:tcW w:w="1107" w:type="dxa"/>
            <w:vAlign w:val="center"/>
          </w:tcPr>
          <w:p w14:paraId="19D5E7DC">
            <w:pPr>
              <w:spacing w:line="240" w:lineRule="auto"/>
              <w:jc w:val="center"/>
              <w:rPr>
                <w:rFonts w:ascii="仿宋" w:hAnsi="仿宋" w:cs="仿宋"/>
                <w:szCs w:val="32"/>
              </w:rPr>
            </w:pPr>
            <w:r>
              <w:rPr>
                <w:rFonts w:hint="eastAsia" w:ascii="仿宋" w:hAnsi="仿宋" w:cs="仿宋"/>
                <w:szCs w:val="32"/>
              </w:rPr>
              <w:t>主观分</w:t>
            </w:r>
          </w:p>
        </w:tc>
        <w:tc>
          <w:tcPr>
            <w:tcW w:w="1881" w:type="dxa"/>
          </w:tcPr>
          <w:p w14:paraId="0C48A395">
            <w:pPr>
              <w:spacing w:line="240" w:lineRule="auto"/>
              <w:jc w:val="left"/>
              <w:outlineLvl w:val="0"/>
              <w:rPr>
                <w:rFonts w:ascii="仿宋" w:hAnsi="仿宋" w:cs="仿宋"/>
              </w:rPr>
            </w:pPr>
          </w:p>
        </w:tc>
      </w:tr>
      <w:tr w14:paraId="1824B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08" w:type="dxa"/>
            <w:vAlign w:val="center"/>
          </w:tcPr>
          <w:p w14:paraId="58FCA025">
            <w:pPr>
              <w:spacing w:line="240" w:lineRule="auto"/>
              <w:jc w:val="center"/>
              <w:rPr>
                <w:rFonts w:ascii="仿宋" w:hAnsi="仿宋" w:cs="仿宋"/>
                <w:szCs w:val="32"/>
              </w:rPr>
            </w:pPr>
            <w:r>
              <w:rPr>
                <w:rFonts w:hint="eastAsia" w:ascii="仿宋" w:hAnsi="仿宋" w:cs="仿宋"/>
                <w:szCs w:val="32"/>
              </w:rPr>
              <w:t>10.2</w:t>
            </w:r>
          </w:p>
        </w:tc>
        <w:tc>
          <w:tcPr>
            <w:tcW w:w="5255" w:type="dxa"/>
            <w:vAlign w:val="center"/>
          </w:tcPr>
          <w:p w14:paraId="4CBD45FC">
            <w:pPr>
              <w:wordWrap w:val="0"/>
              <w:outlineLvl w:val="0"/>
              <w:rPr>
                <w:rFonts w:ascii="宋体" w:hAnsi="宋体" w:cs="宋体"/>
                <w:szCs w:val="21"/>
              </w:rPr>
            </w:pPr>
            <w:r>
              <w:rPr>
                <w:rFonts w:hint="eastAsia" w:ascii="宋体" w:hAnsi="宋体" w:cs="宋体"/>
                <w:szCs w:val="21"/>
              </w:rPr>
              <w:t>支持题库建设时，可以直接从教学平台建设的网络课程中的题库板块中引用试题。（分值：</w:t>
            </w:r>
            <w:r>
              <w:rPr>
                <w:rFonts w:ascii="宋体" w:hAnsi="宋体" w:cs="宋体"/>
                <w:szCs w:val="21"/>
              </w:rPr>
              <w:t>2</w:t>
            </w:r>
            <w:r>
              <w:rPr>
                <w:rFonts w:hint="eastAsia" w:ascii="宋体" w:hAnsi="宋体" w:cs="宋体"/>
                <w:szCs w:val="21"/>
              </w:rPr>
              <w:t>，1</w:t>
            </w:r>
            <w:r>
              <w:rPr>
                <w:rFonts w:ascii="宋体" w:hAnsi="宋体" w:cs="宋体"/>
                <w:szCs w:val="21"/>
              </w:rPr>
              <w:t>.5</w:t>
            </w:r>
            <w:r>
              <w:rPr>
                <w:rFonts w:hint="eastAsia" w:ascii="宋体" w:hAnsi="宋体" w:cs="宋体"/>
                <w:szCs w:val="21"/>
              </w:rPr>
              <w:t>，1，0</w:t>
            </w:r>
            <w:r>
              <w:rPr>
                <w:rFonts w:ascii="宋体" w:hAnsi="宋体" w:cs="宋体"/>
                <w:szCs w:val="21"/>
              </w:rPr>
              <w:t>.5</w:t>
            </w:r>
            <w:r>
              <w:rPr>
                <w:rFonts w:hint="eastAsia" w:ascii="宋体" w:hAnsi="宋体" w:cs="宋体"/>
                <w:szCs w:val="21"/>
              </w:rPr>
              <w:t>，0）</w:t>
            </w:r>
          </w:p>
        </w:tc>
        <w:tc>
          <w:tcPr>
            <w:tcW w:w="796" w:type="dxa"/>
            <w:vAlign w:val="center"/>
          </w:tcPr>
          <w:p w14:paraId="54BBC6E2">
            <w:pPr>
              <w:spacing w:line="240" w:lineRule="auto"/>
              <w:jc w:val="center"/>
              <w:rPr>
                <w:rFonts w:ascii="仿宋" w:hAnsi="仿宋" w:cs="仿宋"/>
                <w:szCs w:val="32"/>
              </w:rPr>
            </w:pPr>
            <w:r>
              <w:rPr>
                <w:rFonts w:ascii="仿宋" w:hAnsi="仿宋" w:cs="仿宋"/>
                <w:szCs w:val="32"/>
              </w:rPr>
              <w:t>2</w:t>
            </w:r>
          </w:p>
        </w:tc>
        <w:tc>
          <w:tcPr>
            <w:tcW w:w="1107" w:type="dxa"/>
            <w:vAlign w:val="center"/>
          </w:tcPr>
          <w:p w14:paraId="66BE8EBD">
            <w:pPr>
              <w:spacing w:line="240" w:lineRule="auto"/>
              <w:jc w:val="center"/>
              <w:rPr>
                <w:rFonts w:ascii="仿宋" w:hAnsi="仿宋" w:cs="仿宋"/>
                <w:szCs w:val="32"/>
              </w:rPr>
            </w:pPr>
            <w:r>
              <w:rPr>
                <w:rFonts w:hint="eastAsia" w:ascii="仿宋" w:hAnsi="仿宋" w:cs="仿宋"/>
                <w:szCs w:val="32"/>
              </w:rPr>
              <w:t>主观分</w:t>
            </w:r>
          </w:p>
        </w:tc>
        <w:tc>
          <w:tcPr>
            <w:tcW w:w="1881" w:type="dxa"/>
          </w:tcPr>
          <w:p w14:paraId="7FB64D0C">
            <w:pPr>
              <w:spacing w:line="240" w:lineRule="auto"/>
              <w:jc w:val="left"/>
              <w:outlineLvl w:val="0"/>
              <w:rPr>
                <w:rFonts w:ascii="仿宋" w:hAnsi="仿宋" w:cs="仿宋"/>
              </w:rPr>
            </w:pPr>
          </w:p>
        </w:tc>
      </w:tr>
      <w:tr w14:paraId="29A33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08" w:type="dxa"/>
            <w:vAlign w:val="center"/>
          </w:tcPr>
          <w:p w14:paraId="6896DAAD">
            <w:pPr>
              <w:spacing w:line="240" w:lineRule="auto"/>
              <w:jc w:val="center"/>
              <w:rPr>
                <w:rFonts w:ascii="仿宋" w:hAnsi="仿宋" w:cs="仿宋"/>
                <w:szCs w:val="32"/>
              </w:rPr>
            </w:pPr>
            <w:r>
              <w:rPr>
                <w:rFonts w:hint="eastAsia" w:ascii="仿宋" w:hAnsi="仿宋" w:cs="仿宋"/>
                <w:szCs w:val="32"/>
              </w:rPr>
              <w:t>10.3</w:t>
            </w:r>
          </w:p>
        </w:tc>
        <w:tc>
          <w:tcPr>
            <w:tcW w:w="5255" w:type="dxa"/>
            <w:vAlign w:val="center"/>
          </w:tcPr>
          <w:p w14:paraId="2D2A5C94">
            <w:pPr>
              <w:wordWrap w:val="0"/>
              <w:outlineLvl w:val="0"/>
              <w:rPr>
                <w:rFonts w:ascii="宋体" w:hAnsi="宋体" w:cs="宋体"/>
                <w:szCs w:val="21"/>
              </w:rPr>
            </w:pPr>
            <w:r>
              <w:rPr>
                <w:rFonts w:hint="eastAsia" w:ascii="宋体" w:hAnsi="宋体" w:cs="宋体"/>
              </w:rPr>
              <w:t>支持</w:t>
            </w:r>
            <w:r>
              <w:rPr>
                <w:rFonts w:ascii="宋体" w:hAnsi="宋体" w:cs="宋体"/>
              </w:rPr>
              <w:t>设置好组卷逻辑之后，可以从指定的题库中按照设置的组卷逻辑进行随机抽题组卷，每次组卷数量上限不得低于20套，支持按知识点、文件夹、题型、难易度等多维度组合抽题组卷，支持设置组卷的题目重复率，避免抽取到大量重复题目</w:t>
            </w:r>
            <w:r>
              <w:rPr>
                <w:rFonts w:hint="eastAsia" w:ascii="宋体" w:hAnsi="宋体" w:cs="宋体"/>
                <w:szCs w:val="21"/>
              </w:rPr>
              <w:t>。（分值：</w:t>
            </w:r>
            <w:r>
              <w:rPr>
                <w:rFonts w:ascii="宋体" w:hAnsi="宋体" w:cs="宋体"/>
                <w:szCs w:val="21"/>
              </w:rPr>
              <w:t>2</w:t>
            </w:r>
            <w:r>
              <w:rPr>
                <w:rFonts w:hint="eastAsia" w:ascii="宋体" w:hAnsi="宋体" w:cs="宋体"/>
                <w:szCs w:val="21"/>
              </w:rPr>
              <w:t>，1</w:t>
            </w:r>
            <w:r>
              <w:rPr>
                <w:rFonts w:ascii="宋体" w:hAnsi="宋体" w:cs="宋体"/>
                <w:szCs w:val="21"/>
              </w:rPr>
              <w:t>.5</w:t>
            </w:r>
            <w:r>
              <w:rPr>
                <w:rFonts w:hint="eastAsia" w:ascii="宋体" w:hAnsi="宋体" w:cs="宋体"/>
                <w:szCs w:val="21"/>
              </w:rPr>
              <w:t>，1，0</w:t>
            </w:r>
            <w:r>
              <w:rPr>
                <w:rFonts w:ascii="宋体" w:hAnsi="宋体" w:cs="宋体"/>
                <w:szCs w:val="21"/>
              </w:rPr>
              <w:t>.5</w:t>
            </w:r>
            <w:r>
              <w:rPr>
                <w:rFonts w:hint="eastAsia" w:ascii="宋体" w:hAnsi="宋体" w:cs="宋体"/>
                <w:szCs w:val="21"/>
              </w:rPr>
              <w:t>，0）</w:t>
            </w:r>
          </w:p>
        </w:tc>
        <w:tc>
          <w:tcPr>
            <w:tcW w:w="796" w:type="dxa"/>
            <w:vAlign w:val="center"/>
          </w:tcPr>
          <w:p w14:paraId="5A4A6EB5">
            <w:pPr>
              <w:spacing w:line="240" w:lineRule="auto"/>
              <w:jc w:val="center"/>
              <w:rPr>
                <w:rFonts w:ascii="仿宋" w:hAnsi="仿宋" w:cs="仿宋"/>
                <w:szCs w:val="32"/>
              </w:rPr>
            </w:pPr>
            <w:r>
              <w:rPr>
                <w:rFonts w:ascii="仿宋" w:hAnsi="仿宋" w:cs="仿宋"/>
                <w:szCs w:val="32"/>
              </w:rPr>
              <w:t>2</w:t>
            </w:r>
          </w:p>
        </w:tc>
        <w:tc>
          <w:tcPr>
            <w:tcW w:w="1107" w:type="dxa"/>
            <w:vAlign w:val="center"/>
          </w:tcPr>
          <w:p w14:paraId="604DD4C0">
            <w:pPr>
              <w:spacing w:line="240" w:lineRule="auto"/>
              <w:jc w:val="center"/>
              <w:rPr>
                <w:rFonts w:ascii="仿宋" w:hAnsi="仿宋" w:cs="仿宋"/>
                <w:szCs w:val="32"/>
              </w:rPr>
            </w:pPr>
            <w:r>
              <w:rPr>
                <w:rFonts w:hint="eastAsia" w:ascii="仿宋" w:hAnsi="仿宋" w:cs="仿宋"/>
                <w:szCs w:val="32"/>
              </w:rPr>
              <w:t>主观分</w:t>
            </w:r>
          </w:p>
        </w:tc>
        <w:tc>
          <w:tcPr>
            <w:tcW w:w="1881" w:type="dxa"/>
          </w:tcPr>
          <w:p w14:paraId="4D569418">
            <w:pPr>
              <w:spacing w:line="240" w:lineRule="auto"/>
              <w:jc w:val="left"/>
              <w:outlineLvl w:val="0"/>
              <w:rPr>
                <w:rFonts w:ascii="仿宋" w:hAnsi="仿宋" w:cs="仿宋"/>
              </w:rPr>
            </w:pPr>
          </w:p>
        </w:tc>
      </w:tr>
      <w:tr w14:paraId="43336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08" w:type="dxa"/>
            <w:vAlign w:val="center"/>
          </w:tcPr>
          <w:p w14:paraId="3CC224A5">
            <w:pPr>
              <w:spacing w:line="240" w:lineRule="auto"/>
              <w:jc w:val="center"/>
              <w:rPr>
                <w:rFonts w:ascii="仿宋" w:hAnsi="仿宋" w:cs="仿宋"/>
                <w:szCs w:val="32"/>
              </w:rPr>
            </w:pPr>
            <w:r>
              <w:rPr>
                <w:rFonts w:hint="eastAsia" w:ascii="仿宋" w:hAnsi="仿宋" w:cs="仿宋"/>
                <w:szCs w:val="32"/>
              </w:rPr>
              <w:t>10.4</w:t>
            </w:r>
          </w:p>
        </w:tc>
        <w:tc>
          <w:tcPr>
            <w:tcW w:w="5255" w:type="dxa"/>
            <w:vAlign w:val="center"/>
          </w:tcPr>
          <w:p w14:paraId="340F7A4D">
            <w:pPr>
              <w:wordWrap w:val="0"/>
              <w:outlineLvl w:val="0"/>
              <w:rPr>
                <w:rFonts w:ascii="宋体" w:hAnsi="宋体" w:cs="宋体"/>
                <w:szCs w:val="21"/>
              </w:rPr>
            </w:pPr>
            <w:r>
              <w:rPr>
                <w:rFonts w:hint="eastAsia" w:ascii="宋体" w:hAnsi="宋体" w:cs="宋体"/>
              </w:rPr>
              <w:t>新生报到人脸识别管理：</w:t>
            </w:r>
            <w:r>
              <w:rPr>
                <w:rFonts w:hint="eastAsia" w:ascii="宋体" w:hAnsi="宋体" w:cs="宋体"/>
                <w:lang w:eastAsia="zh-Hans"/>
              </w:rPr>
              <w:t>支持</w:t>
            </w:r>
            <w:r>
              <w:rPr>
                <w:rFonts w:hint="eastAsia" w:ascii="宋体" w:hAnsi="宋体" w:cs="宋体"/>
              </w:rPr>
              <w:t>自定义配置是否开启核验功能控制；</w:t>
            </w:r>
            <w:r>
              <w:rPr>
                <w:rFonts w:hint="eastAsia" w:ascii="宋体" w:hAnsi="宋体" w:cs="宋体"/>
                <w:lang w:eastAsia="zh-Hans"/>
              </w:rPr>
              <w:t>支持</w:t>
            </w:r>
            <w:r>
              <w:rPr>
                <w:rFonts w:hint="eastAsia" w:ascii="宋体" w:hAnsi="宋体" w:cs="宋体"/>
              </w:rPr>
              <w:t>设置是否需要验证手机号；支持自定义设置识别通过的阈值，含入学照片、采集照片、证件照片相似度</w:t>
            </w:r>
            <w:r>
              <w:rPr>
                <w:rFonts w:hint="eastAsia" w:ascii="宋体" w:hAnsi="宋体" w:cs="宋体"/>
                <w:lang w:eastAsia="zh-Hans"/>
              </w:rPr>
              <w:t>分析</w:t>
            </w:r>
            <w:r>
              <w:rPr>
                <w:rFonts w:hint="eastAsia" w:ascii="宋体" w:hAnsi="宋体" w:cs="宋体"/>
              </w:rPr>
              <w:t>；支持自定义设置学生页面及附件上传页的说明内容。</w:t>
            </w:r>
            <w:r>
              <w:rPr>
                <w:rFonts w:hint="eastAsia" w:ascii="宋体" w:hAnsi="宋体" w:cs="宋体"/>
                <w:lang w:eastAsia="zh-Hans"/>
              </w:rPr>
              <w:t>设置完成后，需完整演示</w:t>
            </w:r>
            <w:r>
              <w:rPr>
                <w:rFonts w:hint="eastAsia" w:ascii="宋体" w:hAnsi="宋体" w:cs="宋体"/>
              </w:rPr>
              <w:t>学生</w:t>
            </w:r>
            <w:r>
              <w:rPr>
                <w:rFonts w:hint="eastAsia" w:ascii="宋体" w:hAnsi="宋体" w:cs="宋体"/>
                <w:lang w:eastAsia="zh-Hans"/>
              </w:rPr>
              <w:t>通过</w:t>
            </w:r>
            <w:r>
              <w:rPr>
                <w:rFonts w:hint="eastAsia" w:ascii="宋体" w:hAnsi="宋体" w:cs="宋体"/>
              </w:rPr>
              <w:t>手机号验证</w:t>
            </w:r>
            <w:r>
              <w:rPr>
                <w:rFonts w:hint="eastAsia" w:ascii="宋体" w:hAnsi="宋体" w:cs="宋体"/>
                <w:lang w:eastAsia="zh-Hans"/>
              </w:rPr>
              <w:t>后</w:t>
            </w:r>
            <w:r>
              <w:rPr>
                <w:rFonts w:hint="eastAsia" w:ascii="宋体" w:hAnsi="宋体" w:cs="宋体"/>
              </w:rPr>
              <w:t>进行人脸识别，</w:t>
            </w:r>
            <w:r>
              <w:rPr>
                <w:rFonts w:hint="eastAsia" w:ascii="宋体" w:hAnsi="宋体" w:cs="宋体"/>
                <w:lang w:eastAsia="zh-Hans"/>
              </w:rPr>
              <w:t>同时可查看</w:t>
            </w:r>
            <w:r>
              <w:rPr>
                <w:rFonts w:hint="eastAsia" w:ascii="宋体" w:hAnsi="宋体" w:cs="宋体"/>
              </w:rPr>
              <w:t>识别通过的</w:t>
            </w:r>
            <w:r>
              <w:rPr>
                <w:rFonts w:hint="eastAsia" w:ascii="宋体" w:hAnsi="宋体" w:cs="宋体"/>
                <w:lang w:eastAsia="zh-Hans"/>
              </w:rPr>
              <w:t>结果数据</w:t>
            </w:r>
            <w:r>
              <w:rPr>
                <w:rFonts w:hint="eastAsia" w:ascii="宋体" w:hAnsi="宋体" w:cs="宋体"/>
              </w:rPr>
              <w:t>。</w:t>
            </w:r>
            <w:r>
              <w:rPr>
                <w:rFonts w:hint="eastAsia" w:ascii="宋体" w:hAnsi="宋体" w:cs="宋体"/>
                <w:szCs w:val="21"/>
              </w:rPr>
              <w:t>（分值：</w:t>
            </w:r>
            <w:r>
              <w:rPr>
                <w:rFonts w:ascii="宋体" w:hAnsi="宋体" w:cs="宋体"/>
                <w:szCs w:val="21"/>
              </w:rPr>
              <w:t>2</w:t>
            </w:r>
            <w:r>
              <w:rPr>
                <w:rFonts w:hint="eastAsia" w:ascii="宋体" w:hAnsi="宋体" w:cs="宋体"/>
                <w:szCs w:val="21"/>
              </w:rPr>
              <w:t>，1</w:t>
            </w:r>
            <w:r>
              <w:rPr>
                <w:rFonts w:ascii="宋体" w:hAnsi="宋体" w:cs="宋体"/>
                <w:szCs w:val="21"/>
              </w:rPr>
              <w:t>.5</w:t>
            </w:r>
            <w:r>
              <w:rPr>
                <w:rFonts w:hint="eastAsia" w:ascii="宋体" w:hAnsi="宋体" w:cs="宋体"/>
                <w:szCs w:val="21"/>
              </w:rPr>
              <w:t>，1，0</w:t>
            </w:r>
            <w:r>
              <w:rPr>
                <w:rFonts w:ascii="宋体" w:hAnsi="宋体" w:cs="宋体"/>
                <w:szCs w:val="21"/>
              </w:rPr>
              <w:t>.5</w:t>
            </w:r>
            <w:r>
              <w:rPr>
                <w:rFonts w:hint="eastAsia" w:ascii="宋体" w:hAnsi="宋体" w:cs="宋体"/>
                <w:szCs w:val="21"/>
              </w:rPr>
              <w:t>，0）</w:t>
            </w:r>
          </w:p>
        </w:tc>
        <w:tc>
          <w:tcPr>
            <w:tcW w:w="796" w:type="dxa"/>
            <w:vAlign w:val="center"/>
          </w:tcPr>
          <w:p w14:paraId="1D6C2A03">
            <w:pPr>
              <w:spacing w:line="240" w:lineRule="auto"/>
              <w:jc w:val="center"/>
              <w:rPr>
                <w:rFonts w:ascii="仿宋" w:hAnsi="仿宋" w:cs="仿宋"/>
                <w:szCs w:val="32"/>
              </w:rPr>
            </w:pPr>
            <w:r>
              <w:rPr>
                <w:rFonts w:ascii="仿宋" w:hAnsi="仿宋" w:cs="仿宋"/>
                <w:szCs w:val="32"/>
              </w:rPr>
              <w:t>2</w:t>
            </w:r>
          </w:p>
        </w:tc>
        <w:tc>
          <w:tcPr>
            <w:tcW w:w="1107" w:type="dxa"/>
            <w:vAlign w:val="center"/>
          </w:tcPr>
          <w:p w14:paraId="03FAD554">
            <w:pPr>
              <w:spacing w:line="240" w:lineRule="auto"/>
              <w:jc w:val="center"/>
              <w:rPr>
                <w:rFonts w:ascii="仿宋" w:hAnsi="仿宋" w:cs="仿宋"/>
                <w:szCs w:val="32"/>
              </w:rPr>
            </w:pPr>
            <w:r>
              <w:rPr>
                <w:rFonts w:hint="eastAsia" w:ascii="仿宋" w:hAnsi="仿宋" w:cs="仿宋"/>
                <w:szCs w:val="32"/>
              </w:rPr>
              <w:t>主观分</w:t>
            </w:r>
          </w:p>
        </w:tc>
        <w:tc>
          <w:tcPr>
            <w:tcW w:w="1881" w:type="dxa"/>
          </w:tcPr>
          <w:p w14:paraId="077FB108">
            <w:pPr>
              <w:spacing w:line="240" w:lineRule="auto"/>
              <w:jc w:val="left"/>
              <w:outlineLvl w:val="0"/>
              <w:rPr>
                <w:rFonts w:ascii="仿宋" w:hAnsi="仿宋" w:cs="仿宋"/>
              </w:rPr>
            </w:pPr>
          </w:p>
        </w:tc>
      </w:tr>
      <w:tr w14:paraId="1F273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08" w:type="dxa"/>
            <w:vAlign w:val="center"/>
          </w:tcPr>
          <w:p w14:paraId="361C8827">
            <w:pPr>
              <w:spacing w:line="240" w:lineRule="auto"/>
              <w:jc w:val="center"/>
              <w:rPr>
                <w:rFonts w:ascii="仿宋" w:hAnsi="仿宋" w:cs="仿宋"/>
                <w:szCs w:val="32"/>
              </w:rPr>
            </w:pPr>
            <w:r>
              <w:rPr>
                <w:rFonts w:hint="eastAsia" w:ascii="仿宋" w:hAnsi="仿宋" w:cs="仿宋"/>
                <w:szCs w:val="32"/>
              </w:rPr>
              <w:t>10.5</w:t>
            </w:r>
          </w:p>
        </w:tc>
        <w:tc>
          <w:tcPr>
            <w:tcW w:w="5255" w:type="dxa"/>
            <w:vAlign w:val="center"/>
          </w:tcPr>
          <w:p w14:paraId="54019366">
            <w:pPr>
              <w:wordWrap w:val="0"/>
              <w:outlineLvl w:val="0"/>
              <w:rPr>
                <w:rFonts w:ascii="宋体" w:hAnsi="宋体" w:cs="宋体"/>
                <w:szCs w:val="21"/>
              </w:rPr>
            </w:pPr>
            <w:r>
              <w:rPr>
                <w:rFonts w:hint="eastAsia" w:ascii="宋体" w:hAnsi="宋体" w:cs="宋体"/>
                <w:lang w:eastAsia="zh-Hans"/>
              </w:rPr>
              <w:t>大屏引擎：提供多种大屏模板，选择模板后可快速生新大屏，支持大屏可视化编辑流程，拖拽式页面布局。支持添加和设置应用基础模块，包含轮播图、多图列表、表格、图片、视频、天气、日期、内嵌网页、地图、柱状图、饼图、雷达图等多种基础模块，满足绝大部分大屏内容的展现形式，支持对接数据中台获取大屏数据源</w:t>
            </w:r>
            <w:r>
              <w:rPr>
                <w:rFonts w:hint="eastAsia" w:ascii="宋体" w:hAnsi="宋体" w:cs="宋体"/>
              </w:rPr>
              <w:t>。</w:t>
            </w:r>
            <w:r>
              <w:rPr>
                <w:rFonts w:hint="eastAsia" w:ascii="宋体" w:hAnsi="宋体" w:cs="宋体"/>
                <w:szCs w:val="21"/>
              </w:rPr>
              <w:t>（分值：</w:t>
            </w:r>
            <w:r>
              <w:rPr>
                <w:rFonts w:ascii="宋体" w:hAnsi="宋体" w:cs="宋体"/>
                <w:szCs w:val="21"/>
              </w:rPr>
              <w:t>2</w:t>
            </w:r>
            <w:r>
              <w:rPr>
                <w:rFonts w:hint="eastAsia" w:ascii="宋体" w:hAnsi="宋体" w:cs="宋体"/>
                <w:szCs w:val="21"/>
              </w:rPr>
              <w:t>，1</w:t>
            </w:r>
            <w:r>
              <w:rPr>
                <w:rFonts w:ascii="宋体" w:hAnsi="宋体" w:cs="宋体"/>
                <w:szCs w:val="21"/>
              </w:rPr>
              <w:t>.5</w:t>
            </w:r>
            <w:r>
              <w:rPr>
                <w:rFonts w:hint="eastAsia" w:ascii="宋体" w:hAnsi="宋体" w:cs="宋体"/>
                <w:szCs w:val="21"/>
              </w:rPr>
              <w:t>，1，0</w:t>
            </w:r>
            <w:r>
              <w:rPr>
                <w:rFonts w:ascii="宋体" w:hAnsi="宋体" w:cs="宋体"/>
                <w:szCs w:val="21"/>
              </w:rPr>
              <w:t>.5</w:t>
            </w:r>
            <w:r>
              <w:rPr>
                <w:rFonts w:hint="eastAsia" w:ascii="宋体" w:hAnsi="宋体" w:cs="宋体"/>
                <w:szCs w:val="21"/>
              </w:rPr>
              <w:t>，0）</w:t>
            </w:r>
          </w:p>
        </w:tc>
        <w:tc>
          <w:tcPr>
            <w:tcW w:w="796" w:type="dxa"/>
            <w:vAlign w:val="center"/>
          </w:tcPr>
          <w:p w14:paraId="0B43E371">
            <w:pPr>
              <w:spacing w:line="240" w:lineRule="auto"/>
              <w:jc w:val="center"/>
              <w:rPr>
                <w:rFonts w:ascii="仿宋" w:hAnsi="仿宋" w:cs="仿宋"/>
                <w:szCs w:val="32"/>
              </w:rPr>
            </w:pPr>
            <w:r>
              <w:rPr>
                <w:rFonts w:ascii="仿宋" w:hAnsi="仿宋" w:cs="仿宋"/>
                <w:szCs w:val="32"/>
              </w:rPr>
              <w:t>2</w:t>
            </w:r>
          </w:p>
        </w:tc>
        <w:tc>
          <w:tcPr>
            <w:tcW w:w="1107" w:type="dxa"/>
            <w:vAlign w:val="center"/>
          </w:tcPr>
          <w:p w14:paraId="3DE77871">
            <w:pPr>
              <w:spacing w:line="240" w:lineRule="auto"/>
              <w:jc w:val="center"/>
              <w:rPr>
                <w:rFonts w:ascii="仿宋" w:hAnsi="仿宋" w:cs="仿宋"/>
                <w:szCs w:val="32"/>
              </w:rPr>
            </w:pPr>
            <w:r>
              <w:rPr>
                <w:rFonts w:hint="eastAsia" w:ascii="仿宋" w:hAnsi="仿宋" w:cs="仿宋"/>
                <w:szCs w:val="32"/>
              </w:rPr>
              <w:t>主观分</w:t>
            </w:r>
          </w:p>
        </w:tc>
        <w:tc>
          <w:tcPr>
            <w:tcW w:w="1881" w:type="dxa"/>
          </w:tcPr>
          <w:p w14:paraId="055CA320">
            <w:pPr>
              <w:spacing w:line="240" w:lineRule="auto"/>
              <w:jc w:val="left"/>
              <w:outlineLvl w:val="0"/>
              <w:rPr>
                <w:rFonts w:ascii="仿宋" w:hAnsi="仿宋" w:cs="仿宋"/>
              </w:rPr>
            </w:pPr>
          </w:p>
        </w:tc>
      </w:tr>
      <w:tr w14:paraId="52367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08" w:type="dxa"/>
            <w:vAlign w:val="center"/>
          </w:tcPr>
          <w:p w14:paraId="703202A8">
            <w:pPr>
              <w:spacing w:line="240" w:lineRule="auto"/>
              <w:jc w:val="center"/>
              <w:rPr>
                <w:rFonts w:ascii="仿宋" w:hAnsi="仿宋" w:cs="仿宋"/>
                <w:szCs w:val="32"/>
              </w:rPr>
            </w:pPr>
            <w:r>
              <w:rPr>
                <w:rFonts w:hint="eastAsia" w:ascii="仿宋" w:hAnsi="仿宋" w:cs="仿宋"/>
                <w:szCs w:val="32"/>
              </w:rPr>
              <w:t>10.6</w:t>
            </w:r>
          </w:p>
        </w:tc>
        <w:tc>
          <w:tcPr>
            <w:tcW w:w="5255" w:type="dxa"/>
            <w:vAlign w:val="center"/>
          </w:tcPr>
          <w:p w14:paraId="47370E1A">
            <w:pPr>
              <w:outlineLvl w:val="0"/>
              <w:rPr>
                <w:rFonts w:ascii="宋体" w:hAnsi="宋体" w:cs="宋体"/>
                <w:szCs w:val="21"/>
              </w:rPr>
            </w:pPr>
            <w:r>
              <w:rPr>
                <w:rFonts w:hint="eastAsia" w:ascii="宋体" w:hAnsi="宋体" w:cs="宋体"/>
                <w:lang w:eastAsia="zh-Hans"/>
              </w:rPr>
              <w:t>培训</w:t>
            </w:r>
            <w:r>
              <w:rPr>
                <w:rFonts w:hint="eastAsia" w:ascii="宋体" w:hAnsi="宋体" w:cs="宋体"/>
              </w:rPr>
              <w:t>字段管理：</w:t>
            </w:r>
            <w:r>
              <w:rPr>
                <w:rFonts w:hint="eastAsia" w:ascii="宋体" w:hAnsi="宋体" w:cs="宋体"/>
                <w:lang w:eastAsia="zh-Hans"/>
              </w:rPr>
              <w:t>支持配置与管理学员字段、注册字段、报名字段、教师字段、项目字段、培训班字段等，可</w:t>
            </w:r>
            <w:r>
              <w:rPr>
                <w:rFonts w:hint="eastAsia" w:ascii="宋体" w:hAnsi="宋体" w:cs="宋体"/>
              </w:rPr>
              <w:t>设置</w:t>
            </w:r>
            <w:r>
              <w:rPr>
                <w:rFonts w:hint="eastAsia" w:ascii="宋体" w:hAnsi="宋体" w:cs="宋体"/>
                <w:lang w:eastAsia="zh-Hans"/>
              </w:rPr>
              <w:t>字段</w:t>
            </w:r>
            <w:r>
              <w:rPr>
                <w:rFonts w:hint="eastAsia" w:ascii="宋体" w:hAnsi="宋体" w:cs="宋体"/>
              </w:rPr>
              <w:t>是否配置和必填，</w:t>
            </w:r>
            <w:r>
              <w:rPr>
                <w:rFonts w:hint="eastAsia" w:ascii="宋体" w:hAnsi="宋体" w:cs="宋体"/>
                <w:lang w:eastAsia="zh-Hans"/>
              </w:rPr>
              <w:t>同时支持添加选项/文本/时间/规则/图片/附件等自定义字段，由专家指定某一类字段进行设置</w:t>
            </w:r>
            <w:r>
              <w:rPr>
                <w:rFonts w:hint="eastAsia" w:ascii="宋体" w:hAnsi="宋体" w:cs="宋体"/>
              </w:rPr>
              <w:t>。</w:t>
            </w:r>
            <w:r>
              <w:rPr>
                <w:rFonts w:hint="eastAsia" w:ascii="宋体" w:hAnsi="宋体" w:cs="宋体"/>
                <w:szCs w:val="21"/>
              </w:rPr>
              <w:t>（分值：</w:t>
            </w:r>
            <w:r>
              <w:rPr>
                <w:rFonts w:ascii="宋体" w:hAnsi="宋体" w:cs="宋体"/>
                <w:szCs w:val="21"/>
              </w:rPr>
              <w:t>2</w:t>
            </w:r>
            <w:r>
              <w:rPr>
                <w:rFonts w:hint="eastAsia" w:ascii="宋体" w:hAnsi="宋体" w:cs="宋体"/>
                <w:szCs w:val="21"/>
              </w:rPr>
              <w:t>，1</w:t>
            </w:r>
            <w:r>
              <w:rPr>
                <w:rFonts w:ascii="宋体" w:hAnsi="宋体" w:cs="宋体"/>
                <w:szCs w:val="21"/>
              </w:rPr>
              <w:t>.5</w:t>
            </w:r>
            <w:r>
              <w:rPr>
                <w:rFonts w:hint="eastAsia" w:ascii="宋体" w:hAnsi="宋体" w:cs="宋体"/>
                <w:szCs w:val="21"/>
              </w:rPr>
              <w:t>，1，0</w:t>
            </w:r>
            <w:r>
              <w:rPr>
                <w:rFonts w:ascii="宋体" w:hAnsi="宋体" w:cs="宋体"/>
                <w:szCs w:val="21"/>
              </w:rPr>
              <w:t>.5</w:t>
            </w:r>
            <w:r>
              <w:rPr>
                <w:rFonts w:hint="eastAsia" w:ascii="宋体" w:hAnsi="宋体" w:cs="宋体"/>
                <w:szCs w:val="21"/>
              </w:rPr>
              <w:t>，0）</w:t>
            </w:r>
          </w:p>
        </w:tc>
        <w:tc>
          <w:tcPr>
            <w:tcW w:w="796" w:type="dxa"/>
            <w:vAlign w:val="center"/>
          </w:tcPr>
          <w:p w14:paraId="72DE6D77">
            <w:pPr>
              <w:spacing w:line="240" w:lineRule="auto"/>
              <w:jc w:val="center"/>
              <w:rPr>
                <w:rFonts w:ascii="仿宋" w:hAnsi="仿宋" w:cs="仿宋"/>
                <w:szCs w:val="32"/>
              </w:rPr>
            </w:pPr>
            <w:r>
              <w:rPr>
                <w:rFonts w:ascii="仿宋" w:hAnsi="仿宋" w:cs="仿宋"/>
                <w:szCs w:val="32"/>
              </w:rPr>
              <w:t>2</w:t>
            </w:r>
          </w:p>
        </w:tc>
        <w:tc>
          <w:tcPr>
            <w:tcW w:w="1107" w:type="dxa"/>
            <w:vAlign w:val="center"/>
          </w:tcPr>
          <w:p w14:paraId="13E154E9">
            <w:pPr>
              <w:spacing w:line="240" w:lineRule="auto"/>
              <w:jc w:val="center"/>
              <w:rPr>
                <w:rFonts w:ascii="仿宋" w:hAnsi="仿宋" w:cs="仿宋"/>
                <w:szCs w:val="32"/>
              </w:rPr>
            </w:pPr>
            <w:r>
              <w:rPr>
                <w:rFonts w:hint="eastAsia" w:ascii="仿宋" w:hAnsi="仿宋" w:cs="仿宋"/>
                <w:szCs w:val="32"/>
              </w:rPr>
              <w:t>主观分</w:t>
            </w:r>
          </w:p>
        </w:tc>
        <w:tc>
          <w:tcPr>
            <w:tcW w:w="1881" w:type="dxa"/>
          </w:tcPr>
          <w:p w14:paraId="0136A9C4">
            <w:pPr>
              <w:spacing w:line="240" w:lineRule="auto"/>
              <w:jc w:val="left"/>
              <w:outlineLvl w:val="0"/>
              <w:rPr>
                <w:rFonts w:ascii="仿宋" w:hAnsi="仿宋" w:cs="仿宋"/>
              </w:rPr>
            </w:pPr>
          </w:p>
        </w:tc>
      </w:tr>
      <w:tr w14:paraId="0C136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08" w:type="dxa"/>
            <w:vAlign w:val="center"/>
          </w:tcPr>
          <w:p w14:paraId="3749843B">
            <w:pPr>
              <w:spacing w:line="240" w:lineRule="auto"/>
              <w:jc w:val="center"/>
              <w:rPr>
                <w:rFonts w:ascii="仿宋" w:hAnsi="仿宋" w:cs="仿宋"/>
                <w:szCs w:val="32"/>
              </w:rPr>
            </w:pPr>
            <w:r>
              <w:rPr>
                <w:rFonts w:hint="eastAsia" w:ascii="仿宋" w:hAnsi="仿宋" w:cs="仿宋"/>
                <w:szCs w:val="32"/>
              </w:rPr>
              <w:t>10.7</w:t>
            </w:r>
          </w:p>
        </w:tc>
        <w:tc>
          <w:tcPr>
            <w:tcW w:w="5255" w:type="dxa"/>
          </w:tcPr>
          <w:p w14:paraId="0920900D">
            <w:pPr>
              <w:outlineLvl w:val="0"/>
              <w:rPr>
                <w:rFonts w:ascii="宋体" w:hAnsi="宋体" w:cs="宋体"/>
                <w:szCs w:val="21"/>
              </w:rPr>
            </w:pPr>
            <w:r>
              <w:rPr>
                <w:rFonts w:hint="eastAsia" w:ascii="宋体" w:hAnsi="宋体" w:cs="宋体"/>
                <w:lang w:eastAsia="zh-Hans"/>
              </w:rPr>
              <w:t>异常</w:t>
            </w:r>
            <w:r>
              <w:rPr>
                <w:rFonts w:hint="eastAsia" w:ascii="宋体" w:hAnsi="宋体" w:cs="宋体"/>
              </w:rPr>
              <w:t>监控：可以单独设置学生观看课程视频、作业和考试是否需要进行异常监控，</w:t>
            </w:r>
            <w:r>
              <w:rPr>
                <w:rFonts w:hint="eastAsia" w:ascii="宋体" w:hAnsi="宋体" w:cs="宋体"/>
                <w:lang w:eastAsia="zh-Hans"/>
              </w:rPr>
              <w:t>针对产生的异常数据支持异常分析，查看监控详情，可对学生异常学习进行提醒，同时可支持对异常数据进行异常状态处理</w:t>
            </w:r>
            <w:r>
              <w:rPr>
                <w:rFonts w:hint="eastAsia" w:ascii="宋体" w:hAnsi="宋体" w:cs="宋体"/>
              </w:rPr>
              <w:t>。</w:t>
            </w:r>
            <w:r>
              <w:rPr>
                <w:rFonts w:hint="eastAsia" w:ascii="宋体" w:hAnsi="宋体" w:cs="宋体"/>
                <w:szCs w:val="21"/>
              </w:rPr>
              <w:t>（分值：</w:t>
            </w:r>
            <w:r>
              <w:rPr>
                <w:rFonts w:ascii="宋体" w:hAnsi="宋体" w:cs="宋体"/>
                <w:szCs w:val="21"/>
              </w:rPr>
              <w:t>2</w:t>
            </w:r>
            <w:r>
              <w:rPr>
                <w:rFonts w:hint="eastAsia" w:ascii="宋体" w:hAnsi="宋体" w:cs="宋体"/>
                <w:szCs w:val="21"/>
              </w:rPr>
              <w:t>，1</w:t>
            </w:r>
            <w:r>
              <w:rPr>
                <w:rFonts w:ascii="宋体" w:hAnsi="宋体" w:cs="宋体"/>
                <w:szCs w:val="21"/>
              </w:rPr>
              <w:t>.5</w:t>
            </w:r>
            <w:r>
              <w:rPr>
                <w:rFonts w:hint="eastAsia" w:ascii="宋体" w:hAnsi="宋体" w:cs="宋体"/>
                <w:szCs w:val="21"/>
              </w:rPr>
              <w:t>，1，0</w:t>
            </w:r>
            <w:r>
              <w:rPr>
                <w:rFonts w:ascii="宋体" w:hAnsi="宋体" w:cs="宋体"/>
                <w:szCs w:val="21"/>
              </w:rPr>
              <w:t>.5</w:t>
            </w:r>
            <w:r>
              <w:rPr>
                <w:rFonts w:hint="eastAsia" w:ascii="宋体" w:hAnsi="宋体" w:cs="宋体"/>
                <w:szCs w:val="21"/>
              </w:rPr>
              <w:t>，0）</w:t>
            </w:r>
          </w:p>
        </w:tc>
        <w:tc>
          <w:tcPr>
            <w:tcW w:w="796" w:type="dxa"/>
            <w:vAlign w:val="center"/>
          </w:tcPr>
          <w:p w14:paraId="6A4B4CE3">
            <w:pPr>
              <w:spacing w:line="240" w:lineRule="auto"/>
              <w:jc w:val="center"/>
              <w:rPr>
                <w:rFonts w:ascii="仿宋" w:hAnsi="仿宋" w:cs="仿宋"/>
                <w:szCs w:val="32"/>
              </w:rPr>
            </w:pPr>
            <w:r>
              <w:rPr>
                <w:rFonts w:ascii="仿宋" w:hAnsi="仿宋" w:cs="仿宋"/>
                <w:szCs w:val="32"/>
              </w:rPr>
              <w:t>2</w:t>
            </w:r>
          </w:p>
        </w:tc>
        <w:tc>
          <w:tcPr>
            <w:tcW w:w="1107" w:type="dxa"/>
            <w:vAlign w:val="center"/>
          </w:tcPr>
          <w:p w14:paraId="14CAE626">
            <w:pPr>
              <w:spacing w:line="240" w:lineRule="auto"/>
              <w:jc w:val="center"/>
              <w:rPr>
                <w:rFonts w:ascii="仿宋" w:hAnsi="仿宋" w:cs="仿宋"/>
                <w:szCs w:val="32"/>
              </w:rPr>
            </w:pPr>
            <w:r>
              <w:rPr>
                <w:rFonts w:hint="eastAsia" w:ascii="仿宋" w:hAnsi="仿宋" w:cs="仿宋"/>
                <w:szCs w:val="32"/>
              </w:rPr>
              <w:t>主观分</w:t>
            </w:r>
          </w:p>
        </w:tc>
        <w:tc>
          <w:tcPr>
            <w:tcW w:w="1881" w:type="dxa"/>
          </w:tcPr>
          <w:p w14:paraId="5F740F22">
            <w:pPr>
              <w:spacing w:line="240" w:lineRule="auto"/>
              <w:jc w:val="left"/>
              <w:outlineLvl w:val="0"/>
              <w:rPr>
                <w:rFonts w:ascii="仿宋" w:hAnsi="仿宋" w:cs="仿宋"/>
              </w:rPr>
            </w:pPr>
          </w:p>
        </w:tc>
      </w:tr>
      <w:tr w14:paraId="665F5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08" w:type="dxa"/>
            <w:vAlign w:val="center"/>
          </w:tcPr>
          <w:p w14:paraId="62DE1545">
            <w:pPr>
              <w:spacing w:line="240" w:lineRule="auto"/>
              <w:jc w:val="center"/>
              <w:rPr>
                <w:rFonts w:ascii="仿宋" w:hAnsi="仿宋" w:cs="仿宋"/>
                <w:szCs w:val="32"/>
              </w:rPr>
            </w:pPr>
            <w:r>
              <w:rPr>
                <w:rFonts w:hint="eastAsia" w:ascii="仿宋" w:hAnsi="仿宋" w:cs="仿宋"/>
                <w:szCs w:val="32"/>
              </w:rPr>
              <w:t>10.8</w:t>
            </w:r>
          </w:p>
        </w:tc>
        <w:tc>
          <w:tcPr>
            <w:tcW w:w="5255" w:type="dxa"/>
          </w:tcPr>
          <w:p w14:paraId="17261D38">
            <w:pPr>
              <w:outlineLvl w:val="0"/>
              <w:rPr>
                <w:rFonts w:ascii="宋体" w:hAnsi="宋体" w:cs="宋体"/>
                <w:szCs w:val="21"/>
              </w:rPr>
            </w:pPr>
            <w:r>
              <w:rPr>
                <w:rFonts w:hint="eastAsia" w:ascii="宋体" w:hAnsi="宋体" w:cs="宋体"/>
                <w:lang w:eastAsia="zh-Hans"/>
              </w:rPr>
              <w:t>人脸识别监控：</w:t>
            </w:r>
            <w:r>
              <w:rPr>
                <w:rFonts w:hint="eastAsia" w:ascii="宋体" w:hAnsi="宋体" w:cs="宋体"/>
              </w:rPr>
              <w:t>支持设置学生进入课程时是否开启人脸识别；观看章节视频时开启抓拍监控(可以设置抓拍模式、抓拍时间点等)；支持人脸识别匹配失败时限制学生学习；人脸匹配失败累计次数达到一定次数时，清除章节视频学习成绩。</w:t>
            </w:r>
            <w:r>
              <w:rPr>
                <w:rFonts w:hint="eastAsia" w:ascii="宋体" w:hAnsi="宋体" w:cs="宋体"/>
                <w:szCs w:val="21"/>
              </w:rPr>
              <w:t>（分值：</w:t>
            </w:r>
            <w:r>
              <w:rPr>
                <w:rFonts w:ascii="宋体" w:hAnsi="宋体" w:cs="宋体"/>
                <w:szCs w:val="21"/>
              </w:rPr>
              <w:t>2</w:t>
            </w:r>
            <w:r>
              <w:rPr>
                <w:rFonts w:hint="eastAsia" w:ascii="宋体" w:hAnsi="宋体" w:cs="宋体"/>
                <w:szCs w:val="21"/>
              </w:rPr>
              <w:t>，1</w:t>
            </w:r>
            <w:r>
              <w:rPr>
                <w:rFonts w:ascii="宋体" w:hAnsi="宋体" w:cs="宋体"/>
                <w:szCs w:val="21"/>
              </w:rPr>
              <w:t>.5</w:t>
            </w:r>
            <w:r>
              <w:rPr>
                <w:rFonts w:hint="eastAsia" w:ascii="宋体" w:hAnsi="宋体" w:cs="宋体"/>
                <w:szCs w:val="21"/>
              </w:rPr>
              <w:t>，1，0</w:t>
            </w:r>
            <w:r>
              <w:rPr>
                <w:rFonts w:ascii="宋体" w:hAnsi="宋体" w:cs="宋体"/>
                <w:szCs w:val="21"/>
              </w:rPr>
              <w:t>.5</w:t>
            </w:r>
            <w:r>
              <w:rPr>
                <w:rFonts w:hint="eastAsia" w:ascii="宋体" w:hAnsi="宋体" w:cs="宋体"/>
                <w:szCs w:val="21"/>
              </w:rPr>
              <w:t>，0）</w:t>
            </w:r>
          </w:p>
        </w:tc>
        <w:tc>
          <w:tcPr>
            <w:tcW w:w="796" w:type="dxa"/>
            <w:vAlign w:val="center"/>
          </w:tcPr>
          <w:p w14:paraId="42E28242">
            <w:pPr>
              <w:spacing w:line="240" w:lineRule="auto"/>
              <w:jc w:val="center"/>
              <w:rPr>
                <w:rFonts w:ascii="仿宋" w:hAnsi="仿宋" w:cs="仿宋"/>
                <w:szCs w:val="32"/>
              </w:rPr>
            </w:pPr>
            <w:r>
              <w:rPr>
                <w:rFonts w:ascii="仿宋" w:hAnsi="仿宋" w:cs="仿宋"/>
                <w:szCs w:val="32"/>
              </w:rPr>
              <w:t>2</w:t>
            </w:r>
          </w:p>
        </w:tc>
        <w:tc>
          <w:tcPr>
            <w:tcW w:w="1107" w:type="dxa"/>
            <w:vAlign w:val="center"/>
          </w:tcPr>
          <w:p w14:paraId="2D33275F">
            <w:pPr>
              <w:spacing w:line="240" w:lineRule="auto"/>
              <w:jc w:val="center"/>
              <w:rPr>
                <w:rFonts w:ascii="仿宋" w:hAnsi="仿宋" w:cs="仿宋"/>
                <w:szCs w:val="32"/>
              </w:rPr>
            </w:pPr>
            <w:r>
              <w:rPr>
                <w:rFonts w:hint="eastAsia" w:ascii="仿宋" w:hAnsi="仿宋" w:cs="仿宋"/>
                <w:szCs w:val="32"/>
              </w:rPr>
              <w:t>主观分</w:t>
            </w:r>
          </w:p>
        </w:tc>
        <w:tc>
          <w:tcPr>
            <w:tcW w:w="1881" w:type="dxa"/>
          </w:tcPr>
          <w:p w14:paraId="02512DD0">
            <w:pPr>
              <w:spacing w:line="240" w:lineRule="auto"/>
              <w:jc w:val="left"/>
              <w:outlineLvl w:val="0"/>
              <w:rPr>
                <w:rFonts w:ascii="仿宋" w:hAnsi="仿宋" w:cs="仿宋"/>
              </w:rPr>
            </w:pPr>
          </w:p>
        </w:tc>
      </w:tr>
      <w:tr w14:paraId="2FD24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08" w:type="dxa"/>
            <w:vAlign w:val="center"/>
          </w:tcPr>
          <w:p w14:paraId="1E16BCC6">
            <w:pPr>
              <w:spacing w:line="240" w:lineRule="auto"/>
              <w:jc w:val="center"/>
              <w:rPr>
                <w:rFonts w:ascii="仿宋" w:hAnsi="仿宋" w:cs="仿宋"/>
                <w:szCs w:val="32"/>
              </w:rPr>
            </w:pPr>
            <w:r>
              <w:rPr>
                <w:rFonts w:hint="eastAsia" w:ascii="仿宋" w:hAnsi="仿宋" w:cs="仿宋"/>
                <w:szCs w:val="32"/>
              </w:rPr>
              <w:t>10.9</w:t>
            </w:r>
          </w:p>
        </w:tc>
        <w:tc>
          <w:tcPr>
            <w:tcW w:w="5255" w:type="dxa"/>
          </w:tcPr>
          <w:p w14:paraId="754101E2">
            <w:pPr>
              <w:outlineLvl w:val="0"/>
              <w:rPr>
                <w:rFonts w:ascii="宋体" w:hAnsi="宋体" w:cs="宋体"/>
                <w:szCs w:val="21"/>
              </w:rPr>
            </w:pPr>
            <w:r>
              <w:rPr>
                <w:rFonts w:hint="eastAsia" w:ascii="宋体" w:hAnsi="宋体" w:cs="宋体"/>
              </w:rPr>
              <w:t>章节视频翻译：支持教师在课程管理设置中根据需要自由开启课程章节视频翻译功能。功能开启后，支持对章节视频进行语音识别，生成字幕并进行翻译，学生在课程章节中观看视频时可自由开启带翻译的字幕。语音识别内容翻译支持中转英、英转中等。</w:t>
            </w:r>
            <w:r>
              <w:rPr>
                <w:rFonts w:hint="eastAsia" w:ascii="宋体" w:hAnsi="宋体" w:cs="宋体"/>
                <w:szCs w:val="21"/>
              </w:rPr>
              <w:t>（分值：</w:t>
            </w:r>
            <w:r>
              <w:rPr>
                <w:rFonts w:ascii="宋体" w:hAnsi="宋体" w:cs="宋体"/>
                <w:szCs w:val="21"/>
              </w:rPr>
              <w:t>2</w:t>
            </w:r>
            <w:r>
              <w:rPr>
                <w:rFonts w:hint="eastAsia" w:ascii="宋体" w:hAnsi="宋体" w:cs="宋体"/>
                <w:szCs w:val="21"/>
              </w:rPr>
              <w:t>，1</w:t>
            </w:r>
            <w:r>
              <w:rPr>
                <w:rFonts w:ascii="宋体" w:hAnsi="宋体" w:cs="宋体"/>
                <w:szCs w:val="21"/>
              </w:rPr>
              <w:t>.5</w:t>
            </w:r>
            <w:r>
              <w:rPr>
                <w:rFonts w:hint="eastAsia" w:ascii="宋体" w:hAnsi="宋体" w:cs="宋体"/>
                <w:szCs w:val="21"/>
              </w:rPr>
              <w:t>，1，0</w:t>
            </w:r>
            <w:r>
              <w:rPr>
                <w:rFonts w:ascii="宋体" w:hAnsi="宋体" w:cs="宋体"/>
                <w:szCs w:val="21"/>
              </w:rPr>
              <w:t>.5</w:t>
            </w:r>
            <w:r>
              <w:rPr>
                <w:rFonts w:hint="eastAsia" w:ascii="宋体" w:hAnsi="宋体" w:cs="宋体"/>
                <w:szCs w:val="21"/>
              </w:rPr>
              <w:t>，0）</w:t>
            </w:r>
          </w:p>
        </w:tc>
        <w:tc>
          <w:tcPr>
            <w:tcW w:w="796" w:type="dxa"/>
            <w:vAlign w:val="center"/>
          </w:tcPr>
          <w:p w14:paraId="0A16AEAA">
            <w:pPr>
              <w:spacing w:line="240" w:lineRule="auto"/>
              <w:jc w:val="center"/>
              <w:rPr>
                <w:rFonts w:ascii="仿宋" w:hAnsi="仿宋" w:cs="仿宋"/>
                <w:szCs w:val="32"/>
              </w:rPr>
            </w:pPr>
            <w:r>
              <w:rPr>
                <w:rFonts w:ascii="仿宋" w:hAnsi="仿宋" w:cs="仿宋"/>
                <w:szCs w:val="32"/>
              </w:rPr>
              <w:t>2</w:t>
            </w:r>
          </w:p>
        </w:tc>
        <w:tc>
          <w:tcPr>
            <w:tcW w:w="1107" w:type="dxa"/>
            <w:vAlign w:val="center"/>
          </w:tcPr>
          <w:p w14:paraId="6B57626B">
            <w:pPr>
              <w:spacing w:line="240" w:lineRule="auto"/>
              <w:jc w:val="center"/>
              <w:rPr>
                <w:rFonts w:ascii="仿宋" w:hAnsi="仿宋" w:cs="仿宋"/>
                <w:szCs w:val="32"/>
              </w:rPr>
            </w:pPr>
            <w:r>
              <w:rPr>
                <w:rFonts w:hint="eastAsia" w:ascii="仿宋" w:hAnsi="仿宋" w:cs="仿宋"/>
                <w:szCs w:val="32"/>
              </w:rPr>
              <w:t>主观分</w:t>
            </w:r>
          </w:p>
        </w:tc>
        <w:tc>
          <w:tcPr>
            <w:tcW w:w="1881" w:type="dxa"/>
          </w:tcPr>
          <w:p w14:paraId="2A0ACDF4">
            <w:pPr>
              <w:spacing w:line="240" w:lineRule="auto"/>
              <w:jc w:val="left"/>
              <w:outlineLvl w:val="0"/>
              <w:rPr>
                <w:rFonts w:ascii="仿宋" w:hAnsi="仿宋" w:cs="仿宋"/>
              </w:rPr>
            </w:pPr>
          </w:p>
        </w:tc>
      </w:tr>
      <w:tr w14:paraId="3049F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08" w:type="dxa"/>
            <w:vAlign w:val="center"/>
          </w:tcPr>
          <w:p w14:paraId="17FB8B61">
            <w:pPr>
              <w:spacing w:line="240" w:lineRule="auto"/>
              <w:jc w:val="center"/>
              <w:rPr>
                <w:rFonts w:ascii="仿宋" w:hAnsi="仿宋" w:cs="仿宋"/>
                <w:szCs w:val="32"/>
              </w:rPr>
            </w:pPr>
            <w:r>
              <w:rPr>
                <w:rFonts w:hint="eastAsia" w:ascii="仿宋" w:hAnsi="仿宋" w:cs="仿宋"/>
                <w:szCs w:val="32"/>
              </w:rPr>
              <w:t>10.10</w:t>
            </w:r>
          </w:p>
        </w:tc>
        <w:tc>
          <w:tcPr>
            <w:tcW w:w="5255" w:type="dxa"/>
          </w:tcPr>
          <w:p w14:paraId="26EA03FA">
            <w:pPr>
              <w:outlineLvl w:val="0"/>
              <w:rPr>
                <w:rFonts w:ascii="宋体" w:hAnsi="宋体" w:cs="宋体"/>
                <w:szCs w:val="21"/>
              </w:rPr>
            </w:pPr>
            <w:bookmarkStart w:id="426" w:name="_GoBack"/>
            <w:r>
              <w:rPr>
                <w:rFonts w:hint="eastAsia" w:ascii="宋体" w:hAnsi="宋体" w:cs="宋体"/>
                <w:lang w:eastAsia="zh-Hans"/>
              </w:rPr>
              <w:t>课堂管理：</w:t>
            </w:r>
            <w:r>
              <w:rPr>
                <w:rFonts w:hint="eastAsia" w:ascii="宋体" w:hAnsi="宋体" w:cs="宋体"/>
              </w:rPr>
              <w:t>教师可以在网络课程章节中插入直播课堂，教师可以通过点击章节直播课堂卡片页，唤起直播课堂客户端，快速进入直播课堂进行教学。教师也可通过移动app在网络课程章节直播课堂卡片页中快速进入直播课堂进行教学。</w:t>
            </w:r>
            <w:r>
              <w:rPr>
                <w:rFonts w:hint="eastAsia" w:ascii="宋体" w:hAnsi="宋体" w:cs="宋体"/>
                <w:szCs w:val="21"/>
              </w:rPr>
              <w:t>（分值：</w:t>
            </w:r>
            <w:r>
              <w:rPr>
                <w:rFonts w:ascii="宋体" w:hAnsi="宋体" w:cs="宋体"/>
                <w:szCs w:val="21"/>
              </w:rPr>
              <w:t>2</w:t>
            </w:r>
            <w:r>
              <w:rPr>
                <w:rFonts w:hint="eastAsia" w:ascii="宋体" w:hAnsi="宋体" w:cs="宋体"/>
                <w:szCs w:val="21"/>
              </w:rPr>
              <w:t>，1</w:t>
            </w:r>
            <w:r>
              <w:rPr>
                <w:rFonts w:ascii="宋体" w:hAnsi="宋体" w:cs="宋体"/>
                <w:szCs w:val="21"/>
              </w:rPr>
              <w:t>.5</w:t>
            </w:r>
            <w:r>
              <w:rPr>
                <w:rFonts w:hint="eastAsia" w:ascii="宋体" w:hAnsi="宋体" w:cs="宋体"/>
                <w:szCs w:val="21"/>
              </w:rPr>
              <w:t>，1，0</w:t>
            </w:r>
            <w:r>
              <w:rPr>
                <w:rFonts w:ascii="宋体" w:hAnsi="宋体" w:cs="宋体"/>
                <w:szCs w:val="21"/>
              </w:rPr>
              <w:t>.5</w:t>
            </w:r>
            <w:r>
              <w:rPr>
                <w:rFonts w:hint="eastAsia" w:ascii="宋体" w:hAnsi="宋体" w:cs="宋体"/>
                <w:szCs w:val="21"/>
              </w:rPr>
              <w:t>，0）</w:t>
            </w:r>
            <w:bookmarkEnd w:id="426"/>
          </w:p>
        </w:tc>
        <w:tc>
          <w:tcPr>
            <w:tcW w:w="796" w:type="dxa"/>
            <w:vAlign w:val="center"/>
          </w:tcPr>
          <w:p w14:paraId="417849E4">
            <w:pPr>
              <w:spacing w:line="240" w:lineRule="auto"/>
              <w:jc w:val="center"/>
              <w:rPr>
                <w:rFonts w:ascii="仿宋" w:hAnsi="仿宋" w:cs="仿宋"/>
                <w:szCs w:val="32"/>
              </w:rPr>
            </w:pPr>
            <w:r>
              <w:rPr>
                <w:rFonts w:ascii="仿宋" w:hAnsi="仿宋" w:cs="仿宋"/>
                <w:szCs w:val="32"/>
              </w:rPr>
              <w:t>2</w:t>
            </w:r>
          </w:p>
        </w:tc>
        <w:tc>
          <w:tcPr>
            <w:tcW w:w="1107" w:type="dxa"/>
            <w:vAlign w:val="center"/>
          </w:tcPr>
          <w:p w14:paraId="1032AAB5">
            <w:pPr>
              <w:spacing w:line="240" w:lineRule="auto"/>
              <w:jc w:val="center"/>
              <w:rPr>
                <w:rFonts w:ascii="仿宋" w:hAnsi="仿宋" w:cs="仿宋"/>
                <w:szCs w:val="32"/>
              </w:rPr>
            </w:pPr>
            <w:r>
              <w:rPr>
                <w:rFonts w:hint="eastAsia" w:ascii="仿宋" w:hAnsi="仿宋" w:cs="仿宋"/>
                <w:szCs w:val="32"/>
              </w:rPr>
              <w:t>主观分</w:t>
            </w:r>
          </w:p>
        </w:tc>
        <w:tc>
          <w:tcPr>
            <w:tcW w:w="1881" w:type="dxa"/>
          </w:tcPr>
          <w:p w14:paraId="21969B91">
            <w:pPr>
              <w:spacing w:line="240" w:lineRule="auto"/>
              <w:jc w:val="left"/>
              <w:outlineLvl w:val="0"/>
              <w:rPr>
                <w:rFonts w:ascii="仿宋" w:hAnsi="仿宋" w:cs="仿宋"/>
              </w:rPr>
            </w:pPr>
          </w:p>
        </w:tc>
      </w:tr>
      <w:tr w14:paraId="5215E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08" w:type="dxa"/>
            <w:vAlign w:val="center"/>
          </w:tcPr>
          <w:p w14:paraId="665356D1">
            <w:pPr>
              <w:spacing w:line="240" w:lineRule="auto"/>
              <w:jc w:val="center"/>
              <w:rPr>
                <w:rFonts w:ascii="仿宋" w:hAnsi="仿宋" w:cs="仿宋"/>
                <w:szCs w:val="32"/>
              </w:rPr>
            </w:pPr>
            <w:r>
              <w:rPr>
                <w:rFonts w:hint="eastAsia" w:ascii="仿宋" w:hAnsi="仿宋" w:cs="仿宋"/>
                <w:szCs w:val="32"/>
              </w:rPr>
              <w:t>11</w:t>
            </w:r>
          </w:p>
        </w:tc>
        <w:tc>
          <w:tcPr>
            <w:tcW w:w="5255" w:type="dxa"/>
          </w:tcPr>
          <w:p w14:paraId="099D23D2">
            <w:pPr>
              <w:spacing w:line="240" w:lineRule="auto"/>
              <w:jc w:val="left"/>
              <w:rPr>
                <w:rFonts w:ascii="仿宋" w:hAnsi="仿宋" w:cs="仿宋"/>
              </w:rPr>
            </w:pPr>
            <w:r>
              <w:rPr>
                <w:rFonts w:hint="eastAsia" w:ascii="仿宋" w:hAnsi="仿宋" w:cs="仿宋"/>
              </w:rPr>
              <w:t>有效投标报价的最低价作为评标基准价，其最低报价为满分；按［投标报价得分</w:t>
            </w:r>
            <w:r>
              <w:rPr>
                <w:rFonts w:ascii="仿宋" w:hAnsi="仿宋" w:cs="仿宋"/>
              </w:rPr>
              <w:t>=（评标基准价/投标报价）*</w:t>
            </w:r>
            <w:r>
              <w:rPr>
                <w:rFonts w:hint="eastAsia" w:ascii="仿宋" w:hAnsi="仿宋" w:cs="仿宋"/>
              </w:rPr>
              <w:t>30</w:t>
            </w:r>
            <w:r>
              <w:rPr>
                <w:rFonts w:ascii="仿宋" w:hAnsi="仿宋" w:cs="仿宋"/>
              </w:rPr>
              <w:t>］的计算公式计算。</w:t>
            </w:r>
          </w:p>
          <w:p w14:paraId="36C9F191">
            <w:pPr>
              <w:spacing w:line="240" w:lineRule="auto"/>
              <w:jc w:val="left"/>
              <w:rPr>
                <w:rFonts w:ascii="仿宋" w:hAnsi="仿宋" w:cs="仿宋"/>
              </w:rPr>
            </w:pPr>
            <w:r>
              <w:rPr>
                <w:rFonts w:ascii="仿宋" w:hAnsi="仿宋" w:cs="仿宋"/>
              </w:rPr>
              <w:t>评标过程中，不得去掉报价中的最高报价和最低报价。</w:t>
            </w:r>
          </w:p>
          <w:p w14:paraId="2FFC5CE0">
            <w:pPr>
              <w:spacing w:line="240" w:lineRule="auto"/>
              <w:jc w:val="left"/>
              <w:rPr>
                <w:rFonts w:ascii="仿宋" w:hAnsi="仿宋" w:cs="仿宋"/>
                <w:szCs w:val="21"/>
              </w:rPr>
            </w:pPr>
            <w:r>
              <w:rPr>
                <w:rFonts w:hint="eastAsia" w:ascii="仿宋" w:hAnsi="仿宋" w:cs="仿宋"/>
              </w:rPr>
              <w:t>本项目专门面向中小企业采购，对小微企业不再给予价格折扣。</w:t>
            </w:r>
          </w:p>
        </w:tc>
        <w:tc>
          <w:tcPr>
            <w:tcW w:w="796" w:type="dxa"/>
            <w:vAlign w:val="center"/>
          </w:tcPr>
          <w:p w14:paraId="65DF8EEB">
            <w:pPr>
              <w:spacing w:line="240" w:lineRule="auto"/>
              <w:jc w:val="center"/>
              <w:outlineLvl w:val="0"/>
              <w:rPr>
                <w:rFonts w:ascii="仿宋" w:hAnsi="仿宋" w:cs="仿宋"/>
                <w:szCs w:val="21"/>
              </w:rPr>
            </w:pPr>
            <w:r>
              <w:rPr>
                <w:rFonts w:hint="eastAsia" w:ascii="仿宋" w:hAnsi="仿宋" w:cs="仿宋_GB2312"/>
              </w:rPr>
              <w:t>30</w:t>
            </w:r>
          </w:p>
        </w:tc>
        <w:tc>
          <w:tcPr>
            <w:tcW w:w="1107" w:type="dxa"/>
            <w:vAlign w:val="center"/>
          </w:tcPr>
          <w:p w14:paraId="7C784781">
            <w:pPr>
              <w:spacing w:line="240" w:lineRule="auto"/>
              <w:jc w:val="left"/>
              <w:outlineLvl w:val="0"/>
              <w:rPr>
                <w:rFonts w:ascii="仿宋" w:hAnsi="仿宋" w:cs="仿宋"/>
                <w:szCs w:val="32"/>
              </w:rPr>
            </w:pPr>
            <w:r>
              <w:rPr>
                <w:rFonts w:hint="eastAsia" w:ascii="仿宋" w:hAnsi="仿宋" w:cs="仿宋_GB2312"/>
              </w:rPr>
              <w:t>客观分</w:t>
            </w:r>
          </w:p>
        </w:tc>
        <w:tc>
          <w:tcPr>
            <w:tcW w:w="1881" w:type="dxa"/>
          </w:tcPr>
          <w:p w14:paraId="1E6D81F2">
            <w:pPr>
              <w:spacing w:line="240" w:lineRule="auto"/>
              <w:jc w:val="left"/>
              <w:outlineLvl w:val="0"/>
              <w:rPr>
                <w:rFonts w:ascii="仿宋" w:hAnsi="仿宋" w:cs="仿宋"/>
              </w:rPr>
            </w:pPr>
          </w:p>
        </w:tc>
      </w:tr>
    </w:tbl>
    <w:p w14:paraId="16675D20">
      <w:pPr>
        <w:spacing w:line="360" w:lineRule="auto"/>
        <w:rPr>
          <w:rFonts w:ascii="仿宋" w:hAnsi="仿宋" w:cs="仿宋"/>
          <w:sz w:val="20"/>
          <w:szCs w:val="20"/>
          <w:shd w:val="clear" w:color="auto" w:fill="FFFFFF"/>
        </w:rPr>
      </w:pPr>
    </w:p>
    <w:p w14:paraId="316680F2">
      <w:pPr>
        <w:rPr>
          <w:rFonts w:ascii="仿宋" w:hAnsi="仿宋" w:cs="仿宋"/>
          <w:b/>
        </w:rPr>
      </w:pPr>
      <w:r>
        <w:rPr>
          <w:rFonts w:hint="eastAsia" w:ascii="仿宋" w:hAnsi="仿宋" w:cs="仿宋"/>
          <w:sz w:val="20"/>
          <w:szCs w:val="20"/>
          <w:shd w:val="clear" w:color="auto" w:fill="FFFFFF"/>
        </w:rPr>
        <w:t>*</w:t>
      </w:r>
      <w:r>
        <w:rPr>
          <w:rFonts w:hint="eastAsia" w:ascii="仿宋" w:hAnsi="仿宋" w:cs="仿宋"/>
          <w:b/>
        </w:rPr>
        <w:t>备注：</w:t>
      </w:r>
      <w:r>
        <w:rPr>
          <w:rFonts w:hint="eastAsia" w:ascii="仿宋" w:hAnsi="仿宋" w:cs="仿宋"/>
        </w:rPr>
        <w:t>投标人编制投标文件（商务技术文件部分）时，建议按此目录（序号和内容）提供评标标准相应的商务技术资料。</w:t>
      </w:r>
    </w:p>
    <w:p w14:paraId="2F7396CC">
      <w:pPr>
        <w:rPr>
          <w:rFonts w:ascii="仿宋" w:hAnsi="仿宋" w:cs="仿宋"/>
          <w:snapToGrid w:val="0"/>
          <w:szCs w:val="21"/>
        </w:rPr>
      </w:pPr>
      <w:r>
        <w:rPr>
          <w:rFonts w:hint="eastAsia" w:ascii="仿宋" w:hAnsi="仿宋" w:cs="仿宋"/>
          <w:b/>
          <w:sz w:val="32"/>
        </w:rPr>
        <w:br w:type="page"/>
      </w:r>
    </w:p>
    <w:p w14:paraId="04C9EEBF">
      <w:pPr>
        <w:pStyle w:val="23"/>
        <w:rPr>
          <w:rFonts w:ascii="仿宋" w:hAnsi="仿宋" w:cs="仿宋"/>
          <w:lang w:val="en-US"/>
        </w:rPr>
      </w:pPr>
    </w:p>
    <w:p w14:paraId="1C819B46">
      <w:pPr>
        <w:numPr>
          <w:ilvl w:val="0"/>
          <w:numId w:val="7"/>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评标方法</w:t>
      </w:r>
    </w:p>
    <w:p w14:paraId="0BBEC67B">
      <w:pPr>
        <w:numPr>
          <w:ilvl w:val="255"/>
          <w:numId w:val="0"/>
        </w:numPr>
        <w:tabs>
          <w:tab w:val="left" w:pos="210"/>
        </w:tabs>
        <w:ind w:firstLine="482" w:firstLineChars="200"/>
        <w:rPr>
          <w:rFonts w:ascii="仿宋" w:hAnsi="仿宋" w:cs="仿宋"/>
          <w:kern w:val="0"/>
        </w:rPr>
      </w:pPr>
      <w:r>
        <w:rPr>
          <w:rFonts w:hint="eastAsia" w:ascii="仿宋" w:hAnsi="仿宋" w:cs="仿宋"/>
          <w:b/>
          <w:kern w:val="0"/>
        </w:rPr>
        <w:t>本项目采用综合评分法。</w:t>
      </w:r>
      <w:r>
        <w:rPr>
          <w:rFonts w:hint="eastAsia" w:ascii="仿宋" w:hAnsi="仿宋" w:cs="仿宋"/>
          <w:kern w:val="0"/>
        </w:rPr>
        <w:t>综合评分法，是指投标文件满足招标文件全部实质性要求，且按照评审因素的量化指标评审得分最高的投标人为中标候选人的评标方法。</w:t>
      </w:r>
    </w:p>
    <w:p w14:paraId="135F75BA">
      <w:pPr>
        <w:numPr>
          <w:ilvl w:val="0"/>
          <w:numId w:val="7"/>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评标标准</w:t>
      </w:r>
    </w:p>
    <w:p w14:paraId="1A1B1C10">
      <w:pPr>
        <w:numPr>
          <w:ilvl w:val="255"/>
          <w:numId w:val="0"/>
        </w:numPr>
        <w:tabs>
          <w:tab w:val="left" w:pos="210"/>
        </w:tabs>
        <w:spacing w:line="360" w:lineRule="auto"/>
        <w:rPr>
          <w:rFonts w:ascii="仿宋" w:hAnsi="仿宋" w:cs="仿宋"/>
          <w:kern w:val="0"/>
        </w:rPr>
      </w:pPr>
      <w:r>
        <w:rPr>
          <w:rFonts w:hint="eastAsia" w:ascii="仿宋" w:hAnsi="仿宋" w:cs="仿宋"/>
          <w:b/>
          <w:bCs/>
          <w:kern w:val="0"/>
        </w:rPr>
        <w:t>评标标准：</w:t>
      </w:r>
      <w:r>
        <w:rPr>
          <w:rFonts w:hint="eastAsia" w:ascii="仿宋" w:hAnsi="仿宋" w:cs="仿宋"/>
          <w:kern w:val="0"/>
        </w:rPr>
        <w:t>见评标办法前附表。</w:t>
      </w:r>
    </w:p>
    <w:p w14:paraId="7E63E65B">
      <w:pPr>
        <w:numPr>
          <w:ilvl w:val="0"/>
          <w:numId w:val="7"/>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评标程序</w:t>
      </w:r>
    </w:p>
    <w:p w14:paraId="5D492538">
      <w:pPr>
        <w:numPr>
          <w:ilvl w:val="1"/>
          <w:numId w:val="8"/>
        </w:numPr>
        <w:ind w:left="0" w:firstLine="0"/>
        <w:jc w:val="left"/>
        <w:rPr>
          <w:rFonts w:ascii="仿宋" w:hAnsi="仿宋" w:cs="仿宋"/>
          <w:kern w:val="0"/>
        </w:rPr>
      </w:pPr>
      <w:r>
        <w:rPr>
          <w:rFonts w:hint="eastAsia" w:ascii="仿宋" w:hAnsi="仿宋" w:cs="仿宋"/>
          <w:b/>
          <w:bCs/>
          <w:kern w:val="0"/>
        </w:rPr>
        <w:t>符合性审查。</w:t>
      </w:r>
      <w:r>
        <w:rPr>
          <w:rFonts w:hint="eastAsia" w:ascii="仿宋" w:hAnsi="仿宋" w:cs="仿宋"/>
          <w:kern w:val="0"/>
        </w:rPr>
        <w:t>评标委员会应当对符合资格的投标人的投标文件进行符合性审查，以确定其是否满足招标文件的实质性要求。不满足招标文件的实质性要求的，投标无效。</w:t>
      </w:r>
    </w:p>
    <w:p w14:paraId="65DDAF42">
      <w:pPr>
        <w:numPr>
          <w:ilvl w:val="1"/>
          <w:numId w:val="8"/>
        </w:numPr>
        <w:ind w:left="0" w:firstLine="0"/>
        <w:jc w:val="left"/>
        <w:rPr>
          <w:rFonts w:ascii="仿宋" w:hAnsi="仿宋" w:cs="仿宋"/>
          <w:b/>
          <w:bCs/>
          <w:kern w:val="0"/>
        </w:rPr>
      </w:pPr>
      <w:r>
        <w:rPr>
          <w:rFonts w:hint="eastAsia" w:ascii="仿宋" w:hAnsi="仿宋" w:cs="仿宋"/>
          <w:b/>
          <w:bCs/>
          <w:kern w:val="0"/>
        </w:rPr>
        <w:t>比较与评价。</w:t>
      </w:r>
      <w:r>
        <w:rPr>
          <w:rFonts w:hint="eastAsia" w:ascii="仿宋" w:hAnsi="仿宋" w:cs="仿宋"/>
          <w:kern w:val="0"/>
        </w:rPr>
        <w:t>评标委员会应当按照招标文件中规定的评标方法和标准，对符合性审查合格的投标文件进行商务和技术评估，综合比较与评价。</w:t>
      </w:r>
    </w:p>
    <w:p w14:paraId="60EC82FD">
      <w:pPr>
        <w:numPr>
          <w:ilvl w:val="1"/>
          <w:numId w:val="8"/>
        </w:numPr>
        <w:ind w:left="0" w:firstLine="0"/>
        <w:jc w:val="left"/>
        <w:rPr>
          <w:rFonts w:ascii="仿宋" w:hAnsi="仿宋" w:cs="仿宋"/>
          <w:kern w:val="0"/>
        </w:rPr>
      </w:pPr>
      <w:r>
        <w:rPr>
          <w:rFonts w:hint="eastAsia" w:ascii="仿宋" w:hAnsi="仿宋" w:cs="仿宋"/>
          <w:b/>
          <w:bCs/>
          <w:kern w:val="0"/>
        </w:rPr>
        <w:t>汇总商务技术得分。</w:t>
      </w:r>
      <w:r>
        <w:rPr>
          <w:rFonts w:hint="eastAsia" w:ascii="仿宋" w:hAnsi="仿宋" w:cs="仿宋"/>
          <w:kern w:val="0"/>
        </w:rPr>
        <w:t>评标委员会各成员应当独立对每个投标人的商务和技术文件进行评价，并汇总商务技术得分情况。</w:t>
      </w:r>
    </w:p>
    <w:p w14:paraId="7C25A00C">
      <w:pPr>
        <w:numPr>
          <w:ilvl w:val="255"/>
          <w:numId w:val="0"/>
        </w:numPr>
        <w:jc w:val="left"/>
        <w:rPr>
          <w:rFonts w:ascii="仿宋" w:hAnsi="仿宋" w:cs="仿宋"/>
          <w:kern w:val="0"/>
        </w:rPr>
      </w:pPr>
      <w:r>
        <w:rPr>
          <w:rFonts w:hint="eastAsia" w:ascii="仿宋" w:hAnsi="仿宋" w:cs="仿宋"/>
          <w:kern w:val="0"/>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14:paraId="7F858A71">
      <w:pPr>
        <w:numPr>
          <w:ilvl w:val="1"/>
          <w:numId w:val="8"/>
        </w:numPr>
        <w:ind w:left="0" w:firstLine="0"/>
        <w:jc w:val="left"/>
        <w:rPr>
          <w:rFonts w:ascii="仿宋" w:hAnsi="仿宋" w:cs="仿宋"/>
          <w:b/>
          <w:bCs/>
          <w:kern w:val="0"/>
        </w:rPr>
      </w:pPr>
      <w:r>
        <w:rPr>
          <w:rFonts w:hint="eastAsia" w:ascii="仿宋" w:hAnsi="仿宋" w:cs="仿宋"/>
          <w:b/>
          <w:bCs/>
          <w:kern w:val="0"/>
        </w:rPr>
        <w:t>报价评审。</w:t>
      </w:r>
    </w:p>
    <w:p w14:paraId="2BA501D0">
      <w:pPr>
        <w:numPr>
          <w:ilvl w:val="2"/>
          <w:numId w:val="8"/>
        </w:numPr>
        <w:ind w:left="0" w:firstLine="0"/>
        <w:jc w:val="left"/>
        <w:rPr>
          <w:rFonts w:ascii="仿宋" w:hAnsi="仿宋" w:cs="仿宋"/>
          <w:b/>
          <w:bCs/>
          <w:kern w:val="0"/>
        </w:rPr>
      </w:pPr>
      <w:r>
        <w:rPr>
          <w:rFonts w:hint="eastAsia" w:ascii="仿宋" w:hAnsi="仿宋" w:cs="仿宋"/>
          <w:b/>
          <w:bCs/>
          <w:kern w:val="0"/>
        </w:rPr>
        <w:t>投标文件报价出现前后不一致的，按照下列规定修正：</w:t>
      </w:r>
    </w:p>
    <w:p w14:paraId="2D8135B3">
      <w:pPr>
        <w:numPr>
          <w:ilvl w:val="3"/>
          <w:numId w:val="8"/>
        </w:numPr>
        <w:ind w:left="0" w:firstLine="0"/>
        <w:jc w:val="left"/>
        <w:rPr>
          <w:rFonts w:ascii="仿宋" w:hAnsi="仿宋" w:cs="仿宋"/>
          <w:kern w:val="0"/>
        </w:rPr>
      </w:pPr>
      <w:r>
        <w:rPr>
          <w:rFonts w:hint="eastAsia" w:ascii="仿宋" w:hAnsi="仿宋" w:cs="仿宋"/>
          <w:kern w:val="0"/>
        </w:rPr>
        <w:t>投标文件中开标一览表(报价表)内容与投标文件中相应内容不一致的，以开标一览表(报价表)为准;</w:t>
      </w:r>
    </w:p>
    <w:p w14:paraId="09E2F6EF">
      <w:pPr>
        <w:numPr>
          <w:ilvl w:val="3"/>
          <w:numId w:val="8"/>
        </w:numPr>
        <w:ind w:left="0" w:firstLine="0"/>
        <w:jc w:val="left"/>
        <w:rPr>
          <w:rFonts w:ascii="仿宋" w:hAnsi="仿宋" w:cs="仿宋"/>
          <w:kern w:val="0"/>
        </w:rPr>
      </w:pPr>
      <w:r>
        <w:rPr>
          <w:rFonts w:hint="eastAsia" w:ascii="仿宋" w:hAnsi="仿宋" w:cs="仿宋"/>
          <w:kern w:val="0"/>
        </w:rPr>
        <w:t>大写金额和小写金额不一致的，以大写金额为准;</w:t>
      </w:r>
    </w:p>
    <w:p w14:paraId="4684832C">
      <w:pPr>
        <w:numPr>
          <w:ilvl w:val="3"/>
          <w:numId w:val="8"/>
        </w:numPr>
        <w:ind w:left="0" w:firstLine="0"/>
        <w:jc w:val="left"/>
        <w:rPr>
          <w:rFonts w:ascii="仿宋" w:hAnsi="仿宋" w:cs="仿宋"/>
          <w:kern w:val="0"/>
        </w:rPr>
      </w:pPr>
      <w:r>
        <w:rPr>
          <w:rFonts w:hint="eastAsia" w:ascii="仿宋" w:hAnsi="仿宋" w:cs="仿宋"/>
          <w:kern w:val="0"/>
        </w:rPr>
        <w:t>单价金额小数点或者百分比有明显错位的，以开标一览表的总价为准，并修改单价;</w:t>
      </w:r>
    </w:p>
    <w:p w14:paraId="752AD9CF">
      <w:pPr>
        <w:numPr>
          <w:ilvl w:val="3"/>
          <w:numId w:val="8"/>
        </w:numPr>
        <w:ind w:left="0" w:firstLine="0"/>
        <w:jc w:val="left"/>
        <w:rPr>
          <w:rFonts w:ascii="仿宋" w:hAnsi="仿宋" w:cs="仿宋"/>
          <w:kern w:val="0"/>
        </w:rPr>
      </w:pPr>
      <w:r>
        <w:rPr>
          <w:rFonts w:hint="eastAsia" w:ascii="仿宋" w:hAnsi="仿宋" w:cs="仿宋"/>
          <w:kern w:val="0"/>
        </w:rPr>
        <w:t>总价金额与按单价汇总金额不一致的，以单价金额计算结果为准。</w:t>
      </w:r>
    </w:p>
    <w:p w14:paraId="0EF9473E">
      <w:pPr>
        <w:numPr>
          <w:ilvl w:val="3"/>
          <w:numId w:val="8"/>
        </w:numPr>
        <w:ind w:left="0" w:firstLine="0"/>
        <w:jc w:val="left"/>
        <w:rPr>
          <w:rFonts w:ascii="仿宋" w:hAnsi="仿宋" w:cs="仿宋"/>
          <w:kern w:val="0"/>
        </w:rPr>
      </w:pPr>
      <w:r>
        <w:rPr>
          <w:rFonts w:hint="eastAsia" w:ascii="仿宋" w:hAnsi="仿宋" w:cs="仿宋"/>
          <w:kern w:val="0"/>
        </w:rPr>
        <w:t>同时出现两种以上不一致的，按照3.4.1规定的顺序修正。修正后的报价按照财政部第87号令 《政府采购货物和服务招标投标管理办法》第五十一条第二款的规定经投标人确认后产生约束力。</w:t>
      </w:r>
    </w:p>
    <w:p w14:paraId="58C6EEF2">
      <w:pPr>
        <w:numPr>
          <w:ilvl w:val="2"/>
          <w:numId w:val="8"/>
        </w:numPr>
        <w:ind w:left="0" w:firstLine="0"/>
        <w:jc w:val="left"/>
        <w:rPr>
          <w:rFonts w:ascii="仿宋" w:hAnsi="仿宋" w:cs="仿宋"/>
          <w:b/>
          <w:bCs/>
          <w:kern w:val="0"/>
        </w:rPr>
      </w:pPr>
      <w:r>
        <w:rPr>
          <w:rFonts w:hint="eastAsia" w:ascii="仿宋" w:hAnsi="仿宋" w:cs="仿宋"/>
          <w:b/>
          <w:bCs/>
          <w:kern w:val="0"/>
        </w:rPr>
        <w:t>投标文件出现不是唯一的、有选择性投标报价的，投标无效。</w:t>
      </w:r>
    </w:p>
    <w:p w14:paraId="34612506">
      <w:pPr>
        <w:numPr>
          <w:ilvl w:val="2"/>
          <w:numId w:val="8"/>
        </w:numPr>
        <w:ind w:left="0" w:firstLine="0"/>
        <w:jc w:val="left"/>
        <w:rPr>
          <w:rFonts w:ascii="仿宋" w:hAnsi="仿宋" w:cs="仿宋"/>
          <w:b/>
          <w:bCs/>
          <w:kern w:val="0"/>
        </w:rPr>
      </w:pPr>
      <w:r>
        <w:rPr>
          <w:rFonts w:hint="eastAsia" w:ascii="仿宋" w:hAnsi="仿宋" w:cs="仿宋"/>
          <w:b/>
          <w:bCs/>
          <w:kern w:val="0"/>
        </w:rPr>
        <w:t>投标报价超过招标文件中规定的预算金额或者最高限价的，投标无效。</w:t>
      </w:r>
    </w:p>
    <w:p w14:paraId="227D26F4">
      <w:pPr>
        <w:numPr>
          <w:ilvl w:val="2"/>
          <w:numId w:val="8"/>
        </w:numPr>
        <w:ind w:left="0" w:firstLine="0"/>
        <w:jc w:val="left"/>
        <w:rPr>
          <w:rFonts w:ascii="仿宋" w:hAnsi="仿宋" w:cs="仿宋"/>
          <w:kern w:val="0"/>
        </w:rPr>
      </w:pPr>
      <w:r>
        <w:rPr>
          <w:rFonts w:hint="eastAsia" w:ascii="仿宋" w:hAnsi="仿宋" w:cs="仿宋"/>
          <w:kern w:val="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D6952FC">
      <w:pPr>
        <w:numPr>
          <w:ilvl w:val="2"/>
          <w:numId w:val="8"/>
        </w:numPr>
        <w:ind w:left="0" w:firstLine="0"/>
        <w:jc w:val="left"/>
        <w:rPr>
          <w:rFonts w:ascii="仿宋" w:hAnsi="仿宋" w:cs="仿宋"/>
          <w:kern w:val="0"/>
        </w:rPr>
      </w:pPr>
      <w:r>
        <w:rPr>
          <w:rFonts w:hint="eastAsia" w:ascii="仿宋" w:hAnsi="仿宋" w:cs="仿宋"/>
          <w:kern w:val="0"/>
        </w:rPr>
        <w:t>对于未预留份额专门面向中小企业的政府采购货物或服务项目，以及预留份额政府采购货物或服务项目中的非预留部分标项，对小型和微型企业的投标报价给予</w:t>
      </w:r>
      <w:r>
        <w:rPr>
          <w:rFonts w:hint="eastAsia" w:ascii="仿宋" w:hAnsi="仿宋" w:cs="仿宋"/>
          <w:b/>
          <w:bCs/>
          <w:color w:val="FF0000"/>
          <w:kern w:val="0"/>
        </w:rPr>
        <w:t>10%</w:t>
      </w:r>
      <w:r>
        <w:rPr>
          <w:rFonts w:hint="eastAsia" w:ascii="仿宋" w:hAnsi="仿宋" w:cs="仿宋"/>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cs="仿宋"/>
          <w:b/>
          <w:bCs/>
          <w:color w:val="FF0000"/>
          <w:kern w:val="0"/>
        </w:rPr>
        <w:t>4%</w:t>
      </w:r>
      <w:r>
        <w:rPr>
          <w:rFonts w:hint="eastAsia" w:ascii="仿宋" w:hAnsi="仿宋" w:cs="仿宋"/>
          <w:kern w:val="0"/>
        </w:rPr>
        <w:t>的扣除，用扣除后的价格参加评审。组成联合体或者接受分包的小微企业与联合体内其他企业、分包企业之间存在直接控股、管理关系的，不享受价格扣除优惠政策。</w:t>
      </w:r>
    </w:p>
    <w:p w14:paraId="79B415C5">
      <w:pPr>
        <w:numPr>
          <w:ilvl w:val="1"/>
          <w:numId w:val="8"/>
        </w:numPr>
        <w:ind w:left="0" w:firstLine="0"/>
        <w:jc w:val="left"/>
        <w:rPr>
          <w:rFonts w:ascii="仿宋" w:hAnsi="仿宋" w:cs="仿宋"/>
          <w:kern w:val="0"/>
        </w:rPr>
      </w:pPr>
      <w:r>
        <w:rPr>
          <w:rFonts w:hint="eastAsia" w:ascii="仿宋" w:hAnsi="仿宋" w:cs="仿宋"/>
          <w:b/>
          <w:bCs/>
          <w:kern w:val="0"/>
        </w:rPr>
        <w:t>排序与推荐。</w:t>
      </w:r>
      <w:r>
        <w:rPr>
          <w:rFonts w:hint="eastAsia" w:ascii="仿宋" w:hAnsi="仿宋" w:cs="仿宋"/>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中标候选人数量：1名。</w:t>
      </w:r>
    </w:p>
    <w:p w14:paraId="22954999">
      <w:pPr>
        <w:ind w:firstLine="480" w:firstLineChars="200"/>
        <w:jc w:val="left"/>
        <w:rPr>
          <w:rFonts w:ascii="仿宋" w:hAnsi="仿宋" w:cs="仿宋"/>
          <w:kern w:val="0"/>
        </w:rPr>
      </w:pPr>
      <w:r>
        <w:rPr>
          <w:rFonts w:hint="eastAsia" w:ascii="仿宋" w:hAnsi="仿宋" w:cs="仿宋"/>
          <w:kern w:val="0"/>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82D181B">
      <w:pPr>
        <w:numPr>
          <w:ilvl w:val="1"/>
          <w:numId w:val="8"/>
        </w:numPr>
        <w:ind w:left="0" w:firstLine="0"/>
        <w:jc w:val="left"/>
        <w:rPr>
          <w:rFonts w:ascii="仿宋" w:hAnsi="仿宋" w:cs="仿宋"/>
        </w:rPr>
      </w:pPr>
      <w:r>
        <w:rPr>
          <w:rFonts w:hint="eastAsia" w:ascii="仿宋" w:hAnsi="仿宋" w:cs="仿宋"/>
          <w:kern w:val="0"/>
        </w:rPr>
        <w:t>评分时保留小数点后1位小数，计算评分值时保留小数点后2位小数。</w:t>
      </w:r>
    </w:p>
    <w:p w14:paraId="1DB74D03">
      <w:pPr>
        <w:numPr>
          <w:ilvl w:val="1"/>
          <w:numId w:val="8"/>
        </w:numPr>
        <w:ind w:left="0" w:firstLine="0"/>
        <w:jc w:val="left"/>
        <w:rPr>
          <w:rFonts w:ascii="仿宋" w:hAnsi="仿宋" w:cs="仿宋"/>
          <w:kern w:val="0"/>
        </w:rPr>
      </w:pPr>
      <w:r>
        <w:rPr>
          <w:rFonts w:hint="eastAsia" w:ascii="仿宋" w:hAnsi="仿宋" w:cs="仿宋"/>
          <w:b/>
          <w:bCs/>
          <w:kern w:val="0"/>
        </w:rPr>
        <w:t>编写评标报告。</w:t>
      </w:r>
      <w:r>
        <w:rPr>
          <w:rFonts w:hint="eastAsia" w:ascii="仿宋" w:hAnsi="仿宋" w:cs="仿宋"/>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2BD4ECC">
      <w:pPr>
        <w:numPr>
          <w:ilvl w:val="0"/>
          <w:numId w:val="7"/>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评标中的其他事项</w:t>
      </w:r>
    </w:p>
    <w:p w14:paraId="6CBD6ADF">
      <w:pPr>
        <w:numPr>
          <w:ilvl w:val="1"/>
          <w:numId w:val="9"/>
        </w:numPr>
        <w:tabs>
          <w:tab w:val="left" w:pos="210"/>
        </w:tabs>
        <w:ind w:left="0" w:firstLine="0"/>
        <w:rPr>
          <w:rFonts w:ascii="仿宋" w:hAnsi="仿宋" w:cs="仿宋"/>
          <w:kern w:val="0"/>
        </w:rPr>
      </w:pPr>
      <w:r>
        <w:rPr>
          <w:rFonts w:hint="eastAsia" w:ascii="仿宋" w:hAnsi="仿宋" w:cs="仿宋"/>
          <w:b/>
          <w:bCs/>
          <w:kern w:val="0"/>
        </w:rPr>
        <w:t>投标人澄清、说明或者补正。</w:t>
      </w:r>
      <w:r>
        <w:rPr>
          <w:rFonts w:hint="eastAsia" w:ascii="仿宋" w:hAnsi="仿宋" w:cs="仿宋"/>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D75123B">
      <w:pPr>
        <w:numPr>
          <w:ilvl w:val="1"/>
          <w:numId w:val="9"/>
        </w:numPr>
        <w:tabs>
          <w:tab w:val="left" w:pos="210"/>
        </w:tabs>
        <w:ind w:left="0" w:firstLine="0"/>
        <w:rPr>
          <w:rFonts w:ascii="仿宋" w:hAnsi="仿宋" w:cs="仿宋"/>
          <w:b/>
          <w:bCs/>
          <w:kern w:val="0"/>
        </w:rPr>
      </w:pPr>
      <w:r>
        <w:rPr>
          <w:rFonts w:hint="eastAsia" w:ascii="仿宋" w:hAnsi="仿宋" w:cs="仿宋"/>
          <w:b/>
          <w:bCs/>
          <w:kern w:val="0"/>
        </w:rPr>
        <w:t>投标无效。有下列情况之一的，投标无效：</w:t>
      </w:r>
    </w:p>
    <w:p w14:paraId="31E7D021">
      <w:pPr>
        <w:numPr>
          <w:ilvl w:val="2"/>
          <w:numId w:val="9"/>
        </w:numPr>
        <w:tabs>
          <w:tab w:val="left" w:pos="210"/>
          <w:tab w:val="left" w:pos="840"/>
        </w:tabs>
        <w:ind w:left="0" w:firstLine="0"/>
        <w:rPr>
          <w:rFonts w:ascii="仿宋" w:hAnsi="仿宋" w:cs="仿宋"/>
          <w:b/>
          <w:bCs/>
          <w:kern w:val="0"/>
        </w:rPr>
      </w:pPr>
      <w:r>
        <w:rPr>
          <w:rFonts w:hint="eastAsia" w:ascii="仿宋" w:hAnsi="仿宋" w:cs="仿宋"/>
          <w:b/>
          <w:bCs/>
          <w:kern w:val="0"/>
        </w:rPr>
        <w:t>投标人不具备招标文件中规定的资格要求的（投标人未提供有效的资格文件的，视为投标人不具备招标文件中规定的资格要求）；</w:t>
      </w:r>
    </w:p>
    <w:p w14:paraId="61A42CF2">
      <w:pPr>
        <w:numPr>
          <w:ilvl w:val="2"/>
          <w:numId w:val="9"/>
        </w:numPr>
        <w:tabs>
          <w:tab w:val="left" w:pos="210"/>
          <w:tab w:val="left" w:pos="840"/>
        </w:tabs>
        <w:ind w:left="0" w:firstLine="0"/>
        <w:rPr>
          <w:rFonts w:ascii="仿宋" w:hAnsi="仿宋" w:cs="仿宋"/>
          <w:b/>
          <w:bCs/>
          <w:kern w:val="0"/>
        </w:rPr>
      </w:pPr>
      <w:r>
        <w:rPr>
          <w:rFonts w:hint="eastAsia" w:ascii="仿宋" w:hAnsi="仿宋" w:cs="仿宋"/>
          <w:b/>
          <w:bCs/>
          <w:kern w:val="0"/>
        </w:rPr>
        <w:t>投标文件未按照招标文件要求签署、盖章的；</w:t>
      </w:r>
    </w:p>
    <w:p w14:paraId="7F8C580F">
      <w:pPr>
        <w:numPr>
          <w:ilvl w:val="2"/>
          <w:numId w:val="9"/>
        </w:numPr>
        <w:tabs>
          <w:tab w:val="left" w:pos="210"/>
          <w:tab w:val="left" w:pos="840"/>
        </w:tabs>
        <w:ind w:left="0" w:firstLine="0"/>
        <w:rPr>
          <w:rFonts w:ascii="仿宋" w:hAnsi="仿宋" w:cs="仿宋"/>
          <w:b/>
          <w:bCs/>
          <w:kern w:val="0"/>
        </w:rPr>
      </w:pPr>
      <w:r>
        <w:rPr>
          <w:rFonts w:hint="eastAsia" w:ascii="仿宋" w:hAnsi="仿宋" w:cs="仿宋"/>
          <w:b/>
          <w:bCs/>
          <w:kern w:val="0"/>
        </w:rPr>
        <w:t>采购人拟采购的产品属于政府强制采购的节能产品品目清单范围的，投标人未按招标文件要求提供国家确定的认证机构出具的、处于有效期之内的节能产品认证证书的；</w:t>
      </w:r>
    </w:p>
    <w:p w14:paraId="3EE7D636">
      <w:pPr>
        <w:numPr>
          <w:ilvl w:val="2"/>
          <w:numId w:val="9"/>
        </w:numPr>
        <w:tabs>
          <w:tab w:val="left" w:pos="210"/>
          <w:tab w:val="left" w:pos="840"/>
        </w:tabs>
        <w:ind w:left="0" w:firstLine="0"/>
        <w:rPr>
          <w:rFonts w:ascii="仿宋" w:hAnsi="仿宋" w:cs="仿宋"/>
          <w:b/>
          <w:bCs/>
          <w:kern w:val="0"/>
        </w:rPr>
      </w:pPr>
      <w:r>
        <w:rPr>
          <w:rFonts w:hint="eastAsia" w:ascii="仿宋" w:hAnsi="仿宋" w:cs="仿宋"/>
          <w:b/>
          <w:bCs/>
          <w:kern w:val="0"/>
        </w:rPr>
        <w:t>投标文件含有采购人不能接受的附加条件的；</w:t>
      </w:r>
    </w:p>
    <w:p w14:paraId="054B8F14">
      <w:pPr>
        <w:numPr>
          <w:ilvl w:val="2"/>
          <w:numId w:val="9"/>
        </w:numPr>
        <w:tabs>
          <w:tab w:val="left" w:pos="210"/>
          <w:tab w:val="left" w:pos="840"/>
        </w:tabs>
        <w:ind w:left="0" w:firstLine="0"/>
        <w:rPr>
          <w:rFonts w:ascii="仿宋" w:hAnsi="仿宋" w:cs="仿宋"/>
          <w:b/>
          <w:bCs/>
          <w:kern w:val="0"/>
        </w:rPr>
      </w:pPr>
      <w:r>
        <w:rPr>
          <w:rFonts w:hint="eastAsia" w:ascii="仿宋" w:hAnsi="仿宋" w:cs="仿宋"/>
          <w:b/>
          <w:bCs/>
          <w:kern w:val="0"/>
        </w:rPr>
        <w:t>投标文件中承诺的投标有效期少于招标文件中载明的投标有效期的；</w:t>
      </w:r>
    </w:p>
    <w:p w14:paraId="3CED95FB">
      <w:pPr>
        <w:numPr>
          <w:ilvl w:val="2"/>
          <w:numId w:val="9"/>
        </w:numPr>
        <w:tabs>
          <w:tab w:val="left" w:pos="210"/>
          <w:tab w:val="left" w:pos="840"/>
        </w:tabs>
        <w:ind w:left="0" w:firstLine="0"/>
        <w:rPr>
          <w:rFonts w:ascii="仿宋" w:hAnsi="仿宋" w:cs="仿宋"/>
          <w:b/>
          <w:bCs/>
          <w:kern w:val="0"/>
        </w:rPr>
      </w:pPr>
      <w:r>
        <w:rPr>
          <w:rFonts w:hint="eastAsia" w:ascii="仿宋" w:hAnsi="仿宋" w:cs="仿宋"/>
          <w:b/>
          <w:bCs/>
          <w:kern w:val="0"/>
        </w:rPr>
        <w:t>投标文件出现不是唯一的、有选择性投标报价的;</w:t>
      </w:r>
    </w:p>
    <w:p w14:paraId="360950D4">
      <w:pPr>
        <w:numPr>
          <w:ilvl w:val="2"/>
          <w:numId w:val="9"/>
        </w:numPr>
        <w:tabs>
          <w:tab w:val="left" w:pos="210"/>
          <w:tab w:val="left" w:pos="840"/>
        </w:tabs>
        <w:ind w:left="0" w:firstLine="0"/>
        <w:rPr>
          <w:rFonts w:ascii="仿宋" w:hAnsi="仿宋" w:cs="仿宋"/>
          <w:b/>
          <w:bCs/>
          <w:kern w:val="0"/>
        </w:rPr>
      </w:pPr>
      <w:r>
        <w:rPr>
          <w:rFonts w:hint="eastAsia" w:ascii="仿宋" w:hAnsi="仿宋" w:cs="仿宋"/>
          <w:b/>
          <w:bCs/>
          <w:kern w:val="0"/>
        </w:rPr>
        <w:t>投标报价超过招标文件中规定的预算金额或者最高限价的;</w:t>
      </w:r>
    </w:p>
    <w:p w14:paraId="07CD7C3C">
      <w:pPr>
        <w:numPr>
          <w:ilvl w:val="2"/>
          <w:numId w:val="9"/>
        </w:numPr>
        <w:tabs>
          <w:tab w:val="left" w:pos="210"/>
          <w:tab w:val="left" w:pos="840"/>
        </w:tabs>
        <w:ind w:left="0" w:firstLine="0"/>
        <w:rPr>
          <w:rFonts w:ascii="仿宋" w:hAnsi="仿宋" w:cs="仿宋"/>
          <w:b/>
          <w:bCs/>
          <w:kern w:val="0"/>
        </w:rPr>
      </w:pPr>
      <w:r>
        <w:rPr>
          <w:rFonts w:hint="eastAsia" w:ascii="仿宋" w:hAnsi="仿宋" w:cs="仿宋"/>
          <w:b/>
          <w:bCs/>
          <w:kern w:val="0"/>
        </w:rPr>
        <w:t>报价明显低于其他通过符合性审查投标人的报价，有可能影响产品质量或者不能诚信履约的，未能按要求提供书面说明或者提交相关证明材料，不能证明其报价合理性的;</w:t>
      </w:r>
    </w:p>
    <w:p w14:paraId="51E01F41">
      <w:pPr>
        <w:numPr>
          <w:ilvl w:val="2"/>
          <w:numId w:val="9"/>
        </w:numPr>
        <w:tabs>
          <w:tab w:val="left" w:pos="210"/>
          <w:tab w:val="left" w:pos="840"/>
        </w:tabs>
        <w:ind w:left="0" w:firstLine="0"/>
        <w:rPr>
          <w:rFonts w:ascii="仿宋" w:hAnsi="仿宋" w:cs="仿宋"/>
          <w:b/>
          <w:bCs/>
          <w:kern w:val="0"/>
        </w:rPr>
      </w:pPr>
      <w:r>
        <w:rPr>
          <w:rFonts w:hint="eastAsia" w:ascii="仿宋" w:hAnsi="仿宋" w:cs="仿宋"/>
          <w:b/>
          <w:bCs/>
          <w:kern w:val="0"/>
        </w:rPr>
        <w:t>投标人对根据修正原则修正后的报价不确认的；</w:t>
      </w:r>
    </w:p>
    <w:p w14:paraId="77D0E703">
      <w:pPr>
        <w:numPr>
          <w:ilvl w:val="2"/>
          <w:numId w:val="9"/>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投标人提供虚假材料投标的；</w:t>
      </w:r>
    </w:p>
    <w:p w14:paraId="53195343">
      <w:pPr>
        <w:numPr>
          <w:ilvl w:val="2"/>
          <w:numId w:val="9"/>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投标人有恶意串通、妨碍其他投标人的竞争行为、损害采购人或者其他投标人的合法权益情形的(如发现供应商之间IP地址、MAC地址或设备硬件号信息相同的，相关供应商均投标无效)；</w:t>
      </w:r>
    </w:p>
    <w:p w14:paraId="577059A4">
      <w:pPr>
        <w:numPr>
          <w:ilvl w:val="2"/>
          <w:numId w:val="9"/>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投标人仅提交备份投标文件，没有在电子交易平台传输递交投标文件的，投标无效；</w:t>
      </w:r>
    </w:p>
    <w:p w14:paraId="3BDF2A3B">
      <w:pPr>
        <w:numPr>
          <w:ilvl w:val="2"/>
          <w:numId w:val="9"/>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投标文件不满足招标文件的其它实质性要求的；</w:t>
      </w:r>
    </w:p>
    <w:p w14:paraId="349A6543">
      <w:pPr>
        <w:numPr>
          <w:ilvl w:val="2"/>
          <w:numId w:val="9"/>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法律、法规、规章及省级以上规范性文件规定的其他无效情形。</w:t>
      </w:r>
    </w:p>
    <w:p w14:paraId="6DB7FE88">
      <w:pPr>
        <w:numPr>
          <w:ilvl w:val="0"/>
          <w:numId w:val="9"/>
        </w:numPr>
        <w:tabs>
          <w:tab w:val="left" w:pos="210"/>
          <w:tab w:val="clear" w:pos="399"/>
        </w:tabs>
        <w:ind w:left="0" w:firstLine="0"/>
        <w:rPr>
          <w:rFonts w:ascii="仿宋" w:hAnsi="仿宋" w:cs="仿宋"/>
          <w:kern w:val="0"/>
        </w:rPr>
      </w:pPr>
      <w:r>
        <w:rPr>
          <w:rFonts w:hint="eastAsia" w:ascii="仿宋" w:hAnsi="仿宋" w:cs="仿宋"/>
          <w:b/>
          <w:bCs/>
          <w:kern w:val="0"/>
        </w:rPr>
        <w:t>废标。</w:t>
      </w:r>
      <w:r>
        <w:rPr>
          <w:rFonts w:hint="eastAsia" w:ascii="仿宋" w:hAnsi="仿宋" w:cs="仿宋"/>
          <w:kern w:val="0"/>
        </w:rPr>
        <w:t>根据《中华人民共和国政府采购法》第三十六条之规定，在采购中，出现下列情形之一的，应予废标：</w:t>
      </w:r>
    </w:p>
    <w:p w14:paraId="40CD57C5">
      <w:pPr>
        <w:numPr>
          <w:ilvl w:val="1"/>
          <w:numId w:val="9"/>
        </w:numPr>
        <w:tabs>
          <w:tab w:val="left" w:pos="210"/>
        </w:tabs>
        <w:ind w:left="0" w:firstLine="0"/>
        <w:rPr>
          <w:rFonts w:ascii="仿宋" w:hAnsi="仿宋" w:cs="仿宋"/>
          <w:kern w:val="0"/>
        </w:rPr>
      </w:pPr>
      <w:r>
        <w:rPr>
          <w:rFonts w:hint="eastAsia" w:ascii="仿宋" w:hAnsi="仿宋" w:cs="仿宋"/>
          <w:kern w:val="0"/>
        </w:rPr>
        <w:t>符合专业条件的供应商或者对招标文件作实质响应的供应商不足3家的；</w:t>
      </w:r>
    </w:p>
    <w:p w14:paraId="3B087880">
      <w:pPr>
        <w:numPr>
          <w:ilvl w:val="1"/>
          <w:numId w:val="9"/>
        </w:numPr>
        <w:tabs>
          <w:tab w:val="left" w:pos="210"/>
        </w:tabs>
        <w:ind w:left="0" w:firstLine="0"/>
        <w:rPr>
          <w:rFonts w:ascii="仿宋" w:hAnsi="仿宋" w:cs="仿宋"/>
          <w:kern w:val="0"/>
        </w:rPr>
      </w:pPr>
      <w:r>
        <w:rPr>
          <w:rFonts w:hint="eastAsia" w:ascii="仿宋" w:hAnsi="仿宋" w:cs="仿宋"/>
          <w:kern w:val="0"/>
        </w:rPr>
        <w:t>出现影响采购公正的违法、违规行为的；</w:t>
      </w:r>
    </w:p>
    <w:p w14:paraId="347D16E6">
      <w:pPr>
        <w:numPr>
          <w:ilvl w:val="1"/>
          <w:numId w:val="9"/>
        </w:numPr>
        <w:tabs>
          <w:tab w:val="left" w:pos="210"/>
        </w:tabs>
        <w:ind w:left="0" w:firstLine="0"/>
        <w:rPr>
          <w:rFonts w:ascii="仿宋" w:hAnsi="仿宋" w:cs="仿宋"/>
          <w:kern w:val="0"/>
        </w:rPr>
      </w:pPr>
      <w:r>
        <w:rPr>
          <w:rFonts w:hint="eastAsia" w:ascii="仿宋" w:hAnsi="仿宋" w:cs="仿宋"/>
          <w:kern w:val="0"/>
        </w:rPr>
        <w:t>投标人的报价均超过了采购预算，采购人不能支付的；</w:t>
      </w:r>
    </w:p>
    <w:p w14:paraId="2B90672A">
      <w:pPr>
        <w:numPr>
          <w:ilvl w:val="1"/>
          <w:numId w:val="9"/>
        </w:numPr>
        <w:tabs>
          <w:tab w:val="left" w:pos="210"/>
        </w:tabs>
        <w:ind w:left="0" w:firstLine="0"/>
        <w:rPr>
          <w:rFonts w:ascii="仿宋" w:hAnsi="仿宋" w:cs="仿宋"/>
          <w:kern w:val="0"/>
        </w:rPr>
      </w:pPr>
      <w:r>
        <w:rPr>
          <w:rFonts w:hint="eastAsia" w:ascii="仿宋" w:hAnsi="仿宋" w:cs="仿宋"/>
          <w:kern w:val="0"/>
        </w:rPr>
        <w:t>因重大变故，采购任务取消的。</w:t>
      </w:r>
    </w:p>
    <w:p w14:paraId="4A632BAA">
      <w:pPr>
        <w:pStyle w:val="24"/>
        <w:spacing w:line="312" w:lineRule="auto"/>
        <w:ind w:firstLine="0" w:firstLineChars="0"/>
        <w:rPr>
          <w:rFonts w:ascii="仿宋" w:hAnsi="仿宋" w:cs="仿宋"/>
        </w:rPr>
      </w:pPr>
      <w:r>
        <w:rPr>
          <w:rFonts w:hint="eastAsia" w:ascii="仿宋" w:hAnsi="仿宋" w:cs="仿宋"/>
        </w:rPr>
        <w:t>废标后，采购代理机构应当将废标理由通知所有投标人。</w:t>
      </w:r>
    </w:p>
    <w:p w14:paraId="339FBCD0">
      <w:pPr>
        <w:numPr>
          <w:ilvl w:val="0"/>
          <w:numId w:val="9"/>
        </w:numPr>
        <w:tabs>
          <w:tab w:val="left" w:pos="210"/>
          <w:tab w:val="clear" w:pos="399"/>
        </w:tabs>
        <w:ind w:left="0" w:firstLine="0"/>
        <w:rPr>
          <w:rFonts w:ascii="仿宋" w:hAnsi="仿宋" w:cs="仿宋"/>
          <w:kern w:val="0"/>
        </w:rPr>
      </w:pPr>
      <w:r>
        <w:rPr>
          <w:rFonts w:hint="eastAsia" w:ascii="仿宋" w:hAnsi="仿宋" w:cs="仿宋"/>
          <w:b/>
          <w:bCs/>
          <w:kern w:val="0"/>
        </w:rPr>
        <w:t>修改招标文件，重新组织采购活动。</w:t>
      </w:r>
      <w:r>
        <w:rPr>
          <w:rFonts w:hint="eastAsia" w:ascii="仿宋" w:hAnsi="仿宋" w:cs="仿宋"/>
          <w:kern w:val="0"/>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5A3FD09">
      <w:pPr>
        <w:numPr>
          <w:ilvl w:val="0"/>
          <w:numId w:val="9"/>
        </w:numPr>
        <w:tabs>
          <w:tab w:val="left" w:pos="210"/>
          <w:tab w:val="clear" w:pos="399"/>
        </w:tabs>
        <w:ind w:left="0" w:firstLine="0"/>
        <w:rPr>
          <w:rFonts w:ascii="仿宋" w:hAnsi="仿宋" w:cs="仿宋"/>
          <w:kern w:val="0"/>
        </w:rPr>
      </w:pPr>
      <w:r>
        <w:rPr>
          <w:rFonts w:hint="eastAsia" w:ascii="仿宋" w:hAnsi="仿宋" w:cs="仿宋"/>
          <w:b/>
          <w:bCs/>
          <w:kern w:val="0"/>
        </w:rPr>
        <w:t>重新开展采购。</w:t>
      </w:r>
      <w:r>
        <w:rPr>
          <w:rFonts w:hint="eastAsia" w:ascii="仿宋" w:hAnsi="仿宋" w:cs="仿宋"/>
          <w:kern w:val="0"/>
        </w:rPr>
        <w:t>有政府采购法第七十一条、第七十二条规定的违法行为之一，影响或者可能影响中标、成交结果的，依照下列规定处理：</w:t>
      </w:r>
    </w:p>
    <w:p w14:paraId="6283368B">
      <w:pPr>
        <w:numPr>
          <w:ilvl w:val="1"/>
          <w:numId w:val="10"/>
        </w:numPr>
        <w:tabs>
          <w:tab w:val="left" w:pos="210"/>
        </w:tabs>
        <w:ind w:left="0" w:firstLine="0"/>
        <w:rPr>
          <w:rFonts w:ascii="仿宋" w:hAnsi="仿宋" w:cs="仿宋"/>
          <w:kern w:val="0"/>
        </w:rPr>
      </w:pPr>
      <w:r>
        <w:rPr>
          <w:rFonts w:hint="eastAsia" w:ascii="仿宋" w:hAnsi="仿宋" w:cs="仿宋"/>
          <w:kern w:val="0"/>
        </w:rPr>
        <w:t>未确定中标或者中标人的，终止本次政府采购活动，重新开展政府采购活动。</w:t>
      </w:r>
    </w:p>
    <w:p w14:paraId="3479303A">
      <w:pPr>
        <w:numPr>
          <w:ilvl w:val="1"/>
          <w:numId w:val="10"/>
        </w:numPr>
        <w:tabs>
          <w:tab w:val="left" w:pos="210"/>
        </w:tabs>
        <w:ind w:left="0" w:firstLine="0"/>
        <w:rPr>
          <w:rFonts w:ascii="仿宋" w:hAnsi="仿宋" w:cs="仿宋"/>
          <w:kern w:val="0"/>
        </w:rPr>
      </w:pPr>
      <w:r>
        <w:rPr>
          <w:rFonts w:hint="eastAsia" w:ascii="仿宋" w:hAnsi="仿宋" w:cs="仿宋"/>
          <w:kern w:val="0"/>
        </w:rPr>
        <w:t>已确定中标或者中标人但尚未签订政府采购合同的，中标或者成交结果无效，从合格的中标或者成交候选人中另行确定中标或者中标人；没有合格的中标或者成交候选人的，重新开展政府采购活动。</w:t>
      </w:r>
    </w:p>
    <w:p w14:paraId="6FF9EB09">
      <w:pPr>
        <w:numPr>
          <w:ilvl w:val="1"/>
          <w:numId w:val="10"/>
        </w:numPr>
        <w:tabs>
          <w:tab w:val="left" w:pos="210"/>
        </w:tabs>
        <w:ind w:left="0" w:firstLine="0"/>
        <w:rPr>
          <w:rFonts w:ascii="仿宋" w:hAnsi="仿宋" w:cs="仿宋"/>
          <w:kern w:val="0"/>
        </w:rPr>
      </w:pPr>
      <w:r>
        <w:rPr>
          <w:rFonts w:hint="eastAsia" w:ascii="仿宋" w:hAnsi="仿宋" w:cs="仿宋"/>
          <w:kern w:val="0"/>
        </w:rPr>
        <w:t>政府采购合同已签订但尚未履行的，撤销合同，从合格的中标或者成交候选人中另行确定中标或者中标人；没有合格的中标或者成交候选人的，重新开展政府采购活动。</w:t>
      </w:r>
    </w:p>
    <w:p w14:paraId="38DC119A">
      <w:pPr>
        <w:numPr>
          <w:ilvl w:val="1"/>
          <w:numId w:val="10"/>
        </w:numPr>
        <w:tabs>
          <w:tab w:val="left" w:pos="210"/>
        </w:tabs>
        <w:ind w:left="0" w:firstLine="0"/>
        <w:rPr>
          <w:rFonts w:ascii="仿宋" w:hAnsi="仿宋" w:cs="仿宋"/>
          <w:kern w:val="0"/>
        </w:rPr>
      </w:pPr>
      <w:r>
        <w:rPr>
          <w:rFonts w:hint="eastAsia" w:ascii="仿宋" w:hAnsi="仿宋" w:cs="仿宋"/>
          <w:kern w:val="0"/>
        </w:rPr>
        <w:t>政府采购合同已经履行，给采购人、供应商造成损失的，由责任人承担赔偿责任。</w:t>
      </w:r>
    </w:p>
    <w:p w14:paraId="7A6FB333">
      <w:pPr>
        <w:numPr>
          <w:ilvl w:val="1"/>
          <w:numId w:val="10"/>
        </w:numPr>
        <w:tabs>
          <w:tab w:val="left" w:pos="210"/>
        </w:tabs>
        <w:ind w:left="0" w:firstLine="0"/>
        <w:rPr>
          <w:rFonts w:ascii="仿宋" w:hAnsi="仿宋" w:cs="仿宋"/>
          <w:kern w:val="0"/>
        </w:rPr>
      </w:pPr>
      <w:r>
        <w:rPr>
          <w:rFonts w:hint="eastAsia" w:ascii="仿宋" w:hAnsi="仿宋" w:cs="仿宋"/>
          <w:kern w:val="0"/>
        </w:rPr>
        <w:t>政府采购当事人有其他违反政府采购法或者政府采购法实施条例等法律法规规定的行为，经改正后仍然影响或者可能影响中标、成交结果或者依法被认定为中标、成交无效的，依照7.1-7.4规定处理。</w:t>
      </w:r>
    </w:p>
    <w:p w14:paraId="3EF06EB3">
      <w:pPr>
        <w:spacing w:line="360" w:lineRule="auto"/>
        <w:jc w:val="center"/>
        <w:outlineLvl w:val="0"/>
        <w:rPr>
          <w:rFonts w:ascii="仿宋" w:hAnsi="仿宋" w:cs="仿宋"/>
          <w:b/>
          <w:sz w:val="36"/>
          <w:szCs w:val="36"/>
        </w:rPr>
      </w:pPr>
      <w:r>
        <w:rPr>
          <w:rFonts w:hint="eastAsia" w:ascii="仿宋" w:hAnsi="仿宋" w:cs="仿宋"/>
          <w:b/>
          <w:sz w:val="36"/>
          <w:szCs w:val="36"/>
        </w:rPr>
        <w:br w:type="page"/>
      </w:r>
      <w:r>
        <w:rPr>
          <w:rFonts w:hint="eastAsia" w:ascii="仿宋" w:hAnsi="仿宋" w:cs="仿宋"/>
          <w:b/>
          <w:sz w:val="36"/>
          <w:szCs w:val="36"/>
        </w:rPr>
        <w:t>第五部分  拟签订的合同文本</w:t>
      </w:r>
    </w:p>
    <w:bookmarkEnd w:id="34"/>
    <w:p w14:paraId="4EEE2E59">
      <w:pPr>
        <w:spacing w:line="360" w:lineRule="auto"/>
        <w:ind w:firstLine="458" w:firstLineChars="200"/>
        <w:jc w:val="center"/>
        <w:rPr>
          <w:rFonts w:ascii="仿宋" w:hAnsi="仿宋" w:cs="仿宋"/>
          <w:spacing w:val="-6"/>
        </w:rPr>
      </w:pPr>
      <w:bookmarkStart w:id="410" w:name="_Toc11753"/>
      <w:bookmarkStart w:id="411" w:name="第五部分"/>
      <w:bookmarkStart w:id="412" w:name="_Toc86217003"/>
      <w:r>
        <w:rPr>
          <w:rFonts w:hint="eastAsia" w:ascii="仿宋" w:hAnsi="仿宋" w:cs="仿宋"/>
          <w:b/>
          <w:spacing w:val="-6"/>
        </w:rPr>
        <w:t>浙江工业大学采购合同</w:t>
      </w:r>
      <w:bookmarkEnd w:id="410"/>
    </w:p>
    <w:p w14:paraId="38BDB55D">
      <w:pPr>
        <w:spacing w:line="360" w:lineRule="auto"/>
        <w:rPr>
          <w:rFonts w:ascii="仿宋" w:hAnsi="仿宋" w:cs="仿宋"/>
          <w:spacing w:val="-6"/>
        </w:rPr>
      </w:pPr>
      <w:r>
        <w:rPr>
          <w:rFonts w:hint="eastAsia" w:ascii="仿宋" w:hAnsi="仿宋" w:cs="仿宋"/>
          <w:spacing w:val="-6"/>
        </w:rPr>
        <w:t>（本合同为合同样稿，最终稿由四方协商后确定，合同实质性内容不得更改；签订合同时删除此行）</w:t>
      </w:r>
    </w:p>
    <w:p w14:paraId="111D97E8">
      <w:pPr>
        <w:wordWrap w:val="0"/>
        <w:spacing w:line="288" w:lineRule="auto"/>
        <w:ind w:firstLine="480" w:firstLineChars="200"/>
        <w:jc w:val="right"/>
        <w:rPr>
          <w:rFonts w:ascii="仿宋" w:hAnsi="仿宋" w:cs="仿宋"/>
        </w:rPr>
      </w:pPr>
      <w:r>
        <w:rPr>
          <w:rFonts w:hint="eastAsia" w:ascii="仿宋" w:hAnsi="仿宋" w:cs="仿宋"/>
        </w:rPr>
        <w:t>委托编号：ZJGDZC(W)-2024-GJ054</w:t>
      </w:r>
    </w:p>
    <w:p w14:paraId="359C0A8F">
      <w:pPr>
        <w:wordWrap w:val="0"/>
        <w:spacing w:line="288" w:lineRule="auto"/>
        <w:ind w:firstLine="480" w:firstLineChars="200"/>
        <w:jc w:val="right"/>
        <w:rPr>
          <w:rFonts w:ascii="仿宋" w:hAnsi="仿宋" w:cs="仿宋"/>
        </w:rPr>
      </w:pPr>
      <w:r>
        <w:rPr>
          <w:rFonts w:hint="eastAsia" w:ascii="仿宋" w:hAnsi="仿宋" w:cs="仿宋"/>
        </w:rPr>
        <w:t xml:space="preserve">确认书号：[2024]30154         </w:t>
      </w:r>
    </w:p>
    <w:p w14:paraId="73A971CE">
      <w:pPr>
        <w:wordWrap w:val="0"/>
        <w:spacing w:line="288" w:lineRule="auto"/>
        <w:ind w:firstLine="480" w:firstLineChars="200"/>
        <w:jc w:val="right"/>
        <w:rPr>
          <w:rFonts w:ascii="仿宋" w:hAnsi="仿宋" w:cs="仿宋"/>
        </w:rPr>
      </w:pPr>
      <w:r>
        <w:rPr>
          <w:rFonts w:hint="eastAsia" w:ascii="仿宋" w:hAnsi="仿宋" w:cs="仿宋"/>
        </w:rPr>
        <w:t>项目编号：</w:t>
      </w:r>
      <w:r>
        <w:rPr>
          <w:rFonts w:hint="eastAsia" w:ascii="仿宋" w:hAnsi="仿宋" w:cs="仿宋"/>
          <w:color w:val="000000"/>
          <w:kern w:val="0"/>
          <w:lang w:eastAsia="zh-CN"/>
        </w:rPr>
        <w:t>ZJ-2443476</w:t>
      </w:r>
      <w:r>
        <w:rPr>
          <w:rFonts w:hint="eastAsia" w:ascii="仿宋" w:hAnsi="仿宋" w:cs="仿宋"/>
          <w:color w:val="000000"/>
          <w:kern w:val="0"/>
        </w:rPr>
        <w:t xml:space="preserve">          </w:t>
      </w:r>
    </w:p>
    <w:p w14:paraId="6248BC9E">
      <w:pPr>
        <w:spacing w:line="288" w:lineRule="auto"/>
        <w:ind w:firstLine="480" w:firstLineChars="200"/>
        <w:rPr>
          <w:rFonts w:ascii="仿宋" w:hAnsi="仿宋" w:cs="仿宋"/>
        </w:rPr>
      </w:pPr>
      <w:r>
        <w:rPr>
          <w:rFonts w:hint="eastAsia" w:ascii="仿宋" w:hAnsi="仿宋" w:cs="仿宋"/>
        </w:rPr>
        <w:t>甲方（采购方）：浙江工业大学</w:t>
      </w:r>
    </w:p>
    <w:p w14:paraId="01B81ECD">
      <w:pPr>
        <w:spacing w:line="288" w:lineRule="auto"/>
        <w:ind w:firstLine="480" w:firstLineChars="200"/>
        <w:rPr>
          <w:rFonts w:ascii="仿宋" w:hAnsi="仿宋" w:cs="仿宋"/>
        </w:rPr>
      </w:pPr>
      <w:r>
        <w:rPr>
          <w:rFonts w:hint="eastAsia" w:ascii="仿宋" w:hAnsi="仿宋" w:cs="仿宋"/>
        </w:rPr>
        <w:t>乙方（供应方）：</w:t>
      </w:r>
    </w:p>
    <w:p w14:paraId="0A369B56">
      <w:pPr>
        <w:spacing w:line="288" w:lineRule="auto"/>
        <w:ind w:firstLine="480" w:firstLineChars="200"/>
        <w:rPr>
          <w:rFonts w:ascii="仿宋" w:hAnsi="仿宋" w:cs="仿宋"/>
        </w:rPr>
      </w:pPr>
      <w:r>
        <w:rPr>
          <w:rFonts w:hint="eastAsia" w:ascii="仿宋" w:hAnsi="仿宋" w:cs="仿宋"/>
        </w:rPr>
        <w:t>丙方（使用方）：浙江工业大学XX学院/部门</w:t>
      </w:r>
    </w:p>
    <w:p w14:paraId="5F154873">
      <w:pPr>
        <w:spacing w:line="288" w:lineRule="auto"/>
        <w:ind w:firstLine="480" w:firstLineChars="200"/>
        <w:rPr>
          <w:rFonts w:ascii="仿宋" w:hAnsi="仿宋" w:cs="仿宋"/>
        </w:rPr>
      </w:pPr>
      <w:r>
        <w:rPr>
          <w:rFonts w:hint="eastAsia" w:ascii="仿宋" w:hAnsi="仿宋" w:cs="仿宋"/>
        </w:rPr>
        <w:t>采购代理机构（鉴证方）：浙江国际招投标有限公司</w:t>
      </w:r>
    </w:p>
    <w:p w14:paraId="46948F04">
      <w:pPr>
        <w:spacing w:line="288" w:lineRule="auto"/>
        <w:ind w:firstLine="480" w:firstLineChars="200"/>
        <w:rPr>
          <w:rFonts w:ascii="仿宋" w:hAnsi="仿宋" w:cs="仿宋"/>
        </w:rPr>
      </w:pPr>
      <w:r>
        <w:rPr>
          <w:rFonts w:hint="eastAsia" w:ascii="仿宋" w:hAnsi="仿宋" w:cs="仿宋"/>
        </w:rPr>
        <w:t>甲、乙、丙三方根据浙江国际招投标有限公司关于浙江工业大学_______项目公开招标的结果，签署本合同。</w:t>
      </w:r>
    </w:p>
    <w:p w14:paraId="624C4D9F">
      <w:pPr>
        <w:spacing w:line="288" w:lineRule="auto"/>
        <w:ind w:firstLine="482" w:firstLineChars="200"/>
        <w:rPr>
          <w:rFonts w:ascii="仿宋" w:hAnsi="仿宋" w:cs="仿宋"/>
          <w:b/>
          <w:bCs/>
        </w:rPr>
      </w:pPr>
      <w:r>
        <w:rPr>
          <w:rFonts w:hint="eastAsia" w:ascii="仿宋" w:hAnsi="仿宋" w:cs="仿宋"/>
          <w:b/>
          <w:bCs/>
        </w:rPr>
        <w:t>一、货物内容</w:t>
      </w:r>
    </w:p>
    <w:p w14:paraId="6E8F138C">
      <w:pPr>
        <w:spacing w:line="288" w:lineRule="auto"/>
        <w:ind w:firstLine="480" w:firstLineChars="200"/>
        <w:rPr>
          <w:rFonts w:ascii="仿宋" w:hAnsi="仿宋" w:cs="仿宋"/>
        </w:rPr>
      </w:pPr>
      <w:r>
        <w:rPr>
          <w:rFonts w:hint="eastAsia" w:ascii="仿宋" w:hAnsi="仿宋" w:cs="仿宋"/>
        </w:rPr>
        <w:t>乙方保证本合同中所供应的国产商品是</w:t>
      </w:r>
      <w:r>
        <w:rPr>
          <w:rFonts w:hint="eastAsia" w:ascii="仿宋" w:hAnsi="仿宋" w:cs="仿宋"/>
          <w:u w:val="single"/>
        </w:rPr>
        <w:t>2024</w:t>
      </w:r>
      <w:r>
        <w:rPr>
          <w:rFonts w:hint="eastAsia" w:ascii="仿宋" w:hAnsi="仿宋" w:cs="仿宋"/>
        </w:rPr>
        <w:t>年</w:t>
      </w:r>
      <w:r>
        <w:rPr>
          <w:rFonts w:hint="eastAsia" w:ascii="仿宋" w:hAnsi="仿宋" w:cs="仿宋"/>
          <w:u w:val="single"/>
        </w:rPr>
        <w:t xml:space="preserve">  </w:t>
      </w:r>
      <w:r>
        <w:rPr>
          <w:rFonts w:hint="eastAsia" w:ascii="仿宋" w:hAnsi="仿宋" w:cs="仿宋"/>
        </w:rPr>
        <w:t>月</w:t>
      </w:r>
      <w:r>
        <w:rPr>
          <w:rFonts w:hint="eastAsia" w:ascii="仿宋" w:hAnsi="仿宋" w:cs="仿宋"/>
          <w:u w:val="single"/>
        </w:rPr>
        <w:t xml:space="preserve">  </w:t>
      </w:r>
      <w:r>
        <w:rPr>
          <w:rFonts w:hint="eastAsia" w:ascii="仿宋" w:hAnsi="仿宋" w:cs="仿宋"/>
        </w:rPr>
        <w:t>日以后生产的符合国家技术规格和质量标准的出厂原装合格产品；进口商品是获得国家商检局颁布安全许可证的出厂原装合格产品。如发生所供商品与合同不符，甲方有权拒收或退货，由此产生的一切责任和后果由乙方承担。</w:t>
      </w:r>
    </w:p>
    <w:p w14:paraId="673531BC">
      <w:pPr>
        <w:spacing w:line="288" w:lineRule="auto"/>
        <w:ind w:firstLine="480" w:firstLineChars="200"/>
        <w:rPr>
          <w:rFonts w:ascii="仿宋" w:hAnsi="仿宋" w:cs="仿宋"/>
        </w:rPr>
      </w:pPr>
      <w:r>
        <w:rPr>
          <w:rFonts w:hint="eastAsia" w:ascii="仿宋" w:hAnsi="仿宋" w:cs="仿宋"/>
        </w:rPr>
        <w:t>1.货物名称：[          ]</w:t>
      </w:r>
    </w:p>
    <w:p w14:paraId="1672472E">
      <w:pPr>
        <w:spacing w:line="288" w:lineRule="auto"/>
        <w:ind w:firstLine="480" w:firstLineChars="200"/>
        <w:rPr>
          <w:rFonts w:ascii="仿宋" w:hAnsi="仿宋" w:cs="仿宋"/>
        </w:rPr>
      </w:pPr>
      <w:r>
        <w:rPr>
          <w:rFonts w:hint="eastAsia" w:ascii="仿宋" w:hAnsi="仿宋" w:cs="仿宋"/>
        </w:rPr>
        <w:t>2.型号规格：[          ]</w:t>
      </w:r>
    </w:p>
    <w:p w14:paraId="3C3F2249">
      <w:pPr>
        <w:spacing w:line="288" w:lineRule="auto"/>
        <w:ind w:firstLine="480" w:firstLineChars="200"/>
        <w:rPr>
          <w:rFonts w:ascii="仿宋" w:hAnsi="仿宋" w:cs="仿宋"/>
        </w:rPr>
      </w:pPr>
      <w:r>
        <w:rPr>
          <w:rFonts w:hint="eastAsia" w:ascii="仿宋" w:hAnsi="仿宋" w:cs="仿宋"/>
        </w:rPr>
        <w:t>3.技术参数：[          ]</w:t>
      </w:r>
    </w:p>
    <w:p w14:paraId="6BB8B34D">
      <w:pPr>
        <w:spacing w:line="288" w:lineRule="auto"/>
        <w:ind w:firstLine="480" w:firstLineChars="200"/>
        <w:rPr>
          <w:rFonts w:ascii="仿宋" w:hAnsi="仿宋" w:cs="仿宋"/>
        </w:rPr>
      </w:pPr>
      <w:r>
        <w:rPr>
          <w:rFonts w:hint="eastAsia" w:ascii="仿宋" w:hAnsi="仿宋" w:cs="仿宋"/>
        </w:rPr>
        <w:t>4.数量（单位）：[          ]</w:t>
      </w:r>
    </w:p>
    <w:p w14:paraId="2486734D">
      <w:pPr>
        <w:spacing w:line="288" w:lineRule="auto"/>
        <w:ind w:firstLine="480" w:firstLineChars="200"/>
        <w:rPr>
          <w:rFonts w:ascii="仿宋" w:hAnsi="仿宋" w:cs="仿宋"/>
        </w:rPr>
      </w:pPr>
      <w:r>
        <w:rPr>
          <w:rFonts w:hint="eastAsia" w:ascii="仿宋" w:hAnsi="仿宋" w:cs="仿宋"/>
        </w:rPr>
        <w:t>（注：商品型号、数量、配置等要求等详见附件清单）</w:t>
      </w:r>
    </w:p>
    <w:p w14:paraId="4096F48E">
      <w:pPr>
        <w:spacing w:line="288" w:lineRule="auto"/>
        <w:ind w:firstLine="482" w:firstLineChars="200"/>
        <w:rPr>
          <w:rFonts w:ascii="仿宋" w:hAnsi="仿宋" w:cs="仿宋"/>
          <w:b/>
          <w:bCs/>
        </w:rPr>
      </w:pPr>
      <w:r>
        <w:rPr>
          <w:rFonts w:hint="eastAsia" w:ascii="仿宋" w:hAnsi="仿宋" w:cs="仿宋"/>
          <w:b/>
          <w:bCs/>
        </w:rPr>
        <w:t>二、合同金额</w:t>
      </w:r>
    </w:p>
    <w:p w14:paraId="22D8A80E">
      <w:pPr>
        <w:spacing w:line="288" w:lineRule="auto"/>
        <w:ind w:firstLine="480" w:firstLineChars="200"/>
        <w:rPr>
          <w:rFonts w:ascii="仿宋" w:hAnsi="仿宋" w:cs="仿宋"/>
        </w:rPr>
      </w:pPr>
      <w:r>
        <w:rPr>
          <w:rFonts w:hint="eastAsia" w:ascii="仿宋" w:hAnsi="仿宋" w:cs="仿宋"/>
        </w:rPr>
        <w:t>本合同金额为人民币（大写[          ]）元（¥[          ]）</w:t>
      </w:r>
    </w:p>
    <w:p w14:paraId="39EC0BDE">
      <w:pPr>
        <w:spacing w:line="288" w:lineRule="auto"/>
        <w:ind w:firstLine="480" w:firstLineChars="200"/>
        <w:rPr>
          <w:rFonts w:ascii="仿宋" w:hAnsi="仿宋" w:cs="仿宋"/>
        </w:rPr>
      </w:pPr>
      <w:r>
        <w:rPr>
          <w:rFonts w:hint="eastAsia" w:ascii="仿宋" w:hAnsi="仿宋" w:cs="仿宋"/>
        </w:rPr>
        <w:t>注：以上合同总价包括运抵各使用单位的运费及安装调试费等相关费用。</w:t>
      </w:r>
    </w:p>
    <w:p w14:paraId="4367E3DB">
      <w:pPr>
        <w:spacing w:line="288" w:lineRule="auto"/>
        <w:ind w:firstLine="482" w:firstLineChars="200"/>
        <w:rPr>
          <w:rFonts w:ascii="仿宋" w:hAnsi="仿宋" w:cs="仿宋"/>
          <w:b/>
          <w:bCs/>
        </w:rPr>
      </w:pPr>
      <w:r>
        <w:rPr>
          <w:rFonts w:hint="eastAsia" w:ascii="仿宋" w:hAnsi="仿宋" w:cs="仿宋"/>
          <w:b/>
          <w:bCs/>
        </w:rPr>
        <w:t>三、技术资料</w:t>
      </w:r>
    </w:p>
    <w:p w14:paraId="4D3BF002">
      <w:pPr>
        <w:spacing w:line="288" w:lineRule="auto"/>
        <w:ind w:firstLine="480" w:firstLineChars="200"/>
        <w:rPr>
          <w:rFonts w:ascii="仿宋" w:hAnsi="仿宋" w:cs="仿宋"/>
        </w:rPr>
      </w:pPr>
      <w:r>
        <w:rPr>
          <w:rFonts w:hint="eastAsia" w:ascii="仿宋" w:hAnsi="仿宋" w:cs="仿宋"/>
        </w:rPr>
        <w:t>1.乙方应按招标文件规定的时间向丙方提供使用货物的有关技术资料。</w:t>
      </w:r>
    </w:p>
    <w:p w14:paraId="25FEBE26">
      <w:pPr>
        <w:spacing w:line="288" w:lineRule="auto"/>
        <w:ind w:firstLine="480" w:firstLineChars="200"/>
        <w:rPr>
          <w:rFonts w:ascii="仿宋" w:hAnsi="仿宋" w:cs="仿宋"/>
        </w:rPr>
      </w:pPr>
      <w:r>
        <w:rPr>
          <w:rFonts w:hint="eastAsia" w:ascii="仿宋" w:hAnsi="仿宋" w:cs="仿宋"/>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40ECF98">
      <w:pPr>
        <w:spacing w:line="288" w:lineRule="auto"/>
        <w:ind w:firstLine="482" w:firstLineChars="200"/>
        <w:rPr>
          <w:rFonts w:ascii="仿宋" w:hAnsi="仿宋" w:cs="仿宋"/>
          <w:b/>
          <w:bCs/>
        </w:rPr>
      </w:pPr>
      <w:r>
        <w:rPr>
          <w:rFonts w:hint="eastAsia" w:ascii="仿宋" w:hAnsi="仿宋" w:cs="仿宋"/>
          <w:b/>
          <w:bCs/>
        </w:rPr>
        <w:t>四、知识产权</w:t>
      </w:r>
    </w:p>
    <w:p w14:paraId="6D05B942">
      <w:pPr>
        <w:spacing w:line="288" w:lineRule="auto"/>
        <w:ind w:firstLine="480" w:firstLineChars="200"/>
        <w:rPr>
          <w:rFonts w:ascii="仿宋" w:hAnsi="仿宋" w:cs="仿宋"/>
        </w:rPr>
      </w:pPr>
      <w:r>
        <w:rPr>
          <w:rFonts w:hint="eastAsia" w:ascii="仿宋" w:hAnsi="仿宋" w:cs="仿宋"/>
        </w:rPr>
        <w:t>乙方应保证所提供的货物或其任何一部分均不会侵犯任何第三方的知识产权。</w:t>
      </w:r>
    </w:p>
    <w:p w14:paraId="29E21C54">
      <w:pPr>
        <w:spacing w:line="288" w:lineRule="auto"/>
        <w:ind w:firstLine="482" w:firstLineChars="200"/>
        <w:rPr>
          <w:rFonts w:ascii="仿宋" w:hAnsi="仿宋" w:cs="仿宋"/>
          <w:b/>
          <w:bCs/>
        </w:rPr>
      </w:pPr>
      <w:r>
        <w:rPr>
          <w:rFonts w:hint="eastAsia" w:ascii="仿宋" w:hAnsi="仿宋" w:cs="仿宋"/>
          <w:b/>
          <w:bCs/>
        </w:rPr>
        <w:t>五、产权担保</w:t>
      </w:r>
    </w:p>
    <w:p w14:paraId="0E629CB1">
      <w:pPr>
        <w:spacing w:line="288" w:lineRule="auto"/>
        <w:ind w:firstLine="480" w:firstLineChars="200"/>
        <w:rPr>
          <w:rFonts w:ascii="仿宋" w:hAnsi="仿宋" w:cs="仿宋"/>
        </w:rPr>
      </w:pPr>
      <w:r>
        <w:rPr>
          <w:rFonts w:hint="eastAsia" w:ascii="仿宋" w:hAnsi="仿宋" w:cs="仿宋"/>
        </w:rPr>
        <w:t>乙方保证所交付的货物所有权完全属于乙方且无任何抵押、查封等产权瑕疵。</w:t>
      </w:r>
    </w:p>
    <w:p w14:paraId="61050882">
      <w:pPr>
        <w:spacing w:line="288" w:lineRule="auto"/>
        <w:ind w:firstLine="482" w:firstLineChars="200"/>
        <w:rPr>
          <w:rFonts w:ascii="仿宋" w:hAnsi="仿宋" w:cs="仿宋"/>
          <w:b/>
          <w:bCs/>
        </w:rPr>
      </w:pPr>
      <w:r>
        <w:rPr>
          <w:rFonts w:hint="eastAsia" w:ascii="仿宋" w:hAnsi="仿宋" w:cs="仿宋"/>
          <w:b/>
          <w:bCs/>
        </w:rPr>
        <w:t>六、履约保证金</w:t>
      </w:r>
    </w:p>
    <w:p w14:paraId="40A9E9E8">
      <w:pPr>
        <w:spacing w:line="288" w:lineRule="auto"/>
        <w:ind w:firstLine="480" w:firstLineChars="200"/>
        <w:rPr>
          <w:rFonts w:ascii="仿宋" w:hAnsi="仿宋" w:cs="仿宋"/>
        </w:rPr>
      </w:pPr>
      <w:r>
        <w:rPr>
          <w:rFonts w:hint="eastAsia" w:ascii="仿宋" w:hAnsi="仿宋" w:cs="仿宋"/>
        </w:rPr>
        <w:t>乙方在收到甲方发出的签订合同要约后7天内向甲方提交合同金额1%的履约保证金（提交方式：支票、汇票、本票或者金融机构、担保机构出具的保函等非现金形式），即人民币（大写[          ]）元（¥[          ]），履约保证金在合同货物经校级验收合格后，由浙江工业大学财务部门无息退还。如乙方未按期缴纳履约保证金，甲方有权单方面解除本合同。</w:t>
      </w:r>
    </w:p>
    <w:p w14:paraId="0A077230">
      <w:pPr>
        <w:spacing w:line="288" w:lineRule="auto"/>
        <w:ind w:firstLine="482" w:firstLineChars="200"/>
        <w:rPr>
          <w:rFonts w:ascii="仿宋" w:hAnsi="仿宋" w:cs="仿宋"/>
          <w:b/>
          <w:bCs/>
        </w:rPr>
      </w:pPr>
      <w:r>
        <w:rPr>
          <w:rFonts w:hint="eastAsia" w:ascii="仿宋" w:hAnsi="仿宋" w:cs="仿宋"/>
          <w:b/>
          <w:bCs/>
        </w:rPr>
        <w:t>七、转包或分包</w:t>
      </w:r>
    </w:p>
    <w:p w14:paraId="6A5C2D63">
      <w:pPr>
        <w:spacing w:line="288" w:lineRule="auto"/>
        <w:ind w:firstLine="480" w:firstLineChars="200"/>
        <w:rPr>
          <w:rFonts w:ascii="仿宋" w:hAnsi="仿宋" w:cs="仿宋"/>
        </w:rPr>
      </w:pPr>
      <w:r>
        <w:rPr>
          <w:rFonts w:hint="eastAsia" w:ascii="仿宋" w:hAnsi="仿宋" w:cs="仿宋"/>
        </w:rPr>
        <w:t>1.本合同范围的货物，应由乙方直接供应，不得转让他人供应；</w:t>
      </w:r>
    </w:p>
    <w:p w14:paraId="57081DF4">
      <w:pPr>
        <w:spacing w:line="288" w:lineRule="auto"/>
        <w:ind w:firstLine="480" w:firstLineChars="200"/>
        <w:rPr>
          <w:rFonts w:ascii="仿宋" w:hAnsi="仿宋" w:cs="仿宋"/>
        </w:rPr>
      </w:pPr>
      <w:r>
        <w:rPr>
          <w:rFonts w:hint="eastAsia" w:ascii="仿宋" w:hAnsi="仿宋" w:cs="仿宋"/>
        </w:rPr>
        <w:t>2.除非得到甲方的书面同意，乙方不得将本合同范围的货物全部或部分分包给他人供应；</w:t>
      </w:r>
    </w:p>
    <w:p w14:paraId="01C5DE10">
      <w:pPr>
        <w:spacing w:line="288" w:lineRule="auto"/>
        <w:ind w:firstLine="480" w:firstLineChars="200"/>
        <w:rPr>
          <w:rFonts w:ascii="仿宋" w:hAnsi="仿宋" w:cs="仿宋"/>
        </w:rPr>
      </w:pPr>
      <w:r>
        <w:rPr>
          <w:rFonts w:hint="eastAsia" w:ascii="仿宋" w:hAnsi="仿宋" w:cs="仿宋"/>
        </w:rPr>
        <w:t>3.如有转让和未经甲方同意的分包行为，甲方有权解除合同，没收履约保证金并追究乙方的违约责任。</w:t>
      </w:r>
    </w:p>
    <w:p w14:paraId="18271082">
      <w:pPr>
        <w:spacing w:line="288" w:lineRule="auto"/>
        <w:ind w:firstLine="482" w:firstLineChars="200"/>
        <w:rPr>
          <w:rFonts w:ascii="仿宋" w:hAnsi="仿宋" w:cs="仿宋"/>
          <w:b/>
          <w:bCs/>
        </w:rPr>
      </w:pPr>
      <w:r>
        <w:rPr>
          <w:rFonts w:hint="eastAsia" w:ascii="仿宋" w:hAnsi="仿宋" w:cs="仿宋"/>
          <w:b/>
          <w:bCs/>
        </w:rPr>
        <w:t>八、交货期、交货方式及交货地点</w:t>
      </w:r>
    </w:p>
    <w:p w14:paraId="496C20FB">
      <w:pPr>
        <w:spacing w:line="288" w:lineRule="auto"/>
        <w:ind w:firstLine="480" w:firstLineChars="200"/>
        <w:rPr>
          <w:rFonts w:ascii="仿宋" w:hAnsi="仿宋" w:cs="仿宋"/>
        </w:rPr>
      </w:pPr>
      <w:r>
        <w:rPr>
          <w:rFonts w:hint="eastAsia" w:ascii="仿宋" w:hAnsi="仿宋" w:cs="仿宋"/>
        </w:rPr>
        <w:t>1.交货期：[          ]</w:t>
      </w:r>
    </w:p>
    <w:p w14:paraId="6876BD2A">
      <w:pPr>
        <w:spacing w:line="288" w:lineRule="auto"/>
        <w:ind w:firstLine="480" w:firstLineChars="200"/>
        <w:rPr>
          <w:rFonts w:ascii="仿宋" w:hAnsi="仿宋" w:cs="仿宋"/>
        </w:rPr>
      </w:pPr>
      <w:r>
        <w:rPr>
          <w:rFonts w:hint="eastAsia" w:ascii="仿宋" w:hAnsi="仿宋" w:cs="仿宋"/>
        </w:rPr>
        <w:t>2.交货方式：[          ]</w:t>
      </w:r>
    </w:p>
    <w:p w14:paraId="085210B1">
      <w:pPr>
        <w:spacing w:line="288" w:lineRule="auto"/>
        <w:ind w:firstLine="480" w:firstLineChars="200"/>
        <w:rPr>
          <w:rFonts w:ascii="仿宋" w:hAnsi="仿宋" w:cs="仿宋"/>
        </w:rPr>
      </w:pPr>
      <w:r>
        <w:rPr>
          <w:rFonts w:hint="eastAsia" w:ascii="仿宋" w:hAnsi="仿宋" w:cs="仿宋"/>
        </w:rPr>
        <w:t>3.交货地点：浙江工业大学[          ]</w:t>
      </w:r>
    </w:p>
    <w:p w14:paraId="7740164D">
      <w:pPr>
        <w:spacing w:line="288" w:lineRule="auto"/>
        <w:ind w:firstLine="482" w:firstLineChars="200"/>
        <w:rPr>
          <w:rFonts w:ascii="仿宋" w:hAnsi="仿宋" w:cs="仿宋"/>
          <w:b/>
          <w:bCs/>
        </w:rPr>
      </w:pPr>
      <w:r>
        <w:rPr>
          <w:rFonts w:hint="eastAsia" w:ascii="仿宋" w:hAnsi="仿宋" w:cs="仿宋"/>
          <w:b/>
          <w:bCs/>
        </w:rPr>
        <w:t>九、货款支付</w:t>
      </w:r>
    </w:p>
    <w:p w14:paraId="7821557C">
      <w:pPr>
        <w:spacing w:line="288" w:lineRule="auto"/>
        <w:ind w:firstLine="480" w:firstLineChars="200"/>
        <w:rPr>
          <w:rFonts w:ascii="仿宋" w:hAnsi="仿宋" w:cs="仿宋"/>
        </w:rPr>
      </w:pPr>
      <w:r>
        <w:rPr>
          <w:rFonts w:hint="eastAsia" w:ascii="仿宋" w:hAnsi="仿宋" w:cs="仿宋"/>
        </w:rPr>
        <w:t>1.付款方式合同生效以及具备实施条件后7个工作日内，甲方向乙方支付合同金额的40%作为预付款，合同货物送达丙方指定地点，安装调试成功并经校级验收合格，且收到乙方开具的增值税专用发票后，甲方于7个工作日内向乙方支付剩余合同价款。</w:t>
      </w:r>
    </w:p>
    <w:p w14:paraId="76E80049">
      <w:pPr>
        <w:spacing w:line="288" w:lineRule="auto"/>
        <w:ind w:firstLine="482" w:firstLineChars="200"/>
        <w:rPr>
          <w:rFonts w:ascii="仿宋" w:hAnsi="仿宋" w:cs="仿宋"/>
          <w:b/>
          <w:bCs/>
        </w:rPr>
      </w:pPr>
      <w:r>
        <w:rPr>
          <w:rFonts w:hint="eastAsia" w:ascii="仿宋" w:hAnsi="仿宋" w:cs="仿宋"/>
          <w:b/>
          <w:bCs/>
        </w:rPr>
        <w:t>备注：在签订合同时，乙方明确表示无需预付款或者主动要求降低预付款比例的，可降低预付款比例。</w:t>
      </w:r>
    </w:p>
    <w:p w14:paraId="39BFC867">
      <w:pPr>
        <w:spacing w:line="288" w:lineRule="auto"/>
        <w:ind w:firstLine="480" w:firstLineChars="200"/>
        <w:rPr>
          <w:rFonts w:ascii="仿宋" w:hAnsi="仿宋" w:cs="仿宋"/>
        </w:rPr>
      </w:pPr>
      <w:r>
        <w:rPr>
          <w:rFonts w:hint="eastAsia" w:ascii="仿宋" w:hAnsi="仿宋" w:cs="仿宋"/>
        </w:rPr>
        <w:t>2.当采购数量与实际使用数量不一致时，乙方应根据实际使用量供货，合同的最终结算金额按实际使用量乘以成交单价进行计算。</w:t>
      </w:r>
    </w:p>
    <w:p w14:paraId="24D28406">
      <w:pPr>
        <w:spacing w:line="288" w:lineRule="auto"/>
        <w:ind w:firstLine="482" w:firstLineChars="200"/>
        <w:rPr>
          <w:rFonts w:ascii="仿宋" w:hAnsi="仿宋" w:cs="仿宋"/>
          <w:b/>
          <w:bCs/>
        </w:rPr>
      </w:pPr>
      <w:r>
        <w:rPr>
          <w:rFonts w:hint="eastAsia" w:ascii="仿宋" w:hAnsi="仿宋" w:cs="仿宋"/>
          <w:b/>
          <w:bCs/>
        </w:rPr>
        <w:t>十、税费</w:t>
      </w:r>
    </w:p>
    <w:p w14:paraId="1F0FD513">
      <w:pPr>
        <w:spacing w:line="288" w:lineRule="auto"/>
        <w:ind w:firstLine="480" w:firstLineChars="200"/>
        <w:rPr>
          <w:rFonts w:ascii="仿宋" w:hAnsi="仿宋" w:cs="仿宋"/>
        </w:rPr>
      </w:pPr>
      <w:r>
        <w:rPr>
          <w:rFonts w:hint="eastAsia" w:ascii="仿宋" w:hAnsi="仿宋" w:cs="仿宋"/>
        </w:rPr>
        <w:t>本合同执行中相关的一切税费均由乙方负担。</w:t>
      </w:r>
    </w:p>
    <w:p w14:paraId="05FE32A9">
      <w:pPr>
        <w:spacing w:line="288" w:lineRule="auto"/>
        <w:ind w:firstLine="482" w:firstLineChars="200"/>
        <w:rPr>
          <w:rFonts w:ascii="仿宋" w:hAnsi="仿宋" w:cs="仿宋"/>
          <w:b/>
          <w:bCs/>
        </w:rPr>
      </w:pPr>
      <w:r>
        <w:rPr>
          <w:rFonts w:hint="eastAsia" w:ascii="仿宋" w:hAnsi="仿宋" w:cs="仿宋"/>
          <w:b/>
          <w:bCs/>
        </w:rPr>
        <w:t>十一、质量保证及售后服务</w:t>
      </w:r>
    </w:p>
    <w:p w14:paraId="12B3185B">
      <w:pPr>
        <w:spacing w:line="288" w:lineRule="auto"/>
        <w:ind w:firstLine="480" w:firstLineChars="200"/>
        <w:rPr>
          <w:rFonts w:ascii="仿宋" w:hAnsi="仿宋" w:cs="仿宋"/>
        </w:rPr>
      </w:pPr>
      <w:r>
        <w:rPr>
          <w:rFonts w:hint="eastAsia" w:ascii="仿宋" w:hAnsi="仿宋" w:cs="仿宋"/>
        </w:rPr>
        <w:t>1.乙方应按招标文件规定的货物性能、技术要求、质量标准向甲方提供未经使用的全新产品。</w:t>
      </w:r>
    </w:p>
    <w:p w14:paraId="45F812C6">
      <w:pPr>
        <w:spacing w:line="288" w:lineRule="auto"/>
        <w:ind w:firstLine="480" w:firstLineChars="200"/>
        <w:rPr>
          <w:rFonts w:ascii="仿宋" w:hAnsi="仿宋" w:cs="仿宋"/>
        </w:rPr>
      </w:pPr>
      <w:r>
        <w:rPr>
          <w:rFonts w:hint="eastAsia" w:ascii="仿宋" w:hAnsi="仿宋" w:cs="仿宋"/>
        </w:rPr>
        <w:t>2.乙方提供的货物在质保期内因货物本身的质量问题发生故障，乙方应负责免费维修更换。</w:t>
      </w:r>
    </w:p>
    <w:p w14:paraId="4CE6A7D7">
      <w:pPr>
        <w:spacing w:line="288" w:lineRule="auto"/>
        <w:ind w:firstLine="480" w:firstLineChars="200"/>
        <w:rPr>
          <w:rFonts w:ascii="仿宋" w:hAnsi="仿宋" w:cs="仿宋"/>
        </w:rPr>
      </w:pPr>
      <w:r>
        <w:rPr>
          <w:rFonts w:hint="eastAsia" w:ascii="仿宋" w:hAnsi="仿宋" w:cs="仿宋"/>
        </w:rPr>
        <w:t>3.如在使用过程中发生质量问题，乙方在接到甲方通知后，[          ]小时到达甲方现场予以维修服务。</w:t>
      </w:r>
    </w:p>
    <w:p w14:paraId="0B217577">
      <w:pPr>
        <w:spacing w:line="288" w:lineRule="auto"/>
        <w:ind w:firstLine="480" w:firstLineChars="200"/>
        <w:rPr>
          <w:rFonts w:ascii="仿宋" w:hAnsi="仿宋" w:cs="仿宋"/>
        </w:rPr>
      </w:pPr>
      <w:r>
        <w:rPr>
          <w:rFonts w:hint="eastAsia" w:ascii="仿宋" w:hAnsi="仿宋" w:cs="仿宋"/>
        </w:rPr>
        <w:t>4.在质保期内，乙方应对货物出现的质量及安全问题负责处理解决并承担一切费用。</w:t>
      </w:r>
    </w:p>
    <w:p w14:paraId="6F84036A">
      <w:pPr>
        <w:spacing w:line="288" w:lineRule="auto"/>
        <w:ind w:firstLine="480" w:firstLineChars="200"/>
        <w:rPr>
          <w:rFonts w:ascii="仿宋" w:hAnsi="仿宋" w:cs="仿宋"/>
        </w:rPr>
      </w:pPr>
      <w:r>
        <w:rPr>
          <w:rFonts w:hint="eastAsia" w:ascii="仿宋" w:hAnsi="仿宋" w:cs="仿宋"/>
        </w:rPr>
        <w:t>5.货物的质保期为[          ]年（项目经甲方校级验收合格后开始计算），因人为因素出现的故障不在免费保修范围内。超过质保期的货物，终身维修，维修时只收部件成本费。</w:t>
      </w:r>
    </w:p>
    <w:p w14:paraId="7D12E4B6">
      <w:pPr>
        <w:spacing w:line="288" w:lineRule="auto"/>
        <w:ind w:firstLine="482" w:firstLineChars="200"/>
        <w:rPr>
          <w:rFonts w:ascii="仿宋" w:hAnsi="仿宋" w:cs="仿宋"/>
          <w:b/>
          <w:bCs/>
        </w:rPr>
      </w:pPr>
      <w:r>
        <w:rPr>
          <w:rFonts w:hint="eastAsia" w:ascii="仿宋" w:hAnsi="仿宋" w:cs="仿宋"/>
          <w:b/>
          <w:bCs/>
        </w:rPr>
        <w:t>十二、调试和验收</w:t>
      </w:r>
    </w:p>
    <w:p w14:paraId="2F0B76DA">
      <w:pPr>
        <w:spacing w:line="288" w:lineRule="auto"/>
        <w:ind w:firstLine="480" w:firstLineChars="200"/>
        <w:rPr>
          <w:rFonts w:ascii="仿宋" w:hAnsi="仿宋" w:cs="仿宋"/>
        </w:rPr>
      </w:pPr>
      <w:r>
        <w:rPr>
          <w:rFonts w:hint="eastAsia" w:ascii="仿宋" w:hAnsi="仿宋" w:cs="仿宋"/>
        </w:rPr>
        <w:t>1.丙方对乙方提交的货物依据招标文件上的技术规格要求和国家有关质量标准进行现场初步验收，外观、说明书符合招标文件技术要求的，给予签收，初步验收不合格的不予签收。货到后，丙方需在五个工作日内组织初验收。</w:t>
      </w:r>
    </w:p>
    <w:p w14:paraId="365346DB">
      <w:pPr>
        <w:spacing w:line="288" w:lineRule="auto"/>
        <w:ind w:firstLine="480" w:firstLineChars="200"/>
        <w:rPr>
          <w:rFonts w:ascii="仿宋" w:hAnsi="仿宋" w:cs="仿宋"/>
        </w:rPr>
      </w:pPr>
      <w:r>
        <w:rPr>
          <w:rFonts w:hint="eastAsia" w:ascii="仿宋" w:hAnsi="仿宋" w:cs="仿宋"/>
        </w:rPr>
        <w:t>2.乙方交货前应对产品作出全面检查和对验收文件进行整理，并列出清单，作为丙方收货验收和使用的技术条件依据，检验的结果应随货物交丙方。</w:t>
      </w:r>
    </w:p>
    <w:p w14:paraId="450B9F68">
      <w:pPr>
        <w:spacing w:line="288" w:lineRule="auto"/>
        <w:ind w:firstLine="480" w:firstLineChars="200"/>
        <w:rPr>
          <w:rFonts w:ascii="仿宋" w:hAnsi="仿宋" w:cs="仿宋"/>
        </w:rPr>
      </w:pPr>
      <w:r>
        <w:rPr>
          <w:rFonts w:hint="eastAsia" w:ascii="仿宋" w:hAnsi="仿宋" w:cs="仿宋"/>
        </w:rPr>
        <w:t>3.丙方对乙方提供的货物在使用前进行调试时，乙方需负责安装并培训丙方的使用操作人员，并协助丙方一起调试，直到符合技术要求，甲方才做最终验收。对技术复杂的货物，甲方有权邀请国家认可的专业检测机构参与初步验收及最终验收，并由其出具质量检测报告。验收时乙方必须在现场，验收完毕后作出验收结果报告；检测及验收费用全部由乙方负责。</w:t>
      </w:r>
    </w:p>
    <w:p w14:paraId="16766F89">
      <w:pPr>
        <w:spacing w:line="288" w:lineRule="auto"/>
        <w:ind w:firstLine="482" w:firstLineChars="200"/>
        <w:rPr>
          <w:rFonts w:ascii="仿宋" w:hAnsi="仿宋" w:cs="仿宋"/>
          <w:b/>
          <w:bCs/>
        </w:rPr>
      </w:pPr>
      <w:r>
        <w:rPr>
          <w:rFonts w:hint="eastAsia" w:ascii="仿宋" w:hAnsi="仿宋" w:cs="仿宋"/>
          <w:b/>
          <w:bCs/>
        </w:rPr>
        <w:t>十三、货物包装、发运及运输</w:t>
      </w:r>
    </w:p>
    <w:p w14:paraId="6789553B">
      <w:pPr>
        <w:spacing w:line="288" w:lineRule="auto"/>
        <w:ind w:firstLine="480" w:firstLineChars="200"/>
        <w:rPr>
          <w:rFonts w:ascii="仿宋" w:hAnsi="仿宋" w:cs="仿宋"/>
        </w:rPr>
      </w:pPr>
      <w:r>
        <w:rPr>
          <w:rFonts w:hint="eastAsia" w:ascii="仿宋" w:hAnsi="仿宋" w:cs="仿宋"/>
        </w:rPr>
        <w:t>1.乙方应在货物发运前对其进行满足运输距离、防潮、防震、防锈和防破损装卸等要求包装，以保证货物安全运达甲方指定地点。</w:t>
      </w:r>
    </w:p>
    <w:p w14:paraId="407B5233">
      <w:pPr>
        <w:spacing w:line="288" w:lineRule="auto"/>
        <w:ind w:firstLine="480" w:firstLineChars="200"/>
        <w:rPr>
          <w:rFonts w:ascii="仿宋" w:hAnsi="仿宋" w:cs="仿宋"/>
        </w:rPr>
      </w:pPr>
      <w:r>
        <w:rPr>
          <w:rFonts w:hint="eastAsia" w:ascii="仿宋" w:hAnsi="仿宋" w:cs="仿宋"/>
        </w:rPr>
        <w:t>2.使用说明书、质量检验证明书、随配附件和工具以及清单一并附于货物内。</w:t>
      </w:r>
    </w:p>
    <w:p w14:paraId="602378F0">
      <w:pPr>
        <w:spacing w:line="288" w:lineRule="auto"/>
        <w:ind w:firstLine="480" w:firstLineChars="200"/>
        <w:rPr>
          <w:rFonts w:ascii="仿宋" w:hAnsi="仿宋" w:cs="仿宋"/>
        </w:rPr>
      </w:pPr>
      <w:r>
        <w:rPr>
          <w:rFonts w:hint="eastAsia" w:ascii="仿宋" w:hAnsi="仿宋" w:cs="仿宋"/>
        </w:rPr>
        <w:t>3.乙方在货物发运手续办理完毕后二十四小时内，或者货到甲方四十八小时前通知甲方，以准备接货。</w:t>
      </w:r>
    </w:p>
    <w:p w14:paraId="131D60BD">
      <w:pPr>
        <w:spacing w:line="288" w:lineRule="auto"/>
        <w:ind w:firstLine="480" w:firstLineChars="200"/>
        <w:rPr>
          <w:rFonts w:ascii="仿宋" w:hAnsi="仿宋" w:cs="仿宋"/>
        </w:rPr>
      </w:pPr>
      <w:r>
        <w:rPr>
          <w:rFonts w:hint="eastAsia" w:ascii="仿宋" w:hAnsi="仿宋" w:cs="仿宋"/>
        </w:rPr>
        <w:t>4.货物在交付甲方前发生的风险均由乙方负责。</w:t>
      </w:r>
    </w:p>
    <w:p w14:paraId="3AB62EFB">
      <w:pPr>
        <w:spacing w:line="288" w:lineRule="auto"/>
        <w:ind w:firstLine="480" w:firstLineChars="200"/>
        <w:rPr>
          <w:rFonts w:ascii="仿宋" w:hAnsi="仿宋" w:cs="仿宋"/>
        </w:rPr>
      </w:pPr>
      <w:r>
        <w:rPr>
          <w:rFonts w:hint="eastAsia" w:ascii="仿宋" w:hAnsi="仿宋" w:cs="仿宋"/>
        </w:rPr>
        <w:t>5.货物在规定的交付期限内由乙方送达甲方指定的地点视为交付，乙方同时需通知甲方货物已送达。</w:t>
      </w:r>
    </w:p>
    <w:p w14:paraId="776B1ED6">
      <w:pPr>
        <w:spacing w:line="288" w:lineRule="auto"/>
        <w:ind w:firstLine="482" w:firstLineChars="200"/>
        <w:rPr>
          <w:rFonts w:ascii="仿宋" w:hAnsi="仿宋" w:cs="仿宋"/>
          <w:b/>
          <w:bCs/>
        </w:rPr>
      </w:pPr>
      <w:r>
        <w:rPr>
          <w:rFonts w:hint="eastAsia" w:ascii="仿宋" w:hAnsi="仿宋" w:cs="仿宋"/>
          <w:b/>
          <w:bCs/>
        </w:rPr>
        <w:t>十四、违约责任</w:t>
      </w:r>
    </w:p>
    <w:p w14:paraId="7AE3CAA6">
      <w:pPr>
        <w:spacing w:line="288" w:lineRule="auto"/>
        <w:ind w:firstLine="480" w:firstLineChars="200"/>
        <w:rPr>
          <w:rFonts w:ascii="仿宋" w:hAnsi="仿宋" w:cs="仿宋"/>
        </w:rPr>
      </w:pPr>
      <w:r>
        <w:rPr>
          <w:rFonts w:hint="eastAsia" w:ascii="仿宋" w:hAnsi="仿宋" w:cs="仿宋"/>
        </w:rPr>
        <w:t>1.甲方无正当理由拒收货物的，甲方向乙方偿付拒收货款总值的百分之十的违约金。</w:t>
      </w:r>
    </w:p>
    <w:p w14:paraId="156C5676">
      <w:pPr>
        <w:spacing w:line="288" w:lineRule="auto"/>
        <w:ind w:firstLine="480" w:firstLineChars="200"/>
        <w:rPr>
          <w:rFonts w:ascii="仿宋" w:hAnsi="仿宋" w:cs="仿宋"/>
        </w:rPr>
      </w:pPr>
      <w:r>
        <w:rPr>
          <w:rFonts w:hint="eastAsia" w:ascii="仿宋" w:hAnsi="仿宋" w:cs="仿宋"/>
        </w:rPr>
        <w:t>2.甲方无故逾期验收和办理货款支付手续的,甲方应按逾期付款总额每日万分之五向乙方支付违约金。</w:t>
      </w:r>
    </w:p>
    <w:p w14:paraId="518159A0">
      <w:pPr>
        <w:spacing w:line="288" w:lineRule="auto"/>
        <w:ind w:firstLine="480" w:firstLineChars="200"/>
        <w:rPr>
          <w:rFonts w:ascii="仿宋" w:hAnsi="仿宋" w:cs="仿宋"/>
        </w:rPr>
      </w:pPr>
      <w:r>
        <w:rPr>
          <w:rFonts w:hint="eastAsia" w:ascii="仿宋" w:hAnsi="仿宋" w:cs="仿宋"/>
        </w:rPr>
        <w:t xml:space="preserve">3.乙方逾期交付货物的，乙方应按逾期交货总额每日千分之六向甲方支付违约金，由甲方从待付货款中扣除。逾期超过约定日期十个工作日不能交货的，甲方可解除本合同。乙方因逾期交货或因其他违约行为导致甲方解除合同的，乙方应向甲方支付合同总值百分之十的违约金，如造成甲方损失超过违约金的，超出部分由乙方继续承担赔偿责任。 </w:t>
      </w:r>
    </w:p>
    <w:p w14:paraId="792BA6EA">
      <w:pPr>
        <w:spacing w:line="288" w:lineRule="auto"/>
        <w:ind w:firstLine="480" w:firstLineChars="200"/>
        <w:rPr>
          <w:rFonts w:ascii="仿宋" w:hAnsi="仿宋" w:cs="仿宋"/>
        </w:rPr>
      </w:pPr>
      <w:r>
        <w:rPr>
          <w:rFonts w:hint="eastAsia" w:ascii="仿宋" w:hAnsi="仿宋" w:cs="仿宋"/>
        </w:rPr>
        <w:t>4.乙方所交的货物品种、型号、规格、技术参数、质量不符合合同规定及招标文件规定标准的，甲方有权拒收该货物，乙方愿意更换货物但逾期交货的，按乙方逾期交货处理。乙方拒绝更换货物的，甲方可单方面解除合同，并没收履约保证金；若履约保证金不足以弥补甲方因乙方违约所受的损失，则还有权要求乙方赔偿不足部分。</w:t>
      </w:r>
    </w:p>
    <w:p w14:paraId="65801B80">
      <w:pPr>
        <w:spacing w:line="288" w:lineRule="auto"/>
        <w:ind w:firstLine="482" w:firstLineChars="200"/>
        <w:rPr>
          <w:rFonts w:ascii="仿宋" w:hAnsi="仿宋" w:cs="仿宋"/>
          <w:b/>
          <w:bCs/>
        </w:rPr>
      </w:pPr>
      <w:r>
        <w:rPr>
          <w:rFonts w:hint="eastAsia" w:ascii="仿宋" w:hAnsi="仿宋" w:cs="仿宋"/>
          <w:b/>
          <w:bCs/>
        </w:rPr>
        <w:t>十五、不可抗力事件处理</w:t>
      </w:r>
    </w:p>
    <w:p w14:paraId="27D3863F">
      <w:pPr>
        <w:spacing w:line="288" w:lineRule="auto"/>
        <w:ind w:firstLine="480" w:firstLineChars="200"/>
        <w:rPr>
          <w:rFonts w:ascii="仿宋" w:hAnsi="仿宋" w:cs="仿宋"/>
        </w:rPr>
      </w:pPr>
      <w:r>
        <w:rPr>
          <w:rFonts w:hint="eastAsia" w:ascii="仿宋" w:hAnsi="仿宋" w:cs="仿宋"/>
        </w:rPr>
        <w:t>1.在合同有效期内，任何一方因不可抗力事件导致不能履行合同，则合同履行期可延长，其延长期与不可抗力影响期相同。</w:t>
      </w:r>
    </w:p>
    <w:p w14:paraId="128FB2C5">
      <w:pPr>
        <w:spacing w:line="288" w:lineRule="auto"/>
        <w:ind w:firstLine="480" w:firstLineChars="200"/>
        <w:rPr>
          <w:rFonts w:ascii="仿宋" w:hAnsi="仿宋" w:cs="仿宋"/>
        </w:rPr>
      </w:pPr>
      <w:r>
        <w:rPr>
          <w:rFonts w:hint="eastAsia" w:ascii="仿宋" w:hAnsi="仿宋" w:cs="仿宋"/>
        </w:rPr>
        <w:t>2.不可抗力事件发生后，应立即通知对方，并寄送有关权威机构出具的证明。</w:t>
      </w:r>
    </w:p>
    <w:p w14:paraId="7316F443">
      <w:pPr>
        <w:spacing w:line="288" w:lineRule="auto"/>
        <w:ind w:firstLine="480" w:firstLineChars="200"/>
        <w:rPr>
          <w:rFonts w:ascii="仿宋" w:hAnsi="仿宋" w:cs="仿宋"/>
        </w:rPr>
      </w:pPr>
      <w:r>
        <w:rPr>
          <w:rFonts w:hint="eastAsia" w:ascii="仿宋" w:hAnsi="仿宋" w:cs="仿宋"/>
        </w:rPr>
        <w:t>3.不可抗力事件延续一百二十天以上，双方应通过友好协商，确定是否继续履行合同。</w:t>
      </w:r>
    </w:p>
    <w:p w14:paraId="32705383">
      <w:pPr>
        <w:spacing w:line="288" w:lineRule="auto"/>
        <w:ind w:firstLine="482" w:firstLineChars="200"/>
        <w:rPr>
          <w:rFonts w:ascii="仿宋" w:hAnsi="仿宋" w:cs="仿宋"/>
          <w:b/>
          <w:bCs/>
        </w:rPr>
      </w:pPr>
      <w:r>
        <w:rPr>
          <w:rFonts w:hint="eastAsia" w:ascii="仿宋" w:hAnsi="仿宋" w:cs="仿宋"/>
          <w:b/>
          <w:bCs/>
        </w:rPr>
        <w:t>十六、争议的解决</w:t>
      </w:r>
    </w:p>
    <w:p w14:paraId="26C11CB0">
      <w:pPr>
        <w:spacing w:line="288" w:lineRule="auto"/>
        <w:ind w:firstLine="480" w:firstLineChars="200"/>
        <w:rPr>
          <w:rFonts w:ascii="仿宋" w:hAnsi="仿宋" w:cs="仿宋"/>
        </w:rPr>
      </w:pPr>
      <w:r>
        <w:rPr>
          <w:rFonts w:hint="eastAsia" w:ascii="仿宋" w:hAnsi="仿宋" w:cs="仿宋"/>
        </w:rPr>
        <w:t>双方在执行合同中所发生的一切争议，通过协商解决。如协商不成，由杭州仲裁委员会按该会仲裁规则裁决。</w:t>
      </w:r>
    </w:p>
    <w:p w14:paraId="4EE3293A">
      <w:pPr>
        <w:spacing w:line="288" w:lineRule="auto"/>
        <w:ind w:firstLine="482" w:firstLineChars="200"/>
        <w:rPr>
          <w:rFonts w:ascii="仿宋" w:hAnsi="仿宋" w:cs="仿宋"/>
          <w:b/>
          <w:bCs/>
        </w:rPr>
      </w:pPr>
      <w:r>
        <w:rPr>
          <w:rFonts w:hint="eastAsia" w:ascii="仿宋" w:hAnsi="仿宋" w:cs="仿宋"/>
          <w:b/>
          <w:bCs/>
        </w:rPr>
        <w:t>十七、合同生效及其它</w:t>
      </w:r>
    </w:p>
    <w:p w14:paraId="54C48BFE">
      <w:pPr>
        <w:spacing w:line="288" w:lineRule="auto"/>
        <w:ind w:firstLine="480" w:firstLineChars="200"/>
        <w:rPr>
          <w:rFonts w:ascii="仿宋" w:hAnsi="仿宋" w:cs="仿宋"/>
        </w:rPr>
      </w:pPr>
      <w:r>
        <w:rPr>
          <w:rFonts w:hint="eastAsia" w:ascii="仿宋" w:hAnsi="仿宋" w:cs="仿宋"/>
        </w:rPr>
        <w:t>1.合同经四方法定代表人或授权代表签字并加盖单位公章后生效。</w:t>
      </w:r>
    </w:p>
    <w:p w14:paraId="5CDA01AE">
      <w:pPr>
        <w:spacing w:line="288" w:lineRule="auto"/>
        <w:ind w:firstLine="480" w:firstLineChars="200"/>
        <w:rPr>
          <w:rFonts w:ascii="仿宋" w:hAnsi="仿宋" w:cs="仿宋"/>
        </w:rPr>
      </w:pPr>
      <w:r>
        <w:rPr>
          <w:rFonts w:hint="eastAsia" w:ascii="仿宋" w:hAnsi="仿宋" w:cs="仿宋"/>
        </w:rPr>
        <w:t>2.合同执行中涉及采购资金和采购内容修改或补充的，须经财政部门审批，并签书面补充协议报政府采购监督管理部门备案，方可作为主合同不可分割的一部分。</w:t>
      </w:r>
    </w:p>
    <w:p w14:paraId="19CD7591">
      <w:pPr>
        <w:spacing w:line="288" w:lineRule="auto"/>
        <w:ind w:firstLine="480" w:firstLineChars="200"/>
        <w:rPr>
          <w:rFonts w:ascii="仿宋" w:hAnsi="仿宋" w:cs="仿宋"/>
        </w:rPr>
      </w:pPr>
      <w:r>
        <w:rPr>
          <w:rFonts w:hint="eastAsia" w:ascii="仿宋" w:hAnsi="仿宋" w:cs="仿宋"/>
        </w:rPr>
        <w:t>3.本合同未尽事宜，甲乙丙三方协商一致可以另行签订补充协议解决，或者遵照《中华人民共和国民法典》有关条文执行。</w:t>
      </w:r>
    </w:p>
    <w:p w14:paraId="0C8D9FA2">
      <w:pPr>
        <w:spacing w:line="288" w:lineRule="auto"/>
        <w:ind w:firstLine="480" w:firstLineChars="200"/>
        <w:rPr>
          <w:rFonts w:ascii="仿宋" w:hAnsi="仿宋" w:cs="仿宋"/>
        </w:rPr>
      </w:pPr>
      <w:r>
        <w:rPr>
          <w:rFonts w:hint="eastAsia" w:ascii="仿宋" w:hAnsi="仿宋" w:cs="仿宋"/>
        </w:rPr>
        <w:t>4.本合同正本一式柒份，具有同等法律效力，甲乙丙三方各执两份，采购代理机构执一份。</w:t>
      </w:r>
    </w:p>
    <w:p w14:paraId="7622E3BF">
      <w:pPr>
        <w:spacing w:line="288" w:lineRule="auto"/>
        <w:ind w:firstLine="480" w:firstLineChars="200"/>
        <w:rPr>
          <w:rFonts w:ascii="仿宋" w:hAnsi="仿宋" w:cs="仿宋"/>
        </w:rPr>
      </w:pPr>
      <w:r>
        <w:rPr>
          <w:rFonts w:hint="eastAsia" w:ascii="仿宋" w:hAnsi="仿宋" w:cs="仿宋"/>
        </w:rPr>
        <w:t>5.本合同附件及招标文件、投标文件、书面澄清（承诺）等系本合同的组成部分。</w:t>
      </w:r>
    </w:p>
    <w:p w14:paraId="17F1538C">
      <w:pPr>
        <w:pStyle w:val="15"/>
        <w:rPr>
          <w:rFonts w:ascii="仿宋" w:hAnsi="仿宋" w:cs="仿宋"/>
          <w:sz w:val="24"/>
          <w:szCs w:val="24"/>
        </w:rPr>
      </w:pPr>
      <w:r>
        <w:rPr>
          <w:rFonts w:hint="eastAsia" w:ascii="仿宋" w:hAnsi="仿宋" w:cs="仿宋"/>
          <w:sz w:val="24"/>
          <w:szCs w:val="24"/>
        </w:rPr>
        <w:t>下无正文</w:t>
      </w:r>
    </w:p>
    <w:tbl>
      <w:tblPr>
        <w:tblStyle w:val="62"/>
        <w:tblW w:w="9628" w:type="dxa"/>
        <w:jc w:val="center"/>
        <w:tblLayout w:type="fixed"/>
        <w:tblCellMar>
          <w:top w:w="0" w:type="dxa"/>
          <w:left w:w="108" w:type="dxa"/>
          <w:bottom w:w="0" w:type="dxa"/>
          <w:right w:w="108" w:type="dxa"/>
        </w:tblCellMar>
      </w:tblPr>
      <w:tblGrid>
        <w:gridCol w:w="4814"/>
        <w:gridCol w:w="19"/>
        <w:gridCol w:w="4795"/>
      </w:tblGrid>
      <w:tr w14:paraId="6442C66A">
        <w:tblPrEx>
          <w:tblCellMar>
            <w:top w:w="0" w:type="dxa"/>
            <w:left w:w="108" w:type="dxa"/>
            <w:bottom w:w="0" w:type="dxa"/>
            <w:right w:w="108" w:type="dxa"/>
          </w:tblCellMar>
        </w:tblPrEx>
        <w:trPr>
          <w:trHeight w:val="340" w:hRule="atLeast"/>
          <w:jc w:val="center"/>
        </w:trPr>
        <w:tc>
          <w:tcPr>
            <w:tcW w:w="4814" w:type="dxa"/>
            <w:vAlign w:val="center"/>
          </w:tcPr>
          <w:p w14:paraId="198CD1A4">
            <w:pPr>
              <w:rPr>
                <w:rFonts w:ascii="仿宋" w:hAnsi="仿宋" w:cs="仿宋"/>
                <w:b/>
                <w:bCs/>
              </w:rPr>
            </w:pPr>
            <w:r>
              <w:rPr>
                <w:rFonts w:hint="eastAsia" w:ascii="仿宋" w:hAnsi="仿宋" w:cs="仿宋"/>
                <w:b/>
                <w:bCs/>
              </w:rPr>
              <w:t>甲方（盖章）：浙江工业大学</w:t>
            </w:r>
          </w:p>
        </w:tc>
        <w:tc>
          <w:tcPr>
            <w:tcW w:w="4814" w:type="dxa"/>
            <w:gridSpan w:val="2"/>
            <w:vAlign w:val="center"/>
          </w:tcPr>
          <w:p w14:paraId="0DA9064C">
            <w:pPr>
              <w:rPr>
                <w:rFonts w:ascii="仿宋" w:hAnsi="仿宋" w:cs="仿宋"/>
                <w:b/>
                <w:bCs/>
              </w:rPr>
            </w:pPr>
            <w:r>
              <w:rPr>
                <w:rFonts w:hint="eastAsia" w:ascii="仿宋" w:hAnsi="仿宋" w:cs="仿宋"/>
                <w:b/>
                <w:bCs/>
              </w:rPr>
              <w:t>乙方（盖章）：</w:t>
            </w:r>
          </w:p>
        </w:tc>
      </w:tr>
      <w:tr w14:paraId="5BC378A9">
        <w:tblPrEx>
          <w:tblCellMar>
            <w:top w:w="0" w:type="dxa"/>
            <w:left w:w="108" w:type="dxa"/>
            <w:bottom w:w="0" w:type="dxa"/>
            <w:right w:w="108" w:type="dxa"/>
          </w:tblCellMar>
        </w:tblPrEx>
        <w:trPr>
          <w:trHeight w:val="340" w:hRule="atLeast"/>
          <w:jc w:val="center"/>
        </w:trPr>
        <w:tc>
          <w:tcPr>
            <w:tcW w:w="4814" w:type="dxa"/>
            <w:vAlign w:val="center"/>
          </w:tcPr>
          <w:p w14:paraId="70683DDF">
            <w:pPr>
              <w:rPr>
                <w:rFonts w:ascii="仿宋" w:hAnsi="仿宋" w:cs="仿宋"/>
              </w:rPr>
            </w:pPr>
            <w:r>
              <w:rPr>
                <w:rFonts w:hint="eastAsia" w:ascii="仿宋" w:hAnsi="仿宋" w:cs="仿宋"/>
              </w:rPr>
              <w:t>法定代表人或受委托人：</w:t>
            </w:r>
          </w:p>
          <w:p w14:paraId="36A581D0">
            <w:pPr>
              <w:rPr>
                <w:rFonts w:ascii="仿宋" w:hAnsi="仿宋" w:cs="仿宋"/>
              </w:rPr>
            </w:pPr>
            <w:r>
              <w:rPr>
                <w:rFonts w:hint="eastAsia" w:ascii="仿宋" w:hAnsi="仿宋" w:cs="仿宋"/>
              </w:rPr>
              <w:t>（签字）</w:t>
            </w:r>
          </w:p>
        </w:tc>
        <w:tc>
          <w:tcPr>
            <w:tcW w:w="4814" w:type="dxa"/>
            <w:gridSpan w:val="2"/>
            <w:vAlign w:val="center"/>
          </w:tcPr>
          <w:p w14:paraId="579C6659">
            <w:pPr>
              <w:rPr>
                <w:rFonts w:ascii="仿宋" w:hAnsi="仿宋" w:cs="仿宋"/>
              </w:rPr>
            </w:pPr>
            <w:r>
              <w:rPr>
                <w:rFonts w:hint="eastAsia" w:ascii="仿宋" w:hAnsi="仿宋" w:cs="仿宋"/>
              </w:rPr>
              <w:t>法定代表人或受委托人：</w:t>
            </w:r>
          </w:p>
          <w:p w14:paraId="68F44EEC">
            <w:pPr>
              <w:rPr>
                <w:rFonts w:ascii="仿宋" w:hAnsi="仿宋" w:cs="仿宋"/>
              </w:rPr>
            </w:pPr>
            <w:r>
              <w:rPr>
                <w:rFonts w:hint="eastAsia" w:ascii="仿宋" w:hAnsi="仿宋" w:cs="仿宋"/>
              </w:rPr>
              <w:t>（签字）</w:t>
            </w:r>
          </w:p>
        </w:tc>
      </w:tr>
      <w:tr w14:paraId="676DD78E">
        <w:tblPrEx>
          <w:tblCellMar>
            <w:top w:w="0" w:type="dxa"/>
            <w:left w:w="108" w:type="dxa"/>
            <w:bottom w:w="0" w:type="dxa"/>
            <w:right w:w="108" w:type="dxa"/>
          </w:tblCellMar>
        </w:tblPrEx>
        <w:trPr>
          <w:trHeight w:val="340" w:hRule="atLeast"/>
          <w:jc w:val="center"/>
        </w:trPr>
        <w:tc>
          <w:tcPr>
            <w:tcW w:w="4814" w:type="dxa"/>
            <w:vAlign w:val="center"/>
          </w:tcPr>
          <w:p w14:paraId="504A2482">
            <w:pPr>
              <w:rPr>
                <w:rFonts w:ascii="仿宋" w:hAnsi="仿宋" w:cs="仿宋"/>
              </w:rPr>
            </w:pPr>
            <w:r>
              <w:rPr>
                <w:rFonts w:hint="eastAsia" w:ascii="仿宋" w:hAnsi="仿宋" w:cs="仿宋"/>
              </w:rPr>
              <w:t>地址：</w:t>
            </w:r>
          </w:p>
        </w:tc>
        <w:tc>
          <w:tcPr>
            <w:tcW w:w="4814" w:type="dxa"/>
            <w:gridSpan w:val="2"/>
            <w:vAlign w:val="center"/>
          </w:tcPr>
          <w:p w14:paraId="6B4A2393">
            <w:pPr>
              <w:rPr>
                <w:rFonts w:ascii="仿宋" w:hAnsi="仿宋" w:cs="仿宋"/>
              </w:rPr>
            </w:pPr>
            <w:r>
              <w:rPr>
                <w:rFonts w:hint="eastAsia" w:ascii="仿宋" w:hAnsi="仿宋" w:cs="仿宋"/>
              </w:rPr>
              <w:t>地址：</w:t>
            </w:r>
          </w:p>
        </w:tc>
      </w:tr>
      <w:tr w14:paraId="1D63CC45">
        <w:tblPrEx>
          <w:tblCellMar>
            <w:top w:w="0" w:type="dxa"/>
            <w:left w:w="108" w:type="dxa"/>
            <w:bottom w:w="0" w:type="dxa"/>
            <w:right w:w="108" w:type="dxa"/>
          </w:tblCellMar>
        </w:tblPrEx>
        <w:trPr>
          <w:trHeight w:val="340" w:hRule="atLeast"/>
          <w:jc w:val="center"/>
        </w:trPr>
        <w:tc>
          <w:tcPr>
            <w:tcW w:w="4814" w:type="dxa"/>
            <w:vAlign w:val="center"/>
          </w:tcPr>
          <w:p w14:paraId="0EE9A123">
            <w:pPr>
              <w:rPr>
                <w:rFonts w:ascii="仿宋" w:hAnsi="仿宋" w:cs="仿宋"/>
              </w:rPr>
            </w:pPr>
            <w:r>
              <w:rPr>
                <w:rFonts w:hint="eastAsia" w:ascii="仿宋" w:hAnsi="仿宋" w:cs="仿宋"/>
              </w:rPr>
              <w:t>邮编：</w:t>
            </w:r>
          </w:p>
        </w:tc>
        <w:tc>
          <w:tcPr>
            <w:tcW w:w="4814" w:type="dxa"/>
            <w:gridSpan w:val="2"/>
            <w:vAlign w:val="center"/>
          </w:tcPr>
          <w:p w14:paraId="0FADD3F5">
            <w:pPr>
              <w:rPr>
                <w:rFonts w:ascii="仿宋" w:hAnsi="仿宋" w:cs="仿宋"/>
              </w:rPr>
            </w:pPr>
            <w:r>
              <w:rPr>
                <w:rFonts w:hint="eastAsia" w:ascii="仿宋" w:hAnsi="仿宋" w:cs="仿宋"/>
              </w:rPr>
              <w:t>邮编：</w:t>
            </w:r>
          </w:p>
        </w:tc>
      </w:tr>
      <w:tr w14:paraId="2A5F7BE7">
        <w:tblPrEx>
          <w:tblCellMar>
            <w:top w:w="0" w:type="dxa"/>
            <w:left w:w="108" w:type="dxa"/>
            <w:bottom w:w="0" w:type="dxa"/>
            <w:right w:w="108" w:type="dxa"/>
          </w:tblCellMar>
        </w:tblPrEx>
        <w:trPr>
          <w:trHeight w:val="340" w:hRule="atLeast"/>
          <w:jc w:val="center"/>
        </w:trPr>
        <w:tc>
          <w:tcPr>
            <w:tcW w:w="4814" w:type="dxa"/>
            <w:vAlign w:val="center"/>
          </w:tcPr>
          <w:p w14:paraId="759B2E17">
            <w:pPr>
              <w:rPr>
                <w:rFonts w:ascii="仿宋" w:hAnsi="仿宋" w:cs="仿宋"/>
              </w:rPr>
            </w:pPr>
            <w:r>
              <w:rPr>
                <w:rFonts w:hint="eastAsia" w:ascii="仿宋" w:hAnsi="仿宋" w:cs="仿宋"/>
              </w:rPr>
              <w:t>电话：</w:t>
            </w:r>
          </w:p>
        </w:tc>
        <w:tc>
          <w:tcPr>
            <w:tcW w:w="4814" w:type="dxa"/>
            <w:gridSpan w:val="2"/>
            <w:vAlign w:val="center"/>
          </w:tcPr>
          <w:p w14:paraId="0FDDE820">
            <w:pPr>
              <w:rPr>
                <w:rFonts w:ascii="仿宋" w:hAnsi="仿宋" w:cs="仿宋"/>
              </w:rPr>
            </w:pPr>
            <w:r>
              <w:rPr>
                <w:rFonts w:hint="eastAsia" w:ascii="仿宋" w:hAnsi="仿宋" w:cs="仿宋"/>
              </w:rPr>
              <w:t>电话：</w:t>
            </w:r>
          </w:p>
        </w:tc>
      </w:tr>
      <w:tr w14:paraId="4DE719E5">
        <w:tblPrEx>
          <w:tblCellMar>
            <w:top w:w="0" w:type="dxa"/>
            <w:left w:w="108" w:type="dxa"/>
            <w:bottom w:w="0" w:type="dxa"/>
            <w:right w:w="108" w:type="dxa"/>
          </w:tblCellMar>
        </w:tblPrEx>
        <w:trPr>
          <w:trHeight w:val="340" w:hRule="atLeast"/>
          <w:jc w:val="center"/>
        </w:trPr>
        <w:tc>
          <w:tcPr>
            <w:tcW w:w="4814" w:type="dxa"/>
            <w:vAlign w:val="center"/>
          </w:tcPr>
          <w:p w14:paraId="7CFA2847">
            <w:pPr>
              <w:rPr>
                <w:rFonts w:ascii="仿宋" w:hAnsi="仿宋" w:cs="仿宋"/>
              </w:rPr>
            </w:pPr>
            <w:r>
              <w:rPr>
                <w:rFonts w:hint="eastAsia" w:ascii="仿宋" w:hAnsi="仿宋" w:cs="仿宋"/>
              </w:rPr>
              <w:t>传真：</w:t>
            </w:r>
          </w:p>
        </w:tc>
        <w:tc>
          <w:tcPr>
            <w:tcW w:w="4814" w:type="dxa"/>
            <w:gridSpan w:val="2"/>
            <w:vAlign w:val="center"/>
          </w:tcPr>
          <w:p w14:paraId="19D689EB">
            <w:pPr>
              <w:rPr>
                <w:rFonts w:ascii="仿宋" w:hAnsi="仿宋" w:cs="仿宋"/>
              </w:rPr>
            </w:pPr>
            <w:r>
              <w:rPr>
                <w:rFonts w:hint="eastAsia" w:ascii="仿宋" w:hAnsi="仿宋" w:cs="仿宋"/>
              </w:rPr>
              <w:t>传真：</w:t>
            </w:r>
          </w:p>
        </w:tc>
      </w:tr>
      <w:tr w14:paraId="7CC2A1CE">
        <w:tblPrEx>
          <w:tblCellMar>
            <w:top w:w="0" w:type="dxa"/>
            <w:left w:w="108" w:type="dxa"/>
            <w:bottom w:w="0" w:type="dxa"/>
            <w:right w:w="108" w:type="dxa"/>
          </w:tblCellMar>
        </w:tblPrEx>
        <w:trPr>
          <w:trHeight w:val="340" w:hRule="atLeast"/>
          <w:jc w:val="center"/>
        </w:trPr>
        <w:tc>
          <w:tcPr>
            <w:tcW w:w="4814" w:type="dxa"/>
            <w:vAlign w:val="center"/>
          </w:tcPr>
          <w:p w14:paraId="3A0D4D04">
            <w:pPr>
              <w:rPr>
                <w:rFonts w:ascii="仿宋" w:hAnsi="仿宋" w:cs="仿宋"/>
              </w:rPr>
            </w:pPr>
            <w:r>
              <w:rPr>
                <w:rFonts w:hint="eastAsia" w:ascii="仿宋" w:hAnsi="仿宋" w:cs="仿宋"/>
              </w:rPr>
              <w:t>开户银行：农业银行杭州朝晖支行</w:t>
            </w:r>
          </w:p>
        </w:tc>
        <w:tc>
          <w:tcPr>
            <w:tcW w:w="4814" w:type="dxa"/>
            <w:gridSpan w:val="2"/>
            <w:vAlign w:val="center"/>
          </w:tcPr>
          <w:p w14:paraId="25B8D3D3">
            <w:pPr>
              <w:rPr>
                <w:rFonts w:ascii="仿宋" w:hAnsi="仿宋" w:cs="仿宋"/>
              </w:rPr>
            </w:pPr>
            <w:r>
              <w:rPr>
                <w:rFonts w:hint="eastAsia" w:ascii="仿宋" w:hAnsi="仿宋" w:cs="仿宋"/>
              </w:rPr>
              <w:t>开户银行：</w:t>
            </w:r>
          </w:p>
        </w:tc>
      </w:tr>
      <w:tr w14:paraId="46FD038A">
        <w:tblPrEx>
          <w:tblCellMar>
            <w:top w:w="0" w:type="dxa"/>
            <w:left w:w="108" w:type="dxa"/>
            <w:bottom w:w="0" w:type="dxa"/>
            <w:right w:w="108" w:type="dxa"/>
          </w:tblCellMar>
        </w:tblPrEx>
        <w:trPr>
          <w:trHeight w:val="340" w:hRule="atLeast"/>
          <w:jc w:val="center"/>
        </w:trPr>
        <w:tc>
          <w:tcPr>
            <w:tcW w:w="4814" w:type="dxa"/>
            <w:vAlign w:val="center"/>
          </w:tcPr>
          <w:p w14:paraId="74715888">
            <w:pPr>
              <w:rPr>
                <w:rFonts w:ascii="仿宋" w:hAnsi="仿宋" w:cs="仿宋"/>
              </w:rPr>
            </w:pPr>
            <w:r>
              <w:rPr>
                <w:rFonts w:hint="eastAsia" w:ascii="仿宋" w:hAnsi="仿宋" w:cs="仿宋"/>
              </w:rPr>
              <w:t>帐号：19015601040001412</w:t>
            </w:r>
          </w:p>
        </w:tc>
        <w:tc>
          <w:tcPr>
            <w:tcW w:w="4814" w:type="dxa"/>
            <w:gridSpan w:val="2"/>
            <w:vAlign w:val="center"/>
          </w:tcPr>
          <w:p w14:paraId="288B4AC7">
            <w:pPr>
              <w:rPr>
                <w:rFonts w:ascii="仿宋" w:hAnsi="仿宋" w:cs="仿宋"/>
              </w:rPr>
            </w:pPr>
            <w:r>
              <w:rPr>
                <w:rFonts w:hint="eastAsia" w:ascii="仿宋" w:hAnsi="仿宋" w:cs="仿宋"/>
              </w:rPr>
              <w:t>帐号：</w:t>
            </w:r>
          </w:p>
        </w:tc>
      </w:tr>
      <w:tr w14:paraId="539A311A">
        <w:tblPrEx>
          <w:tblCellMar>
            <w:top w:w="0" w:type="dxa"/>
            <w:left w:w="108" w:type="dxa"/>
            <w:bottom w:w="0" w:type="dxa"/>
            <w:right w:w="108" w:type="dxa"/>
          </w:tblCellMar>
        </w:tblPrEx>
        <w:trPr>
          <w:trHeight w:val="340" w:hRule="atLeast"/>
          <w:jc w:val="center"/>
        </w:trPr>
        <w:tc>
          <w:tcPr>
            <w:tcW w:w="9628" w:type="dxa"/>
            <w:gridSpan w:val="3"/>
            <w:vAlign w:val="center"/>
          </w:tcPr>
          <w:p w14:paraId="32EDBB9E">
            <w:pPr>
              <w:rPr>
                <w:rFonts w:ascii="仿宋" w:hAnsi="仿宋" w:cs="仿宋"/>
              </w:rPr>
            </w:pPr>
            <w:r>
              <w:rPr>
                <w:rFonts w:hint="eastAsia" w:ascii="仿宋" w:hAnsi="仿宋" w:cs="仿宋"/>
              </w:rPr>
              <w:t>签约地点：浙江工业大学朝晖校区                                  签订时间：     年   月   日</w:t>
            </w:r>
          </w:p>
        </w:tc>
      </w:tr>
      <w:tr w14:paraId="5BE8814F">
        <w:tblPrEx>
          <w:tblCellMar>
            <w:top w:w="0" w:type="dxa"/>
            <w:left w:w="108" w:type="dxa"/>
            <w:bottom w:w="0" w:type="dxa"/>
            <w:right w:w="108" w:type="dxa"/>
          </w:tblCellMar>
        </w:tblPrEx>
        <w:trPr>
          <w:trHeight w:val="340" w:hRule="atLeast"/>
          <w:jc w:val="center"/>
        </w:trPr>
        <w:tc>
          <w:tcPr>
            <w:tcW w:w="4833" w:type="dxa"/>
            <w:gridSpan w:val="2"/>
            <w:vAlign w:val="center"/>
          </w:tcPr>
          <w:p w14:paraId="248D7A74">
            <w:pPr>
              <w:rPr>
                <w:rFonts w:ascii="仿宋" w:hAnsi="仿宋" w:cs="仿宋"/>
                <w:b/>
                <w:bCs/>
              </w:rPr>
            </w:pPr>
            <w:r>
              <w:rPr>
                <w:rFonts w:hint="eastAsia" w:ascii="仿宋" w:hAnsi="仿宋" w:cs="仿宋"/>
                <w:b/>
                <w:bCs/>
              </w:rPr>
              <w:t>丙方（盖章）：</w:t>
            </w:r>
          </w:p>
        </w:tc>
        <w:tc>
          <w:tcPr>
            <w:tcW w:w="4795" w:type="dxa"/>
            <w:vAlign w:val="center"/>
          </w:tcPr>
          <w:p w14:paraId="6ED14983">
            <w:pPr>
              <w:rPr>
                <w:rFonts w:ascii="仿宋" w:hAnsi="仿宋" w:cs="仿宋"/>
                <w:b/>
                <w:bCs/>
              </w:rPr>
            </w:pPr>
            <w:r>
              <w:rPr>
                <w:rFonts w:hint="eastAsia" w:ascii="仿宋" w:hAnsi="仿宋" w:cs="仿宋"/>
                <w:b/>
                <w:bCs/>
              </w:rPr>
              <w:t>鉴证方（盖章）：浙江国际招投标有限公司</w:t>
            </w:r>
          </w:p>
        </w:tc>
      </w:tr>
      <w:tr w14:paraId="7B664B72">
        <w:tblPrEx>
          <w:tblCellMar>
            <w:top w:w="0" w:type="dxa"/>
            <w:left w:w="108" w:type="dxa"/>
            <w:bottom w:w="0" w:type="dxa"/>
            <w:right w:w="108" w:type="dxa"/>
          </w:tblCellMar>
        </w:tblPrEx>
        <w:trPr>
          <w:trHeight w:val="340" w:hRule="atLeast"/>
          <w:jc w:val="center"/>
        </w:trPr>
        <w:tc>
          <w:tcPr>
            <w:tcW w:w="4833" w:type="dxa"/>
            <w:gridSpan w:val="2"/>
            <w:vAlign w:val="center"/>
          </w:tcPr>
          <w:p w14:paraId="12198F56">
            <w:pPr>
              <w:rPr>
                <w:rFonts w:ascii="仿宋" w:hAnsi="仿宋" w:cs="仿宋"/>
                <w:color w:val="FF0000"/>
              </w:rPr>
            </w:pPr>
            <w:r>
              <w:rPr>
                <w:rFonts w:hint="eastAsia" w:ascii="仿宋" w:hAnsi="仿宋" w:cs="仿宋"/>
                <w:color w:val="FF0000"/>
              </w:rPr>
              <w:t>负责人：</w:t>
            </w:r>
          </w:p>
          <w:p w14:paraId="01C50998">
            <w:pPr>
              <w:rPr>
                <w:rFonts w:ascii="仿宋" w:hAnsi="仿宋" w:cs="仿宋"/>
              </w:rPr>
            </w:pPr>
            <w:r>
              <w:rPr>
                <w:rFonts w:hint="eastAsia" w:ascii="仿宋" w:hAnsi="仿宋" w:cs="仿宋"/>
              </w:rPr>
              <w:t>（签字）</w:t>
            </w:r>
          </w:p>
        </w:tc>
        <w:tc>
          <w:tcPr>
            <w:tcW w:w="4795" w:type="dxa"/>
            <w:vAlign w:val="center"/>
          </w:tcPr>
          <w:p w14:paraId="73A9D78C">
            <w:pPr>
              <w:rPr>
                <w:rFonts w:ascii="仿宋" w:hAnsi="仿宋" w:cs="仿宋"/>
              </w:rPr>
            </w:pPr>
            <w:r>
              <w:rPr>
                <w:rFonts w:hint="eastAsia" w:ascii="仿宋" w:hAnsi="仿宋" w:cs="仿宋"/>
              </w:rPr>
              <w:t>法定代表人或受委托人：</w:t>
            </w:r>
          </w:p>
          <w:p w14:paraId="2A012E21">
            <w:pPr>
              <w:rPr>
                <w:rFonts w:ascii="仿宋" w:hAnsi="仿宋" w:cs="仿宋"/>
              </w:rPr>
            </w:pPr>
            <w:r>
              <w:rPr>
                <w:rFonts w:hint="eastAsia" w:ascii="仿宋" w:hAnsi="仿宋" w:cs="仿宋"/>
              </w:rPr>
              <w:t>（签字）</w:t>
            </w:r>
          </w:p>
        </w:tc>
      </w:tr>
      <w:tr w14:paraId="7950D75E">
        <w:tblPrEx>
          <w:tblCellMar>
            <w:top w:w="0" w:type="dxa"/>
            <w:left w:w="108" w:type="dxa"/>
            <w:bottom w:w="0" w:type="dxa"/>
            <w:right w:w="108" w:type="dxa"/>
          </w:tblCellMar>
        </w:tblPrEx>
        <w:trPr>
          <w:trHeight w:val="340" w:hRule="atLeast"/>
          <w:jc w:val="center"/>
        </w:trPr>
        <w:tc>
          <w:tcPr>
            <w:tcW w:w="4833" w:type="dxa"/>
            <w:gridSpan w:val="2"/>
            <w:vAlign w:val="center"/>
          </w:tcPr>
          <w:p w14:paraId="158B4B2C">
            <w:pPr>
              <w:rPr>
                <w:rFonts w:ascii="仿宋" w:hAnsi="仿宋" w:cs="仿宋"/>
              </w:rPr>
            </w:pPr>
            <w:r>
              <w:rPr>
                <w:rFonts w:hint="eastAsia" w:ascii="仿宋" w:hAnsi="仿宋" w:cs="仿宋"/>
              </w:rPr>
              <w:t>地址：</w:t>
            </w:r>
          </w:p>
        </w:tc>
        <w:tc>
          <w:tcPr>
            <w:tcW w:w="4795" w:type="dxa"/>
            <w:vAlign w:val="center"/>
          </w:tcPr>
          <w:p w14:paraId="311644C8">
            <w:pPr>
              <w:rPr>
                <w:rFonts w:ascii="仿宋" w:hAnsi="仿宋" w:cs="仿宋"/>
              </w:rPr>
            </w:pPr>
            <w:r>
              <w:rPr>
                <w:rFonts w:hint="eastAsia" w:ascii="仿宋" w:hAnsi="仿宋" w:cs="仿宋"/>
              </w:rPr>
              <w:t>地址：杭州市西湖区文三路90号1号楼3楼</w:t>
            </w:r>
          </w:p>
        </w:tc>
      </w:tr>
      <w:tr w14:paraId="54AFA997">
        <w:tblPrEx>
          <w:tblCellMar>
            <w:top w:w="0" w:type="dxa"/>
            <w:left w:w="108" w:type="dxa"/>
            <w:bottom w:w="0" w:type="dxa"/>
            <w:right w:w="108" w:type="dxa"/>
          </w:tblCellMar>
        </w:tblPrEx>
        <w:trPr>
          <w:trHeight w:val="340" w:hRule="atLeast"/>
          <w:jc w:val="center"/>
        </w:trPr>
        <w:tc>
          <w:tcPr>
            <w:tcW w:w="4833" w:type="dxa"/>
            <w:gridSpan w:val="2"/>
            <w:vAlign w:val="center"/>
          </w:tcPr>
          <w:p w14:paraId="5E1FE86E">
            <w:pPr>
              <w:rPr>
                <w:rFonts w:ascii="仿宋" w:hAnsi="仿宋" w:cs="仿宋"/>
              </w:rPr>
            </w:pPr>
          </w:p>
        </w:tc>
        <w:tc>
          <w:tcPr>
            <w:tcW w:w="4795" w:type="dxa"/>
            <w:vAlign w:val="center"/>
          </w:tcPr>
          <w:p w14:paraId="1AF1C0DC">
            <w:pPr>
              <w:rPr>
                <w:rFonts w:ascii="仿宋" w:hAnsi="仿宋" w:cs="仿宋"/>
              </w:rPr>
            </w:pPr>
            <w:r>
              <w:rPr>
                <w:rFonts w:hint="eastAsia" w:ascii="仿宋" w:hAnsi="仿宋" w:cs="仿宋"/>
              </w:rPr>
              <w:t>电话：0571-81061819</w:t>
            </w:r>
          </w:p>
        </w:tc>
      </w:tr>
      <w:tr w14:paraId="29D5970F">
        <w:tblPrEx>
          <w:tblCellMar>
            <w:top w:w="0" w:type="dxa"/>
            <w:left w:w="108" w:type="dxa"/>
            <w:bottom w:w="0" w:type="dxa"/>
            <w:right w:w="108" w:type="dxa"/>
          </w:tblCellMar>
        </w:tblPrEx>
        <w:trPr>
          <w:trHeight w:val="340" w:hRule="atLeast"/>
          <w:jc w:val="center"/>
        </w:trPr>
        <w:tc>
          <w:tcPr>
            <w:tcW w:w="4833" w:type="dxa"/>
            <w:gridSpan w:val="2"/>
            <w:vAlign w:val="center"/>
          </w:tcPr>
          <w:p w14:paraId="12798225">
            <w:pPr>
              <w:rPr>
                <w:rFonts w:ascii="仿宋" w:hAnsi="仿宋" w:cs="仿宋"/>
              </w:rPr>
            </w:pPr>
          </w:p>
        </w:tc>
        <w:tc>
          <w:tcPr>
            <w:tcW w:w="4795" w:type="dxa"/>
            <w:vAlign w:val="center"/>
          </w:tcPr>
          <w:p w14:paraId="3CB22C26">
            <w:pPr>
              <w:rPr>
                <w:rFonts w:ascii="仿宋" w:hAnsi="仿宋" w:cs="仿宋"/>
              </w:rPr>
            </w:pPr>
            <w:r>
              <w:rPr>
                <w:rFonts w:hint="eastAsia" w:ascii="仿宋" w:hAnsi="仿宋" w:cs="仿宋"/>
              </w:rPr>
              <w:t>鉴证时间：     年   月   日</w:t>
            </w:r>
          </w:p>
        </w:tc>
      </w:tr>
    </w:tbl>
    <w:p w14:paraId="3D68D801">
      <w:pPr>
        <w:rPr>
          <w:rFonts w:ascii="仿宋" w:hAnsi="仿宋" w:cs="仿宋"/>
        </w:rPr>
      </w:pPr>
      <w:r>
        <w:rPr>
          <w:rFonts w:hint="eastAsia" w:ascii="仿宋" w:hAnsi="仿宋" w:cs="仿宋"/>
        </w:rPr>
        <w:br w:type="page"/>
      </w:r>
    </w:p>
    <w:p w14:paraId="35473721">
      <w:pPr>
        <w:spacing w:line="360" w:lineRule="auto"/>
        <w:jc w:val="center"/>
        <w:outlineLvl w:val="0"/>
        <w:rPr>
          <w:rFonts w:ascii="仿宋" w:hAnsi="仿宋" w:cs="仿宋"/>
          <w:b/>
          <w:sz w:val="36"/>
          <w:szCs w:val="20"/>
        </w:rPr>
      </w:pPr>
      <w:bookmarkStart w:id="413" w:name="_Toc12455"/>
      <w:r>
        <w:rPr>
          <w:rFonts w:hint="eastAsia" w:ascii="仿宋" w:hAnsi="仿宋" w:cs="仿宋"/>
          <w:b/>
          <w:sz w:val="36"/>
          <w:szCs w:val="20"/>
        </w:rPr>
        <w:t>第六部分</w:t>
      </w:r>
      <w:bookmarkEnd w:id="411"/>
      <w:bookmarkEnd w:id="412"/>
      <w:r>
        <w:rPr>
          <w:rFonts w:hint="eastAsia" w:ascii="仿宋" w:hAnsi="仿宋" w:cs="仿宋"/>
          <w:b/>
          <w:sz w:val="36"/>
          <w:szCs w:val="20"/>
        </w:rPr>
        <w:t xml:space="preserve">  应提交的有关格式范例</w:t>
      </w:r>
      <w:bookmarkEnd w:id="413"/>
    </w:p>
    <w:p w14:paraId="78458EDD">
      <w:pPr>
        <w:rPr>
          <w:rFonts w:ascii="仿宋" w:hAnsi="仿宋" w:cs="仿宋"/>
        </w:rPr>
      </w:pPr>
    </w:p>
    <w:p w14:paraId="41D685DF">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资格文件部分</w:t>
      </w:r>
    </w:p>
    <w:p w14:paraId="0706DFC7">
      <w:pPr>
        <w:jc w:val="center"/>
        <w:rPr>
          <w:rFonts w:ascii="仿宋" w:hAnsi="仿宋" w:cs="仿宋"/>
          <w:sz w:val="32"/>
          <w:szCs w:val="32"/>
        </w:rPr>
      </w:pPr>
      <w:r>
        <w:rPr>
          <w:rFonts w:hint="eastAsia" w:ascii="仿宋" w:hAnsi="仿宋" w:cs="仿宋"/>
          <w:sz w:val="32"/>
          <w:szCs w:val="32"/>
        </w:rPr>
        <w:t>目录</w:t>
      </w:r>
    </w:p>
    <w:p w14:paraId="3A9A8903">
      <w:pPr>
        <w:rPr>
          <w:rFonts w:ascii="仿宋" w:hAnsi="仿宋" w:cs="仿宋"/>
        </w:rPr>
      </w:pPr>
    </w:p>
    <w:p w14:paraId="1DB8B4FD">
      <w:pPr>
        <w:pStyle w:val="24"/>
        <w:rPr>
          <w:rFonts w:ascii="仿宋" w:hAnsi="仿宋" w:cs="仿宋"/>
        </w:rPr>
      </w:pPr>
    </w:p>
    <w:p w14:paraId="089584F8">
      <w:pPr>
        <w:spacing w:line="360" w:lineRule="auto"/>
        <w:rPr>
          <w:rFonts w:ascii="仿宋" w:hAnsi="仿宋" w:cs="仿宋"/>
        </w:rPr>
      </w:pPr>
      <w:r>
        <w:rPr>
          <w:rFonts w:hint="eastAsia" w:ascii="仿宋" w:hAnsi="仿宋" w:cs="仿宋"/>
        </w:rPr>
        <w:t>（1）符合参加政府采购活动应当具备的一般条件的承诺函……………（页码）</w:t>
      </w:r>
    </w:p>
    <w:p w14:paraId="13D38E7F">
      <w:pPr>
        <w:spacing w:line="360" w:lineRule="auto"/>
        <w:rPr>
          <w:rFonts w:ascii="仿宋" w:hAnsi="仿宋" w:cs="仿宋"/>
        </w:rPr>
      </w:pPr>
      <w:r>
        <w:rPr>
          <w:rFonts w:hint="eastAsia" w:ascii="仿宋" w:hAnsi="仿宋" w:cs="仿宋"/>
        </w:rPr>
        <w:t>（2）联合协议………………………………………………………………（页码）</w:t>
      </w:r>
    </w:p>
    <w:p w14:paraId="301A1E97">
      <w:pPr>
        <w:spacing w:line="360" w:lineRule="auto"/>
        <w:rPr>
          <w:rFonts w:ascii="仿宋" w:hAnsi="仿宋" w:cs="仿宋"/>
        </w:rPr>
      </w:pPr>
      <w:r>
        <w:rPr>
          <w:rFonts w:hint="eastAsia" w:ascii="仿宋" w:hAnsi="仿宋" w:cs="仿宋"/>
        </w:rPr>
        <w:t>（3）落实政府采购政策需满足的资格要求………………………………（页码）</w:t>
      </w:r>
    </w:p>
    <w:p w14:paraId="5848DD15">
      <w:pPr>
        <w:spacing w:line="360" w:lineRule="auto"/>
        <w:rPr>
          <w:rFonts w:ascii="仿宋" w:hAnsi="仿宋" w:cs="仿宋"/>
        </w:rPr>
      </w:pPr>
      <w:r>
        <w:rPr>
          <w:rFonts w:hint="eastAsia" w:ascii="仿宋" w:hAnsi="仿宋" w:cs="仿宋"/>
        </w:rPr>
        <w:t>（4）本项目的特定资格要求………………………………………………（页码）</w:t>
      </w:r>
    </w:p>
    <w:p w14:paraId="01D9F28B">
      <w:pPr>
        <w:rPr>
          <w:rFonts w:ascii="仿宋" w:hAnsi="仿宋" w:cs="仿宋"/>
        </w:rPr>
      </w:pPr>
    </w:p>
    <w:p w14:paraId="265FC681">
      <w:pPr>
        <w:spacing w:line="360" w:lineRule="auto"/>
        <w:ind w:firstLine="480" w:firstLineChars="200"/>
        <w:rPr>
          <w:rFonts w:ascii="仿宋" w:hAnsi="仿宋" w:cs="仿宋"/>
        </w:rPr>
      </w:pPr>
    </w:p>
    <w:p w14:paraId="3F49D040">
      <w:pPr>
        <w:spacing w:line="360" w:lineRule="auto"/>
        <w:ind w:firstLine="480" w:firstLineChars="200"/>
        <w:rPr>
          <w:rFonts w:ascii="仿宋" w:hAnsi="仿宋" w:cs="仿宋"/>
        </w:rPr>
      </w:pPr>
    </w:p>
    <w:p w14:paraId="42914919">
      <w:pPr>
        <w:spacing w:line="360" w:lineRule="auto"/>
        <w:ind w:right="480"/>
        <w:jc w:val="center"/>
        <w:rPr>
          <w:rFonts w:ascii="仿宋" w:hAnsi="仿宋" w:cs="仿宋"/>
          <w:b/>
          <w:kern w:val="0"/>
          <w:sz w:val="32"/>
          <w:szCs w:val="32"/>
        </w:rPr>
      </w:pPr>
      <w:r>
        <w:rPr>
          <w:rFonts w:hint="eastAsia" w:ascii="仿宋" w:hAnsi="仿宋" w:cs="仿宋"/>
          <w:kern w:val="0"/>
        </w:rPr>
        <w:br w:type="page"/>
      </w:r>
      <w:r>
        <w:rPr>
          <w:rFonts w:hint="eastAsia" w:ascii="仿宋" w:hAnsi="仿宋" w:cs="仿宋"/>
          <w:b/>
          <w:kern w:val="0"/>
          <w:sz w:val="32"/>
          <w:szCs w:val="32"/>
        </w:rPr>
        <w:t>一、 符合参加政府采购活动应当具备的一般条件的承诺函</w:t>
      </w:r>
    </w:p>
    <w:p w14:paraId="526F41B3">
      <w:pPr>
        <w:spacing w:line="360" w:lineRule="auto"/>
        <w:rPr>
          <w:rFonts w:ascii="仿宋" w:hAnsi="仿宋" w:cs="仿宋"/>
        </w:rPr>
      </w:pPr>
      <w:r>
        <w:rPr>
          <w:rFonts w:hint="eastAsia" w:ascii="仿宋" w:hAnsi="仿宋" w:cs="仿宋"/>
          <w:u w:val="single"/>
        </w:rPr>
        <w:t>浙江工业大学、浙江国际招投标有限公司</w:t>
      </w:r>
      <w:r>
        <w:rPr>
          <w:rFonts w:hint="eastAsia" w:ascii="仿宋" w:hAnsi="仿宋" w:cs="仿宋"/>
        </w:rPr>
        <w:t>：</w:t>
      </w:r>
    </w:p>
    <w:p w14:paraId="32648437">
      <w:pPr>
        <w:spacing w:line="360" w:lineRule="auto"/>
        <w:ind w:firstLine="420"/>
        <w:rPr>
          <w:rFonts w:ascii="仿宋" w:hAnsi="仿宋" w:cs="仿宋"/>
        </w:rPr>
      </w:pPr>
      <w:r>
        <w:rPr>
          <w:rFonts w:hint="eastAsia" w:ascii="仿宋" w:hAnsi="仿宋" w:cs="仿宋"/>
        </w:rPr>
        <w:t>我方参与</w:t>
      </w:r>
      <w:r>
        <w:rPr>
          <w:rFonts w:hint="eastAsia" w:ascii="仿宋" w:hAnsi="仿宋" w:cs="仿宋"/>
          <w:u w:val="single"/>
        </w:rPr>
        <w:t>（项目名称）</w:t>
      </w:r>
      <w:r>
        <w:rPr>
          <w:rFonts w:hint="eastAsia" w:ascii="仿宋" w:hAnsi="仿宋" w:cs="仿宋"/>
        </w:rPr>
        <w:t>【招标编号：</w:t>
      </w:r>
      <w:r>
        <w:rPr>
          <w:rFonts w:hint="eastAsia" w:ascii="仿宋" w:hAnsi="仿宋" w:cs="仿宋"/>
          <w:u w:val="single"/>
        </w:rPr>
        <w:t>（采购编号）</w:t>
      </w:r>
      <w:r>
        <w:rPr>
          <w:rFonts w:hint="eastAsia" w:ascii="仿宋" w:hAnsi="仿宋" w:cs="仿宋"/>
        </w:rPr>
        <w:t>】政府采购活动，郑重承诺：</w:t>
      </w:r>
    </w:p>
    <w:p w14:paraId="483BA31A">
      <w:pPr>
        <w:spacing w:line="360" w:lineRule="auto"/>
        <w:ind w:firstLine="360" w:firstLineChars="150"/>
        <w:rPr>
          <w:rFonts w:ascii="仿宋" w:hAnsi="仿宋" w:cs="仿宋"/>
          <w:snapToGrid w:val="0"/>
          <w:kern w:val="0"/>
        </w:rPr>
      </w:pPr>
      <w:r>
        <w:rPr>
          <w:rFonts w:hint="eastAsia" w:ascii="仿宋" w:hAnsi="仿宋" w:cs="仿宋"/>
          <w:snapToGrid w:val="0"/>
          <w:kern w:val="0"/>
        </w:rPr>
        <w:t>（一）具备《中华人民共和国政府采购法》第二十二条第一款规定的条件：</w:t>
      </w:r>
    </w:p>
    <w:p w14:paraId="6E1A2EA3">
      <w:pPr>
        <w:spacing w:line="360" w:lineRule="auto"/>
        <w:ind w:firstLine="480" w:firstLineChars="200"/>
        <w:rPr>
          <w:rFonts w:ascii="仿宋" w:hAnsi="仿宋" w:cs="仿宋"/>
          <w:snapToGrid w:val="0"/>
          <w:kern w:val="0"/>
        </w:rPr>
      </w:pPr>
      <w:r>
        <w:rPr>
          <w:rFonts w:hint="eastAsia" w:ascii="仿宋" w:hAnsi="仿宋" w:cs="仿宋"/>
          <w:snapToGrid w:val="0"/>
          <w:kern w:val="0"/>
        </w:rPr>
        <w:t>1、具有独立承担民事责任的能力；</w:t>
      </w:r>
    </w:p>
    <w:p w14:paraId="65061BF9">
      <w:pPr>
        <w:spacing w:line="360" w:lineRule="auto"/>
        <w:ind w:firstLine="480" w:firstLineChars="200"/>
        <w:rPr>
          <w:rFonts w:ascii="仿宋" w:hAnsi="仿宋" w:cs="仿宋"/>
          <w:snapToGrid w:val="0"/>
          <w:kern w:val="0"/>
        </w:rPr>
      </w:pPr>
      <w:r>
        <w:rPr>
          <w:rFonts w:hint="eastAsia" w:ascii="仿宋" w:hAnsi="仿宋" w:cs="仿宋"/>
          <w:snapToGrid w:val="0"/>
          <w:kern w:val="0"/>
        </w:rPr>
        <w:t xml:space="preserve">2、具有良好的商业信誉和健全的财务会计制度； </w:t>
      </w:r>
    </w:p>
    <w:p w14:paraId="44F83B99">
      <w:pPr>
        <w:spacing w:line="360" w:lineRule="auto"/>
        <w:ind w:firstLine="480" w:firstLineChars="200"/>
        <w:rPr>
          <w:rFonts w:ascii="仿宋" w:hAnsi="仿宋" w:cs="仿宋"/>
          <w:snapToGrid w:val="0"/>
          <w:kern w:val="0"/>
        </w:rPr>
      </w:pPr>
      <w:r>
        <w:rPr>
          <w:rFonts w:hint="eastAsia" w:ascii="仿宋" w:hAnsi="仿宋" w:cs="仿宋"/>
          <w:snapToGrid w:val="0"/>
          <w:kern w:val="0"/>
        </w:rPr>
        <w:t>3、具有履行合同所必需的设备和专业技术能力；</w:t>
      </w:r>
    </w:p>
    <w:p w14:paraId="4332D122">
      <w:pPr>
        <w:spacing w:line="360" w:lineRule="auto"/>
        <w:ind w:firstLine="480" w:firstLineChars="200"/>
        <w:rPr>
          <w:rFonts w:ascii="仿宋" w:hAnsi="仿宋" w:cs="仿宋"/>
          <w:snapToGrid w:val="0"/>
          <w:kern w:val="0"/>
        </w:rPr>
      </w:pPr>
      <w:r>
        <w:rPr>
          <w:rFonts w:hint="eastAsia" w:ascii="仿宋" w:hAnsi="仿宋" w:cs="仿宋"/>
          <w:snapToGrid w:val="0"/>
          <w:kern w:val="0"/>
        </w:rPr>
        <w:t>4、有依法缴纳税收和社会保障资金的良好记录；</w:t>
      </w:r>
    </w:p>
    <w:p w14:paraId="6E0C6C2A">
      <w:pPr>
        <w:spacing w:line="360" w:lineRule="auto"/>
        <w:ind w:firstLine="480" w:firstLineChars="200"/>
        <w:rPr>
          <w:rFonts w:ascii="仿宋" w:hAnsi="仿宋" w:cs="仿宋"/>
          <w:snapToGrid w:val="0"/>
          <w:kern w:val="0"/>
        </w:rPr>
      </w:pPr>
      <w:r>
        <w:rPr>
          <w:rFonts w:hint="eastAsia" w:ascii="仿宋" w:hAnsi="仿宋" w:cs="仿宋"/>
          <w:snapToGrid w:val="0"/>
          <w:kern w:val="0"/>
        </w:rPr>
        <w:t>5、参加政府采购活动前三年内，在经营活动中没有重大违法记录；</w:t>
      </w:r>
    </w:p>
    <w:p w14:paraId="4EA4EE5C">
      <w:pPr>
        <w:spacing w:line="360" w:lineRule="auto"/>
        <w:ind w:firstLine="480" w:firstLineChars="200"/>
        <w:rPr>
          <w:rFonts w:ascii="仿宋" w:hAnsi="仿宋" w:cs="仿宋"/>
          <w:snapToGrid w:val="0"/>
          <w:kern w:val="0"/>
        </w:rPr>
      </w:pPr>
      <w:r>
        <w:rPr>
          <w:rFonts w:hint="eastAsia" w:ascii="仿宋" w:hAnsi="仿宋" w:cs="仿宋"/>
          <w:snapToGrid w:val="0"/>
          <w:kern w:val="0"/>
        </w:rPr>
        <w:t>6、具有法律、行政法规规定的其他条件。</w:t>
      </w:r>
    </w:p>
    <w:p w14:paraId="4AA65137">
      <w:pPr>
        <w:spacing w:line="360" w:lineRule="auto"/>
        <w:ind w:firstLine="480" w:firstLineChars="200"/>
        <w:rPr>
          <w:rFonts w:ascii="仿宋" w:hAnsi="仿宋" w:cs="仿宋"/>
          <w:snapToGrid w:val="0"/>
          <w:kern w:val="0"/>
        </w:rPr>
      </w:pPr>
      <w:r>
        <w:rPr>
          <w:rFonts w:hint="eastAsia" w:ascii="仿宋" w:hAnsi="仿宋" w:cs="仿宋"/>
          <w:snapToGrid w:val="0"/>
          <w:kern w:val="0"/>
        </w:rPr>
        <w:t>（二）未被信用中国（www.creditchina.gov.cn)、中国政府采购网（www.ccgp.gov.cn）列入失信被执行人、重大税收违法案件当事人名单、政府采购严重违法失信行为记录名单。</w:t>
      </w:r>
    </w:p>
    <w:p w14:paraId="4F268E0F">
      <w:pPr>
        <w:spacing w:line="360" w:lineRule="auto"/>
        <w:ind w:firstLine="480" w:firstLineChars="200"/>
        <w:rPr>
          <w:rFonts w:ascii="仿宋" w:hAnsi="仿宋" w:cs="仿宋"/>
          <w:snapToGrid w:val="0"/>
          <w:kern w:val="0"/>
        </w:rPr>
      </w:pPr>
      <w:r>
        <w:rPr>
          <w:rFonts w:hint="eastAsia" w:ascii="仿宋" w:hAnsi="仿宋" w:cs="仿宋"/>
          <w:snapToGrid w:val="0"/>
          <w:kern w:val="0"/>
        </w:rPr>
        <w:t>（三）不存在以下情况：</w:t>
      </w:r>
    </w:p>
    <w:p w14:paraId="549005EF">
      <w:pPr>
        <w:spacing w:line="360" w:lineRule="auto"/>
        <w:ind w:firstLine="480" w:firstLineChars="200"/>
        <w:rPr>
          <w:rFonts w:ascii="仿宋" w:hAnsi="仿宋" w:cs="仿宋"/>
          <w:snapToGrid w:val="0"/>
          <w:kern w:val="0"/>
        </w:rPr>
      </w:pPr>
      <w:r>
        <w:rPr>
          <w:rFonts w:hint="eastAsia" w:ascii="仿宋" w:hAnsi="仿宋" w:cs="仿宋"/>
          <w:snapToGrid w:val="0"/>
          <w:kern w:val="0"/>
        </w:rPr>
        <w:t>1、单位负责人为同一人或者存在直接控股、管理关系的不同供应商参加同一合同项下的政府采购活动的；</w:t>
      </w:r>
    </w:p>
    <w:p w14:paraId="647B1459">
      <w:pPr>
        <w:spacing w:line="360" w:lineRule="auto"/>
        <w:ind w:firstLine="480" w:firstLineChars="200"/>
        <w:rPr>
          <w:rFonts w:ascii="仿宋" w:hAnsi="仿宋" w:cs="仿宋"/>
          <w:snapToGrid w:val="0"/>
          <w:kern w:val="0"/>
        </w:rPr>
      </w:pPr>
      <w:r>
        <w:rPr>
          <w:rFonts w:hint="eastAsia" w:ascii="仿宋" w:hAnsi="仿宋" w:cs="仿宋"/>
          <w:snapToGrid w:val="0"/>
          <w:kern w:val="0"/>
        </w:rPr>
        <w:t>2、为采购项目提供整体设计、规范编制或者项目管理、监理、检测等服务后再参加该采购项目的其他采购活动的。</w:t>
      </w:r>
    </w:p>
    <w:p w14:paraId="7CDD809A">
      <w:pPr>
        <w:pStyle w:val="24"/>
        <w:spacing w:line="360" w:lineRule="auto"/>
        <w:rPr>
          <w:rFonts w:ascii="仿宋" w:hAnsi="仿宋" w:cs="仿宋"/>
          <w:snapToGrid w:val="0"/>
          <w:kern w:val="0"/>
        </w:rPr>
      </w:pPr>
    </w:p>
    <w:p w14:paraId="793CD85E">
      <w:pPr>
        <w:rPr>
          <w:rFonts w:ascii="仿宋" w:hAnsi="仿宋" w:cs="仿宋"/>
        </w:rPr>
      </w:pPr>
    </w:p>
    <w:p w14:paraId="1BF36AC8">
      <w:pPr>
        <w:spacing w:line="360" w:lineRule="auto"/>
        <w:ind w:firstLine="5520" w:firstLineChars="2300"/>
        <w:rPr>
          <w:rFonts w:ascii="仿宋" w:hAnsi="仿宋" w:cs="仿宋"/>
          <w:kern w:val="0"/>
        </w:rPr>
      </w:pPr>
      <w:r>
        <w:rPr>
          <w:rFonts w:hint="eastAsia" w:ascii="仿宋" w:hAnsi="仿宋" w:cs="仿宋"/>
          <w:kern w:val="0"/>
          <w:lang w:val="zh-CN"/>
        </w:rPr>
        <w:t>投标人名称(电子签名)：</w:t>
      </w:r>
    </w:p>
    <w:p w14:paraId="4D238A0A">
      <w:pPr>
        <w:spacing w:line="360" w:lineRule="auto"/>
        <w:jc w:val="right"/>
        <w:rPr>
          <w:rFonts w:ascii="仿宋" w:hAnsi="仿宋" w:cs="仿宋"/>
          <w:kern w:val="0"/>
        </w:rPr>
      </w:pPr>
      <w:r>
        <w:rPr>
          <w:rFonts w:hint="eastAsia" w:ascii="仿宋" w:hAnsi="仿宋" w:cs="仿宋"/>
          <w:kern w:val="0"/>
          <w:lang w:val="zh-CN"/>
        </w:rPr>
        <w:t>日期</w:t>
      </w:r>
      <w:r>
        <w:rPr>
          <w:rFonts w:hint="eastAsia" w:ascii="仿宋" w:hAnsi="仿宋" w:cs="仿宋"/>
          <w:kern w:val="0"/>
        </w:rPr>
        <w:t>：  年</w:t>
      </w:r>
      <w:r>
        <w:rPr>
          <w:rFonts w:hint="eastAsia" w:ascii="仿宋" w:hAnsi="仿宋" w:cs="仿宋"/>
          <w:kern w:val="0"/>
          <w:lang w:val="zh-CN"/>
        </w:rPr>
        <w:t>月日</w:t>
      </w:r>
    </w:p>
    <w:p w14:paraId="40B3C6C6">
      <w:pPr>
        <w:spacing w:line="360" w:lineRule="auto"/>
        <w:ind w:right="480"/>
        <w:jc w:val="center"/>
        <w:rPr>
          <w:rFonts w:ascii="仿宋" w:hAnsi="仿宋" w:cs="仿宋"/>
          <w:b/>
          <w:kern w:val="0"/>
          <w:sz w:val="32"/>
          <w:szCs w:val="32"/>
        </w:rPr>
      </w:pPr>
    </w:p>
    <w:p w14:paraId="274542BB">
      <w:pPr>
        <w:spacing w:line="360" w:lineRule="auto"/>
        <w:ind w:right="480"/>
        <w:jc w:val="center"/>
        <w:rPr>
          <w:rFonts w:ascii="仿宋" w:hAnsi="仿宋" w:cs="仿宋"/>
          <w:b/>
          <w:kern w:val="0"/>
          <w:sz w:val="32"/>
          <w:szCs w:val="32"/>
        </w:rPr>
      </w:pPr>
    </w:p>
    <w:p w14:paraId="02409DD1">
      <w:pPr>
        <w:rPr>
          <w:rFonts w:ascii="仿宋" w:hAnsi="仿宋" w:cs="仿宋"/>
        </w:rPr>
      </w:pPr>
    </w:p>
    <w:p w14:paraId="4BC5DC5D">
      <w:pPr>
        <w:spacing w:line="360" w:lineRule="auto"/>
        <w:ind w:right="480"/>
        <w:jc w:val="center"/>
        <w:rPr>
          <w:rFonts w:ascii="仿宋" w:hAnsi="仿宋" w:cs="仿宋"/>
          <w:b/>
          <w:kern w:val="0"/>
          <w:sz w:val="32"/>
          <w:szCs w:val="32"/>
        </w:rPr>
      </w:pPr>
    </w:p>
    <w:p w14:paraId="4BC85C2F">
      <w:pPr>
        <w:spacing w:line="360" w:lineRule="auto"/>
        <w:ind w:right="480"/>
        <w:jc w:val="center"/>
        <w:rPr>
          <w:rFonts w:ascii="仿宋" w:hAnsi="仿宋" w:cs="仿宋"/>
          <w:b/>
          <w:kern w:val="0"/>
          <w:sz w:val="32"/>
          <w:szCs w:val="32"/>
        </w:rPr>
      </w:pPr>
    </w:p>
    <w:p w14:paraId="4CE1747D">
      <w:pPr>
        <w:rPr>
          <w:rFonts w:ascii="仿宋" w:hAnsi="仿宋" w:cs="仿宋"/>
          <w:b/>
          <w:kern w:val="0"/>
          <w:sz w:val="32"/>
          <w:szCs w:val="32"/>
        </w:rPr>
      </w:pPr>
      <w:r>
        <w:rPr>
          <w:rFonts w:hint="eastAsia" w:ascii="仿宋" w:hAnsi="仿宋" w:cs="仿宋"/>
          <w:b/>
          <w:kern w:val="0"/>
          <w:sz w:val="32"/>
          <w:szCs w:val="32"/>
        </w:rPr>
        <w:br w:type="page"/>
      </w:r>
    </w:p>
    <w:p w14:paraId="64A1CDB5">
      <w:pPr>
        <w:spacing w:line="360" w:lineRule="auto"/>
        <w:ind w:right="480"/>
        <w:jc w:val="center"/>
        <w:rPr>
          <w:rFonts w:ascii="仿宋" w:hAnsi="仿宋" w:cs="仿宋"/>
          <w:b/>
          <w:kern w:val="0"/>
          <w:sz w:val="32"/>
          <w:szCs w:val="32"/>
        </w:rPr>
      </w:pPr>
      <w:r>
        <w:rPr>
          <w:rFonts w:hint="eastAsia" w:ascii="仿宋" w:hAnsi="仿宋" w:cs="仿宋"/>
          <w:b/>
          <w:kern w:val="0"/>
          <w:sz w:val="32"/>
          <w:szCs w:val="32"/>
        </w:rPr>
        <w:t>二、联合协议</w:t>
      </w:r>
      <w:r>
        <w:rPr>
          <w:rFonts w:hint="eastAsia" w:ascii="仿宋" w:hAnsi="仿宋" w:cs="仿宋"/>
          <w:b/>
          <w:color w:val="FF0000"/>
          <w:kern w:val="0"/>
          <w:sz w:val="32"/>
          <w:szCs w:val="32"/>
        </w:rPr>
        <w:t>（如果有）</w:t>
      </w:r>
    </w:p>
    <w:p w14:paraId="5FEA17CE">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[以联合体形式投标的，提供联合协议（附件5）；本项目不接受联合体投标或者投标人不以联合体形式投标的，则不需要提供]</w:t>
      </w:r>
    </w:p>
    <w:p w14:paraId="3AB449BD">
      <w:pPr>
        <w:rPr>
          <w:rFonts w:ascii="仿宋" w:hAnsi="仿宋" w:cs="仿宋"/>
          <w:b/>
          <w:kern w:val="0"/>
          <w:sz w:val="32"/>
          <w:szCs w:val="32"/>
        </w:rPr>
      </w:pPr>
    </w:p>
    <w:p w14:paraId="1083871D">
      <w:pPr>
        <w:rPr>
          <w:rFonts w:ascii="仿宋" w:hAnsi="仿宋" w:cs="仿宋"/>
          <w:b/>
          <w:kern w:val="0"/>
          <w:sz w:val="32"/>
          <w:szCs w:val="32"/>
        </w:rPr>
      </w:pPr>
      <w:r>
        <w:rPr>
          <w:rFonts w:hint="eastAsia" w:ascii="仿宋" w:hAnsi="仿宋" w:cs="仿宋"/>
          <w:b/>
          <w:kern w:val="0"/>
          <w:sz w:val="32"/>
          <w:szCs w:val="32"/>
        </w:rPr>
        <w:br w:type="page"/>
      </w:r>
    </w:p>
    <w:p w14:paraId="46BD8009">
      <w:pPr>
        <w:spacing w:line="360" w:lineRule="auto"/>
        <w:ind w:right="480"/>
        <w:jc w:val="center"/>
        <w:rPr>
          <w:rFonts w:ascii="仿宋" w:hAnsi="仿宋" w:cs="仿宋"/>
          <w:b/>
          <w:kern w:val="0"/>
          <w:sz w:val="32"/>
          <w:szCs w:val="32"/>
        </w:rPr>
      </w:pPr>
      <w:r>
        <w:rPr>
          <w:rFonts w:hint="eastAsia" w:ascii="仿宋" w:hAnsi="仿宋" w:cs="仿宋"/>
          <w:b/>
          <w:kern w:val="0"/>
          <w:sz w:val="32"/>
          <w:szCs w:val="32"/>
        </w:rPr>
        <w:t>三、落实政府采购政策需满足的资格要求</w:t>
      </w:r>
    </w:p>
    <w:p w14:paraId="25AEA41B">
      <w:pPr>
        <w:spacing w:before="50" w:after="50" w:line="360" w:lineRule="auto"/>
        <w:ind w:firstLine="470" w:firstLineChars="196"/>
        <w:jc w:val="left"/>
        <w:rPr>
          <w:rFonts w:ascii="仿宋" w:hAnsi="仿宋" w:cs="仿宋"/>
        </w:rPr>
      </w:pPr>
      <w:r>
        <w:rPr>
          <w:rFonts w:hint="eastAsia" w:ascii="仿宋" w:hAnsi="仿宋" w:cs="仿宋"/>
        </w:rPr>
        <w:t>（根据招标公告落实政府采购政策需满足的资格要求选择提供相应的材料；未要求的，无需提供）</w:t>
      </w:r>
    </w:p>
    <w:p w14:paraId="7E9353FF">
      <w:pPr>
        <w:spacing w:before="50" w:after="50" w:line="360" w:lineRule="auto"/>
        <w:ind w:firstLine="470" w:firstLineChars="196"/>
        <w:jc w:val="left"/>
        <w:rPr>
          <w:rFonts w:ascii="仿宋" w:hAnsi="仿宋" w:cs="仿宋"/>
        </w:rPr>
      </w:pPr>
      <w:r>
        <w:rPr>
          <w:rFonts w:hint="eastAsia" w:ascii="仿宋" w:hAnsi="仿宋" w:cs="仿宋"/>
        </w:rPr>
        <w:t xml:space="preserve">A.专门面向中小企业，货物全部由符合政策要求的中小企业（或小微企业）制造的，提供相应的中小企业声明函（附件7）。 </w:t>
      </w:r>
    </w:p>
    <w:p w14:paraId="7C09B071">
      <w:pPr>
        <w:spacing w:before="50" w:after="50" w:line="360" w:lineRule="auto"/>
        <w:ind w:firstLine="470" w:firstLineChars="196"/>
        <w:jc w:val="left"/>
        <w:rPr>
          <w:rFonts w:ascii="仿宋" w:hAnsi="仿宋" w:cs="仿宋"/>
        </w:rPr>
      </w:pPr>
    </w:p>
    <w:p w14:paraId="061C9AD6">
      <w:pPr>
        <w:spacing w:before="50" w:after="50" w:line="360" w:lineRule="auto"/>
        <w:ind w:firstLine="470" w:firstLineChars="196"/>
        <w:jc w:val="left"/>
        <w:rPr>
          <w:rFonts w:ascii="仿宋" w:hAnsi="仿宋" w:cs="仿宋"/>
        </w:rPr>
      </w:pPr>
      <w:r>
        <w:rPr>
          <w:rFonts w:hint="eastAsia" w:ascii="仿宋" w:hAnsi="仿宋" w:cs="仿宋"/>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14:paraId="02FF2E38">
      <w:pPr>
        <w:spacing w:before="50" w:after="50" w:line="360" w:lineRule="auto"/>
        <w:ind w:firstLine="470" w:firstLineChars="196"/>
        <w:jc w:val="left"/>
        <w:rPr>
          <w:rFonts w:ascii="仿宋" w:hAnsi="仿宋" w:cs="仿宋"/>
        </w:rPr>
      </w:pPr>
    </w:p>
    <w:p w14:paraId="4702F943">
      <w:pPr>
        <w:spacing w:before="50" w:after="50" w:line="360" w:lineRule="auto"/>
        <w:ind w:firstLine="470" w:firstLineChars="196"/>
        <w:jc w:val="left"/>
        <w:rPr>
          <w:rFonts w:ascii="仿宋" w:hAnsi="仿宋" w:cs="仿宋"/>
        </w:rPr>
      </w:pPr>
      <w:r>
        <w:rPr>
          <w:rFonts w:hint="eastAsia" w:ascii="仿宋" w:hAnsi="仿宋" w:cs="仿宋"/>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14:paraId="2DCB9624">
      <w:pPr>
        <w:widowControl/>
        <w:spacing w:line="360" w:lineRule="auto"/>
        <w:ind w:firstLine="480"/>
        <w:jc w:val="left"/>
        <w:rPr>
          <w:rFonts w:ascii="仿宋" w:hAnsi="仿宋" w:cs="仿宋"/>
        </w:rPr>
      </w:pPr>
    </w:p>
    <w:p w14:paraId="7C3E955A">
      <w:pPr>
        <w:rPr>
          <w:rFonts w:ascii="仿宋" w:hAnsi="仿宋" w:cs="仿宋"/>
          <w:b/>
          <w:kern w:val="0"/>
          <w:sz w:val="32"/>
          <w:szCs w:val="32"/>
        </w:rPr>
      </w:pPr>
      <w:r>
        <w:rPr>
          <w:rFonts w:hint="eastAsia" w:ascii="仿宋" w:hAnsi="仿宋" w:cs="仿宋"/>
          <w:b/>
          <w:kern w:val="0"/>
          <w:sz w:val="32"/>
          <w:szCs w:val="32"/>
        </w:rPr>
        <w:br w:type="page"/>
      </w:r>
    </w:p>
    <w:p w14:paraId="3088AD3C">
      <w:pPr>
        <w:jc w:val="center"/>
        <w:rPr>
          <w:rFonts w:ascii="仿宋" w:hAnsi="仿宋" w:cs="仿宋"/>
          <w:b/>
          <w:kern w:val="0"/>
          <w:sz w:val="32"/>
          <w:szCs w:val="32"/>
        </w:rPr>
      </w:pPr>
      <w:r>
        <w:rPr>
          <w:rFonts w:hint="eastAsia" w:ascii="仿宋" w:hAnsi="仿宋" w:cs="仿宋"/>
          <w:b/>
          <w:kern w:val="0"/>
          <w:sz w:val="32"/>
          <w:szCs w:val="32"/>
        </w:rPr>
        <w:t>四、本项目的特定资格要求</w:t>
      </w:r>
    </w:p>
    <w:p w14:paraId="6CB2AFA2">
      <w:pPr>
        <w:spacing w:line="360" w:lineRule="auto"/>
        <w:jc w:val="center"/>
        <w:rPr>
          <w:rFonts w:ascii="仿宋" w:hAnsi="仿宋" w:cs="仿宋"/>
        </w:rPr>
      </w:pPr>
      <w:r>
        <w:rPr>
          <w:rFonts w:hint="eastAsia" w:ascii="仿宋" w:hAnsi="仿宋" w:cs="仿宋"/>
        </w:rPr>
        <w:t>（根据招标公告本项目的特定资格要求提供相应的材料；未要求的，无需提供）</w:t>
      </w:r>
    </w:p>
    <w:p w14:paraId="3B3DFB2C">
      <w:pPr>
        <w:rPr>
          <w:rFonts w:ascii="仿宋" w:hAnsi="仿宋" w:cs="仿宋"/>
        </w:rPr>
      </w:pPr>
    </w:p>
    <w:p w14:paraId="58FC5B5F">
      <w:pPr>
        <w:rPr>
          <w:rFonts w:ascii="仿宋" w:hAnsi="仿宋" w:cs="仿宋"/>
          <w:b/>
          <w:kern w:val="0"/>
          <w:sz w:val="36"/>
          <w:szCs w:val="36"/>
        </w:rPr>
      </w:pPr>
      <w:r>
        <w:rPr>
          <w:rFonts w:hint="eastAsia" w:ascii="仿宋" w:hAnsi="仿宋" w:cs="仿宋"/>
          <w:b/>
          <w:kern w:val="0"/>
          <w:sz w:val="32"/>
          <w:szCs w:val="32"/>
        </w:rPr>
        <w:br w:type="page"/>
      </w:r>
    </w:p>
    <w:p w14:paraId="2ED3B16D">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商务技术文件部分</w:t>
      </w:r>
    </w:p>
    <w:p w14:paraId="52A3B4C0">
      <w:pPr>
        <w:rPr>
          <w:rFonts w:ascii="仿宋" w:hAnsi="仿宋" w:cs="仿宋"/>
        </w:rPr>
      </w:pPr>
    </w:p>
    <w:p w14:paraId="6501F592">
      <w:pPr>
        <w:spacing w:line="360" w:lineRule="auto"/>
        <w:jc w:val="center"/>
        <w:rPr>
          <w:rFonts w:ascii="仿宋" w:hAnsi="仿宋" w:cs="仿宋"/>
          <w:sz w:val="28"/>
          <w:szCs w:val="28"/>
        </w:rPr>
      </w:pPr>
      <w:r>
        <w:rPr>
          <w:rFonts w:hint="eastAsia" w:ascii="仿宋" w:hAnsi="仿宋" w:cs="仿宋"/>
          <w:sz w:val="28"/>
          <w:szCs w:val="28"/>
        </w:rPr>
        <w:t>目录</w:t>
      </w:r>
    </w:p>
    <w:p w14:paraId="3229FDE7">
      <w:pPr>
        <w:numPr>
          <w:ilvl w:val="0"/>
          <w:numId w:val="11"/>
        </w:numPr>
        <w:spacing w:line="360" w:lineRule="auto"/>
        <w:ind w:left="0" w:hanging="5"/>
        <w:rPr>
          <w:rFonts w:ascii="仿宋" w:hAnsi="仿宋" w:cs="仿宋"/>
        </w:rPr>
      </w:pPr>
      <w:r>
        <w:rPr>
          <w:rFonts w:hint="eastAsia" w:ascii="仿宋" w:hAnsi="仿宋" w:cs="仿宋"/>
        </w:rPr>
        <w:t>投标函…………………………………………………………………………（页码）</w:t>
      </w:r>
    </w:p>
    <w:p w14:paraId="20BDDC2D">
      <w:pPr>
        <w:numPr>
          <w:ilvl w:val="0"/>
          <w:numId w:val="11"/>
        </w:numPr>
        <w:spacing w:line="360" w:lineRule="auto"/>
        <w:ind w:left="0" w:hanging="5"/>
        <w:rPr>
          <w:rFonts w:ascii="仿宋" w:hAnsi="仿宋" w:cs="仿宋"/>
        </w:rPr>
      </w:pPr>
      <w:r>
        <w:rPr>
          <w:rFonts w:hint="eastAsia" w:ascii="仿宋" w:hAnsi="仿宋" w:cs="仿宋"/>
        </w:rPr>
        <w:t>授权委托书或法定代表人（单位负责人、自然人本人）身份证明………（页码）</w:t>
      </w:r>
    </w:p>
    <w:p w14:paraId="6AAF6270">
      <w:pPr>
        <w:numPr>
          <w:ilvl w:val="0"/>
          <w:numId w:val="11"/>
        </w:numPr>
        <w:spacing w:line="360" w:lineRule="auto"/>
        <w:ind w:left="0" w:hanging="5"/>
        <w:rPr>
          <w:rFonts w:ascii="仿宋" w:hAnsi="仿宋" w:cs="仿宋"/>
        </w:rPr>
      </w:pPr>
      <w:r>
        <w:rPr>
          <w:rFonts w:hint="eastAsia" w:ascii="仿宋" w:hAnsi="仿宋" w:cs="仿宋"/>
        </w:rPr>
        <w:t>分包意向协议…………………………………………………………………（页码）</w:t>
      </w:r>
    </w:p>
    <w:p w14:paraId="37B729E4">
      <w:pPr>
        <w:numPr>
          <w:ilvl w:val="0"/>
          <w:numId w:val="11"/>
        </w:numPr>
        <w:spacing w:line="360" w:lineRule="auto"/>
        <w:ind w:left="0" w:hanging="5"/>
        <w:rPr>
          <w:rFonts w:ascii="仿宋" w:hAnsi="仿宋" w:cs="仿宋"/>
        </w:rPr>
      </w:pPr>
      <w:r>
        <w:rPr>
          <w:rFonts w:hint="eastAsia" w:ascii="仿宋" w:hAnsi="仿宋" w:cs="仿宋"/>
        </w:rPr>
        <w:t>符合性审查资料………………………………………………………………（页码）</w:t>
      </w:r>
    </w:p>
    <w:p w14:paraId="62FF7301">
      <w:pPr>
        <w:numPr>
          <w:ilvl w:val="0"/>
          <w:numId w:val="11"/>
        </w:numPr>
        <w:spacing w:line="360" w:lineRule="auto"/>
        <w:ind w:left="0" w:hanging="5"/>
        <w:rPr>
          <w:rFonts w:ascii="仿宋" w:hAnsi="仿宋" w:cs="仿宋"/>
        </w:rPr>
      </w:pPr>
      <w:r>
        <w:rPr>
          <w:rFonts w:hint="eastAsia" w:ascii="仿宋" w:hAnsi="仿宋" w:cs="仿宋"/>
        </w:rPr>
        <w:t>评标标准相应的商务技术资料………………………………………………（页码）</w:t>
      </w:r>
    </w:p>
    <w:p w14:paraId="23A60577">
      <w:pPr>
        <w:numPr>
          <w:ilvl w:val="0"/>
          <w:numId w:val="11"/>
        </w:numPr>
        <w:spacing w:line="360" w:lineRule="auto"/>
        <w:ind w:left="0" w:hanging="5"/>
        <w:rPr>
          <w:rFonts w:ascii="仿宋" w:hAnsi="仿宋" w:cs="仿宋"/>
        </w:rPr>
      </w:pPr>
      <w:r>
        <w:rPr>
          <w:rFonts w:hint="eastAsia" w:ascii="仿宋" w:hAnsi="仿宋" w:cs="仿宋"/>
        </w:rPr>
        <w:t>投标标的清单…………………………………………………………………（页码）</w:t>
      </w:r>
    </w:p>
    <w:p w14:paraId="7C95932C">
      <w:pPr>
        <w:numPr>
          <w:ilvl w:val="0"/>
          <w:numId w:val="11"/>
        </w:numPr>
        <w:spacing w:line="360" w:lineRule="auto"/>
        <w:ind w:left="0" w:hanging="5"/>
        <w:rPr>
          <w:rFonts w:ascii="仿宋" w:hAnsi="仿宋" w:cs="仿宋"/>
        </w:rPr>
      </w:pPr>
      <w:r>
        <w:rPr>
          <w:rFonts w:hint="eastAsia" w:ascii="仿宋" w:hAnsi="仿宋" w:cs="仿宋"/>
        </w:rPr>
        <w:t>技术响应表……………………………………………………………………（页码）</w:t>
      </w:r>
    </w:p>
    <w:p w14:paraId="49194CFE">
      <w:pPr>
        <w:numPr>
          <w:ilvl w:val="0"/>
          <w:numId w:val="11"/>
        </w:numPr>
        <w:spacing w:line="360" w:lineRule="auto"/>
        <w:ind w:left="0" w:hanging="5"/>
        <w:rPr>
          <w:rFonts w:ascii="仿宋" w:hAnsi="仿宋" w:cs="仿宋"/>
        </w:rPr>
      </w:pPr>
      <w:r>
        <w:rPr>
          <w:rFonts w:hint="eastAsia" w:ascii="仿宋" w:hAnsi="仿宋" w:cs="仿宋"/>
        </w:rPr>
        <w:t>商务技术偏离表………………………………………………………………（页码）</w:t>
      </w:r>
    </w:p>
    <w:p w14:paraId="456C3410">
      <w:pPr>
        <w:numPr>
          <w:ilvl w:val="0"/>
          <w:numId w:val="11"/>
        </w:numPr>
        <w:spacing w:line="360" w:lineRule="auto"/>
        <w:ind w:left="0" w:hanging="5"/>
        <w:rPr>
          <w:rFonts w:ascii="仿宋" w:hAnsi="仿宋" w:cs="仿宋"/>
        </w:rPr>
      </w:pPr>
      <w:r>
        <w:rPr>
          <w:rFonts w:hint="eastAsia" w:ascii="仿宋" w:hAnsi="仿宋" w:cs="仿宋"/>
          <w:lang w:val="zh-CN"/>
        </w:rPr>
        <w:t>政府采购供应商廉洁自律承诺书</w:t>
      </w:r>
      <w:r>
        <w:rPr>
          <w:rFonts w:hint="eastAsia" w:ascii="仿宋" w:hAnsi="仿宋" w:cs="仿宋"/>
        </w:rPr>
        <w:t>……………………………………………（页码）</w:t>
      </w:r>
    </w:p>
    <w:p w14:paraId="44671FCD">
      <w:pPr>
        <w:rPr>
          <w:rFonts w:ascii="仿宋" w:hAnsi="仿宋" w:cs="仿宋"/>
          <w:lang w:val="zh-CN"/>
        </w:rPr>
      </w:pPr>
    </w:p>
    <w:p w14:paraId="05A190AA">
      <w:pPr>
        <w:rPr>
          <w:rFonts w:ascii="仿宋" w:hAnsi="仿宋" w:cs="仿宋"/>
          <w:lang w:val="zh-CN"/>
        </w:rPr>
      </w:pPr>
    </w:p>
    <w:p w14:paraId="60207C09">
      <w:pPr>
        <w:rPr>
          <w:rFonts w:ascii="仿宋" w:hAnsi="仿宋" w:cs="仿宋"/>
          <w:lang w:val="zh-CN"/>
        </w:rPr>
      </w:pPr>
    </w:p>
    <w:p w14:paraId="0E4316D8">
      <w:pPr>
        <w:rPr>
          <w:rFonts w:ascii="仿宋" w:hAnsi="仿宋" w:cs="仿宋"/>
          <w:lang w:val="zh-CN"/>
        </w:rPr>
      </w:pPr>
    </w:p>
    <w:p w14:paraId="429B635B">
      <w:pPr>
        <w:rPr>
          <w:rFonts w:ascii="仿宋" w:hAnsi="仿宋" w:cs="仿宋"/>
          <w:lang w:val="zh-CN"/>
        </w:rPr>
      </w:pPr>
    </w:p>
    <w:p w14:paraId="3A47C3C2">
      <w:pPr>
        <w:rPr>
          <w:rFonts w:ascii="仿宋" w:hAnsi="仿宋" w:cs="仿宋"/>
        </w:rPr>
      </w:pPr>
    </w:p>
    <w:p w14:paraId="58DED87D">
      <w:pPr>
        <w:rPr>
          <w:rFonts w:ascii="仿宋" w:hAnsi="仿宋" w:cs="仿宋"/>
        </w:rPr>
      </w:pPr>
    </w:p>
    <w:p w14:paraId="1A66B8C3">
      <w:pPr>
        <w:rPr>
          <w:rFonts w:ascii="仿宋" w:hAnsi="仿宋" w:cs="仿宋"/>
        </w:rPr>
      </w:pPr>
    </w:p>
    <w:p w14:paraId="6C125D65">
      <w:pPr>
        <w:rPr>
          <w:rFonts w:ascii="仿宋" w:hAnsi="仿宋" w:cs="仿宋"/>
        </w:rPr>
      </w:pPr>
    </w:p>
    <w:p w14:paraId="62700B26">
      <w:pPr>
        <w:rPr>
          <w:rFonts w:ascii="仿宋" w:hAnsi="仿宋" w:cs="仿宋"/>
        </w:rPr>
      </w:pPr>
    </w:p>
    <w:p w14:paraId="374BE814">
      <w:pPr>
        <w:rPr>
          <w:rFonts w:ascii="仿宋" w:hAnsi="仿宋" w:cs="仿宋"/>
        </w:rPr>
      </w:pPr>
    </w:p>
    <w:p w14:paraId="767A2F1E">
      <w:pPr>
        <w:rPr>
          <w:rFonts w:ascii="仿宋" w:hAnsi="仿宋" w:cs="仿宋"/>
        </w:rPr>
      </w:pPr>
    </w:p>
    <w:p w14:paraId="338B9D86">
      <w:pPr>
        <w:rPr>
          <w:rFonts w:ascii="仿宋" w:hAnsi="仿宋" w:cs="仿宋"/>
        </w:rPr>
      </w:pPr>
    </w:p>
    <w:p w14:paraId="20E4B9B7">
      <w:pPr>
        <w:rPr>
          <w:rFonts w:ascii="仿宋" w:hAnsi="仿宋" w:cs="仿宋"/>
        </w:rPr>
      </w:pPr>
    </w:p>
    <w:p w14:paraId="798FD1D4">
      <w:pPr>
        <w:rPr>
          <w:rFonts w:ascii="仿宋" w:hAnsi="仿宋" w:cs="仿宋"/>
          <w:b/>
          <w:kern w:val="0"/>
          <w:sz w:val="32"/>
          <w:szCs w:val="32"/>
        </w:rPr>
      </w:pPr>
      <w:r>
        <w:rPr>
          <w:rFonts w:hint="eastAsia" w:ascii="仿宋" w:hAnsi="仿宋" w:cs="仿宋"/>
          <w:b/>
          <w:kern w:val="0"/>
          <w:sz w:val="32"/>
          <w:szCs w:val="32"/>
        </w:rPr>
        <w:br w:type="page"/>
      </w:r>
    </w:p>
    <w:p w14:paraId="30774905">
      <w:pPr>
        <w:spacing w:line="360" w:lineRule="auto"/>
        <w:jc w:val="center"/>
        <w:outlineLvl w:val="1"/>
        <w:rPr>
          <w:rFonts w:ascii="仿宋" w:hAnsi="仿宋" w:cs="仿宋"/>
          <w:b/>
          <w:sz w:val="32"/>
          <w:szCs w:val="32"/>
        </w:rPr>
      </w:pPr>
      <w:r>
        <w:rPr>
          <w:rFonts w:hint="eastAsia" w:ascii="仿宋" w:hAnsi="仿宋" w:cs="仿宋"/>
          <w:b/>
          <w:kern w:val="0"/>
          <w:sz w:val="32"/>
          <w:szCs w:val="32"/>
        </w:rPr>
        <w:t>一、投标</w:t>
      </w:r>
      <w:r>
        <w:rPr>
          <w:rFonts w:hint="eastAsia" w:ascii="仿宋" w:hAnsi="仿宋" w:cs="仿宋"/>
          <w:b/>
          <w:sz w:val="32"/>
          <w:szCs w:val="32"/>
        </w:rPr>
        <w:t>函</w:t>
      </w:r>
    </w:p>
    <w:p w14:paraId="10051A78">
      <w:pPr>
        <w:spacing w:line="360" w:lineRule="exact"/>
        <w:rPr>
          <w:rFonts w:ascii="仿宋" w:hAnsi="仿宋" w:cs="仿宋"/>
        </w:rPr>
      </w:pPr>
      <w:r>
        <w:rPr>
          <w:rFonts w:hint="eastAsia" w:ascii="仿宋" w:hAnsi="仿宋" w:cs="仿宋"/>
          <w:u w:val="single"/>
        </w:rPr>
        <w:t>浙江工业大学、浙江国际招投标有限公司</w:t>
      </w:r>
      <w:r>
        <w:rPr>
          <w:rFonts w:hint="eastAsia" w:ascii="仿宋" w:hAnsi="仿宋" w:cs="仿宋"/>
        </w:rPr>
        <w:t>：</w:t>
      </w:r>
    </w:p>
    <w:p w14:paraId="76DDCDBE">
      <w:pPr>
        <w:spacing w:line="360" w:lineRule="exact"/>
        <w:ind w:firstLine="480" w:firstLineChars="200"/>
        <w:rPr>
          <w:rFonts w:ascii="仿宋" w:hAnsi="仿宋" w:cs="仿宋"/>
        </w:rPr>
      </w:pPr>
      <w:r>
        <w:rPr>
          <w:rFonts w:hint="eastAsia" w:ascii="仿宋" w:hAnsi="仿宋" w:cs="仿宋"/>
        </w:rPr>
        <w:t>我方参加你方组织的（项目名称）【招标编号：】招标的有关活动，并对此项目进行投标。为此：</w:t>
      </w:r>
    </w:p>
    <w:p w14:paraId="144A7E29">
      <w:pPr>
        <w:spacing w:line="360" w:lineRule="exact"/>
        <w:ind w:firstLine="420"/>
        <w:rPr>
          <w:rFonts w:ascii="仿宋" w:hAnsi="仿宋" w:cs="仿宋"/>
        </w:rPr>
      </w:pPr>
      <w:r>
        <w:rPr>
          <w:rFonts w:hint="eastAsia" w:ascii="仿宋" w:hAnsi="仿宋" w:cs="仿宋"/>
        </w:rPr>
        <w:t>1、我方承诺投标有效期从提交投标文件的截止之日起【     】天（不少于90天），本投标文件在投标有效期满之前均具有约束力。</w:t>
      </w:r>
    </w:p>
    <w:p w14:paraId="6161B96E">
      <w:pPr>
        <w:spacing w:line="360" w:lineRule="exact"/>
        <w:ind w:firstLine="480" w:firstLineChars="200"/>
        <w:rPr>
          <w:rFonts w:ascii="仿宋" w:hAnsi="仿宋" w:cs="仿宋"/>
        </w:rPr>
      </w:pPr>
      <w:r>
        <w:rPr>
          <w:rFonts w:hint="eastAsia" w:ascii="仿宋" w:hAnsi="仿宋" w:cs="仿宋"/>
        </w:rPr>
        <w:t>2、我方的投标文件包括以下内容：</w:t>
      </w:r>
    </w:p>
    <w:p w14:paraId="4E626F36">
      <w:pPr>
        <w:spacing w:line="360" w:lineRule="exact"/>
        <w:ind w:left="240" w:leftChars="100" w:firstLine="480" w:firstLineChars="200"/>
        <w:rPr>
          <w:rFonts w:ascii="仿宋" w:hAnsi="仿宋" w:cs="仿宋"/>
        </w:rPr>
      </w:pPr>
      <w:r>
        <w:rPr>
          <w:rFonts w:hint="eastAsia" w:ascii="仿宋" w:hAnsi="仿宋" w:cs="仿宋"/>
        </w:rPr>
        <w:t>2.1资格文件：</w:t>
      </w:r>
    </w:p>
    <w:p w14:paraId="4C0AED8F">
      <w:pPr>
        <w:spacing w:line="360" w:lineRule="exact"/>
        <w:ind w:left="480" w:leftChars="200" w:firstLine="480" w:firstLineChars="200"/>
        <w:rPr>
          <w:rFonts w:ascii="仿宋" w:hAnsi="仿宋" w:cs="仿宋"/>
        </w:rPr>
      </w:pPr>
      <w:r>
        <w:rPr>
          <w:rFonts w:hint="eastAsia" w:ascii="仿宋" w:hAnsi="仿宋" w:cs="仿宋"/>
        </w:rPr>
        <w:t>2.1.1承诺函；</w:t>
      </w:r>
    </w:p>
    <w:p w14:paraId="2F891654">
      <w:pPr>
        <w:spacing w:line="360" w:lineRule="exact"/>
        <w:ind w:left="480" w:leftChars="200" w:firstLine="480" w:firstLineChars="200"/>
        <w:rPr>
          <w:rFonts w:ascii="仿宋" w:hAnsi="仿宋" w:cs="仿宋"/>
        </w:rPr>
      </w:pPr>
      <w:r>
        <w:rPr>
          <w:rFonts w:hint="eastAsia" w:ascii="仿宋" w:hAnsi="仿宋" w:cs="仿宋"/>
        </w:rPr>
        <w:t>2.1.2联合协议</w:t>
      </w:r>
      <w:r>
        <w:rPr>
          <w:rFonts w:hint="eastAsia" w:ascii="仿宋" w:hAnsi="仿宋" w:cs="仿宋"/>
          <w:color w:val="FF0000"/>
        </w:rPr>
        <w:t>（如果有)</w:t>
      </w:r>
      <w:r>
        <w:rPr>
          <w:rFonts w:hint="eastAsia" w:ascii="仿宋" w:hAnsi="仿宋" w:cs="仿宋"/>
        </w:rPr>
        <w:t>；</w:t>
      </w:r>
    </w:p>
    <w:p w14:paraId="40C241F2">
      <w:pPr>
        <w:spacing w:line="360" w:lineRule="exact"/>
        <w:ind w:left="480" w:leftChars="200" w:firstLine="480" w:firstLineChars="200"/>
        <w:rPr>
          <w:rFonts w:ascii="仿宋" w:hAnsi="仿宋" w:cs="仿宋"/>
        </w:rPr>
      </w:pPr>
      <w:r>
        <w:rPr>
          <w:rFonts w:hint="eastAsia" w:ascii="仿宋" w:hAnsi="仿宋" w:cs="仿宋"/>
        </w:rPr>
        <w:t>2.1.3落实政府采购政策需满足的资格要求：中小企业声明函；</w:t>
      </w:r>
    </w:p>
    <w:p w14:paraId="48894F5A">
      <w:pPr>
        <w:spacing w:line="360" w:lineRule="exact"/>
        <w:ind w:left="480" w:leftChars="200" w:firstLine="480" w:firstLineChars="200"/>
        <w:rPr>
          <w:rFonts w:ascii="仿宋" w:hAnsi="仿宋" w:cs="仿宋"/>
        </w:rPr>
      </w:pPr>
      <w:r>
        <w:rPr>
          <w:rFonts w:hint="eastAsia" w:ascii="仿宋" w:hAnsi="仿宋" w:cs="仿宋"/>
        </w:rPr>
        <w:t>2.1.4本项目的特定资格要求</w:t>
      </w:r>
      <w:r>
        <w:rPr>
          <w:rFonts w:hint="eastAsia" w:ascii="仿宋" w:hAnsi="仿宋" w:cs="仿宋"/>
          <w:bCs/>
          <w:color w:val="FF0000"/>
        </w:rPr>
        <w:t>（本项目不适用）。</w:t>
      </w:r>
    </w:p>
    <w:p w14:paraId="31E359E3">
      <w:pPr>
        <w:spacing w:line="360" w:lineRule="exact"/>
        <w:ind w:left="240" w:leftChars="100" w:firstLine="480" w:firstLineChars="200"/>
        <w:rPr>
          <w:rFonts w:ascii="仿宋" w:hAnsi="仿宋" w:cs="仿宋"/>
          <w:lang w:val="zh-CN"/>
        </w:rPr>
      </w:pPr>
      <w:r>
        <w:rPr>
          <w:rFonts w:hint="eastAsia" w:ascii="仿宋" w:hAnsi="仿宋" w:cs="仿宋"/>
        </w:rPr>
        <w:t>2</w:t>
      </w:r>
      <w:r>
        <w:rPr>
          <w:rFonts w:hint="eastAsia" w:ascii="仿宋" w:hAnsi="仿宋" w:cs="仿宋"/>
          <w:lang w:val="zh-CN"/>
        </w:rPr>
        <w:t>.</w:t>
      </w:r>
      <w:r>
        <w:rPr>
          <w:rFonts w:hint="eastAsia" w:ascii="仿宋" w:hAnsi="仿宋" w:cs="仿宋"/>
        </w:rPr>
        <w:t>2商务技术</w:t>
      </w:r>
      <w:r>
        <w:rPr>
          <w:rFonts w:hint="eastAsia" w:ascii="仿宋" w:hAnsi="仿宋" w:cs="仿宋"/>
          <w:lang w:val="zh-CN"/>
        </w:rPr>
        <w:t>文件：</w:t>
      </w:r>
    </w:p>
    <w:p w14:paraId="62F2DAA7">
      <w:pPr>
        <w:spacing w:line="360" w:lineRule="exact"/>
        <w:ind w:left="480" w:leftChars="200" w:firstLine="480" w:firstLineChars="200"/>
        <w:rPr>
          <w:rFonts w:ascii="仿宋" w:hAnsi="仿宋" w:cs="仿宋"/>
        </w:rPr>
      </w:pPr>
      <w:r>
        <w:rPr>
          <w:rFonts w:hint="eastAsia" w:ascii="仿宋" w:hAnsi="仿宋" w:cs="仿宋"/>
        </w:rPr>
        <w:t>2.2.1投标函；</w:t>
      </w:r>
    </w:p>
    <w:p w14:paraId="23988FFE">
      <w:pPr>
        <w:spacing w:line="360" w:lineRule="exact"/>
        <w:ind w:left="480" w:leftChars="200" w:firstLine="480" w:firstLineChars="200"/>
        <w:rPr>
          <w:rFonts w:ascii="仿宋" w:hAnsi="仿宋" w:cs="仿宋"/>
        </w:rPr>
      </w:pPr>
      <w:r>
        <w:rPr>
          <w:rFonts w:hint="eastAsia" w:ascii="仿宋" w:hAnsi="仿宋" w:cs="仿宋"/>
        </w:rPr>
        <w:t>2.2.2授权委托书或法定代表人（单位负责人）身份证明；</w:t>
      </w:r>
    </w:p>
    <w:p w14:paraId="0D6F1833">
      <w:pPr>
        <w:spacing w:line="360" w:lineRule="exact"/>
        <w:ind w:left="480" w:leftChars="200" w:firstLine="480" w:firstLineChars="200"/>
        <w:rPr>
          <w:rFonts w:ascii="仿宋" w:hAnsi="仿宋" w:cs="仿宋"/>
          <w:color w:val="FF0000"/>
        </w:rPr>
      </w:pPr>
      <w:r>
        <w:rPr>
          <w:rFonts w:hint="eastAsia" w:ascii="仿宋" w:hAnsi="仿宋" w:cs="仿宋"/>
        </w:rPr>
        <w:t>2.2.3分包意向协议</w:t>
      </w:r>
      <w:r>
        <w:rPr>
          <w:rFonts w:hint="eastAsia" w:ascii="仿宋" w:hAnsi="仿宋" w:cs="仿宋"/>
          <w:color w:val="FF0000"/>
        </w:rPr>
        <w:t>（如果有）</w:t>
      </w:r>
      <w:r>
        <w:rPr>
          <w:rFonts w:hint="eastAsia" w:ascii="仿宋" w:hAnsi="仿宋" w:cs="仿宋"/>
        </w:rPr>
        <w:t>；</w:t>
      </w:r>
    </w:p>
    <w:p w14:paraId="4F80E6D4">
      <w:pPr>
        <w:spacing w:line="360" w:lineRule="exact"/>
        <w:ind w:left="480" w:leftChars="200" w:firstLine="480" w:firstLineChars="200"/>
        <w:rPr>
          <w:rFonts w:ascii="仿宋" w:hAnsi="仿宋" w:cs="仿宋"/>
        </w:rPr>
      </w:pPr>
      <w:r>
        <w:rPr>
          <w:rFonts w:hint="eastAsia" w:ascii="仿宋" w:hAnsi="仿宋" w:cs="仿宋"/>
        </w:rPr>
        <w:t>2.2.4符合性审查资料；</w:t>
      </w:r>
    </w:p>
    <w:p w14:paraId="65EB665C">
      <w:pPr>
        <w:spacing w:line="360" w:lineRule="exact"/>
        <w:ind w:left="480" w:leftChars="200" w:firstLine="480" w:firstLineChars="200"/>
        <w:rPr>
          <w:rFonts w:ascii="仿宋" w:hAnsi="仿宋" w:cs="仿宋"/>
        </w:rPr>
      </w:pPr>
      <w:r>
        <w:rPr>
          <w:rFonts w:hint="eastAsia" w:ascii="仿宋" w:hAnsi="仿宋" w:cs="仿宋"/>
        </w:rPr>
        <w:t>2.2.5评标标准相应的商务技术资料；</w:t>
      </w:r>
    </w:p>
    <w:p w14:paraId="19C7FE6D">
      <w:pPr>
        <w:spacing w:line="360" w:lineRule="exact"/>
        <w:ind w:left="480" w:leftChars="200" w:firstLine="480" w:firstLineChars="200"/>
        <w:rPr>
          <w:rFonts w:ascii="仿宋" w:hAnsi="仿宋" w:cs="仿宋"/>
        </w:rPr>
      </w:pPr>
      <w:r>
        <w:rPr>
          <w:rFonts w:hint="eastAsia" w:ascii="仿宋" w:hAnsi="仿宋" w:cs="仿宋"/>
        </w:rPr>
        <w:t>2.2.6投标标的清单；</w:t>
      </w:r>
    </w:p>
    <w:p w14:paraId="5AFB8DE4">
      <w:pPr>
        <w:spacing w:line="360" w:lineRule="exact"/>
        <w:ind w:left="480" w:leftChars="200" w:firstLine="480" w:firstLineChars="200"/>
        <w:rPr>
          <w:rFonts w:ascii="仿宋" w:hAnsi="仿宋" w:cs="仿宋"/>
        </w:rPr>
      </w:pPr>
      <w:r>
        <w:rPr>
          <w:rFonts w:hint="eastAsia" w:ascii="仿宋" w:hAnsi="仿宋" w:cs="仿宋"/>
        </w:rPr>
        <w:t>2.2.7技术响应表；</w:t>
      </w:r>
    </w:p>
    <w:p w14:paraId="15B79507">
      <w:pPr>
        <w:spacing w:line="360" w:lineRule="exact"/>
        <w:ind w:left="480" w:leftChars="200" w:firstLine="480" w:firstLineChars="200"/>
        <w:rPr>
          <w:rFonts w:ascii="仿宋" w:hAnsi="仿宋" w:cs="仿宋"/>
        </w:rPr>
      </w:pPr>
      <w:r>
        <w:rPr>
          <w:rFonts w:hint="eastAsia" w:ascii="仿宋" w:hAnsi="仿宋" w:cs="仿宋"/>
        </w:rPr>
        <w:t>2.2.8商务技术偏离表；</w:t>
      </w:r>
    </w:p>
    <w:p w14:paraId="67D331BB">
      <w:pPr>
        <w:spacing w:line="360" w:lineRule="exact"/>
        <w:ind w:left="480" w:leftChars="200" w:firstLine="480" w:firstLineChars="200"/>
        <w:rPr>
          <w:rFonts w:ascii="仿宋" w:hAnsi="仿宋" w:cs="仿宋"/>
          <w:lang w:val="zh-CN"/>
        </w:rPr>
      </w:pPr>
      <w:r>
        <w:rPr>
          <w:rFonts w:hint="eastAsia" w:ascii="仿宋" w:hAnsi="仿宋" w:cs="仿宋"/>
        </w:rPr>
        <w:t>2</w:t>
      </w:r>
      <w:r>
        <w:rPr>
          <w:rFonts w:hint="eastAsia" w:ascii="仿宋" w:hAnsi="仿宋" w:cs="仿宋"/>
          <w:lang w:val="zh-CN"/>
        </w:rPr>
        <w:t>.</w:t>
      </w:r>
      <w:r>
        <w:rPr>
          <w:rFonts w:hint="eastAsia" w:ascii="仿宋" w:hAnsi="仿宋" w:cs="仿宋"/>
        </w:rPr>
        <w:t>2</w:t>
      </w:r>
      <w:r>
        <w:rPr>
          <w:rFonts w:hint="eastAsia" w:ascii="仿宋" w:hAnsi="仿宋" w:cs="仿宋"/>
          <w:lang w:val="zh-CN"/>
        </w:rPr>
        <w:t>.</w:t>
      </w:r>
      <w:r>
        <w:rPr>
          <w:rFonts w:hint="eastAsia" w:ascii="仿宋" w:hAnsi="仿宋" w:cs="仿宋"/>
        </w:rPr>
        <w:t>9</w:t>
      </w:r>
      <w:r>
        <w:rPr>
          <w:rFonts w:hint="eastAsia" w:ascii="仿宋" w:hAnsi="仿宋" w:cs="仿宋"/>
          <w:lang w:val="zh-CN"/>
        </w:rPr>
        <w:t>政府采购供应商廉洁自律承诺书；</w:t>
      </w:r>
    </w:p>
    <w:p w14:paraId="4AFE6F82">
      <w:pPr>
        <w:spacing w:line="360" w:lineRule="exact"/>
        <w:ind w:left="240" w:leftChars="100" w:firstLine="480" w:firstLineChars="200"/>
        <w:rPr>
          <w:rFonts w:ascii="仿宋" w:hAnsi="仿宋" w:cs="仿宋"/>
        </w:rPr>
      </w:pPr>
      <w:r>
        <w:rPr>
          <w:rFonts w:hint="eastAsia" w:ascii="仿宋" w:hAnsi="仿宋" w:cs="仿宋"/>
        </w:rPr>
        <w:t>2</w:t>
      </w:r>
      <w:r>
        <w:rPr>
          <w:rFonts w:hint="eastAsia" w:ascii="仿宋" w:hAnsi="仿宋" w:cs="仿宋"/>
          <w:lang w:val="zh-CN"/>
        </w:rPr>
        <w:t>.</w:t>
      </w:r>
      <w:r>
        <w:rPr>
          <w:rFonts w:hint="eastAsia" w:ascii="仿宋" w:hAnsi="仿宋" w:cs="仿宋"/>
        </w:rPr>
        <w:t>3报价文件</w:t>
      </w:r>
    </w:p>
    <w:p w14:paraId="7CC0CF73">
      <w:pPr>
        <w:spacing w:line="360" w:lineRule="exact"/>
        <w:ind w:left="480" w:leftChars="200" w:firstLine="480" w:firstLineChars="200"/>
        <w:rPr>
          <w:rFonts w:ascii="仿宋" w:hAnsi="仿宋" w:cs="仿宋"/>
        </w:rPr>
      </w:pPr>
      <w:r>
        <w:rPr>
          <w:rFonts w:hint="eastAsia" w:ascii="仿宋" w:hAnsi="仿宋" w:cs="仿宋"/>
        </w:rPr>
        <w:t>2.3.1开标一览表（报价表）；</w:t>
      </w:r>
    </w:p>
    <w:p w14:paraId="082821B8">
      <w:pPr>
        <w:spacing w:line="360" w:lineRule="exact"/>
        <w:ind w:left="480" w:leftChars="200" w:firstLine="480" w:firstLineChars="200"/>
        <w:rPr>
          <w:rFonts w:ascii="仿宋" w:hAnsi="仿宋" w:cs="仿宋"/>
        </w:rPr>
      </w:pPr>
      <w:r>
        <w:rPr>
          <w:rFonts w:hint="eastAsia" w:ascii="仿宋" w:hAnsi="仿宋" w:cs="仿宋"/>
        </w:rPr>
        <w:t>2.3.2中小企业声明函</w:t>
      </w:r>
      <w:r>
        <w:rPr>
          <w:rFonts w:hint="eastAsia" w:ascii="仿宋" w:hAnsi="仿宋" w:cs="仿宋"/>
          <w:color w:val="FF0000"/>
        </w:rPr>
        <w:t>（如果有）</w:t>
      </w:r>
      <w:r>
        <w:rPr>
          <w:rFonts w:hint="eastAsia" w:ascii="仿宋" w:hAnsi="仿宋" w:cs="仿宋"/>
        </w:rPr>
        <w:t>；</w:t>
      </w:r>
    </w:p>
    <w:p w14:paraId="49AAF743">
      <w:pPr>
        <w:spacing w:line="360" w:lineRule="exact"/>
        <w:ind w:left="480" w:leftChars="200" w:firstLine="480" w:firstLineChars="200"/>
        <w:rPr>
          <w:rFonts w:ascii="仿宋" w:hAnsi="仿宋" w:cs="仿宋"/>
        </w:rPr>
      </w:pPr>
      <w:r>
        <w:rPr>
          <w:rFonts w:hint="eastAsia" w:ascii="仿宋" w:hAnsi="仿宋" w:cs="仿宋"/>
        </w:rPr>
        <w:t>2.3.2中标服务费支付承诺书。</w:t>
      </w:r>
    </w:p>
    <w:p w14:paraId="1433CAF1">
      <w:pPr>
        <w:spacing w:line="360" w:lineRule="exact"/>
        <w:ind w:firstLine="420"/>
        <w:rPr>
          <w:rFonts w:ascii="仿宋" w:hAnsi="仿宋" w:cs="仿宋"/>
        </w:rPr>
      </w:pPr>
      <w:r>
        <w:rPr>
          <w:rFonts w:hint="eastAsia" w:ascii="仿宋" w:hAnsi="仿宋" w:cs="仿宋"/>
        </w:rPr>
        <w:t>3、我方承诺除商务技术偏离表列出的偏离外，我方响应招标文件的全部要求。</w:t>
      </w:r>
    </w:p>
    <w:p w14:paraId="73C07937">
      <w:pPr>
        <w:spacing w:line="360" w:lineRule="exact"/>
        <w:ind w:firstLine="420"/>
        <w:rPr>
          <w:rFonts w:ascii="仿宋" w:hAnsi="仿宋" w:cs="仿宋"/>
        </w:rPr>
      </w:pPr>
      <w:r>
        <w:rPr>
          <w:rFonts w:hint="eastAsia" w:ascii="仿宋" w:hAnsi="仿宋" w:cs="仿宋"/>
        </w:rPr>
        <w:t>4、如我方中标，我方承诺：</w:t>
      </w:r>
    </w:p>
    <w:p w14:paraId="3F045B50">
      <w:pPr>
        <w:spacing w:line="360" w:lineRule="exact"/>
        <w:ind w:left="240" w:leftChars="100" w:firstLine="480" w:firstLineChars="200"/>
        <w:rPr>
          <w:rFonts w:ascii="仿宋" w:hAnsi="仿宋" w:cs="仿宋"/>
        </w:rPr>
      </w:pPr>
      <w:r>
        <w:rPr>
          <w:rFonts w:hint="eastAsia" w:ascii="仿宋" w:hAnsi="仿宋" w:cs="仿宋"/>
        </w:rPr>
        <w:t xml:space="preserve">4.1在收到中标通知书后，在中标通知书规定的期限内与你方签订合同； </w:t>
      </w:r>
    </w:p>
    <w:p w14:paraId="3140270F">
      <w:pPr>
        <w:spacing w:line="360" w:lineRule="exact"/>
        <w:ind w:left="240" w:leftChars="100" w:firstLine="480" w:firstLineChars="200"/>
        <w:rPr>
          <w:rFonts w:ascii="仿宋" w:hAnsi="仿宋" w:cs="仿宋"/>
        </w:rPr>
      </w:pPr>
      <w:r>
        <w:rPr>
          <w:rFonts w:hint="eastAsia" w:ascii="仿宋" w:hAnsi="仿宋" w:cs="仿宋"/>
        </w:rPr>
        <w:t xml:space="preserve">4.2在签订合同时不向你方提出附加条件； </w:t>
      </w:r>
    </w:p>
    <w:p w14:paraId="26619518">
      <w:pPr>
        <w:spacing w:line="360" w:lineRule="exact"/>
        <w:ind w:left="240" w:leftChars="100" w:firstLine="480" w:firstLineChars="200"/>
        <w:rPr>
          <w:rFonts w:ascii="仿宋" w:hAnsi="仿宋" w:cs="仿宋"/>
        </w:rPr>
      </w:pPr>
      <w:r>
        <w:rPr>
          <w:rFonts w:hint="eastAsia" w:ascii="仿宋" w:hAnsi="仿宋" w:cs="仿宋"/>
        </w:rPr>
        <w:t xml:space="preserve">4.3按照招标文件要求提交履约保证金； </w:t>
      </w:r>
    </w:p>
    <w:p w14:paraId="60EAACD9">
      <w:pPr>
        <w:spacing w:line="360" w:lineRule="exact"/>
        <w:ind w:left="240" w:leftChars="100" w:firstLine="480" w:firstLineChars="200"/>
        <w:rPr>
          <w:rFonts w:ascii="仿宋" w:hAnsi="仿宋" w:cs="仿宋"/>
        </w:rPr>
      </w:pPr>
      <w:r>
        <w:rPr>
          <w:rFonts w:hint="eastAsia" w:ascii="仿宋" w:hAnsi="仿宋" w:cs="仿宋"/>
        </w:rPr>
        <w:t xml:space="preserve">4.4在合同约定的期限内完成合同规定的全部义务。 </w:t>
      </w:r>
    </w:p>
    <w:p w14:paraId="628AEDC8">
      <w:pPr>
        <w:spacing w:line="360" w:lineRule="exact"/>
        <w:ind w:firstLine="420"/>
        <w:rPr>
          <w:rFonts w:ascii="仿宋" w:hAnsi="仿宋" w:cs="仿宋"/>
        </w:rPr>
      </w:pPr>
      <w:r>
        <w:rPr>
          <w:rFonts w:hint="eastAsia" w:ascii="仿宋" w:hAnsi="仿宋" w:cs="仿宋"/>
        </w:rPr>
        <w:t>5、其他补充说明:。</w:t>
      </w:r>
    </w:p>
    <w:p w14:paraId="054DC981">
      <w:pPr>
        <w:spacing w:line="360" w:lineRule="exact"/>
        <w:ind w:firstLine="3600" w:firstLineChars="1500"/>
        <w:rPr>
          <w:rFonts w:ascii="仿宋" w:hAnsi="仿宋" w:cs="仿宋"/>
        </w:rPr>
      </w:pPr>
    </w:p>
    <w:p w14:paraId="59F6F18F">
      <w:pPr>
        <w:spacing w:line="360" w:lineRule="exact"/>
        <w:ind w:firstLine="3600" w:firstLineChars="1500"/>
        <w:rPr>
          <w:rFonts w:ascii="仿宋" w:hAnsi="仿宋" w:cs="仿宋"/>
        </w:rPr>
      </w:pPr>
      <w:r>
        <w:rPr>
          <w:rFonts w:hint="eastAsia" w:ascii="仿宋" w:hAnsi="仿宋" w:cs="仿宋"/>
        </w:rPr>
        <w:t>投标人名称（电子签名）：</w:t>
      </w:r>
    </w:p>
    <w:p w14:paraId="4C2DEFDD">
      <w:pPr>
        <w:spacing w:line="360" w:lineRule="exact"/>
        <w:jc w:val="center"/>
        <w:rPr>
          <w:rFonts w:ascii="仿宋" w:hAnsi="仿宋" w:cs="仿宋"/>
          <w:kern w:val="0"/>
          <w:u w:val="single"/>
        </w:rPr>
      </w:pPr>
      <w:r>
        <w:rPr>
          <w:rFonts w:hint="eastAsia" w:ascii="仿宋" w:hAnsi="仿宋" w:cs="仿宋"/>
        </w:rPr>
        <w:t xml:space="preserve">     日期：</w:t>
      </w:r>
      <w:r>
        <w:rPr>
          <w:rFonts w:hint="eastAsia" w:ascii="仿宋" w:hAnsi="仿宋" w:cs="仿宋"/>
          <w:kern w:val="0"/>
          <w:lang w:val="zh-CN"/>
        </w:rPr>
        <w:t>年月日</w:t>
      </w:r>
    </w:p>
    <w:p w14:paraId="17CB9A8A">
      <w:pPr>
        <w:spacing w:line="360" w:lineRule="auto"/>
        <w:ind w:right="420"/>
        <w:rPr>
          <w:rFonts w:ascii="仿宋" w:hAnsi="仿宋" w:cs="仿宋"/>
        </w:rPr>
      </w:pPr>
    </w:p>
    <w:p w14:paraId="29E14C48">
      <w:pPr>
        <w:spacing w:line="360" w:lineRule="auto"/>
        <w:ind w:right="420"/>
        <w:rPr>
          <w:rFonts w:ascii="仿宋" w:hAnsi="仿宋" w:cs="仿宋"/>
        </w:rPr>
      </w:pPr>
      <w:r>
        <w:rPr>
          <w:rFonts w:hint="eastAsia" w:ascii="仿宋" w:hAnsi="仿宋" w:cs="仿宋"/>
        </w:rPr>
        <w:t>注：按本格式和要求提供。</w:t>
      </w:r>
    </w:p>
    <w:p w14:paraId="300A54AA">
      <w:pPr>
        <w:rPr>
          <w:rFonts w:ascii="仿宋" w:hAnsi="仿宋" w:cs="仿宋"/>
          <w:b/>
          <w:kern w:val="0"/>
          <w:sz w:val="32"/>
          <w:szCs w:val="32"/>
        </w:rPr>
      </w:pPr>
      <w:r>
        <w:rPr>
          <w:rFonts w:hint="eastAsia" w:ascii="仿宋" w:hAnsi="仿宋" w:cs="仿宋"/>
          <w:b/>
          <w:kern w:val="0"/>
          <w:sz w:val="32"/>
          <w:szCs w:val="32"/>
        </w:rPr>
        <w:br w:type="page"/>
      </w:r>
    </w:p>
    <w:p w14:paraId="58FEEB47">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二、授权委托书或法定代表人（单位负责人、自然人本人）身份证明</w:t>
      </w:r>
    </w:p>
    <w:p w14:paraId="279D249B">
      <w:pPr>
        <w:spacing w:line="360" w:lineRule="auto"/>
        <w:rPr>
          <w:rFonts w:ascii="仿宋" w:hAnsi="仿宋" w:cs="仿宋"/>
        </w:rPr>
      </w:pPr>
    </w:p>
    <w:p w14:paraId="5A65A492">
      <w:pPr>
        <w:spacing w:line="360" w:lineRule="auto"/>
        <w:jc w:val="center"/>
        <w:rPr>
          <w:rFonts w:ascii="仿宋" w:hAnsi="仿宋" w:cs="仿宋"/>
        </w:rPr>
      </w:pPr>
      <w:r>
        <w:rPr>
          <w:rFonts w:hint="eastAsia" w:ascii="仿宋" w:hAnsi="仿宋" w:cs="仿宋"/>
          <w:b/>
          <w:kern w:val="0"/>
          <w:sz w:val="32"/>
          <w:szCs w:val="32"/>
          <w:lang w:val="zh-CN"/>
        </w:rPr>
        <w:t>授权委托书（适用于非联合体投标）</w:t>
      </w:r>
    </w:p>
    <w:p w14:paraId="14B77CAF">
      <w:pPr>
        <w:spacing w:line="360" w:lineRule="auto"/>
        <w:rPr>
          <w:rFonts w:ascii="仿宋" w:hAnsi="仿宋" w:cs="仿宋"/>
          <w:kern w:val="0"/>
          <w:u w:val="single"/>
        </w:rPr>
      </w:pPr>
      <w:r>
        <w:rPr>
          <w:rFonts w:hint="eastAsia" w:ascii="仿宋" w:hAnsi="仿宋" w:cs="仿宋"/>
          <w:kern w:val="0"/>
          <w:u w:val="single"/>
        </w:rPr>
        <w:t>浙江工业大学、浙江国际招投标有限公司：</w:t>
      </w:r>
    </w:p>
    <w:p w14:paraId="5CBA4D91">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14:paraId="086CFA6E">
      <w:pPr>
        <w:spacing w:line="360" w:lineRule="auto"/>
        <w:rPr>
          <w:rFonts w:ascii="仿宋" w:hAnsi="仿宋" w:cs="仿宋"/>
          <w:kern w:val="0"/>
        </w:rPr>
      </w:pPr>
      <w:r>
        <w:rPr>
          <w:rFonts w:hint="eastAsia" w:ascii="仿宋" w:hAnsi="仿宋" w:cs="仿宋"/>
          <w:kern w:val="0"/>
          <w:lang w:val="zh-CN"/>
        </w:rPr>
        <w:t>委托期限</w:t>
      </w:r>
      <w:r>
        <w:rPr>
          <w:rFonts w:hint="eastAsia" w:ascii="仿宋" w:hAnsi="仿宋" w:cs="仿宋"/>
          <w:kern w:val="0"/>
        </w:rPr>
        <w:t>：</w:t>
      </w:r>
      <w:r>
        <w:rPr>
          <w:rFonts w:hint="eastAsia" w:ascii="仿宋" w:hAnsi="仿宋" w:cs="仿宋"/>
          <w:kern w:val="0"/>
          <w:lang w:val="zh-CN"/>
        </w:rPr>
        <w:t>自年月日起至年月日止。</w:t>
      </w:r>
    </w:p>
    <w:p w14:paraId="4C382CF7">
      <w:pPr>
        <w:spacing w:line="360" w:lineRule="auto"/>
        <w:rPr>
          <w:rFonts w:ascii="仿宋" w:hAnsi="仿宋" w:cs="仿宋"/>
          <w:kern w:val="0"/>
        </w:rPr>
      </w:pPr>
      <w:r>
        <w:rPr>
          <w:rFonts w:hint="eastAsia" w:ascii="仿宋" w:hAnsi="仿宋" w:cs="仿宋"/>
          <w:kern w:val="0"/>
          <w:lang w:val="zh-CN"/>
        </w:rPr>
        <w:t>特此告知。</w:t>
      </w:r>
    </w:p>
    <w:p w14:paraId="6866BECD">
      <w:pPr>
        <w:spacing w:line="360" w:lineRule="auto"/>
        <w:rPr>
          <w:rFonts w:ascii="仿宋" w:hAnsi="仿宋" w:cs="仿宋"/>
          <w:kern w:val="0"/>
        </w:rPr>
      </w:pPr>
      <w:r>
        <w:rPr>
          <w:rFonts w:hint="eastAsia" w:ascii="仿宋" w:hAnsi="仿宋" w:cs="仿宋"/>
          <w:kern w:val="0"/>
          <w:lang w:val="zh-CN"/>
        </w:rPr>
        <w:t xml:space="preserve">                                                 投标人名称(电子签名)：</w:t>
      </w:r>
    </w:p>
    <w:p w14:paraId="120F6AF3">
      <w:pPr>
        <w:spacing w:line="360" w:lineRule="auto"/>
        <w:rPr>
          <w:rFonts w:ascii="仿宋" w:hAnsi="仿宋" w:cs="仿宋"/>
          <w:kern w:val="0"/>
          <w:lang w:val="zh-CN"/>
        </w:rPr>
      </w:pPr>
      <w:r>
        <w:rPr>
          <w:rFonts w:hint="eastAsia" w:ascii="仿宋" w:hAnsi="仿宋" w:cs="仿宋"/>
          <w:kern w:val="0"/>
          <w:lang w:val="zh-CN"/>
        </w:rPr>
        <w:t xml:space="preserve">                                                 签发日期：年月日</w:t>
      </w:r>
    </w:p>
    <w:p w14:paraId="74A136D9">
      <w:pPr>
        <w:spacing w:line="360" w:lineRule="auto"/>
        <w:rPr>
          <w:rFonts w:ascii="仿宋" w:hAnsi="仿宋" w:cs="仿宋"/>
        </w:rPr>
      </w:pPr>
    </w:p>
    <w:p w14:paraId="08B2F53B">
      <w:pPr>
        <w:spacing w:line="360" w:lineRule="auto"/>
        <w:rPr>
          <w:rFonts w:ascii="仿宋" w:hAnsi="仿宋" w:cs="仿宋"/>
        </w:rPr>
      </w:pPr>
    </w:p>
    <w:p w14:paraId="4BBD6439">
      <w:pPr>
        <w:spacing w:line="360" w:lineRule="auto"/>
        <w:rPr>
          <w:rFonts w:ascii="仿宋" w:hAnsi="仿宋" w:cs="仿宋"/>
        </w:rPr>
      </w:pPr>
    </w:p>
    <w:p w14:paraId="5BBCA7A2">
      <w:pPr>
        <w:jc w:val="center"/>
        <w:rPr>
          <w:rFonts w:ascii="仿宋" w:hAnsi="仿宋" w:cs="仿宋"/>
          <w:b/>
          <w:kern w:val="0"/>
          <w:sz w:val="32"/>
          <w:szCs w:val="32"/>
        </w:rPr>
      </w:pPr>
      <w:r>
        <w:rPr>
          <w:rFonts w:hint="eastAsia" w:ascii="仿宋" w:hAnsi="仿宋" w:cs="仿宋"/>
          <w:b/>
          <w:kern w:val="0"/>
          <w:sz w:val="32"/>
          <w:szCs w:val="32"/>
          <w:lang w:val="zh-CN"/>
        </w:rPr>
        <w:t>授权委托书（适用于联合体投标）</w:t>
      </w:r>
    </w:p>
    <w:p w14:paraId="004A4617">
      <w:pPr>
        <w:spacing w:line="360" w:lineRule="auto"/>
        <w:rPr>
          <w:rFonts w:ascii="仿宋" w:hAnsi="仿宋" w:cs="仿宋"/>
        </w:rPr>
      </w:pPr>
      <w:r>
        <w:rPr>
          <w:rFonts w:hint="eastAsia" w:ascii="仿宋" w:hAnsi="仿宋" w:cs="仿宋"/>
          <w:u w:val="single"/>
        </w:rPr>
        <w:t>浙江工业大学、浙江国际招投标有限公司</w:t>
      </w:r>
      <w:r>
        <w:rPr>
          <w:rFonts w:hint="eastAsia" w:ascii="仿宋" w:hAnsi="仿宋" w:cs="仿宋"/>
        </w:rPr>
        <w:t>：</w:t>
      </w:r>
    </w:p>
    <w:p w14:paraId="492641C9">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14:paraId="304ED4D7">
      <w:pPr>
        <w:spacing w:line="360" w:lineRule="auto"/>
        <w:rPr>
          <w:rFonts w:ascii="仿宋" w:hAnsi="仿宋" w:cs="仿宋"/>
          <w:kern w:val="0"/>
        </w:rPr>
      </w:pPr>
      <w:r>
        <w:rPr>
          <w:rFonts w:hint="eastAsia" w:ascii="仿宋" w:hAnsi="仿宋" w:cs="仿宋"/>
          <w:kern w:val="0"/>
        </w:rPr>
        <w:t>委托期限：</w:t>
      </w:r>
      <w:r>
        <w:rPr>
          <w:rFonts w:hint="eastAsia" w:ascii="仿宋" w:hAnsi="仿宋" w:cs="仿宋"/>
          <w:kern w:val="0"/>
          <w:lang w:val="zh-CN"/>
        </w:rPr>
        <w:t>自年月日起至年月日止。</w:t>
      </w:r>
    </w:p>
    <w:p w14:paraId="387C31EA">
      <w:pPr>
        <w:spacing w:line="360" w:lineRule="auto"/>
        <w:rPr>
          <w:rFonts w:ascii="仿宋" w:hAnsi="仿宋" w:cs="仿宋"/>
          <w:kern w:val="0"/>
        </w:rPr>
      </w:pPr>
      <w:r>
        <w:rPr>
          <w:rFonts w:hint="eastAsia" w:ascii="仿宋" w:hAnsi="仿宋" w:cs="仿宋"/>
          <w:kern w:val="0"/>
          <w:lang w:val="zh-CN"/>
        </w:rPr>
        <w:t>特此告知。</w:t>
      </w:r>
    </w:p>
    <w:p w14:paraId="6A6BC1E5">
      <w:pPr>
        <w:rPr>
          <w:rFonts w:ascii="仿宋" w:hAnsi="仿宋" w:cs="仿宋"/>
        </w:rPr>
      </w:pPr>
    </w:p>
    <w:p w14:paraId="3830624E">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14:paraId="079608AA">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14:paraId="0BD85887">
      <w:pPr>
        <w:spacing w:line="360" w:lineRule="auto"/>
        <w:ind w:firstLine="5760" w:firstLineChars="2400"/>
        <w:rPr>
          <w:rFonts w:ascii="仿宋" w:hAnsi="仿宋" w:cs="仿宋"/>
        </w:rPr>
      </w:pPr>
      <w:r>
        <w:rPr>
          <w:rFonts w:hint="eastAsia" w:ascii="仿宋" w:hAnsi="仿宋" w:cs="仿宋"/>
          <w:kern w:val="0"/>
          <w:lang w:val="zh-CN"/>
        </w:rPr>
        <w:t>……</w:t>
      </w:r>
    </w:p>
    <w:p w14:paraId="2ECFA715">
      <w:pPr>
        <w:spacing w:line="360" w:lineRule="auto"/>
        <w:rPr>
          <w:rFonts w:ascii="仿宋" w:hAnsi="仿宋" w:cs="仿宋"/>
          <w:kern w:val="0"/>
          <w:lang w:val="zh-CN"/>
        </w:rPr>
      </w:pPr>
      <w:r>
        <w:rPr>
          <w:rFonts w:hint="eastAsia" w:ascii="仿宋" w:hAnsi="仿宋" w:cs="仿宋"/>
          <w:kern w:val="0"/>
          <w:lang w:val="zh-CN"/>
        </w:rPr>
        <w:t xml:space="preserve">                                               日期：年月日</w:t>
      </w:r>
    </w:p>
    <w:p w14:paraId="037EAB4A">
      <w:pPr>
        <w:rPr>
          <w:rFonts w:ascii="仿宋" w:hAnsi="仿宋" w:cs="仿宋"/>
          <w:b/>
          <w:kern w:val="0"/>
          <w:sz w:val="32"/>
          <w:szCs w:val="32"/>
          <w:lang w:val="zh-CN"/>
        </w:rPr>
      </w:pPr>
      <w:r>
        <w:rPr>
          <w:rFonts w:hint="eastAsia" w:ascii="仿宋" w:hAnsi="仿宋" w:cs="仿宋"/>
          <w:b/>
          <w:kern w:val="0"/>
          <w:sz w:val="32"/>
          <w:szCs w:val="32"/>
          <w:lang w:val="zh-CN"/>
        </w:rPr>
        <w:br w:type="page"/>
      </w:r>
    </w:p>
    <w:p w14:paraId="7F0DF7BB">
      <w:pPr>
        <w:jc w:val="center"/>
        <w:rPr>
          <w:rFonts w:ascii="仿宋" w:hAnsi="仿宋" w:cs="仿宋"/>
          <w:b/>
          <w:kern w:val="0"/>
          <w:sz w:val="32"/>
          <w:szCs w:val="32"/>
        </w:rPr>
      </w:pPr>
    </w:p>
    <w:p w14:paraId="65CFF94A">
      <w:pPr>
        <w:jc w:val="center"/>
        <w:rPr>
          <w:rFonts w:ascii="仿宋" w:hAnsi="仿宋" w:cs="仿宋"/>
          <w:b/>
          <w:kern w:val="0"/>
          <w:sz w:val="32"/>
          <w:szCs w:val="32"/>
        </w:rPr>
      </w:pPr>
      <w:r>
        <w:rPr>
          <w:rFonts w:hint="eastAsia" w:ascii="仿宋" w:hAnsi="仿宋" w:cs="仿宋"/>
          <w:b/>
          <w:kern w:val="0"/>
          <w:sz w:val="32"/>
          <w:szCs w:val="32"/>
        </w:rPr>
        <w:t>授权代表近一个月内在投标单位缴纳社保的参保证明（适用于法定代表人授权代表参加投标活动）</w:t>
      </w:r>
    </w:p>
    <w:p w14:paraId="2B9EC152">
      <w:pPr>
        <w:rPr>
          <w:rFonts w:ascii="仿宋" w:hAnsi="仿宋" w:cs="仿宋"/>
          <w:b/>
          <w:kern w:val="0"/>
          <w:sz w:val="32"/>
          <w:szCs w:val="32"/>
          <w:lang w:val="zh-CN"/>
        </w:rPr>
      </w:pPr>
      <w:r>
        <w:rPr>
          <w:rFonts w:hint="eastAsia" w:ascii="仿宋" w:hAnsi="仿宋" w:cs="仿宋"/>
          <w:b/>
          <w:kern w:val="0"/>
          <w:sz w:val="32"/>
          <w:szCs w:val="32"/>
          <w:lang w:val="zh-CN"/>
        </w:rPr>
        <w:br w:type="page"/>
      </w:r>
    </w:p>
    <w:p w14:paraId="453CB542">
      <w:pPr>
        <w:autoSpaceDE w:val="0"/>
        <w:autoSpaceDN w:val="0"/>
        <w:spacing w:line="360" w:lineRule="auto"/>
        <w:rPr>
          <w:rFonts w:ascii="仿宋" w:hAnsi="仿宋" w:cs="仿宋"/>
          <w:b/>
        </w:rPr>
      </w:pPr>
      <w:r>
        <w:rPr>
          <w:rFonts w:hint="eastAsia" w:ascii="仿宋" w:hAnsi="仿宋" w:cs="仿宋"/>
          <w:b/>
          <w:kern w:val="0"/>
          <w:sz w:val="32"/>
          <w:szCs w:val="32"/>
          <w:lang w:val="zh-CN"/>
        </w:rPr>
        <w:t>法定代表人、单位负责人或自然人本人</w:t>
      </w:r>
      <w:r>
        <w:rPr>
          <w:rFonts w:hint="eastAsia" w:ascii="仿宋" w:hAnsi="仿宋" w:cs="仿宋"/>
          <w:b/>
          <w:sz w:val="30"/>
          <w:szCs w:val="30"/>
        </w:rPr>
        <w:t>的身份证明（适用于法定代表人、单位负责人或者自然人本人代表投标人参加投标）</w:t>
      </w:r>
    </w:p>
    <w:p w14:paraId="36EDBC89">
      <w:pPr>
        <w:pStyle w:val="161"/>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4765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4CCEB56">
            <w:pPr>
              <w:pStyle w:val="161"/>
              <w:adjustRightInd w:val="0"/>
              <w:spacing w:line="360" w:lineRule="auto"/>
              <w:rPr>
                <w:rFonts w:ascii="仿宋" w:hAnsi="仿宋" w:eastAsia="仿宋" w:cs="仿宋"/>
                <w:bCs/>
                <w:sz w:val="24"/>
              </w:rPr>
            </w:pPr>
            <w:r>
              <w:rPr>
                <w:rFonts w:hint="eastAsia" w:ascii="仿宋" w:hAnsi="仿宋" w:eastAsia="仿宋" w:cs="仿宋"/>
                <w:bCs/>
                <w:sz w:val="24"/>
              </w:rPr>
              <w:t>正面：</w:t>
            </w:r>
          </w:p>
          <w:p w14:paraId="6E3C17F0">
            <w:pPr>
              <w:pStyle w:val="161"/>
              <w:adjustRightInd w:val="0"/>
              <w:spacing w:line="360" w:lineRule="auto"/>
              <w:rPr>
                <w:rFonts w:ascii="仿宋" w:hAnsi="仿宋" w:eastAsia="仿宋" w:cs="仿宋"/>
                <w:bCs/>
                <w:sz w:val="24"/>
              </w:rPr>
            </w:pPr>
          </w:p>
          <w:p w14:paraId="3450A442">
            <w:pPr>
              <w:pStyle w:val="161"/>
              <w:adjustRightInd w:val="0"/>
              <w:spacing w:line="360" w:lineRule="auto"/>
              <w:rPr>
                <w:rFonts w:ascii="仿宋" w:hAnsi="仿宋" w:eastAsia="仿宋" w:cs="仿宋"/>
                <w:bCs/>
                <w:sz w:val="24"/>
              </w:rPr>
            </w:pPr>
          </w:p>
          <w:p w14:paraId="76B80DFF">
            <w:pPr>
              <w:pStyle w:val="161"/>
              <w:adjustRightInd w:val="0"/>
              <w:spacing w:line="360" w:lineRule="auto"/>
              <w:rPr>
                <w:rFonts w:ascii="仿宋" w:hAnsi="仿宋" w:eastAsia="仿宋" w:cs="仿宋"/>
                <w:bCs/>
                <w:sz w:val="24"/>
              </w:rPr>
            </w:pPr>
          </w:p>
          <w:p w14:paraId="54006945">
            <w:pPr>
              <w:pStyle w:val="161"/>
              <w:adjustRightInd w:val="0"/>
              <w:spacing w:line="360" w:lineRule="auto"/>
              <w:rPr>
                <w:rFonts w:ascii="仿宋" w:hAnsi="仿宋" w:eastAsia="仿宋" w:cs="仿宋"/>
                <w:bCs/>
                <w:sz w:val="24"/>
              </w:rPr>
            </w:pPr>
          </w:p>
          <w:p w14:paraId="68AC127C">
            <w:pPr>
              <w:pStyle w:val="161"/>
              <w:adjustRightInd w:val="0"/>
              <w:spacing w:line="360" w:lineRule="auto"/>
              <w:rPr>
                <w:rFonts w:ascii="仿宋" w:hAnsi="仿宋" w:eastAsia="仿宋" w:cs="仿宋"/>
                <w:bCs/>
                <w:sz w:val="24"/>
              </w:rPr>
            </w:pPr>
            <w:r>
              <w:rPr>
                <w:rFonts w:hint="eastAsia" w:ascii="仿宋" w:hAnsi="仿宋" w:eastAsia="仿宋" w:cs="仿宋"/>
                <w:bCs/>
                <w:sz w:val="24"/>
              </w:rPr>
              <w:t>反面：</w:t>
            </w:r>
          </w:p>
          <w:p w14:paraId="6412C4AF">
            <w:pPr>
              <w:pStyle w:val="161"/>
              <w:adjustRightInd w:val="0"/>
              <w:spacing w:line="360" w:lineRule="auto"/>
              <w:rPr>
                <w:rFonts w:ascii="仿宋" w:hAnsi="仿宋" w:eastAsia="仿宋" w:cs="仿宋"/>
                <w:bCs/>
                <w:sz w:val="24"/>
              </w:rPr>
            </w:pPr>
          </w:p>
        </w:tc>
      </w:tr>
    </w:tbl>
    <w:p w14:paraId="6C4D8E0B">
      <w:pPr>
        <w:spacing w:line="360" w:lineRule="auto"/>
        <w:ind w:firstLine="576"/>
        <w:jc w:val="center"/>
        <w:rPr>
          <w:rFonts w:ascii="仿宋" w:hAnsi="仿宋" w:cs="仿宋"/>
          <w:kern w:val="0"/>
          <w:lang w:val="zh-CN"/>
        </w:rPr>
      </w:pPr>
    </w:p>
    <w:p w14:paraId="203AD5C6">
      <w:pPr>
        <w:spacing w:line="360" w:lineRule="auto"/>
        <w:ind w:firstLine="576"/>
        <w:jc w:val="center"/>
        <w:rPr>
          <w:rFonts w:ascii="仿宋" w:hAnsi="仿宋" w:cs="仿宋"/>
          <w:kern w:val="0"/>
          <w:lang w:val="zh-CN"/>
        </w:rPr>
      </w:pPr>
      <w:r>
        <w:rPr>
          <w:rFonts w:hint="eastAsia" w:ascii="仿宋" w:hAnsi="仿宋" w:cs="仿宋"/>
          <w:kern w:val="0"/>
          <w:lang w:val="zh-CN"/>
        </w:rPr>
        <w:t xml:space="preserve">                  投标人名称(电子签名)：                              </w:t>
      </w:r>
    </w:p>
    <w:p w14:paraId="1D0852F7">
      <w:pPr>
        <w:spacing w:line="360" w:lineRule="auto"/>
        <w:jc w:val="center"/>
        <w:rPr>
          <w:rFonts w:ascii="仿宋" w:hAnsi="仿宋" w:cs="仿宋"/>
          <w:kern w:val="0"/>
          <w:lang w:val="zh-CN"/>
        </w:rPr>
      </w:pPr>
      <w:r>
        <w:rPr>
          <w:rFonts w:hint="eastAsia" w:ascii="仿宋" w:hAnsi="仿宋" w:cs="仿宋"/>
          <w:kern w:val="0"/>
          <w:lang w:val="zh-CN"/>
        </w:rPr>
        <w:t xml:space="preserve">                   日期：年月日</w:t>
      </w:r>
    </w:p>
    <w:p w14:paraId="4C560180">
      <w:pPr>
        <w:jc w:val="center"/>
        <w:rPr>
          <w:rFonts w:ascii="仿宋" w:hAnsi="仿宋" w:cs="仿宋"/>
          <w:b/>
          <w:kern w:val="0"/>
          <w:sz w:val="32"/>
          <w:szCs w:val="32"/>
        </w:rPr>
      </w:pPr>
    </w:p>
    <w:p w14:paraId="26C57ED5">
      <w:pPr>
        <w:jc w:val="center"/>
        <w:rPr>
          <w:rFonts w:ascii="仿宋" w:hAnsi="仿宋" w:cs="仿宋"/>
          <w:b/>
          <w:kern w:val="0"/>
          <w:sz w:val="32"/>
          <w:szCs w:val="32"/>
        </w:rPr>
      </w:pPr>
    </w:p>
    <w:p w14:paraId="7184363E">
      <w:pPr>
        <w:jc w:val="center"/>
        <w:rPr>
          <w:rFonts w:ascii="仿宋" w:hAnsi="仿宋" w:cs="仿宋"/>
          <w:b/>
          <w:kern w:val="0"/>
          <w:sz w:val="32"/>
          <w:szCs w:val="32"/>
        </w:rPr>
      </w:pPr>
    </w:p>
    <w:p w14:paraId="524780A2">
      <w:pPr>
        <w:jc w:val="center"/>
        <w:rPr>
          <w:rFonts w:ascii="仿宋" w:hAnsi="仿宋" w:cs="仿宋"/>
          <w:b/>
          <w:kern w:val="0"/>
          <w:sz w:val="32"/>
          <w:szCs w:val="32"/>
        </w:rPr>
      </w:pPr>
    </w:p>
    <w:p w14:paraId="39A88196">
      <w:pPr>
        <w:jc w:val="center"/>
        <w:rPr>
          <w:rFonts w:ascii="仿宋" w:hAnsi="仿宋" w:cs="仿宋"/>
          <w:b/>
          <w:kern w:val="0"/>
          <w:sz w:val="32"/>
          <w:szCs w:val="32"/>
        </w:rPr>
      </w:pPr>
    </w:p>
    <w:p w14:paraId="115A8FED">
      <w:pPr>
        <w:jc w:val="center"/>
        <w:rPr>
          <w:rFonts w:ascii="仿宋" w:hAnsi="仿宋" w:cs="仿宋"/>
          <w:b/>
          <w:kern w:val="0"/>
          <w:sz w:val="32"/>
          <w:szCs w:val="32"/>
        </w:rPr>
      </w:pPr>
    </w:p>
    <w:p w14:paraId="4ECB8BE6">
      <w:pPr>
        <w:jc w:val="center"/>
        <w:rPr>
          <w:rFonts w:ascii="仿宋" w:hAnsi="仿宋" w:cs="仿宋"/>
          <w:b/>
          <w:kern w:val="0"/>
          <w:sz w:val="32"/>
          <w:szCs w:val="32"/>
        </w:rPr>
      </w:pPr>
    </w:p>
    <w:p w14:paraId="1DFC2425">
      <w:pPr>
        <w:jc w:val="center"/>
        <w:rPr>
          <w:rFonts w:ascii="仿宋" w:hAnsi="仿宋" w:cs="仿宋"/>
          <w:b/>
          <w:kern w:val="0"/>
          <w:sz w:val="32"/>
          <w:szCs w:val="32"/>
        </w:rPr>
      </w:pPr>
    </w:p>
    <w:p w14:paraId="5C642ACE">
      <w:pPr>
        <w:jc w:val="center"/>
        <w:rPr>
          <w:rFonts w:ascii="仿宋" w:hAnsi="仿宋" w:cs="仿宋"/>
          <w:b/>
          <w:kern w:val="0"/>
          <w:sz w:val="32"/>
          <w:szCs w:val="32"/>
        </w:rPr>
      </w:pPr>
    </w:p>
    <w:p w14:paraId="1C7B3AB8">
      <w:pPr>
        <w:jc w:val="center"/>
        <w:rPr>
          <w:rFonts w:ascii="仿宋" w:hAnsi="仿宋" w:cs="仿宋"/>
          <w:b/>
          <w:kern w:val="0"/>
          <w:sz w:val="32"/>
          <w:szCs w:val="32"/>
        </w:rPr>
      </w:pPr>
    </w:p>
    <w:p w14:paraId="7071E268">
      <w:pPr>
        <w:rPr>
          <w:rFonts w:ascii="仿宋" w:hAnsi="仿宋" w:cs="仿宋"/>
          <w:b/>
          <w:kern w:val="0"/>
          <w:sz w:val="32"/>
          <w:szCs w:val="32"/>
        </w:rPr>
      </w:pPr>
      <w:r>
        <w:rPr>
          <w:rFonts w:hint="eastAsia" w:ascii="仿宋" w:hAnsi="仿宋" w:cs="仿宋"/>
          <w:b/>
          <w:kern w:val="0"/>
          <w:sz w:val="32"/>
          <w:szCs w:val="32"/>
        </w:rPr>
        <w:br w:type="page"/>
      </w:r>
    </w:p>
    <w:p w14:paraId="3E73549D">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三、分包意向协议</w:t>
      </w:r>
      <w:r>
        <w:rPr>
          <w:rFonts w:hint="eastAsia" w:ascii="仿宋" w:hAnsi="仿宋" w:cs="仿宋"/>
          <w:b/>
          <w:color w:val="FF0000"/>
          <w:kern w:val="0"/>
          <w:sz w:val="32"/>
          <w:szCs w:val="32"/>
          <w:lang w:val="zh-CN"/>
        </w:rPr>
        <w:t>（如果有）</w:t>
      </w:r>
    </w:p>
    <w:p w14:paraId="7164799D">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中标后以分包方式履行合同的，提供分包意向协议(附件6)；采购人不同意分包或者投标人中标后不以分包方式履行合同的，则不需要提供。</w:t>
      </w:r>
      <w:r>
        <w:rPr>
          <w:rFonts w:hint="eastAsia" w:ascii="仿宋" w:hAnsi="仿宋" w:cs="仿宋"/>
        </w:rPr>
        <w:t>】</w:t>
      </w:r>
    </w:p>
    <w:p w14:paraId="3FA4D52C">
      <w:pPr>
        <w:rPr>
          <w:rFonts w:ascii="仿宋" w:hAnsi="仿宋" w:cs="仿宋"/>
          <w:b/>
          <w:kern w:val="0"/>
          <w:sz w:val="32"/>
          <w:szCs w:val="32"/>
          <w:lang w:val="zh-CN"/>
        </w:rPr>
      </w:pPr>
      <w:r>
        <w:rPr>
          <w:rFonts w:hint="eastAsia" w:ascii="仿宋" w:hAnsi="仿宋" w:cs="仿宋"/>
          <w:b/>
          <w:kern w:val="0"/>
          <w:sz w:val="32"/>
          <w:szCs w:val="32"/>
          <w:lang w:val="zh-CN"/>
        </w:rPr>
        <w:br w:type="page"/>
      </w:r>
    </w:p>
    <w:p w14:paraId="3F0D9094">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四、符合性审查资料</w:t>
      </w:r>
    </w:p>
    <w:p w14:paraId="4CBC8D84">
      <w:pPr>
        <w:jc w:val="center"/>
        <w:rPr>
          <w:rFonts w:ascii="仿宋" w:hAnsi="仿宋" w:cs="仿宋"/>
          <w:b/>
          <w:kern w:val="0"/>
          <w:sz w:val="32"/>
          <w:szCs w:val="32"/>
        </w:rPr>
      </w:pPr>
    </w:p>
    <w:tbl>
      <w:tblPr>
        <w:tblStyle w:val="6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14:paraId="65146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67E5B64">
            <w:pPr>
              <w:spacing w:line="400" w:lineRule="exact"/>
              <w:jc w:val="left"/>
              <w:rPr>
                <w:rFonts w:ascii="仿宋" w:hAnsi="仿宋" w:cs="仿宋"/>
                <w:b/>
              </w:rPr>
            </w:pPr>
            <w:r>
              <w:rPr>
                <w:rFonts w:hint="eastAsia" w:ascii="仿宋" w:hAnsi="仿宋" w:cs="仿宋"/>
                <w:b/>
              </w:rPr>
              <w:t>序号</w:t>
            </w:r>
          </w:p>
        </w:tc>
        <w:tc>
          <w:tcPr>
            <w:tcW w:w="4245" w:type="dxa"/>
            <w:vAlign w:val="center"/>
          </w:tcPr>
          <w:p w14:paraId="58633737">
            <w:pPr>
              <w:spacing w:line="400" w:lineRule="exact"/>
              <w:jc w:val="left"/>
              <w:rPr>
                <w:rFonts w:ascii="仿宋" w:hAnsi="仿宋" w:cs="仿宋"/>
                <w:b/>
              </w:rPr>
            </w:pPr>
            <w:r>
              <w:rPr>
                <w:rFonts w:hint="eastAsia" w:ascii="仿宋" w:hAnsi="仿宋" w:cs="仿宋"/>
                <w:b/>
              </w:rPr>
              <w:t>实质性要求</w:t>
            </w:r>
          </w:p>
        </w:tc>
        <w:tc>
          <w:tcPr>
            <w:tcW w:w="2551" w:type="dxa"/>
            <w:vAlign w:val="center"/>
          </w:tcPr>
          <w:p w14:paraId="282C71C5">
            <w:pPr>
              <w:spacing w:line="400" w:lineRule="exact"/>
              <w:jc w:val="left"/>
              <w:rPr>
                <w:rFonts w:ascii="仿宋" w:hAnsi="仿宋" w:cs="仿宋"/>
                <w:b/>
              </w:rPr>
            </w:pPr>
            <w:r>
              <w:rPr>
                <w:rFonts w:hint="eastAsia" w:ascii="仿宋" w:hAnsi="仿宋" w:cs="仿宋"/>
                <w:b/>
              </w:rPr>
              <w:t>需要提供的符合性审查资料</w:t>
            </w:r>
          </w:p>
        </w:tc>
        <w:tc>
          <w:tcPr>
            <w:tcW w:w="1672" w:type="dxa"/>
            <w:vAlign w:val="center"/>
          </w:tcPr>
          <w:p w14:paraId="0D1AED89">
            <w:pPr>
              <w:spacing w:line="400" w:lineRule="exact"/>
              <w:jc w:val="left"/>
              <w:rPr>
                <w:rFonts w:ascii="仿宋" w:hAnsi="仿宋" w:cs="仿宋"/>
                <w:b/>
              </w:rPr>
            </w:pPr>
            <w:r>
              <w:rPr>
                <w:rFonts w:hint="eastAsia" w:ascii="仿宋" w:hAnsi="仿宋" w:cs="仿宋"/>
                <w:b/>
              </w:rPr>
              <w:t>投标文件中的页码位置</w:t>
            </w:r>
          </w:p>
        </w:tc>
      </w:tr>
      <w:tr w14:paraId="50D7A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D51BDB">
            <w:pPr>
              <w:spacing w:line="400" w:lineRule="exact"/>
              <w:jc w:val="left"/>
              <w:rPr>
                <w:rFonts w:ascii="仿宋" w:hAnsi="仿宋" w:cs="仿宋"/>
                <w:bCs/>
              </w:rPr>
            </w:pPr>
            <w:r>
              <w:rPr>
                <w:rFonts w:hint="eastAsia" w:ascii="仿宋" w:hAnsi="仿宋" w:cs="仿宋"/>
                <w:bCs/>
              </w:rPr>
              <w:t>1</w:t>
            </w:r>
          </w:p>
        </w:tc>
        <w:tc>
          <w:tcPr>
            <w:tcW w:w="4245" w:type="dxa"/>
            <w:vAlign w:val="center"/>
          </w:tcPr>
          <w:p w14:paraId="701574C2">
            <w:pPr>
              <w:spacing w:line="400" w:lineRule="exact"/>
              <w:jc w:val="left"/>
              <w:rPr>
                <w:rFonts w:ascii="仿宋" w:hAnsi="仿宋" w:cs="仿宋"/>
              </w:rPr>
            </w:pPr>
            <w:r>
              <w:rPr>
                <w:rFonts w:hint="eastAsia" w:ascii="仿宋" w:hAnsi="仿宋" w:cs="仿宋"/>
              </w:rPr>
              <w:t>投标文件按照招标文件要求签署、盖章。</w:t>
            </w:r>
          </w:p>
        </w:tc>
        <w:tc>
          <w:tcPr>
            <w:tcW w:w="2551" w:type="dxa"/>
            <w:vAlign w:val="center"/>
          </w:tcPr>
          <w:p w14:paraId="43BECB64">
            <w:pPr>
              <w:spacing w:line="400" w:lineRule="exact"/>
              <w:jc w:val="left"/>
              <w:rPr>
                <w:rFonts w:ascii="仿宋" w:hAnsi="仿宋" w:cs="仿宋"/>
              </w:rPr>
            </w:pPr>
            <w:r>
              <w:rPr>
                <w:rFonts w:hint="eastAsia" w:ascii="仿宋" w:hAnsi="仿宋" w:cs="仿宋"/>
              </w:rPr>
              <w:t>需要使用电子签名或者签字盖章的投标文件的组成部分</w:t>
            </w:r>
          </w:p>
        </w:tc>
        <w:tc>
          <w:tcPr>
            <w:tcW w:w="1672" w:type="dxa"/>
            <w:vAlign w:val="center"/>
          </w:tcPr>
          <w:p w14:paraId="2A5AD30E">
            <w:pPr>
              <w:spacing w:line="400" w:lineRule="exact"/>
              <w:jc w:val="left"/>
              <w:rPr>
                <w:rFonts w:ascii="仿宋" w:hAnsi="仿宋" w:cs="仿宋"/>
              </w:rPr>
            </w:pPr>
          </w:p>
          <w:p w14:paraId="4A7B9FDB">
            <w:pPr>
              <w:spacing w:line="400" w:lineRule="exact"/>
              <w:jc w:val="left"/>
              <w:rPr>
                <w:rFonts w:ascii="仿宋" w:hAnsi="仿宋" w:cs="仿宋"/>
              </w:rPr>
            </w:pPr>
            <w:r>
              <w:rPr>
                <w:rFonts w:hint="eastAsia" w:ascii="仿宋" w:hAnsi="仿宋" w:cs="仿宋"/>
              </w:rPr>
              <w:t>见投标文件</w:t>
            </w:r>
          </w:p>
          <w:p w14:paraId="76DE09F6">
            <w:pPr>
              <w:spacing w:line="400" w:lineRule="exact"/>
              <w:jc w:val="left"/>
              <w:rPr>
                <w:rFonts w:ascii="仿宋" w:hAnsi="仿宋" w:cs="仿宋"/>
              </w:rPr>
            </w:pPr>
            <w:r>
              <w:rPr>
                <w:rFonts w:hint="eastAsia" w:ascii="仿宋" w:hAnsi="仿宋" w:cs="仿宋"/>
              </w:rPr>
              <w:t>第页</w:t>
            </w:r>
          </w:p>
        </w:tc>
      </w:tr>
      <w:tr w14:paraId="1ACC3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7A7AEB2">
            <w:pPr>
              <w:spacing w:line="400" w:lineRule="exact"/>
              <w:jc w:val="left"/>
              <w:rPr>
                <w:rFonts w:ascii="仿宋" w:hAnsi="仿宋" w:cs="仿宋"/>
                <w:bCs/>
              </w:rPr>
            </w:pPr>
            <w:r>
              <w:rPr>
                <w:rFonts w:hint="eastAsia" w:ascii="仿宋" w:hAnsi="仿宋" w:cs="仿宋"/>
                <w:bCs/>
              </w:rPr>
              <w:t>2</w:t>
            </w:r>
          </w:p>
        </w:tc>
        <w:tc>
          <w:tcPr>
            <w:tcW w:w="4245" w:type="dxa"/>
            <w:vAlign w:val="center"/>
          </w:tcPr>
          <w:p w14:paraId="3DDE2202">
            <w:pPr>
              <w:spacing w:line="400" w:lineRule="exact"/>
              <w:jc w:val="left"/>
              <w:rPr>
                <w:rFonts w:ascii="仿宋" w:hAnsi="仿宋" w:cs="仿宋"/>
              </w:rPr>
            </w:pPr>
            <w:r>
              <w:rPr>
                <w:rFonts w:hint="eastAsia" w:ascii="仿宋" w:hAnsi="仿宋" w:cs="仿宋"/>
              </w:rPr>
              <w:t>投标文件中承诺的投标有效期不少于招标文件中载明的投标有效期。</w:t>
            </w:r>
          </w:p>
        </w:tc>
        <w:tc>
          <w:tcPr>
            <w:tcW w:w="2551" w:type="dxa"/>
            <w:vAlign w:val="center"/>
          </w:tcPr>
          <w:p w14:paraId="0CBC904C">
            <w:pPr>
              <w:spacing w:line="400" w:lineRule="exact"/>
              <w:jc w:val="left"/>
              <w:rPr>
                <w:rFonts w:ascii="仿宋" w:hAnsi="仿宋" w:cs="仿宋"/>
              </w:rPr>
            </w:pPr>
            <w:r>
              <w:rPr>
                <w:rFonts w:hint="eastAsia" w:ascii="仿宋" w:hAnsi="仿宋" w:cs="仿宋"/>
              </w:rPr>
              <w:t>投标函</w:t>
            </w:r>
          </w:p>
        </w:tc>
        <w:tc>
          <w:tcPr>
            <w:tcW w:w="1672" w:type="dxa"/>
            <w:vAlign w:val="center"/>
          </w:tcPr>
          <w:p w14:paraId="7D5A904C">
            <w:pPr>
              <w:spacing w:line="400" w:lineRule="exact"/>
              <w:jc w:val="left"/>
              <w:rPr>
                <w:rFonts w:ascii="仿宋" w:hAnsi="仿宋" w:cs="仿宋"/>
              </w:rPr>
            </w:pPr>
            <w:r>
              <w:rPr>
                <w:rFonts w:hint="eastAsia" w:ascii="仿宋" w:hAnsi="仿宋" w:cs="仿宋"/>
              </w:rPr>
              <w:t>见投标文件</w:t>
            </w:r>
          </w:p>
          <w:p w14:paraId="7C2A241C">
            <w:pPr>
              <w:spacing w:line="400" w:lineRule="exact"/>
              <w:jc w:val="left"/>
              <w:rPr>
                <w:rFonts w:ascii="仿宋" w:hAnsi="仿宋" w:cs="仿宋"/>
              </w:rPr>
            </w:pPr>
            <w:r>
              <w:rPr>
                <w:rFonts w:hint="eastAsia" w:ascii="仿宋" w:hAnsi="仿宋" w:cs="仿宋"/>
              </w:rPr>
              <w:t>第页</w:t>
            </w:r>
          </w:p>
        </w:tc>
      </w:tr>
      <w:tr w14:paraId="1817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C8512EB">
            <w:pPr>
              <w:spacing w:line="400" w:lineRule="exact"/>
              <w:jc w:val="left"/>
              <w:rPr>
                <w:rFonts w:ascii="仿宋" w:hAnsi="仿宋" w:cs="仿宋"/>
                <w:bCs/>
              </w:rPr>
            </w:pPr>
            <w:r>
              <w:rPr>
                <w:rFonts w:hint="eastAsia" w:ascii="仿宋" w:hAnsi="仿宋" w:cs="仿宋"/>
                <w:bCs/>
              </w:rPr>
              <w:t>3</w:t>
            </w:r>
          </w:p>
        </w:tc>
        <w:tc>
          <w:tcPr>
            <w:tcW w:w="4245" w:type="dxa"/>
            <w:vAlign w:val="center"/>
          </w:tcPr>
          <w:p w14:paraId="7AB9F83F">
            <w:pPr>
              <w:spacing w:line="400" w:lineRule="exact"/>
              <w:jc w:val="left"/>
              <w:rPr>
                <w:rFonts w:ascii="仿宋" w:hAnsi="仿宋" w:cs="仿宋"/>
              </w:rPr>
            </w:pPr>
            <w:r>
              <w:rPr>
                <w:rFonts w:hint="eastAsia" w:ascii="仿宋" w:hAnsi="仿宋" w:cs="仿宋"/>
              </w:rPr>
              <w:t>投标文件满足招标文件的其它实质性要求。</w:t>
            </w:r>
          </w:p>
        </w:tc>
        <w:tc>
          <w:tcPr>
            <w:tcW w:w="2551" w:type="dxa"/>
            <w:vAlign w:val="center"/>
          </w:tcPr>
          <w:p w14:paraId="291F12F2">
            <w:pPr>
              <w:spacing w:line="400" w:lineRule="exact"/>
              <w:jc w:val="left"/>
              <w:rPr>
                <w:rFonts w:ascii="仿宋" w:hAnsi="仿宋" w:cs="仿宋"/>
              </w:rPr>
            </w:pPr>
            <w:r>
              <w:rPr>
                <w:rFonts w:hint="eastAsia" w:ascii="仿宋" w:hAnsi="仿宋" w:cs="仿宋"/>
                <w:kern w:val="0"/>
              </w:rPr>
              <w:t>招标文件其它实质性要求相应的材料（“▲”系指实质性要求条款，招标文件无其它实质性要求的，无需提供）</w:t>
            </w:r>
          </w:p>
        </w:tc>
        <w:tc>
          <w:tcPr>
            <w:tcW w:w="1672" w:type="dxa"/>
            <w:vAlign w:val="center"/>
          </w:tcPr>
          <w:p w14:paraId="74FD0AA6">
            <w:pPr>
              <w:spacing w:line="400" w:lineRule="exact"/>
              <w:jc w:val="left"/>
              <w:rPr>
                <w:rFonts w:ascii="仿宋" w:hAnsi="仿宋" w:cs="仿宋"/>
              </w:rPr>
            </w:pPr>
            <w:r>
              <w:rPr>
                <w:rFonts w:hint="eastAsia" w:ascii="仿宋" w:hAnsi="仿宋" w:cs="仿宋"/>
              </w:rPr>
              <w:t>见投标文件</w:t>
            </w:r>
          </w:p>
          <w:p w14:paraId="1AD2A5A7">
            <w:pPr>
              <w:spacing w:line="400" w:lineRule="exact"/>
              <w:jc w:val="left"/>
              <w:rPr>
                <w:rFonts w:ascii="仿宋" w:hAnsi="仿宋" w:cs="仿宋"/>
              </w:rPr>
            </w:pPr>
            <w:r>
              <w:rPr>
                <w:rFonts w:hint="eastAsia" w:ascii="仿宋" w:hAnsi="仿宋" w:cs="仿宋"/>
              </w:rPr>
              <w:t>第页</w:t>
            </w:r>
          </w:p>
        </w:tc>
      </w:tr>
    </w:tbl>
    <w:p w14:paraId="1B00A016">
      <w:pPr>
        <w:spacing w:line="360" w:lineRule="auto"/>
        <w:ind w:right="420"/>
        <w:rPr>
          <w:rFonts w:ascii="仿宋" w:hAnsi="仿宋" w:cs="仿宋"/>
        </w:rPr>
      </w:pPr>
      <w:r>
        <w:rPr>
          <w:rFonts w:hint="eastAsia" w:ascii="仿宋" w:hAnsi="仿宋" w:cs="仿宋"/>
        </w:rPr>
        <w:t>注：按本格式和要求提供。</w:t>
      </w:r>
    </w:p>
    <w:p w14:paraId="759BBE62">
      <w:pPr>
        <w:jc w:val="center"/>
        <w:rPr>
          <w:rFonts w:ascii="仿宋" w:hAnsi="仿宋" w:cs="仿宋"/>
          <w:b/>
          <w:kern w:val="0"/>
          <w:sz w:val="32"/>
          <w:szCs w:val="32"/>
        </w:rPr>
      </w:pPr>
    </w:p>
    <w:p w14:paraId="59393A57">
      <w:pPr>
        <w:jc w:val="center"/>
        <w:rPr>
          <w:rFonts w:ascii="仿宋" w:hAnsi="仿宋" w:cs="仿宋"/>
          <w:b/>
          <w:kern w:val="0"/>
          <w:sz w:val="32"/>
          <w:szCs w:val="32"/>
        </w:rPr>
      </w:pPr>
    </w:p>
    <w:p w14:paraId="59A40851">
      <w:pPr>
        <w:jc w:val="center"/>
        <w:rPr>
          <w:rFonts w:ascii="仿宋" w:hAnsi="仿宋" w:cs="仿宋"/>
          <w:b/>
          <w:kern w:val="0"/>
          <w:sz w:val="32"/>
          <w:szCs w:val="32"/>
        </w:rPr>
      </w:pPr>
    </w:p>
    <w:p w14:paraId="5F18FE53">
      <w:pPr>
        <w:jc w:val="center"/>
        <w:rPr>
          <w:rFonts w:ascii="仿宋" w:hAnsi="仿宋" w:cs="仿宋"/>
          <w:b/>
          <w:kern w:val="0"/>
          <w:sz w:val="32"/>
          <w:szCs w:val="32"/>
        </w:rPr>
      </w:pPr>
    </w:p>
    <w:p w14:paraId="005ABEC8">
      <w:pPr>
        <w:jc w:val="center"/>
        <w:rPr>
          <w:rFonts w:ascii="仿宋" w:hAnsi="仿宋" w:cs="仿宋"/>
          <w:b/>
          <w:kern w:val="0"/>
          <w:sz w:val="32"/>
          <w:szCs w:val="32"/>
        </w:rPr>
      </w:pPr>
    </w:p>
    <w:p w14:paraId="29E2013A">
      <w:pPr>
        <w:jc w:val="center"/>
        <w:rPr>
          <w:rFonts w:ascii="仿宋" w:hAnsi="仿宋" w:cs="仿宋"/>
          <w:b/>
          <w:kern w:val="0"/>
          <w:sz w:val="32"/>
          <w:szCs w:val="32"/>
        </w:rPr>
      </w:pPr>
    </w:p>
    <w:p w14:paraId="75829174">
      <w:pPr>
        <w:jc w:val="center"/>
        <w:rPr>
          <w:rFonts w:ascii="仿宋" w:hAnsi="仿宋" w:cs="仿宋"/>
          <w:b/>
          <w:kern w:val="0"/>
          <w:sz w:val="32"/>
          <w:szCs w:val="32"/>
        </w:rPr>
      </w:pPr>
    </w:p>
    <w:p w14:paraId="3E453EE2">
      <w:pPr>
        <w:jc w:val="center"/>
        <w:rPr>
          <w:rFonts w:ascii="仿宋" w:hAnsi="仿宋" w:cs="仿宋"/>
          <w:b/>
          <w:kern w:val="0"/>
          <w:sz w:val="32"/>
          <w:szCs w:val="32"/>
        </w:rPr>
      </w:pPr>
    </w:p>
    <w:p w14:paraId="40917C71">
      <w:pPr>
        <w:jc w:val="center"/>
        <w:rPr>
          <w:rFonts w:ascii="仿宋" w:hAnsi="仿宋" w:cs="仿宋"/>
          <w:b/>
          <w:kern w:val="0"/>
          <w:sz w:val="32"/>
          <w:szCs w:val="32"/>
        </w:rPr>
      </w:pPr>
    </w:p>
    <w:p w14:paraId="7DEAEA3F">
      <w:pPr>
        <w:jc w:val="center"/>
        <w:rPr>
          <w:rFonts w:ascii="仿宋" w:hAnsi="仿宋" w:cs="仿宋"/>
          <w:b/>
          <w:kern w:val="0"/>
          <w:sz w:val="32"/>
          <w:szCs w:val="32"/>
        </w:rPr>
      </w:pPr>
    </w:p>
    <w:p w14:paraId="01FEBA78">
      <w:pPr>
        <w:jc w:val="center"/>
        <w:rPr>
          <w:rFonts w:ascii="仿宋" w:hAnsi="仿宋" w:cs="仿宋"/>
          <w:b/>
          <w:kern w:val="0"/>
          <w:sz w:val="32"/>
          <w:szCs w:val="32"/>
        </w:rPr>
      </w:pPr>
    </w:p>
    <w:p w14:paraId="5FCB333D">
      <w:pPr>
        <w:jc w:val="center"/>
        <w:rPr>
          <w:rFonts w:ascii="仿宋" w:hAnsi="仿宋" w:cs="仿宋"/>
          <w:b/>
          <w:kern w:val="0"/>
          <w:sz w:val="32"/>
          <w:szCs w:val="32"/>
        </w:rPr>
      </w:pPr>
    </w:p>
    <w:p w14:paraId="3728333A">
      <w:pPr>
        <w:jc w:val="center"/>
        <w:rPr>
          <w:rFonts w:ascii="仿宋" w:hAnsi="仿宋" w:cs="仿宋"/>
          <w:b/>
          <w:kern w:val="0"/>
          <w:sz w:val="32"/>
          <w:szCs w:val="32"/>
        </w:rPr>
      </w:pPr>
    </w:p>
    <w:p w14:paraId="008E2470">
      <w:pPr>
        <w:rPr>
          <w:rFonts w:ascii="仿宋" w:hAnsi="仿宋" w:cs="仿宋"/>
          <w:b/>
          <w:kern w:val="0"/>
          <w:sz w:val="32"/>
          <w:szCs w:val="32"/>
        </w:rPr>
      </w:pPr>
      <w:r>
        <w:rPr>
          <w:rFonts w:hint="eastAsia" w:ascii="仿宋" w:hAnsi="仿宋" w:cs="仿宋"/>
          <w:b/>
          <w:kern w:val="0"/>
          <w:sz w:val="32"/>
          <w:szCs w:val="32"/>
        </w:rPr>
        <w:br w:type="page"/>
      </w:r>
    </w:p>
    <w:p w14:paraId="3FCAA0B1">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五、评标标准相应的商务技术资料</w:t>
      </w:r>
    </w:p>
    <w:p w14:paraId="6BDD5246">
      <w:pPr>
        <w:spacing w:line="360" w:lineRule="auto"/>
        <w:jc w:val="left"/>
        <w:rPr>
          <w:rFonts w:ascii="仿宋" w:hAnsi="仿宋" w:cs="仿宋"/>
          <w:b/>
        </w:rPr>
      </w:pPr>
    </w:p>
    <w:p w14:paraId="5821C03A">
      <w:pPr>
        <w:spacing w:line="360" w:lineRule="auto"/>
        <w:jc w:val="left"/>
        <w:rPr>
          <w:rFonts w:ascii="仿宋" w:hAnsi="仿宋" w:cs="仿宋"/>
          <w:b/>
        </w:rPr>
      </w:pPr>
      <w:r>
        <w:rPr>
          <w:rFonts w:hint="eastAsia" w:ascii="仿宋" w:hAnsi="仿宋" w:cs="仿宋"/>
          <w:b/>
        </w:rPr>
        <w:t>（按招标文件第四部分评标办法前附表中“投标文件中评标标准相应的商务技术资料目录”提供资料）</w:t>
      </w:r>
    </w:p>
    <w:p w14:paraId="1DDE2765">
      <w:pPr>
        <w:jc w:val="center"/>
        <w:rPr>
          <w:rFonts w:ascii="仿宋" w:hAnsi="仿宋" w:cs="仿宋"/>
          <w:b/>
          <w:kern w:val="0"/>
          <w:sz w:val="32"/>
          <w:szCs w:val="32"/>
        </w:rPr>
      </w:pPr>
    </w:p>
    <w:p w14:paraId="0A9CD9C0">
      <w:pPr>
        <w:jc w:val="center"/>
        <w:rPr>
          <w:rFonts w:ascii="仿宋" w:hAnsi="仿宋" w:cs="仿宋"/>
          <w:b/>
          <w:kern w:val="0"/>
          <w:sz w:val="32"/>
          <w:szCs w:val="32"/>
        </w:rPr>
      </w:pPr>
    </w:p>
    <w:p w14:paraId="41971FF5">
      <w:pPr>
        <w:jc w:val="center"/>
        <w:rPr>
          <w:rFonts w:ascii="仿宋" w:hAnsi="仿宋" w:cs="仿宋"/>
          <w:b/>
          <w:kern w:val="0"/>
          <w:sz w:val="32"/>
          <w:szCs w:val="32"/>
        </w:rPr>
      </w:pPr>
    </w:p>
    <w:p w14:paraId="74ED81D1">
      <w:pPr>
        <w:jc w:val="center"/>
        <w:rPr>
          <w:rFonts w:ascii="仿宋" w:hAnsi="仿宋" w:cs="仿宋"/>
          <w:b/>
          <w:kern w:val="0"/>
          <w:sz w:val="32"/>
          <w:szCs w:val="32"/>
        </w:rPr>
      </w:pPr>
    </w:p>
    <w:p w14:paraId="64C39849">
      <w:pPr>
        <w:jc w:val="center"/>
        <w:rPr>
          <w:rFonts w:ascii="仿宋" w:hAnsi="仿宋" w:cs="仿宋"/>
          <w:b/>
          <w:kern w:val="0"/>
          <w:sz w:val="32"/>
          <w:szCs w:val="32"/>
        </w:rPr>
      </w:pPr>
    </w:p>
    <w:p w14:paraId="0297F095">
      <w:pPr>
        <w:jc w:val="center"/>
        <w:rPr>
          <w:rFonts w:ascii="仿宋" w:hAnsi="仿宋" w:cs="仿宋"/>
          <w:b/>
          <w:kern w:val="0"/>
          <w:sz w:val="32"/>
          <w:szCs w:val="32"/>
        </w:rPr>
      </w:pPr>
    </w:p>
    <w:p w14:paraId="40AF698A">
      <w:pPr>
        <w:jc w:val="center"/>
        <w:rPr>
          <w:rFonts w:ascii="仿宋" w:hAnsi="仿宋" w:cs="仿宋"/>
          <w:b/>
          <w:kern w:val="0"/>
          <w:sz w:val="32"/>
          <w:szCs w:val="32"/>
        </w:rPr>
      </w:pPr>
    </w:p>
    <w:p w14:paraId="1545A94C">
      <w:pPr>
        <w:jc w:val="center"/>
        <w:rPr>
          <w:rFonts w:ascii="仿宋" w:hAnsi="仿宋" w:cs="仿宋"/>
          <w:b/>
          <w:kern w:val="0"/>
          <w:sz w:val="32"/>
          <w:szCs w:val="32"/>
        </w:rPr>
      </w:pPr>
    </w:p>
    <w:p w14:paraId="0C29293B">
      <w:pPr>
        <w:jc w:val="center"/>
        <w:rPr>
          <w:rFonts w:ascii="仿宋" w:hAnsi="仿宋" w:cs="仿宋"/>
          <w:b/>
          <w:kern w:val="0"/>
          <w:sz w:val="32"/>
          <w:szCs w:val="32"/>
        </w:rPr>
      </w:pPr>
    </w:p>
    <w:p w14:paraId="6C58B5F3">
      <w:pPr>
        <w:jc w:val="center"/>
        <w:rPr>
          <w:rFonts w:ascii="仿宋" w:hAnsi="仿宋" w:cs="仿宋"/>
          <w:b/>
          <w:kern w:val="0"/>
          <w:sz w:val="32"/>
          <w:szCs w:val="32"/>
        </w:rPr>
      </w:pPr>
    </w:p>
    <w:p w14:paraId="46B182B2">
      <w:pPr>
        <w:jc w:val="center"/>
        <w:rPr>
          <w:rFonts w:ascii="仿宋" w:hAnsi="仿宋" w:cs="仿宋"/>
          <w:b/>
          <w:kern w:val="0"/>
          <w:sz w:val="32"/>
          <w:szCs w:val="32"/>
        </w:rPr>
      </w:pPr>
    </w:p>
    <w:p w14:paraId="796D13C2">
      <w:pPr>
        <w:jc w:val="center"/>
        <w:rPr>
          <w:rFonts w:ascii="仿宋" w:hAnsi="仿宋" w:cs="仿宋"/>
          <w:b/>
          <w:kern w:val="0"/>
          <w:sz w:val="32"/>
          <w:szCs w:val="32"/>
        </w:rPr>
      </w:pPr>
    </w:p>
    <w:p w14:paraId="3339D93E">
      <w:pPr>
        <w:jc w:val="center"/>
        <w:rPr>
          <w:rFonts w:ascii="仿宋" w:hAnsi="仿宋" w:cs="仿宋"/>
          <w:b/>
          <w:kern w:val="0"/>
          <w:sz w:val="32"/>
          <w:szCs w:val="32"/>
        </w:rPr>
      </w:pPr>
    </w:p>
    <w:p w14:paraId="379A0198">
      <w:pPr>
        <w:jc w:val="center"/>
        <w:rPr>
          <w:rFonts w:ascii="仿宋" w:hAnsi="仿宋" w:cs="仿宋"/>
          <w:b/>
          <w:kern w:val="0"/>
          <w:sz w:val="32"/>
          <w:szCs w:val="32"/>
        </w:rPr>
      </w:pPr>
    </w:p>
    <w:p w14:paraId="786AAA59">
      <w:pPr>
        <w:jc w:val="center"/>
        <w:rPr>
          <w:rFonts w:ascii="仿宋" w:hAnsi="仿宋" w:cs="仿宋"/>
          <w:b/>
          <w:kern w:val="0"/>
          <w:sz w:val="32"/>
          <w:szCs w:val="32"/>
        </w:rPr>
      </w:pPr>
    </w:p>
    <w:p w14:paraId="1D6F1101">
      <w:pPr>
        <w:jc w:val="center"/>
        <w:rPr>
          <w:rFonts w:ascii="仿宋" w:hAnsi="仿宋" w:cs="仿宋"/>
          <w:b/>
          <w:kern w:val="0"/>
          <w:sz w:val="32"/>
          <w:szCs w:val="32"/>
        </w:rPr>
      </w:pPr>
    </w:p>
    <w:p w14:paraId="7DDAA6A6">
      <w:pPr>
        <w:jc w:val="center"/>
        <w:rPr>
          <w:rFonts w:ascii="仿宋" w:hAnsi="仿宋" w:cs="仿宋"/>
          <w:b/>
          <w:kern w:val="0"/>
          <w:sz w:val="32"/>
          <w:szCs w:val="32"/>
        </w:rPr>
      </w:pPr>
    </w:p>
    <w:p w14:paraId="4805D96B">
      <w:pPr>
        <w:jc w:val="center"/>
        <w:rPr>
          <w:rFonts w:ascii="仿宋" w:hAnsi="仿宋" w:cs="仿宋"/>
          <w:b/>
          <w:kern w:val="0"/>
          <w:sz w:val="32"/>
          <w:szCs w:val="32"/>
        </w:rPr>
      </w:pPr>
    </w:p>
    <w:p w14:paraId="659C5EBA">
      <w:pPr>
        <w:jc w:val="center"/>
        <w:rPr>
          <w:rFonts w:ascii="仿宋" w:hAnsi="仿宋" w:cs="仿宋"/>
          <w:b/>
          <w:kern w:val="0"/>
          <w:sz w:val="32"/>
          <w:szCs w:val="32"/>
        </w:rPr>
      </w:pPr>
    </w:p>
    <w:p w14:paraId="6C3BD38A">
      <w:pPr>
        <w:jc w:val="center"/>
        <w:rPr>
          <w:rFonts w:ascii="仿宋" w:hAnsi="仿宋" w:cs="仿宋"/>
          <w:b/>
          <w:kern w:val="0"/>
          <w:sz w:val="32"/>
          <w:szCs w:val="32"/>
        </w:rPr>
      </w:pPr>
    </w:p>
    <w:p w14:paraId="53D567E7">
      <w:pPr>
        <w:jc w:val="center"/>
        <w:rPr>
          <w:rFonts w:ascii="仿宋" w:hAnsi="仿宋" w:cs="仿宋"/>
          <w:b/>
          <w:kern w:val="0"/>
          <w:sz w:val="32"/>
          <w:szCs w:val="32"/>
        </w:rPr>
      </w:pPr>
    </w:p>
    <w:p w14:paraId="79AE5B32">
      <w:pPr>
        <w:rPr>
          <w:rFonts w:ascii="仿宋" w:hAnsi="仿宋" w:cs="仿宋"/>
          <w:b/>
          <w:kern w:val="0"/>
          <w:sz w:val="32"/>
          <w:szCs w:val="32"/>
        </w:rPr>
      </w:pPr>
      <w:r>
        <w:rPr>
          <w:rFonts w:hint="eastAsia" w:ascii="仿宋" w:hAnsi="仿宋" w:cs="仿宋"/>
          <w:b/>
          <w:kern w:val="0"/>
          <w:sz w:val="32"/>
          <w:szCs w:val="32"/>
        </w:rPr>
        <w:br w:type="page"/>
      </w:r>
    </w:p>
    <w:p w14:paraId="470B77D2">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F446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87ACD2C">
            <w:pPr>
              <w:spacing w:line="400" w:lineRule="exact"/>
              <w:jc w:val="center"/>
              <w:rPr>
                <w:rFonts w:ascii="仿宋" w:hAnsi="仿宋" w:cs="仿宋"/>
                <w:b/>
              </w:rPr>
            </w:pPr>
            <w:r>
              <w:rPr>
                <w:rFonts w:hint="eastAsia" w:ascii="仿宋" w:hAnsi="仿宋" w:cs="仿宋"/>
                <w:b/>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E003F43">
            <w:pPr>
              <w:spacing w:line="400" w:lineRule="exact"/>
              <w:jc w:val="center"/>
              <w:rPr>
                <w:rFonts w:ascii="仿宋" w:hAnsi="仿宋" w:cs="仿宋"/>
                <w:b/>
              </w:rPr>
            </w:pPr>
            <w:r>
              <w:rPr>
                <w:rFonts w:hint="eastAsia" w:ascii="仿宋" w:hAnsi="仿宋" w:cs="仿宋"/>
                <w:b/>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7CD4E97F">
            <w:pPr>
              <w:spacing w:line="400" w:lineRule="exact"/>
              <w:jc w:val="center"/>
              <w:rPr>
                <w:rFonts w:ascii="仿宋" w:hAnsi="仿宋" w:cs="仿宋"/>
                <w:b/>
              </w:rPr>
            </w:pPr>
            <w:r>
              <w:rPr>
                <w:rFonts w:hint="eastAsia" w:ascii="仿宋" w:hAnsi="仿宋" w:cs="仿宋"/>
                <w:b/>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AE7B109">
            <w:pPr>
              <w:spacing w:line="400" w:lineRule="exact"/>
              <w:jc w:val="center"/>
              <w:rPr>
                <w:rFonts w:ascii="仿宋" w:hAnsi="仿宋" w:cs="仿宋"/>
                <w:b/>
              </w:rPr>
            </w:pPr>
            <w:r>
              <w:rPr>
                <w:rFonts w:hint="eastAsia" w:ascii="仿宋" w:hAnsi="仿宋" w:cs="仿宋"/>
                <w:b/>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68DC7ADD">
            <w:pPr>
              <w:spacing w:line="400" w:lineRule="exact"/>
              <w:jc w:val="center"/>
              <w:rPr>
                <w:rFonts w:ascii="仿宋" w:hAnsi="仿宋" w:cs="仿宋"/>
                <w:b/>
              </w:rPr>
            </w:pPr>
            <w:r>
              <w:rPr>
                <w:rFonts w:hint="eastAsia" w:ascii="仿宋" w:hAnsi="仿宋" w:cs="仿宋"/>
                <w:b/>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60969979">
            <w:pPr>
              <w:spacing w:line="400" w:lineRule="exact"/>
              <w:jc w:val="center"/>
              <w:rPr>
                <w:rFonts w:ascii="仿宋" w:hAnsi="仿宋" w:cs="仿宋"/>
                <w:b/>
              </w:rPr>
            </w:pPr>
            <w:r>
              <w:rPr>
                <w:rFonts w:hint="eastAsia" w:ascii="仿宋" w:hAnsi="仿宋" w:cs="仿宋"/>
                <w:b/>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0B9FFBA7">
            <w:pPr>
              <w:spacing w:line="400" w:lineRule="exact"/>
              <w:jc w:val="center"/>
              <w:rPr>
                <w:rFonts w:ascii="仿宋" w:hAnsi="仿宋" w:cs="仿宋"/>
                <w:b/>
              </w:rPr>
            </w:pPr>
            <w:r>
              <w:rPr>
                <w:rFonts w:hint="eastAsia" w:ascii="仿宋" w:hAnsi="仿宋" w:cs="仿宋"/>
                <w:b/>
              </w:rPr>
              <w:t>备注</w:t>
            </w:r>
          </w:p>
        </w:tc>
      </w:tr>
      <w:tr w14:paraId="248EC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C9EAE5">
            <w:pPr>
              <w:spacing w:line="400" w:lineRule="exact"/>
              <w:jc w:val="center"/>
              <w:rPr>
                <w:rFonts w:ascii="仿宋" w:hAnsi="仿宋" w:cs="仿宋"/>
              </w:rPr>
            </w:pPr>
            <w:r>
              <w:rPr>
                <w:rFonts w:hint="eastAsia" w:ascii="仿宋" w:hAnsi="仿宋" w:cs="仿宋"/>
              </w:rPr>
              <w:t>1</w:t>
            </w:r>
          </w:p>
        </w:tc>
        <w:tc>
          <w:tcPr>
            <w:tcW w:w="1369" w:type="dxa"/>
            <w:tcBorders>
              <w:top w:val="single" w:color="auto" w:sz="4" w:space="0"/>
              <w:left w:val="single" w:color="auto" w:sz="4" w:space="0"/>
              <w:bottom w:val="single" w:color="auto" w:sz="4" w:space="0"/>
              <w:right w:val="single" w:color="auto" w:sz="4" w:space="0"/>
            </w:tcBorders>
            <w:vAlign w:val="center"/>
          </w:tcPr>
          <w:p w14:paraId="65651DF4">
            <w:pPr>
              <w:spacing w:line="400" w:lineRule="exact"/>
              <w:jc w:val="center"/>
              <w:rPr>
                <w:rFonts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14:paraId="350BAEB3">
            <w:pPr>
              <w:spacing w:line="400" w:lineRule="exact"/>
              <w:jc w:val="center"/>
              <w:rPr>
                <w:rFonts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14:paraId="7BB46675">
            <w:pPr>
              <w:spacing w:line="400" w:lineRule="exact"/>
              <w:jc w:val="center"/>
              <w:rPr>
                <w:rFonts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14:paraId="2F4BCB6E">
            <w:pPr>
              <w:spacing w:line="400" w:lineRule="exact"/>
              <w:jc w:val="center"/>
              <w:rPr>
                <w:rFonts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14:paraId="01B08285">
            <w:pPr>
              <w:spacing w:line="400" w:lineRule="exact"/>
              <w:jc w:val="center"/>
              <w:rPr>
                <w:rFonts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14:paraId="27624700">
            <w:pPr>
              <w:spacing w:line="400" w:lineRule="exact"/>
              <w:jc w:val="center"/>
              <w:rPr>
                <w:rFonts w:ascii="仿宋" w:hAnsi="仿宋" w:cs="仿宋"/>
              </w:rPr>
            </w:pPr>
          </w:p>
        </w:tc>
      </w:tr>
      <w:tr w14:paraId="7A740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3E20F56">
            <w:pPr>
              <w:spacing w:line="400" w:lineRule="exact"/>
              <w:jc w:val="center"/>
              <w:rPr>
                <w:rFonts w:ascii="仿宋" w:hAnsi="仿宋" w:cs="仿宋"/>
              </w:rPr>
            </w:pPr>
            <w:r>
              <w:rPr>
                <w:rFonts w:hint="eastAsia" w:ascii="仿宋" w:hAnsi="仿宋" w:cs="仿宋"/>
              </w:rPr>
              <w:t>2</w:t>
            </w:r>
          </w:p>
        </w:tc>
        <w:tc>
          <w:tcPr>
            <w:tcW w:w="1369" w:type="dxa"/>
            <w:tcBorders>
              <w:top w:val="single" w:color="auto" w:sz="4" w:space="0"/>
              <w:left w:val="single" w:color="auto" w:sz="4" w:space="0"/>
              <w:bottom w:val="single" w:color="auto" w:sz="4" w:space="0"/>
              <w:right w:val="single" w:color="auto" w:sz="4" w:space="0"/>
            </w:tcBorders>
            <w:vAlign w:val="center"/>
          </w:tcPr>
          <w:p w14:paraId="5015D3CA">
            <w:pPr>
              <w:spacing w:line="400" w:lineRule="exact"/>
              <w:jc w:val="center"/>
              <w:rPr>
                <w:rFonts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14:paraId="59695D1E">
            <w:pPr>
              <w:spacing w:line="400" w:lineRule="exact"/>
              <w:jc w:val="center"/>
              <w:rPr>
                <w:rFonts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14:paraId="35970508">
            <w:pPr>
              <w:spacing w:line="400" w:lineRule="exact"/>
              <w:jc w:val="center"/>
              <w:rPr>
                <w:rFonts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14:paraId="4480CDEB">
            <w:pPr>
              <w:spacing w:line="400" w:lineRule="exact"/>
              <w:jc w:val="center"/>
              <w:rPr>
                <w:rFonts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14:paraId="13D9BA1B">
            <w:pPr>
              <w:spacing w:line="400" w:lineRule="exact"/>
              <w:jc w:val="center"/>
              <w:rPr>
                <w:rFonts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14:paraId="5D3B3F03">
            <w:pPr>
              <w:spacing w:line="400" w:lineRule="exact"/>
              <w:jc w:val="center"/>
              <w:rPr>
                <w:rFonts w:ascii="仿宋" w:hAnsi="仿宋" w:cs="仿宋"/>
              </w:rPr>
            </w:pPr>
          </w:p>
        </w:tc>
      </w:tr>
      <w:tr w14:paraId="232CE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722CA5">
            <w:pPr>
              <w:spacing w:line="400" w:lineRule="exact"/>
              <w:jc w:val="center"/>
              <w:rPr>
                <w:rFonts w:ascii="仿宋" w:hAnsi="仿宋" w:cs="仿宋"/>
              </w:rPr>
            </w:pPr>
            <w:r>
              <w:rPr>
                <w:rFonts w:hint="eastAsia" w:ascii="仿宋" w:hAnsi="仿宋" w:cs="仿宋"/>
              </w:rPr>
              <w:t>……</w:t>
            </w:r>
          </w:p>
        </w:tc>
        <w:tc>
          <w:tcPr>
            <w:tcW w:w="1369" w:type="dxa"/>
            <w:tcBorders>
              <w:top w:val="single" w:color="auto" w:sz="4" w:space="0"/>
              <w:left w:val="single" w:color="auto" w:sz="4" w:space="0"/>
              <w:bottom w:val="single" w:color="auto" w:sz="4" w:space="0"/>
              <w:right w:val="single" w:color="auto" w:sz="4" w:space="0"/>
            </w:tcBorders>
            <w:vAlign w:val="center"/>
          </w:tcPr>
          <w:p w14:paraId="71F73657">
            <w:pPr>
              <w:spacing w:line="400" w:lineRule="exact"/>
              <w:jc w:val="center"/>
              <w:rPr>
                <w:rFonts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14:paraId="74E7681C">
            <w:pPr>
              <w:spacing w:line="400" w:lineRule="exact"/>
              <w:jc w:val="center"/>
              <w:rPr>
                <w:rFonts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14:paraId="7FB2CFC7">
            <w:pPr>
              <w:spacing w:line="400" w:lineRule="exact"/>
              <w:jc w:val="center"/>
              <w:rPr>
                <w:rFonts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14:paraId="66B41B47">
            <w:pPr>
              <w:spacing w:line="400" w:lineRule="exact"/>
              <w:jc w:val="center"/>
              <w:rPr>
                <w:rFonts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14:paraId="7AF0F7FC">
            <w:pPr>
              <w:spacing w:line="400" w:lineRule="exact"/>
              <w:jc w:val="center"/>
              <w:rPr>
                <w:rFonts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14:paraId="411E02FC">
            <w:pPr>
              <w:spacing w:line="400" w:lineRule="exact"/>
              <w:jc w:val="center"/>
              <w:rPr>
                <w:rFonts w:ascii="仿宋" w:hAnsi="仿宋" w:cs="仿宋"/>
              </w:rPr>
            </w:pPr>
          </w:p>
        </w:tc>
      </w:tr>
    </w:tbl>
    <w:p w14:paraId="63D16804">
      <w:pPr>
        <w:spacing w:line="360" w:lineRule="auto"/>
        <w:ind w:right="420"/>
        <w:rPr>
          <w:rFonts w:ascii="仿宋" w:hAnsi="仿宋" w:cs="仿宋"/>
        </w:rPr>
      </w:pPr>
      <w:r>
        <w:rPr>
          <w:rFonts w:hint="eastAsia" w:ascii="仿宋" w:hAnsi="仿宋" w:cs="仿宋"/>
        </w:rPr>
        <w:t>注：按本格式和要求提供。</w:t>
      </w:r>
    </w:p>
    <w:p w14:paraId="2A1668D6">
      <w:pPr>
        <w:rPr>
          <w:rFonts w:ascii="仿宋" w:hAnsi="仿宋" w:cs="仿宋"/>
        </w:rPr>
      </w:pPr>
    </w:p>
    <w:p w14:paraId="5AED2F35">
      <w:pPr>
        <w:rPr>
          <w:rFonts w:ascii="仿宋" w:hAnsi="仿宋" w:cs="仿宋"/>
        </w:rPr>
      </w:pPr>
    </w:p>
    <w:p w14:paraId="4018DD49">
      <w:pPr>
        <w:rPr>
          <w:rFonts w:ascii="仿宋" w:hAnsi="仿宋" w:cs="仿宋"/>
        </w:rPr>
      </w:pPr>
    </w:p>
    <w:p w14:paraId="37462218">
      <w:pPr>
        <w:spacing w:line="360" w:lineRule="auto"/>
        <w:jc w:val="center"/>
        <w:outlineLvl w:val="1"/>
        <w:rPr>
          <w:rFonts w:ascii="仿宋" w:hAnsi="仿宋" w:cs="仿宋"/>
          <w:b/>
          <w:color w:val="000000"/>
          <w:kern w:val="0"/>
          <w:sz w:val="32"/>
          <w:szCs w:val="32"/>
          <w:lang w:val="zh-CN"/>
        </w:rPr>
      </w:pPr>
      <w:r>
        <w:rPr>
          <w:rFonts w:hint="eastAsia" w:ascii="仿宋" w:hAnsi="仿宋" w:cs="仿宋"/>
          <w:b/>
          <w:color w:val="000000"/>
          <w:kern w:val="0"/>
          <w:sz w:val="32"/>
          <w:szCs w:val="32"/>
        </w:rPr>
        <w:t>七、</w:t>
      </w:r>
      <w:r>
        <w:rPr>
          <w:rFonts w:hint="eastAsia" w:ascii="仿宋" w:hAnsi="仿宋" w:cs="仿宋"/>
          <w:b/>
          <w:color w:val="000000"/>
          <w:kern w:val="0"/>
          <w:sz w:val="32"/>
          <w:szCs w:val="32"/>
          <w:lang w:val="zh-CN"/>
        </w:rPr>
        <w:t>技术响应表</w:t>
      </w:r>
    </w:p>
    <w:tbl>
      <w:tblPr>
        <w:tblStyle w:val="6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2"/>
        <w:gridCol w:w="2678"/>
        <w:gridCol w:w="2523"/>
        <w:gridCol w:w="2561"/>
      </w:tblGrid>
      <w:tr w14:paraId="406381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32" w:type="dxa"/>
            <w:tcBorders>
              <w:top w:val="single" w:color="auto" w:sz="4" w:space="0"/>
              <w:bottom w:val="single" w:color="auto" w:sz="4" w:space="0"/>
              <w:right w:val="single" w:color="auto" w:sz="4" w:space="0"/>
            </w:tcBorders>
            <w:vAlign w:val="center"/>
          </w:tcPr>
          <w:p w14:paraId="552722D7">
            <w:pPr>
              <w:spacing w:line="400" w:lineRule="exact"/>
              <w:jc w:val="center"/>
              <w:rPr>
                <w:rFonts w:ascii="仿宋" w:hAnsi="仿宋" w:cs="仿宋"/>
                <w:b/>
                <w:color w:val="000000"/>
              </w:rPr>
            </w:pPr>
            <w:r>
              <w:rPr>
                <w:rFonts w:hint="eastAsia" w:ascii="仿宋" w:hAnsi="仿宋" w:cs="仿宋"/>
                <w:b/>
                <w:color w:val="000000"/>
              </w:rPr>
              <w:t>序号</w:t>
            </w:r>
          </w:p>
        </w:tc>
        <w:tc>
          <w:tcPr>
            <w:tcW w:w="2678" w:type="dxa"/>
            <w:tcBorders>
              <w:top w:val="single" w:color="auto" w:sz="4" w:space="0"/>
              <w:left w:val="single" w:color="auto" w:sz="4" w:space="0"/>
              <w:bottom w:val="single" w:color="auto" w:sz="4" w:space="0"/>
              <w:right w:val="single" w:color="auto" w:sz="4" w:space="0"/>
            </w:tcBorders>
            <w:vAlign w:val="center"/>
          </w:tcPr>
          <w:p w14:paraId="1B1CE60E">
            <w:pPr>
              <w:spacing w:line="400" w:lineRule="exact"/>
              <w:jc w:val="center"/>
              <w:rPr>
                <w:rFonts w:ascii="仿宋" w:hAnsi="仿宋" w:cs="仿宋"/>
                <w:b/>
                <w:color w:val="000000"/>
              </w:rPr>
            </w:pPr>
            <w:r>
              <w:rPr>
                <w:rFonts w:hint="eastAsia" w:ascii="仿宋" w:hAnsi="仿宋" w:cs="仿宋"/>
                <w:b/>
                <w:color w:val="000000"/>
              </w:rPr>
              <w:t>采购文件技术要求</w:t>
            </w:r>
          </w:p>
        </w:tc>
        <w:tc>
          <w:tcPr>
            <w:tcW w:w="2523" w:type="dxa"/>
            <w:tcBorders>
              <w:top w:val="single" w:color="auto" w:sz="4" w:space="0"/>
              <w:left w:val="single" w:color="auto" w:sz="4" w:space="0"/>
              <w:bottom w:val="nil"/>
              <w:right w:val="single" w:color="auto" w:sz="4" w:space="0"/>
            </w:tcBorders>
            <w:vAlign w:val="center"/>
          </w:tcPr>
          <w:p w14:paraId="51B35627">
            <w:pPr>
              <w:spacing w:line="400" w:lineRule="exact"/>
              <w:jc w:val="center"/>
              <w:rPr>
                <w:rFonts w:ascii="仿宋" w:hAnsi="仿宋" w:cs="仿宋"/>
                <w:b/>
                <w:color w:val="000000"/>
              </w:rPr>
            </w:pPr>
            <w:r>
              <w:rPr>
                <w:rFonts w:hint="eastAsia" w:ascii="仿宋" w:hAnsi="仿宋" w:cs="仿宋"/>
                <w:b/>
                <w:color w:val="000000"/>
              </w:rPr>
              <w:t>投标响应技术参数</w:t>
            </w:r>
          </w:p>
        </w:tc>
        <w:tc>
          <w:tcPr>
            <w:tcW w:w="2561" w:type="dxa"/>
            <w:tcBorders>
              <w:top w:val="single" w:color="auto" w:sz="4" w:space="0"/>
              <w:left w:val="single" w:color="auto" w:sz="4" w:space="0"/>
              <w:bottom w:val="nil"/>
            </w:tcBorders>
            <w:vAlign w:val="center"/>
          </w:tcPr>
          <w:p w14:paraId="6FA4BAAC">
            <w:pPr>
              <w:spacing w:line="400" w:lineRule="exact"/>
              <w:jc w:val="center"/>
              <w:rPr>
                <w:rFonts w:ascii="仿宋" w:hAnsi="仿宋" w:cs="仿宋"/>
                <w:b/>
                <w:color w:val="000000"/>
              </w:rPr>
            </w:pPr>
            <w:r>
              <w:rPr>
                <w:rFonts w:hint="eastAsia" w:ascii="仿宋" w:hAnsi="仿宋" w:cs="仿宋"/>
                <w:b/>
                <w:color w:val="000000"/>
              </w:rPr>
              <w:t>差异描述</w:t>
            </w:r>
          </w:p>
          <w:p w14:paraId="0AB708A5">
            <w:pPr>
              <w:spacing w:line="400" w:lineRule="exact"/>
              <w:jc w:val="center"/>
              <w:rPr>
                <w:rFonts w:ascii="仿宋" w:hAnsi="仿宋" w:cs="仿宋"/>
                <w:b/>
                <w:color w:val="000000"/>
              </w:rPr>
            </w:pPr>
            <w:r>
              <w:rPr>
                <w:rFonts w:hint="eastAsia" w:ascii="仿宋" w:hAnsi="仿宋" w:cs="仿宋"/>
                <w:b/>
                <w:color w:val="000000"/>
              </w:rPr>
              <w:t>（正偏离或者负偏离）</w:t>
            </w:r>
          </w:p>
        </w:tc>
      </w:tr>
      <w:tr w14:paraId="7ACA2E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832" w:type="dxa"/>
            <w:tcBorders>
              <w:top w:val="single" w:color="auto" w:sz="4" w:space="0"/>
              <w:bottom w:val="single" w:color="auto" w:sz="4" w:space="0"/>
              <w:right w:val="single" w:color="auto" w:sz="4" w:space="0"/>
            </w:tcBorders>
            <w:vAlign w:val="center"/>
          </w:tcPr>
          <w:p w14:paraId="2487B041">
            <w:pPr>
              <w:spacing w:line="400" w:lineRule="exact"/>
              <w:jc w:val="center"/>
              <w:rPr>
                <w:rFonts w:ascii="仿宋" w:hAnsi="仿宋" w:cs="仿宋"/>
                <w:color w:val="000000"/>
              </w:rPr>
            </w:pPr>
            <w:r>
              <w:rPr>
                <w:rFonts w:hint="eastAsia" w:ascii="仿宋" w:hAnsi="仿宋" w:cs="仿宋"/>
                <w:color w:val="000000"/>
              </w:rPr>
              <w:t>1</w:t>
            </w:r>
          </w:p>
        </w:tc>
        <w:tc>
          <w:tcPr>
            <w:tcW w:w="2678" w:type="dxa"/>
            <w:tcBorders>
              <w:top w:val="single" w:color="auto" w:sz="4" w:space="0"/>
              <w:left w:val="single" w:color="auto" w:sz="4" w:space="0"/>
              <w:bottom w:val="single" w:color="auto" w:sz="4" w:space="0"/>
              <w:right w:val="single" w:color="auto" w:sz="4" w:space="0"/>
            </w:tcBorders>
            <w:vAlign w:val="center"/>
          </w:tcPr>
          <w:p w14:paraId="56244384">
            <w:pPr>
              <w:spacing w:line="400" w:lineRule="exact"/>
              <w:jc w:val="center"/>
              <w:rPr>
                <w:rFonts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14:paraId="11FB3D1F">
            <w:pPr>
              <w:spacing w:line="400" w:lineRule="exact"/>
              <w:jc w:val="center"/>
              <w:rPr>
                <w:rFonts w:ascii="仿宋" w:hAnsi="仿宋" w:cs="仿宋"/>
                <w:color w:val="000000"/>
              </w:rPr>
            </w:pPr>
          </w:p>
        </w:tc>
        <w:tc>
          <w:tcPr>
            <w:tcW w:w="2561" w:type="dxa"/>
            <w:tcBorders>
              <w:top w:val="single" w:color="auto" w:sz="4" w:space="0"/>
              <w:left w:val="single" w:color="auto" w:sz="4" w:space="0"/>
              <w:bottom w:val="single" w:color="auto" w:sz="4" w:space="0"/>
            </w:tcBorders>
            <w:vAlign w:val="center"/>
          </w:tcPr>
          <w:p w14:paraId="3F94B0FF">
            <w:pPr>
              <w:spacing w:line="400" w:lineRule="exact"/>
              <w:jc w:val="center"/>
              <w:rPr>
                <w:rFonts w:ascii="仿宋" w:hAnsi="仿宋" w:cs="仿宋"/>
                <w:color w:val="000000"/>
              </w:rPr>
            </w:pPr>
          </w:p>
        </w:tc>
      </w:tr>
      <w:tr w14:paraId="4D11E6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832" w:type="dxa"/>
            <w:tcBorders>
              <w:top w:val="single" w:color="auto" w:sz="4" w:space="0"/>
              <w:bottom w:val="single" w:color="auto" w:sz="4" w:space="0"/>
              <w:right w:val="single" w:color="auto" w:sz="4" w:space="0"/>
            </w:tcBorders>
            <w:vAlign w:val="center"/>
          </w:tcPr>
          <w:p w14:paraId="5B1C08DC">
            <w:pPr>
              <w:spacing w:line="400" w:lineRule="exact"/>
              <w:jc w:val="center"/>
              <w:rPr>
                <w:rFonts w:ascii="仿宋" w:hAnsi="仿宋" w:cs="仿宋"/>
                <w:color w:val="000000"/>
              </w:rPr>
            </w:pPr>
            <w:r>
              <w:rPr>
                <w:rFonts w:hint="eastAsia" w:ascii="仿宋" w:hAnsi="仿宋" w:cs="仿宋"/>
                <w:color w:val="000000"/>
              </w:rPr>
              <w:t>2</w:t>
            </w:r>
          </w:p>
        </w:tc>
        <w:tc>
          <w:tcPr>
            <w:tcW w:w="2678" w:type="dxa"/>
            <w:tcBorders>
              <w:top w:val="single" w:color="auto" w:sz="4" w:space="0"/>
              <w:left w:val="single" w:color="auto" w:sz="4" w:space="0"/>
              <w:bottom w:val="single" w:color="auto" w:sz="4" w:space="0"/>
              <w:right w:val="single" w:color="auto" w:sz="4" w:space="0"/>
            </w:tcBorders>
            <w:vAlign w:val="center"/>
          </w:tcPr>
          <w:p w14:paraId="4E83CAC2">
            <w:pPr>
              <w:spacing w:line="400" w:lineRule="exact"/>
              <w:jc w:val="center"/>
              <w:rPr>
                <w:rFonts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14:paraId="75E6EC17">
            <w:pPr>
              <w:spacing w:line="400" w:lineRule="exact"/>
              <w:jc w:val="center"/>
              <w:rPr>
                <w:rFonts w:ascii="仿宋" w:hAnsi="仿宋" w:cs="仿宋"/>
                <w:color w:val="000000"/>
              </w:rPr>
            </w:pPr>
          </w:p>
        </w:tc>
        <w:tc>
          <w:tcPr>
            <w:tcW w:w="2561" w:type="dxa"/>
            <w:tcBorders>
              <w:top w:val="single" w:color="auto" w:sz="4" w:space="0"/>
              <w:left w:val="single" w:color="auto" w:sz="4" w:space="0"/>
              <w:bottom w:val="single" w:color="auto" w:sz="4" w:space="0"/>
            </w:tcBorders>
            <w:vAlign w:val="center"/>
          </w:tcPr>
          <w:p w14:paraId="2B47F675">
            <w:pPr>
              <w:spacing w:line="400" w:lineRule="exact"/>
              <w:jc w:val="center"/>
              <w:rPr>
                <w:rFonts w:ascii="仿宋" w:hAnsi="仿宋" w:cs="仿宋"/>
                <w:color w:val="000000"/>
              </w:rPr>
            </w:pPr>
          </w:p>
        </w:tc>
      </w:tr>
      <w:tr w14:paraId="00FB12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0" w:hRule="atLeast"/>
        </w:trPr>
        <w:tc>
          <w:tcPr>
            <w:tcW w:w="832" w:type="dxa"/>
            <w:tcBorders>
              <w:top w:val="single" w:color="auto" w:sz="4" w:space="0"/>
              <w:bottom w:val="single" w:color="auto" w:sz="4" w:space="0"/>
              <w:right w:val="single" w:color="auto" w:sz="4" w:space="0"/>
            </w:tcBorders>
            <w:vAlign w:val="center"/>
          </w:tcPr>
          <w:p w14:paraId="0CF6EE16">
            <w:pPr>
              <w:spacing w:line="400" w:lineRule="exact"/>
              <w:jc w:val="center"/>
              <w:rPr>
                <w:rFonts w:ascii="仿宋" w:hAnsi="仿宋" w:cs="仿宋"/>
                <w:color w:val="000000"/>
              </w:rPr>
            </w:pPr>
            <w:r>
              <w:rPr>
                <w:rFonts w:hint="eastAsia" w:ascii="仿宋" w:hAnsi="仿宋" w:cs="仿宋"/>
                <w:color w:val="000000"/>
              </w:rPr>
              <w:t>3</w:t>
            </w:r>
          </w:p>
        </w:tc>
        <w:tc>
          <w:tcPr>
            <w:tcW w:w="2678" w:type="dxa"/>
            <w:tcBorders>
              <w:top w:val="single" w:color="auto" w:sz="4" w:space="0"/>
              <w:left w:val="single" w:color="auto" w:sz="4" w:space="0"/>
              <w:bottom w:val="single" w:color="auto" w:sz="4" w:space="0"/>
              <w:right w:val="single" w:color="auto" w:sz="4" w:space="0"/>
            </w:tcBorders>
            <w:vAlign w:val="center"/>
          </w:tcPr>
          <w:p w14:paraId="4356067C">
            <w:pPr>
              <w:spacing w:line="400" w:lineRule="exact"/>
              <w:jc w:val="center"/>
              <w:rPr>
                <w:rFonts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14:paraId="230C69E1">
            <w:pPr>
              <w:spacing w:line="400" w:lineRule="exact"/>
              <w:jc w:val="center"/>
              <w:rPr>
                <w:rFonts w:ascii="仿宋" w:hAnsi="仿宋" w:cs="仿宋"/>
                <w:color w:val="000000"/>
              </w:rPr>
            </w:pPr>
          </w:p>
        </w:tc>
        <w:tc>
          <w:tcPr>
            <w:tcW w:w="2561" w:type="dxa"/>
            <w:tcBorders>
              <w:top w:val="single" w:color="auto" w:sz="4" w:space="0"/>
              <w:left w:val="single" w:color="auto" w:sz="4" w:space="0"/>
              <w:bottom w:val="single" w:color="auto" w:sz="4" w:space="0"/>
            </w:tcBorders>
            <w:vAlign w:val="center"/>
          </w:tcPr>
          <w:p w14:paraId="4A4A533F">
            <w:pPr>
              <w:spacing w:line="400" w:lineRule="exact"/>
              <w:jc w:val="center"/>
              <w:rPr>
                <w:rFonts w:ascii="仿宋" w:hAnsi="仿宋" w:cs="仿宋"/>
                <w:color w:val="000000"/>
              </w:rPr>
            </w:pPr>
          </w:p>
        </w:tc>
      </w:tr>
      <w:tr w14:paraId="5E51B9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 w:hRule="atLeast"/>
        </w:trPr>
        <w:tc>
          <w:tcPr>
            <w:tcW w:w="832" w:type="dxa"/>
            <w:tcBorders>
              <w:top w:val="single" w:color="auto" w:sz="4" w:space="0"/>
              <w:bottom w:val="single" w:color="auto" w:sz="4" w:space="0"/>
              <w:right w:val="single" w:color="auto" w:sz="4" w:space="0"/>
            </w:tcBorders>
            <w:vAlign w:val="center"/>
          </w:tcPr>
          <w:p w14:paraId="03FD8352">
            <w:pPr>
              <w:spacing w:line="400" w:lineRule="exact"/>
              <w:jc w:val="center"/>
              <w:rPr>
                <w:rFonts w:ascii="仿宋" w:hAnsi="仿宋" w:cs="仿宋"/>
                <w:color w:val="000000"/>
              </w:rPr>
            </w:pPr>
            <w:r>
              <w:rPr>
                <w:rFonts w:hint="eastAsia" w:ascii="仿宋" w:hAnsi="仿宋" w:cs="仿宋"/>
                <w:color w:val="000000"/>
              </w:rPr>
              <w:t>……</w:t>
            </w:r>
          </w:p>
        </w:tc>
        <w:tc>
          <w:tcPr>
            <w:tcW w:w="2678" w:type="dxa"/>
            <w:tcBorders>
              <w:top w:val="single" w:color="auto" w:sz="4" w:space="0"/>
              <w:left w:val="single" w:color="auto" w:sz="4" w:space="0"/>
              <w:bottom w:val="single" w:color="auto" w:sz="4" w:space="0"/>
              <w:right w:val="single" w:color="auto" w:sz="4" w:space="0"/>
            </w:tcBorders>
            <w:vAlign w:val="center"/>
          </w:tcPr>
          <w:p w14:paraId="6FE1CA57">
            <w:pPr>
              <w:spacing w:line="400" w:lineRule="exact"/>
              <w:jc w:val="center"/>
              <w:rPr>
                <w:rFonts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14:paraId="14B7F86E">
            <w:pPr>
              <w:spacing w:line="400" w:lineRule="exact"/>
              <w:jc w:val="center"/>
              <w:rPr>
                <w:rFonts w:ascii="仿宋" w:hAnsi="仿宋" w:cs="仿宋"/>
                <w:color w:val="000000"/>
              </w:rPr>
            </w:pPr>
          </w:p>
        </w:tc>
        <w:tc>
          <w:tcPr>
            <w:tcW w:w="2561" w:type="dxa"/>
            <w:tcBorders>
              <w:top w:val="single" w:color="auto" w:sz="4" w:space="0"/>
              <w:left w:val="single" w:color="auto" w:sz="4" w:space="0"/>
              <w:bottom w:val="single" w:color="auto" w:sz="4" w:space="0"/>
            </w:tcBorders>
            <w:vAlign w:val="center"/>
          </w:tcPr>
          <w:p w14:paraId="74BE1285">
            <w:pPr>
              <w:spacing w:line="400" w:lineRule="exact"/>
              <w:jc w:val="center"/>
              <w:rPr>
                <w:rFonts w:ascii="仿宋" w:hAnsi="仿宋" w:cs="仿宋"/>
                <w:color w:val="000000"/>
              </w:rPr>
            </w:pPr>
          </w:p>
        </w:tc>
      </w:tr>
    </w:tbl>
    <w:p w14:paraId="22AC6A7E">
      <w:pPr>
        <w:spacing w:line="360" w:lineRule="auto"/>
        <w:ind w:right="420"/>
        <w:rPr>
          <w:rFonts w:ascii="仿宋" w:hAnsi="仿宋" w:cs="仿宋"/>
          <w:color w:val="000000"/>
        </w:rPr>
      </w:pPr>
      <w:r>
        <w:rPr>
          <w:rFonts w:hint="eastAsia" w:ascii="仿宋" w:hAnsi="仿宋" w:cs="仿宋"/>
          <w:color w:val="000000"/>
        </w:rPr>
        <w:t>注：</w:t>
      </w:r>
    </w:p>
    <w:p w14:paraId="19615126">
      <w:pPr>
        <w:numPr>
          <w:ilvl w:val="0"/>
          <w:numId w:val="12"/>
        </w:numPr>
        <w:spacing w:line="360" w:lineRule="auto"/>
        <w:ind w:right="420"/>
        <w:rPr>
          <w:rFonts w:ascii="仿宋" w:hAnsi="仿宋" w:cs="仿宋"/>
          <w:color w:val="000000"/>
          <w:highlight w:val="yellow"/>
        </w:rPr>
      </w:pPr>
      <w:r>
        <w:rPr>
          <w:rFonts w:hint="eastAsia" w:ascii="仿宋" w:hAnsi="仿宋" w:cs="仿宋"/>
          <w:color w:val="000000"/>
          <w:highlight w:val="yellow"/>
        </w:rPr>
        <w:t>供应商应针对采购文件“第三部分 采购需求”“二、主要技术指标”“四、配置清单”的要求，在以上表格中对采购文件技术要求一一作出响应。</w:t>
      </w:r>
    </w:p>
    <w:p w14:paraId="5C8E3F16">
      <w:pPr>
        <w:numPr>
          <w:ilvl w:val="0"/>
          <w:numId w:val="12"/>
        </w:numPr>
        <w:spacing w:line="360" w:lineRule="auto"/>
        <w:ind w:right="420"/>
        <w:rPr>
          <w:rFonts w:ascii="仿宋" w:hAnsi="仿宋" w:cs="仿宋"/>
          <w:color w:val="000000"/>
          <w:highlight w:val="yellow"/>
        </w:rPr>
      </w:pPr>
      <w:r>
        <w:rPr>
          <w:rFonts w:hint="eastAsia" w:ascii="仿宋" w:hAnsi="仿宋" w:cs="仿宋"/>
          <w:color w:val="000000"/>
          <w:highlight w:val="yellow"/>
        </w:rPr>
        <w:t>本招标文件中打▲的条款为关键性指标，必须满足采购要求，不满足的将导致投标无效。打★的条款为重要指标，允许不满足，但在技术评分时会重点扣分。</w:t>
      </w:r>
    </w:p>
    <w:p w14:paraId="49723FC9">
      <w:pPr>
        <w:rPr>
          <w:rFonts w:ascii="仿宋" w:hAnsi="仿宋" w:cs="仿宋"/>
        </w:rPr>
      </w:pPr>
    </w:p>
    <w:p w14:paraId="26D66CD8">
      <w:pPr>
        <w:rPr>
          <w:rFonts w:ascii="仿宋" w:hAnsi="仿宋" w:cs="仿宋"/>
        </w:rPr>
      </w:pPr>
    </w:p>
    <w:p w14:paraId="3C72C1D3">
      <w:pPr>
        <w:rPr>
          <w:rFonts w:ascii="仿宋" w:hAnsi="仿宋" w:cs="仿宋"/>
        </w:rPr>
      </w:pPr>
    </w:p>
    <w:p w14:paraId="39A1DED3">
      <w:pPr>
        <w:rPr>
          <w:rFonts w:ascii="仿宋" w:hAnsi="仿宋" w:cs="仿宋"/>
        </w:rPr>
      </w:pPr>
    </w:p>
    <w:p w14:paraId="02DB9862">
      <w:pPr>
        <w:rPr>
          <w:rFonts w:ascii="仿宋" w:hAnsi="仿宋" w:cs="仿宋"/>
        </w:rPr>
      </w:pPr>
    </w:p>
    <w:p w14:paraId="213F2BFF">
      <w:pPr>
        <w:rPr>
          <w:rFonts w:ascii="仿宋" w:hAnsi="仿宋" w:cs="仿宋"/>
        </w:rPr>
      </w:pPr>
    </w:p>
    <w:p w14:paraId="37EECBC4">
      <w:pPr>
        <w:rPr>
          <w:rFonts w:ascii="仿宋" w:hAnsi="仿宋" w:cs="仿宋"/>
          <w:b/>
          <w:kern w:val="0"/>
          <w:sz w:val="32"/>
          <w:szCs w:val="32"/>
        </w:rPr>
      </w:pPr>
      <w:r>
        <w:rPr>
          <w:rFonts w:hint="eastAsia" w:ascii="仿宋" w:hAnsi="仿宋" w:cs="仿宋"/>
          <w:b/>
          <w:kern w:val="0"/>
          <w:sz w:val="32"/>
          <w:szCs w:val="32"/>
        </w:rPr>
        <w:br w:type="page"/>
      </w:r>
    </w:p>
    <w:p w14:paraId="02F4FFB8">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rPr>
        <w:t>八</w:t>
      </w:r>
      <w:r>
        <w:rPr>
          <w:rFonts w:hint="eastAsia" w:ascii="仿宋" w:hAnsi="仿宋" w:cs="仿宋"/>
          <w:b/>
          <w:kern w:val="0"/>
          <w:sz w:val="32"/>
          <w:szCs w:val="32"/>
          <w:lang w:val="zh-CN"/>
        </w:rPr>
        <w:t>、商务技术偏离表</w:t>
      </w:r>
    </w:p>
    <w:p w14:paraId="058B8F33">
      <w:pPr>
        <w:jc w:val="center"/>
        <w:rPr>
          <w:rFonts w:ascii="仿宋" w:hAnsi="仿宋" w:cs="仿宋"/>
          <w:b/>
          <w:bCs/>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A109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01AC670F">
            <w:pPr>
              <w:spacing w:line="400" w:lineRule="exact"/>
              <w:jc w:val="center"/>
              <w:rPr>
                <w:rFonts w:ascii="仿宋" w:hAnsi="仿宋" w:cs="仿宋"/>
                <w:b/>
                <w:bCs/>
              </w:rPr>
            </w:pPr>
            <w:r>
              <w:rPr>
                <w:rFonts w:hint="eastAsia" w:ascii="仿宋" w:hAnsi="仿宋" w:cs="仿宋"/>
                <w:b/>
                <w:bCs/>
              </w:rPr>
              <w:t>序号</w:t>
            </w:r>
          </w:p>
        </w:tc>
        <w:tc>
          <w:tcPr>
            <w:tcW w:w="3683" w:type="dxa"/>
            <w:vAlign w:val="center"/>
          </w:tcPr>
          <w:p w14:paraId="71BEA988">
            <w:pPr>
              <w:spacing w:line="400" w:lineRule="exact"/>
              <w:jc w:val="center"/>
              <w:rPr>
                <w:rFonts w:ascii="仿宋" w:hAnsi="仿宋" w:cs="仿宋"/>
                <w:b/>
                <w:bCs/>
              </w:rPr>
            </w:pPr>
            <w:r>
              <w:rPr>
                <w:rFonts w:hint="eastAsia" w:ascii="仿宋" w:hAnsi="仿宋" w:cs="仿宋"/>
                <w:b/>
                <w:bCs/>
              </w:rPr>
              <w:t>招标文件章节及具体内容</w:t>
            </w:r>
          </w:p>
        </w:tc>
        <w:tc>
          <w:tcPr>
            <w:tcW w:w="3546" w:type="dxa"/>
            <w:vAlign w:val="center"/>
          </w:tcPr>
          <w:p w14:paraId="1A83C4C4">
            <w:pPr>
              <w:spacing w:line="400" w:lineRule="exact"/>
              <w:jc w:val="center"/>
              <w:rPr>
                <w:rFonts w:ascii="仿宋" w:hAnsi="仿宋" w:cs="仿宋"/>
                <w:b/>
                <w:bCs/>
              </w:rPr>
            </w:pPr>
            <w:r>
              <w:rPr>
                <w:rFonts w:hint="eastAsia" w:ascii="仿宋" w:hAnsi="仿宋" w:cs="仿宋"/>
                <w:b/>
                <w:bCs/>
              </w:rPr>
              <w:t>投标文件章节及具体内容</w:t>
            </w:r>
          </w:p>
        </w:tc>
        <w:tc>
          <w:tcPr>
            <w:tcW w:w="1276" w:type="dxa"/>
            <w:vAlign w:val="center"/>
          </w:tcPr>
          <w:p w14:paraId="137A8F99">
            <w:pPr>
              <w:spacing w:line="400" w:lineRule="exact"/>
              <w:jc w:val="center"/>
              <w:rPr>
                <w:rFonts w:ascii="仿宋" w:hAnsi="仿宋" w:cs="仿宋"/>
                <w:b/>
                <w:bCs/>
              </w:rPr>
            </w:pPr>
            <w:r>
              <w:rPr>
                <w:rFonts w:hint="eastAsia" w:ascii="仿宋" w:hAnsi="仿宋" w:cs="仿宋"/>
                <w:b/>
                <w:bCs/>
              </w:rPr>
              <w:t>偏离说明</w:t>
            </w:r>
          </w:p>
        </w:tc>
      </w:tr>
      <w:tr w14:paraId="71975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0BCB9C06">
            <w:pPr>
              <w:spacing w:line="400" w:lineRule="exact"/>
              <w:jc w:val="center"/>
              <w:rPr>
                <w:rFonts w:ascii="仿宋" w:hAnsi="仿宋" w:cs="仿宋"/>
                <w:kern w:val="0"/>
              </w:rPr>
            </w:pPr>
            <w:r>
              <w:rPr>
                <w:rFonts w:hint="eastAsia" w:ascii="仿宋" w:hAnsi="仿宋" w:cs="仿宋"/>
                <w:kern w:val="0"/>
              </w:rPr>
              <w:t>1</w:t>
            </w:r>
          </w:p>
        </w:tc>
        <w:tc>
          <w:tcPr>
            <w:tcW w:w="3683" w:type="dxa"/>
            <w:vAlign w:val="center"/>
          </w:tcPr>
          <w:p w14:paraId="606400FD">
            <w:pPr>
              <w:spacing w:line="400" w:lineRule="exact"/>
              <w:jc w:val="center"/>
              <w:rPr>
                <w:rFonts w:ascii="仿宋" w:hAnsi="仿宋" w:cs="仿宋"/>
                <w:b/>
                <w:kern w:val="0"/>
                <w:sz w:val="32"/>
                <w:szCs w:val="32"/>
              </w:rPr>
            </w:pPr>
          </w:p>
        </w:tc>
        <w:tc>
          <w:tcPr>
            <w:tcW w:w="3546" w:type="dxa"/>
            <w:vAlign w:val="center"/>
          </w:tcPr>
          <w:p w14:paraId="16A40D90">
            <w:pPr>
              <w:spacing w:line="400" w:lineRule="exact"/>
              <w:jc w:val="center"/>
              <w:rPr>
                <w:rFonts w:ascii="仿宋" w:hAnsi="仿宋" w:cs="仿宋"/>
                <w:b/>
                <w:kern w:val="0"/>
                <w:sz w:val="32"/>
                <w:szCs w:val="32"/>
              </w:rPr>
            </w:pPr>
          </w:p>
        </w:tc>
        <w:tc>
          <w:tcPr>
            <w:tcW w:w="1276" w:type="dxa"/>
            <w:vAlign w:val="center"/>
          </w:tcPr>
          <w:p w14:paraId="0DE2DE64">
            <w:pPr>
              <w:spacing w:line="400" w:lineRule="exact"/>
              <w:jc w:val="center"/>
              <w:rPr>
                <w:rFonts w:ascii="仿宋" w:hAnsi="仿宋" w:cs="仿宋"/>
                <w:b/>
                <w:kern w:val="0"/>
                <w:sz w:val="32"/>
                <w:szCs w:val="32"/>
              </w:rPr>
            </w:pPr>
          </w:p>
        </w:tc>
      </w:tr>
      <w:tr w14:paraId="3157A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63E2A88C">
            <w:pPr>
              <w:spacing w:line="400" w:lineRule="exact"/>
              <w:jc w:val="center"/>
              <w:rPr>
                <w:rFonts w:ascii="仿宋" w:hAnsi="仿宋" w:cs="仿宋"/>
                <w:kern w:val="0"/>
              </w:rPr>
            </w:pPr>
            <w:r>
              <w:rPr>
                <w:rFonts w:hint="eastAsia" w:ascii="仿宋" w:hAnsi="仿宋" w:cs="仿宋"/>
                <w:kern w:val="0"/>
              </w:rPr>
              <w:t>2</w:t>
            </w:r>
          </w:p>
        </w:tc>
        <w:tc>
          <w:tcPr>
            <w:tcW w:w="3683" w:type="dxa"/>
            <w:vAlign w:val="center"/>
          </w:tcPr>
          <w:p w14:paraId="09E436A7">
            <w:pPr>
              <w:spacing w:line="400" w:lineRule="exact"/>
              <w:jc w:val="center"/>
              <w:rPr>
                <w:rFonts w:ascii="仿宋" w:hAnsi="仿宋" w:cs="仿宋"/>
                <w:b/>
                <w:kern w:val="0"/>
                <w:sz w:val="32"/>
                <w:szCs w:val="32"/>
              </w:rPr>
            </w:pPr>
          </w:p>
        </w:tc>
        <w:tc>
          <w:tcPr>
            <w:tcW w:w="3546" w:type="dxa"/>
            <w:vAlign w:val="center"/>
          </w:tcPr>
          <w:p w14:paraId="6150F475">
            <w:pPr>
              <w:spacing w:line="400" w:lineRule="exact"/>
              <w:jc w:val="center"/>
              <w:rPr>
                <w:rFonts w:ascii="仿宋" w:hAnsi="仿宋" w:cs="仿宋"/>
                <w:b/>
                <w:kern w:val="0"/>
                <w:sz w:val="32"/>
                <w:szCs w:val="32"/>
              </w:rPr>
            </w:pPr>
          </w:p>
        </w:tc>
        <w:tc>
          <w:tcPr>
            <w:tcW w:w="1276" w:type="dxa"/>
            <w:vAlign w:val="center"/>
          </w:tcPr>
          <w:p w14:paraId="7E2DA4F4">
            <w:pPr>
              <w:spacing w:line="400" w:lineRule="exact"/>
              <w:jc w:val="center"/>
              <w:rPr>
                <w:rFonts w:ascii="仿宋" w:hAnsi="仿宋" w:cs="仿宋"/>
                <w:b/>
                <w:kern w:val="0"/>
                <w:sz w:val="32"/>
                <w:szCs w:val="32"/>
              </w:rPr>
            </w:pPr>
          </w:p>
        </w:tc>
      </w:tr>
      <w:tr w14:paraId="04237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23977646">
            <w:pPr>
              <w:spacing w:line="400" w:lineRule="exact"/>
              <w:jc w:val="center"/>
              <w:rPr>
                <w:rFonts w:ascii="仿宋" w:hAnsi="仿宋" w:cs="仿宋"/>
                <w:kern w:val="0"/>
              </w:rPr>
            </w:pPr>
            <w:r>
              <w:rPr>
                <w:rFonts w:hint="eastAsia" w:ascii="仿宋" w:hAnsi="仿宋" w:cs="仿宋"/>
                <w:kern w:val="0"/>
              </w:rPr>
              <w:t>……</w:t>
            </w:r>
          </w:p>
        </w:tc>
        <w:tc>
          <w:tcPr>
            <w:tcW w:w="3683" w:type="dxa"/>
            <w:vAlign w:val="center"/>
          </w:tcPr>
          <w:p w14:paraId="0140BC97">
            <w:pPr>
              <w:spacing w:line="400" w:lineRule="exact"/>
              <w:jc w:val="center"/>
              <w:rPr>
                <w:rFonts w:ascii="仿宋" w:hAnsi="仿宋" w:cs="仿宋"/>
                <w:b/>
                <w:kern w:val="0"/>
                <w:sz w:val="32"/>
                <w:szCs w:val="32"/>
              </w:rPr>
            </w:pPr>
          </w:p>
        </w:tc>
        <w:tc>
          <w:tcPr>
            <w:tcW w:w="3546" w:type="dxa"/>
            <w:vAlign w:val="center"/>
          </w:tcPr>
          <w:p w14:paraId="28F5C868">
            <w:pPr>
              <w:spacing w:line="400" w:lineRule="exact"/>
              <w:jc w:val="center"/>
              <w:rPr>
                <w:rFonts w:ascii="仿宋" w:hAnsi="仿宋" w:cs="仿宋"/>
                <w:b/>
                <w:kern w:val="0"/>
                <w:sz w:val="32"/>
                <w:szCs w:val="32"/>
              </w:rPr>
            </w:pPr>
          </w:p>
        </w:tc>
        <w:tc>
          <w:tcPr>
            <w:tcW w:w="1276" w:type="dxa"/>
            <w:vAlign w:val="center"/>
          </w:tcPr>
          <w:p w14:paraId="6A0618CC">
            <w:pPr>
              <w:spacing w:line="400" w:lineRule="exact"/>
              <w:jc w:val="center"/>
              <w:rPr>
                <w:rFonts w:ascii="仿宋" w:hAnsi="仿宋" w:cs="仿宋"/>
                <w:b/>
                <w:kern w:val="0"/>
                <w:sz w:val="32"/>
                <w:szCs w:val="32"/>
              </w:rPr>
            </w:pPr>
          </w:p>
        </w:tc>
      </w:tr>
    </w:tbl>
    <w:p w14:paraId="1B355018">
      <w:pPr>
        <w:jc w:val="left"/>
        <w:rPr>
          <w:rFonts w:ascii="仿宋" w:hAnsi="仿宋" w:cs="仿宋"/>
          <w:kern w:val="0"/>
        </w:rPr>
      </w:pPr>
      <w:r>
        <w:rPr>
          <w:rFonts w:hint="eastAsia" w:ascii="仿宋" w:hAnsi="仿宋" w:cs="仿宋"/>
          <w:kern w:val="0"/>
        </w:rPr>
        <w:t>投标人保证：除商务技术偏离表列出的偏离外，投标人响应招标文件的全部要求</w:t>
      </w:r>
    </w:p>
    <w:p w14:paraId="4EAFCAE9">
      <w:pPr>
        <w:spacing w:line="360" w:lineRule="auto"/>
        <w:ind w:right="420"/>
        <w:rPr>
          <w:rFonts w:ascii="仿宋" w:hAnsi="仿宋" w:cs="仿宋"/>
        </w:rPr>
      </w:pPr>
    </w:p>
    <w:p w14:paraId="1FBD307C">
      <w:pPr>
        <w:spacing w:line="360" w:lineRule="auto"/>
        <w:ind w:right="420"/>
        <w:rPr>
          <w:rFonts w:ascii="仿宋" w:hAnsi="仿宋" w:cs="仿宋"/>
        </w:rPr>
      </w:pPr>
      <w:r>
        <w:rPr>
          <w:rFonts w:hint="eastAsia" w:ascii="仿宋" w:hAnsi="仿宋" w:cs="仿宋"/>
        </w:rPr>
        <w:t>注：按本格式和要求提供。</w:t>
      </w:r>
    </w:p>
    <w:p w14:paraId="1CA60F81">
      <w:pPr>
        <w:jc w:val="center"/>
        <w:rPr>
          <w:rFonts w:ascii="仿宋" w:hAnsi="仿宋" w:cs="仿宋"/>
          <w:b/>
          <w:kern w:val="0"/>
          <w:sz w:val="32"/>
          <w:szCs w:val="32"/>
        </w:rPr>
      </w:pPr>
    </w:p>
    <w:p w14:paraId="46B8E2B8">
      <w:pPr>
        <w:rPr>
          <w:rFonts w:ascii="仿宋" w:hAnsi="仿宋" w:cs="仿宋"/>
          <w:b/>
          <w:kern w:val="0"/>
          <w:sz w:val="32"/>
          <w:szCs w:val="32"/>
        </w:rPr>
      </w:pPr>
      <w:r>
        <w:rPr>
          <w:rFonts w:hint="eastAsia" w:ascii="仿宋" w:hAnsi="仿宋" w:cs="仿宋"/>
          <w:b/>
          <w:kern w:val="0"/>
          <w:sz w:val="32"/>
          <w:szCs w:val="32"/>
        </w:rPr>
        <w:br w:type="page"/>
      </w:r>
    </w:p>
    <w:p w14:paraId="62E0F6C7">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rPr>
        <w:t>九</w:t>
      </w:r>
      <w:r>
        <w:rPr>
          <w:rFonts w:hint="eastAsia" w:ascii="仿宋" w:hAnsi="仿宋" w:cs="仿宋"/>
          <w:b/>
          <w:kern w:val="0"/>
          <w:sz w:val="32"/>
          <w:szCs w:val="32"/>
          <w:lang w:val="zh-CN"/>
        </w:rPr>
        <w:t>、政府采购供应商廉洁自律承诺书</w:t>
      </w:r>
    </w:p>
    <w:p w14:paraId="448EE39E">
      <w:pPr>
        <w:spacing w:line="360" w:lineRule="auto"/>
        <w:rPr>
          <w:rFonts w:ascii="仿宋" w:hAnsi="仿宋" w:cs="仿宋"/>
        </w:rPr>
      </w:pPr>
    </w:p>
    <w:p w14:paraId="7612801D">
      <w:pPr>
        <w:spacing w:line="360" w:lineRule="auto"/>
        <w:rPr>
          <w:rFonts w:ascii="仿宋" w:hAnsi="仿宋" w:cs="仿宋"/>
          <w:kern w:val="0"/>
        </w:rPr>
      </w:pPr>
      <w:r>
        <w:rPr>
          <w:rFonts w:hint="eastAsia" w:ascii="仿宋" w:hAnsi="仿宋" w:cs="仿宋"/>
          <w:u w:val="single"/>
        </w:rPr>
        <w:t>浙江工业大学、浙江国际招投标有限公司</w:t>
      </w:r>
      <w:r>
        <w:rPr>
          <w:rFonts w:hint="eastAsia" w:ascii="仿宋" w:hAnsi="仿宋" w:cs="仿宋"/>
        </w:rPr>
        <w:t>：</w:t>
      </w:r>
    </w:p>
    <w:p w14:paraId="03FD8E39">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我单位响应你</w:t>
      </w:r>
      <w:r>
        <w:rPr>
          <w:rFonts w:hint="eastAsia" w:ascii="仿宋" w:hAnsi="仿宋" w:cs="仿宋"/>
        </w:rPr>
        <w:t>单位</w:t>
      </w:r>
      <w:r>
        <w:rPr>
          <w:rFonts w:hint="eastAsia" w:ascii="仿宋" w:hAnsi="仿宋" w:cs="仿宋"/>
          <w:kern w:val="0"/>
          <w:lang w:val="zh-CN"/>
        </w:rPr>
        <w:t>项目招标要求参加投标。在这次投标过程中和中标后，我们将严格遵守国家法律法规要求，并郑重承诺：</w:t>
      </w:r>
    </w:p>
    <w:p w14:paraId="02870A75">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一、不向项目有关人员及部门赠送礼金礼物、有价证券、回扣以及中介费、介绍费、咨询费等好处费；</w:t>
      </w:r>
    </w:p>
    <w:p w14:paraId="2DE6D9C3">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二、不为项目有关人员及部门报销应由你方单位或个人支付的费用；</w:t>
      </w:r>
    </w:p>
    <w:p w14:paraId="4685CCCE">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三、不向项目有关人员及部门提供有可能影响公正的宴请和健身娱乐等活动；</w:t>
      </w:r>
    </w:p>
    <w:p w14:paraId="4E19FB70">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四、不为项目有关人员及部门出国（境）、旅游等提供方便；</w:t>
      </w:r>
    </w:p>
    <w:p w14:paraId="174C2DA3">
      <w:pPr>
        <w:autoSpaceDE w:val="0"/>
        <w:autoSpaceDN w:val="0"/>
        <w:spacing w:line="360" w:lineRule="auto"/>
        <w:ind w:left="550" w:leftChars="229"/>
        <w:jc w:val="left"/>
        <w:rPr>
          <w:rFonts w:ascii="仿宋" w:hAnsi="仿宋" w:cs="仿宋"/>
          <w:kern w:val="0"/>
          <w:lang w:val="zh-CN"/>
        </w:rPr>
      </w:pPr>
      <w:r>
        <w:rPr>
          <w:rFonts w:hint="eastAsia" w:ascii="仿宋" w:hAnsi="仿宋" w:cs="仿宋"/>
          <w:kern w:val="0"/>
          <w:lang w:val="zh-CN"/>
        </w:rPr>
        <w:t>五、不为项目有关人员个人装修住房、婚丧嫁娶、配偶子女工作安排等提供好处；</w:t>
      </w:r>
    </w:p>
    <w:p w14:paraId="2F8E7EA0">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六、严格遵守《</w:t>
      </w:r>
      <w:r>
        <w:rPr>
          <w:rFonts w:hint="eastAsia" w:ascii="仿宋" w:hAnsi="仿宋" w:cs="仿宋"/>
          <w:lang w:val="zh-CN"/>
        </w:rPr>
        <w:t>中华人民共和国</w:t>
      </w:r>
      <w:r>
        <w:rPr>
          <w:rFonts w:hint="eastAsia" w:ascii="仿宋" w:hAnsi="仿宋" w:cs="仿宋"/>
          <w:kern w:val="0"/>
          <w:lang w:val="zh-CN"/>
        </w:rPr>
        <w:t>政府采购法》</w:t>
      </w:r>
      <w:r>
        <w:rPr>
          <w:rFonts w:hint="eastAsia" w:ascii="仿宋" w:hAnsi="仿宋" w:cs="仿宋"/>
          <w:lang w:val="zh-CN"/>
        </w:rPr>
        <w:t>《中华人民共和国民法典》</w:t>
      </w:r>
      <w:r>
        <w:rPr>
          <w:rFonts w:hint="eastAsia" w:ascii="仿宋" w:hAnsi="仿宋" w:cs="仿宋"/>
          <w:kern w:val="0"/>
          <w:lang w:val="zh-CN"/>
        </w:rPr>
        <w:t>等法律法规，诚实守信，合法经营，坚决抵制各种违法违纪行为。</w:t>
      </w:r>
    </w:p>
    <w:p w14:paraId="22F893BA">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如违反上述承诺，你</w:t>
      </w:r>
      <w:r>
        <w:rPr>
          <w:rFonts w:hint="eastAsia" w:ascii="仿宋" w:hAnsi="仿宋" w:cs="仿宋"/>
        </w:rPr>
        <w:t>单位</w:t>
      </w:r>
      <w:r>
        <w:rPr>
          <w:rFonts w:hint="eastAsia" w:ascii="仿宋" w:hAnsi="仿宋" w:cs="仿宋"/>
          <w:kern w:val="0"/>
          <w:lang w:val="zh-CN"/>
        </w:rPr>
        <w:t>有权立即取消我单位投标、中标或在建项目的建设资格，有权拒绝我单位在一定时期内进入你</w:t>
      </w:r>
      <w:r>
        <w:rPr>
          <w:rFonts w:hint="eastAsia" w:ascii="仿宋" w:hAnsi="仿宋" w:cs="仿宋"/>
        </w:rPr>
        <w:t>单位</w:t>
      </w:r>
      <w:r>
        <w:rPr>
          <w:rFonts w:hint="eastAsia" w:ascii="仿宋" w:hAnsi="仿宋" w:cs="仿宋"/>
          <w:kern w:val="0"/>
          <w:lang w:val="zh-CN"/>
        </w:rPr>
        <w:t>进行项目建设或其他经营活动，并通报浙江省财政厅。由此引起的相应损失均由我单位承担。</w:t>
      </w:r>
    </w:p>
    <w:p w14:paraId="248C33CC">
      <w:pPr>
        <w:autoSpaceDE w:val="0"/>
        <w:autoSpaceDN w:val="0"/>
        <w:spacing w:line="360" w:lineRule="auto"/>
        <w:ind w:left="2"/>
        <w:jc w:val="left"/>
        <w:rPr>
          <w:rFonts w:ascii="仿宋" w:hAnsi="仿宋" w:cs="仿宋"/>
          <w:kern w:val="0"/>
          <w:lang w:val="zh-CN"/>
        </w:rPr>
      </w:pPr>
    </w:p>
    <w:p w14:paraId="3706C6BC">
      <w:pPr>
        <w:autoSpaceDE w:val="0"/>
        <w:autoSpaceDN w:val="0"/>
        <w:spacing w:line="360" w:lineRule="auto"/>
        <w:ind w:left="2"/>
        <w:jc w:val="left"/>
        <w:rPr>
          <w:rFonts w:ascii="仿宋" w:hAnsi="仿宋" w:cs="仿宋"/>
          <w:kern w:val="0"/>
          <w:lang w:val="zh-CN"/>
        </w:rPr>
      </w:pPr>
    </w:p>
    <w:p w14:paraId="13CD1893">
      <w:pPr>
        <w:autoSpaceDE w:val="0"/>
        <w:autoSpaceDN w:val="0"/>
        <w:spacing w:line="360" w:lineRule="auto"/>
        <w:ind w:left="2"/>
        <w:jc w:val="left"/>
        <w:rPr>
          <w:rFonts w:ascii="仿宋" w:hAnsi="仿宋" w:cs="仿宋"/>
          <w:kern w:val="0"/>
          <w:lang w:val="zh-CN"/>
        </w:rPr>
      </w:pPr>
    </w:p>
    <w:p w14:paraId="37D2DB0E">
      <w:pPr>
        <w:autoSpaceDE w:val="0"/>
        <w:autoSpaceDN w:val="0"/>
        <w:spacing w:line="360" w:lineRule="auto"/>
        <w:ind w:left="2" w:leftChars="1" w:right="1120" w:firstLine="4560" w:firstLineChars="190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14:paraId="40803314">
      <w:pPr>
        <w:spacing w:line="360" w:lineRule="auto"/>
        <w:ind w:left="5280" w:leftChars="2200"/>
        <w:rPr>
          <w:rFonts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年月日</w:t>
      </w:r>
    </w:p>
    <w:p w14:paraId="4C181928">
      <w:pPr>
        <w:rPr>
          <w:rFonts w:ascii="仿宋" w:hAnsi="仿宋" w:cs="仿宋"/>
          <w:b/>
          <w:kern w:val="0"/>
          <w:sz w:val="36"/>
          <w:szCs w:val="36"/>
        </w:rPr>
      </w:pPr>
    </w:p>
    <w:p w14:paraId="1C7C9477">
      <w:pPr>
        <w:rPr>
          <w:rFonts w:ascii="仿宋" w:hAnsi="仿宋" w:cs="仿宋"/>
          <w:b/>
          <w:kern w:val="0"/>
          <w:sz w:val="36"/>
          <w:szCs w:val="36"/>
        </w:rPr>
      </w:pPr>
    </w:p>
    <w:p w14:paraId="6B5E5731">
      <w:pPr>
        <w:rPr>
          <w:rFonts w:ascii="仿宋" w:hAnsi="仿宋" w:cs="仿宋"/>
          <w:b/>
          <w:kern w:val="0"/>
          <w:sz w:val="36"/>
          <w:szCs w:val="36"/>
        </w:rPr>
      </w:pPr>
    </w:p>
    <w:p w14:paraId="3DEE1327">
      <w:pPr>
        <w:rPr>
          <w:rFonts w:ascii="仿宋" w:hAnsi="仿宋" w:cs="仿宋"/>
          <w:b/>
          <w:kern w:val="0"/>
          <w:sz w:val="36"/>
          <w:szCs w:val="36"/>
        </w:rPr>
      </w:pPr>
      <w:r>
        <w:rPr>
          <w:rFonts w:hint="eastAsia" w:ascii="仿宋" w:hAnsi="仿宋" w:cs="仿宋"/>
          <w:kern w:val="0"/>
          <w:lang w:val="zh-CN"/>
        </w:rPr>
        <w:t>注：按本格式和要求提供。</w:t>
      </w:r>
      <w:r>
        <w:rPr>
          <w:rFonts w:hint="eastAsia" w:ascii="仿宋" w:hAnsi="仿宋" w:cs="仿宋"/>
          <w:b/>
          <w:kern w:val="0"/>
          <w:sz w:val="36"/>
          <w:szCs w:val="36"/>
        </w:rPr>
        <w:br w:type="page"/>
      </w:r>
    </w:p>
    <w:p w14:paraId="4A82DA80">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报价文件部分</w:t>
      </w:r>
    </w:p>
    <w:p w14:paraId="67CCF7E2">
      <w:pPr>
        <w:jc w:val="center"/>
        <w:rPr>
          <w:rFonts w:ascii="仿宋" w:hAnsi="仿宋" w:cs="仿宋"/>
          <w:b/>
          <w:bCs/>
          <w:sz w:val="28"/>
          <w:szCs w:val="28"/>
        </w:rPr>
      </w:pPr>
    </w:p>
    <w:p w14:paraId="0E3F590E">
      <w:pPr>
        <w:jc w:val="center"/>
        <w:rPr>
          <w:rFonts w:ascii="仿宋" w:hAnsi="仿宋" w:cs="仿宋"/>
          <w:b/>
          <w:bCs/>
          <w:sz w:val="28"/>
          <w:szCs w:val="28"/>
        </w:rPr>
      </w:pPr>
      <w:r>
        <w:rPr>
          <w:rFonts w:hint="eastAsia" w:ascii="仿宋" w:hAnsi="仿宋" w:cs="仿宋"/>
          <w:b/>
          <w:bCs/>
          <w:sz w:val="28"/>
          <w:szCs w:val="28"/>
        </w:rPr>
        <w:t>目录</w:t>
      </w:r>
    </w:p>
    <w:p w14:paraId="621AD71C">
      <w:pPr>
        <w:rPr>
          <w:rFonts w:ascii="仿宋" w:hAnsi="仿宋" w:cs="仿宋"/>
        </w:rPr>
      </w:pPr>
    </w:p>
    <w:p w14:paraId="1CB6B26A">
      <w:pPr>
        <w:numPr>
          <w:ilvl w:val="0"/>
          <w:numId w:val="13"/>
        </w:numPr>
        <w:pBdr>
          <w:bottom w:val="single" w:color="auto" w:sz="4" w:space="0"/>
        </w:pBdr>
        <w:spacing w:line="360" w:lineRule="auto"/>
        <w:rPr>
          <w:rFonts w:ascii="仿宋" w:hAnsi="仿宋" w:cs="仿宋"/>
        </w:rPr>
      </w:pPr>
      <w:r>
        <w:rPr>
          <w:rFonts w:hint="eastAsia" w:ascii="仿宋" w:hAnsi="仿宋" w:cs="仿宋"/>
        </w:rPr>
        <w:t>开标一览表（报价表）………………………</w:t>
      </w:r>
      <w:bookmarkStart w:id="414" w:name="OLE_LINK51"/>
      <w:r>
        <w:rPr>
          <w:rFonts w:hint="eastAsia" w:ascii="仿宋" w:hAnsi="仿宋" w:cs="仿宋"/>
        </w:rPr>
        <w:t>………</w:t>
      </w:r>
      <w:bookmarkEnd w:id="414"/>
      <w:r>
        <w:rPr>
          <w:rFonts w:hint="eastAsia" w:ascii="仿宋" w:hAnsi="仿宋" w:cs="仿宋"/>
        </w:rPr>
        <w:t>………………………（页码）</w:t>
      </w:r>
    </w:p>
    <w:p w14:paraId="6771CBEF">
      <w:pPr>
        <w:pStyle w:val="24"/>
        <w:pBdr>
          <w:bottom w:val="single" w:color="auto" w:sz="4" w:space="0"/>
        </w:pBdr>
        <w:spacing w:line="360" w:lineRule="auto"/>
        <w:ind w:firstLine="0" w:firstLineChars="0"/>
        <w:rPr>
          <w:rFonts w:ascii="仿宋" w:hAnsi="仿宋" w:cs="仿宋"/>
        </w:rPr>
      </w:pPr>
      <w:r>
        <w:rPr>
          <w:rFonts w:hint="eastAsia" w:ascii="仿宋" w:hAnsi="仿宋" w:cs="仿宋"/>
        </w:rPr>
        <w:t>（2）中标服务费支付承诺书………………………………………………………（页码）</w:t>
      </w:r>
    </w:p>
    <w:p w14:paraId="3F5DF7F9">
      <w:pPr>
        <w:spacing w:line="360" w:lineRule="auto"/>
        <w:ind w:right="480"/>
        <w:jc w:val="center"/>
        <w:rPr>
          <w:rFonts w:ascii="仿宋" w:hAnsi="仿宋" w:cs="仿宋"/>
          <w:b/>
          <w:kern w:val="0"/>
          <w:sz w:val="32"/>
          <w:szCs w:val="32"/>
        </w:rPr>
      </w:pPr>
    </w:p>
    <w:p w14:paraId="59D42FFE">
      <w:pPr>
        <w:spacing w:line="360" w:lineRule="auto"/>
        <w:ind w:right="480"/>
        <w:jc w:val="center"/>
        <w:rPr>
          <w:rFonts w:ascii="仿宋" w:hAnsi="仿宋" w:cs="仿宋"/>
          <w:b/>
          <w:kern w:val="0"/>
          <w:sz w:val="32"/>
          <w:szCs w:val="32"/>
        </w:rPr>
      </w:pPr>
    </w:p>
    <w:p w14:paraId="11013967">
      <w:pPr>
        <w:spacing w:line="360" w:lineRule="auto"/>
        <w:ind w:right="480"/>
        <w:jc w:val="center"/>
        <w:rPr>
          <w:rFonts w:ascii="仿宋" w:hAnsi="仿宋" w:cs="仿宋"/>
          <w:b/>
          <w:kern w:val="0"/>
          <w:sz w:val="32"/>
          <w:szCs w:val="32"/>
        </w:rPr>
      </w:pPr>
    </w:p>
    <w:p w14:paraId="2B15136A">
      <w:pPr>
        <w:spacing w:line="360" w:lineRule="auto"/>
        <w:ind w:right="480"/>
        <w:jc w:val="center"/>
        <w:rPr>
          <w:rFonts w:ascii="仿宋" w:hAnsi="仿宋" w:cs="仿宋"/>
          <w:b/>
          <w:kern w:val="0"/>
          <w:sz w:val="32"/>
          <w:szCs w:val="32"/>
        </w:rPr>
      </w:pPr>
    </w:p>
    <w:p w14:paraId="1584D9AA">
      <w:pPr>
        <w:spacing w:line="360" w:lineRule="auto"/>
        <w:ind w:right="480"/>
        <w:jc w:val="center"/>
        <w:rPr>
          <w:rFonts w:ascii="仿宋" w:hAnsi="仿宋" w:cs="仿宋"/>
          <w:b/>
          <w:kern w:val="0"/>
          <w:sz w:val="32"/>
          <w:szCs w:val="32"/>
        </w:rPr>
      </w:pPr>
    </w:p>
    <w:p w14:paraId="2CD99DAB">
      <w:pPr>
        <w:spacing w:line="360" w:lineRule="auto"/>
        <w:ind w:right="480"/>
        <w:jc w:val="center"/>
        <w:rPr>
          <w:rFonts w:ascii="仿宋" w:hAnsi="仿宋" w:cs="仿宋"/>
          <w:b/>
          <w:kern w:val="0"/>
          <w:sz w:val="32"/>
          <w:szCs w:val="32"/>
        </w:rPr>
      </w:pPr>
    </w:p>
    <w:p w14:paraId="0E2454C7">
      <w:pPr>
        <w:spacing w:line="360" w:lineRule="auto"/>
        <w:ind w:right="480"/>
        <w:jc w:val="center"/>
        <w:rPr>
          <w:rFonts w:ascii="仿宋" w:hAnsi="仿宋" w:cs="仿宋"/>
          <w:b/>
          <w:kern w:val="0"/>
          <w:sz w:val="32"/>
          <w:szCs w:val="32"/>
        </w:rPr>
      </w:pPr>
    </w:p>
    <w:p w14:paraId="4721F05E">
      <w:pPr>
        <w:spacing w:line="360" w:lineRule="auto"/>
        <w:ind w:right="480"/>
        <w:jc w:val="center"/>
        <w:rPr>
          <w:rFonts w:ascii="仿宋" w:hAnsi="仿宋" w:cs="仿宋"/>
          <w:b/>
          <w:kern w:val="0"/>
          <w:sz w:val="32"/>
          <w:szCs w:val="32"/>
        </w:rPr>
      </w:pPr>
    </w:p>
    <w:p w14:paraId="12E80433">
      <w:pPr>
        <w:spacing w:line="360" w:lineRule="auto"/>
        <w:ind w:right="480"/>
        <w:jc w:val="center"/>
        <w:rPr>
          <w:rFonts w:ascii="仿宋" w:hAnsi="仿宋" w:cs="仿宋"/>
          <w:b/>
          <w:kern w:val="0"/>
          <w:sz w:val="32"/>
          <w:szCs w:val="32"/>
        </w:rPr>
      </w:pPr>
    </w:p>
    <w:p w14:paraId="631CE392">
      <w:pPr>
        <w:spacing w:line="360" w:lineRule="auto"/>
        <w:ind w:right="480"/>
        <w:jc w:val="center"/>
        <w:rPr>
          <w:rFonts w:ascii="仿宋" w:hAnsi="仿宋" w:cs="仿宋"/>
          <w:b/>
          <w:kern w:val="0"/>
          <w:sz w:val="32"/>
          <w:szCs w:val="32"/>
        </w:rPr>
      </w:pPr>
    </w:p>
    <w:p w14:paraId="6060A92D">
      <w:pPr>
        <w:spacing w:line="360" w:lineRule="auto"/>
        <w:ind w:right="480"/>
        <w:jc w:val="center"/>
        <w:rPr>
          <w:rFonts w:ascii="仿宋" w:hAnsi="仿宋" w:cs="仿宋"/>
          <w:b/>
          <w:kern w:val="0"/>
          <w:sz w:val="32"/>
          <w:szCs w:val="32"/>
        </w:rPr>
      </w:pPr>
    </w:p>
    <w:p w14:paraId="7F17C9EF">
      <w:pPr>
        <w:spacing w:line="360" w:lineRule="auto"/>
        <w:ind w:right="480"/>
        <w:jc w:val="center"/>
        <w:rPr>
          <w:rFonts w:ascii="仿宋" w:hAnsi="仿宋" w:cs="仿宋"/>
          <w:b/>
          <w:kern w:val="0"/>
          <w:sz w:val="32"/>
          <w:szCs w:val="32"/>
        </w:rPr>
      </w:pPr>
    </w:p>
    <w:p w14:paraId="1B578CD8">
      <w:pPr>
        <w:spacing w:line="360" w:lineRule="auto"/>
        <w:ind w:right="480"/>
        <w:jc w:val="center"/>
        <w:rPr>
          <w:rFonts w:ascii="仿宋" w:hAnsi="仿宋" w:cs="仿宋"/>
          <w:b/>
          <w:kern w:val="0"/>
          <w:sz w:val="32"/>
          <w:szCs w:val="32"/>
        </w:rPr>
      </w:pPr>
    </w:p>
    <w:p w14:paraId="755C8FD9">
      <w:pPr>
        <w:spacing w:line="360" w:lineRule="auto"/>
        <w:ind w:right="480"/>
        <w:jc w:val="center"/>
        <w:rPr>
          <w:rFonts w:ascii="仿宋" w:hAnsi="仿宋" w:cs="仿宋"/>
          <w:b/>
          <w:kern w:val="0"/>
          <w:sz w:val="32"/>
          <w:szCs w:val="32"/>
        </w:rPr>
      </w:pPr>
    </w:p>
    <w:p w14:paraId="368F771B">
      <w:pPr>
        <w:spacing w:line="360" w:lineRule="auto"/>
        <w:ind w:right="480"/>
        <w:jc w:val="center"/>
        <w:rPr>
          <w:rFonts w:ascii="仿宋" w:hAnsi="仿宋" w:cs="仿宋"/>
          <w:b/>
          <w:kern w:val="0"/>
          <w:sz w:val="32"/>
          <w:szCs w:val="32"/>
        </w:rPr>
      </w:pPr>
    </w:p>
    <w:p w14:paraId="393F1FEE">
      <w:pPr>
        <w:pStyle w:val="694"/>
        <w:keepNext w:val="0"/>
        <w:pageBreakBefore w:val="0"/>
        <w:tabs>
          <w:tab w:val="clear" w:pos="720"/>
        </w:tabs>
        <w:spacing w:before="120" w:after="120"/>
        <w:ind w:firstLine="643"/>
        <w:outlineLvl w:val="9"/>
        <w:rPr>
          <w:rFonts w:ascii="仿宋" w:hAnsi="仿宋" w:eastAsia="仿宋" w:cs="仿宋"/>
          <w:kern w:val="2"/>
          <w:sz w:val="32"/>
          <w:szCs w:val="32"/>
        </w:rPr>
        <w:sectPr>
          <w:pgSz w:w="11906" w:h="16838"/>
          <w:pgMar w:top="1276" w:right="1418" w:bottom="1247" w:left="1418" w:header="851" w:footer="992" w:gutter="0"/>
          <w:cols w:space="0" w:num="1"/>
          <w:titlePg/>
          <w:docGrid w:linePitch="312" w:charSpace="0"/>
        </w:sectPr>
      </w:pPr>
    </w:p>
    <w:p w14:paraId="43C62637">
      <w:pPr>
        <w:numPr>
          <w:ilvl w:val="0"/>
          <w:numId w:val="14"/>
        </w:numPr>
        <w:spacing w:line="360" w:lineRule="auto"/>
        <w:jc w:val="center"/>
        <w:outlineLvl w:val="2"/>
        <w:rPr>
          <w:rFonts w:ascii="仿宋" w:hAnsi="仿宋" w:cs="仿宋"/>
        </w:rPr>
      </w:pPr>
      <w:r>
        <w:rPr>
          <w:rFonts w:hint="eastAsia" w:ascii="仿宋" w:hAnsi="仿宋" w:cs="仿宋"/>
          <w:b/>
          <w:kern w:val="0"/>
          <w:sz w:val="32"/>
          <w:szCs w:val="32"/>
          <w:lang w:val="zh-CN"/>
        </w:rPr>
        <w:t>开标一览表（报价表）</w:t>
      </w:r>
    </w:p>
    <w:p w14:paraId="66837965">
      <w:pPr>
        <w:spacing w:line="360" w:lineRule="auto"/>
        <w:rPr>
          <w:rFonts w:ascii="仿宋" w:hAnsi="仿宋" w:cs="仿宋"/>
          <w:kern w:val="0"/>
        </w:rPr>
      </w:pPr>
      <w:r>
        <w:rPr>
          <w:rFonts w:hint="eastAsia" w:ascii="仿宋" w:hAnsi="仿宋" w:cs="仿宋"/>
          <w:u w:val="single"/>
        </w:rPr>
        <w:t>浙江工业大学、浙江国际招投标有限公司</w:t>
      </w:r>
      <w:r>
        <w:rPr>
          <w:rFonts w:hint="eastAsia" w:ascii="仿宋" w:hAnsi="仿宋" w:cs="仿宋"/>
        </w:rPr>
        <w:t>：</w:t>
      </w:r>
    </w:p>
    <w:p w14:paraId="4CCFFB9C">
      <w:pPr>
        <w:spacing w:line="360" w:lineRule="auto"/>
        <w:ind w:firstLine="482"/>
        <w:rPr>
          <w:rFonts w:ascii="仿宋" w:hAnsi="仿宋" w:cs="仿宋"/>
          <w:kern w:val="0"/>
          <w:lang w:val="zh-CN"/>
        </w:rPr>
      </w:pPr>
      <w:r>
        <w:rPr>
          <w:rFonts w:hint="eastAsia" w:ascii="仿宋" w:hAnsi="仿宋" w:cs="仿宋"/>
          <w:kern w:val="0"/>
          <w:lang w:val="zh-CN"/>
        </w:rPr>
        <w:t>按你方招标文件要求，我们，本投标文件签字方，谨此向你方发出要约如下：如你方接受本投标，我方承诺按照如下开标一览表（报价表）的价格完成</w:t>
      </w:r>
      <w:r>
        <w:rPr>
          <w:rFonts w:hint="eastAsia" w:ascii="仿宋" w:hAnsi="仿宋" w:cs="仿宋"/>
          <w:u w:val="single"/>
        </w:rPr>
        <w:t>（项目名称）</w:t>
      </w:r>
      <w:r>
        <w:rPr>
          <w:rFonts w:hint="eastAsia" w:ascii="仿宋" w:hAnsi="仿宋" w:cs="仿宋"/>
          <w:kern w:val="0"/>
          <w:lang w:val="zh-CN"/>
        </w:rPr>
        <w:t>【招标编号：</w:t>
      </w:r>
      <w:r>
        <w:rPr>
          <w:rFonts w:hint="eastAsia" w:ascii="仿宋" w:hAnsi="仿宋" w:cs="仿宋"/>
        </w:rPr>
        <w:t>】的实施</w:t>
      </w:r>
      <w:r>
        <w:rPr>
          <w:rFonts w:hint="eastAsia" w:ascii="仿宋" w:hAnsi="仿宋" w:cs="仿宋"/>
          <w:kern w:val="0"/>
          <w:lang w:val="zh-CN"/>
        </w:rPr>
        <w:t>。</w:t>
      </w:r>
    </w:p>
    <w:p w14:paraId="04F85BBA">
      <w:pPr>
        <w:spacing w:line="360" w:lineRule="auto"/>
        <w:jc w:val="center"/>
        <w:rPr>
          <w:rFonts w:ascii="仿宋" w:hAnsi="仿宋" w:cs="仿宋"/>
          <w:b/>
          <w:kern w:val="0"/>
          <w:lang w:val="zh-CN"/>
        </w:rPr>
      </w:pPr>
      <w:r>
        <w:rPr>
          <w:rFonts w:hint="eastAsia" w:ascii="仿宋" w:hAnsi="仿宋" w:cs="仿宋"/>
          <w:b/>
          <w:kern w:val="0"/>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661"/>
        <w:gridCol w:w="1834"/>
        <w:gridCol w:w="2707"/>
        <w:gridCol w:w="1169"/>
        <w:gridCol w:w="1559"/>
        <w:gridCol w:w="1984"/>
        <w:gridCol w:w="3119"/>
      </w:tblGrid>
      <w:tr w14:paraId="7E74F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534" w:type="dxa"/>
            <w:vAlign w:val="center"/>
          </w:tcPr>
          <w:p w14:paraId="345B5DC1">
            <w:pPr>
              <w:spacing w:line="400" w:lineRule="exact"/>
              <w:jc w:val="center"/>
              <w:rPr>
                <w:rFonts w:ascii="仿宋" w:hAnsi="仿宋" w:cs="仿宋"/>
                <w:b/>
              </w:rPr>
            </w:pPr>
            <w:r>
              <w:rPr>
                <w:rFonts w:hint="eastAsia" w:ascii="仿宋" w:hAnsi="仿宋" w:cs="仿宋"/>
                <w:b/>
              </w:rPr>
              <w:t>序号</w:t>
            </w:r>
          </w:p>
        </w:tc>
        <w:tc>
          <w:tcPr>
            <w:tcW w:w="1661" w:type="dxa"/>
            <w:vAlign w:val="center"/>
          </w:tcPr>
          <w:p w14:paraId="545A0C83">
            <w:pPr>
              <w:spacing w:line="400" w:lineRule="exact"/>
              <w:jc w:val="center"/>
              <w:rPr>
                <w:rFonts w:ascii="仿宋" w:hAnsi="仿宋" w:cs="仿宋"/>
                <w:b/>
              </w:rPr>
            </w:pPr>
            <w:r>
              <w:rPr>
                <w:rFonts w:hint="eastAsia" w:ascii="仿宋" w:hAnsi="仿宋" w:cs="仿宋"/>
                <w:b/>
              </w:rPr>
              <w:t>名称</w:t>
            </w:r>
          </w:p>
        </w:tc>
        <w:tc>
          <w:tcPr>
            <w:tcW w:w="1834" w:type="dxa"/>
            <w:vAlign w:val="center"/>
          </w:tcPr>
          <w:p w14:paraId="39D15C21">
            <w:pPr>
              <w:spacing w:line="400" w:lineRule="exact"/>
              <w:jc w:val="center"/>
              <w:rPr>
                <w:rFonts w:ascii="仿宋" w:hAnsi="仿宋" w:cs="仿宋"/>
                <w:b/>
              </w:rPr>
            </w:pPr>
            <w:r>
              <w:rPr>
                <w:rFonts w:hint="eastAsia" w:ascii="仿宋" w:hAnsi="仿宋" w:cs="仿宋"/>
                <w:b/>
              </w:rPr>
              <w:t>品牌（如果有）</w:t>
            </w:r>
          </w:p>
        </w:tc>
        <w:tc>
          <w:tcPr>
            <w:tcW w:w="2707" w:type="dxa"/>
            <w:vAlign w:val="center"/>
          </w:tcPr>
          <w:p w14:paraId="3C42A624">
            <w:pPr>
              <w:spacing w:line="400" w:lineRule="exact"/>
              <w:jc w:val="center"/>
              <w:rPr>
                <w:rFonts w:ascii="仿宋" w:hAnsi="仿宋" w:cs="仿宋"/>
                <w:b/>
              </w:rPr>
            </w:pPr>
            <w:r>
              <w:rPr>
                <w:rFonts w:hint="eastAsia" w:ascii="仿宋" w:hAnsi="仿宋" w:cs="仿宋"/>
                <w:b/>
              </w:rPr>
              <w:t>规格型号</w:t>
            </w:r>
          </w:p>
        </w:tc>
        <w:tc>
          <w:tcPr>
            <w:tcW w:w="1169" w:type="dxa"/>
            <w:vAlign w:val="center"/>
          </w:tcPr>
          <w:p w14:paraId="1ADE0782">
            <w:pPr>
              <w:spacing w:line="400" w:lineRule="exact"/>
              <w:jc w:val="center"/>
              <w:rPr>
                <w:rFonts w:ascii="仿宋" w:hAnsi="仿宋" w:cs="仿宋"/>
                <w:b/>
              </w:rPr>
            </w:pPr>
            <w:r>
              <w:rPr>
                <w:rFonts w:hint="eastAsia" w:ascii="仿宋" w:hAnsi="仿宋" w:cs="仿宋"/>
                <w:b/>
              </w:rPr>
              <w:t>数量</w:t>
            </w:r>
          </w:p>
        </w:tc>
        <w:tc>
          <w:tcPr>
            <w:tcW w:w="1559" w:type="dxa"/>
            <w:vAlign w:val="center"/>
          </w:tcPr>
          <w:p w14:paraId="3E5ED8F4">
            <w:pPr>
              <w:spacing w:line="400" w:lineRule="exact"/>
              <w:jc w:val="center"/>
              <w:rPr>
                <w:rFonts w:ascii="仿宋" w:hAnsi="仿宋" w:cs="仿宋"/>
                <w:b/>
              </w:rPr>
            </w:pPr>
            <w:r>
              <w:rPr>
                <w:rFonts w:hint="eastAsia" w:ascii="仿宋" w:hAnsi="仿宋" w:cs="仿宋"/>
                <w:b/>
              </w:rPr>
              <w:t>单价</w:t>
            </w:r>
          </w:p>
        </w:tc>
        <w:tc>
          <w:tcPr>
            <w:tcW w:w="1984" w:type="dxa"/>
            <w:vAlign w:val="center"/>
          </w:tcPr>
          <w:p w14:paraId="07D34175">
            <w:pPr>
              <w:spacing w:line="400" w:lineRule="exact"/>
              <w:jc w:val="center"/>
              <w:rPr>
                <w:rFonts w:ascii="仿宋" w:hAnsi="仿宋" w:cs="仿宋"/>
                <w:b/>
              </w:rPr>
            </w:pPr>
            <w:r>
              <w:rPr>
                <w:rFonts w:hint="eastAsia" w:ascii="仿宋" w:hAnsi="仿宋" w:cs="仿宋"/>
                <w:b/>
              </w:rPr>
              <w:t>合计</w:t>
            </w:r>
          </w:p>
        </w:tc>
        <w:tc>
          <w:tcPr>
            <w:tcW w:w="3119" w:type="dxa"/>
            <w:vAlign w:val="center"/>
          </w:tcPr>
          <w:p w14:paraId="0F1FD159">
            <w:pPr>
              <w:spacing w:line="400" w:lineRule="exact"/>
              <w:jc w:val="center"/>
              <w:rPr>
                <w:rFonts w:ascii="仿宋" w:hAnsi="仿宋" w:cs="仿宋"/>
                <w:b/>
              </w:rPr>
            </w:pPr>
          </w:p>
          <w:p w14:paraId="0FCB1F52">
            <w:pPr>
              <w:spacing w:line="400" w:lineRule="exact"/>
              <w:jc w:val="center"/>
              <w:rPr>
                <w:rFonts w:ascii="仿宋" w:hAnsi="仿宋" w:cs="仿宋"/>
                <w:b/>
              </w:rPr>
            </w:pPr>
            <w:r>
              <w:rPr>
                <w:rFonts w:hint="eastAsia" w:ascii="仿宋" w:hAnsi="仿宋" w:cs="仿宋"/>
                <w:b/>
              </w:rPr>
              <w:t>备注（如果有）</w:t>
            </w:r>
          </w:p>
          <w:p w14:paraId="416E21AF">
            <w:pPr>
              <w:spacing w:line="400" w:lineRule="exact"/>
              <w:jc w:val="center"/>
              <w:rPr>
                <w:rFonts w:ascii="仿宋" w:hAnsi="仿宋" w:cs="仿宋"/>
                <w:b/>
              </w:rPr>
            </w:pPr>
          </w:p>
        </w:tc>
      </w:tr>
      <w:tr w14:paraId="55465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7F477C2">
            <w:pPr>
              <w:spacing w:line="400" w:lineRule="exact"/>
              <w:jc w:val="center"/>
              <w:rPr>
                <w:rFonts w:ascii="仿宋" w:hAnsi="仿宋" w:cs="仿宋"/>
              </w:rPr>
            </w:pPr>
            <w:bookmarkStart w:id="415" w:name="OLE_LINK54" w:colFirst="4" w:colLast="4"/>
            <w:bookmarkStart w:id="416" w:name="OLE_LINK53" w:colFirst="1" w:colLast="1"/>
            <w:r>
              <w:rPr>
                <w:rFonts w:hint="eastAsia" w:ascii="仿宋" w:hAnsi="仿宋" w:cs="仿宋"/>
              </w:rPr>
              <w:t>1</w:t>
            </w:r>
          </w:p>
        </w:tc>
        <w:tc>
          <w:tcPr>
            <w:tcW w:w="1661" w:type="dxa"/>
            <w:vAlign w:val="center"/>
          </w:tcPr>
          <w:p w14:paraId="51444246">
            <w:pPr>
              <w:jc w:val="center"/>
              <w:rPr>
                <w:rFonts w:ascii="仿宋" w:hAnsi="仿宋" w:cs="仿宋"/>
              </w:rPr>
            </w:pPr>
          </w:p>
        </w:tc>
        <w:tc>
          <w:tcPr>
            <w:tcW w:w="1834" w:type="dxa"/>
            <w:vAlign w:val="center"/>
          </w:tcPr>
          <w:p w14:paraId="46FC0854">
            <w:pPr>
              <w:spacing w:line="400" w:lineRule="exact"/>
              <w:jc w:val="center"/>
              <w:rPr>
                <w:rFonts w:ascii="仿宋" w:hAnsi="仿宋" w:cs="仿宋"/>
              </w:rPr>
            </w:pPr>
          </w:p>
        </w:tc>
        <w:tc>
          <w:tcPr>
            <w:tcW w:w="2707" w:type="dxa"/>
            <w:vAlign w:val="center"/>
          </w:tcPr>
          <w:p w14:paraId="764E84C0">
            <w:pPr>
              <w:spacing w:line="400" w:lineRule="exact"/>
              <w:jc w:val="center"/>
              <w:rPr>
                <w:rFonts w:ascii="仿宋" w:hAnsi="仿宋" w:cs="仿宋"/>
              </w:rPr>
            </w:pPr>
          </w:p>
        </w:tc>
        <w:tc>
          <w:tcPr>
            <w:tcW w:w="1169" w:type="dxa"/>
            <w:vAlign w:val="center"/>
          </w:tcPr>
          <w:p w14:paraId="688C0D56">
            <w:pPr>
              <w:jc w:val="center"/>
              <w:rPr>
                <w:rFonts w:ascii="仿宋" w:hAnsi="仿宋" w:cs="仿宋"/>
              </w:rPr>
            </w:pPr>
          </w:p>
        </w:tc>
        <w:tc>
          <w:tcPr>
            <w:tcW w:w="1559" w:type="dxa"/>
            <w:vAlign w:val="center"/>
          </w:tcPr>
          <w:p w14:paraId="3781B1B2">
            <w:pPr>
              <w:spacing w:line="400" w:lineRule="exact"/>
              <w:jc w:val="center"/>
              <w:rPr>
                <w:rFonts w:ascii="仿宋" w:hAnsi="仿宋" w:cs="仿宋"/>
              </w:rPr>
            </w:pPr>
          </w:p>
        </w:tc>
        <w:tc>
          <w:tcPr>
            <w:tcW w:w="1984" w:type="dxa"/>
            <w:vAlign w:val="center"/>
          </w:tcPr>
          <w:p w14:paraId="066E3374">
            <w:pPr>
              <w:spacing w:line="400" w:lineRule="exact"/>
              <w:jc w:val="center"/>
              <w:rPr>
                <w:rFonts w:ascii="仿宋" w:hAnsi="仿宋" w:cs="仿宋"/>
              </w:rPr>
            </w:pPr>
          </w:p>
        </w:tc>
        <w:tc>
          <w:tcPr>
            <w:tcW w:w="3119" w:type="dxa"/>
            <w:vAlign w:val="center"/>
          </w:tcPr>
          <w:p w14:paraId="5CAE4A5D">
            <w:pPr>
              <w:spacing w:line="400" w:lineRule="exact"/>
              <w:jc w:val="center"/>
              <w:rPr>
                <w:rFonts w:ascii="仿宋" w:hAnsi="仿宋" w:cs="仿宋"/>
              </w:rPr>
            </w:pPr>
          </w:p>
        </w:tc>
      </w:tr>
      <w:tr w14:paraId="31809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1C32DCD">
            <w:pPr>
              <w:spacing w:line="400" w:lineRule="exact"/>
              <w:jc w:val="center"/>
              <w:rPr>
                <w:rFonts w:ascii="仿宋" w:hAnsi="仿宋" w:cs="仿宋"/>
              </w:rPr>
            </w:pPr>
            <w:r>
              <w:rPr>
                <w:rFonts w:hint="eastAsia" w:ascii="仿宋" w:hAnsi="仿宋" w:cs="仿宋"/>
              </w:rPr>
              <w:t>2</w:t>
            </w:r>
          </w:p>
        </w:tc>
        <w:tc>
          <w:tcPr>
            <w:tcW w:w="1661" w:type="dxa"/>
            <w:vAlign w:val="center"/>
          </w:tcPr>
          <w:p w14:paraId="371FA467">
            <w:pPr>
              <w:jc w:val="center"/>
              <w:rPr>
                <w:rFonts w:ascii="仿宋" w:hAnsi="仿宋" w:cs="仿宋"/>
              </w:rPr>
            </w:pPr>
          </w:p>
        </w:tc>
        <w:tc>
          <w:tcPr>
            <w:tcW w:w="1834" w:type="dxa"/>
            <w:vAlign w:val="center"/>
          </w:tcPr>
          <w:p w14:paraId="575DA53A">
            <w:pPr>
              <w:spacing w:line="400" w:lineRule="exact"/>
              <w:jc w:val="center"/>
              <w:rPr>
                <w:rFonts w:ascii="仿宋" w:hAnsi="仿宋" w:cs="仿宋"/>
              </w:rPr>
            </w:pPr>
          </w:p>
        </w:tc>
        <w:tc>
          <w:tcPr>
            <w:tcW w:w="2707" w:type="dxa"/>
            <w:vAlign w:val="center"/>
          </w:tcPr>
          <w:p w14:paraId="12E2F91D">
            <w:pPr>
              <w:spacing w:line="400" w:lineRule="exact"/>
              <w:jc w:val="center"/>
              <w:rPr>
                <w:rFonts w:ascii="仿宋" w:hAnsi="仿宋" w:cs="仿宋"/>
              </w:rPr>
            </w:pPr>
          </w:p>
        </w:tc>
        <w:tc>
          <w:tcPr>
            <w:tcW w:w="1169" w:type="dxa"/>
            <w:vAlign w:val="center"/>
          </w:tcPr>
          <w:p w14:paraId="7C210EC9">
            <w:pPr>
              <w:jc w:val="center"/>
              <w:rPr>
                <w:rFonts w:ascii="仿宋" w:hAnsi="仿宋" w:cs="仿宋"/>
              </w:rPr>
            </w:pPr>
          </w:p>
        </w:tc>
        <w:tc>
          <w:tcPr>
            <w:tcW w:w="1559" w:type="dxa"/>
            <w:vAlign w:val="center"/>
          </w:tcPr>
          <w:p w14:paraId="61D17652">
            <w:pPr>
              <w:spacing w:line="400" w:lineRule="exact"/>
              <w:jc w:val="center"/>
              <w:rPr>
                <w:rFonts w:ascii="仿宋" w:hAnsi="仿宋" w:cs="仿宋"/>
              </w:rPr>
            </w:pPr>
          </w:p>
        </w:tc>
        <w:tc>
          <w:tcPr>
            <w:tcW w:w="1984" w:type="dxa"/>
            <w:vAlign w:val="center"/>
          </w:tcPr>
          <w:p w14:paraId="6BB1ABDC">
            <w:pPr>
              <w:spacing w:line="400" w:lineRule="exact"/>
              <w:jc w:val="center"/>
              <w:rPr>
                <w:rFonts w:ascii="仿宋" w:hAnsi="仿宋" w:cs="仿宋"/>
              </w:rPr>
            </w:pPr>
          </w:p>
        </w:tc>
        <w:tc>
          <w:tcPr>
            <w:tcW w:w="3119" w:type="dxa"/>
            <w:vAlign w:val="center"/>
          </w:tcPr>
          <w:p w14:paraId="5562FD30">
            <w:pPr>
              <w:spacing w:line="400" w:lineRule="exact"/>
              <w:jc w:val="center"/>
              <w:rPr>
                <w:rFonts w:ascii="仿宋" w:hAnsi="仿宋" w:cs="仿宋"/>
              </w:rPr>
            </w:pPr>
          </w:p>
        </w:tc>
      </w:tr>
      <w:tr w14:paraId="58651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20385BB">
            <w:pPr>
              <w:spacing w:line="400" w:lineRule="exact"/>
              <w:jc w:val="center"/>
              <w:rPr>
                <w:rFonts w:ascii="仿宋" w:hAnsi="仿宋" w:cs="仿宋"/>
              </w:rPr>
            </w:pPr>
            <w:r>
              <w:rPr>
                <w:rFonts w:hint="eastAsia" w:ascii="仿宋" w:hAnsi="仿宋" w:cs="仿宋"/>
              </w:rPr>
              <w:t>3</w:t>
            </w:r>
          </w:p>
        </w:tc>
        <w:tc>
          <w:tcPr>
            <w:tcW w:w="1661" w:type="dxa"/>
            <w:vAlign w:val="center"/>
          </w:tcPr>
          <w:p w14:paraId="0D8C0DA3">
            <w:pPr>
              <w:jc w:val="center"/>
              <w:rPr>
                <w:rFonts w:ascii="仿宋" w:hAnsi="仿宋" w:cs="仿宋"/>
              </w:rPr>
            </w:pPr>
          </w:p>
        </w:tc>
        <w:tc>
          <w:tcPr>
            <w:tcW w:w="1834" w:type="dxa"/>
            <w:vAlign w:val="center"/>
          </w:tcPr>
          <w:p w14:paraId="015EEDC8">
            <w:pPr>
              <w:spacing w:line="400" w:lineRule="exact"/>
              <w:jc w:val="center"/>
              <w:rPr>
                <w:rFonts w:ascii="仿宋" w:hAnsi="仿宋" w:cs="仿宋"/>
              </w:rPr>
            </w:pPr>
          </w:p>
        </w:tc>
        <w:tc>
          <w:tcPr>
            <w:tcW w:w="2707" w:type="dxa"/>
            <w:vAlign w:val="center"/>
          </w:tcPr>
          <w:p w14:paraId="120D4F55">
            <w:pPr>
              <w:spacing w:line="400" w:lineRule="exact"/>
              <w:jc w:val="center"/>
              <w:rPr>
                <w:rFonts w:ascii="仿宋" w:hAnsi="仿宋" w:cs="仿宋"/>
              </w:rPr>
            </w:pPr>
          </w:p>
        </w:tc>
        <w:tc>
          <w:tcPr>
            <w:tcW w:w="1169" w:type="dxa"/>
            <w:vAlign w:val="center"/>
          </w:tcPr>
          <w:p w14:paraId="6703F073">
            <w:pPr>
              <w:jc w:val="center"/>
              <w:rPr>
                <w:rFonts w:ascii="仿宋" w:hAnsi="仿宋" w:cs="仿宋"/>
              </w:rPr>
            </w:pPr>
          </w:p>
        </w:tc>
        <w:tc>
          <w:tcPr>
            <w:tcW w:w="1559" w:type="dxa"/>
            <w:vAlign w:val="center"/>
          </w:tcPr>
          <w:p w14:paraId="4947A640">
            <w:pPr>
              <w:spacing w:line="400" w:lineRule="exact"/>
              <w:jc w:val="center"/>
              <w:rPr>
                <w:rFonts w:ascii="仿宋" w:hAnsi="仿宋" w:cs="仿宋"/>
              </w:rPr>
            </w:pPr>
          </w:p>
        </w:tc>
        <w:tc>
          <w:tcPr>
            <w:tcW w:w="1984" w:type="dxa"/>
            <w:vAlign w:val="center"/>
          </w:tcPr>
          <w:p w14:paraId="38C4632C">
            <w:pPr>
              <w:spacing w:line="400" w:lineRule="exact"/>
              <w:jc w:val="center"/>
              <w:rPr>
                <w:rFonts w:ascii="仿宋" w:hAnsi="仿宋" w:cs="仿宋"/>
              </w:rPr>
            </w:pPr>
          </w:p>
        </w:tc>
        <w:tc>
          <w:tcPr>
            <w:tcW w:w="3119" w:type="dxa"/>
            <w:vAlign w:val="center"/>
          </w:tcPr>
          <w:p w14:paraId="7151CD0A">
            <w:pPr>
              <w:spacing w:line="400" w:lineRule="exact"/>
              <w:jc w:val="center"/>
              <w:rPr>
                <w:rFonts w:ascii="仿宋" w:hAnsi="仿宋" w:cs="仿宋"/>
              </w:rPr>
            </w:pPr>
          </w:p>
        </w:tc>
      </w:tr>
      <w:tr w14:paraId="4E874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5E8C2702">
            <w:pPr>
              <w:spacing w:line="400" w:lineRule="exact"/>
              <w:jc w:val="center"/>
              <w:rPr>
                <w:rFonts w:ascii="仿宋" w:hAnsi="仿宋" w:cs="仿宋"/>
              </w:rPr>
            </w:pPr>
            <w:r>
              <w:rPr>
                <w:rFonts w:hint="eastAsia" w:ascii="仿宋" w:hAnsi="仿宋" w:cs="仿宋"/>
              </w:rPr>
              <w:t>4</w:t>
            </w:r>
          </w:p>
        </w:tc>
        <w:tc>
          <w:tcPr>
            <w:tcW w:w="1661" w:type="dxa"/>
            <w:vAlign w:val="center"/>
          </w:tcPr>
          <w:p w14:paraId="383EFC1F">
            <w:pPr>
              <w:jc w:val="center"/>
              <w:rPr>
                <w:rFonts w:ascii="仿宋" w:hAnsi="仿宋" w:cs="仿宋"/>
              </w:rPr>
            </w:pPr>
          </w:p>
        </w:tc>
        <w:tc>
          <w:tcPr>
            <w:tcW w:w="1834" w:type="dxa"/>
            <w:vAlign w:val="center"/>
          </w:tcPr>
          <w:p w14:paraId="4BF42E52">
            <w:pPr>
              <w:spacing w:line="400" w:lineRule="exact"/>
              <w:jc w:val="center"/>
              <w:rPr>
                <w:rFonts w:ascii="仿宋" w:hAnsi="仿宋" w:cs="仿宋"/>
              </w:rPr>
            </w:pPr>
          </w:p>
        </w:tc>
        <w:tc>
          <w:tcPr>
            <w:tcW w:w="2707" w:type="dxa"/>
            <w:vAlign w:val="center"/>
          </w:tcPr>
          <w:p w14:paraId="1F1B6CF1">
            <w:pPr>
              <w:spacing w:line="400" w:lineRule="exact"/>
              <w:jc w:val="center"/>
              <w:rPr>
                <w:rFonts w:ascii="仿宋" w:hAnsi="仿宋" w:cs="仿宋"/>
              </w:rPr>
            </w:pPr>
          </w:p>
        </w:tc>
        <w:tc>
          <w:tcPr>
            <w:tcW w:w="1169" w:type="dxa"/>
            <w:vAlign w:val="center"/>
          </w:tcPr>
          <w:p w14:paraId="73ED5263">
            <w:pPr>
              <w:jc w:val="center"/>
              <w:rPr>
                <w:rFonts w:ascii="仿宋" w:hAnsi="仿宋" w:cs="仿宋"/>
              </w:rPr>
            </w:pPr>
          </w:p>
        </w:tc>
        <w:tc>
          <w:tcPr>
            <w:tcW w:w="1559" w:type="dxa"/>
            <w:vAlign w:val="center"/>
          </w:tcPr>
          <w:p w14:paraId="2FDD81FA">
            <w:pPr>
              <w:spacing w:line="400" w:lineRule="exact"/>
              <w:jc w:val="center"/>
              <w:rPr>
                <w:rFonts w:ascii="仿宋" w:hAnsi="仿宋" w:cs="仿宋"/>
              </w:rPr>
            </w:pPr>
          </w:p>
        </w:tc>
        <w:tc>
          <w:tcPr>
            <w:tcW w:w="1984" w:type="dxa"/>
            <w:vAlign w:val="center"/>
          </w:tcPr>
          <w:p w14:paraId="208F2E7D">
            <w:pPr>
              <w:spacing w:line="400" w:lineRule="exact"/>
              <w:jc w:val="center"/>
              <w:rPr>
                <w:rFonts w:ascii="仿宋" w:hAnsi="仿宋" w:cs="仿宋"/>
              </w:rPr>
            </w:pPr>
          </w:p>
        </w:tc>
        <w:tc>
          <w:tcPr>
            <w:tcW w:w="3119" w:type="dxa"/>
            <w:vAlign w:val="center"/>
          </w:tcPr>
          <w:p w14:paraId="16BF0A53">
            <w:pPr>
              <w:spacing w:line="400" w:lineRule="exact"/>
              <w:jc w:val="center"/>
              <w:rPr>
                <w:rFonts w:ascii="仿宋" w:hAnsi="仿宋" w:cs="仿宋"/>
              </w:rPr>
            </w:pPr>
          </w:p>
        </w:tc>
      </w:tr>
      <w:tr w14:paraId="00CC0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74911FC">
            <w:pPr>
              <w:spacing w:line="400" w:lineRule="exact"/>
              <w:jc w:val="center"/>
              <w:rPr>
                <w:rFonts w:ascii="仿宋" w:hAnsi="仿宋" w:cs="仿宋"/>
              </w:rPr>
            </w:pPr>
            <w:r>
              <w:rPr>
                <w:rFonts w:hint="eastAsia" w:ascii="仿宋" w:hAnsi="仿宋" w:cs="仿宋"/>
              </w:rPr>
              <w:t>5</w:t>
            </w:r>
          </w:p>
        </w:tc>
        <w:tc>
          <w:tcPr>
            <w:tcW w:w="1661" w:type="dxa"/>
            <w:vAlign w:val="center"/>
          </w:tcPr>
          <w:p w14:paraId="19C2E1B4">
            <w:pPr>
              <w:jc w:val="center"/>
              <w:rPr>
                <w:rFonts w:ascii="仿宋" w:hAnsi="仿宋" w:cs="仿宋"/>
              </w:rPr>
            </w:pPr>
          </w:p>
        </w:tc>
        <w:tc>
          <w:tcPr>
            <w:tcW w:w="1834" w:type="dxa"/>
            <w:vAlign w:val="center"/>
          </w:tcPr>
          <w:p w14:paraId="0610681A">
            <w:pPr>
              <w:spacing w:line="400" w:lineRule="exact"/>
              <w:jc w:val="center"/>
              <w:rPr>
                <w:rFonts w:ascii="仿宋" w:hAnsi="仿宋" w:cs="仿宋"/>
              </w:rPr>
            </w:pPr>
          </w:p>
        </w:tc>
        <w:tc>
          <w:tcPr>
            <w:tcW w:w="2707" w:type="dxa"/>
            <w:vAlign w:val="center"/>
          </w:tcPr>
          <w:p w14:paraId="25A68719">
            <w:pPr>
              <w:spacing w:line="400" w:lineRule="exact"/>
              <w:jc w:val="center"/>
              <w:rPr>
                <w:rFonts w:ascii="仿宋" w:hAnsi="仿宋" w:cs="仿宋"/>
              </w:rPr>
            </w:pPr>
          </w:p>
        </w:tc>
        <w:tc>
          <w:tcPr>
            <w:tcW w:w="1169" w:type="dxa"/>
            <w:vAlign w:val="center"/>
          </w:tcPr>
          <w:p w14:paraId="75BEBCF0">
            <w:pPr>
              <w:jc w:val="center"/>
              <w:rPr>
                <w:rFonts w:ascii="仿宋" w:hAnsi="仿宋" w:cs="仿宋"/>
              </w:rPr>
            </w:pPr>
          </w:p>
        </w:tc>
        <w:tc>
          <w:tcPr>
            <w:tcW w:w="1559" w:type="dxa"/>
            <w:vAlign w:val="center"/>
          </w:tcPr>
          <w:p w14:paraId="23581546">
            <w:pPr>
              <w:spacing w:line="400" w:lineRule="exact"/>
              <w:jc w:val="center"/>
              <w:rPr>
                <w:rFonts w:ascii="仿宋" w:hAnsi="仿宋" w:cs="仿宋"/>
              </w:rPr>
            </w:pPr>
          </w:p>
        </w:tc>
        <w:tc>
          <w:tcPr>
            <w:tcW w:w="1984" w:type="dxa"/>
            <w:vAlign w:val="center"/>
          </w:tcPr>
          <w:p w14:paraId="1E883BDC">
            <w:pPr>
              <w:spacing w:line="400" w:lineRule="exact"/>
              <w:jc w:val="center"/>
              <w:rPr>
                <w:rFonts w:ascii="仿宋" w:hAnsi="仿宋" w:cs="仿宋"/>
              </w:rPr>
            </w:pPr>
          </w:p>
        </w:tc>
        <w:tc>
          <w:tcPr>
            <w:tcW w:w="3119" w:type="dxa"/>
            <w:vAlign w:val="center"/>
          </w:tcPr>
          <w:p w14:paraId="600E8FBD">
            <w:pPr>
              <w:spacing w:line="400" w:lineRule="exact"/>
              <w:jc w:val="center"/>
              <w:rPr>
                <w:rFonts w:ascii="仿宋" w:hAnsi="仿宋" w:cs="仿宋"/>
              </w:rPr>
            </w:pPr>
          </w:p>
        </w:tc>
      </w:tr>
      <w:tr w14:paraId="465EC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63660F0">
            <w:pPr>
              <w:spacing w:line="400" w:lineRule="exact"/>
              <w:jc w:val="center"/>
              <w:rPr>
                <w:rFonts w:ascii="仿宋" w:hAnsi="仿宋" w:cs="仿宋"/>
              </w:rPr>
            </w:pPr>
            <w:r>
              <w:rPr>
                <w:rFonts w:hint="eastAsia" w:ascii="仿宋" w:hAnsi="仿宋" w:cs="仿宋"/>
              </w:rPr>
              <w:t>6</w:t>
            </w:r>
          </w:p>
        </w:tc>
        <w:tc>
          <w:tcPr>
            <w:tcW w:w="1661" w:type="dxa"/>
            <w:vAlign w:val="center"/>
          </w:tcPr>
          <w:p w14:paraId="574A470E">
            <w:pPr>
              <w:jc w:val="center"/>
              <w:rPr>
                <w:rFonts w:ascii="仿宋" w:hAnsi="仿宋" w:cs="仿宋"/>
              </w:rPr>
            </w:pPr>
          </w:p>
        </w:tc>
        <w:tc>
          <w:tcPr>
            <w:tcW w:w="1834" w:type="dxa"/>
            <w:vAlign w:val="center"/>
          </w:tcPr>
          <w:p w14:paraId="5FBE7F71">
            <w:pPr>
              <w:spacing w:line="400" w:lineRule="exact"/>
              <w:jc w:val="center"/>
              <w:rPr>
                <w:rFonts w:ascii="仿宋" w:hAnsi="仿宋" w:cs="仿宋"/>
              </w:rPr>
            </w:pPr>
          </w:p>
        </w:tc>
        <w:tc>
          <w:tcPr>
            <w:tcW w:w="2707" w:type="dxa"/>
            <w:vAlign w:val="center"/>
          </w:tcPr>
          <w:p w14:paraId="32815FEF">
            <w:pPr>
              <w:spacing w:line="400" w:lineRule="exact"/>
              <w:jc w:val="center"/>
              <w:rPr>
                <w:rFonts w:ascii="仿宋" w:hAnsi="仿宋" w:cs="仿宋"/>
              </w:rPr>
            </w:pPr>
          </w:p>
        </w:tc>
        <w:tc>
          <w:tcPr>
            <w:tcW w:w="1169" w:type="dxa"/>
            <w:vAlign w:val="center"/>
          </w:tcPr>
          <w:p w14:paraId="3F4E1F25">
            <w:pPr>
              <w:jc w:val="center"/>
              <w:rPr>
                <w:rFonts w:ascii="仿宋" w:hAnsi="仿宋" w:cs="仿宋"/>
              </w:rPr>
            </w:pPr>
          </w:p>
        </w:tc>
        <w:tc>
          <w:tcPr>
            <w:tcW w:w="1559" w:type="dxa"/>
            <w:vAlign w:val="center"/>
          </w:tcPr>
          <w:p w14:paraId="2716F8A6">
            <w:pPr>
              <w:spacing w:line="400" w:lineRule="exact"/>
              <w:jc w:val="center"/>
              <w:rPr>
                <w:rFonts w:ascii="仿宋" w:hAnsi="仿宋" w:cs="仿宋"/>
              </w:rPr>
            </w:pPr>
          </w:p>
        </w:tc>
        <w:tc>
          <w:tcPr>
            <w:tcW w:w="1984" w:type="dxa"/>
            <w:vAlign w:val="center"/>
          </w:tcPr>
          <w:p w14:paraId="2219D2AA">
            <w:pPr>
              <w:spacing w:line="400" w:lineRule="exact"/>
              <w:jc w:val="center"/>
              <w:rPr>
                <w:rFonts w:ascii="仿宋" w:hAnsi="仿宋" w:cs="仿宋"/>
              </w:rPr>
            </w:pPr>
          </w:p>
        </w:tc>
        <w:tc>
          <w:tcPr>
            <w:tcW w:w="3119" w:type="dxa"/>
            <w:vAlign w:val="center"/>
          </w:tcPr>
          <w:p w14:paraId="5644174B">
            <w:pPr>
              <w:spacing w:line="400" w:lineRule="exact"/>
              <w:jc w:val="center"/>
              <w:rPr>
                <w:rFonts w:ascii="仿宋" w:hAnsi="仿宋" w:cs="仿宋"/>
              </w:rPr>
            </w:pPr>
          </w:p>
        </w:tc>
      </w:tr>
      <w:tr w14:paraId="42258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CC3B619">
            <w:pPr>
              <w:spacing w:line="400" w:lineRule="exact"/>
              <w:jc w:val="center"/>
              <w:rPr>
                <w:rFonts w:ascii="仿宋" w:hAnsi="仿宋" w:cs="仿宋"/>
              </w:rPr>
            </w:pPr>
            <w:r>
              <w:rPr>
                <w:rFonts w:hint="eastAsia" w:ascii="仿宋" w:hAnsi="仿宋" w:cs="仿宋"/>
              </w:rPr>
              <w:t>7</w:t>
            </w:r>
          </w:p>
        </w:tc>
        <w:tc>
          <w:tcPr>
            <w:tcW w:w="1661" w:type="dxa"/>
            <w:vAlign w:val="center"/>
          </w:tcPr>
          <w:p w14:paraId="62CB9FFA">
            <w:pPr>
              <w:jc w:val="center"/>
              <w:rPr>
                <w:rFonts w:ascii="仿宋" w:hAnsi="仿宋" w:cs="仿宋"/>
              </w:rPr>
            </w:pPr>
          </w:p>
        </w:tc>
        <w:tc>
          <w:tcPr>
            <w:tcW w:w="1834" w:type="dxa"/>
            <w:vAlign w:val="center"/>
          </w:tcPr>
          <w:p w14:paraId="03E692BB">
            <w:pPr>
              <w:spacing w:line="400" w:lineRule="exact"/>
              <w:jc w:val="center"/>
              <w:rPr>
                <w:rFonts w:ascii="仿宋" w:hAnsi="仿宋" w:cs="仿宋"/>
              </w:rPr>
            </w:pPr>
          </w:p>
        </w:tc>
        <w:tc>
          <w:tcPr>
            <w:tcW w:w="2707" w:type="dxa"/>
            <w:vAlign w:val="center"/>
          </w:tcPr>
          <w:p w14:paraId="6C5CE432">
            <w:pPr>
              <w:spacing w:line="400" w:lineRule="exact"/>
              <w:jc w:val="center"/>
              <w:rPr>
                <w:rFonts w:ascii="仿宋" w:hAnsi="仿宋" w:cs="仿宋"/>
              </w:rPr>
            </w:pPr>
          </w:p>
        </w:tc>
        <w:tc>
          <w:tcPr>
            <w:tcW w:w="1169" w:type="dxa"/>
            <w:vAlign w:val="center"/>
          </w:tcPr>
          <w:p w14:paraId="42BD6CF4">
            <w:pPr>
              <w:jc w:val="center"/>
              <w:rPr>
                <w:rFonts w:ascii="仿宋" w:hAnsi="仿宋" w:cs="仿宋"/>
              </w:rPr>
            </w:pPr>
          </w:p>
        </w:tc>
        <w:tc>
          <w:tcPr>
            <w:tcW w:w="1559" w:type="dxa"/>
            <w:vAlign w:val="center"/>
          </w:tcPr>
          <w:p w14:paraId="11D8DCD7">
            <w:pPr>
              <w:spacing w:line="400" w:lineRule="exact"/>
              <w:jc w:val="center"/>
              <w:rPr>
                <w:rFonts w:ascii="仿宋" w:hAnsi="仿宋" w:cs="仿宋"/>
              </w:rPr>
            </w:pPr>
          </w:p>
        </w:tc>
        <w:tc>
          <w:tcPr>
            <w:tcW w:w="1984" w:type="dxa"/>
            <w:vAlign w:val="center"/>
          </w:tcPr>
          <w:p w14:paraId="753D2BC5">
            <w:pPr>
              <w:spacing w:line="400" w:lineRule="exact"/>
              <w:jc w:val="center"/>
              <w:rPr>
                <w:rFonts w:ascii="仿宋" w:hAnsi="仿宋" w:cs="仿宋"/>
              </w:rPr>
            </w:pPr>
          </w:p>
        </w:tc>
        <w:tc>
          <w:tcPr>
            <w:tcW w:w="3119" w:type="dxa"/>
            <w:vAlign w:val="center"/>
          </w:tcPr>
          <w:p w14:paraId="705927BA">
            <w:pPr>
              <w:spacing w:line="400" w:lineRule="exact"/>
              <w:jc w:val="center"/>
              <w:rPr>
                <w:rFonts w:ascii="仿宋" w:hAnsi="仿宋" w:cs="仿宋"/>
              </w:rPr>
            </w:pPr>
          </w:p>
        </w:tc>
      </w:tr>
      <w:tr w14:paraId="77246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4B6462F">
            <w:pPr>
              <w:spacing w:line="400" w:lineRule="exact"/>
              <w:jc w:val="center"/>
              <w:rPr>
                <w:rFonts w:ascii="仿宋" w:hAnsi="仿宋" w:cs="仿宋"/>
              </w:rPr>
            </w:pPr>
            <w:r>
              <w:rPr>
                <w:rFonts w:hint="eastAsia" w:ascii="仿宋" w:hAnsi="仿宋" w:cs="仿宋"/>
              </w:rPr>
              <w:t>8</w:t>
            </w:r>
          </w:p>
        </w:tc>
        <w:tc>
          <w:tcPr>
            <w:tcW w:w="1661" w:type="dxa"/>
            <w:vAlign w:val="center"/>
          </w:tcPr>
          <w:p w14:paraId="62670600">
            <w:pPr>
              <w:jc w:val="center"/>
              <w:rPr>
                <w:rFonts w:ascii="仿宋" w:hAnsi="仿宋" w:cs="仿宋"/>
              </w:rPr>
            </w:pPr>
          </w:p>
        </w:tc>
        <w:tc>
          <w:tcPr>
            <w:tcW w:w="1834" w:type="dxa"/>
            <w:vAlign w:val="center"/>
          </w:tcPr>
          <w:p w14:paraId="0C306A91">
            <w:pPr>
              <w:spacing w:line="400" w:lineRule="exact"/>
              <w:jc w:val="center"/>
              <w:rPr>
                <w:rFonts w:ascii="仿宋" w:hAnsi="仿宋" w:cs="仿宋"/>
              </w:rPr>
            </w:pPr>
          </w:p>
        </w:tc>
        <w:tc>
          <w:tcPr>
            <w:tcW w:w="2707" w:type="dxa"/>
            <w:vAlign w:val="center"/>
          </w:tcPr>
          <w:p w14:paraId="17E7B1AD">
            <w:pPr>
              <w:spacing w:line="400" w:lineRule="exact"/>
              <w:jc w:val="center"/>
              <w:rPr>
                <w:rFonts w:ascii="仿宋" w:hAnsi="仿宋" w:cs="仿宋"/>
              </w:rPr>
            </w:pPr>
          </w:p>
        </w:tc>
        <w:tc>
          <w:tcPr>
            <w:tcW w:w="1169" w:type="dxa"/>
            <w:vAlign w:val="center"/>
          </w:tcPr>
          <w:p w14:paraId="06EDAE02">
            <w:pPr>
              <w:jc w:val="center"/>
              <w:rPr>
                <w:rFonts w:ascii="仿宋" w:hAnsi="仿宋" w:cs="仿宋"/>
              </w:rPr>
            </w:pPr>
          </w:p>
        </w:tc>
        <w:tc>
          <w:tcPr>
            <w:tcW w:w="1559" w:type="dxa"/>
            <w:vAlign w:val="center"/>
          </w:tcPr>
          <w:p w14:paraId="3B603883">
            <w:pPr>
              <w:spacing w:line="400" w:lineRule="exact"/>
              <w:jc w:val="center"/>
              <w:rPr>
                <w:rFonts w:ascii="仿宋" w:hAnsi="仿宋" w:cs="仿宋"/>
              </w:rPr>
            </w:pPr>
          </w:p>
        </w:tc>
        <w:tc>
          <w:tcPr>
            <w:tcW w:w="1984" w:type="dxa"/>
            <w:vAlign w:val="center"/>
          </w:tcPr>
          <w:p w14:paraId="7BD2CE7B">
            <w:pPr>
              <w:spacing w:line="400" w:lineRule="exact"/>
              <w:jc w:val="center"/>
              <w:rPr>
                <w:rFonts w:ascii="仿宋" w:hAnsi="仿宋" w:cs="仿宋"/>
              </w:rPr>
            </w:pPr>
          </w:p>
        </w:tc>
        <w:tc>
          <w:tcPr>
            <w:tcW w:w="3119" w:type="dxa"/>
            <w:vAlign w:val="center"/>
          </w:tcPr>
          <w:p w14:paraId="54849EC3">
            <w:pPr>
              <w:spacing w:line="400" w:lineRule="exact"/>
              <w:jc w:val="center"/>
              <w:rPr>
                <w:rFonts w:ascii="仿宋" w:hAnsi="仿宋" w:cs="仿宋"/>
              </w:rPr>
            </w:pPr>
          </w:p>
        </w:tc>
      </w:tr>
      <w:bookmarkEnd w:id="415"/>
      <w:bookmarkEnd w:id="416"/>
      <w:tr w14:paraId="6CD72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736" w:type="dxa"/>
            <w:gridSpan w:val="4"/>
            <w:vAlign w:val="center"/>
          </w:tcPr>
          <w:p w14:paraId="2F80B11D">
            <w:pPr>
              <w:spacing w:line="400" w:lineRule="exact"/>
              <w:jc w:val="center"/>
              <w:rPr>
                <w:rFonts w:ascii="仿宋" w:hAnsi="仿宋" w:cs="仿宋"/>
                <w:b/>
              </w:rPr>
            </w:pPr>
            <w:r>
              <w:rPr>
                <w:rFonts w:hint="eastAsia" w:ascii="仿宋" w:hAnsi="仿宋" w:cs="仿宋"/>
                <w:b/>
              </w:rPr>
              <w:t>投标报价（小写）</w:t>
            </w:r>
          </w:p>
        </w:tc>
        <w:tc>
          <w:tcPr>
            <w:tcW w:w="7831" w:type="dxa"/>
            <w:gridSpan w:val="4"/>
            <w:vAlign w:val="center"/>
          </w:tcPr>
          <w:p w14:paraId="2074D836">
            <w:pPr>
              <w:spacing w:line="400" w:lineRule="exact"/>
              <w:jc w:val="center"/>
              <w:rPr>
                <w:rFonts w:ascii="仿宋" w:hAnsi="仿宋" w:cs="仿宋"/>
              </w:rPr>
            </w:pPr>
          </w:p>
        </w:tc>
      </w:tr>
      <w:tr w14:paraId="5D715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736" w:type="dxa"/>
            <w:gridSpan w:val="4"/>
            <w:vAlign w:val="center"/>
          </w:tcPr>
          <w:p w14:paraId="6B5D2D32">
            <w:pPr>
              <w:spacing w:line="400" w:lineRule="exact"/>
              <w:jc w:val="center"/>
              <w:rPr>
                <w:rFonts w:ascii="仿宋" w:hAnsi="仿宋" w:cs="仿宋"/>
                <w:b/>
              </w:rPr>
            </w:pPr>
            <w:r>
              <w:rPr>
                <w:rFonts w:hint="eastAsia" w:ascii="仿宋" w:hAnsi="仿宋" w:cs="仿宋"/>
                <w:b/>
              </w:rPr>
              <w:t>投标报价（大写）</w:t>
            </w:r>
          </w:p>
        </w:tc>
        <w:tc>
          <w:tcPr>
            <w:tcW w:w="7831" w:type="dxa"/>
            <w:gridSpan w:val="4"/>
            <w:vAlign w:val="center"/>
          </w:tcPr>
          <w:p w14:paraId="1C26028D">
            <w:pPr>
              <w:spacing w:line="400" w:lineRule="exact"/>
              <w:jc w:val="center"/>
              <w:rPr>
                <w:rFonts w:ascii="仿宋" w:hAnsi="仿宋" w:cs="仿宋"/>
              </w:rPr>
            </w:pPr>
          </w:p>
        </w:tc>
      </w:tr>
    </w:tbl>
    <w:p w14:paraId="38E3936F">
      <w:pPr>
        <w:spacing w:line="360" w:lineRule="auto"/>
        <w:ind w:left="480"/>
        <w:rPr>
          <w:rFonts w:ascii="仿宋" w:hAnsi="仿宋" w:cs="仿宋"/>
          <w:b/>
          <w:kern w:val="0"/>
          <w:lang w:val="zh-CN"/>
        </w:rPr>
      </w:pPr>
      <w:r>
        <w:rPr>
          <w:rFonts w:hint="eastAsia" w:ascii="仿宋" w:hAnsi="仿宋" w:cs="仿宋"/>
          <w:b/>
          <w:kern w:val="0"/>
          <w:lang w:val="zh-CN"/>
        </w:rPr>
        <w:t>注：</w:t>
      </w:r>
    </w:p>
    <w:p w14:paraId="73B7E2C7">
      <w:pPr>
        <w:spacing w:line="360" w:lineRule="auto"/>
        <w:ind w:left="-2" w:leftChars="-1" w:firstLine="480" w:firstLineChars="200"/>
        <w:rPr>
          <w:rFonts w:ascii="仿宋" w:hAnsi="仿宋" w:cs="仿宋"/>
          <w:kern w:val="0"/>
          <w:lang w:val="zh-CN"/>
        </w:rPr>
      </w:pPr>
      <w:r>
        <w:rPr>
          <w:rFonts w:hint="eastAsia" w:ascii="仿宋" w:hAnsi="仿宋" w:cs="仿宋"/>
          <w:kern w:val="0"/>
          <w:lang w:val="zh-CN"/>
        </w:rPr>
        <w:t>1、投标人需按本表格式填写</w:t>
      </w:r>
      <w:r>
        <w:rPr>
          <w:rFonts w:hint="eastAsia" w:ascii="仿宋" w:hAnsi="仿宋" w:cs="仿宋"/>
          <w:b/>
          <w:bCs/>
          <w:kern w:val="0"/>
          <w:lang w:val="zh-CN"/>
        </w:rPr>
        <w:t>。</w:t>
      </w:r>
    </w:p>
    <w:p w14:paraId="72D4BFA0">
      <w:pPr>
        <w:spacing w:line="360" w:lineRule="auto"/>
        <w:ind w:firstLine="480" w:firstLineChars="200"/>
        <w:rPr>
          <w:rFonts w:ascii="仿宋" w:hAnsi="仿宋" w:cs="仿宋"/>
          <w:kern w:val="0"/>
          <w:lang w:val="zh-CN"/>
        </w:rPr>
      </w:pPr>
      <w:r>
        <w:rPr>
          <w:rFonts w:hint="eastAsia" w:ascii="仿宋" w:hAnsi="仿宋" w:cs="仿宋"/>
          <w:kern w:val="0"/>
          <w:lang w:val="zh-CN"/>
        </w:rPr>
        <w:t>2、有关本项目实施所涉及的一切费用均计入报价。</w:t>
      </w:r>
      <w:r>
        <w:rPr>
          <w:rFonts w:hint="eastAsia" w:ascii="仿宋" w:hAnsi="仿宋" w:cs="仿宋"/>
          <w:b/>
          <w:kern w:val="0"/>
          <w:lang w:val="zh-CN"/>
        </w:rPr>
        <w:t>采购内容未包含在《开标一览表（报价表）》名称栏中，投标人不能作出合理解释的，视为投标文件含有采购人不能接受的附加条件的，投标无效。</w:t>
      </w:r>
    </w:p>
    <w:p w14:paraId="03D58158">
      <w:pPr>
        <w:spacing w:line="360" w:lineRule="auto"/>
        <w:ind w:firstLine="480" w:firstLineChars="200"/>
        <w:jc w:val="left"/>
        <w:rPr>
          <w:rFonts w:ascii="仿宋" w:hAnsi="仿宋" w:cs="仿宋"/>
          <w:kern w:val="0"/>
          <w:lang w:val="zh-CN"/>
        </w:rPr>
      </w:pPr>
      <w:r>
        <w:rPr>
          <w:rFonts w:hint="eastAsia" w:ascii="仿宋" w:hAnsi="仿宋" w:cs="仿宋"/>
          <w:kern w:val="0"/>
          <w:lang w:val="zh-CN"/>
        </w:rPr>
        <w:t>3、特别提示：采购机构将对项目名称和项目编号，中标供应商名称、地址和中标金额，主要中标标的名称、品牌（如果有）、规格型号、数量、单价等予以公示。</w:t>
      </w:r>
    </w:p>
    <w:p w14:paraId="6906961B">
      <w:pPr>
        <w:autoSpaceDE w:val="0"/>
        <w:autoSpaceDN w:val="0"/>
        <w:spacing w:line="360" w:lineRule="auto"/>
        <w:ind w:left="2" w:leftChars="1" w:right="1120" w:firstLine="8880" w:firstLineChars="370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14:paraId="0F4A08A6">
      <w:pPr>
        <w:spacing w:line="360" w:lineRule="auto"/>
        <w:ind w:left="5280" w:leftChars="2200" w:firstLine="4320" w:firstLineChars="1800"/>
        <w:rPr>
          <w:rFonts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w:t>
      </w:r>
    </w:p>
    <w:p w14:paraId="06F2F8B2">
      <w:pPr>
        <w:pStyle w:val="694"/>
        <w:keepNext w:val="0"/>
        <w:pageBreakBefore w:val="0"/>
        <w:tabs>
          <w:tab w:val="clear" w:pos="720"/>
        </w:tabs>
        <w:spacing w:before="120" w:after="120"/>
        <w:ind w:firstLine="643"/>
        <w:outlineLvl w:val="9"/>
        <w:rPr>
          <w:rFonts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14:paraId="19F5618D">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二、中小企业声明函</w:t>
      </w:r>
      <w:r>
        <w:rPr>
          <w:rFonts w:hint="eastAsia" w:ascii="仿宋" w:hAnsi="仿宋" w:cs="仿宋"/>
          <w:b/>
          <w:color w:val="FF0000"/>
          <w:kern w:val="0"/>
          <w:sz w:val="32"/>
          <w:szCs w:val="32"/>
        </w:rPr>
        <w:t>（如有）</w:t>
      </w:r>
    </w:p>
    <w:p w14:paraId="11D9ECA4">
      <w:pPr>
        <w:widowControl/>
        <w:spacing w:line="360" w:lineRule="auto"/>
        <w:ind w:firstLine="120" w:firstLineChars="50"/>
        <w:jc w:val="left"/>
        <w:rPr>
          <w:rFonts w:ascii="仿宋" w:hAnsi="仿宋" w:cs="仿宋"/>
          <w:b/>
          <w:color w:val="FF0000"/>
        </w:rPr>
      </w:pPr>
      <w:r>
        <w:rPr>
          <w:rFonts w:hint="eastAsia" w:ascii="仿宋" w:hAnsi="仿宋" w:cs="仿宋"/>
          <w:b/>
          <w:color w:val="FF0000"/>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511B41F">
      <w:pPr>
        <w:rPr>
          <w:rFonts w:ascii="仿宋" w:hAnsi="仿宋" w:cs="仿宋"/>
          <w:b/>
          <w:sz w:val="32"/>
          <w:szCs w:val="32"/>
        </w:rPr>
      </w:pPr>
      <w:r>
        <w:rPr>
          <w:rFonts w:hint="eastAsia" w:ascii="仿宋" w:hAnsi="仿宋" w:cs="仿宋"/>
          <w:b/>
          <w:sz w:val="32"/>
          <w:szCs w:val="32"/>
        </w:rPr>
        <w:br w:type="page"/>
      </w:r>
    </w:p>
    <w:p w14:paraId="04381893">
      <w:pPr>
        <w:tabs>
          <w:tab w:val="left" w:pos="210"/>
          <w:tab w:val="left" w:pos="630"/>
          <w:tab w:val="left" w:pos="840"/>
        </w:tabs>
        <w:spacing w:line="360" w:lineRule="auto"/>
        <w:jc w:val="left"/>
        <w:outlineLvl w:val="2"/>
        <w:rPr>
          <w:rFonts w:ascii="仿宋" w:hAnsi="仿宋" w:cs="仿宋"/>
          <w:bCs/>
          <w:color w:val="FF0000"/>
        </w:rPr>
      </w:pPr>
      <w:r>
        <w:rPr>
          <w:rFonts w:hint="eastAsia" w:ascii="仿宋" w:hAnsi="仿宋" w:cs="仿宋"/>
          <w:bCs/>
          <w:color w:val="FF0000"/>
        </w:rPr>
        <w:t>三、中标服务费支付承诺书和中标服务费结算信息表。</w:t>
      </w:r>
    </w:p>
    <w:p w14:paraId="613A135D">
      <w:pPr>
        <w:jc w:val="center"/>
        <w:rPr>
          <w:rFonts w:ascii="仿宋" w:hAnsi="仿宋" w:cs="仿宋"/>
          <w:b/>
          <w:sz w:val="28"/>
          <w:szCs w:val="28"/>
        </w:rPr>
      </w:pPr>
    </w:p>
    <w:p w14:paraId="6BC8D3AF">
      <w:pPr>
        <w:jc w:val="center"/>
        <w:rPr>
          <w:rFonts w:ascii="仿宋" w:hAnsi="仿宋" w:cs="仿宋"/>
          <w:b/>
          <w:sz w:val="28"/>
          <w:szCs w:val="28"/>
        </w:rPr>
      </w:pPr>
      <w:r>
        <w:rPr>
          <w:rFonts w:hint="eastAsia" w:ascii="仿宋" w:hAnsi="仿宋" w:cs="仿宋"/>
          <w:b/>
          <w:sz w:val="28"/>
          <w:szCs w:val="28"/>
        </w:rPr>
        <w:t>中标服务费支付承诺书</w:t>
      </w:r>
    </w:p>
    <w:p w14:paraId="1625CC2F">
      <w:pPr>
        <w:spacing w:line="600" w:lineRule="auto"/>
        <w:jc w:val="center"/>
        <w:rPr>
          <w:rFonts w:ascii="仿宋" w:hAnsi="仿宋" w:cs="仿宋"/>
          <w:b/>
          <w:sz w:val="28"/>
          <w:szCs w:val="28"/>
        </w:rPr>
      </w:pPr>
    </w:p>
    <w:p w14:paraId="6DAF7DA7">
      <w:pPr>
        <w:keepNext/>
        <w:keepLines/>
        <w:spacing w:line="600" w:lineRule="auto"/>
        <w:ind w:firstLine="470" w:firstLineChars="196"/>
        <w:rPr>
          <w:rFonts w:ascii="仿宋" w:hAnsi="仿宋" w:cs="仿宋"/>
          <w:u w:val="single"/>
        </w:rPr>
      </w:pPr>
      <w:r>
        <w:rPr>
          <w:rFonts w:hint="eastAsia" w:ascii="仿宋" w:hAnsi="仿宋" w:cs="仿宋"/>
          <w:u w:val="single"/>
        </w:rPr>
        <w:t>浙江国际招投标有限公司：</w:t>
      </w:r>
    </w:p>
    <w:p w14:paraId="6AEFCF92">
      <w:pPr>
        <w:keepNext/>
        <w:keepLines/>
        <w:spacing w:line="600" w:lineRule="auto"/>
        <w:ind w:firstLine="480"/>
        <w:rPr>
          <w:rFonts w:ascii="仿宋" w:hAnsi="仿宋" w:cs="仿宋"/>
        </w:rPr>
      </w:pPr>
    </w:p>
    <w:p w14:paraId="36414582">
      <w:pPr>
        <w:keepNext/>
        <w:keepLines/>
        <w:spacing w:line="480" w:lineRule="auto"/>
        <w:ind w:firstLine="480" w:firstLineChars="200"/>
        <w:rPr>
          <w:rFonts w:ascii="仿宋" w:hAnsi="仿宋" w:cs="仿宋"/>
        </w:rPr>
      </w:pPr>
      <w:r>
        <w:rPr>
          <w:rFonts w:hint="eastAsia" w:ascii="仿宋" w:hAnsi="仿宋" w:cs="仿宋"/>
        </w:rPr>
        <w:t>本单位在此承诺：如在本项目中标，成交结果公告发布之日起5个工作日之内，向贵公司按采购文件约定支付中标服务费。</w:t>
      </w:r>
    </w:p>
    <w:p w14:paraId="3B9E6C7D">
      <w:pPr>
        <w:spacing w:line="480" w:lineRule="auto"/>
        <w:ind w:firstLine="480" w:firstLineChars="200"/>
        <w:rPr>
          <w:rFonts w:ascii="仿宋" w:hAnsi="仿宋" w:cs="仿宋"/>
        </w:rPr>
      </w:pPr>
    </w:p>
    <w:p w14:paraId="41B8810F">
      <w:pPr>
        <w:spacing w:line="480" w:lineRule="auto"/>
        <w:ind w:firstLine="480" w:firstLineChars="200"/>
        <w:rPr>
          <w:rFonts w:ascii="仿宋" w:hAnsi="仿宋" w:cs="仿宋"/>
        </w:rPr>
      </w:pPr>
    </w:p>
    <w:p w14:paraId="1ED3DAC4">
      <w:pPr>
        <w:spacing w:line="360" w:lineRule="auto"/>
        <w:rPr>
          <w:rFonts w:ascii="仿宋" w:hAnsi="仿宋" w:cs="仿宋"/>
        </w:rPr>
      </w:pPr>
    </w:p>
    <w:p w14:paraId="4119ADD8">
      <w:pPr>
        <w:spacing w:line="360" w:lineRule="auto"/>
        <w:jc w:val="right"/>
        <w:rPr>
          <w:rFonts w:ascii="仿宋" w:hAnsi="仿宋" w:cs="仿宋"/>
          <w:spacing w:val="20"/>
          <w:szCs w:val="22"/>
          <w:u w:val="single"/>
        </w:rPr>
      </w:pPr>
      <w:r>
        <w:rPr>
          <w:rFonts w:hint="eastAsia" w:ascii="仿宋" w:hAnsi="仿宋" w:cs="仿宋"/>
          <w:szCs w:val="22"/>
        </w:rPr>
        <w:t>供应商（电子签名）：</w:t>
      </w:r>
    </w:p>
    <w:p w14:paraId="34DE8F7B">
      <w:pPr>
        <w:spacing w:line="360" w:lineRule="auto"/>
        <w:ind w:right="375"/>
        <w:jc w:val="right"/>
        <w:rPr>
          <w:rFonts w:ascii="仿宋" w:hAnsi="仿宋" w:cs="仿宋"/>
          <w:szCs w:val="22"/>
        </w:rPr>
      </w:pPr>
      <w:r>
        <w:rPr>
          <w:rFonts w:hint="eastAsia" w:ascii="仿宋" w:hAnsi="仿宋" w:cs="仿宋"/>
          <w:spacing w:val="20"/>
          <w:szCs w:val="22"/>
        </w:rPr>
        <w:t xml:space="preserve">日期：  </w:t>
      </w:r>
      <w:r>
        <w:rPr>
          <w:rFonts w:hint="eastAsia" w:ascii="仿宋" w:hAnsi="仿宋" w:cs="仿宋"/>
          <w:szCs w:val="22"/>
        </w:rPr>
        <w:t>年  月  日</w:t>
      </w:r>
    </w:p>
    <w:p w14:paraId="02C71FC6">
      <w:pPr>
        <w:pStyle w:val="24"/>
        <w:ind w:firstLine="0" w:firstLineChars="0"/>
        <w:rPr>
          <w:rFonts w:ascii="仿宋" w:hAnsi="仿宋" w:cs="仿宋"/>
        </w:rPr>
      </w:pPr>
      <w:r>
        <w:rPr>
          <w:rFonts w:hint="eastAsia" w:ascii="仿宋" w:hAnsi="仿宋" w:cs="仿宋"/>
          <w:szCs w:val="22"/>
        </w:rPr>
        <w:t>说明：中标服务费的金额将在中标结果公告网页上明示，采购代理机构不再另行通知。</w:t>
      </w:r>
    </w:p>
    <w:p w14:paraId="7B84B461">
      <w:pPr>
        <w:rPr>
          <w:rFonts w:ascii="仿宋" w:hAnsi="仿宋" w:cs="仿宋"/>
          <w:b/>
          <w:sz w:val="32"/>
          <w:szCs w:val="32"/>
        </w:rPr>
      </w:pPr>
      <w:r>
        <w:rPr>
          <w:rFonts w:hint="eastAsia" w:ascii="仿宋" w:hAnsi="仿宋" w:cs="仿宋"/>
          <w:b/>
          <w:sz w:val="32"/>
          <w:szCs w:val="32"/>
        </w:rPr>
        <w:br w:type="page"/>
      </w:r>
    </w:p>
    <w:p w14:paraId="1E715B36">
      <w:pPr>
        <w:rPr>
          <w:rFonts w:ascii="仿宋" w:hAnsi="仿宋" w:cs="仿宋"/>
          <w:bCs/>
          <w:color w:val="FF0000"/>
        </w:rPr>
      </w:pPr>
      <w:r>
        <w:rPr>
          <w:rFonts w:hint="eastAsia" w:ascii="仿宋" w:hAnsi="仿宋" w:cs="仿宋"/>
          <w:bCs/>
          <w:color w:val="FF0000"/>
        </w:rPr>
        <w:t>中标服务费结算信息表</w:t>
      </w:r>
    </w:p>
    <w:p w14:paraId="1D89A665">
      <w:pPr>
        <w:autoSpaceDE w:val="0"/>
        <w:autoSpaceDN w:val="0"/>
        <w:spacing w:line="360" w:lineRule="auto"/>
        <w:jc w:val="center"/>
        <w:rPr>
          <w:rFonts w:ascii="仿宋" w:hAnsi="仿宋" w:cs="仿宋"/>
          <w:b/>
          <w:bCs/>
          <w:sz w:val="32"/>
          <w:szCs w:val="32"/>
        </w:rPr>
      </w:pPr>
      <w:r>
        <w:rPr>
          <w:rFonts w:hint="eastAsia" w:ascii="仿宋" w:hAnsi="仿宋" w:cs="仿宋"/>
          <w:b/>
          <w:bCs/>
          <w:sz w:val="32"/>
          <w:szCs w:val="32"/>
        </w:rPr>
        <w:t>中标服务费结算信息表</w:t>
      </w:r>
    </w:p>
    <w:tbl>
      <w:tblPr>
        <w:tblStyle w:val="62"/>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598"/>
      </w:tblGrid>
      <w:tr w14:paraId="60966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23B7D4B1">
            <w:pPr>
              <w:autoSpaceDE w:val="0"/>
              <w:autoSpaceDN w:val="0"/>
              <w:spacing w:line="360" w:lineRule="auto"/>
              <w:jc w:val="center"/>
              <w:rPr>
                <w:rFonts w:ascii="仿宋" w:hAnsi="仿宋" w:cs="仿宋"/>
                <w:bCs/>
              </w:rPr>
            </w:pPr>
            <w:r>
              <w:rPr>
                <w:rFonts w:hint="eastAsia" w:ascii="仿宋" w:hAnsi="仿宋" w:cs="仿宋"/>
                <w:bCs/>
              </w:rPr>
              <w:t>供应商名称</w:t>
            </w:r>
          </w:p>
        </w:tc>
        <w:tc>
          <w:tcPr>
            <w:tcW w:w="5598" w:type="dxa"/>
          </w:tcPr>
          <w:p w14:paraId="2A1C8C6C">
            <w:pPr>
              <w:autoSpaceDE w:val="0"/>
              <w:autoSpaceDN w:val="0"/>
              <w:spacing w:line="360" w:lineRule="auto"/>
              <w:rPr>
                <w:rFonts w:ascii="仿宋" w:hAnsi="仿宋" w:cs="仿宋"/>
                <w:b/>
                <w:bCs/>
              </w:rPr>
            </w:pPr>
          </w:p>
        </w:tc>
      </w:tr>
      <w:tr w14:paraId="0FFF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67DC7402">
            <w:pPr>
              <w:autoSpaceDE w:val="0"/>
              <w:autoSpaceDN w:val="0"/>
              <w:spacing w:line="360" w:lineRule="auto"/>
              <w:jc w:val="center"/>
              <w:rPr>
                <w:rFonts w:ascii="仿宋" w:hAnsi="仿宋" w:cs="仿宋"/>
                <w:bCs/>
              </w:rPr>
            </w:pPr>
            <w:r>
              <w:rPr>
                <w:rFonts w:hint="eastAsia" w:ascii="仿宋" w:hAnsi="仿宋" w:cs="仿宋"/>
                <w:bCs/>
              </w:rPr>
              <w:t>项目编号</w:t>
            </w:r>
          </w:p>
        </w:tc>
        <w:tc>
          <w:tcPr>
            <w:tcW w:w="5598" w:type="dxa"/>
          </w:tcPr>
          <w:p w14:paraId="0A2E150F">
            <w:pPr>
              <w:autoSpaceDE w:val="0"/>
              <w:autoSpaceDN w:val="0"/>
              <w:spacing w:line="360" w:lineRule="auto"/>
              <w:rPr>
                <w:rFonts w:ascii="仿宋" w:hAnsi="仿宋" w:cs="仿宋"/>
                <w:b/>
                <w:bCs/>
              </w:rPr>
            </w:pPr>
          </w:p>
        </w:tc>
      </w:tr>
      <w:tr w14:paraId="5D081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0916621A">
            <w:pPr>
              <w:autoSpaceDE w:val="0"/>
              <w:autoSpaceDN w:val="0"/>
              <w:spacing w:line="360" w:lineRule="auto"/>
              <w:jc w:val="center"/>
              <w:rPr>
                <w:rFonts w:ascii="仿宋" w:hAnsi="仿宋" w:cs="仿宋"/>
                <w:bCs/>
              </w:rPr>
            </w:pPr>
            <w:r>
              <w:rPr>
                <w:rFonts w:hint="eastAsia" w:ascii="仿宋" w:hAnsi="仿宋" w:cs="仿宋"/>
                <w:bCs/>
              </w:rPr>
              <w:t>若中标，中标服务费发票类型</w:t>
            </w:r>
          </w:p>
        </w:tc>
        <w:tc>
          <w:tcPr>
            <w:tcW w:w="5598" w:type="dxa"/>
          </w:tcPr>
          <w:p w14:paraId="2E33E8A6">
            <w:pPr>
              <w:autoSpaceDE w:val="0"/>
              <w:autoSpaceDN w:val="0"/>
              <w:spacing w:line="360" w:lineRule="auto"/>
              <w:rPr>
                <w:rFonts w:ascii="仿宋" w:hAnsi="仿宋" w:cs="仿宋"/>
                <w:bCs/>
              </w:rPr>
            </w:pPr>
            <w:r>
              <w:rPr>
                <w:rFonts w:hint="eastAsia" w:ascii="仿宋" w:hAnsi="仿宋" w:cs="仿宋"/>
                <w:bCs/>
              </w:rPr>
              <w:t>（）增值税普通发票</w:t>
            </w:r>
          </w:p>
          <w:p w14:paraId="3AFC4ED1">
            <w:pPr>
              <w:autoSpaceDE w:val="0"/>
              <w:autoSpaceDN w:val="0"/>
              <w:spacing w:line="360" w:lineRule="auto"/>
              <w:rPr>
                <w:rFonts w:ascii="仿宋" w:hAnsi="仿宋" w:cs="仿宋"/>
                <w:bCs/>
              </w:rPr>
            </w:pPr>
            <w:r>
              <w:rPr>
                <w:rFonts w:hint="eastAsia" w:ascii="仿宋" w:hAnsi="仿宋" w:cs="仿宋"/>
                <w:bCs/>
              </w:rPr>
              <w:t>（）增值税专用发票</w:t>
            </w:r>
          </w:p>
        </w:tc>
      </w:tr>
      <w:tr w14:paraId="174F1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51287DEE">
            <w:pPr>
              <w:autoSpaceDE w:val="0"/>
              <w:autoSpaceDN w:val="0"/>
              <w:spacing w:line="360" w:lineRule="auto"/>
              <w:jc w:val="center"/>
              <w:rPr>
                <w:rFonts w:ascii="仿宋" w:hAnsi="仿宋" w:cs="仿宋"/>
                <w:bCs/>
              </w:rPr>
            </w:pPr>
            <w:r>
              <w:rPr>
                <w:rFonts w:hint="eastAsia" w:ascii="仿宋" w:hAnsi="仿宋" w:cs="仿宋"/>
                <w:bCs/>
              </w:rPr>
              <w:t>开票信息</w:t>
            </w:r>
          </w:p>
          <w:p w14:paraId="311F45BA">
            <w:pPr>
              <w:autoSpaceDE w:val="0"/>
              <w:autoSpaceDN w:val="0"/>
              <w:spacing w:line="360" w:lineRule="auto"/>
              <w:jc w:val="center"/>
              <w:rPr>
                <w:rFonts w:ascii="仿宋" w:hAnsi="仿宋" w:cs="仿宋"/>
                <w:bCs/>
              </w:rPr>
            </w:pPr>
            <w:r>
              <w:rPr>
                <w:rFonts w:hint="eastAsia" w:ascii="仿宋" w:hAnsi="仿宋" w:cs="仿宋"/>
                <w:bCs/>
              </w:rPr>
              <w:t>（普通发票只需要提供纳税识别号，专用发票需要财务确认过的开票信息）</w:t>
            </w:r>
          </w:p>
        </w:tc>
        <w:tc>
          <w:tcPr>
            <w:tcW w:w="5598" w:type="dxa"/>
          </w:tcPr>
          <w:p w14:paraId="4EFAF85D">
            <w:pPr>
              <w:autoSpaceDE w:val="0"/>
              <w:autoSpaceDN w:val="0"/>
              <w:spacing w:line="360" w:lineRule="auto"/>
              <w:rPr>
                <w:rFonts w:ascii="仿宋" w:hAnsi="仿宋" w:cs="仿宋"/>
                <w:b/>
                <w:bCs/>
              </w:rPr>
            </w:pPr>
            <w:r>
              <w:rPr>
                <w:rFonts w:hint="eastAsia" w:ascii="仿宋" w:hAnsi="仿宋" w:cs="仿宋"/>
                <w:b/>
                <w:bCs/>
              </w:rPr>
              <w:t>纳税识别号：</w:t>
            </w:r>
          </w:p>
          <w:p w14:paraId="238EFC5A">
            <w:pPr>
              <w:autoSpaceDE w:val="0"/>
              <w:autoSpaceDN w:val="0"/>
              <w:spacing w:line="360" w:lineRule="auto"/>
              <w:rPr>
                <w:rFonts w:ascii="仿宋" w:hAnsi="仿宋" w:cs="仿宋"/>
                <w:b/>
                <w:bCs/>
              </w:rPr>
            </w:pPr>
            <w:r>
              <w:rPr>
                <w:rFonts w:hint="eastAsia" w:ascii="仿宋" w:hAnsi="仿宋" w:cs="仿宋"/>
                <w:b/>
                <w:bCs/>
              </w:rPr>
              <w:t>（税务部门备案的）地址：</w:t>
            </w:r>
          </w:p>
          <w:p w14:paraId="05A86C1A">
            <w:pPr>
              <w:autoSpaceDE w:val="0"/>
              <w:autoSpaceDN w:val="0"/>
              <w:spacing w:line="360" w:lineRule="auto"/>
              <w:rPr>
                <w:rFonts w:ascii="仿宋" w:hAnsi="仿宋" w:cs="仿宋"/>
                <w:b/>
                <w:bCs/>
              </w:rPr>
            </w:pPr>
            <w:r>
              <w:rPr>
                <w:rFonts w:hint="eastAsia" w:ascii="仿宋" w:hAnsi="仿宋" w:cs="仿宋"/>
                <w:b/>
                <w:bCs/>
              </w:rPr>
              <w:t>（税务部门备案的）电话：</w:t>
            </w:r>
          </w:p>
          <w:p w14:paraId="771CFDBC">
            <w:pPr>
              <w:autoSpaceDE w:val="0"/>
              <w:autoSpaceDN w:val="0"/>
              <w:spacing w:line="360" w:lineRule="auto"/>
              <w:rPr>
                <w:rFonts w:ascii="仿宋" w:hAnsi="仿宋" w:cs="仿宋"/>
                <w:b/>
                <w:bCs/>
              </w:rPr>
            </w:pPr>
            <w:r>
              <w:rPr>
                <w:rFonts w:hint="eastAsia" w:ascii="仿宋" w:hAnsi="仿宋" w:cs="仿宋"/>
                <w:b/>
                <w:bCs/>
              </w:rPr>
              <w:t>开户行：</w:t>
            </w:r>
          </w:p>
          <w:p w14:paraId="04D483AE">
            <w:pPr>
              <w:autoSpaceDE w:val="0"/>
              <w:autoSpaceDN w:val="0"/>
              <w:spacing w:line="360" w:lineRule="auto"/>
              <w:rPr>
                <w:rFonts w:ascii="仿宋" w:hAnsi="仿宋" w:cs="仿宋"/>
                <w:b/>
                <w:bCs/>
              </w:rPr>
            </w:pPr>
            <w:r>
              <w:rPr>
                <w:rFonts w:hint="eastAsia" w:ascii="仿宋" w:hAnsi="仿宋" w:cs="仿宋"/>
                <w:b/>
                <w:bCs/>
              </w:rPr>
              <w:t>银行账号：</w:t>
            </w:r>
          </w:p>
        </w:tc>
      </w:tr>
      <w:tr w14:paraId="304E9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48" w:type="dxa"/>
            <w:vAlign w:val="center"/>
          </w:tcPr>
          <w:p w14:paraId="7C46DB4C">
            <w:pPr>
              <w:autoSpaceDE w:val="0"/>
              <w:autoSpaceDN w:val="0"/>
              <w:spacing w:line="360" w:lineRule="auto"/>
              <w:rPr>
                <w:rFonts w:ascii="仿宋" w:hAnsi="仿宋" w:cs="仿宋"/>
                <w:bCs/>
              </w:rPr>
            </w:pPr>
            <w:r>
              <w:rPr>
                <w:rFonts w:hint="eastAsia" w:ascii="仿宋" w:hAnsi="仿宋" w:cs="仿宋"/>
                <w:bCs/>
              </w:rPr>
              <w:t>若中标，中标通知书发票快递接收地址、联系人、电话</w:t>
            </w:r>
          </w:p>
        </w:tc>
        <w:tc>
          <w:tcPr>
            <w:tcW w:w="5598" w:type="dxa"/>
          </w:tcPr>
          <w:p w14:paraId="11D12954">
            <w:pPr>
              <w:autoSpaceDE w:val="0"/>
              <w:autoSpaceDN w:val="0"/>
              <w:spacing w:line="360" w:lineRule="auto"/>
              <w:rPr>
                <w:rFonts w:ascii="仿宋" w:hAnsi="仿宋" w:cs="仿宋"/>
                <w:b/>
                <w:bCs/>
              </w:rPr>
            </w:pPr>
            <w:r>
              <w:rPr>
                <w:rFonts w:hint="eastAsia" w:ascii="仿宋" w:hAnsi="仿宋" w:cs="仿宋"/>
                <w:b/>
                <w:bCs/>
              </w:rPr>
              <w:t>地址：</w:t>
            </w:r>
          </w:p>
          <w:p w14:paraId="3F29FEDF">
            <w:pPr>
              <w:autoSpaceDE w:val="0"/>
              <w:autoSpaceDN w:val="0"/>
              <w:spacing w:line="360" w:lineRule="auto"/>
              <w:rPr>
                <w:rFonts w:ascii="仿宋" w:hAnsi="仿宋" w:cs="仿宋"/>
                <w:b/>
                <w:bCs/>
              </w:rPr>
            </w:pPr>
            <w:r>
              <w:rPr>
                <w:rFonts w:hint="eastAsia" w:ascii="仿宋" w:hAnsi="仿宋" w:cs="仿宋"/>
                <w:b/>
                <w:bCs/>
              </w:rPr>
              <w:t>收件人：</w:t>
            </w:r>
          </w:p>
          <w:p w14:paraId="450FCED5">
            <w:pPr>
              <w:autoSpaceDE w:val="0"/>
              <w:autoSpaceDN w:val="0"/>
              <w:spacing w:line="360" w:lineRule="auto"/>
              <w:rPr>
                <w:rFonts w:ascii="仿宋" w:hAnsi="仿宋" w:cs="仿宋"/>
                <w:b/>
                <w:bCs/>
              </w:rPr>
            </w:pPr>
            <w:r>
              <w:rPr>
                <w:rFonts w:hint="eastAsia" w:ascii="仿宋" w:hAnsi="仿宋" w:cs="仿宋"/>
                <w:b/>
                <w:bCs/>
              </w:rPr>
              <w:t>电话：</w:t>
            </w:r>
          </w:p>
        </w:tc>
      </w:tr>
    </w:tbl>
    <w:p w14:paraId="6D7B999F">
      <w:pPr>
        <w:rPr>
          <w:rFonts w:ascii="仿宋" w:hAnsi="仿宋" w:cs="仿宋"/>
          <w:b/>
          <w:bCs/>
        </w:rPr>
      </w:pPr>
      <w:r>
        <w:rPr>
          <w:rFonts w:hint="eastAsia" w:ascii="仿宋" w:hAnsi="仿宋" w:cs="仿宋"/>
          <w:b/>
          <w:bCs/>
        </w:rPr>
        <w:t>1、此表内容填好在开标前</w:t>
      </w:r>
      <w:r>
        <w:fldChar w:fldCharType="begin"/>
      </w:r>
      <w:r>
        <w:instrText xml:space="preserve"> HYPERLINK "mailto:填完后发送至1181022@qq.com" </w:instrText>
      </w:r>
      <w:r>
        <w:fldChar w:fldCharType="separate"/>
      </w:r>
      <w:r>
        <w:rPr>
          <w:rStyle w:val="76"/>
          <w:rFonts w:hint="eastAsia" w:ascii="仿宋" w:hAnsi="仿宋" w:eastAsia="仿宋" w:cs="仿宋"/>
          <w:b/>
          <w:bCs/>
          <w:color w:val="auto"/>
          <w:sz w:val="24"/>
        </w:rPr>
        <w:t>发送word版电子稿至邮箱780791400@qq.com</w:t>
      </w:r>
      <w:r>
        <w:rPr>
          <w:rStyle w:val="76"/>
          <w:rFonts w:hint="eastAsia" w:ascii="仿宋" w:hAnsi="仿宋" w:eastAsia="仿宋" w:cs="仿宋"/>
          <w:b/>
          <w:bCs/>
          <w:color w:val="auto"/>
          <w:sz w:val="24"/>
        </w:rPr>
        <w:fldChar w:fldCharType="end"/>
      </w:r>
      <w:r>
        <w:rPr>
          <w:rFonts w:hint="eastAsia" w:ascii="仿宋" w:hAnsi="仿宋" w:cs="仿宋"/>
          <w:b/>
          <w:bCs/>
        </w:rPr>
        <w:t>。邮件名称为供应商单位名称，以便中标服务费结算。</w:t>
      </w:r>
    </w:p>
    <w:p w14:paraId="4A6F23E4">
      <w:pPr>
        <w:rPr>
          <w:rFonts w:ascii="仿宋" w:hAnsi="仿宋" w:cs="仿宋"/>
          <w:b/>
          <w:bCs/>
        </w:rPr>
      </w:pPr>
      <w:r>
        <w:rPr>
          <w:rFonts w:hint="eastAsia" w:ascii="仿宋" w:hAnsi="仿宋" w:cs="仿宋"/>
          <w:b/>
          <w:bCs/>
        </w:rPr>
        <w:t>2、中标服务费的金额将在中标结果公告网页上明示，采购代理机构不再另行通知。</w:t>
      </w:r>
    </w:p>
    <w:p w14:paraId="28145D23">
      <w:pPr>
        <w:rPr>
          <w:rFonts w:ascii="仿宋" w:hAnsi="仿宋" w:cs="仿宋"/>
          <w:b/>
          <w:sz w:val="32"/>
          <w:szCs w:val="32"/>
        </w:rPr>
      </w:pPr>
      <w:r>
        <w:rPr>
          <w:rFonts w:hint="eastAsia" w:ascii="仿宋" w:hAnsi="仿宋" w:cs="仿宋"/>
          <w:b/>
          <w:sz w:val="32"/>
          <w:szCs w:val="32"/>
        </w:rPr>
        <w:br w:type="page"/>
      </w:r>
    </w:p>
    <w:p w14:paraId="5F4D192A">
      <w:pPr>
        <w:rPr>
          <w:rFonts w:ascii="仿宋" w:hAnsi="仿宋" w:cs="仿宋"/>
          <w:b/>
          <w:kern w:val="0"/>
          <w:sz w:val="32"/>
          <w:szCs w:val="32"/>
        </w:rPr>
      </w:pPr>
      <w:bookmarkStart w:id="417" w:name="_Toc465665161"/>
    </w:p>
    <w:p w14:paraId="30A3D3A2">
      <w:pPr>
        <w:spacing w:line="360" w:lineRule="auto"/>
        <w:jc w:val="center"/>
        <w:outlineLvl w:val="1"/>
        <w:rPr>
          <w:rFonts w:ascii="仿宋" w:hAnsi="仿宋" w:cs="仿宋"/>
          <w:b/>
          <w:kern w:val="0"/>
          <w:sz w:val="32"/>
          <w:szCs w:val="32"/>
        </w:rPr>
      </w:pPr>
      <w:r>
        <w:rPr>
          <w:rFonts w:hint="eastAsia" w:ascii="仿宋" w:hAnsi="仿宋" w:cs="仿宋"/>
          <w:b/>
          <w:kern w:val="0"/>
          <w:sz w:val="32"/>
          <w:szCs w:val="32"/>
        </w:rPr>
        <w:t>附件</w:t>
      </w:r>
      <w:bookmarkEnd w:id="417"/>
    </w:p>
    <w:p w14:paraId="638DEBA4">
      <w:pPr>
        <w:spacing w:line="360" w:lineRule="auto"/>
        <w:jc w:val="center"/>
        <w:outlineLvl w:val="2"/>
        <w:rPr>
          <w:rFonts w:ascii="仿宋" w:hAnsi="仿宋" w:cs="仿宋"/>
          <w:b/>
          <w:spacing w:val="6"/>
          <w:sz w:val="32"/>
          <w:szCs w:val="32"/>
        </w:rPr>
      </w:pPr>
      <w:r>
        <w:rPr>
          <w:rFonts w:hint="eastAsia" w:ascii="仿宋" w:hAnsi="仿宋" w:cs="仿宋"/>
          <w:b/>
          <w:spacing w:val="6"/>
          <w:sz w:val="32"/>
          <w:szCs w:val="32"/>
        </w:rPr>
        <w:t>附件1：</w:t>
      </w:r>
      <w:bookmarkStart w:id="418" w:name="OLE_LINK14"/>
      <w:bookmarkStart w:id="419" w:name="OLE_LINK13"/>
      <w:r>
        <w:rPr>
          <w:rFonts w:hint="eastAsia" w:ascii="仿宋" w:hAnsi="仿宋" w:cs="仿宋"/>
          <w:b/>
          <w:spacing w:val="6"/>
          <w:sz w:val="32"/>
          <w:szCs w:val="32"/>
        </w:rPr>
        <w:t>残疾人福利性单位声明函</w:t>
      </w:r>
    </w:p>
    <w:bookmarkEnd w:id="418"/>
    <w:bookmarkEnd w:id="419"/>
    <w:p w14:paraId="3119FDF0">
      <w:pPr>
        <w:spacing w:line="360" w:lineRule="auto"/>
        <w:rPr>
          <w:rFonts w:ascii="仿宋" w:hAnsi="仿宋" w:cs="仿宋"/>
          <w:b/>
          <w:spacing w:val="6"/>
          <w:sz w:val="30"/>
          <w:szCs w:val="30"/>
        </w:rPr>
      </w:pPr>
    </w:p>
    <w:p w14:paraId="0AB1289F">
      <w:pPr>
        <w:spacing w:line="360" w:lineRule="auto"/>
        <w:ind w:firstLine="480" w:firstLineChars="200"/>
        <w:rPr>
          <w:rFonts w:ascii="仿宋" w:hAnsi="仿宋" w:cs="仿宋"/>
        </w:rPr>
      </w:pPr>
      <w:r>
        <w:rPr>
          <w:rFonts w:hint="eastAsia" w:ascii="仿宋" w:hAnsi="仿宋" w:cs="仿宋"/>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cs="仿宋"/>
          <w:color w:val="0000FF"/>
          <w:u w:val="single"/>
        </w:rPr>
        <w:t>（采购人）</w:t>
      </w:r>
      <w:r>
        <w:rPr>
          <w:rFonts w:hint="eastAsia" w:ascii="仿宋" w:hAnsi="仿宋" w:cs="仿宋"/>
        </w:rPr>
        <w:t>单位的</w:t>
      </w:r>
      <w:r>
        <w:rPr>
          <w:rFonts w:hint="eastAsia" w:ascii="仿宋" w:hAnsi="仿宋" w:cs="仿宋"/>
          <w:color w:val="0000FF"/>
          <w:u w:val="single"/>
        </w:rPr>
        <w:t xml:space="preserve"> （项目名称） </w:t>
      </w:r>
      <w:r>
        <w:rPr>
          <w:rFonts w:hint="eastAsia" w:ascii="仿宋" w:hAnsi="仿宋" w:cs="仿宋"/>
        </w:rPr>
        <w:t>项目采购活动提供本单位制造的货物（由本单位承担工程/提供服务），或者提供其他残疾人福利性单位制造的货物（不包括使用非残疾人福利性单位注册商标的货物）。</w:t>
      </w:r>
    </w:p>
    <w:p w14:paraId="1BB0E19F">
      <w:pPr>
        <w:spacing w:line="360" w:lineRule="auto"/>
        <w:ind w:firstLine="480" w:firstLineChars="200"/>
        <w:rPr>
          <w:rFonts w:ascii="仿宋" w:hAnsi="仿宋" w:cs="仿宋"/>
        </w:rPr>
      </w:pPr>
      <w:r>
        <w:rPr>
          <w:rFonts w:hint="eastAsia" w:ascii="仿宋" w:hAnsi="仿宋" w:cs="仿宋"/>
        </w:rPr>
        <w:t>本单位对上述声明的真实性负责。如有虚假，将依法承担相应责任。</w:t>
      </w:r>
    </w:p>
    <w:p w14:paraId="15EEC145">
      <w:pPr>
        <w:spacing w:line="360" w:lineRule="auto"/>
        <w:ind w:firstLine="480" w:firstLineChars="200"/>
        <w:rPr>
          <w:rFonts w:ascii="仿宋" w:hAnsi="仿宋" w:cs="仿宋"/>
        </w:rPr>
      </w:pPr>
    </w:p>
    <w:p w14:paraId="36EFA8D9">
      <w:pPr>
        <w:spacing w:line="360" w:lineRule="auto"/>
        <w:ind w:firstLine="480" w:firstLineChars="200"/>
        <w:rPr>
          <w:rFonts w:ascii="仿宋" w:hAnsi="仿宋" w:cs="仿宋"/>
        </w:rPr>
      </w:pPr>
    </w:p>
    <w:p w14:paraId="4E26887F">
      <w:pPr>
        <w:tabs>
          <w:tab w:val="left" w:pos="4860"/>
        </w:tabs>
        <w:spacing w:line="360" w:lineRule="auto"/>
        <w:ind w:right="1560" w:firstLine="480" w:firstLineChars="200"/>
        <w:jc w:val="center"/>
        <w:rPr>
          <w:rFonts w:ascii="仿宋" w:hAnsi="仿宋" w:cs="仿宋"/>
        </w:rPr>
      </w:pPr>
      <w:r>
        <w:rPr>
          <w:rFonts w:hint="eastAsia" w:ascii="仿宋" w:hAnsi="仿宋" w:cs="仿宋"/>
          <w:kern w:val="0"/>
          <w:lang w:val="zh-CN"/>
        </w:rPr>
        <w:t>投标人名称（电子签名）</w:t>
      </w:r>
      <w:r>
        <w:rPr>
          <w:rFonts w:hint="eastAsia" w:ascii="仿宋" w:hAnsi="仿宋" w:cs="仿宋"/>
        </w:rPr>
        <w:t>：</w:t>
      </w:r>
    </w:p>
    <w:p w14:paraId="43BCFA8B">
      <w:pPr>
        <w:tabs>
          <w:tab w:val="left" w:pos="4860"/>
        </w:tabs>
        <w:spacing w:line="360" w:lineRule="auto"/>
        <w:ind w:right="1560" w:firstLine="480" w:firstLineChars="200"/>
        <w:jc w:val="center"/>
        <w:rPr>
          <w:rFonts w:ascii="仿宋" w:hAnsi="仿宋" w:cs="仿宋"/>
        </w:rPr>
      </w:pPr>
      <w:r>
        <w:rPr>
          <w:rFonts w:hint="eastAsia" w:ascii="仿宋" w:hAnsi="仿宋" w:cs="仿宋"/>
        </w:rPr>
        <w:t xml:space="preserve">       日  期：</w:t>
      </w:r>
    </w:p>
    <w:p w14:paraId="4AE45BD0">
      <w:pPr>
        <w:spacing w:line="360" w:lineRule="auto"/>
        <w:ind w:firstLine="480" w:firstLineChars="200"/>
        <w:rPr>
          <w:rFonts w:ascii="仿宋" w:hAnsi="仿宋" w:cs="仿宋"/>
        </w:rPr>
      </w:pPr>
    </w:p>
    <w:p w14:paraId="7A2B6F9C">
      <w:pPr>
        <w:rPr>
          <w:rFonts w:ascii="仿宋" w:hAnsi="仿宋" w:cs="仿宋"/>
          <w:b/>
          <w:spacing w:val="6"/>
          <w:sz w:val="32"/>
          <w:szCs w:val="32"/>
        </w:rPr>
      </w:pPr>
      <w:r>
        <w:rPr>
          <w:rFonts w:hint="eastAsia" w:ascii="仿宋" w:hAnsi="仿宋" w:cs="仿宋"/>
          <w:b/>
          <w:spacing w:val="6"/>
          <w:sz w:val="32"/>
          <w:szCs w:val="32"/>
        </w:rPr>
        <w:br w:type="page"/>
      </w:r>
    </w:p>
    <w:p w14:paraId="24295FE2">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附件2：质疑函范本及制作说明</w:t>
      </w:r>
    </w:p>
    <w:p w14:paraId="221AF54E">
      <w:pPr>
        <w:spacing w:line="360" w:lineRule="auto"/>
        <w:jc w:val="center"/>
        <w:rPr>
          <w:rFonts w:ascii="仿宋" w:hAnsi="仿宋" w:cs="仿宋"/>
          <w:b/>
          <w:spacing w:val="6"/>
          <w:sz w:val="32"/>
          <w:szCs w:val="32"/>
        </w:rPr>
      </w:pPr>
      <w:r>
        <w:rPr>
          <w:rFonts w:hint="eastAsia" w:ascii="仿宋" w:hAnsi="仿宋" w:cs="仿宋"/>
          <w:b/>
          <w:spacing w:val="6"/>
          <w:sz w:val="32"/>
          <w:szCs w:val="32"/>
        </w:rPr>
        <w:t>质疑函范本</w:t>
      </w:r>
    </w:p>
    <w:p w14:paraId="29038904">
      <w:pPr>
        <w:spacing w:before="240" w:beforeLines="100" w:line="360" w:lineRule="auto"/>
        <w:rPr>
          <w:rFonts w:ascii="仿宋" w:hAnsi="仿宋" w:cs="仿宋"/>
          <w:bCs/>
        </w:rPr>
      </w:pPr>
      <w:r>
        <w:rPr>
          <w:rFonts w:hint="eastAsia" w:ascii="仿宋" w:hAnsi="仿宋" w:cs="仿宋"/>
          <w:bCs/>
        </w:rPr>
        <w:t>一、质疑供应商基本信息</w:t>
      </w:r>
    </w:p>
    <w:p w14:paraId="608789B0">
      <w:pPr>
        <w:spacing w:line="360" w:lineRule="auto"/>
        <w:rPr>
          <w:rFonts w:ascii="仿宋" w:hAnsi="仿宋" w:cs="仿宋"/>
          <w:u w:val="dotted"/>
        </w:rPr>
      </w:pPr>
      <w:r>
        <w:rPr>
          <w:rFonts w:hint="eastAsia" w:ascii="仿宋" w:hAnsi="仿宋" w:cs="仿宋"/>
        </w:rPr>
        <w:t>质疑供应商：</w:t>
      </w:r>
    </w:p>
    <w:p w14:paraId="1CB2BD7D">
      <w:pPr>
        <w:spacing w:line="360" w:lineRule="auto"/>
        <w:rPr>
          <w:rFonts w:ascii="仿宋" w:hAnsi="仿宋" w:cs="仿宋"/>
        </w:rPr>
      </w:pPr>
      <w:r>
        <w:rPr>
          <w:rFonts w:hint="eastAsia" w:ascii="仿宋" w:hAnsi="仿宋" w:cs="仿宋"/>
        </w:rPr>
        <w:t>地址：邮编：</w:t>
      </w:r>
    </w:p>
    <w:p w14:paraId="754F1FCA">
      <w:pPr>
        <w:spacing w:line="360" w:lineRule="auto"/>
        <w:rPr>
          <w:rFonts w:ascii="仿宋" w:hAnsi="仿宋" w:cs="仿宋"/>
        </w:rPr>
      </w:pPr>
      <w:r>
        <w:rPr>
          <w:rFonts w:hint="eastAsia" w:ascii="仿宋" w:hAnsi="仿宋" w:cs="仿宋"/>
        </w:rPr>
        <w:t>联系人：联系电话：</w:t>
      </w:r>
    </w:p>
    <w:p w14:paraId="3BEB5AE8">
      <w:pPr>
        <w:spacing w:line="360" w:lineRule="auto"/>
        <w:rPr>
          <w:rFonts w:ascii="仿宋" w:hAnsi="仿宋" w:cs="仿宋"/>
          <w:u w:val="dotted"/>
        </w:rPr>
      </w:pPr>
      <w:r>
        <w:rPr>
          <w:rFonts w:hint="eastAsia" w:ascii="仿宋" w:hAnsi="仿宋" w:cs="仿宋"/>
        </w:rPr>
        <w:t>授权代表：</w:t>
      </w:r>
    </w:p>
    <w:p w14:paraId="0A244C96">
      <w:pPr>
        <w:spacing w:line="360" w:lineRule="auto"/>
        <w:rPr>
          <w:rFonts w:ascii="仿宋" w:hAnsi="仿宋" w:cs="仿宋"/>
        </w:rPr>
      </w:pPr>
      <w:r>
        <w:rPr>
          <w:rFonts w:hint="eastAsia" w:ascii="仿宋" w:hAnsi="仿宋" w:cs="仿宋"/>
        </w:rPr>
        <w:t>联系电话：</w:t>
      </w:r>
    </w:p>
    <w:p w14:paraId="20FCDB85">
      <w:pPr>
        <w:spacing w:line="360" w:lineRule="auto"/>
        <w:rPr>
          <w:rFonts w:ascii="仿宋" w:hAnsi="仿宋" w:cs="仿宋"/>
        </w:rPr>
      </w:pPr>
      <w:r>
        <w:rPr>
          <w:rFonts w:hint="eastAsia" w:ascii="仿宋" w:hAnsi="仿宋" w:cs="仿宋"/>
        </w:rPr>
        <w:t>地址：邮编：</w:t>
      </w:r>
    </w:p>
    <w:p w14:paraId="04362F61">
      <w:pPr>
        <w:spacing w:line="360" w:lineRule="auto"/>
        <w:rPr>
          <w:rFonts w:ascii="仿宋" w:hAnsi="仿宋" w:cs="仿宋"/>
          <w:bCs/>
        </w:rPr>
      </w:pPr>
      <w:r>
        <w:rPr>
          <w:rFonts w:hint="eastAsia" w:ascii="仿宋" w:hAnsi="仿宋" w:cs="仿宋"/>
          <w:bCs/>
        </w:rPr>
        <w:t>二、质疑项目基本情况</w:t>
      </w:r>
    </w:p>
    <w:p w14:paraId="1E4D98D0">
      <w:pPr>
        <w:spacing w:line="360" w:lineRule="auto"/>
        <w:rPr>
          <w:rFonts w:ascii="仿宋" w:hAnsi="仿宋" w:cs="仿宋"/>
        </w:rPr>
      </w:pPr>
      <w:r>
        <w:rPr>
          <w:rFonts w:hint="eastAsia" w:ascii="仿宋" w:hAnsi="仿宋" w:cs="仿宋"/>
        </w:rPr>
        <w:t>质疑项目的名称：</w:t>
      </w:r>
    </w:p>
    <w:p w14:paraId="74C882D0">
      <w:pPr>
        <w:spacing w:line="360" w:lineRule="auto"/>
        <w:rPr>
          <w:rFonts w:ascii="仿宋" w:hAnsi="仿宋" w:cs="仿宋"/>
        </w:rPr>
      </w:pPr>
      <w:r>
        <w:rPr>
          <w:rFonts w:hint="eastAsia" w:ascii="仿宋" w:hAnsi="仿宋" w:cs="仿宋"/>
        </w:rPr>
        <w:t>质疑项目的编号：包号：</w:t>
      </w:r>
    </w:p>
    <w:p w14:paraId="5B7420B2">
      <w:pPr>
        <w:spacing w:line="360" w:lineRule="auto"/>
        <w:rPr>
          <w:rFonts w:ascii="仿宋" w:hAnsi="仿宋" w:cs="仿宋"/>
          <w:u w:val="dotted"/>
        </w:rPr>
      </w:pPr>
      <w:r>
        <w:rPr>
          <w:rFonts w:hint="eastAsia" w:ascii="仿宋" w:hAnsi="仿宋" w:cs="仿宋"/>
        </w:rPr>
        <w:t>采购人名称：</w:t>
      </w:r>
    </w:p>
    <w:p w14:paraId="72130BC7">
      <w:pPr>
        <w:spacing w:line="360" w:lineRule="auto"/>
        <w:rPr>
          <w:rFonts w:ascii="仿宋" w:hAnsi="仿宋" w:cs="仿宋"/>
        </w:rPr>
      </w:pPr>
      <w:r>
        <w:rPr>
          <w:rFonts w:hint="eastAsia" w:ascii="仿宋" w:hAnsi="仿宋" w:cs="仿宋"/>
        </w:rPr>
        <w:t>采购文件获取日期：</w:t>
      </w:r>
    </w:p>
    <w:p w14:paraId="1344CFA7">
      <w:pPr>
        <w:spacing w:line="360" w:lineRule="auto"/>
        <w:rPr>
          <w:rFonts w:ascii="仿宋" w:hAnsi="仿宋" w:cs="仿宋"/>
          <w:bCs/>
        </w:rPr>
      </w:pPr>
      <w:r>
        <w:rPr>
          <w:rFonts w:hint="eastAsia" w:ascii="仿宋" w:hAnsi="仿宋" w:cs="仿宋"/>
          <w:bCs/>
        </w:rPr>
        <w:t>三、质疑事项具体内容</w:t>
      </w:r>
    </w:p>
    <w:p w14:paraId="7BF46206">
      <w:pPr>
        <w:spacing w:line="360" w:lineRule="auto"/>
        <w:rPr>
          <w:rFonts w:ascii="仿宋" w:hAnsi="仿宋" w:cs="仿宋"/>
          <w:u w:val="dotted"/>
        </w:rPr>
      </w:pPr>
      <w:r>
        <w:rPr>
          <w:rFonts w:hint="eastAsia" w:ascii="仿宋" w:hAnsi="仿宋" w:cs="仿宋"/>
        </w:rPr>
        <w:t>质疑事项1：</w:t>
      </w:r>
    </w:p>
    <w:p w14:paraId="5E915188">
      <w:pPr>
        <w:spacing w:line="360" w:lineRule="auto"/>
        <w:rPr>
          <w:rFonts w:ascii="仿宋" w:hAnsi="仿宋" w:cs="仿宋"/>
          <w:u w:val="dotted"/>
        </w:rPr>
      </w:pPr>
      <w:r>
        <w:rPr>
          <w:rFonts w:hint="eastAsia" w:ascii="仿宋" w:hAnsi="仿宋" w:cs="仿宋"/>
        </w:rPr>
        <w:t>事实依据：</w:t>
      </w:r>
    </w:p>
    <w:p w14:paraId="073572C9">
      <w:pPr>
        <w:spacing w:line="360" w:lineRule="auto"/>
        <w:rPr>
          <w:rFonts w:ascii="仿宋" w:hAnsi="仿宋" w:cs="仿宋"/>
        </w:rPr>
      </w:pPr>
    </w:p>
    <w:p w14:paraId="5C2067F7">
      <w:pPr>
        <w:spacing w:line="360" w:lineRule="auto"/>
        <w:rPr>
          <w:rFonts w:ascii="仿宋" w:hAnsi="仿宋" w:cs="仿宋"/>
          <w:u w:val="dotted"/>
        </w:rPr>
      </w:pPr>
      <w:r>
        <w:rPr>
          <w:rFonts w:hint="eastAsia" w:ascii="仿宋" w:hAnsi="仿宋" w:cs="仿宋"/>
        </w:rPr>
        <w:t>法律依据：</w:t>
      </w:r>
    </w:p>
    <w:p w14:paraId="2B7FDB2B">
      <w:pPr>
        <w:spacing w:line="360" w:lineRule="auto"/>
        <w:rPr>
          <w:rFonts w:ascii="仿宋" w:hAnsi="仿宋" w:cs="仿宋"/>
          <w:u w:val="dotted"/>
        </w:rPr>
      </w:pPr>
    </w:p>
    <w:p w14:paraId="579BFC65">
      <w:pPr>
        <w:spacing w:line="360" w:lineRule="auto"/>
        <w:rPr>
          <w:rFonts w:ascii="仿宋" w:hAnsi="仿宋" w:cs="仿宋"/>
          <w:u w:val="dotted"/>
        </w:rPr>
      </w:pPr>
      <w:r>
        <w:rPr>
          <w:rFonts w:hint="eastAsia" w:ascii="仿宋" w:hAnsi="仿宋" w:cs="仿宋"/>
        </w:rPr>
        <w:t>质疑事项2</w:t>
      </w:r>
    </w:p>
    <w:p w14:paraId="0B92C3A4">
      <w:pPr>
        <w:spacing w:line="360" w:lineRule="auto"/>
        <w:rPr>
          <w:rFonts w:ascii="仿宋" w:hAnsi="仿宋" w:cs="仿宋"/>
        </w:rPr>
      </w:pPr>
      <w:r>
        <w:rPr>
          <w:rFonts w:hint="eastAsia" w:ascii="仿宋" w:hAnsi="仿宋" w:cs="仿宋"/>
        </w:rPr>
        <w:t>……</w:t>
      </w:r>
    </w:p>
    <w:p w14:paraId="39A46DBC">
      <w:pPr>
        <w:spacing w:line="360" w:lineRule="auto"/>
        <w:rPr>
          <w:rFonts w:ascii="仿宋" w:hAnsi="仿宋" w:cs="仿宋"/>
          <w:bCs/>
        </w:rPr>
      </w:pPr>
      <w:r>
        <w:rPr>
          <w:rFonts w:hint="eastAsia" w:ascii="仿宋" w:hAnsi="仿宋" w:cs="仿宋"/>
          <w:bCs/>
        </w:rPr>
        <w:t>四、与质疑事项相关的质疑请求</w:t>
      </w:r>
    </w:p>
    <w:p w14:paraId="6710C324">
      <w:pPr>
        <w:spacing w:line="360" w:lineRule="auto"/>
        <w:rPr>
          <w:rFonts w:ascii="仿宋" w:hAnsi="仿宋" w:cs="仿宋"/>
          <w:u w:val="dotted"/>
        </w:rPr>
      </w:pPr>
      <w:r>
        <w:rPr>
          <w:rFonts w:hint="eastAsia" w:ascii="仿宋" w:hAnsi="仿宋" w:cs="仿宋"/>
        </w:rPr>
        <w:t>请求：</w:t>
      </w:r>
    </w:p>
    <w:p w14:paraId="3309FD54">
      <w:pPr>
        <w:spacing w:line="360" w:lineRule="auto"/>
        <w:rPr>
          <w:rFonts w:ascii="仿宋" w:hAnsi="仿宋" w:cs="仿宋"/>
        </w:rPr>
      </w:pPr>
      <w:r>
        <w:rPr>
          <w:rFonts w:hint="eastAsia" w:ascii="仿宋" w:hAnsi="仿宋" w:cs="仿宋"/>
        </w:rPr>
        <w:t xml:space="preserve">签字(签章)：                   公章：                      </w:t>
      </w:r>
    </w:p>
    <w:p w14:paraId="005F96FE">
      <w:pPr>
        <w:spacing w:line="360" w:lineRule="auto"/>
        <w:rPr>
          <w:rFonts w:ascii="仿宋" w:hAnsi="仿宋" w:cs="仿宋"/>
        </w:rPr>
      </w:pPr>
      <w:r>
        <w:rPr>
          <w:rFonts w:hint="eastAsia" w:ascii="仿宋" w:hAnsi="仿宋" w:cs="仿宋"/>
        </w:rPr>
        <w:t>日期：</w:t>
      </w:r>
    </w:p>
    <w:p w14:paraId="43B6BC00">
      <w:pPr>
        <w:spacing w:line="360" w:lineRule="auto"/>
        <w:jc w:val="center"/>
        <w:rPr>
          <w:rFonts w:ascii="仿宋" w:hAnsi="仿宋" w:cs="仿宋"/>
          <w:b/>
          <w:bCs/>
        </w:rPr>
      </w:pPr>
    </w:p>
    <w:p w14:paraId="09685C9F">
      <w:pPr>
        <w:spacing w:line="360" w:lineRule="auto"/>
        <w:rPr>
          <w:rFonts w:ascii="仿宋" w:hAnsi="仿宋" w:cs="仿宋"/>
          <w:b/>
        </w:rPr>
      </w:pPr>
    </w:p>
    <w:p w14:paraId="18945982">
      <w:pPr>
        <w:spacing w:line="360" w:lineRule="auto"/>
        <w:rPr>
          <w:rFonts w:ascii="仿宋" w:hAnsi="仿宋" w:cs="仿宋"/>
          <w:b/>
        </w:rPr>
      </w:pPr>
    </w:p>
    <w:p w14:paraId="68CBD970">
      <w:pPr>
        <w:spacing w:line="360" w:lineRule="auto"/>
        <w:rPr>
          <w:rFonts w:ascii="仿宋" w:hAnsi="仿宋" w:cs="仿宋"/>
          <w:b/>
        </w:rPr>
      </w:pPr>
    </w:p>
    <w:p w14:paraId="189941B7">
      <w:pPr>
        <w:spacing w:line="360" w:lineRule="auto"/>
        <w:rPr>
          <w:rFonts w:ascii="仿宋" w:hAnsi="仿宋" w:cs="仿宋"/>
          <w:b/>
        </w:rPr>
      </w:pPr>
      <w:r>
        <w:rPr>
          <w:rFonts w:hint="eastAsia" w:ascii="仿宋" w:hAnsi="仿宋" w:cs="仿宋"/>
          <w:b/>
        </w:rPr>
        <w:t>质疑函制作说明：</w:t>
      </w:r>
    </w:p>
    <w:p w14:paraId="13CFA1A4">
      <w:pPr>
        <w:widowControl/>
        <w:spacing w:line="360" w:lineRule="auto"/>
        <w:ind w:firstLine="480" w:firstLineChars="200"/>
        <w:jc w:val="left"/>
        <w:rPr>
          <w:rFonts w:ascii="仿宋" w:hAnsi="仿宋" w:cs="仿宋"/>
        </w:rPr>
      </w:pPr>
      <w:r>
        <w:rPr>
          <w:rFonts w:hint="eastAsia" w:ascii="仿宋" w:hAnsi="仿宋" w:cs="仿宋"/>
        </w:rPr>
        <w:t>1.供应商提出质疑时，应提交质疑函和必要的证明材料。</w:t>
      </w:r>
    </w:p>
    <w:p w14:paraId="7A906C11">
      <w:pPr>
        <w:widowControl/>
        <w:spacing w:line="360" w:lineRule="auto"/>
        <w:ind w:firstLine="480" w:firstLineChars="200"/>
        <w:jc w:val="left"/>
        <w:rPr>
          <w:rFonts w:ascii="仿宋" w:hAnsi="仿宋" w:cs="仿宋"/>
        </w:rPr>
      </w:pPr>
      <w:r>
        <w:rPr>
          <w:rFonts w:hint="eastAsia" w:ascii="仿宋" w:hAnsi="仿宋" w:cs="仿宋"/>
        </w:rPr>
        <w:t>2.质疑供应商若委托代理人进行质疑的，质疑函应按要求列明“授权代表”的有关内容，并在附件中提交由质疑</w:t>
      </w:r>
      <w:r>
        <w:rPr>
          <w:rFonts w:hint="eastAsia" w:ascii="仿宋" w:hAnsi="仿宋" w:cs="仿宋"/>
          <w:kern w:val="0"/>
        </w:rPr>
        <w:t>供应商签署的授权委托书。授权委托书应载明代理人的姓名或者名称、代理事项、具体权限、期限和相关事项。</w:t>
      </w:r>
    </w:p>
    <w:p w14:paraId="42546D0B">
      <w:pPr>
        <w:widowControl/>
        <w:spacing w:line="360" w:lineRule="auto"/>
        <w:ind w:firstLine="480" w:firstLineChars="200"/>
        <w:jc w:val="left"/>
        <w:rPr>
          <w:rFonts w:ascii="仿宋" w:hAnsi="仿宋" w:cs="仿宋"/>
        </w:rPr>
      </w:pPr>
      <w:r>
        <w:rPr>
          <w:rFonts w:hint="eastAsia" w:ascii="仿宋" w:hAnsi="仿宋" w:cs="仿宋"/>
        </w:rPr>
        <w:t>3.质疑供应商若对项目的某一分包进行质疑，质疑函中应列明具体分包号。</w:t>
      </w:r>
    </w:p>
    <w:p w14:paraId="449D19B0">
      <w:pPr>
        <w:widowControl/>
        <w:spacing w:line="360" w:lineRule="auto"/>
        <w:ind w:firstLine="480" w:firstLineChars="200"/>
        <w:jc w:val="left"/>
        <w:rPr>
          <w:rFonts w:ascii="仿宋" w:hAnsi="仿宋" w:cs="仿宋"/>
        </w:rPr>
      </w:pPr>
      <w:r>
        <w:rPr>
          <w:rFonts w:hint="eastAsia" w:ascii="仿宋" w:hAnsi="仿宋" w:cs="仿宋"/>
        </w:rPr>
        <w:t>4.质疑函的质疑事项应具体、明确，并有必要的事实依据和法律依据。</w:t>
      </w:r>
    </w:p>
    <w:p w14:paraId="17AEEF69">
      <w:pPr>
        <w:widowControl/>
        <w:spacing w:line="360" w:lineRule="auto"/>
        <w:ind w:firstLine="480" w:firstLineChars="200"/>
        <w:jc w:val="left"/>
        <w:rPr>
          <w:rFonts w:ascii="仿宋" w:hAnsi="仿宋" w:cs="仿宋"/>
        </w:rPr>
      </w:pPr>
      <w:r>
        <w:rPr>
          <w:rFonts w:hint="eastAsia" w:ascii="仿宋" w:hAnsi="仿宋" w:cs="仿宋"/>
        </w:rPr>
        <w:t>5.质疑函的质疑请求应与质疑事项相关。</w:t>
      </w:r>
    </w:p>
    <w:p w14:paraId="4EFDB2C1">
      <w:pPr>
        <w:widowControl/>
        <w:spacing w:line="360" w:lineRule="auto"/>
        <w:ind w:firstLine="480" w:firstLineChars="200"/>
        <w:jc w:val="left"/>
        <w:rPr>
          <w:rFonts w:ascii="仿宋" w:hAnsi="仿宋" w:cs="仿宋"/>
        </w:rPr>
      </w:pPr>
      <w:r>
        <w:rPr>
          <w:rFonts w:hint="eastAsia" w:ascii="仿宋" w:hAnsi="仿宋" w:cs="仿宋"/>
        </w:rPr>
        <w:t>6.质疑供应商为自然人的，质疑函应由本人签字；质疑供应商为法人或者其他组织的，质疑函应由法定代表人、主要负责人，或者其授权代表签字或者盖章，并加盖公章。</w:t>
      </w:r>
    </w:p>
    <w:p w14:paraId="7D5D6122">
      <w:pPr>
        <w:widowControl/>
        <w:spacing w:line="360" w:lineRule="auto"/>
        <w:ind w:firstLine="600" w:firstLineChars="200"/>
        <w:jc w:val="left"/>
        <w:rPr>
          <w:rFonts w:ascii="仿宋" w:hAnsi="仿宋" w:cs="仿宋"/>
          <w:sz w:val="30"/>
          <w:szCs w:val="30"/>
        </w:rPr>
      </w:pPr>
    </w:p>
    <w:p w14:paraId="0DF51BCE">
      <w:pPr>
        <w:spacing w:line="360" w:lineRule="auto"/>
        <w:jc w:val="center"/>
        <w:rPr>
          <w:rFonts w:ascii="仿宋" w:hAnsi="仿宋" w:cs="仿宋"/>
          <w:b/>
          <w:spacing w:val="6"/>
          <w:sz w:val="32"/>
          <w:szCs w:val="32"/>
        </w:rPr>
      </w:pPr>
    </w:p>
    <w:p w14:paraId="3B40E366">
      <w:pPr>
        <w:spacing w:line="360" w:lineRule="auto"/>
        <w:jc w:val="center"/>
        <w:rPr>
          <w:rFonts w:ascii="仿宋" w:hAnsi="仿宋" w:cs="仿宋"/>
          <w:b/>
          <w:spacing w:val="6"/>
          <w:sz w:val="32"/>
          <w:szCs w:val="32"/>
        </w:rPr>
      </w:pPr>
    </w:p>
    <w:p w14:paraId="4294F14F">
      <w:pPr>
        <w:spacing w:line="360" w:lineRule="auto"/>
        <w:jc w:val="center"/>
        <w:rPr>
          <w:rFonts w:ascii="仿宋" w:hAnsi="仿宋" w:cs="仿宋"/>
          <w:b/>
          <w:spacing w:val="6"/>
          <w:sz w:val="32"/>
          <w:szCs w:val="32"/>
        </w:rPr>
      </w:pPr>
    </w:p>
    <w:p w14:paraId="0E790121">
      <w:pPr>
        <w:spacing w:line="360" w:lineRule="auto"/>
        <w:jc w:val="center"/>
        <w:rPr>
          <w:rFonts w:ascii="仿宋" w:hAnsi="仿宋" w:cs="仿宋"/>
          <w:b/>
          <w:spacing w:val="6"/>
          <w:sz w:val="32"/>
          <w:szCs w:val="32"/>
        </w:rPr>
      </w:pPr>
    </w:p>
    <w:p w14:paraId="2DCE97FA">
      <w:pPr>
        <w:spacing w:line="360" w:lineRule="auto"/>
        <w:jc w:val="center"/>
        <w:rPr>
          <w:rFonts w:ascii="仿宋" w:hAnsi="仿宋" w:cs="仿宋"/>
          <w:b/>
          <w:spacing w:val="6"/>
          <w:sz w:val="32"/>
          <w:szCs w:val="32"/>
        </w:rPr>
      </w:pPr>
    </w:p>
    <w:p w14:paraId="6AD4C32A">
      <w:pPr>
        <w:spacing w:line="360" w:lineRule="auto"/>
        <w:jc w:val="center"/>
        <w:rPr>
          <w:rFonts w:ascii="仿宋" w:hAnsi="仿宋" w:cs="仿宋"/>
          <w:b/>
          <w:spacing w:val="6"/>
          <w:sz w:val="32"/>
          <w:szCs w:val="32"/>
        </w:rPr>
      </w:pPr>
    </w:p>
    <w:p w14:paraId="08F3924B">
      <w:pPr>
        <w:spacing w:line="360" w:lineRule="auto"/>
        <w:jc w:val="center"/>
        <w:rPr>
          <w:rFonts w:ascii="仿宋" w:hAnsi="仿宋" w:cs="仿宋"/>
          <w:b/>
          <w:spacing w:val="6"/>
          <w:sz w:val="32"/>
          <w:szCs w:val="32"/>
        </w:rPr>
      </w:pPr>
    </w:p>
    <w:p w14:paraId="5818DF02">
      <w:pPr>
        <w:spacing w:line="360" w:lineRule="auto"/>
        <w:jc w:val="center"/>
        <w:rPr>
          <w:rFonts w:ascii="仿宋" w:hAnsi="仿宋" w:cs="仿宋"/>
          <w:b/>
          <w:spacing w:val="6"/>
          <w:sz w:val="32"/>
          <w:szCs w:val="32"/>
        </w:rPr>
      </w:pPr>
    </w:p>
    <w:p w14:paraId="015F6A1B">
      <w:pPr>
        <w:spacing w:line="360" w:lineRule="auto"/>
        <w:jc w:val="center"/>
        <w:rPr>
          <w:rFonts w:ascii="仿宋" w:hAnsi="仿宋" w:cs="仿宋"/>
          <w:b/>
          <w:spacing w:val="6"/>
          <w:sz w:val="32"/>
          <w:szCs w:val="32"/>
        </w:rPr>
      </w:pPr>
    </w:p>
    <w:p w14:paraId="54C98596">
      <w:pPr>
        <w:spacing w:line="360" w:lineRule="auto"/>
        <w:jc w:val="center"/>
        <w:rPr>
          <w:rFonts w:ascii="仿宋" w:hAnsi="仿宋" w:cs="仿宋"/>
          <w:b/>
          <w:spacing w:val="6"/>
          <w:sz w:val="32"/>
          <w:szCs w:val="32"/>
        </w:rPr>
      </w:pPr>
    </w:p>
    <w:p w14:paraId="0AD62372">
      <w:pPr>
        <w:spacing w:line="360" w:lineRule="auto"/>
        <w:jc w:val="center"/>
        <w:rPr>
          <w:rFonts w:ascii="仿宋" w:hAnsi="仿宋" w:cs="仿宋"/>
          <w:b/>
          <w:spacing w:val="6"/>
          <w:sz w:val="32"/>
          <w:szCs w:val="32"/>
        </w:rPr>
      </w:pPr>
    </w:p>
    <w:p w14:paraId="15FE4070">
      <w:pPr>
        <w:spacing w:line="360" w:lineRule="auto"/>
        <w:jc w:val="center"/>
        <w:rPr>
          <w:rFonts w:ascii="仿宋" w:hAnsi="仿宋" w:cs="仿宋"/>
          <w:b/>
          <w:spacing w:val="6"/>
          <w:sz w:val="32"/>
          <w:szCs w:val="32"/>
        </w:rPr>
      </w:pPr>
    </w:p>
    <w:p w14:paraId="505B060F">
      <w:pPr>
        <w:spacing w:line="360" w:lineRule="auto"/>
        <w:jc w:val="left"/>
        <w:rPr>
          <w:rFonts w:ascii="仿宋" w:hAnsi="仿宋" w:cs="仿宋"/>
          <w:b/>
          <w:spacing w:val="6"/>
          <w:sz w:val="32"/>
          <w:szCs w:val="32"/>
        </w:rPr>
      </w:pPr>
    </w:p>
    <w:p w14:paraId="0EB6D32D">
      <w:pPr>
        <w:spacing w:line="360" w:lineRule="auto"/>
        <w:jc w:val="left"/>
        <w:rPr>
          <w:rFonts w:ascii="仿宋" w:hAnsi="仿宋" w:cs="仿宋"/>
          <w:b/>
          <w:spacing w:val="6"/>
          <w:sz w:val="32"/>
          <w:szCs w:val="32"/>
        </w:rPr>
      </w:pPr>
    </w:p>
    <w:p w14:paraId="4C31923A">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附件3：投诉书范本及制作说明</w:t>
      </w:r>
    </w:p>
    <w:p w14:paraId="474E36A9">
      <w:pPr>
        <w:spacing w:line="360" w:lineRule="auto"/>
        <w:jc w:val="center"/>
        <w:rPr>
          <w:rFonts w:ascii="仿宋" w:hAnsi="仿宋" w:cs="仿宋"/>
          <w:b/>
        </w:rPr>
      </w:pPr>
    </w:p>
    <w:p w14:paraId="6D8E52C6">
      <w:pPr>
        <w:spacing w:line="360" w:lineRule="auto"/>
        <w:jc w:val="center"/>
        <w:rPr>
          <w:rFonts w:ascii="仿宋" w:hAnsi="仿宋" w:cs="仿宋"/>
          <w:b/>
          <w:spacing w:val="6"/>
          <w:sz w:val="32"/>
          <w:szCs w:val="32"/>
        </w:rPr>
      </w:pPr>
      <w:r>
        <w:rPr>
          <w:rFonts w:hint="eastAsia" w:ascii="仿宋" w:hAnsi="仿宋" w:cs="仿宋"/>
          <w:b/>
          <w:spacing w:val="6"/>
          <w:sz w:val="32"/>
          <w:szCs w:val="32"/>
        </w:rPr>
        <w:t>投诉书范本</w:t>
      </w:r>
    </w:p>
    <w:p w14:paraId="4B022160">
      <w:pPr>
        <w:spacing w:line="360" w:lineRule="auto"/>
        <w:rPr>
          <w:rFonts w:ascii="仿宋" w:hAnsi="仿宋" w:cs="仿宋"/>
        </w:rPr>
      </w:pPr>
      <w:r>
        <w:rPr>
          <w:rFonts w:hint="eastAsia" w:ascii="仿宋" w:hAnsi="仿宋" w:cs="仿宋"/>
        </w:rPr>
        <w:t>一、投诉相关主体基本情况</w:t>
      </w:r>
    </w:p>
    <w:p w14:paraId="42C93E19">
      <w:pPr>
        <w:spacing w:line="360" w:lineRule="auto"/>
        <w:rPr>
          <w:rFonts w:ascii="仿宋" w:hAnsi="仿宋" w:cs="仿宋"/>
          <w:u w:val="dotted"/>
        </w:rPr>
      </w:pPr>
      <w:r>
        <w:rPr>
          <w:rFonts w:hint="eastAsia" w:ascii="仿宋" w:hAnsi="仿宋" w:cs="仿宋"/>
        </w:rPr>
        <w:t>投诉人：</w:t>
      </w:r>
    </w:p>
    <w:p w14:paraId="1282E0C2">
      <w:pPr>
        <w:spacing w:line="360" w:lineRule="auto"/>
        <w:rPr>
          <w:rFonts w:ascii="仿宋" w:hAnsi="仿宋" w:cs="仿宋"/>
          <w:u w:val="single"/>
        </w:rPr>
      </w:pPr>
      <w:r>
        <w:rPr>
          <w:rFonts w:hint="eastAsia" w:ascii="仿宋" w:hAnsi="仿宋" w:cs="仿宋"/>
        </w:rPr>
        <w:t>地址：邮编：</w:t>
      </w:r>
    </w:p>
    <w:p w14:paraId="4CDA5FC1">
      <w:pPr>
        <w:tabs>
          <w:tab w:val="left" w:pos="6510"/>
        </w:tabs>
        <w:spacing w:line="360" w:lineRule="auto"/>
        <w:jc w:val="left"/>
        <w:rPr>
          <w:rFonts w:ascii="仿宋" w:hAnsi="仿宋" w:cs="仿宋"/>
        </w:rPr>
      </w:pPr>
      <w:r>
        <w:rPr>
          <w:rFonts w:hint="eastAsia" w:ascii="仿宋" w:hAnsi="仿宋" w:cs="仿宋"/>
        </w:rPr>
        <w:t>法定代表人/主要负责人：</w:t>
      </w:r>
    </w:p>
    <w:p w14:paraId="0D02BEDE">
      <w:pPr>
        <w:tabs>
          <w:tab w:val="left" w:pos="6510"/>
        </w:tabs>
        <w:spacing w:line="360" w:lineRule="auto"/>
        <w:rPr>
          <w:rFonts w:ascii="仿宋" w:hAnsi="仿宋" w:cs="仿宋"/>
          <w:u w:val="dotted"/>
        </w:rPr>
      </w:pPr>
      <w:r>
        <w:rPr>
          <w:rFonts w:hint="eastAsia" w:ascii="仿宋" w:hAnsi="仿宋" w:cs="仿宋"/>
        </w:rPr>
        <w:t>联系电话：</w:t>
      </w:r>
    </w:p>
    <w:p w14:paraId="43078428">
      <w:pPr>
        <w:spacing w:line="360" w:lineRule="auto"/>
        <w:rPr>
          <w:rFonts w:ascii="仿宋" w:hAnsi="仿宋" w:cs="仿宋"/>
          <w:u w:val="dotted"/>
        </w:rPr>
      </w:pPr>
      <w:r>
        <w:rPr>
          <w:rFonts w:hint="eastAsia" w:ascii="仿宋" w:hAnsi="仿宋" w:cs="仿宋"/>
        </w:rPr>
        <w:t>授权代表：联系电话</w:t>
      </w:r>
      <w:r>
        <w:rPr>
          <w:rFonts w:hint="eastAsia" w:ascii="仿宋" w:hAnsi="仿宋" w:cs="仿宋"/>
          <w:u w:val="dotted"/>
        </w:rPr>
        <w:t>：</w:t>
      </w:r>
    </w:p>
    <w:p w14:paraId="54D0D3FD">
      <w:pPr>
        <w:spacing w:line="360" w:lineRule="auto"/>
        <w:rPr>
          <w:rFonts w:ascii="仿宋" w:hAnsi="仿宋" w:cs="仿宋"/>
          <w:u w:val="dotted"/>
        </w:rPr>
      </w:pPr>
      <w:r>
        <w:rPr>
          <w:rFonts w:hint="eastAsia" w:ascii="仿宋" w:hAnsi="仿宋" w:cs="仿宋"/>
        </w:rPr>
        <w:t>地址：邮编：</w:t>
      </w:r>
    </w:p>
    <w:p w14:paraId="3FCB43DE">
      <w:pPr>
        <w:spacing w:line="360" w:lineRule="auto"/>
        <w:rPr>
          <w:rFonts w:ascii="仿宋" w:hAnsi="仿宋" w:cs="仿宋"/>
          <w:u w:val="single"/>
        </w:rPr>
      </w:pPr>
      <w:r>
        <w:rPr>
          <w:rFonts w:hint="eastAsia" w:ascii="仿宋" w:hAnsi="仿宋" w:cs="仿宋"/>
        </w:rPr>
        <w:t>被投诉人1：</w:t>
      </w:r>
    </w:p>
    <w:p w14:paraId="647B3FD7">
      <w:pPr>
        <w:spacing w:line="360" w:lineRule="auto"/>
        <w:rPr>
          <w:rFonts w:ascii="仿宋" w:hAnsi="仿宋" w:cs="仿宋"/>
          <w:u w:val="single"/>
        </w:rPr>
      </w:pPr>
      <w:r>
        <w:rPr>
          <w:rFonts w:hint="eastAsia" w:ascii="仿宋" w:hAnsi="仿宋" w:cs="仿宋"/>
        </w:rPr>
        <w:t>地址：邮编：</w:t>
      </w:r>
    </w:p>
    <w:p w14:paraId="7ED08ACD">
      <w:pPr>
        <w:spacing w:line="360" w:lineRule="auto"/>
        <w:rPr>
          <w:rFonts w:ascii="仿宋" w:hAnsi="仿宋" w:cs="仿宋"/>
          <w:u w:val="single"/>
        </w:rPr>
      </w:pPr>
      <w:r>
        <w:rPr>
          <w:rFonts w:hint="eastAsia" w:ascii="仿宋" w:hAnsi="仿宋" w:cs="仿宋"/>
        </w:rPr>
        <w:t>联系人：联系电话：</w:t>
      </w:r>
    </w:p>
    <w:p w14:paraId="52118AAF">
      <w:pPr>
        <w:spacing w:line="360" w:lineRule="auto"/>
        <w:rPr>
          <w:rFonts w:ascii="仿宋" w:hAnsi="仿宋" w:cs="仿宋"/>
        </w:rPr>
      </w:pPr>
      <w:r>
        <w:rPr>
          <w:rFonts w:hint="eastAsia" w:ascii="仿宋" w:hAnsi="仿宋" w:cs="仿宋"/>
        </w:rPr>
        <w:t>被投诉人2</w:t>
      </w:r>
    </w:p>
    <w:p w14:paraId="13EA4FEC">
      <w:pPr>
        <w:spacing w:line="360" w:lineRule="auto"/>
        <w:rPr>
          <w:rFonts w:ascii="仿宋" w:hAnsi="仿宋" w:cs="仿宋"/>
          <w:u w:val="dotted"/>
        </w:rPr>
      </w:pPr>
      <w:r>
        <w:rPr>
          <w:rFonts w:hint="eastAsia" w:ascii="仿宋" w:hAnsi="仿宋" w:cs="仿宋"/>
        </w:rPr>
        <w:t>……</w:t>
      </w:r>
    </w:p>
    <w:p w14:paraId="7264CDE8">
      <w:pPr>
        <w:spacing w:line="360" w:lineRule="auto"/>
        <w:rPr>
          <w:rFonts w:ascii="仿宋" w:hAnsi="仿宋" w:cs="仿宋"/>
          <w:u w:val="single"/>
        </w:rPr>
      </w:pPr>
      <w:r>
        <w:rPr>
          <w:rFonts w:hint="eastAsia" w:ascii="仿宋" w:hAnsi="仿宋" w:cs="仿宋"/>
        </w:rPr>
        <w:t>相关供应商：</w:t>
      </w:r>
    </w:p>
    <w:p w14:paraId="6598964A">
      <w:pPr>
        <w:spacing w:line="360" w:lineRule="auto"/>
        <w:rPr>
          <w:rFonts w:ascii="仿宋" w:hAnsi="仿宋" w:cs="仿宋"/>
          <w:u w:val="single"/>
        </w:rPr>
      </w:pPr>
      <w:r>
        <w:rPr>
          <w:rFonts w:hint="eastAsia" w:ascii="仿宋" w:hAnsi="仿宋" w:cs="仿宋"/>
        </w:rPr>
        <w:t>地址：邮编：</w:t>
      </w:r>
    </w:p>
    <w:p w14:paraId="0FB3DE93">
      <w:pPr>
        <w:spacing w:line="360" w:lineRule="auto"/>
        <w:rPr>
          <w:rFonts w:ascii="仿宋" w:hAnsi="仿宋" w:cs="仿宋"/>
          <w:u w:val="single"/>
        </w:rPr>
      </w:pPr>
      <w:r>
        <w:rPr>
          <w:rFonts w:hint="eastAsia" w:ascii="仿宋" w:hAnsi="仿宋" w:cs="仿宋"/>
        </w:rPr>
        <w:t>联系人：联系电话：</w:t>
      </w:r>
    </w:p>
    <w:p w14:paraId="29B39D82">
      <w:pPr>
        <w:spacing w:line="360" w:lineRule="auto"/>
        <w:rPr>
          <w:rFonts w:ascii="仿宋" w:hAnsi="仿宋" w:cs="仿宋"/>
        </w:rPr>
      </w:pPr>
      <w:r>
        <w:rPr>
          <w:rFonts w:hint="eastAsia" w:ascii="仿宋" w:hAnsi="仿宋" w:cs="仿宋"/>
        </w:rPr>
        <w:t>二、投诉项目基本情况</w:t>
      </w:r>
    </w:p>
    <w:p w14:paraId="41FF00EF">
      <w:pPr>
        <w:spacing w:line="360" w:lineRule="auto"/>
        <w:rPr>
          <w:rFonts w:ascii="仿宋" w:hAnsi="仿宋" w:cs="仿宋"/>
          <w:u w:val="dotted"/>
        </w:rPr>
      </w:pPr>
      <w:r>
        <w:rPr>
          <w:rFonts w:hint="eastAsia" w:ascii="仿宋" w:hAnsi="仿宋" w:cs="仿宋"/>
        </w:rPr>
        <w:t>采购项目名称：</w:t>
      </w:r>
    </w:p>
    <w:p w14:paraId="70EF5EDD">
      <w:pPr>
        <w:spacing w:line="360" w:lineRule="auto"/>
        <w:rPr>
          <w:rFonts w:ascii="仿宋" w:hAnsi="仿宋" w:cs="仿宋"/>
          <w:u w:val="single"/>
        </w:rPr>
      </w:pPr>
      <w:r>
        <w:rPr>
          <w:rFonts w:hint="eastAsia" w:ascii="仿宋" w:hAnsi="仿宋" w:cs="仿宋"/>
        </w:rPr>
        <w:t>采购项目编号：包号：</w:t>
      </w:r>
    </w:p>
    <w:p w14:paraId="33675DB0">
      <w:pPr>
        <w:spacing w:line="360" w:lineRule="auto"/>
        <w:rPr>
          <w:rFonts w:ascii="仿宋" w:hAnsi="仿宋" w:cs="仿宋"/>
        </w:rPr>
      </w:pPr>
      <w:r>
        <w:rPr>
          <w:rFonts w:hint="eastAsia" w:ascii="仿宋" w:hAnsi="仿宋" w:cs="仿宋"/>
        </w:rPr>
        <w:t>采购人名称：</w:t>
      </w:r>
    </w:p>
    <w:p w14:paraId="5B5D68AD">
      <w:pPr>
        <w:spacing w:line="360" w:lineRule="auto"/>
        <w:rPr>
          <w:rFonts w:ascii="仿宋" w:hAnsi="仿宋" w:cs="仿宋"/>
          <w:u w:val="single"/>
        </w:rPr>
      </w:pPr>
      <w:r>
        <w:rPr>
          <w:rFonts w:hint="eastAsia" w:ascii="仿宋" w:hAnsi="仿宋" w:cs="仿宋"/>
        </w:rPr>
        <w:t>代理机构名称：</w:t>
      </w:r>
    </w:p>
    <w:p w14:paraId="20AF16D8">
      <w:pPr>
        <w:spacing w:line="360" w:lineRule="auto"/>
        <w:rPr>
          <w:rFonts w:ascii="仿宋" w:hAnsi="仿宋" w:cs="仿宋"/>
          <w:u w:val="dotted"/>
        </w:rPr>
      </w:pPr>
      <w:r>
        <w:rPr>
          <w:rFonts w:hint="eastAsia" w:ascii="仿宋" w:hAnsi="仿宋" w:cs="仿宋"/>
        </w:rPr>
        <w:t>采购文件公告:</w:t>
      </w:r>
      <w:r>
        <w:rPr>
          <w:rFonts w:hint="eastAsia" w:ascii="仿宋" w:hAnsi="仿宋" w:cs="仿宋"/>
          <w:u w:val="dotted"/>
        </w:rPr>
        <w:t xml:space="preserve">是/否 </w:t>
      </w:r>
      <w:r>
        <w:rPr>
          <w:rFonts w:hint="eastAsia" w:ascii="仿宋" w:hAnsi="仿宋" w:cs="仿宋"/>
        </w:rPr>
        <w:t>公告期限：</w:t>
      </w:r>
    </w:p>
    <w:p w14:paraId="0DB1ACB3">
      <w:pPr>
        <w:spacing w:line="360" w:lineRule="auto"/>
        <w:rPr>
          <w:rFonts w:ascii="仿宋" w:hAnsi="仿宋" w:cs="仿宋"/>
          <w:u w:val="single"/>
        </w:rPr>
      </w:pPr>
      <w:r>
        <w:rPr>
          <w:rFonts w:hint="eastAsia" w:ascii="仿宋" w:hAnsi="仿宋" w:cs="仿宋"/>
        </w:rPr>
        <w:t>采购结果公告:</w:t>
      </w:r>
      <w:r>
        <w:rPr>
          <w:rFonts w:hint="eastAsia" w:ascii="仿宋" w:hAnsi="仿宋" w:cs="仿宋"/>
          <w:u w:val="dotted"/>
        </w:rPr>
        <w:t xml:space="preserve">是/否 </w:t>
      </w:r>
      <w:r>
        <w:rPr>
          <w:rFonts w:hint="eastAsia" w:ascii="仿宋" w:hAnsi="仿宋" w:cs="仿宋"/>
        </w:rPr>
        <w:t>公告期限：</w:t>
      </w:r>
    </w:p>
    <w:p w14:paraId="42BB8D13">
      <w:pPr>
        <w:spacing w:line="360" w:lineRule="auto"/>
        <w:rPr>
          <w:rFonts w:ascii="仿宋" w:hAnsi="仿宋" w:cs="仿宋"/>
        </w:rPr>
      </w:pPr>
      <w:r>
        <w:rPr>
          <w:rFonts w:hint="eastAsia" w:ascii="仿宋" w:hAnsi="仿宋" w:cs="仿宋"/>
        </w:rPr>
        <w:t>三、质疑基本情况</w:t>
      </w:r>
    </w:p>
    <w:p w14:paraId="27B2F72D">
      <w:pPr>
        <w:spacing w:line="360" w:lineRule="auto"/>
        <w:ind w:firstLine="480" w:firstLineChars="200"/>
        <w:rPr>
          <w:rFonts w:ascii="仿宋" w:hAnsi="仿宋" w:cs="仿宋"/>
          <w:u w:val="dotted"/>
        </w:rPr>
      </w:pPr>
      <w:r>
        <w:rPr>
          <w:rFonts w:hint="eastAsia" w:ascii="仿宋" w:hAnsi="仿宋" w:cs="仿宋"/>
        </w:rPr>
        <w:t>投诉人于年月日,向提出质疑，质疑事项为：</w:t>
      </w:r>
    </w:p>
    <w:p w14:paraId="66D387AB">
      <w:pPr>
        <w:spacing w:line="360" w:lineRule="auto"/>
        <w:rPr>
          <w:rFonts w:ascii="仿宋" w:hAnsi="仿宋" w:cs="仿宋"/>
          <w:u w:val="dotted"/>
        </w:rPr>
      </w:pPr>
    </w:p>
    <w:p w14:paraId="61348BED">
      <w:pPr>
        <w:spacing w:line="360" w:lineRule="auto"/>
        <w:ind w:firstLine="360" w:firstLineChars="150"/>
        <w:rPr>
          <w:rFonts w:ascii="仿宋" w:hAnsi="仿宋" w:cs="仿宋"/>
        </w:rPr>
      </w:pPr>
      <w:r>
        <w:rPr>
          <w:rFonts w:hint="eastAsia" w:ascii="仿宋" w:hAnsi="仿宋" w:cs="仿宋"/>
          <w:u w:val="dotted"/>
        </w:rPr>
        <w:t>采购人/代理机构</w:t>
      </w:r>
      <w:r>
        <w:rPr>
          <w:rFonts w:hint="eastAsia" w:ascii="仿宋" w:hAnsi="仿宋" w:cs="仿宋"/>
        </w:rPr>
        <w:t>于年月日,就质疑事项作出了答复/没有在法定期限内作出答复。</w:t>
      </w:r>
    </w:p>
    <w:p w14:paraId="097C9EE1">
      <w:pPr>
        <w:spacing w:line="360" w:lineRule="auto"/>
        <w:rPr>
          <w:rFonts w:ascii="仿宋" w:hAnsi="仿宋" w:cs="仿宋"/>
        </w:rPr>
      </w:pPr>
      <w:r>
        <w:rPr>
          <w:rFonts w:hint="eastAsia" w:ascii="仿宋" w:hAnsi="仿宋" w:cs="仿宋"/>
        </w:rPr>
        <w:t>四、投诉事项具体内容</w:t>
      </w:r>
    </w:p>
    <w:p w14:paraId="734D6D38">
      <w:pPr>
        <w:spacing w:line="360" w:lineRule="auto"/>
        <w:rPr>
          <w:rFonts w:ascii="仿宋" w:hAnsi="仿宋" w:cs="仿宋"/>
          <w:u w:val="single"/>
        </w:rPr>
      </w:pPr>
      <w:r>
        <w:rPr>
          <w:rFonts w:hint="eastAsia" w:ascii="仿宋" w:hAnsi="仿宋" w:cs="仿宋"/>
        </w:rPr>
        <w:t>投诉事项 1：</w:t>
      </w:r>
    </w:p>
    <w:p w14:paraId="5E8CAC06">
      <w:pPr>
        <w:spacing w:line="360" w:lineRule="auto"/>
        <w:rPr>
          <w:rFonts w:ascii="仿宋" w:hAnsi="仿宋" w:cs="仿宋"/>
        </w:rPr>
      </w:pPr>
      <w:r>
        <w:rPr>
          <w:rFonts w:hint="eastAsia" w:ascii="仿宋" w:hAnsi="仿宋" w:cs="仿宋"/>
        </w:rPr>
        <w:t>事实依据：</w:t>
      </w:r>
    </w:p>
    <w:p w14:paraId="32B63EE4">
      <w:pPr>
        <w:spacing w:line="360" w:lineRule="auto"/>
        <w:rPr>
          <w:rFonts w:ascii="仿宋" w:hAnsi="仿宋" w:cs="仿宋"/>
          <w:u w:val="dotted"/>
        </w:rPr>
      </w:pPr>
    </w:p>
    <w:p w14:paraId="0C79A5B3">
      <w:pPr>
        <w:spacing w:line="360" w:lineRule="auto"/>
        <w:rPr>
          <w:rFonts w:ascii="仿宋" w:hAnsi="仿宋" w:cs="仿宋"/>
          <w:u w:val="single"/>
        </w:rPr>
      </w:pPr>
      <w:r>
        <w:rPr>
          <w:rFonts w:hint="eastAsia" w:ascii="仿宋" w:hAnsi="仿宋" w:cs="仿宋"/>
        </w:rPr>
        <w:t>法律依据：</w:t>
      </w:r>
    </w:p>
    <w:p w14:paraId="1148A6B5">
      <w:pPr>
        <w:spacing w:line="360" w:lineRule="auto"/>
        <w:rPr>
          <w:rFonts w:ascii="仿宋" w:hAnsi="仿宋" w:cs="仿宋"/>
          <w:u w:val="dotted"/>
        </w:rPr>
      </w:pPr>
    </w:p>
    <w:p w14:paraId="7CDFC0F1">
      <w:pPr>
        <w:spacing w:line="360" w:lineRule="auto"/>
        <w:rPr>
          <w:rFonts w:ascii="仿宋" w:hAnsi="仿宋" w:cs="仿宋"/>
        </w:rPr>
      </w:pPr>
      <w:r>
        <w:rPr>
          <w:rFonts w:hint="eastAsia" w:ascii="仿宋" w:hAnsi="仿宋" w:cs="仿宋"/>
        </w:rPr>
        <w:t>投诉事项2</w:t>
      </w:r>
    </w:p>
    <w:p w14:paraId="512864F4">
      <w:pPr>
        <w:spacing w:line="360" w:lineRule="auto"/>
        <w:rPr>
          <w:rFonts w:ascii="仿宋" w:hAnsi="仿宋" w:cs="仿宋"/>
          <w:u w:val="dotted"/>
        </w:rPr>
      </w:pPr>
      <w:r>
        <w:rPr>
          <w:rFonts w:hint="eastAsia" w:ascii="仿宋" w:hAnsi="仿宋" w:cs="仿宋"/>
        </w:rPr>
        <w:t>……</w:t>
      </w:r>
    </w:p>
    <w:p w14:paraId="0AFF334A">
      <w:pPr>
        <w:spacing w:line="360" w:lineRule="auto"/>
        <w:rPr>
          <w:rFonts w:ascii="仿宋" w:hAnsi="仿宋" w:cs="仿宋"/>
        </w:rPr>
      </w:pPr>
      <w:r>
        <w:rPr>
          <w:rFonts w:hint="eastAsia" w:ascii="仿宋" w:hAnsi="仿宋" w:cs="仿宋"/>
        </w:rPr>
        <w:t>五、与投诉事项相关的投诉请求</w:t>
      </w:r>
    </w:p>
    <w:p w14:paraId="0DC5F5E8">
      <w:pPr>
        <w:spacing w:line="360" w:lineRule="auto"/>
        <w:rPr>
          <w:rFonts w:ascii="仿宋" w:hAnsi="仿宋" w:cs="仿宋"/>
        </w:rPr>
      </w:pPr>
      <w:r>
        <w:rPr>
          <w:rFonts w:hint="eastAsia" w:ascii="仿宋" w:hAnsi="仿宋" w:cs="仿宋"/>
        </w:rPr>
        <w:t>请求：</w:t>
      </w:r>
    </w:p>
    <w:p w14:paraId="56695D6B">
      <w:pPr>
        <w:spacing w:line="360" w:lineRule="auto"/>
        <w:rPr>
          <w:rFonts w:ascii="仿宋" w:hAnsi="仿宋" w:cs="仿宋"/>
          <w:u w:val="single"/>
        </w:rPr>
      </w:pPr>
    </w:p>
    <w:p w14:paraId="3FEA5ECE">
      <w:pPr>
        <w:spacing w:line="360" w:lineRule="auto"/>
        <w:rPr>
          <w:rFonts w:ascii="仿宋" w:hAnsi="仿宋" w:cs="仿宋"/>
        </w:rPr>
      </w:pPr>
      <w:r>
        <w:rPr>
          <w:rFonts w:hint="eastAsia" w:ascii="仿宋" w:hAnsi="仿宋" w:cs="仿宋"/>
        </w:rPr>
        <w:t xml:space="preserve">签字(签章)：                   公章：                      </w:t>
      </w:r>
    </w:p>
    <w:p w14:paraId="593FE4D1">
      <w:pPr>
        <w:spacing w:line="360" w:lineRule="auto"/>
        <w:rPr>
          <w:rFonts w:ascii="仿宋" w:hAnsi="仿宋" w:cs="仿宋"/>
        </w:rPr>
      </w:pPr>
      <w:r>
        <w:rPr>
          <w:rFonts w:hint="eastAsia" w:ascii="仿宋" w:hAnsi="仿宋" w:cs="仿宋"/>
        </w:rPr>
        <w:t>日期：</w:t>
      </w:r>
    </w:p>
    <w:p w14:paraId="6E81FFE3">
      <w:pPr>
        <w:spacing w:line="360" w:lineRule="auto"/>
        <w:rPr>
          <w:rFonts w:ascii="仿宋" w:hAnsi="仿宋" w:cs="仿宋"/>
          <w:b/>
        </w:rPr>
      </w:pPr>
    </w:p>
    <w:p w14:paraId="099377CD">
      <w:pPr>
        <w:spacing w:line="360" w:lineRule="auto"/>
        <w:rPr>
          <w:rFonts w:ascii="仿宋" w:hAnsi="仿宋" w:cs="仿宋"/>
          <w:b/>
        </w:rPr>
      </w:pPr>
    </w:p>
    <w:p w14:paraId="4E588AB4">
      <w:pPr>
        <w:spacing w:line="360" w:lineRule="auto"/>
        <w:rPr>
          <w:rFonts w:ascii="仿宋" w:hAnsi="仿宋" w:cs="仿宋"/>
          <w:b/>
        </w:rPr>
      </w:pPr>
      <w:r>
        <w:rPr>
          <w:rFonts w:hint="eastAsia" w:ascii="仿宋" w:hAnsi="仿宋" w:cs="仿宋"/>
          <w:b/>
        </w:rPr>
        <w:t>投诉书制作说明：</w:t>
      </w:r>
    </w:p>
    <w:p w14:paraId="1E48D734">
      <w:pPr>
        <w:widowControl/>
        <w:spacing w:line="360" w:lineRule="auto"/>
        <w:ind w:firstLine="480" w:firstLineChars="200"/>
        <w:rPr>
          <w:rFonts w:ascii="仿宋" w:hAnsi="仿宋" w:cs="仿宋"/>
          <w:kern w:val="0"/>
        </w:rPr>
      </w:pPr>
      <w:r>
        <w:rPr>
          <w:rFonts w:hint="eastAsia" w:ascii="仿宋" w:hAnsi="仿宋" w:cs="仿宋"/>
        </w:rPr>
        <w:t>1.投诉人提起投诉时，应当提交投诉书和必要的证明材料，并按照被投诉人和与投诉事项有关的供应商数量提供投诉书副本。</w:t>
      </w:r>
    </w:p>
    <w:p w14:paraId="0B16816C">
      <w:pPr>
        <w:widowControl/>
        <w:spacing w:line="360" w:lineRule="auto"/>
        <w:ind w:firstLine="480" w:firstLineChars="200"/>
        <w:jc w:val="left"/>
        <w:rPr>
          <w:rFonts w:ascii="仿宋" w:hAnsi="仿宋" w:cs="仿宋"/>
          <w:kern w:val="0"/>
        </w:rPr>
      </w:pPr>
      <w:r>
        <w:rPr>
          <w:rFonts w:hint="eastAsia" w:ascii="仿宋" w:hAnsi="仿宋" w:cs="仿宋"/>
        </w:rPr>
        <w:t>2.投诉人若委托代理人进行投诉的，投诉书应按照要求列明“授权代表”的有关内容，并在附件中提交由</w:t>
      </w:r>
      <w:r>
        <w:rPr>
          <w:rFonts w:hint="eastAsia" w:ascii="仿宋" w:hAnsi="仿宋" w:cs="仿宋"/>
          <w:kern w:val="0"/>
        </w:rPr>
        <w:t>投诉人签署的授权委托书。授权委托书应当载明代理人的姓名或者名称、代理事项、具体权限、期限和相关事项。</w:t>
      </w:r>
    </w:p>
    <w:p w14:paraId="1A952E2E">
      <w:pPr>
        <w:widowControl/>
        <w:spacing w:line="360" w:lineRule="auto"/>
        <w:ind w:firstLine="480" w:firstLineChars="200"/>
        <w:jc w:val="left"/>
        <w:rPr>
          <w:rFonts w:ascii="仿宋" w:hAnsi="仿宋" w:cs="仿宋"/>
        </w:rPr>
      </w:pPr>
      <w:r>
        <w:rPr>
          <w:rFonts w:hint="eastAsia" w:ascii="仿宋" w:hAnsi="仿宋" w:cs="仿宋"/>
        </w:rPr>
        <w:t>3.投诉人若对项目的某一分包进行投诉，投诉书应列明具体分包号。</w:t>
      </w:r>
    </w:p>
    <w:p w14:paraId="12282D54">
      <w:pPr>
        <w:widowControl/>
        <w:spacing w:line="360" w:lineRule="auto"/>
        <w:ind w:firstLine="480" w:firstLineChars="200"/>
        <w:jc w:val="left"/>
        <w:rPr>
          <w:rFonts w:ascii="仿宋" w:hAnsi="仿宋" w:cs="仿宋"/>
        </w:rPr>
      </w:pPr>
      <w:r>
        <w:rPr>
          <w:rFonts w:hint="eastAsia" w:ascii="仿宋" w:hAnsi="仿宋" w:cs="仿宋"/>
        </w:rPr>
        <w:t>4.投诉书应简要列明质疑事项，质疑函、质疑答复等作为附件材料提供。</w:t>
      </w:r>
    </w:p>
    <w:p w14:paraId="7BC71279">
      <w:pPr>
        <w:widowControl/>
        <w:spacing w:line="360" w:lineRule="auto"/>
        <w:ind w:firstLine="480" w:firstLineChars="200"/>
        <w:jc w:val="left"/>
        <w:rPr>
          <w:rFonts w:ascii="仿宋" w:hAnsi="仿宋" w:cs="仿宋"/>
        </w:rPr>
      </w:pPr>
      <w:r>
        <w:rPr>
          <w:rFonts w:hint="eastAsia" w:ascii="仿宋" w:hAnsi="仿宋" w:cs="仿宋"/>
        </w:rPr>
        <w:t>5.投诉书的投诉事项应具体、明确，并有必要的事实依据和法律依据。</w:t>
      </w:r>
    </w:p>
    <w:p w14:paraId="073A9C59">
      <w:pPr>
        <w:widowControl/>
        <w:spacing w:line="360" w:lineRule="auto"/>
        <w:ind w:firstLine="480" w:firstLineChars="200"/>
        <w:jc w:val="left"/>
        <w:rPr>
          <w:rFonts w:ascii="仿宋" w:hAnsi="仿宋" w:cs="仿宋"/>
        </w:rPr>
      </w:pPr>
      <w:r>
        <w:rPr>
          <w:rFonts w:hint="eastAsia" w:ascii="仿宋" w:hAnsi="仿宋" w:cs="仿宋"/>
        </w:rPr>
        <w:t>6.投诉书的投诉请求应与投诉事项相关。</w:t>
      </w:r>
    </w:p>
    <w:p w14:paraId="788C8FCF">
      <w:pPr>
        <w:widowControl/>
        <w:spacing w:line="360" w:lineRule="auto"/>
        <w:ind w:firstLine="480" w:firstLineChars="200"/>
        <w:jc w:val="left"/>
        <w:rPr>
          <w:rFonts w:ascii="仿宋" w:hAnsi="仿宋" w:cs="仿宋"/>
          <w:kern w:val="0"/>
        </w:rPr>
      </w:pPr>
      <w:r>
        <w:rPr>
          <w:rFonts w:hint="eastAsia" w:ascii="仿宋" w:hAnsi="仿宋" w:cs="仿宋"/>
        </w:rPr>
        <w:t>7.投诉人为自然人的，投诉书应当由本人签字；投诉人为法人或者其他组织的，投诉书应当由法定代表人、主要负责人，或者其授权代表签字或者盖章，并加盖公章。</w:t>
      </w:r>
    </w:p>
    <w:p w14:paraId="631EE9A0">
      <w:pPr>
        <w:spacing w:line="360" w:lineRule="auto"/>
        <w:rPr>
          <w:rFonts w:ascii="仿宋" w:hAnsi="仿宋" w:cs="仿宋"/>
          <w:b/>
        </w:rPr>
      </w:pPr>
    </w:p>
    <w:p w14:paraId="008BBDBC">
      <w:pPr>
        <w:autoSpaceDE w:val="0"/>
        <w:autoSpaceDN w:val="0"/>
        <w:jc w:val="center"/>
        <w:rPr>
          <w:rFonts w:ascii="仿宋" w:hAnsi="仿宋" w:cs="仿宋"/>
          <w:b/>
          <w:spacing w:val="6"/>
          <w:sz w:val="32"/>
          <w:szCs w:val="32"/>
        </w:rPr>
      </w:pPr>
    </w:p>
    <w:p w14:paraId="1D078041">
      <w:pPr>
        <w:jc w:val="left"/>
        <w:rPr>
          <w:rFonts w:ascii="仿宋" w:hAnsi="仿宋" w:cs="仿宋"/>
          <w:b/>
          <w:spacing w:val="6"/>
          <w:sz w:val="32"/>
          <w:szCs w:val="32"/>
        </w:rPr>
      </w:pPr>
      <w:r>
        <w:rPr>
          <w:rFonts w:hint="eastAsia" w:ascii="仿宋" w:hAnsi="仿宋" w:cs="仿宋"/>
          <w:b/>
          <w:spacing w:val="6"/>
          <w:sz w:val="32"/>
          <w:szCs w:val="32"/>
        </w:rPr>
        <w:br w:type="page"/>
      </w:r>
    </w:p>
    <w:p w14:paraId="5A975355">
      <w:pPr>
        <w:autoSpaceDE w:val="0"/>
        <w:autoSpaceDN w:val="0"/>
        <w:jc w:val="center"/>
        <w:outlineLvl w:val="2"/>
        <w:rPr>
          <w:rFonts w:ascii="仿宋" w:hAnsi="仿宋" w:cs="仿宋"/>
          <w:b/>
          <w:bCs/>
          <w:sz w:val="32"/>
          <w:szCs w:val="32"/>
        </w:rPr>
      </w:pPr>
      <w:r>
        <w:rPr>
          <w:rFonts w:hint="eastAsia" w:ascii="仿宋" w:hAnsi="仿宋" w:cs="仿宋"/>
          <w:b/>
          <w:spacing w:val="6"/>
          <w:sz w:val="32"/>
          <w:szCs w:val="32"/>
        </w:rPr>
        <w:t>附件4：</w:t>
      </w:r>
      <w:r>
        <w:rPr>
          <w:rFonts w:hint="eastAsia" w:ascii="仿宋" w:hAnsi="仿宋" w:cs="仿宋"/>
          <w:b/>
          <w:bCs/>
          <w:sz w:val="32"/>
          <w:szCs w:val="32"/>
        </w:rPr>
        <w:t>业务专用章使用说明函</w:t>
      </w:r>
    </w:p>
    <w:p w14:paraId="0164179B">
      <w:pPr>
        <w:spacing w:line="360" w:lineRule="auto"/>
        <w:rPr>
          <w:rFonts w:ascii="仿宋" w:hAnsi="仿宋" w:cs="仿宋"/>
          <w:u w:val="single"/>
        </w:rPr>
      </w:pPr>
    </w:p>
    <w:p w14:paraId="1E744ED3">
      <w:pPr>
        <w:spacing w:line="360" w:lineRule="auto"/>
        <w:rPr>
          <w:rFonts w:ascii="仿宋" w:hAnsi="仿宋" w:cs="仿宋"/>
        </w:rPr>
      </w:pPr>
      <w:r>
        <w:rPr>
          <w:rFonts w:hint="eastAsia" w:ascii="仿宋" w:hAnsi="仿宋" w:cs="仿宋"/>
          <w:u w:val="single"/>
        </w:rPr>
        <w:t>浙江工业大学、浙江国际招投标有限公司</w:t>
      </w:r>
      <w:r>
        <w:rPr>
          <w:rFonts w:hint="eastAsia" w:ascii="仿宋" w:hAnsi="仿宋" w:cs="仿宋"/>
        </w:rPr>
        <w:t>：</w:t>
      </w:r>
    </w:p>
    <w:p w14:paraId="0E986232">
      <w:pPr>
        <w:spacing w:line="360" w:lineRule="auto"/>
        <w:ind w:firstLine="480" w:firstLineChars="200"/>
        <w:rPr>
          <w:rFonts w:ascii="仿宋" w:hAnsi="仿宋" w:cs="仿宋"/>
        </w:rPr>
      </w:pPr>
      <w:r>
        <w:rPr>
          <w:rFonts w:hint="eastAsia" w:ascii="仿宋" w:hAnsi="仿宋" w:cs="仿宋"/>
          <w:kern w:val="0"/>
          <w:lang w:val="zh-CN"/>
        </w:rPr>
        <w:t>我方</w:t>
      </w:r>
      <w:r>
        <w:rPr>
          <w:rFonts w:hint="eastAsia" w:ascii="仿宋" w:hAnsi="仿宋" w:cs="仿宋"/>
        </w:rPr>
        <w:t>(投标人全称)是中华人民共和国依法登记注册的合法企业，</w:t>
      </w:r>
      <w:r>
        <w:rPr>
          <w:rFonts w:hint="eastAsia" w:ascii="仿宋" w:hAnsi="仿宋" w:cs="仿宋"/>
          <w:bCs/>
        </w:rPr>
        <w:t>在参加</w:t>
      </w:r>
      <w:r>
        <w:rPr>
          <w:rFonts w:hint="eastAsia" w:ascii="仿宋" w:hAnsi="仿宋" w:cs="仿宋"/>
        </w:rPr>
        <w:t>你方组织的（项目名称）项目【招标编号：（采购编号）】</w:t>
      </w:r>
      <w:r>
        <w:rPr>
          <w:rFonts w:hint="eastAsia" w:ascii="仿宋" w:hAnsi="仿宋" w:cs="仿宋"/>
          <w:bCs/>
        </w:rPr>
        <w:t>投标活动中作如下说明：</w:t>
      </w:r>
      <w:r>
        <w:rPr>
          <w:rFonts w:hint="eastAsia" w:ascii="仿宋" w:hAnsi="仿宋" w:cs="仿宋"/>
        </w:rPr>
        <w:t>我方所使用的“XX专用章”与法定名称章具有同等的法律效力，对使用“XX专用章”的行为予以完全承认，并愿意承担相应责任。</w:t>
      </w:r>
    </w:p>
    <w:p w14:paraId="4A4EF2E9">
      <w:pPr>
        <w:spacing w:line="360" w:lineRule="auto"/>
        <w:ind w:firstLine="480" w:firstLineChars="200"/>
        <w:rPr>
          <w:rFonts w:ascii="仿宋" w:hAnsi="仿宋" w:cs="仿宋"/>
        </w:rPr>
      </w:pPr>
      <w:r>
        <w:rPr>
          <w:rFonts w:hint="eastAsia" w:ascii="仿宋" w:hAnsi="仿宋" w:cs="仿宋"/>
        </w:rPr>
        <w:t>特此说明。</w:t>
      </w:r>
    </w:p>
    <w:p w14:paraId="0E38B29D">
      <w:pPr>
        <w:spacing w:line="360" w:lineRule="auto"/>
        <w:ind w:firstLine="494"/>
        <w:rPr>
          <w:rFonts w:ascii="仿宋" w:hAnsi="仿宋" w:cs="仿宋"/>
        </w:rPr>
      </w:pPr>
    </w:p>
    <w:p w14:paraId="17B74D96">
      <w:pPr>
        <w:spacing w:line="360" w:lineRule="auto"/>
        <w:ind w:firstLine="494"/>
        <w:rPr>
          <w:rFonts w:ascii="仿宋" w:hAnsi="仿宋" w:cs="仿宋"/>
        </w:rPr>
      </w:pPr>
    </w:p>
    <w:p w14:paraId="48A75B85">
      <w:pPr>
        <w:spacing w:line="360" w:lineRule="auto"/>
        <w:ind w:firstLine="494"/>
        <w:rPr>
          <w:rFonts w:ascii="仿宋" w:hAnsi="仿宋" w:cs="仿宋"/>
        </w:rPr>
      </w:pPr>
    </w:p>
    <w:p w14:paraId="448EB7CA">
      <w:pPr>
        <w:spacing w:line="360" w:lineRule="auto"/>
        <w:ind w:firstLine="494"/>
        <w:rPr>
          <w:rFonts w:ascii="仿宋" w:hAnsi="仿宋" w:cs="仿宋"/>
        </w:rPr>
      </w:pPr>
    </w:p>
    <w:p w14:paraId="2BC30578">
      <w:pPr>
        <w:spacing w:line="360" w:lineRule="auto"/>
        <w:ind w:right="480" w:firstLine="4080" w:firstLineChars="1700"/>
        <w:rPr>
          <w:rFonts w:ascii="仿宋" w:hAnsi="仿宋" w:cs="仿宋"/>
        </w:rPr>
      </w:pPr>
      <w:r>
        <w:rPr>
          <w:rFonts w:hint="eastAsia" w:ascii="仿宋" w:hAnsi="仿宋" w:cs="仿宋"/>
        </w:rPr>
        <w:t>投标单位（法定名称章）：</w:t>
      </w:r>
    </w:p>
    <w:p w14:paraId="402C598D">
      <w:pPr>
        <w:ind w:right="1440" w:firstLine="494"/>
        <w:jc w:val="center"/>
        <w:rPr>
          <w:rFonts w:ascii="仿宋" w:hAnsi="仿宋" w:cs="仿宋"/>
        </w:rPr>
      </w:pPr>
      <w:r>
        <w:rPr>
          <w:rFonts w:hint="eastAsia" w:ascii="仿宋" w:hAnsi="仿宋" w:cs="仿宋"/>
        </w:rPr>
        <w:t xml:space="preserve">                              日期：  年月日</w:t>
      </w:r>
    </w:p>
    <w:p w14:paraId="5169A752">
      <w:pPr>
        <w:rPr>
          <w:rFonts w:ascii="仿宋" w:hAnsi="仿宋" w:cs="仿宋"/>
        </w:rPr>
      </w:pPr>
      <w:r>
        <w:rPr>
          <w:rFonts w:hint="eastAsia" w:ascii="仿宋" w:hAnsi="仿宋" w:cs="仿宋"/>
          <w:b/>
          <w:bCs/>
        </w:rPr>
        <w:t>附：</w:t>
      </w:r>
    </w:p>
    <w:p w14:paraId="51EB1A68">
      <w:pPr>
        <w:spacing w:line="360" w:lineRule="auto"/>
        <w:rPr>
          <w:rFonts w:ascii="仿宋" w:hAnsi="仿宋" w:cs="仿宋"/>
          <w:bCs/>
        </w:rPr>
      </w:pPr>
      <w:r>
        <w:rPr>
          <w:rFonts w:hint="eastAsia" w:ascii="仿宋" w:hAnsi="仿宋" w:cs="仿宋"/>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cs="仿宋"/>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cs="仿宋"/>
        </w:rPr>
        <w:t>投标单位法定名称章（印模）投标单位“XX专用章”（印模）</w:t>
      </w:r>
    </w:p>
    <w:p w14:paraId="783ACFF1">
      <w:pPr>
        <w:autoSpaceDE w:val="0"/>
        <w:autoSpaceDN w:val="0"/>
        <w:jc w:val="center"/>
        <w:rPr>
          <w:rFonts w:ascii="仿宋" w:hAnsi="仿宋" w:cs="仿宋"/>
          <w:b/>
          <w:spacing w:val="6"/>
          <w:sz w:val="32"/>
          <w:szCs w:val="32"/>
        </w:rPr>
      </w:pPr>
    </w:p>
    <w:p w14:paraId="59A67C55">
      <w:pPr>
        <w:autoSpaceDE w:val="0"/>
        <w:autoSpaceDN w:val="0"/>
        <w:jc w:val="center"/>
        <w:rPr>
          <w:rFonts w:ascii="仿宋" w:hAnsi="仿宋" w:cs="仿宋"/>
          <w:b/>
          <w:spacing w:val="6"/>
          <w:sz w:val="32"/>
          <w:szCs w:val="32"/>
        </w:rPr>
      </w:pPr>
    </w:p>
    <w:p w14:paraId="5A247C4A">
      <w:pPr>
        <w:autoSpaceDE w:val="0"/>
        <w:autoSpaceDN w:val="0"/>
        <w:jc w:val="center"/>
        <w:rPr>
          <w:rFonts w:ascii="仿宋" w:hAnsi="仿宋" w:cs="仿宋"/>
          <w:b/>
          <w:spacing w:val="6"/>
          <w:sz w:val="32"/>
          <w:szCs w:val="32"/>
        </w:rPr>
      </w:pPr>
    </w:p>
    <w:p w14:paraId="63493B45">
      <w:pPr>
        <w:autoSpaceDE w:val="0"/>
        <w:autoSpaceDN w:val="0"/>
        <w:jc w:val="center"/>
        <w:rPr>
          <w:rFonts w:ascii="仿宋" w:hAnsi="仿宋" w:cs="仿宋"/>
          <w:b/>
          <w:spacing w:val="6"/>
          <w:sz w:val="32"/>
          <w:szCs w:val="32"/>
        </w:rPr>
      </w:pPr>
    </w:p>
    <w:p w14:paraId="5E86E0AE">
      <w:pPr>
        <w:autoSpaceDE w:val="0"/>
        <w:autoSpaceDN w:val="0"/>
        <w:jc w:val="center"/>
        <w:rPr>
          <w:rFonts w:ascii="仿宋" w:hAnsi="仿宋" w:cs="仿宋"/>
          <w:b/>
          <w:spacing w:val="6"/>
          <w:sz w:val="32"/>
          <w:szCs w:val="32"/>
        </w:rPr>
      </w:pPr>
    </w:p>
    <w:p w14:paraId="1B7B9F88">
      <w:pPr>
        <w:autoSpaceDE w:val="0"/>
        <w:autoSpaceDN w:val="0"/>
        <w:jc w:val="center"/>
        <w:rPr>
          <w:rFonts w:ascii="仿宋" w:hAnsi="仿宋" w:cs="仿宋"/>
          <w:b/>
          <w:spacing w:val="6"/>
          <w:sz w:val="32"/>
          <w:szCs w:val="32"/>
        </w:rPr>
      </w:pPr>
    </w:p>
    <w:p w14:paraId="4A90429D">
      <w:pPr>
        <w:autoSpaceDE w:val="0"/>
        <w:autoSpaceDN w:val="0"/>
        <w:jc w:val="center"/>
        <w:rPr>
          <w:rFonts w:ascii="仿宋" w:hAnsi="仿宋" w:cs="仿宋"/>
          <w:b/>
          <w:spacing w:val="6"/>
          <w:sz w:val="32"/>
          <w:szCs w:val="32"/>
        </w:rPr>
      </w:pPr>
    </w:p>
    <w:p w14:paraId="4310B1A3">
      <w:pPr>
        <w:autoSpaceDE w:val="0"/>
        <w:autoSpaceDN w:val="0"/>
        <w:jc w:val="center"/>
        <w:rPr>
          <w:rFonts w:ascii="仿宋" w:hAnsi="仿宋" w:cs="仿宋"/>
          <w:b/>
          <w:spacing w:val="6"/>
          <w:sz w:val="32"/>
          <w:szCs w:val="32"/>
        </w:rPr>
      </w:pPr>
    </w:p>
    <w:p w14:paraId="4DFE057B">
      <w:pPr>
        <w:autoSpaceDE w:val="0"/>
        <w:autoSpaceDN w:val="0"/>
        <w:jc w:val="center"/>
        <w:rPr>
          <w:rFonts w:ascii="仿宋" w:hAnsi="仿宋" w:cs="仿宋"/>
          <w:b/>
          <w:spacing w:val="6"/>
          <w:sz w:val="32"/>
          <w:szCs w:val="32"/>
        </w:rPr>
      </w:pPr>
    </w:p>
    <w:p w14:paraId="683E7838">
      <w:pPr>
        <w:autoSpaceDE w:val="0"/>
        <w:autoSpaceDN w:val="0"/>
        <w:jc w:val="center"/>
        <w:rPr>
          <w:rFonts w:ascii="仿宋" w:hAnsi="仿宋" w:cs="仿宋"/>
          <w:b/>
          <w:spacing w:val="6"/>
          <w:sz w:val="32"/>
          <w:szCs w:val="32"/>
        </w:rPr>
      </w:pPr>
    </w:p>
    <w:p w14:paraId="0051C247">
      <w:pPr>
        <w:autoSpaceDE w:val="0"/>
        <w:autoSpaceDN w:val="0"/>
        <w:jc w:val="center"/>
        <w:rPr>
          <w:rFonts w:ascii="仿宋" w:hAnsi="仿宋" w:cs="仿宋"/>
          <w:b/>
          <w:spacing w:val="6"/>
          <w:sz w:val="32"/>
          <w:szCs w:val="32"/>
        </w:rPr>
      </w:pPr>
    </w:p>
    <w:p w14:paraId="5EFF26A6">
      <w:pPr>
        <w:rPr>
          <w:rFonts w:ascii="仿宋" w:hAnsi="仿宋" w:cs="仿宋"/>
          <w:b/>
          <w:spacing w:val="6"/>
          <w:sz w:val="32"/>
          <w:szCs w:val="32"/>
        </w:rPr>
      </w:pPr>
    </w:p>
    <w:p w14:paraId="629A6111">
      <w:pPr>
        <w:spacing w:line="360" w:lineRule="auto"/>
        <w:jc w:val="center"/>
        <w:outlineLvl w:val="2"/>
        <w:rPr>
          <w:rFonts w:ascii="仿宋" w:hAnsi="仿宋" w:cs="仿宋"/>
          <w:b/>
          <w:kern w:val="0"/>
          <w:sz w:val="32"/>
          <w:szCs w:val="32"/>
        </w:rPr>
      </w:pPr>
      <w:r>
        <w:rPr>
          <w:rFonts w:hint="eastAsia" w:ascii="仿宋" w:hAnsi="仿宋" w:cs="仿宋"/>
          <w:b/>
          <w:spacing w:val="6"/>
          <w:sz w:val="32"/>
          <w:szCs w:val="32"/>
        </w:rPr>
        <w:br w:type="page"/>
      </w:r>
      <w:r>
        <w:rPr>
          <w:rFonts w:hint="eastAsia" w:ascii="仿宋" w:hAnsi="仿宋" w:cs="仿宋"/>
          <w:b/>
          <w:kern w:val="0"/>
          <w:sz w:val="32"/>
          <w:szCs w:val="32"/>
        </w:rPr>
        <w:t>附件5：联合协议</w:t>
      </w:r>
    </w:p>
    <w:p w14:paraId="1AC654B4">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（以联合体形式投标的，提供联合协议；本项目不接受联合体投标或者投标人不以联合体形式投标的，则不需要提供）</w:t>
      </w:r>
    </w:p>
    <w:p w14:paraId="27F0C815">
      <w:pPr>
        <w:rPr>
          <w:rFonts w:ascii="仿宋" w:hAnsi="仿宋" w:cs="仿宋"/>
        </w:rPr>
      </w:pPr>
    </w:p>
    <w:p w14:paraId="701CDF13">
      <w:pPr>
        <w:spacing w:line="360" w:lineRule="auto"/>
        <w:ind w:firstLine="576"/>
        <w:rPr>
          <w:rFonts w:ascii="仿宋" w:hAnsi="仿宋" w:cs="仿宋"/>
          <w:kern w:val="0"/>
          <w:lang w:val="zh-CN"/>
        </w:rPr>
      </w:pPr>
      <w:r>
        <w:rPr>
          <w:rFonts w:hint="eastAsia" w:ascii="仿宋" w:hAnsi="仿宋" w:cs="仿宋"/>
          <w:kern w:val="0"/>
          <w:u w:val="single"/>
        </w:rPr>
        <w:t>（联合体所有成员名称）</w:t>
      </w:r>
      <w:r>
        <w:rPr>
          <w:rFonts w:hint="eastAsia" w:ascii="仿宋" w:hAnsi="仿宋" w:cs="仿宋"/>
          <w:kern w:val="0"/>
        </w:rPr>
        <w:t>自愿</w:t>
      </w:r>
      <w:r>
        <w:rPr>
          <w:rFonts w:hint="eastAsia" w:ascii="仿宋" w:hAnsi="仿宋" w:cs="仿宋"/>
          <w:kern w:val="0"/>
          <w:lang w:val="zh-CN"/>
        </w:rPr>
        <w:t>组成一个联合体，以一个投标人的身份</w:t>
      </w:r>
      <w:r>
        <w:rPr>
          <w:rFonts w:hint="eastAsia" w:ascii="仿宋" w:hAnsi="仿宋" w:cs="仿宋"/>
          <w:kern w:val="0"/>
        </w:rPr>
        <w:t>参加</w:t>
      </w:r>
      <w:r>
        <w:rPr>
          <w:rFonts w:hint="eastAsia" w:ascii="仿宋" w:hAnsi="仿宋" w:cs="仿宋"/>
          <w:color w:val="0000FF"/>
        </w:rPr>
        <w:t>（项目名称）</w:t>
      </w:r>
      <w:r>
        <w:rPr>
          <w:rFonts w:hint="eastAsia" w:ascii="仿宋" w:hAnsi="仿宋" w:cs="仿宋"/>
        </w:rPr>
        <w:t>【招标编号：</w:t>
      </w:r>
      <w:r>
        <w:rPr>
          <w:rFonts w:hint="eastAsia" w:ascii="仿宋" w:hAnsi="仿宋" w:cs="仿宋"/>
          <w:color w:val="FF0000"/>
        </w:rPr>
        <w:t>（采购编号）</w:t>
      </w:r>
      <w:r>
        <w:rPr>
          <w:rFonts w:hint="eastAsia" w:ascii="仿宋" w:hAnsi="仿宋" w:cs="仿宋"/>
        </w:rPr>
        <w:t>】</w:t>
      </w:r>
      <w:r>
        <w:rPr>
          <w:rFonts w:hint="eastAsia" w:ascii="仿宋" w:hAnsi="仿宋" w:cs="仿宋"/>
          <w:kern w:val="0"/>
          <w:lang w:val="zh-CN"/>
        </w:rPr>
        <w:t xml:space="preserve">投标。 </w:t>
      </w:r>
    </w:p>
    <w:p w14:paraId="07853509">
      <w:pPr>
        <w:spacing w:line="360" w:lineRule="auto"/>
        <w:ind w:firstLine="576"/>
        <w:rPr>
          <w:rFonts w:ascii="仿宋" w:hAnsi="仿宋" w:cs="仿宋"/>
          <w:kern w:val="0"/>
          <w:lang w:val="zh-CN"/>
        </w:rPr>
      </w:pPr>
      <w:r>
        <w:rPr>
          <w:rFonts w:hint="eastAsia" w:ascii="仿宋" w:hAnsi="仿宋" w:cs="仿宋"/>
          <w:kern w:val="0"/>
          <w:lang w:val="zh-CN"/>
        </w:rPr>
        <w:t>一、各方一致决定，</w:t>
      </w:r>
      <w:r>
        <w:rPr>
          <w:rFonts w:hint="eastAsia" w:ascii="仿宋" w:hAnsi="仿宋" w:cs="仿宋"/>
          <w:kern w:val="0"/>
          <w:u w:val="single"/>
        </w:rPr>
        <w:t>（某联合体成员名称）</w:t>
      </w:r>
      <w:r>
        <w:rPr>
          <w:rFonts w:hint="eastAsia" w:ascii="仿宋" w:hAnsi="仿宋" w:cs="仿宋"/>
          <w:kern w:val="0"/>
        </w:rPr>
        <w:t>为联合体</w:t>
      </w:r>
      <w:r>
        <w:rPr>
          <w:rFonts w:hint="eastAsia" w:ascii="仿宋" w:hAnsi="仿宋" w:cs="仿宋"/>
          <w:kern w:val="0"/>
          <w:lang w:val="zh-CN"/>
        </w:rPr>
        <w:t>牵头人</w:t>
      </w:r>
      <w:r>
        <w:rPr>
          <w:rFonts w:hint="eastAsia" w:ascii="仿宋" w:hAnsi="仿宋" w:cs="仿宋"/>
        </w:rPr>
        <w:t>，代表所有联合体成员负责投标和合同实施阶段的主办、协调工作</w:t>
      </w:r>
      <w:r>
        <w:rPr>
          <w:rFonts w:hint="eastAsia" w:ascii="仿宋" w:hAnsi="仿宋" w:cs="仿宋"/>
          <w:kern w:val="0"/>
          <w:lang w:val="zh-CN"/>
        </w:rPr>
        <w:t>。</w:t>
      </w:r>
    </w:p>
    <w:p w14:paraId="317F1FC5">
      <w:pPr>
        <w:spacing w:line="360" w:lineRule="auto"/>
        <w:ind w:firstLine="576"/>
        <w:rPr>
          <w:rFonts w:ascii="仿宋" w:hAnsi="仿宋" w:cs="仿宋"/>
          <w:kern w:val="0"/>
          <w:lang w:val="zh-CN"/>
        </w:rPr>
      </w:pPr>
      <w:r>
        <w:rPr>
          <w:rFonts w:hint="eastAsia" w:ascii="仿宋" w:hAnsi="仿宋" w:cs="仿宋"/>
          <w:kern w:val="0"/>
          <w:lang w:val="zh-CN"/>
        </w:rPr>
        <w:t>二、</w:t>
      </w:r>
      <w:r>
        <w:rPr>
          <w:rFonts w:hint="eastAsia" w:ascii="仿宋" w:hAnsi="仿宋" w:cs="仿宋"/>
        </w:rPr>
        <w:t>所有联合体成员各方签署授权书，授权书载明的</w:t>
      </w:r>
      <w:r>
        <w:rPr>
          <w:rFonts w:hint="eastAsia" w:ascii="仿宋" w:hAnsi="仿宋" w:cs="仿宋"/>
          <w:kern w:val="0"/>
          <w:lang w:val="zh-CN"/>
        </w:rPr>
        <w:t>授权代表根据招标文件规定及投标内容而对采购人、采购机构所作的任何合法承诺，包括书面澄清及相应等均对联合投标各方产生约束力。</w:t>
      </w:r>
    </w:p>
    <w:p w14:paraId="2EDD81EA">
      <w:pPr>
        <w:spacing w:line="360" w:lineRule="auto"/>
        <w:ind w:firstLine="576"/>
        <w:rPr>
          <w:rFonts w:ascii="仿宋" w:hAnsi="仿宋" w:cs="仿宋"/>
          <w:kern w:val="0"/>
          <w:lang w:val="zh-CN"/>
        </w:rPr>
      </w:pPr>
      <w:r>
        <w:rPr>
          <w:rFonts w:hint="eastAsia" w:ascii="仿宋" w:hAnsi="仿宋" w:cs="仿宋"/>
          <w:kern w:val="0"/>
          <w:lang w:val="zh-CN"/>
        </w:rPr>
        <w:t>三、本次联合投标中，分工如下：</w:t>
      </w:r>
    </w:p>
    <w:p w14:paraId="4A587DA1">
      <w:pPr>
        <w:spacing w:line="360" w:lineRule="auto"/>
        <w:ind w:firstLine="576"/>
        <w:rPr>
          <w:rFonts w:ascii="仿宋" w:hAnsi="仿宋" w:cs="仿宋"/>
          <w:kern w:val="0"/>
          <w:lang w:val="zh-CN"/>
        </w:rPr>
      </w:pPr>
      <w:bookmarkStart w:id="420" w:name="_Hlk101134295"/>
      <w:r>
        <w:rPr>
          <w:rFonts w:hint="eastAsia" w:ascii="仿宋" w:hAnsi="仿宋" w:cs="仿宋"/>
          <w:kern w:val="0"/>
          <w:u w:val="single"/>
        </w:rPr>
        <w:t>（联合体成员1）</w:t>
      </w:r>
      <w:r>
        <w:rPr>
          <w:rFonts w:hint="eastAsia" w:ascii="仿宋" w:hAnsi="仿宋" w:cs="仿宋"/>
          <w:kern w:val="0"/>
          <w:lang w:val="zh-CN"/>
        </w:rPr>
        <w:t>承担的工作和义务为：；</w:t>
      </w:r>
    </w:p>
    <w:p w14:paraId="26A72C73">
      <w:pPr>
        <w:spacing w:line="360" w:lineRule="auto"/>
        <w:ind w:firstLine="576"/>
        <w:rPr>
          <w:rFonts w:ascii="仿宋" w:hAnsi="仿宋" w:cs="仿宋"/>
          <w:kern w:val="0"/>
          <w:lang w:val="zh-CN"/>
        </w:rPr>
      </w:pPr>
      <w:r>
        <w:rPr>
          <w:rFonts w:hint="eastAsia" w:ascii="仿宋" w:hAnsi="仿宋" w:cs="仿宋"/>
          <w:kern w:val="0"/>
          <w:u w:val="single"/>
        </w:rPr>
        <w:t>（联合体成员2）</w:t>
      </w:r>
      <w:r>
        <w:rPr>
          <w:rFonts w:hint="eastAsia" w:ascii="仿宋" w:hAnsi="仿宋" w:cs="仿宋"/>
          <w:kern w:val="0"/>
          <w:lang w:val="zh-CN"/>
        </w:rPr>
        <w:t>承担的工作和义务为：；</w:t>
      </w:r>
    </w:p>
    <w:p w14:paraId="7610F3B5">
      <w:pPr>
        <w:spacing w:line="360" w:lineRule="auto"/>
        <w:ind w:firstLine="576"/>
        <w:rPr>
          <w:rFonts w:ascii="仿宋" w:hAnsi="仿宋" w:cs="仿宋"/>
          <w:kern w:val="0"/>
          <w:lang w:val="zh-CN"/>
        </w:rPr>
      </w:pPr>
      <w:r>
        <w:rPr>
          <w:rFonts w:hint="eastAsia" w:ascii="仿宋" w:hAnsi="仿宋" w:cs="仿宋"/>
          <w:kern w:val="0"/>
          <w:lang w:val="zh-CN"/>
        </w:rPr>
        <w:t>……</w:t>
      </w:r>
    </w:p>
    <w:bookmarkEnd w:id="420"/>
    <w:p w14:paraId="04380417">
      <w:pPr>
        <w:spacing w:line="360" w:lineRule="auto"/>
        <w:ind w:firstLine="576"/>
        <w:rPr>
          <w:rFonts w:ascii="仿宋" w:hAnsi="仿宋" w:cs="仿宋"/>
          <w:kern w:val="0"/>
          <w:lang w:val="zh-CN"/>
        </w:rPr>
      </w:pPr>
      <w:r>
        <w:rPr>
          <w:rFonts w:hint="eastAsia" w:ascii="仿宋" w:hAnsi="仿宋" w:cs="仿宋"/>
          <w:kern w:val="0"/>
          <w:lang w:val="zh-CN"/>
        </w:rPr>
        <w:t>四、联合体成员中小企业合同份额。</w:t>
      </w:r>
    </w:p>
    <w:p w14:paraId="5965E6E4">
      <w:pPr>
        <w:spacing w:line="360" w:lineRule="auto"/>
        <w:ind w:firstLine="576"/>
        <w:rPr>
          <w:rFonts w:ascii="仿宋" w:hAnsi="仿宋" w:cs="仿宋"/>
          <w:b/>
          <w:kern w:val="0"/>
          <w:lang w:val="zh-CN"/>
        </w:rPr>
      </w:pPr>
      <w:r>
        <w:rPr>
          <w:rFonts w:hint="eastAsia" w:ascii="仿宋" w:hAnsi="仿宋" w:cs="仿宋"/>
          <w:kern w:val="0"/>
          <w:lang w:val="zh-CN"/>
        </w:rPr>
        <w:t>1、</w:t>
      </w:r>
      <w:r>
        <w:rPr>
          <w:rFonts w:hint="eastAsia" w:ascii="仿宋" w:hAnsi="仿宋" w:cs="仿宋"/>
          <w:kern w:val="0"/>
          <w:u w:val="single"/>
        </w:rPr>
        <w:t>（联合体成员X,……）</w:t>
      </w:r>
      <w:r>
        <w:rPr>
          <w:rFonts w:hint="eastAsia" w:ascii="仿宋" w:hAnsi="仿宋" w:cs="仿宋"/>
          <w:kern w:val="0"/>
        </w:rPr>
        <w:t>提供的全部货物由小微企业制造，其合同份额占到合同总金额</w:t>
      </w:r>
      <w:r>
        <w:rPr>
          <w:rFonts w:hint="eastAsia" w:ascii="仿宋" w:hAnsi="仿宋" w:cs="仿宋"/>
        </w:rPr>
        <w:t>_</w:t>
      </w:r>
      <w:r>
        <w:rPr>
          <w:rFonts w:hint="eastAsia" w:ascii="仿宋" w:hAnsi="仿宋" w:cs="仿宋"/>
          <w:kern w:val="0"/>
        </w:rPr>
        <w:t>%以上；</w:t>
      </w:r>
      <w:r>
        <w:rPr>
          <w:rFonts w:hint="eastAsia" w:ascii="仿宋" w:hAnsi="仿宋" w:cs="仿宋"/>
          <w:kern w:val="0"/>
          <w:lang w:val="zh-CN"/>
        </w:rPr>
        <w:t>……。</w:t>
      </w:r>
      <w:r>
        <w:rPr>
          <w:rFonts w:hint="eastAsia" w:ascii="仿宋" w:hAnsi="仿宋" w:cs="仿宋"/>
          <w:b/>
          <w:kern w:val="0"/>
          <w:lang w:val="zh-CN"/>
        </w:rPr>
        <w:t>（未预留份额专门面向中小企业采购的的采购项目，以及预留份额中的非预留部分采购包，接受联合体投标的，联合协议约定小微企业的合同份额占到合同总金额30%以上的，</w:t>
      </w:r>
      <w:r>
        <w:rPr>
          <w:rFonts w:hint="eastAsia" w:ascii="仿宋" w:hAnsi="仿宋" w:cs="仿宋"/>
          <w:b/>
          <w:color w:val="FF0000"/>
          <w:kern w:val="0"/>
          <w:lang w:val="zh-CN"/>
        </w:rPr>
        <w:t>对联合体报价按评标标准确定的比例给予扣除</w:t>
      </w:r>
      <w:r>
        <w:rPr>
          <w:rFonts w:hint="eastAsia" w:ascii="仿宋" w:hAnsi="仿宋" w:cs="仿宋"/>
          <w:b/>
          <w:kern w:val="0"/>
          <w:lang w:val="zh-CN"/>
        </w:rPr>
        <w:t>。供应商</w:t>
      </w:r>
      <w:r>
        <w:rPr>
          <w:rFonts w:hint="eastAsia" w:ascii="仿宋" w:hAnsi="仿宋" w:cs="仿宋"/>
          <w:b/>
        </w:rPr>
        <w:t>拟享受以上价格扣除政策的，填写有关内容。</w:t>
      </w:r>
      <w:r>
        <w:rPr>
          <w:rFonts w:hint="eastAsia" w:ascii="仿宋" w:hAnsi="仿宋" w:cs="仿宋"/>
          <w:b/>
          <w:kern w:val="0"/>
          <w:lang w:val="zh-CN"/>
        </w:rPr>
        <w:t>）</w:t>
      </w:r>
    </w:p>
    <w:p w14:paraId="7A0DCD50">
      <w:pPr>
        <w:spacing w:line="360" w:lineRule="auto"/>
        <w:ind w:firstLine="576"/>
        <w:rPr>
          <w:rFonts w:ascii="仿宋" w:hAnsi="仿宋" w:cs="仿宋"/>
          <w:kern w:val="0"/>
          <w:lang w:val="zh-CN"/>
        </w:rPr>
      </w:pPr>
      <w:r>
        <w:rPr>
          <w:rFonts w:hint="eastAsia" w:ascii="仿宋" w:hAnsi="仿宋" w:cs="仿宋"/>
        </w:rPr>
        <w:t>2、中小企业合同金额达到_%，小微企业合同金额达到_%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cs="仿宋"/>
          <w:b/>
          <w:bCs/>
          <w:kern w:val="0"/>
          <w:lang w:val="zh-CN"/>
        </w:rPr>
        <w:t>）</w:t>
      </w:r>
    </w:p>
    <w:p w14:paraId="1A103D93">
      <w:pPr>
        <w:spacing w:line="360" w:lineRule="auto"/>
        <w:ind w:firstLine="576"/>
        <w:rPr>
          <w:rFonts w:ascii="仿宋" w:hAnsi="仿宋" w:cs="仿宋"/>
          <w:kern w:val="0"/>
          <w:lang w:val="zh-CN"/>
        </w:rPr>
      </w:pPr>
      <w:r>
        <w:rPr>
          <w:rFonts w:hint="eastAsia" w:ascii="仿宋" w:hAnsi="仿宋" w:cs="仿宋"/>
          <w:kern w:val="0"/>
          <w:lang w:val="zh-CN"/>
        </w:rPr>
        <w:t>五、如果中标，</w:t>
      </w:r>
      <w:r>
        <w:rPr>
          <w:rFonts w:hint="eastAsia" w:ascii="仿宋" w:hAnsi="仿宋" w:cs="仿宋"/>
        </w:rPr>
        <w:t>联合体各成员方共同与采购人签订合同，并就采购合同约定的事项对采购人承担连带责任。</w:t>
      </w:r>
    </w:p>
    <w:p w14:paraId="13A9CE4D">
      <w:pPr>
        <w:spacing w:line="360" w:lineRule="auto"/>
        <w:ind w:firstLine="576"/>
        <w:rPr>
          <w:rFonts w:ascii="仿宋" w:hAnsi="仿宋" w:cs="仿宋"/>
          <w:kern w:val="0"/>
          <w:lang w:val="zh-CN"/>
        </w:rPr>
      </w:pPr>
      <w:r>
        <w:rPr>
          <w:rFonts w:hint="eastAsia" w:ascii="仿宋" w:hAnsi="仿宋" w:cs="仿宋"/>
          <w:kern w:val="0"/>
          <w:lang w:val="zh-CN"/>
        </w:rPr>
        <w:t>六、有关本次联合投标的其他事宜：</w:t>
      </w:r>
    </w:p>
    <w:p w14:paraId="1F9F4EC4">
      <w:pPr>
        <w:spacing w:line="360" w:lineRule="auto"/>
        <w:ind w:firstLine="576"/>
        <w:rPr>
          <w:rFonts w:ascii="仿宋" w:hAnsi="仿宋" w:cs="仿宋"/>
          <w:kern w:val="0"/>
          <w:lang w:val="zh-CN"/>
        </w:rPr>
      </w:pPr>
      <w:r>
        <w:rPr>
          <w:rFonts w:hint="eastAsia" w:ascii="仿宋" w:hAnsi="仿宋" w:cs="仿宋"/>
          <w:kern w:val="0"/>
          <w:lang w:val="zh-CN"/>
        </w:rPr>
        <w:t>1、联合体各方不再单独参加或者与其他供应商另外组成联合体参加同一合同项下的政府采购活动。</w:t>
      </w:r>
    </w:p>
    <w:p w14:paraId="14133747">
      <w:pPr>
        <w:spacing w:line="360" w:lineRule="auto"/>
        <w:ind w:firstLine="576"/>
        <w:rPr>
          <w:rFonts w:ascii="仿宋" w:hAnsi="仿宋" w:cs="仿宋"/>
          <w:kern w:val="0"/>
          <w:lang w:val="zh-CN"/>
        </w:rPr>
      </w:pPr>
      <w:r>
        <w:rPr>
          <w:rFonts w:hint="eastAsia" w:ascii="仿宋" w:hAnsi="仿宋" w:cs="仿宋"/>
          <w:kern w:val="0"/>
          <w:lang w:val="zh-CN"/>
        </w:rPr>
        <w:t>2、联合体中有同类资质的各方按照联合体分工承担相同工作的，按照资质等级较低的供应商确定资质等级。</w:t>
      </w:r>
    </w:p>
    <w:p w14:paraId="390C94C2">
      <w:pPr>
        <w:spacing w:line="360" w:lineRule="auto"/>
        <w:ind w:firstLine="576"/>
        <w:rPr>
          <w:rFonts w:ascii="仿宋" w:hAnsi="仿宋" w:cs="仿宋"/>
          <w:kern w:val="0"/>
          <w:lang w:val="zh-CN"/>
        </w:rPr>
      </w:pPr>
      <w:r>
        <w:rPr>
          <w:rFonts w:hint="eastAsia" w:ascii="仿宋" w:hAnsi="仿宋" w:cs="仿宋"/>
          <w:kern w:val="0"/>
          <w:lang w:val="zh-CN"/>
        </w:rPr>
        <w:t>3、本协议提交采购人、采购机构后，联合体各方不得以任何形式对上述内容进行修改或撤销。</w:t>
      </w:r>
    </w:p>
    <w:p w14:paraId="0553A0AE">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14:paraId="01FE7F4A">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14:paraId="765FBA07">
      <w:pPr>
        <w:spacing w:line="360" w:lineRule="auto"/>
        <w:ind w:right="960"/>
        <w:jc w:val="center"/>
        <w:rPr>
          <w:rFonts w:ascii="仿宋" w:hAnsi="仿宋" w:cs="仿宋"/>
          <w:kern w:val="0"/>
          <w:lang w:val="zh-CN"/>
        </w:rPr>
      </w:pPr>
      <w:r>
        <w:rPr>
          <w:rFonts w:hint="eastAsia" w:ascii="仿宋" w:hAnsi="仿宋" w:cs="仿宋"/>
          <w:kern w:val="0"/>
          <w:lang w:val="zh-CN"/>
        </w:rPr>
        <w:t xml:space="preserve">                   ……</w:t>
      </w:r>
    </w:p>
    <w:p w14:paraId="5FAFB78D">
      <w:pPr>
        <w:spacing w:line="360" w:lineRule="auto"/>
        <w:jc w:val="right"/>
        <w:rPr>
          <w:rFonts w:ascii="仿宋" w:hAnsi="仿宋" w:cs="仿宋"/>
          <w:kern w:val="0"/>
          <w:lang w:val="zh-CN"/>
        </w:rPr>
      </w:pPr>
      <w:r>
        <w:rPr>
          <w:rFonts w:hint="eastAsia" w:ascii="仿宋" w:hAnsi="仿宋" w:cs="仿宋"/>
          <w:kern w:val="0"/>
          <w:lang w:val="zh-CN"/>
        </w:rPr>
        <w:t>日期：  年  月   日</w:t>
      </w:r>
    </w:p>
    <w:p w14:paraId="2284880F">
      <w:pPr>
        <w:spacing w:line="360" w:lineRule="auto"/>
        <w:ind w:right="420"/>
        <w:rPr>
          <w:rFonts w:ascii="仿宋" w:hAnsi="仿宋" w:cs="仿宋"/>
        </w:rPr>
      </w:pPr>
      <w:r>
        <w:rPr>
          <w:rFonts w:hint="eastAsia" w:ascii="仿宋" w:hAnsi="仿宋" w:cs="仿宋"/>
        </w:rPr>
        <w:t>注：按本格式和要求提供。</w:t>
      </w:r>
    </w:p>
    <w:p w14:paraId="580E6927">
      <w:pPr>
        <w:autoSpaceDE w:val="0"/>
        <w:autoSpaceDN w:val="0"/>
        <w:jc w:val="center"/>
        <w:rPr>
          <w:rFonts w:ascii="仿宋" w:hAnsi="仿宋" w:cs="仿宋"/>
          <w:b/>
          <w:spacing w:val="6"/>
          <w:sz w:val="32"/>
          <w:szCs w:val="32"/>
        </w:rPr>
      </w:pPr>
    </w:p>
    <w:p w14:paraId="3B444704">
      <w:pPr>
        <w:autoSpaceDE w:val="0"/>
        <w:autoSpaceDN w:val="0"/>
        <w:jc w:val="center"/>
        <w:rPr>
          <w:rFonts w:ascii="仿宋" w:hAnsi="仿宋" w:cs="仿宋"/>
          <w:b/>
          <w:spacing w:val="6"/>
          <w:sz w:val="32"/>
          <w:szCs w:val="32"/>
        </w:rPr>
      </w:pPr>
    </w:p>
    <w:p w14:paraId="18F1FF07">
      <w:pPr>
        <w:autoSpaceDE w:val="0"/>
        <w:autoSpaceDN w:val="0"/>
        <w:jc w:val="center"/>
        <w:rPr>
          <w:rFonts w:ascii="仿宋" w:hAnsi="仿宋" w:cs="仿宋"/>
          <w:b/>
          <w:spacing w:val="6"/>
          <w:sz w:val="32"/>
          <w:szCs w:val="32"/>
        </w:rPr>
      </w:pPr>
    </w:p>
    <w:p w14:paraId="4562412C">
      <w:pPr>
        <w:autoSpaceDE w:val="0"/>
        <w:autoSpaceDN w:val="0"/>
        <w:jc w:val="center"/>
        <w:rPr>
          <w:rFonts w:ascii="仿宋" w:hAnsi="仿宋" w:cs="仿宋"/>
          <w:b/>
          <w:spacing w:val="6"/>
          <w:sz w:val="32"/>
          <w:szCs w:val="32"/>
        </w:rPr>
      </w:pPr>
    </w:p>
    <w:p w14:paraId="54D9DE89">
      <w:pPr>
        <w:autoSpaceDE w:val="0"/>
        <w:autoSpaceDN w:val="0"/>
        <w:jc w:val="center"/>
        <w:rPr>
          <w:rFonts w:ascii="仿宋" w:hAnsi="仿宋" w:cs="仿宋"/>
          <w:b/>
          <w:spacing w:val="6"/>
          <w:sz w:val="32"/>
          <w:szCs w:val="32"/>
        </w:rPr>
      </w:pPr>
    </w:p>
    <w:p w14:paraId="2C851035">
      <w:pPr>
        <w:autoSpaceDE w:val="0"/>
        <w:autoSpaceDN w:val="0"/>
        <w:jc w:val="center"/>
        <w:rPr>
          <w:rFonts w:ascii="仿宋" w:hAnsi="仿宋" w:cs="仿宋"/>
          <w:b/>
          <w:spacing w:val="6"/>
          <w:sz w:val="32"/>
          <w:szCs w:val="32"/>
        </w:rPr>
      </w:pPr>
    </w:p>
    <w:p w14:paraId="741F8289">
      <w:pPr>
        <w:autoSpaceDE w:val="0"/>
        <w:autoSpaceDN w:val="0"/>
        <w:jc w:val="center"/>
        <w:rPr>
          <w:rFonts w:ascii="仿宋" w:hAnsi="仿宋" w:cs="仿宋"/>
          <w:b/>
          <w:spacing w:val="6"/>
          <w:sz w:val="32"/>
          <w:szCs w:val="32"/>
        </w:rPr>
      </w:pPr>
    </w:p>
    <w:p w14:paraId="42145DF5">
      <w:pPr>
        <w:autoSpaceDE w:val="0"/>
        <w:autoSpaceDN w:val="0"/>
        <w:jc w:val="center"/>
        <w:rPr>
          <w:rFonts w:ascii="仿宋" w:hAnsi="仿宋" w:cs="仿宋"/>
          <w:b/>
          <w:spacing w:val="6"/>
          <w:sz w:val="32"/>
          <w:szCs w:val="32"/>
        </w:rPr>
      </w:pPr>
    </w:p>
    <w:p w14:paraId="33B2E876">
      <w:pPr>
        <w:autoSpaceDE w:val="0"/>
        <w:autoSpaceDN w:val="0"/>
        <w:jc w:val="center"/>
        <w:rPr>
          <w:rFonts w:ascii="仿宋" w:hAnsi="仿宋" w:cs="仿宋"/>
          <w:b/>
          <w:spacing w:val="6"/>
          <w:sz w:val="32"/>
          <w:szCs w:val="32"/>
        </w:rPr>
      </w:pPr>
    </w:p>
    <w:p w14:paraId="2ACB0BC2">
      <w:pPr>
        <w:autoSpaceDE w:val="0"/>
        <w:autoSpaceDN w:val="0"/>
        <w:jc w:val="center"/>
        <w:rPr>
          <w:rFonts w:ascii="仿宋" w:hAnsi="仿宋" w:cs="仿宋"/>
          <w:b/>
          <w:spacing w:val="6"/>
          <w:sz w:val="32"/>
          <w:szCs w:val="32"/>
        </w:rPr>
      </w:pPr>
    </w:p>
    <w:p w14:paraId="742472B6">
      <w:pPr>
        <w:autoSpaceDE w:val="0"/>
        <w:autoSpaceDN w:val="0"/>
        <w:jc w:val="center"/>
        <w:rPr>
          <w:rFonts w:ascii="仿宋" w:hAnsi="仿宋" w:cs="仿宋"/>
          <w:b/>
          <w:spacing w:val="6"/>
          <w:sz w:val="32"/>
          <w:szCs w:val="32"/>
        </w:rPr>
      </w:pPr>
    </w:p>
    <w:p w14:paraId="2616A85E">
      <w:pPr>
        <w:autoSpaceDE w:val="0"/>
        <w:autoSpaceDN w:val="0"/>
        <w:jc w:val="center"/>
        <w:rPr>
          <w:rFonts w:ascii="仿宋" w:hAnsi="仿宋" w:cs="仿宋"/>
          <w:b/>
          <w:spacing w:val="6"/>
          <w:sz w:val="32"/>
          <w:szCs w:val="32"/>
        </w:rPr>
      </w:pPr>
    </w:p>
    <w:p w14:paraId="2E7A7129">
      <w:pPr>
        <w:autoSpaceDE w:val="0"/>
        <w:autoSpaceDN w:val="0"/>
        <w:jc w:val="center"/>
        <w:rPr>
          <w:rFonts w:ascii="仿宋" w:hAnsi="仿宋" w:cs="仿宋"/>
          <w:b/>
          <w:spacing w:val="6"/>
          <w:sz w:val="32"/>
          <w:szCs w:val="32"/>
        </w:rPr>
      </w:pPr>
    </w:p>
    <w:p w14:paraId="4EC07544">
      <w:pPr>
        <w:autoSpaceDE w:val="0"/>
        <w:autoSpaceDN w:val="0"/>
        <w:jc w:val="center"/>
        <w:rPr>
          <w:rFonts w:ascii="仿宋" w:hAnsi="仿宋" w:cs="仿宋"/>
          <w:b/>
          <w:spacing w:val="6"/>
          <w:sz w:val="32"/>
          <w:szCs w:val="32"/>
        </w:rPr>
      </w:pPr>
    </w:p>
    <w:p w14:paraId="16BAE827">
      <w:pPr>
        <w:autoSpaceDE w:val="0"/>
        <w:autoSpaceDN w:val="0"/>
        <w:jc w:val="center"/>
        <w:rPr>
          <w:rFonts w:ascii="仿宋" w:hAnsi="仿宋" w:cs="仿宋"/>
          <w:b/>
          <w:spacing w:val="6"/>
          <w:sz w:val="32"/>
          <w:szCs w:val="32"/>
        </w:rPr>
      </w:pPr>
    </w:p>
    <w:p w14:paraId="41FC05D0">
      <w:pPr>
        <w:autoSpaceDE w:val="0"/>
        <w:autoSpaceDN w:val="0"/>
        <w:jc w:val="center"/>
        <w:rPr>
          <w:rFonts w:ascii="仿宋" w:hAnsi="仿宋" w:cs="仿宋"/>
          <w:b/>
          <w:spacing w:val="6"/>
          <w:sz w:val="32"/>
          <w:szCs w:val="32"/>
        </w:rPr>
      </w:pPr>
    </w:p>
    <w:p w14:paraId="68DEB724">
      <w:pPr>
        <w:autoSpaceDE w:val="0"/>
        <w:autoSpaceDN w:val="0"/>
        <w:jc w:val="center"/>
        <w:rPr>
          <w:rFonts w:ascii="仿宋" w:hAnsi="仿宋" w:cs="仿宋"/>
          <w:b/>
          <w:spacing w:val="6"/>
          <w:sz w:val="32"/>
          <w:szCs w:val="32"/>
        </w:rPr>
      </w:pPr>
    </w:p>
    <w:p w14:paraId="0247AB22">
      <w:pPr>
        <w:autoSpaceDE w:val="0"/>
        <w:autoSpaceDN w:val="0"/>
        <w:jc w:val="center"/>
        <w:rPr>
          <w:rFonts w:ascii="仿宋" w:hAnsi="仿宋" w:cs="仿宋"/>
          <w:b/>
          <w:spacing w:val="6"/>
          <w:sz w:val="32"/>
          <w:szCs w:val="32"/>
        </w:rPr>
      </w:pPr>
    </w:p>
    <w:p w14:paraId="5959B2AE">
      <w:pPr>
        <w:autoSpaceDE w:val="0"/>
        <w:autoSpaceDN w:val="0"/>
        <w:jc w:val="center"/>
        <w:rPr>
          <w:rFonts w:ascii="仿宋" w:hAnsi="仿宋" w:cs="仿宋"/>
          <w:b/>
          <w:spacing w:val="6"/>
          <w:sz w:val="32"/>
          <w:szCs w:val="32"/>
        </w:rPr>
      </w:pPr>
    </w:p>
    <w:p w14:paraId="239732C7">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附件6：分包意向协议</w:t>
      </w:r>
    </w:p>
    <w:p w14:paraId="1DEE80B7">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中标后以分包方式履行合同的，提供分包意向协议；采购人不同意分包或者投标人中标后不以分包方式履行合同的，则不需要提供。</w:t>
      </w:r>
      <w:r>
        <w:rPr>
          <w:rFonts w:hint="eastAsia" w:ascii="仿宋" w:hAnsi="仿宋" w:cs="仿宋"/>
        </w:rPr>
        <w:t>）</w:t>
      </w:r>
    </w:p>
    <w:p w14:paraId="085ACCFE">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若成为</w:t>
      </w:r>
      <w:r>
        <w:rPr>
          <w:rFonts w:hint="eastAsia" w:ascii="仿宋" w:hAnsi="仿宋" w:cs="仿宋"/>
          <w:color w:val="0000FF"/>
        </w:rPr>
        <w:t>（项目名称）</w:t>
      </w:r>
      <w:r>
        <w:rPr>
          <w:rFonts w:hint="eastAsia" w:ascii="仿宋" w:hAnsi="仿宋" w:cs="仿宋"/>
        </w:rPr>
        <w:t>【招标编号：】</w:t>
      </w:r>
      <w:r>
        <w:rPr>
          <w:rFonts w:hint="eastAsia" w:ascii="仿宋" w:hAnsi="仿宋" w:cs="仿宋"/>
          <w:kern w:val="0"/>
          <w:lang w:val="zh-CN"/>
        </w:rPr>
        <w:t>的中标供应商，将依法采取分包方式履行合同。</w:t>
      </w:r>
      <w:r>
        <w:rPr>
          <w:rFonts w:hint="eastAsia" w:ascii="仿宋" w:hAnsi="仿宋" w:cs="仿宋"/>
          <w:kern w:val="0"/>
          <w:u w:val="single"/>
        </w:rPr>
        <w:t>（投标人名称）</w:t>
      </w:r>
      <w:r>
        <w:rPr>
          <w:rFonts w:hint="eastAsia" w:ascii="仿宋" w:hAnsi="仿宋" w:cs="仿宋"/>
          <w:kern w:val="0"/>
        </w:rPr>
        <w:t>与</w:t>
      </w:r>
      <w:r>
        <w:rPr>
          <w:rFonts w:hint="eastAsia" w:ascii="仿宋" w:hAnsi="仿宋" w:cs="仿宋"/>
          <w:kern w:val="0"/>
          <w:u w:val="single"/>
        </w:rPr>
        <w:t>（所有分包供应商名称）</w:t>
      </w:r>
      <w:r>
        <w:rPr>
          <w:rFonts w:hint="eastAsia" w:ascii="仿宋" w:hAnsi="仿宋" w:cs="仿宋"/>
          <w:kern w:val="0"/>
        </w:rPr>
        <w:t>达成分包意向协议</w:t>
      </w:r>
      <w:r>
        <w:rPr>
          <w:rFonts w:hint="eastAsia" w:ascii="仿宋" w:hAnsi="仿宋" w:cs="仿宋"/>
          <w:kern w:val="0"/>
          <w:lang w:val="zh-CN"/>
        </w:rPr>
        <w:t xml:space="preserve">。 </w:t>
      </w:r>
    </w:p>
    <w:p w14:paraId="3E3A1C4E">
      <w:pPr>
        <w:spacing w:line="360" w:lineRule="auto"/>
        <w:ind w:firstLine="576"/>
        <w:rPr>
          <w:rFonts w:ascii="仿宋" w:hAnsi="仿宋" w:cs="仿宋"/>
          <w:kern w:val="0"/>
          <w:lang w:val="zh-CN"/>
        </w:rPr>
      </w:pPr>
      <w:r>
        <w:rPr>
          <w:rFonts w:hint="eastAsia" w:ascii="仿宋" w:hAnsi="仿宋" w:cs="仿宋"/>
          <w:kern w:val="0"/>
          <w:lang w:val="zh-CN"/>
        </w:rPr>
        <w:t>一、分包标的及数量</w:t>
      </w:r>
    </w:p>
    <w:p w14:paraId="4B8DACA7">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将</w:t>
      </w:r>
      <w:r>
        <w:rPr>
          <w:rFonts w:hint="eastAsia" w:ascii="仿宋" w:hAnsi="仿宋" w:cs="仿宋"/>
          <w:kern w:val="0"/>
          <w:u w:val="single"/>
        </w:rPr>
        <w:t xml:space="preserve">  XX工作内容   </w:t>
      </w:r>
      <w:r>
        <w:rPr>
          <w:rFonts w:hint="eastAsia" w:ascii="仿宋" w:hAnsi="仿宋" w:cs="仿宋"/>
        </w:rPr>
        <w:t>分包给</w:t>
      </w:r>
      <w:r>
        <w:rPr>
          <w:rFonts w:hint="eastAsia" w:ascii="仿宋" w:hAnsi="仿宋" w:cs="仿宋"/>
          <w:kern w:val="0"/>
          <w:u w:val="single"/>
        </w:rPr>
        <w:t>（分包供应商1名称）</w:t>
      </w:r>
      <w:r>
        <w:rPr>
          <w:rFonts w:hint="eastAsia" w:ascii="仿宋" w:hAnsi="仿宋" w:cs="仿宋"/>
          <w:kern w:val="0"/>
          <w:lang w:val="zh-CN"/>
        </w:rPr>
        <w:t>，</w:t>
      </w:r>
      <w:r>
        <w:rPr>
          <w:rFonts w:hint="eastAsia" w:ascii="仿宋" w:hAnsi="仿宋" w:cs="仿宋"/>
          <w:kern w:val="0"/>
          <w:u w:val="single"/>
        </w:rPr>
        <w:t>（分包供应商1名称），</w:t>
      </w:r>
      <w:r>
        <w:rPr>
          <w:rFonts w:hint="eastAsia" w:ascii="仿宋" w:hAnsi="仿宋" w:cs="仿宋"/>
          <w:kern w:val="0"/>
          <w:lang w:val="zh-CN"/>
        </w:rPr>
        <w:t>具备承</w:t>
      </w:r>
      <w:r>
        <w:rPr>
          <w:rFonts w:hint="eastAsia" w:ascii="仿宋" w:hAnsi="仿宋" w:cs="仿宋"/>
          <w:kern w:val="0"/>
        </w:rPr>
        <w:t>担</w:t>
      </w:r>
      <w:r>
        <w:rPr>
          <w:rFonts w:hint="eastAsia" w:ascii="仿宋" w:hAnsi="仿宋" w:cs="仿宋"/>
          <w:kern w:val="0"/>
          <w:u w:val="single"/>
          <w:lang w:val="zh-CN"/>
        </w:rPr>
        <w:t>XX工作内容</w:t>
      </w:r>
      <w:r>
        <w:rPr>
          <w:rFonts w:hint="eastAsia" w:ascii="仿宋" w:hAnsi="仿宋" w:cs="仿宋"/>
          <w:kern w:val="0"/>
          <w:lang w:val="zh-CN"/>
        </w:rPr>
        <w:t>相应资质条件且不得再次分包；</w:t>
      </w:r>
    </w:p>
    <w:p w14:paraId="0E0E89B4">
      <w:pPr>
        <w:rPr>
          <w:rFonts w:ascii="仿宋" w:hAnsi="仿宋" w:cs="仿宋"/>
        </w:rPr>
      </w:pPr>
      <w:r>
        <w:rPr>
          <w:rFonts w:hint="eastAsia" w:ascii="仿宋" w:hAnsi="仿宋" w:cs="仿宋"/>
        </w:rPr>
        <w:t>……</w:t>
      </w:r>
    </w:p>
    <w:p w14:paraId="6140EEC9">
      <w:pPr>
        <w:spacing w:line="360" w:lineRule="auto"/>
        <w:ind w:firstLine="576"/>
        <w:rPr>
          <w:rFonts w:ascii="仿宋" w:hAnsi="仿宋" w:cs="仿宋"/>
          <w:kern w:val="0"/>
          <w:lang w:val="zh-CN"/>
        </w:rPr>
      </w:pPr>
      <w:r>
        <w:rPr>
          <w:rFonts w:hint="eastAsia" w:ascii="仿宋" w:hAnsi="仿宋" w:cs="仿宋"/>
          <w:kern w:val="0"/>
          <w:lang w:val="zh-CN"/>
        </w:rPr>
        <w:t>二、分包供应商中小企业合同份额</w:t>
      </w:r>
    </w:p>
    <w:p w14:paraId="50E38BF7">
      <w:pPr>
        <w:spacing w:line="360" w:lineRule="auto"/>
        <w:ind w:firstLine="576"/>
        <w:rPr>
          <w:rFonts w:ascii="仿宋" w:hAnsi="仿宋" w:cs="仿宋"/>
          <w:b/>
          <w:kern w:val="0"/>
          <w:lang w:val="zh-CN"/>
        </w:rPr>
      </w:pPr>
      <w:r>
        <w:rPr>
          <w:rFonts w:hint="eastAsia" w:ascii="仿宋" w:hAnsi="仿宋" w:cs="仿宋"/>
          <w:kern w:val="0"/>
        </w:rPr>
        <w:t>1、</w:t>
      </w:r>
      <w:r>
        <w:rPr>
          <w:rFonts w:hint="eastAsia" w:ascii="仿宋" w:hAnsi="仿宋" w:cs="仿宋"/>
          <w:kern w:val="0"/>
          <w:u w:val="single"/>
        </w:rPr>
        <w:t>（分包供应商X,……）提供的货物全部由小微企业制造，</w:t>
      </w:r>
      <w:r>
        <w:rPr>
          <w:rFonts w:hint="eastAsia" w:ascii="仿宋" w:hAnsi="仿宋" w:cs="仿宋"/>
          <w:kern w:val="0"/>
        </w:rPr>
        <w:t>其合同份额占到合同总金额__%以上</w:t>
      </w:r>
      <w:r>
        <w:rPr>
          <w:rFonts w:hint="eastAsia" w:ascii="仿宋" w:hAnsi="仿宋" w:cs="仿宋"/>
        </w:rPr>
        <w:t>。</w:t>
      </w:r>
      <w:r>
        <w:rPr>
          <w:rFonts w:hint="eastAsia" w:ascii="仿宋" w:hAnsi="仿宋" w:cs="仿宋"/>
          <w:b/>
          <w:kern w:val="0"/>
          <w:lang w:val="zh-CN"/>
        </w:rPr>
        <w:t>（未预留份额专门面向中小企业采购的的采购项目，以及预留份额中的非预留部分采购包，允许分包的，分包意向协议约定小微企业的合同份额占到合同总金额30%以上的，</w:t>
      </w:r>
      <w:r>
        <w:rPr>
          <w:rFonts w:hint="eastAsia" w:ascii="仿宋" w:hAnsi="仿宋" w:cs="仿宋"/>
          <w:b/>
          <w:color w:val="FF0000"/>
          <w:kern w:val="0"/>
          <w:lang w:val="zh-CN"/>
        </w:rPr>
        <w:t>对大中型企业的报价按评标标准确定的比例给予扣除</w:t>
      </w:r>
      <w:r>
        <w:rPr>
          <w:rFonts w:hint="eastAsia" w:ascii="仿宋" w:hAnsi="仿宋" w:cs="仿宋"/>
          <w:b/>
          <w:kern w:val="0"/>
          <w:lang w:val="zh-CN"/>
        </w:rPr>
        <w:t>。供应商</w:t>
      </w:r>
      <w:r>
        <w:rPr>
          <w:rFonts w:hint="eastAsia" w:ascii="仿宋" w:hAnsi="仿宋" w:cs="仿宋"/>
          <w:b/>
        </w:rPr>
        <w:t>拟享受以上价格扣除政策的，填写有关内容。</w:t>
      </w:r>
      <w:r>
        <w:rPr>
          <w:rFonts w:hint="eastAsia" w:ascii="仿宋" w:hAnsi="仿宋" w:cs="仿宋"/>
          <w:b/>
          <w:kern w:val="0"/>
          <w:lang w:val="zh-CN"/>
        </w:rPr>
        <w:t>）</w:t>
      </w:r>
    </w:p>
    <w:p w14:paraId="31C6250B">
      <w:pPr>
        <w:spacing w:line="360" w:lineRule="auto"/>
        <w:ind w:firstLine="480" w:firstLineChars="200"/>
        <w:rPr>
          <w:rFonts w:ascii="仿宋" w:hAnsi="仿宋" w:cs="仿宋"/>
          <w:b/>
          <w:bCs/>
          <w:kern w:val="0"/>
          <w:lang w:val="zh-CN"/>
        </w:rPr>
      </w:pPr>
      <w:r>
        <w:rPr>
          <w:rFonts w:hint="eastAsia" w:ascii="仿宋" w:hAnsi="仿宋" w:cs="仿宋"/>
        </w:rPr>
        <w:t>2、</w:t>
      </w:r>
      <w:bookmarkStart w:id="421" w:name="_Hlk101133173"/>
      <w:r>
        <w:rPr>
          <w:rFonts w:hint="eastAsia" w:ascii="仿宋" w:hAnsi="仿宋" w:cs="仿宋"/>
        </w:rPr>
        <w:t>中小企业合同金额达到__%，小微企业合同金额达到__%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要求合同分包形式参加的项目或采购包，供应商按招标文件第一部分招标公告申请人的资格要求中规定的</w:t>
      </w:r>
      <w:r>
        <w:rPr>
          <w:rFonts w:hint="eastAsia" w:ascii="仿宋" w:hAnsi="仿宋" w:cs="仿宋"/>
          <w:b/>
          <w:kern w:val="0"/>
          <w:lang w:val="zh-CN"/>
        </w:rPr>
        <w:t>分包意向协议</w:t>
      </w:r>
      <w:r>
        <w:rPr>
          <w:rFonts w:hint="eastAsia" w:ascii="仿宋" w:hAnsi="仿宋" w:cs="仿宋"/>
          <w:b/>
          <w:bCs/>
        </w:rPr>
        <w:t>中中小企业、小微企业合同金额应当达到的比例要求填写。</w:t>
      </w:r>
      <w:r>
        <w:rPr>
          <w:rFonts w:hint="eastAsia" w:ascii="仿宋" w:hAnsi="仿宋" w:cs="仿宋"/>
          <w:b/>
          <w:bCs/>
          <w:kern w:val="0"/>
          <w:lang w:val="zh-CN"/>
        </w:rPr>
        <w:t>）</w:t>
      </w:r>
      <w:bookmarkEnd w:id="421"/>
    </w:p>
    <w:p w14:paraId="36A2B032">
      <w:pPr>
        <w:spacing w:line="360" w:lineRule="auto"/>
        <w:ind w:firstLine="576"/>
        <w:rPr>
          <w:rFonts w:ascii="仿宋" w:hAnsi="仿宋" w:cs="仿宋"/>
          <w:kern w:val="0"/>
          <w:lang w:val="zh-CN"/>
        </w:rPr>
      </w:pPr>
      <w:r>
        <w:rPr>
          <w:rFonts w:hint="eastAsia" w:ascii="仿宋" w:hAnsi="仿宋" w:cs="仿宋"/>
          <w:kern w:val="0"/>
          <w:lang w:val="zh-CN"/>
        </w:rPr>
        <w:t>三、分包工作履行期限、地点、方式</w:t>
      </w:r>
    </w:p>
    <w:p w14:paraId="576A27EB">
      <w:pPr>
        <w:spacing w:line="360" w:lineRule="auto"/>
        <w:ind w:firstLine="576"/>
        <w:rPr>
          <w:rFonts w:ascii="仿宋" w:hAnsi="仿宋" w:cs="仿宋"/>
          <w:kern w:val="0"/>
          <w:lang w:val="zh-CN"/>
        </w:rPr>
      </w:pPr>
      <w:r>
        <w:rPr>
          <w:rFonts w:hint="eastAsia" w:ascii="仿宋" w:hAnsi="仿宋" w:cs="仿宋"/>
          <w:kern w:val="0"/>
          <w:lang w:val="zh-CN"/>
        </w:rPr>
        <w:t>四、质量</w:t>
      </w:r>
    </w:p>
    <w:p w14:paraId="567C500C">
      <w:pPr>
        <w:spacing w:line="360" w:lineRule="auto"/>
        <w:ind w:firstLine="576"/>
        <w:rPr>
          <w:rFonts w:ascii="仿宋" w:hAnsi="仿宋" w:cs="仿宋"/>
          <w:kern w:val="0"/>
          <w:lang w:val="zh-CN"/>
        </w:rPr>
      </w:pPr>
      <w:r>
        <w:rPr>
          <w:rFonts w:hint="eastAsia" w:ascii="仿宋" w:hAnsi="仿宋" w:cs="仿宋"/>
          <w:kern w:val="0"/>
          <w:lang w:val="zh-CN"/>
        </w:rPr>
        <w:t>五、价款或者报酬</w:t>
      </w:r>
    </w:p>
    <w:p w14:paraId="0D12D65B">
      <w:pPr>
        <w:spacing w:line="360" w:lineRule="auto"/>
        <w:ind w:left="655" w:leftChars="273"/>
        <w:rPr>
          <w:rFonts w:ascii="仿宋" w:hAnsi="仿宋" w:cs="仿宋"/>
          <w:kern w:val="0"/>
          <w:lang w:val="zh-CN"/>
        </w:rPr>
      </w:pPr>
      <w:r>
        <w:rPr>
          <w:rFonts w:hint="eastAsia" w:ascii="仿宋" w:hAnsi="仿宋" w:cs="仿宋"/>
          <w:kern w:val="0"/>
          <w:lang w:val="zh-CN"/>
        </w:rPr>
        <w:t>六、违约责任</w:t>
      </w:r>
    </w:p>
    <w:p w14:paraId="578C91D6">
      <w:pPr>
        <w:spacing w:line="360" w:lineRule="auto"/>
        <w:ind w:firstLine="576"/>
        <w:rPr>
          <w:rFonts w:ascii="仿宋" w:hAnsi="仿宋" w:cs="仿宋"/>
          <w:kern w:val="0"/>
          <w:lang w:val="zh-CN"/>
        </w:rPr>
      </w:pPr>
      <w:r>
        <w:rPr>
          <w:rFonts w:hint="eastAsia" w:ascii="仿宋" w:hAnsi="仿宋" w:cs="仿宋"/>
          <w:kern w:val="0"/>
          <w:lang w:val="zh-CN"/>
        </w:rPr>
        <w:t>七、争议解决的办法</w:t>
      </w:r>
    </w:p>
    <w:p w14:paraId="39F004F1">
      <w:pPr>
        <w:spacing w:line="360" w:lineRule="auto"/>
        <w:ind w:left="5861" w:leftChars="342" w:hanging="5040" w:hangingChars="2100"/>
        <w:rPr>
          <w:rFonts w:ascii="仿宋" w:hAnsi="仿宋" w:cs="仿宋"/>
          <w:kern w:val="0"/>
          <w:lang w:val="zh-CN"/>
        </w:rPr>
      </w:pPr>
      <w:r>
        <w:rPr>
          <w:rFonts w:hint="eastAsia" w:ascii="仿宋" w:hAnsi="仿宋" w:cs="仿宋"/>
          <w:kern w:val="0"/>
          <w:lang w:val="zh-CN"/>
        </w:rPr>
        <w:t xml:space="preserve">                                          投标人名称(电子签名)：</w:t>
      </w:r>
    </w:p>
    <w:p w14:paraId="4EAD0810">
      <w:pPr>
        <w:spacing w:line="360" w:lineRule="auto"/>
        <w:jc w:val="right"/>
        <w:rPr>
          <w:rFonts w:ascii="仿宋" w:hAnsi="仿宋" w:cs="仿宋"/>
          <w:kern w:val="0"/>
          <w:lang w:val="zh-CN"/>
        </w:rPr>
      </w:pPr>
      <w:r>
        <w:rPr>
          <w:rFonts w:hint="eastAsia" w:ascii="仿宋" w:hAnsi="仿宋" w:cs="仿宋"/>
          <w:kern w:val="0"/>
          <w:lang w:val="zh-CN"/>
        </w:rPr>
        <w:t>分包供应商名称(电子签名/公章)：</w:t>
      </w:r>
    </w:p>
    <w:p w14:paraId="73F4D5D3">
      <w:pPr>
        <w:spacing w:line="360" w:lineRule="auto"/>
        <w:ind w:firstLine="5760" w:firstLineChars="2400"/>
        <w:rPr>
          <w:rFonts w:ascii="仿宋" w:hAnsi="仿宋" w:cs="仿宋"/>
        </w:rPr>
      </w:pPr>
      <w:r>
        <w:rPr>
          <w:rFonts w:hint="eastAsia" w:ascii="仿宋" w:hAnsi="仿宋" w:cs="仿宋"/>
          <w:kern w:val="0"/>
          <w:lang w:val="zh-CN"/>
        </w:rPr>
        <w:t>……</w:t>
      </w:r>
    </w:p>
    <w:p w14:paraId="7B1A0E16">
      <w:pPr>
        <w:spacing w:line="360" w:lineRule="auto"/>
        <w:jc w:val="center"/>
        <w:rPr>
          <w:rFonts w:ascii="仿宋" w:hAnsi="仿宋" w:cs="仿宋"/>
          <w:kern w:val="0"/>
          <w:lang w:val="zh-CN"/>
        </w:rPr>
      </w:pPr>
      <w:r>
        <w:rPr>
          <w:rFonts w:hint="eastAsia" w:ascii="仿宋" w:hAnsi="仿宋" w:cs="仿宋"/>
          <w:kern w:val="0"/>
          <w:lang w:val="zh-CN"/>
        </w:rPr>
        <w:t xml:space="preserve">                                        日期：  年  月   日</w:t>
      </w:r>
    </w:p>
    <w:p w14:paraId="36060DC7">
      <w:pPr>
        <w:rPr>
          <w:rFonts w:ascii="仿宋" w:hAnsi="仿宋" w:cs="仿宋"/>
          <w:b/>
          <w:spacing w:val="6"/>
          <w:sz w:val="32"/>
          <w:szCs w:val="32"/>
        </w:rPr>
      </w:pPr>
      <w:r>
        <w:rPr>
          <w:rFonts w:hint="eastAsia" w:ascii="仿宋" w:hAnsi="仿宋" w:cs="仿宋"/>
        </w:rPr>
        <w:t>注：按本格式和要求提供。</w:t>
      </w:r>
      <w:r>
        <w:rPr>
          <w:rFonts w:hint="eastAsia" w:ascii="仿宋" w:hAnsi="仿宋" w:cs="仿宋"/>
          <w:b/>
          <w:spacing w:val="6"/>
          <w:sz w:val="32"/>
          <w:szCs w:val="32"/>
        </w:rPr>
        <w:br w:type="page"/>
      </w:r>
    </w:p>
    <w:p w14:paraId="65AFEF76">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附件7：中小企业声明函</w:t>
      </w:r>
    </w:p>
    <w:p w14:paraId="2BEAF46D">
      <w:pPr>
        <w:spacing w:line="360" w:lineRule="auto"/>
        <w:ind w:right="420" w:firstLine="482" w:firstLineChars="200"/>
        <w:rPr>
          <w:rFonts w:ascii="仿宋" w:hAnsi="仿宋" w:cs="仿宋"/>
        </w:rPr>
      </w:pPr>
      <w:r>
        <w:rPr>
          <w:rFonts w:hint="eastAsia" w:ascii="仿宋" w:hAnsi="仿宋" w:cs="仿宋"/>
          <w:b/>
          <w:bCs/>
        </w:rPr>
        <w:t>1.填写要求：①“标的名称”、“采购文件中明确的所属行业”依据招标文件第二部分投标人须知前附表中“采购标的对应的中小企业划分标准所属行业”填写，不得缺漏；②货物类项目从业人员、营业收入、资产总额填报</w:t>
      </w:r>
      <w:r>
        <w:rPr>
          <w:rFonts w:hint="eastAsia" w:ascii="仿宋" w:hAnsi="仿宋" w:cs="仿宋"/>
          <w:b/>
          <w:bCs/>
          <w:color w:val="FF0000"/>
        </w:rPr>
        <w:t>产品制造商的</w:t>
      </w:r>
      <w:r>
        <w:rPr>
          <w:rFonts w:hint="eastAsia" w:ascii="仿宋" w:hAnsi="仿宋" w:cs="仿宋"/>
          <w:b/>
          <w:bCs/>
        </w:rPr>
        <w:t>上一年度</w:t>
      </w:r>
      <w:r>
        <w:rPr>
          <w:rFonts w:hint="eastAsia" w:ascii="仿宋" w:hAnsi="仿宋" w:cs="仿宋"/>
          <w:b/>
          <w:bCs/>
          <w:color w:val="FF0000"/>
        </w:rPr>
        <w:t>相关数据，工程和服务项目填报投标人的</w:t>
      </w:r>
      <w:r>
        <w:rPr>
          <w:rFonts w:hint="eastAsia" w:ascii="仿宋" w:hAnsi="仿宋" w:cs="仿宋"/>
          <w:b/>
          <w:bCs/>
        </w:rPr>
        <w:t>上一年度</w:t>
      </w:r>
      <w:r>
        <w:rPr>
          <w:rFonts w:hint="eastAsia" w:ascii="仿宋" w:hAnsi="仿宋" w:cs="仿宋"/>
          <w:b/>
          <w:bCs/>
          <w:color w:val="FF0000"/>
        </w:rPr>
        <w:t>相关数据。③今年新成立公司，</w:t>
      </w:r>
      <w:r>
        <w:rPr>
          <w:rFonts w:hint="eastAsia" w:ascii="仿宋" w:hAnsi="仿宋" w:cs="仿宋"/>
          <w:b/>
          <w:bCs/>
        </w:rPr>
        <w:t>无上一年度数据的新成立企业可不填报；④中型企业、小型企业、微型企业等3种企业类型，结合以上数据，依据《中小企业划型标准规定》（工信部联企业〔2011〕300号）确定。</w:t>
      </w:r>
    </w:p>
    <w:p w14:paraId="07D82E9D">
      <w:pPr>
        <w:spacing w:line="360" w:lineRule="auto"/>
        <w:ind w:right="420" w:firstLine="480" w:firstLineChars="200"/>
        <w:rPr>
          <w:rFonts w:ascii="仿宋" w:hAnsi="仿宋" w:cs="仿宋"/>
        </w:rPr>
      </w:pPr>
      <w:r>
        <w:rPr>
          <w:rFonts w:hint="eastAsia" w:ascii="仿宋" w:hAnsi="仿宋" w:cs="仿宋"/>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9D0FBFA">
      <w:pPr>
        <w:spacing w:line="360" w:lineRule="auto"/>
        <w:jc w:val="center"/>
        <w:rPr>
          <w:rFonts w:ascii="仿宋" w:hAnsi="仿宋" w:cs="仿宋"/>
          <w:b/>
          <w:sz w:val="32"/>
          <w:szCs w:val="32"/>
        </w:rPr>
      </w:pPr>
      <w:r>
        <w:rPr>
          <w:rFonts w:hint="eastAsia" w:ascii="仿宋" w:hAnsi="仿宋" w:cs="仿宋"/>
          <w:b/>
          <w:sz w:val="32"/>
          <w:szCs w:val="32"/>
        </w:rPr>
        <w:t>中小企业声明函（货物）</w:t>
      </w:r>
    </w:p>
    <w:p w14:paraId="713239E8">
      <w:pPr>
        <w:spacing w:line="360" w:lineRule="auto"/>
        <w:ind w:firstLine="480" w:firstLineChars="200"/>
        <w:rPr>
          <w:rFonts w:ascii="仿宋" w:hAnsi="仿宋" w:cs="仿宋"/>
        </w:rPr>
      </w:pPr>
      <w:r>
        <w:rPr>
          <w:rFonts w:hint="eastAsia" w:ascii="仿宋" w:hAnsi="仿宋" w:cs="仿宋"/>
        </w:rPr>
        <w:t>本公司（联合体）郑重声明，根据《政府采购促进中小企业发展管理办法》（财库﹝2020﹞46 号）的规定，本公司（联合体）参加</w:t>
      </w:r>
      <w:r>
        <w:rPr>
          <w:rFonts w:hint="eastAsia" w:ascii="仿宋" w:hAnsi="仿宋" w:cs="仿宋"/>
          <w:u w:val="single"/>
        </w:rPr>
        <w:t>浙江工业大学</w:t>
      </w:r>
      <w:r>
        <w:rPr>
          <w:rFonts w:hint="eastAsia" w:ascii="仿宋" w:hAnsi="仿宋" w:cs="仿宋"/>
        </w:rPr>
        <w:t>的</w:t>
      </w:r>
      <w:r>
        <w:rPr>
          <w:rFonts w:hint="eastAsia" w:ascii="仿宋" w:hAnsi="仿宋" w:cs="仿宋"/>
          <w:b/>
          <w:u w:val="single"/>
        </w:rPr>
        <w:t xml:space="preserve"> 浙江工业大学继续教育数字化二期项目 </w:t>
      </w:r>
      <w:r>
        <w:rPr>
          <w:rFonts w:hint="eastAsia" w:ascii="仿宋" w:hAnsi="仿宋" w:cs="仿宋"/>
        </w:rPr>
        <w:t>采购活动，提供的货物全部由符合政策要求的中小企业制造。相关企业（含联合体中的中小企业、签订分包意向协议的中小企业）的具体情况如下：</w:t>
      </w:r>
    </w:p>
    <w:tbl>
      <w:tblPr>
        <w:tblStyle w:val="62"/>
        <w:tblW w:w="48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988"/>
        <w:gridCol w:w="1257"/>
        <w:gridCol w:w="878"/>
        <w:gridCol w:w="818"/>
        <w:gridCol w:w="889"/>
        <w:gridCol w:w="891"/>
        <w:gridCol w:w="1869"/>
        <w:gridCol w:w="806"/>
      </w:tblGrid>
      <w:tr w14:paraId="1465B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355" w:type="pct"/>
            <w:noWrap/>
            <w:vAlign w:val="center"/>
          </w:tcPr>
          <w:p w14:paraId="3C71E0EC">
            <w:pPr>
              <w:widowControl/>
              <w:jc w:val="center"/>
              <w:rPr>
                <w:rFonts w:ascii="仿宋" w:hAnsi="仿宋" w:cs="仿宋"/>
                <w:kern w:val="0"/>
              </w:rPr>
            </w:pPr>
            <w:r>
              <w:rPr>
                <w:rFonts w:hint="eastAsia" w:ascii="仿宋" w:hAnsi="仿宋" w:cs="仿宋"/>
                <w:kern w:val="0"/>
              </w:rPr>
              <w:t>序号</w:t>
            </w:r>
          </w:p>
        </w:tc>
        <w:tc>
          <w:tcPr>
            <w:tcW w:w="546" w:type="pct"/>
            <w:noWrap/>
            <w:vAlign w:val="center"/>
          </w:tcPr>
          <w:p w14:paraId="34AF2DD2">
            <w:pPr>
              <w:widowControl/>
              <w:jc w:val="center"/>
              <w:rPr>
                <w:rFonts w:ascii="仿宋" w:hAnsi="仿宋" w:cs="仿宋"/>
                <w:kern w:val="0"/>
              </w:rPr>
            </w:pPr>
            <w:r>
              <w:rPr>
                <w:rFonts w:hint="eastAsia" w:ascii="仿宋" w:hAnsi="仿宋" w:cs="仿宋"/>
                <w:kern w:val="0"/>
              </w:rPr>
              <w:t>设备名称</w:t>
            </w:r>
          </w:p>
        </w:tc>
        <w:tc>
          <w:tcPr>
            <w:tcW w:w="694" w:type="pct"/>
            <w:vAlign w:val="center"/>
          </w:tcPr>
          <w:p w14:paraId="1C7335D4">
            <w:pPr>
              <w:widowControl/>
              <w:jc w:val="center"/>
              <w:rPr>
                <w:rFonts w:ascii="仿宋" w:hAnsi="仿宋" w:cs="仿宋"/>
              </w:rPr>
            </w:pPr>
            <w:r>
              <w:rPr>
                <w:rFonts w:hint="eastAsia" w:ascii="仿宋" w:hAnsi="仿宋" w:cs="仿宋"/>
                <w:u w:val="single"/>
              </w:rPr>
              <w:t>行业</w:t>
            </w:r>
          </w:p>
        </w:tc>
        <w:tc>
          <w:tcPr>
            <w:tcW w:w="485" w:type="pct"/>
            <w:noWrap/>
            <w:vAlign w:val="center"/>
          </w:tcPr>
          <w:p w14:paraId="02C8DFC2">
            <w:pPr>
              <w:widowControl/>
              <w:jc w:val="center"/>
              <w:rPr>
                <w:rFonts w:ascii="仿宋" w:hAnsi="仿宋" w:cs="仿宋"/>
                <w:kern w:val="0"/>
              </w:rPr>
            </w:pPr>
            <w:r>
              <w:rPr>
                <w:rFonts w:hint="eastAsia" w:ascii="仿宋" w:hAnsi="仿宋" w:cs="仿宋"/>
              </w:rPr>
              <w:t>制造商</w:t>
            </w:r>
          </w:p>
        </w:tc>
        <w:tc>
          <w:tcPr>
            <w:tcW w:w="452" w:type="pct"/>
            <w:vAlign w:val="center"/>
          </w:tcPr>
          <w:p w14:paraId="216774F1">
            <w:pPr>
              <w:widowControl/>
              <w:jc w:val="center"/>
              <w:rPr>
                <w:rFonts w:ascii="仿宋" w:hAnsi="仿宋" w:cs="仿宋"/>
                <w:kern w:val="0"/>
              </w:rPr>
            </w:pPr>
            <w:r>
              <w:rPr>
                <w:rFonts w:hint="eastAsia" w:ascii="仿宋" w:hAnsi="仿宋" w:cs="仿宋"/>
              </w:rPr>
              <w:t>从业人员</w:t>
            </w:r>
          </w:p>
        </w:tc>
        <w:tc>
          <w:tcPr>
            <w:tcW w:w="492" w:type="pct"/>
            <w:vAlign w:val="center"/>
          </w:tcPr>
          <w:p w14:paraId="36B3045E">
            <w:pPr>
              <w:widowControl/>
              <w:jc w:val="center"/>
              <w:rPr>
                <w:rFonts w:ascii="仿宋" w:hAnsi="仿宋" w:cs="仿宋"/>
                <w:kern w:val="0"/>
              </w:rPr>
            </w:pPr>
            <w:r>
              <w:rPr>
                <w:rFonts w:hint="eastAsia" w:ascii="仿宋" w:hAnsi="仿宋" w:cs="仿宋"/>
              </w:rPr>
              <w:t>营业收入</w:t>
            </w:r>
          </w:p>
        </w:tc>
        <w:tc>
          <w:tcPr>
            <w:tcW w:w="493" w:type="pct"/>
            <w:vAlign w:val="center"/>
          </w:tcPr>
          <w:p w14:paraId="002FCDE0">
            <w:pPr>
              <w:widowControl/>
              <w:jc w:val="center"/>
              <w:rPr>
                <w:rFonts w:ascii="仿宋" w:hAnsi="仿宋" w:cs="仿宋"/>
                <w:kern w:val="0"/>
              </w:rPr>
            </w:pPr>
            <w:r>
              <w:rPr>
                <w:rFonts w:hint="eastAsia" w:ascii="仿宋" w:hAnsi="仿宋" w:cs="仿宋"/>
              </w:rPr>
              <w:t>资产总额</w:t>
            </w:r>
          </w:p>
        </w:tc>
        <w:tc>
          <w:tcPr>
            <w:tcW w:w="1033" w:type="pct"/>
            <w:vAlign w:val="center"/>
          </w:tcPr>
          <w:p w14:paraId="29E81706">
            <w:pPr>
              <w:widowControl/>
              <w:jc w:val="center"/>
              <w:rPr>
                <w:rFonts w:ascii="仿宋" w:hAnsi="仿宋" w:cs="仿宋"/>
                <w:kern w:val="0"/>
              </w:rPr>
            </w:pPr>
            <w:r>
              <w:rPr>
                <w:rFonts w:hint="eastAsia" w:ascii="仿宋" w:hAnsi="仿宋" w:cs="仿宋"/>
                <w:u w:val="single"/>
              </w:rPr>
              <w:t>企业类型（中型企业、小型企业、微型企业）</w:t>
            </w:r>
          </w:p>
        </w:tc>
        <w:tc>
          <w:tcPr>
            <w:tcW w:w="446" w:type="pct"/>
            <w:vAlign w:val="center"/>
          </w:tcPr>
          <w:p w14:paraId="10997FC0">
            <w:pPr>
              <w:widowControl/>
              <w:tabs>
                <w:tab w:val="left" w:pos="480"/>
              </w:tabs>
              <w:ind w:right="182" w:rightChars="76"/>
              <w:jc w:val="center"/>
              <w:rPr>
                <w:rFonts w:ascii="仿宋" w:hAnsi="仿宋" w:cs="仿宋"/>
                <w:kern w:val="0"/>
              </w:rPr>
            </w:pPr>
            <w:r>
              <w:rPr>
                <w:rFonts w:hint="eastAsia" w:ascii="仿宋" w:hAnsi="仿宋" w:cs="仿宋"/>
                <w:kern w:val="0"/>
              </w:rPr>
              <w:t>备注</w:t>
            </w:r>
          </w:p>
        </w:tc>
      </w:tr>
      <w:tr w14:paraId="5E6C6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55" w:type="pct"/>
            <w:noWrap/>
            <w:vAlign w:val="center"/>
          </w:tcPr>
          <w:p w14:paraId="2C5804E1">
            <w:pPr>
              <w:widowControl/>
              <w:numPr>
                <w:ilvl w:val="0"/>
                <w:numId w:val="15"/>
              </w:numPr>
              <w:jc w:val="center"/>
              <w:rPr>
                <w:rFonts w:ascii="仿宋" w:hAnsi="仿宋" w:cs="仿宋"/>
                <w:kern w:val="0"/>
              </w:rPr>
            </w:pPr>
          </w:p>
        </w:tc>
        <w:tc>
          <w:tcPr>
            <w:tcW w:w="546" w:type="pct"/>
            <w:noWrap/>
          </w:tcPr>
          <w:p w14:paraId="4AA3D51F">
            <w:pPr>
              <w:widowControl/>
              <w:jc w:val="center"/>
              <w:textAlignment w:val="top"/>
              <w:rPr>
                <w:rFonts w:ascii="仿宋" w:hAnsi="仿宋" w:cs="仿宋"/>
                <w:color w:val="000000"/>
                <w:kern w:val="0"/>
                <w:szCs w:val="21"/>
                <w:lang w:bidi="ar"/>
              </w:rPr>
            </w:pPr>
            <w:r>
              <w:rPr>
                <w:rFonts w:hint="eastAsia" w:ascii="仿宋" w:hAnsi="仿宋" w:cs="仿宋"/>
                <w:color w:val="000000"/>
                <w:kern w:val="0"/>
                <w:szCs w:val="21"/>
                <w:lang w:bidi="ar"/>
              </w:rPr>
              <w:t>继续教育数字化二期系统</w:t>
            </w:r>
          </w:p>
        </w:tc>
        <w:tc>
          <w:tcPr>
            <w:tcW w:w="694" w:type="pct"/>
            <w:vAlign w:val="center"/>
          </w:tcPr>
          <w:p w14:paraId="69D597C1">
            <w:pPr>
              <w:jc w:val="center"/>
              <w:rPr>
                <w:rFonts w:ascii="仿宋" w:hAnsi="仿宋" w:cs="仿宋"/>
              </w:rPr>
            </w:pPr>
            <w:r>
              <w:rPr>
                <w:rFonts w:hint="eastAsia" w:ascii="仿宋" w:hAnsi="仿宋" w:cs="仿宋"/>
                <w:u w:val="single"/>
              </w:rPr>
              <w:t>软件和信息技术服务业</w:t>
            </w:r>
          </w:p>
        </w:tc>
        <w:tc>
          <w:tcPr>
            <w:tcW w:w="485" w:type="pct"/>
            <w:noWrap/>
            <w:vAlign w:val="center"/>
          </w:tcPr>
          <w:p w14:paraId="39CC6C7F">
            <w:pPr>
              <w:widowControl/>
              <w:jc w:val="center"/>
              <w:rPr>
                <w:rFonts w:ascii="仿宋" w:hAnsi="仿宋" w:cs="仿宋"/>
                <w:kern w:val="0"/>
              </w:rPr>
            </w:pPr>
          </w:p>
        </w:tc>
        <w:tc>
          <w:tcPr>
            <w:tcW w:w="452" w:type="pct"/>
            <w:vAlign w:val="center"/>
          </w:tcPr>
          <w:p w14:paraId="1195CEEE">
            <w:pPr>
              <w:widowControl/>
              <w:jc w:val="center"/>
              <w:rPr>
                <w:rFonts w:ascii="仿宋" w:hAnsi="仿宋" w:cs="仿宋"/>
                <w:kern w:val="0"/>
              </w:rPr>
            </w:pPr>
          </w:p>
        </w:tc>
        <w:tc>
          <w:tcPr>
            <w:tcW w:w="492" w:type="pct"/>
            <w:vAlign w:val="center"/>
          </w:tcPr>
          <w:p w14:paraId="42E1F01C">
            <w:pPr>
              <w:widowControl/>
              <w:jc w:val="center"/>
              <w:rPr>
                <w:rFonts w:ascii="仿宋" w:hAnsi="仿宋" w:cs="仿宋"/>
                <w:kern w:val="0"/>
              </w:rPr>
            </w:pPr>
          </w:p>
        </w:tc>
        <w:tc>
          <w:tcPr>
            <w:tcW w:w="493" w:type="pct"/>
            <w:vAlign w:val="center"/>
          </w:tcPr>
          <w:p w14:paraId="365A6066">
            <w:pPr>
              <w:widowControl/>
              <w:jc w:val="center"/>
              <w:rPr>
                <w:rFonts w:ascii="仿宋" w:hAnsi="仿宋" w:cs="仿宋"/>
                <w:kern w:val="0"/>
              </w:rPr>
            </w:pPr>
          </w:p>
        </w:tc>
        <w:tc>
          <w:tcPr>
            <w:tcW w:w="1033" w:type="pct"/>
            <w:vAlign w:val="center"/>
          </w:tcPr>
          <w:p w14:paraId="79F1733F">
            <w:pPr>
              <w:widowControl/>
              <w:jc w:val="center"/>
              <w:rPr>
                <w:rFonts w:ascii="仿宋" w:hAnsi="仿宋" w:cs="仿宋"/>
                <w:kern w:val="0"/>
              </w:rPr>
            </w:pPr>
          </w:p>
        </w:tc>
        <w:tc>
          <w:tcPr>
            <w:tcW w:w="446" w:type="pct"/>
            <w:vAlign w:val="center"/>
          </w:tcPr>
          <w:p w14:paraId="316906FA">
            <w:pPr>
              <w:widowControl/>
              <w:jc w:val="center"/>
              <w:rPr>
                <w:rFonts w:ascii="仿宋" w:hAnsi="仿宋" w:cs="仿宋"/>
                <w:kern w:val="0"/>
              </w:rPr>
            </w:pPr>
          </w:p>
        </w:tc>
      </w:tr>
    </w:tbl>
    <w:p w14:paraId="44A772F7">
      <w:pPr>
        <w:spacing w:line="360" w:lineRule="auto"/>
        <w:ind w:firstLine="480" w:firstLineChars="200"/>
        <w:rPr>
          <w:rFonts w:ascii="仿宋" w:hAnsi="仿宋" w:cs="仿宋"/>
        </w:rPr>
      </w:pPr>
      <w:r>
        <w:rPr>
          <w:rFonts w:hint="eastAsia" w:ascii="仿宋" w:hAnsi="仿宋" w:cs="仿宋"/>
        </w:rPr>
        <w:t>本企业对上述声明内容的真实性负责。如有虚假，将依法承担相应责任。</w:t>
      </w:r>
    </w:p>
    <w:p w14:paraId="222998D2">
      <w:pPr>
        <w:spacing w:line="360" w:lineRule="auto"/>
        <w:ind w:firstLine="5160" w:firstLineChars="2150"/>
        <w:rPr>
          <w:rFonts w:ascii="仿宋" w:hAnsi="仿宋" w:cs="仿宋"/>
          <w:kern w:val="0"/>
        </w:rPr>
      </w:pPr>
      <w:r>
        <w:rPr>
          <w:rFonts w:hint="eastAsia" w:ascii="仿宋" w:hAnsi="仿宋" w:cs="仿宋"/>
          <w:kern w:val="0"/>
          <w:lang w:val="zh-CN"/>
        </w:rPr>
        <w:t>投标人名称(电子签名)：</w:t>
      </w:r>
    </w:p>
    <w:p w14:paraId="609F29FD">
      <w:pPr>
        <w:ind w:right="30" w:firstLine="494"/>
        <w:jc w:val="center"/>
        <w:rPr>
          <w:rFonts w:ascii="仿宋" w:hAnsi="仿宋" w:cs="仿宋"/>
        </w:rPr>
      </w:pPr>
      <w:r>
        <w:rPr>
          <w:rFonts w:hint="eastAsia" w:ascii="仿宋" w:hAnsi="仿宋" w:cs="仿宋"/>
          <w:kern w:val="0"/>
          <w:lang w:val="zh-CN"/>
        </w:rPr>
        <w:t xml:space="preserve">                                   日期</w:t>
      </w:r>
      <w:r>
        <w:rPr>
          <w:rFonts w:hint="eastAsia" w:ascii="仿宋" w:hAnsi="仿宋" w:cs="仿宋"/>
          <w:kern w:val="0"/>
        </w:rPr>
        <w:t xml:space="preserve">：  </w:t>
      </w:r>
      <w:r>
        <w:rPr>
          <w:rFonts w:hint="eastAsia" w:ascii="仿宋" w:hAnsi="仿宋" w:cs="仿宋"/>
        </w:rPr>
        <w:t>年  月  日</w:t>
      </w:r>
    </w:p>
    <w:p w14:paraId="3FED5DC9"/>
    <w:sectPr>
      <w:headerReference r:id="rId10" w:type="first"/>
      <w:footerReference r:id="rId13" w:type="first"/>
      <w:headerReference r:id="rId9" w:type="default"/>
      <w:footerReference r:id="rId11" w:type="default"/>
      <w:footerReference r:id="rId12" w:type="even"/>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auto"/>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9" w:usb3="00000000" w:csb0="400001FF" w:csb1="FFFF0000"/>
  </w:font>
  <w:font w:name="MS Gothic">
    <w:panose1 w:val="020B0609070205080204"/>
    <w:charset w:val="80"/>
    <w:family w:val="modern"/>
    <w:pitch w:val="default"/>
    <w:sig w:usb0="E00002FF" w:usb1="6AC7FDFB" w:usb2="08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1893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114</w:t>
    </w:r>
    <w:r>
      <w:rPr>
        <w:rFonts w:hint="eastAsia" w:ascii="仿宋_GB2312" w:eastAsia="仿宋_GB2312"/>
        <w:kern w:val="0"/>
      </w:rPr>
      <w:fldChar w:fldCharType="end"/>
    </w:r>
    <w:r>
      <w:rPr>
        <w:rFonts w:hint="eastAsia" w:ascii="仿宋_GB2312" w:eastAsia="仿宋_GB2312"/>
        <w:kern w:val="0"/>
      </w:rPr>
      <w:t xml:space="preserve"> 页</w:t>
    </w:r>
  </w:p>
  <w:p w14:paraId="16E0ADEC">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2434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114</w:t>
    </w:r>
    <w:r>
      <w:rPr>
        <w:rFonts w:hint="eastAsia" w:ascii="仿宋_GB2312" w:eastAsia="仿宋_GB2312"/>
        <w:kern w:val="0"/>
      </w:rPr>
      <w:fldChar w:fldCharType="end"/>
    </w:r>
    <w:r>
      <w:rPr>
        <w:rFonts w:hint="eastAsia" w:ascii="仿宋_GB2312" w:eastAsia="仿宋_GB2312"/>
        <w:kern w:val="0"/>
      </w:rPr>
      <w:t xml:space="preserve"> 页</w:t>
    </w:r>
  </w:p>
  <w:p w14:paraId="0961D334">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45C9B">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AB94E">
    <w:pPr>
      <w:pStyle w:val="40"/>
      <w:framePr w:wrap="around" w:vAnchor="text" w:hAnchor="margin" w:xAlign="right" w:y="1"/>
      <w:rPr>
        <w:rStyle w:val="72"/>
      </w:rPr>
    </w:pPr>
    <w:r>
      <w:fldChar w:fldCharType="begin"/>
    </w:r>
    <w:r>
      <w:rPr>
        <w:rStyle w:val="72"/>
      </w:rPr>
      <w:instrText xml:space="preserve">PAGE  </w:instrText>
    </w:r>
    <w:r>
      <w:fldChar w:fldCharType="end"/>
    </w:r>
  </w:p>
  <w:p w14:paraId="1FDA64E0">
    <w:pPr>
      <w:pStyle w:val="4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088A0">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114</w:t>
    </w:r>
    <w:r>
      <w:rPr>
        <w:rFonts w:hint="eastAsia" w:ascii="仿宋_GB2312" w:eastAsia="仿宋_GB2312"/>
        <w:kern w:val="0"/>
        <w:szCs w:val="21"/>
      </w:rPr>
      <w:fldChar w:fldCharType="end"/>
    </w:r>
    <w:bookmarkStart w:id="422" w:name="_Toc91899912"/>
    <w:bookmarkStart w:id="423" w:name="_Toc36110187"/>
    <w:bookmarkStart w:id="424" w:name="_Toc131845147"/>
    <w:bookmarkStart w:id="425" w:name="_Toc164085800"/>
    <w:r>
      <w:rPr>
        <w:rFonts w:hint="eastAsia" w:ascii="仿宋_GB2312" w:eastAsia="仿宋_GB2312"/>
        <w:kern w:val="0"/>
        <w:szCs w:val="21"/>
      </w:rPr>
      <w:t xml:space="preserve"> 页</w:t>
    </w:r>
    <w:bookmarkEnd w:id="422"/>
    <w:bookmarkEnd w:id="423"/>
    <w:bookmarkEnd w:id="424"/>
    <w:bookmarkEnd w:id="425"/>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33AD7">
    <w:pPr>
      <w:pStyle w:val="41"/>
      <w:pBdr>
        <w:bottom w:val="single" w:color="auto" w:sz="6" w:space="4"/>
      </w:pBdr>
      <w:jc w:val="right"/>
      <w:rPr>
        <w:rFonts w:ascii="仿宋_GB2312" w:eastAsia="仿宋_GB2312"/>
        <w:i/>
        <w:u w:val="single"/>
      </w:rPr>
    </w:pPr>
    <w:r>
      <w:t></w:t>
    </w:r>
    <w:r>
      <w:rPr>
        <w:rFonts w:hint="eastAsia"/>
      </w:rPr>
      <w:t>浙江工业大学公开招标文件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C3721">
    <w:pPr>
      <w:pStyle w:val="41"/>
    </w:pPr>
    <w:r>
      <w:rPr>
        <w:rFonts w:hint="eastAsia"/>
      </w:rPr>
      <w:t>浙江工业大学公开招标文件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1265E">
    <w:pPr>
      <w:pStyle w:val="41"/>
      <w:jc w:val="right"/>
      <w:rPr>
        <w:rFonts w:ascii="仿宋_GB2312" w:eastAsia="仿宋_GB2312"/>
        <w:b/>
        <w:i/>
        <w:iCs/>
        <w:u w:val="single"/>
      </w:rPr>
    </w:pPr>
    <w:r>
      <w:rPr>
        <w:rFonts w:hint="eastAsia"/>
      </w:rPr>
      <w:t>浙江工业大学公开招标文件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712AF">
    <w:pPr>
      <w:pStyle w:val="41"/>
    </w:pPr>
    <w:r>
      <w:rPr>
        <w:rFonts w:hint="eastAsia"/>
      </w:rPr>
      <w:t>浙江工业大学公开招标文件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D9EC99C5"/>
    <w:multiLevelType w:val="singleLevel"/>
    <w:tmpl w:val="D9EC99C5"/>
    <w:lvl w:ilvl="0" w:tentative="0">
      <w:start w:val="1"/>
      <w:numFmt w:val="decimal"/>
      <w:lvlText w:val="(%1)"/>
      <w:lvlJc w:val="left"/>
      <w:pPr>
        <w:ind w:left="425" w:hanging="425"/>
      </w:pPr>
      <w:rPr>
        <w:rFonts w:hint="default"/>
      </w:rPr>
    </w:lvl>
  </w:abstractNum>
  <w:abstractNum w:abstractNumId="3">
    <w:nsid w:val="E53E6617"/>
    <w:multiLevelType w:val="singleLevel"/>
    <w:tmpl w:val="E53E6617"/>
    <w:lvl w:ilvl="0" w:tentative="0">
      <w:start w:val="3"/>
      <w:numFmt w:val="chineseCounting"/>
      <w:suff w:val="space"/>
      <w:lvlText w:val="第%1部分"/>
      <w:lvlJc w:val="left"/>
      <w:rPr>
        <w:rFonts w:hint="eastAsia"/>
      </w:rPr>
    </w:lvl>
  </w:abstractNum>
  <w:abstractNum w:abstractNumId="4">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F3733305"/>
    <w:multiLevelType w:val="singleLevel"/>
    <w:tmpl w:val="F3733305"/>
    <w:lvl w:ilvl="0" w:tentative="0">
      <w:start w:val="1"/>
      <w:numFmt w:val="decimal"/>
      <w:lvlText w:val="%1."/>
      <w:lvlJc w:val="left"/>
      <w:pPr>
        <w:ind w:left="425" w:hanging="425"/>
      </w:pPr>
      <w:rPr>
        <w:rFonts w:hint="default"/>
      </w:rPr>
    </w:lvl>
  </w:abstractNum>
  <w:abstractNum w:abstractNumId="6">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0664B160"/>
    <w:multiLevelType w:val="multilevel"/>
    <w:tmpl w:val="0664B160"/>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8">
    <w:nsid w:val="1D27E5EC"/>
    <w:multiLevelType w:val="singleLevel"/>
    <w:tmpl w:val="1D27E5EC"/>
    <w:lvl w:ilvl="0" w:tentative="0">
      <w:start w:val="1"/>
      <w:numFmt w:val="decimal"/>
      <w:suff w:val="nothing"/>
      <w:lvlText w:val="%1、"/>
      <w:lvlJc w:val="left"/>
    </w:lvl>
  </w:abstractNum>
  <w:abstractNum w:abstractNumId="9">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i w:val="0"/>
        <w:iCs w:val="0"/>
        <w:color w:val="000000" w:themeColor="text1"/>
        <w14:textFill>
          <w14:solidFill>
            <w14:schemeClr w14:val="tx1"/>
          </w14:solidFill>
        </w14:textFill>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50F2C67D"/>
    <w:multiLevelType w:val="singleLevel"/>
    <w:tmpl w:val="50F2C67D"/>
    <w:lvl w:ilvl="0" w:tentative="0">
      <w:start w:val="1"/>
      <w:numFmt w:val="decimal"/>
      <w:suff w:val="nothing"/>
      <w:lvlText w:val="（%1）"/>
      <w:lvlJc w:val="left"/>
    </w:lvl>
  </w:abstractNum>
  <w:abstractNum w:abstractNumId="11">
    <w:nsid w:val="513F8985"/>
    <w:multiLevelType w:val="singleLevel"/>
    <w:tmpl w:val="513F8985"/>
    <w:lvl w:ilvl="0" w:tentative="0">
      <w:start w:val="1"/>
      <w:numFmt w:val="decimal"/>
      <w:lvlText w:val="(%1)"/>
      <w:lvlJc w:val="left"/>
      <w:pPr>
        <w:ind w:left="425" w:hanging="425"/>
      </w:pPr>
      <w:rPr>
        <w:rFonts w:hint="default"/>
      </w:rPr>
    </w:lvl>
  </w:abstractNum>
  <w:abstractNum w:abstractNumId="12">
    <w:nsid w:val="58E704CE"/>
    <w:multiLevelType w:val="singleLevel"/>
    <w:tmpl w:val="58E704CE"/>
    <w:lvl w:ilvl="0" w:tentative="0">
      <w:start w:val="2"/>
      <w:numFmt w:val="chineseCounting"/>
      <w:suff w:val="nothing"/>
      <w:lvlText w:val="%1、"/>
      <w:lvlJc w:val="left"/>
    </w:lvl>
  </w:abstractNum>
  <w:abstractNum w:abstractNumId="13">
    <w:nsid w:val="685618AB"/>
    <w:multiLevelType w:val="singleLevel"/>
    <w:tmpl w:val="685618AB"/>
    <w:lvl w:ilvl="0" w:tentative="0">
      <w:start w:val="1"/>
      <w:numFmt w:val="chineseCounting"/>
      <w:suff w:val="nothing"/>
      <w:lvlText w:val="%1、"/>
      <w:lvlJc w:val="left"/>
      <w:rPr>
        <w:rFonts w:hint="eastAsia"/>
      </w:rPr>
    </w:lvl>
  </w:abstractNum>
  <w:abstractNum w:abstractNumId="14">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7"/>
  </w:num>
  <w:num w:numId="2">
    <w:abstractNumId w:val="1"/>
  </w:num>
  <w:num w:numId="3">
    <w:abstractNumId w:val="2"/>
  </w:num>
  <w:num w:numId="4">
    <w:abstractNumId w:val="9"/>
  </w:num>
  <w:num w:numId="5">
    <w:abstractNumId w:val="3"/>
  </w:num>
  <w:num w:numId="6">
    <w:abstractNumId w:val="12"/>
  </w:num>
  <w:num w:numId="7">
    <w:abstractNumId w:val="0"/>
  </w:num>
  <w:num w:numId="8">
    <w:abstractNumId w:val="14"/>
  </w:num>
  <w:num w:numId="9">
    <w:abstractNumId w:val="4"/>
  </w:num>
  <w:num w:numId="10">
    <w:abstractNumId w:val="6"/>
  </w:num>
  <w:num w:numId="11">
    <w:abstractNumId w:val="11"/>
  </w:num>
  <w:num w:numId="12">
    <w:abstractNumId w:val="8"/>
  </w:num>
  <w:num w:numId="13">
    <w:abstractNumId w:val="10"/>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0"/>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zQxMTM1NjaGYCUdpeDU4uLM/DyQAsNaAHT03pAsAAAA"/>
    <w:docVar w:name="commondata" w:val="eyJoZGlkIjoiYTAxOWQ1OTM1MDBkMTZmMGI5MGQyN2Q0ZjRiNDY3YjUifQ=="/>
    <w:docVar w:name="KSO_WPS_MARK_KEY" w:val="aac5b122-9364-4e0b-8419-793bfeb9a1cb"/>
  </w:docVars>
  <w:rsids>
    <w:rsidRoot w:val="00172A27"/>
    <w:rsid w:val="00000451"/>
    <w:rsid w:val="0000108B"/>
    <w:rsid w:val="0000133D"/>
    <w:rsid w:val="00001509"/>
    <w:rsid w:val="0000158F"/>
    <w:rsid w:val="000032B2"/>
    <w:rsid w:val="0000363B"/>
    <w:rsid w:val="00003E42"/>
    <w:rsid w:val="000058BD"/>
    <w:rsid w:val="00006109"/>
    <w:rsid w:val="00006150"/>
    <w:rsid w:val="000063E8"/>
    <w:rsid w:val="00006725"/>
    <w:rsid w:val="0000675E"/>
    <w:rsid w:val="0000698C"/>
    <w:rsid w:val="00007055"/>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30F3"/>
    <w:rsid w:val="00053E90"/>
    <w:rsid w:val="0005410B"/>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B85"/>
    <w:rsid w:val="00064278"/>
    <w:rsid w:val="000646CA"/>
    <w:rsid w:val="000665C4"/>
    <w:rsid w:val="000674B6"/>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493"/>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05"/>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691"/>
    <w:rsid w:val="000C5EC0"/>
    <w:rsid w:val="000C6162"/>
    <w:rsid w:val="000C64CC"/>
    <w:rsid w:val="000C6688"/>
    <w:rsid w:val="000C692E"/>
    <w:rsid w:val="000C6B28"/>
    <w:rsid w:val="000C6EB0"/>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489"/>
    <w:rsid w:val="000E6AE1"/>
    <w:rsid w:val="000E7142"/>
    <w:rsid w:val="000E7632"/>
    <w:rsid w:val="000E7737"/>
    <w:rsid w:val="000E7739"/>
    <w:rsid w:val="000E77EE"/>
    <w:rsid w:val="000E7941"/>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BA9"/>
    <w:rsid w:val="00103251"/>
    <w:rsid w:val="00103509"/>
    <w:rsid w:val="0010393D"/>
    <w:rsid w:val="00103EBD"/>
    <w:rsid w:val="00104699"/>
    <w:rsid w:val="00104E5B"/>
    <w:rsid w:val="00104EEC"/>
    <w:rsid w:val="001050DC"/>
    <w:rsid w:val="001051BA"/>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39E"/>
    <w:rsid w:val="0012153F"/>
    <w:rsid w:val="0012159D"/>
    <w:rsid w:val="00121804"/>
    <w:rsid w:val="00121EC9"/>
    <w:rsid w:val="001224FE"/>
    <w:rsid w:val="0012300D"/>
    <w:rsid w:val="001231D3"/>
    <w:rsid w:val="001232A7"/>
    <w:rsid w:val="00123F7C"/>
    <w:rsid w:val="0012419E"/>
    <w:rsid w:val="001248EF"/>
    <w:rsid w:val="00124AC0"/>
    <w:rsid w:val="00124FC4"/>
    <w:rsid w:val="001253AB"/>
    <w:rsid w:val="0012574C"/>
    <w:rsid w:val="001259B8"/>
    <w:rsid w:val="001264B9"/>
    <w:rsid w:val="001264E5"/>
    <w:rsid w:val="0012693E"/>
    <w:rsid w:val="00126A3A"/>
    <w:rsid w:val="00127060"/>
    <w:rsid w:val="00127B83"/>
    <w:rsid w:val="001315D9"/>
    <w:rsid w:val="0013195A"/>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56"/>
    <w:rsid w:val="00145C6D"/>
    <w:rsid w:val="001460FC"/>
    <w:rsid w:val="00146151"/>
    <w:rsid w:val="00146326"/>
    <w:rsid w:val="00147032"/>
    <w:rsid w:val="00147EA7"/>
    <w:rsid w:val="00150ED9"/>
    <w:rsid w:val="00151820"/>
    <w:rsid w:val="00151B2F"/>
    <w:rsid w:val="001524DC"/>
    <w:rsid w:val="001525E5"/>
    <w:rsid w:val="00152BCB"/>
    <w:rsid w:val="00153859"/>
    <w:rsid w:val="00153915"/>
    <w:rsid w:val="001539F0"/>
    <w:rsid w:val="00154BBA"/>
    <w:rsid w:val="001554C8"/>
    <w:rsid w:val="00155B95"/>
    <w:rsid w:val="00156853"/>
    <w:rsid w:val="00157432"/>
    <w:rsid w:val="00161185"/>
    <w:rsid w:val="0016207F"/>
    <w:rsid w:val="001620BA"/>
    <w:rsid w:val="001623AC"/>
    <w:rsid w:val="00162BAA"/>
    <w:rsid w:val="00163C40"/>
    <w:rsid w:val="00164445"/>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3FF6"/>
    <w:rsid w:val="001741DC"/>
    <w:rsid w:val="00174C4F"/>
    <w:rsid w:val="00174F57"/>
    <w:rsid w:val="00175078"/>
    <w:rsid w:val="001755DC"/>
    <w:rsid w:val="00176AA6"/>
    <w:rsid w:val="00177063"/>
    <w:rsid w:val="001771A1"/>
    <w:rsid w:val="001775B5"/>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3E66"/>
    <w:rsid w:val="001940A7"/>
    <w:rsid w:val="00194BB1"/>
    <w:rsid w:val="00194BC6"/>
    <w:rsid w:val="00195070"/>
    <w:rsid w:val="00195245"/>
    <w:rsid w:val="0019526D"/>
    <w:rsid w:val="001954D4"/>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39AD"/>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0D8"/>
    <w:rsid w:val="001D16F5"/>
    <w:rsid w:val="001D1970"/>
    <w:rsid w:val="001D1D55"/>
    <w:rsid w:val="001D20D5"/>
    <w:rsid w:val="001D21EF"/>
    <w:rsid w:val="001D29A4"/>
    <w:rsid w:val="001D2B73"/>
    <w:rsid w:val="001D3081"/>
    <w:rsid w:val="001D3136"/>
    <w:rsid w:val="001D330D"/>
    <w:rsid w:val="001D4AB6"/>
    <w:rsid w:val="001D4AD3"/>
    <w:rsid w:val="001D5281"/>
    <w:rsid w:val="001E17E3"/>
    <w:rsid w:val="001E1A51"/>
    <w:rsid w:val="001E2052"/>
    <w:rsid w:val="001E2492"/>
    <w:rsid w:val="001E257C"/>
    <w:rsid w:val="001E286C"/>
    <w:rsid w:val="001E2F34"/>
    <w:rsid w:val="001E35EE"/>
    <w:rsid w:val="001E4B2C"/>
    <w:rsid w:val="001E507F"/>
    <w:rsid w:val="001E56C2"/>
    <w:rsid w:val="001E59FB"/>
    <w:rsid w:val="001E5DE3"/>
    <w:rsid w:val="001E6E4B"/>
    <w:rsid w:val="001E7F81"/>
    <w:rsid w:val="001F0092"/>
    <w:rsid w:val="001F0D9A"/>
    <w:rsid w:val="001F0FD1"/>
    <w:rsid w:val="001F1526"/>
    <w:rsid w:val="001F19D1"/>
    <w:rsid w:val="001F1CB9"/>
    <w:rsid w:val="001F1F18"/>
    <w:rsid w:val="001F299A"/>
    <w:rsid w:val="001F2F92"/>
    <w:rsid w:val="001F56C5"/>
    <w:rsid w:val="001F58A0"/>
    <w:rsid w:val="001F5DA1"/>
    <w:rsid w:val="001F612E"/>
    <w:rsid w:val="001F6A92"/>
    <w:rsid w:val="001F77E8"/>
    <w:rsid w:val="001F7B94"/>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EF"/>
    <w:rsid w:val="002141C3"/>
    <w:rsid w:val="002141DC"/>
    <w:rsid w:val="0021440C"/>
    <w:rsid w:val="00214479"/>
    <w:rsid w:val="002144F3"/>
    <w:rsid w:val="00214500"/>
    <w:rsid w:val="002146C3"/>
    <w:rsid w:val="00215334"/>
    <w:rsid w:val="00215514"/>
    <w:rsid w:val="00215A2A"/>
    <w:rsid w:val="00215A3F"/>
    <w:rsid w:val="00215D21"/>
    <w:rsid w:val="0021636B"/>
    <w:rsid w:val="00216387"/>
    <w:rsid w:val="00216E7B"/>
    <w:rsid w:val="0021796D"/>
    <w:rsid w:val="00217E1F"/>
    <w:rsid w:val="002204BC"/>
    <w:rsid w:val="00220F7B"/>
    <w:rsid w:val="002213CE"/>
    <w:rsid w:val="00221AF7"/>
    <w:rsid w:val="00221E5D"/>
    <w:rsid w:val="00222494"/>
    <w:rsid w:val="00222775"/>
    <w:rsid w:val="00222A31"/>
    <w:rsid w:val="00222CF6"/>
    <w:rsid w:val="00222E41"/>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77F"/>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30D"/>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77A05"/>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61A"/>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03C"/>
    <w:rsid w:val="002C155E"/>
    <w:rsid w:val="002C1AB3"/>
    <w:rsid w:val="002C1BB7"/>
    <w:rsid w:val="002C1FB3"/>
    <w:rsid w:val="002C2665"/>
    <w:rsid w:val="002C28E1"/>
    <w:rsid w:val="002C327D"/>
    <w:rsid w:val="002C363E"/>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296"/>
    <w:rsid w:val="002D1593"/>
    <w:rsid w:val="002D1A1E"/>
    <w:rsid w:val="002D22A6"/>
    <w:rsid w:val="002D269B"/>
    <w:rsid w:val="002D2819"/>
    <w:rsid w:val="002D2CD6"/>
    <w:rsid w:val="002D2F81"/>
    <w:rsid w:val="002D38A3"/>
    <w:rsid w:val="002D3921"/>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B0"/>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44C"/>
    <w:rsid w:val="002E7EC1"/>
    <w:rsid w:val="002E7EE5"/>
    <w:rsid w:val="002F0323"/>
    <w:rsid w:val="002F0DFB"/>
    <w:rsid w:val="002F134F"/>
    <w:rsid w:val="002F1D0B"/>
    <w:rsid w:val="002F1E1D"/>
    <w:rsid w:val="002F1F02"/>
    <w:rsid w:val="002F27E5"/>
    <w:rsid w:val="002F2D81"/>
    <w:rsid w:val="002F2F66"/>
    <w:rsid w:val="002F39D4"/>
    <w:rsid w:val="002F49C5"/>
    <w:rsid w:val="002F4BA9"/>
    <w:rsid w:val="002F541B"/>
    <w:rsid w:val="002F5BFE"/>
    <w:rsid w:val="002F5DA5"/>
    <w:rsid w:val="002F5E17"/>
    <w:rsid w:val="002F61F2"/>
    <w:rsid w:val="002F647C"/>
    <w:rsid w:val="002F6C6B"/>
    <w:rsid w:val="002F6CB0"/>
    <w:rsid w:val="002F6EFF"/>
    <w:rsid w:val="002F7DF0"/>
    <w:rsid w:val="002F7FAF"/>
    <w:rsid w:val="00300573"/>
    <w:rsid w:val="00302007"/>
    <w:rsid w:val="003025FE"/>
    <w:rsid w:val="00302A27"/>
    <w:rsid w:val="00303AB6"/>
    <w:rsid w:val="00304640"/>
    <w:rsid w:val="00304AC1"/>
    <w:rsid w:val="00305090"/>
    <w:rsid w:val="00305454"/>
    <w:rsid w:val="00305B9F"/>
    <w:rsid w:val="00305E21"/>
    <w:rsid w:val="003066C6"/>
    <w:rsid w:val="003066FA"/>
    <w:rsid w:val="00306AD6"/>
    <w:rsid w:val="003077F4"/>
    <w:rsid w:val="0030799C"/>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178A3"/>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1FD"/>
    <w:rsid w:val="00332265"/>
    <w:rsid w:val="00332862"/>
    <w:rsid w:val="00332D52"/>
    <w:rsid w:val="00333337"/>
    <w:rsid w:val="00333A28"/>
    <w:rsid w:val="00333B6C"/>
    <w:rsid w:val="00333E9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18C"/>
    <w:rsid w:val="00343320"/>
    <w:rsid w:val="00344066"/>
    <w:rsid w:val="00344BBF"/>
    <w:rsid w:val="0034509B"/>
    <w:rsid w:val="00345644"/>
    <w:rsid w:val="00345D0E"/>
    <w:rsid w:val="00345D7A"/>
    <w:rsid w:val="0034607E"/>
    <w:rsid w:val="00346843"/>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57B2A"/>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1E"/>
    <w:rsid w:val="00372E9A"/>
    <w:rsid w:val="003735B9"/>
    <w:rsid w:val="00373634"/>
    <w:rsid w:val="00374457"/>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1C"/>
    <w:rsid w:val="003B0A3A"/>
    <w:rsid w:val="003B0D79"/>
    <w:rsid w:val="003B2930"/>
    <w:rsid w:val="003B31A7"/>
    <w:rsid w:val="003B4587"/>
    <w:rsid w:val="003B4B51"/>
    <w:rsid w:val="003B4FE1"/>
    <w:rsid w:val="003B514E"/>
    <w:rsid w:val="003B5531"/>
    <w:rsid w:val="003B636A"/>
    <w:rsid w:val="003B69CE"/>
    <w:rsid w:val="003B7403"/>
    <w:rsid w:val="003C011C"/>
    <w:rsid w:val="003C0B67"/>
    <w:rsid w:val="003C0E32"/>
    <w:rsid w:val="003C11D7"/>
    <w:rsid w:val="003C16CB"/>
    <w:rsid w:val="003C1B97"/>
    <w:rsid w:val="003C247B"/>
    <w:rsid w:val="003C2E39"/>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6C04"/>
    <w:rsid w:val="003D75D8"/>
    <w:rsid w:val="003E006E"/>
    <w:rsid w:val="003E0947"/>
    <w:rsid w:val="003E0E96"/>
    <w:rsid w:val="003E20F7"/>
    <w:rsid w:val="003E28E9"/>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C8A"/>
    <w:rsid w:val="003F26DC"/>
    <w:rsid w:val="003F2982"/>
    <w:rsid w:val="003F2BD5"/>
    <w:rsid w:val="003F39C6"/>
    <w:rsid w:val="003F42FF"/>
    <w:rsid w:val="003F4B48"/>
    <w:rsid w:val="003F4DDC"/>
    <w:rsid w:val="003F56B8"/>
    <w:rsid w:val="003F5C0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839"/>
    <w:rsid w:val="00437A2F"/>
    <w:rsid w:val="00440262"/>
    <w:rsid w:val="004406BF"/>
    <w:rsid w:val="00440814"/>
    <w:rsid w:val="0044105D"/>
    <w:rsid w:val="00441424"/>
    <w:rsid w:val="00442731"/>
    <w:rsid w:val="00442C12"/>
    <w:rsid w:val="004434DF"/>
    <w:rsid w:val="0044354B"/>
    <w:rsid w:val="00443564"/>
    <w:rsid w:val="00443FD1"/>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2B1F"/>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B3"/>
    <w:rsid w:val="004A00C9"/>
    <w:rsid w:val="004A03D0"/>
    <w:rsid w:val="004A1049"/>
    <w:rsid w:val="004A1AFA"/>
    <w:rsid w:val="004A1BC4"/>
    <w:rsid w:val="004A1EA7"/>
    <w:rsid w:val="004A26F5"/>
    <w:rsid w:val="004A2EF8"/>
    <w:rsid w:val="004A2F95"/>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E10"/>
    <w:rsid w:val="004C27CF"/>
    <w:rsid w:val="004C2CA7"/>
    <w:rsid w:val="004C3592"/>
    <w:rsid w:val="004C45C8"/>
    <w:rsid w:val="004C4EDB"/>
    <w:rsid w:val="004C4F8F"/>
    <w:rsid w:val="004C5F4B"/>
    <w:rsid w:val="004C612E"/>
    <w:rsid w:val="004C61B8"/>
    <w:rsid w:val="004C69FE"/>
    <w:rsid w:val="004C6C0A"/>
    <w:rsid w:val="004C6C6D"/>
    <w:rsid w:val="004C6E70"/>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082"/>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3A4"/>
    <w:rsid w:val="004F367F"/>
    <w:rsid w:val="004F3EEF"/>
    <w:rsid w:val="004F43A7"/>
    <w:rsid w:val="004F447B"/>
    <w:rsid w:val="004F497C"/>
    <w:rsid w:val="004F4FAC"/>
    <w:rsid w:val="004F4FE8"/>
    <w:rsid w:val="004F531B"/>
    <w:rsid w:val="004F55F3"/>
    <w:rsid w:val="004F560C"/>
    <w:rsid w:val="004F5DBB"/>
    <w:rsid w:val="004F60B4"/>
    <w:rsid w:val="004F61A3"/>
    <w:rsid w:val="004F6874"/>
    <w:rsid w:val="004F7922"/>
    <w:rsid w:val="004F7A1F"/>
    <w:rsid w:val="004F7B47"/>
    <w:rsid w:val="00500471"/>
    <w:rsid w:val="0050079C"/>
    <w:rsid w:val="0050106A"/>
    <w:rsid w:val="005010BC"/>
    <w:rsid w:val="00501848"/>
    <w:rsid w:val="00502B31"/>
    <w:rsid w:val="0050434C"/>
    <w:rsid w:val="0050537D"/>
    <w:rsid w:val="0050541F"/>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DAE"/>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E7A"/>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A42"/>
    <w:rsid w:val="00552389"/>
    <w:rsid w:val="005524ED"/>
    <w:rsid w:val="00553F91"/>
    <w:rsid w:val="00554007"/>
    <w:rsid w:val="00554C03"/>
    <w:rsid w:val="00554C58"/>
    <w:rsid w:val="00554D5D"/>
    <w:rsid w:val="005550F9"/>
    <w:rsid w:val="00556338"/>
    <w:rsid w:val="00556441"/>
    <w:rsid w:val="00557031"/>
    <w:rsid w:val="00557F87"/>
    <w:rsid w:val="00560B4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AB4"/>
    <w:rsid w:val="00563B3C"/>
    <w:rsid w:val="0056419C"/>
    <w:rsid w:val="00564DA7"/>
    <w:rsid w:val="00565204"/>
    <w:rsid w:val="00565473"/>
    <w:rsid w:val="00565DAC"/>
    <w:rsid w:val="00565F0D"/>
    <w:rsid w:val="005660F1"/>
    <w:rsid w:val="005662DC"/>
    <w:rsid w:val="00566329"/>
    <w:rsid w:val="005668B9"/>
    <w:rsid w:val="00566E39"/>
    <w:rsid w:val="00566EA9"/>
    <w:rsid w:val="0056704E"/>
    <w:rsid w:val="00567623"/>
    <w:rsid w:val="005701C2"/>
    <w:rsid w:val="00570763"/>
    <w:rsid w:val="00570F64"/>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713"/>
    <w:rsid w:val="00584F04"/>
    <w:rsid w:val="00584FDE"/>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B28"/>
    <w:rsid w:val="005A1BAC"/>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D17"/>
    <w:rsid w:val="005B2FAA"/>
    <w:rsid w:val="005B33C8"/>
    <w:rsid w:val="005B387B"/>
    <w:rsid w:val="005B3B01"/>
    <w:rsid w:val="005B4333"/>
    <w:rsid w:val="005B48BE"/>
    <w:rsid w:val="005B58F7"/>
    <w:rsid w:val="005B5981"/>
    <w:rsid w:val="005B5994"/>
    <w:rsid w:val="005B5E97"/>
    <w:rsid w:val="005B6474"/>
    <w:rsid w:val="005B666D"/>
    <w:rsid w:val="005B667A"/>
    <w:rsid w:val="005B6865"/>
    <w:rsid w:val="005C039B"/>
    <w:rsid w:val="005C059F"/>
    <w:rsid w:val="005C07CE"/>
    <w:rsid w:val="005C088A"/>
    <w:rsid w:val="005C0B8F"/>
    <w:rsid w:val="005C194E"/>
    <w:rsid w:val="005C1B8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B6B"/>
    <w:rsid w:val="005F2CD5"/>
    <w:rsid w:val="005F3382"/>
    <w:rsid w:val="005F3720"/>
    <w:rsid w:val="005F5506"/>
    <w:rsid w:val="005F5A0D"/>
    <w:rsid w:val="005F60DF"/>
    <w:rsid w:val="005F615B"/>
    <w:rsid w:val="005F61DF"/>
    <w:rsid w:val="005F65CD"/>
    <w:rsid w:val="005F680A"/>
    <w:rsid w:val="005F6880"/>
    <w:rsid w:val="005F6B3E"/>
    <w:rsid w:val="005F6ED2"/>
    <w:rsid w:val="005F745B"/>
    <w:rsid w:val="005F77F8"/>
    <w:rsid w:val="005F7CA8"/>
    <w:rsid w:val="006002EC"/>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78B"/>
    <w:rsid w:val="00622B22"/>
    <w:rsid w:val="00622F67"/>
    <w:rsid w:val="00623571"/>
    <w:rsid w:val="00623A5E"/>
    <w:rsid w:val="00623C6B"/>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B5"/>
    <w:rsid w:val="00634570"/>
    <w:rsid w:val="0063487C"/>
    <w:rsid w:val="00635B73"/>
    <w:rsid w:val="00635BB7"/>
    <w:rsid w:val="00636CC7"/>
    <w:rsid w:val="00637F27"/>
    <w:rsid w:val="006405EC"/>
    <w:rsid w:val="00640985"/>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34F"/>
    <w:rsid w:val="00652CF5"/>
    <w:rsid w:val="0065343E"/>
    <w:rsid w:val="006536BB"/>
    <w:rsid w:val="0065398F"/>
    <w:rsid w:val="00653C7C"/>
    <w:rsid w:val="00653D95"/>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571"/>
    <w:rsid w:val="006717E7"/>
    <w:rsid w:val="00671FD5"/>
    <w:rsid w:val="006720BC"/>
    <w:rsid w:val="00672906"/>
    <w:rsid w:val="00672C73"/>
    <w:rsid w:val="00673B64"/>
    <w:rsid w:val="006751C3"/>
    <w:rsid w:val="006753AC"/>
    <w:rsid w:val="00675430"/>
    <w:rsid w:val="006755F0"/>
    <w:rsid w:val="00675749"/>
    <w:rsid w:val="006759FE"/>
    <w:rsid w:val="00676CA5"/>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1"/>
    <w:rsid w:val="006B2823"/>
    <w:rsid w:val="006B29DC"/>
    <w:rsid w:val="006B2F60"/>
    <w:rsid w:val="006B3079"/>
    <w:rsid w:val="006B33DB"/>
    <w:rsid w:val="006B3669"/>
    <w:rsid w:val="006B36E5"/>
    <w:rsid w:val="006B3D00"/>
    <w:rsid w:val="006B4CF8"/>
    <w:rsid w:val="006B4F71"/>
    <w:rsid w:val="006B506B"/>
    <w:rsid w:val="006B54E8"/>
    <w:rsid w:val="006B5FBC"/>
    <w:rsid w:val="006B6A24"/>
    <w:rsid w:val="006B6ED2"/>
    <w:rsid w:val="006B7F74"/>
    <w:rsid w:val="006C0230"/>
    <w:rsid w:val="006C05C7"/>
    <w:rsid w:val="006C2365"/>
    <w:rsid w:val="006C25AB"/>
    <w:rsid w:val="006C2DA6"/>
    <w:rsid w:val="006C3581"/>
    <w:rsid w:val="006C39A0"/>
    <w:rsid w:val="006C3EFE"/>
    <w:rsid w:val="006C46C7"/>
    <w:rsid w:val="006C4767"/>
    <w:rsid w:val="006C494F"/>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549"/>
    <w:rsid w:val="006E37C6"/>
    <w:rsid w:val="006E3CF3"/>
    <w:rsid w:val="006E41ED"/>
    <w:rsid w:val="006E4667"/>
    <w:rsid w:val="006E46B7"/>
    <w:rsid w:val="006E475A"/>
    <w:rsid w:val="006E486D"/>
    <w:rsid w:val="006E4880"/>
    <w:rsid w:val="006E48BB"/>
    <w:rsid w:val="006E4F61"/>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3771"/>
    <w:rsid w:val="00704150"/>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0F68"/>
    <w:rsid w:val="007119DC"/>
    <w:rsid w:val="00711CC7"/>
    <w:rsid w:val="0071230A"/>
    <w:rsid w:val="0071294A"/>
    <w:rsid w:val="00712B2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9AE"/>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E7E"/>
    <w:rsid w:val="007444E6"/>
    <w:rsid w:val="0074592C"/>
    <w:rsid w:val="00745C91"/>
    <w:rsid w:val="00746098"/>
    <w:rsid w:val="00746D58"/>
    <w:rsid w:val="00747578"/>
    <w:rsid w:val="00747A0D"/>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858"/>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B4"/>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ED5"/>
    <w:rsid w:val="007A130E"/>
    <w:rsid w:val="007A163C"/>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2FD"/>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09C"/>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20F"/>
    <w:rsid w:val="00823819"/>
    <w:rsid w:val="00823C4B"/>
    <w:rsid w:val="0082427D"/>
    <w:rsid w:val="00825441"/>
    <w:rsid w:val="00826855"/>
    <w:rsid w:val="00830052"/>
    <w:rsid w:val="008300D0"/>
    <w:rsid w:val="008308D8"/>
    <w:rsid w:val="00831CFC"/>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2EFE"/>
    <w:rsid w:val="0084357B"/>
    <w:rsid w:val="008465B4"/>
    <w:rsid w:val="008467F8"/>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7B5"/>
    <w:rsid w:val="0088093C"/>
    <w:rsid w:val="00880BC0"/>
    <w:rsid w:val="0088127A"/>
    <w:rsid w:val="00881D59"/>
    <w:rsid w:val="00882991"/>
    <w:rsid w:val="00882EC1"/>
    <w:rsid w:val="0088324E"/>
    <w:rsid w:val="0088434F"/>
    <w:rsid w:val="00884371"/>
    <w:rsid w:val="008848E2"/>
    <w:rsid w:val="00884B7A"/>
    <w:rsid w:val="00884D47"/>
    <w:rsid w:val="00884F69"/>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1A03"/>
    <w:rsid w:val="008A21D9"/>
    <w:rsid w:val="008A232D"/>
    <w:rsid w:val="008A2D9F"/>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392"/>
    <w:rsid w:val="008C78F8"/>
    <w:rsid w:val="008D05DF"/>
    <w:rsid w:val="008D09E8"/>
    <w:rsid w:val="008D0E65"/>
    <w:rsid w:val="008D110A"/>
    <w:rsid w:val="008D1612"/>
    <w:rsid w:val="008D2259"/>
    <w:rsid w:val="008D2531"/>
    <w:rsid w:val="008D2833"/>
    <w:rsid w:val="008D2A5B"/>
    <w:rsid w:val="008D313A"/>
    <w:rsid w:val="008D3202"/>
    <w:rsid w:val="008D3381"/>
    <w:rsid w:val="008D33FE"/>
    <w:rsid w:val="008D3B9F"/>
    <w:rsid w:val="008D3D02"/>
    <w:rsid w:val="008D3D5A"/>
    <w:rsid w:val="008D4226"/>
    <w:rsid w:val="008D4D7C"/>
    <w:rsid w:val="008D5432"/>
    <w:rsid w:val="008D54C0"/>
    <w:rsid w:val="008D5558"/>
    <w:rsid w:val="008D5806"/>
    <w:rsid w:val="008D5ED9"/>
    <w:rsid w:val="008D626C"/>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2E7"/>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0B5"/>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1C82"/>
    <w:rsid w:val="009221CB"/>
    <w:rsid w:val="00922320"/>
    <w:rsid w:val="00922E7B"/>
    <w:rsid w:val="00923643"/>
    <w:rsid w:val="00923E1A"/>
    <w:rsid w:val="009245CC"/>
    <w:rsid w:val="0092490A"/>
    <w:rsid w:val="009251E0"/>
    <w:rsid w:val="009255E2"/>
    <w:rsid w:val="00925A3E"/>
    <w:rsid w:val="009261DB"/>
    <w:rsid w:val="00926668"/>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5ACD"/>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616"/>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6C7"/>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0776"/>
    <w:rsid w:val="009C10DA"/>
    <w:rsid w:val="009C19FC"/>
    <w:rsid w:val="009C27F7"/>
    <w:rsid w:val="009C2A4D"/>
    <w:rsid w:val="009C3BC4"/>
    <w:rsid w:val="009C3C93"/>
    <w:rsid w:val="009C3E97"/>
    <w:rsid w:val="009C4017"/>
    <w:rsid w:val="009C424E"/>
    <w:rsid w:val="009C4708"/>
    <w:rsid w:val="009C4870"/>
    <w:rsid w:val="009C4C4E"/>
    <w:rsid w:val="009C4D37"/>
    <w:rsid w:val="009C5596"/>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B3"/>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6B9"/>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706"/>
    <w:rsid w:val="00A22C3E"/>
    <w:rsid w:val="00A22C4D"/>
    <w:rsid w:val="00A2334E"/>
    <w:rsid w:val="00A23442"/>
    <w:rsid w:val="00A249D2"/>
    <w:rsid w:val="00A254AB"/>
    <w:rsid w:val="00A2592D"/>
    <w:rsid w:val="00A259F2"/>
    <w:rsid w:val="00A266CC"/>
    <w:rsid w:val="00A26DB4"/>
    <w:rsid w:val="00A27425"/>
    <w:rsid w:val="00A3023E"/>
    <w:rsid w:val="00A305C5"/>
    <w:rsid w:val="00A30919"/>
    <w:rsid w:val="00A31F05"/>
    <w:rsid w:val="00A31FD2"/>
    <w:rsid w:val="00A3404D"/>
    <w:rsid w:val="00A341AB"/>
    <w:rsid w:val="00A34262"/>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32B"/>
    <w:rsid w:val="00A525FF"/>
    <w:rsid w:val="00A526CE"/>
    <w:rsid w:val="00A54909"/>
    <w:rsid w:val="00A54C5C"/>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BAF"/>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E08"/>
    <w:rsid w:val="00A732FB"/>
    <w:rsid w:val="00A745E5"/>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579"/>
    <w:rsid w:val="00A847F9"/>
    <w:rsid w:val="00A84F27"/>
    <w:rsid w:val="00A8519C"/>
    <w:rsid w:val="00A855EE"/>
    <w:rsid w:val="00A8597A"/>
    <w:rsid w:val="00A85B87"/>
    <w:rsid w:val="00A85F83"/>
    <w:rsid w:val="00A86019"/>
    <w:rsid w:val="00A86EED"/>
    <w:rsid w:val="00A8733A"/>
    <w:rsid w:val="00A87AD4"/>
    <w:rsid w:val="00A91314"/>
    <w:rsid w:val="00A9151F"/>
    <w:rsid w:val="00A9196B"/>
    <w:rsid w:val="00A91BB5"/>
    <w:rsid w:val="00A91BEE"/>
    <w:rsid w:val="00A91D4B"/>
    <w:rsid w:val="00A920B2"/>
    <w:rsid w:val="00A92A96"/>
    <w:rsid w:val="00A92AF0"/>
    <w:rsid w:val="00A933FE"/>
    <w:rsid w:val="00A937D5"/>
    <w:rsid w:val="00A93C70"/>
    <w:rsid w:val="00A94914"/>
    <w:rsid w:val="00A94A32"/>
    <w:rsid w:val="00A94AFC"/>
    <w:rsid w:val="00A94BF5"/>
    <w:rsid w:val="00A94ED3"/>
    <w:rsid w:val="00A9686A"/>
    <w:rsid w:val="00A96B4A"/>
    <w:rsid w:val="00A97B81"/>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E"/>
    <w:rsid w:val="00AB43AF"/>
    <w:rsid w:val="00AB4E41"/>
    <w:rsid w:val="00AB5EB1"/>
    <w:rsid w:val="00AB6003"/>
    <w:rsid w:val="00AB6C7A"/>
    <w:rsid w:val="00AB759A"/>
    <w:rsid w:val="00AB7B06"/>
    <w:rsid w:val="00AB7EAA"/>
    <w:rsid w:val="00AC0432"/>
    <w:rsid w:val="00AC0770"/>
    <w:rsid w:val="00AC09F5"/>
    <w:rsid w:val="00AC1683"/>
    <w:rsid w:val="00AC1D82"/>
    <w:rsid w:val="00AC2D5F"/>
    <w:rsid w:val="00AC4094"/>
    <w:rsid w:val="00AC42B6"/>
    <w:rsid w:val="00AC4AB7"/>
    <w:rsid w:val="00AC51E0"/>
    <w:rsid w:val="00AC6B41"/>
    <w:rsid w:val="00AC6D24"/>
    <w:rsid w:val="00AC6E18"/>
    <w:rsid w:val="00AC7F64"/>
    <w:rsid w:val="00AD1065"/>
    <w:rsid w:val="00AD159E"/>
    <w:rsid w:val="00AD2AB1"/>
    <w:rsid w:val="00AD3132"/>
    <w:rsid w:val="00AD3DA6"/>
    <w:rsid w:val="00AD3F3C"/>
    <w:rsid w:val="00AD447E"/>
    <w:rsid w:val="00AD4B2F"/>
    <w:rsid w:val="00AD5B79"/>
    <w:rsid w:val="00AD5F0A"/>
    <w:rsid w:val="00AD64A0"/>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6E3"/>
    <w:rsid w:val="00AF4CEE"/>
    <w:rsid w:val="00AF4F4A"/>
    <w:rsid w:val="00AF584C"/>
    <w:rsid w:val="00AF5D84"/>
    <w:rsid w:val="00AF5D8E"/>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0D47"/>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8F1"/>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6C85"/>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57F14"/>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5E3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409"/>
    <w:rsid w:val="00B76FCD"/>
    <w:rsid w:val="00B7764D"/>
    <w:rsid w:val="00B804F8"/>
    <w:rsid w:val="00B8095A"/>
    <w:rsid w:val="00B81274"/>
    <w:rsid w:val="00B815D3"/>
    <w:rsid w:val="00B81742"/>
    <w:rsid w:val="00B817B5"/>
    <w:rsid w:val="00B823A6"/>
    <w:rsid w:val="00B8257A"/>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97E80"/>
    <w:rsid w:val="00BA050E"/>
    <w:rsid w:val="00BA0718"/>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A61"/>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2F3"/>
    <w:rsid w:val="00BE377A"/>
    <w:rsid w:val="00BE37AE"/>
    <w:rsid w:val="00BE3B14"/>
    <w:rsid w:val="00BE3C65"/>
    <w:rsid w:val="00BE4222"/>
    <w:rsid w:val="00BE472D"/>
    <w:rsid w:val="00BE4C03"/>
    <w:rsid w:val="00BE6813"/>
    <w:rsid w:val="00BE7F4D"/>
    <w:rsid w:val="00BF03C0"/>
    <w:rsid w:val="00BF0EBF"/>
    <w:rsid w:val="00BF1534"/>
    <w:rsid w:val="00BF2021"/>
    <w:rsid w:val="00BF21D4"/>
    <w:rsid w:val="00BF29FA"/>
    <w:rsid w:val="00BF2DDC"/>
    <w:rsid w:val="00BF32DE"/>
    <w:rsid w:val="00BF4A15"/>
    <w:rsid w:val="00BF4D23"/>
    <w:rsid w:val="00BF4E0E"/>
    <w:rsid w:val="00BF4E27"/>
    <w:rsid w:val="00BF4F7C"/>
    <w:rsid w:val="00BF537B"/>
    <w:rsid w:val="00BF5901"/>
    <w:rsid w:val="00BF626A"/>
    <w:rsid w:val="00BF688E"/>
    <w:rsid w:val="00BF6D77"/>
    <w:rsid w:val="00BF739A"/>
    <w:rsid w:val="00BF7EF5"/>
    <w:rsid w:val="00C00BF6"/>
    <w:rsid w:val="00C0217D"/>
    <w:rsid w:val="00C0234A"/>
    <w:rsid w:val="00C0247B"/>
    <w:rsid w:val="00C0378E"/>
    <w:rsid w:val="00C04314"/>
    <w:rsid w:val="00C04BD0"/>
    <w:rsid w:val="00C05730"/>
    <w:rsid w:val="00C05AF4"/>
    <w:rsid w:val="00C05AFD"/>
    <w:rsid w:val="00C0661C"/>
    <w:rsid w:val="00C0675F"/>
    <w:rsid w:val="00C0702A"/>
    <w:rsid w:val="00C0724C"/>
    <w:rsid w:val="00C07BA8"/>
    <w:rsid w:val="00C07C11"/>
    <w:rsid w:val="00C07E10"/>
    <w:rsid w:val="00C10015"/>
    <w:rsid w:val="00C1110A"/>
    <w:rsid w:val="00C11689"/>
    <w:rsid w:val="00C1186C"/>
    <w:rsid w:val="00C12414"/>
    <w:rsid w:val="00C12ECB"/>
    <w:rsid w:val="00C148B2"/>
    <w:rsid w:val="00C14ABD"/>
    <w:rsid w:val="00C151E0"/>
    <w:rsid w:val="00C15388"/>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6E9"/>
    <w:rsid w:val="00C46BFA"/>
    <w:rsid w:val="00C46DDF"/>
    <w:rsid w:val="00C500A1"/>
    <w:rsid w:val="00C5084A"/>
    <w:rsid w:val="00C50A02"/>
    <w:rsid w:val="00C50B26"/>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769"/>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C5C"/>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02B"/>
    <w:rsid w:val="00CD27AC"/>
    <w:rsid w:val="00CD2A82"/>
    <w:rsid w:val="00CD3CAB"/>
    <w:rsid w:val="00CD44FF"/>
    <w:rsid w:val="00CD46A7"/>
    <w:rsid w:val="00CD47BC"/>
    <w:rsid w:val="00CD4AC6"/>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8FC"/>
    <w:rsid w:val="00CF1AAA"/>
    <w:rsid w:val="00CF1EC2"/>
    <w:rsid w:val="00CF2ACF"/>
    <w:rsid w:val="00CF345B"/>
    <w:rsid w:val="00CF475F"/>
    <w:rsid w:val="00CF5008"/>
    <w:rsid w:val="00CF5069"/>
    <w:rsid w:val="00CF5E34"/>
    <w:rsid w:val="00CF6707"/>
    <w:rsid w:val="00CF6982"/>
    <w:rsid w:val="00CF7101"/>
    <w:rsid w:val="00CF7327"/>
    <w:rsid w:val="00CF7385"/>
    <w:rsid w:val="00CF7539"/>
    <w:rsid w:val="00CF75C6"/>
    <w:rsid w:val="00CF7B77"/>
    <w:rsid w:val="00CF7DF5"/>
    <w:rsid w:val="00D001D2"/>
    <w:rsid w:val="00D02A80"/>
    <w:rsid w:val="00D0352D"/>
    <w:rsid w:val="00D04452"/>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14"/>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7FD"/>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6FD"/>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6D2"/>
    <w:rsid w:val="00D57F1F"/>
    <w:rsid w:val="00D60065"/>
    <w:rsid w:val="00D60270"/>
    <w:rsid w:val="00D605C2"/>
    <w:rsid w:val="00D60733"/>
    <w:rsid w:val="00D60C60"/>
    <w:rsid w:val="00D61E1D"/>
    <w:rsid w:val="00D62398"/>
    <w:rsid w:val="00D624F7"/>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8EF"/>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A5"/>
    <w:rsid w:val="00DA47E5"/>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C60"/>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6C2"/>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CF1"/>
    <w:rsid w:val="00E00F5F"/>
    <w:rsid w:val="00E010E6"/>
    <w:rsid w:val="00E01377"/>
    <w:rsid w:val="00E014E7"/>
    <w:rsid w:val="00E0232F"/>
    <w:rsid w:val="00E026A9"/>
    <w:rsid w:val="00E0356F"/>
    <w:rsid w:val="00E03640"/>
    <w:rsid w:val="00E03B42"/>
    <w:rsid w:val="00E03C10"/>
    <w:rsid w:val="00E0479F"/>
    <w:rsid w:val="00E04816"/>
    <w:rsid w:val="00E04982"/>
    <w:rsid w:val="00E04D6A"/>
    <w:rsid w:val="00E05414"/>
    <w:rsid w:val="00E058DB"/>
    <w:rsid w:val="00E05950"/>
    <w:rsid w:val="00E05BAA"/>
    <w:rsid w:val="00E05CD4"/>
    <w:rsid w:val="00E05DE8"/>
    <w:rsid w:val="00E06100"/>
    <w:rsid w:val="00E0614E"/>
    <w:rsid w:val="00E06E97"/>
    <w:rsid w:val="00E07B8F"/>
    <w:rsid w:val="00E10712"/>
    <w:rsid w:val="00E107DF"/>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8E1"/>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2B16"/>
    <w:rsid w:val="00E5448E"/>
    <w:rsid w:val="00E54E0D"/>
    <w:rsid w:val="00E55247"/>
    <w:rsid w:val="00E558E5"/>
    <w:rsid w:val="00E55B3C"/>
    <w:rsid w:val="00E56795"/>
    <w:rsid w:val="00E57932"/>
    <w:rsid w:val="00E606C4"/>
    <w:rsid w:val="00E60811"/>
    <w:rsid w:val="00E60AB8"/>
    <w:rsid w:val="00E6103E"/>
    <w:rsid w:val="00E6185F"/>
    <w:rsid w:val="00E61D32"/>
    <w:rsid w:val="00E62CDB"/>
    <w:rsid w:val="00E639DC"/>
    <w:rsid w:val="00E63C60"/>
    <w:rsid w:val="00E64050"/>
    <w:rsid w:val="00E64B7B"/>
    <w:rsid w:val="00E6514D"/>
    <w:rsid w:val="00E65161"/>
    <w:rsid w:val="00E652C9"/>
    <w:rsid w:val="00E6593B"/>
    <w:rsid w:val="00E65D74"/>
    <w:rsid w:val="00E65FAD"/>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CA5"/>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7BF"/>
    <w:rsid w:val="00E92C6E"/>
    <w:rsid w:val="00E92D0B"/>
    <w:rsid w:val="00E92FFF"/>
    <w:rsid w:val="00E93195"/>
    <w:rsid w:val="00E9383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3A"/>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7A9"/>
    <w:rsid w:val="00EB3939"/>
    <w:rsid w:val="00EB3CE6"/>
    <w:rsid w:val="00EB3E92"/>
    <w:rsid w:val="00EB54AB"/>
    <w:rsid w:val="00EB6257"/>
    <w:rsid w:val="00EB68E6"/>
    <w:rsid w:val="00EB6AE9"/>
    <w:rsid w:val="00EB6B2D"/>
    <w:rsid w:val="00EB71C9"/>
    <w:rsid w:val="00EB763E"/>
    <w:rsid w:val="00EB7B67"/>
    <w:rsid w:val="00EC07F1"/>
    <w:rsid w:val="00EC1188"/>
    <w:rsid w:val="00EC1E8A"/>
    <w:rsid w:val="00EC328C"/>
    <w:rsid w:val="00EC32F5"/>
    <w:rsid w:val="00EC3852"/>
    <w:rsid w:val="00EC4528"/>
    <w:rsid w:val="00EC5241"/>
    <w:rsid w:val="00EC5817"/>
    <w:rsid w:val="00EC594C"/>
    <w:rsid w:val="00EC5C36"/>
    <w:rsid w:val="00EC5C7B"/>
    <w:rsid w:val="00EC66AA"/>
    <w:rsid w:val="00EC6B30"/>
    <w:rsid w:val="00EC6B8F"/>
    <w:rsid w:val="00EC7154"/>
    <w:rsid w:val="00EC7371"/>
    <w:rsid w:val="00EC73F5"/>
    <w:rsid w:val="00EC7894"/>
    <w:rsid w:val="00EC7A28"/>
    <w:rsid w:val="00EC7B48"/>
    <w:rsid w:val="00ED0151"/>
    <w:rsid w:val="00ED0257"/>
    <w:rsid w:val="00ED03D3"/>
    <w:rsid w:val="00ED071B"/>
    <w:rsid w:val="00ED18B1"/>
    <w:rsid w:val="00ED1ADE"/>
    <w:rsid w:val="00ED1EB8"/>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B55"/>
    <w:rsid w:val="00EF0D4B"/>
    <w:rsid w:val="00EF0FE6"/>
    <w:rsid w:val="00EF1130"/>
    <w:rsid w:val="00EF1432"/>
    <w:rsid w:val="00EF1511"/>
    <w:rsid w:val="00EF1775"/>
    <w:rsid w:val="00EF1F01"/>
    <w:rsid w:val="00EF2C39"/>
    <w:rsid w:val="00EF2C5F"/>
    <w:rsid w:val="00EF3811"/>
    <w:rsid w:val="00EF3AC4"/>
    <w:rsid w:val="00EF3FF9"/>
    <w:rsid w:val="00EF41AF"/>
    <w:rsid w:val="00EF4DB4"/>
    <w:rsid w:val="00EF5068"/>
    <w:rsid w:val="00EF5234"/>
    <w:rsid w:val="00EF55E9"/>
    <w:rsid w:val="00EF5B41"/>
    <w:rsid w:val="00EF611C"/>
    <w:rsid w:val="00EF625F"/>
    <w:rsid w:val="00EF62C0"/>
    <w:rsid w:val="00EF6D5A"/>
    <w:rsid w:val="00EF71E6"/>
    <w:rsid w:val="00EF7E27"/>
    <w:rsid w:val="00F0058A"/>
    <w:rsid w:val="00F00630"/>
    <w:rsid w:val="00F00922"/>
    <w:rsid w:val="00F00924"/>
    <w:rsid w:val="00F0187E"/>
    <w:rsid w:val="00F01BE6"/>
    <w:rsid w:val="00F01F75"/>
    <w:rsid w:val="00F0217A"/>
    <w:rsid w:val="00F026D3"/>
    <w:rsid w:val="00F027E8"/>
    <w:rsid w:val="00F03395"/>
    <w:rsid w:val="00F034E6"/>
    <w:rsid w:val="00F036C9"/>
    <w:rsid w:val="00F03E4C"/>
    <w:rsid w:val="00F04D19"/>
    <w:rsid w:val="00F050A3"/>
    <w:rsid w:val="00F05477"/>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881"/>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32"/>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A01"/>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470"/>
    <w:rsid w:val="00F54E5E"/>
    <w:rsid w:val="00F55080"/>
    <w:rsid w:val="00F551DB"/>
    <w:rsid w:val="00F55810"/>
    <w:rsid w:val="00F559BE"/>
    <w:rsid w:val="00F56F7E"/>
    <w:rsid w:val="00F56FEF"/>
    <w:rsid w:val="00F57521"/>
    <w:rsid w:val="00F60938"/>
    <w:rsid w:val="00F60C7E"/>
    <w:rsid w:val="00F60E0A"/>
    <w:rsid w:val="00F61606"/>
    <w:rsid w:val="00F61918"/>
    <w:rsid w:val="00F61A62"/>
    <w:rsid w:val="00F62151"/>
    <w:rsid w:val="00F62CA8"/>
    <w:rsid w:val="00F62F92"/>
    <w:rsid w:val="00F630B4"/>
    <w:rsid w:val="00F635EF"/>
    <w:rsid w:val="00F63BF4"/>
    <w:rsid w:val="00F63C55"/>
    <w:rsid w:val="00F63C60"/>
    <w:rsid w:val="00F64991"/>
    <w:rsid w:val="00F650EC"/>
    <w:rsid w:val="00F65BA9"/>
    <w:rsid w:val="00F65BC8"/>
    <w:rsid w:val="00F65EEA"/>
    <w:rsid w:val="00F66205"/>
    <w:rsid w:val="00F6630F"/>
    <w:rsid w:val="00F66419"/>
    <w:rsid w:val="00F67079"/>
    <w:rsid w:val="00F67B58"/>
    <w:rsid w:val="00F67E81"/>
    <w:rsid w:val="00F7044B"/>
    <w:rsid w:val="00F70FD4"/>
    <w:rsid w:val="00F71342"/>
    <w:rsid w:val="00F71C68"/>
    <w:rsid w:val="00F720FC"/>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9A1"/>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547"/>
    <w:rsid w:val="00FB5138"/>
    <w:rsid w:val="00FB547F"/>
    <w:rsid w:val="00FB5A71"/>
    <w:rsid w:val="00FB62F5"/>
    <w:rsid w:val="00FB63F6"/>
    <w:rsid w:val="00FB7823"/>
    <w:rsid w:val="00FC05B2"/>
    <w:rsid w:val="00FC08B3"/>
    <w:rsid w:val="00FC09D7"/>
    <w:rsid w:val="00FC0ABE"/>
    <w:rsid w:val="00FC1269"/>
    <w:rsid w:val="00FC22D0"/>
    <w:rsid w:val="00FC300F"/>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8EF"/>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2363F"/>
    <w:rsid w:val="011E3D92"/>
    <w:rsid w:val="011F6449"/>
    <w:rsid w:val="01236AFB"/>
    <w:rsid w:val="012670EA"/>
    <w:rsid w:val="012B4701"/>
    <w:rsid w:val="01317F69"/>
    <w:rsid w:val="01341807"/>
    <w:rsid w:val="01374E54"/>
    <w:rsid w:val="013B1B11"/>
    <w:rsid w:val="013E54DE"/>
    <w:rsid w:val="01545A05"/>
    <w:rsid w:val="015974C0"/>
    <w:rsid w:val="015D0D5E"/>
    <w:rsid w:val="016025FC"/>
    <w:rsid w:val="01730582"/>
    <w:rsid w:val="017F087E"/>
    <w:rsid w:val="019404F8"/>
    <w:rsid w:val="0194674A"/>
    <w:rsid w:val="019F7441"/>
    <w:rsid w:val="01A7647D"/>
    <w:rsid w:val="01B36BD0"/>
    <w:rsid w:val="01B37585"/>
    <w:rsid w:val="01BD35AB"/>
    <w:rsid w:val="01BF37C7"/>
    <w:rsid w:val="01C67587"/>
    <w:rsid w:val="01CF32DE"/>
    <w:rsid w:val="01D34B7C"/>
    <w:rsid w:val="01D55165"/>
    <w:rsid w:val="01DA20AA"/>
    <w:rsid w:val="01DE1773"/>
    <w:rsid w:val="01DF6BF8"/>
    <w:rsid w:val="01E23011"/>
    <w:rsid w:val="01EC2C57"/>
    <w:rsid w:val="020A2568"/>
    <w:rsid w:val="02225B04"/>
    <w:rsid w:val="022573A2"/>
    <w:rsid w:val="02274EC8"/>
    <w:rsid w:val="02296E92"/>
    <w:rsid w:val="02372857"/>
    <w:rsid w:val="023F0464"/>
    <w:rsid w:val="024261A6"/>
    <w:rsid w:val="025F4662"/>
    <w:rsid w:val="0261662C"/>
    <w:rsid w:val="02641C78"/>
    <w:rsid w:val="02671768"/>
    <w:rsid w:val="026B1259"/>
    <w:rsid w:val="026B2E25"/>
    <w:rsid w:val="02702D13"/>
    <w:rsid w:val="02824D4D"/>
    <w:rsid w:val="02963DFC"/>
    <w:rsid w:val="02987B74"/>
    <w:rsid w:val="02A458A4"/>
    <w:rsid w:val="02A824AD"/>
    <w:rsid w:val="02B01361"/>
    <w:rsid w:val="02B06E10"/>
    <w:rsid w:val="02B81FC4"/>
    <w:rsid w:val="02D768EE"/>
    <w:rsid w:val="02DC4B10"/>
    <w:rsid w:val="02DD76CE"/>
    <w:rsid w:val="02E1151B"/>
    <w:rsid w:val="02F36323"/>
    <w:rsid w:val="02F5619C"/>
    <w:rsid w:val="02F96864"/>
    <w:rsid w:val="02FA438B"/>
    <w:rsid w:val="02FE031F"/>
    <w:rsid w:val="02FE3E7B"/>
    <w:rsid w:val="03035935"/>
    <w:rsid w:val="03100052"/>
    <w:rsid w:val="03196F07"/>
    <w:rsid w:val="031B2C7F"/>
    <w:rsid w:val="0326446A"/>
    <w:rsid w:val="032D5555"/>
    <w:rsid w:val="033124A2"/>
    <w:rsid w:val="03323B24"/>
    <w:rsid w:val="033F7CB3"/>
    <w:rsid w:val="034A3564"/>
    <w:rsid w:val="035717DD"/>
    <w:rsid w:val="035C5045"/>
    <w:rsid w:val="036634D2"/>
    <w:rsid w:val="0374238F"/>
    <w:rsid w:val="037639FC"/>
    <w:rsid w:val="037759DB"/>
    <w:rsid w:val="03A013D6"/>
    <w:rsid w:val="03AE3AF3"/>
    <w:rsid w:val="03B409DD"/>
    <w:rsid w:val="03CC06C2"/>
    <w:rsid w:val="03D41080"/>
    <w:rsid w:val="03DD35E4"/>
    <w:rsid w:val="03F359AA"/>
    <w:rsid w:val="03F82FC0"/>
    <w:rsid w:val="04076900"/>
    <w:rsid w:val="041A5A3B"/>
    <w:rsid w:val="041F054D"/>
    <w:rsid w:val="042311BA"/>
    <w:rsid w:val="04245B63"/>
    <w:rsid w:val="042B157A"/>
    <w:rsid w:val="042F4508"/>
    <w:rsid w:val="04357D70"/>
    <w:rsid w:val="04447FB3"/>
    <w:rsid w:val="046B5540"/>
    <w:rsid w:val="048900BC"/>
    <w:rsid w:val="048F763B"/>
    <w:rsid w:val="049A7F93"/>
    <w:rsid w:val="049C7DEF"/>
    <w:rsid w:val="049F330E"/>
    <w:rsid w:val="04A44EF6"/>
    <w:rsid w:val="04AA775C"/>
    <w:rsid w:val="04AC7907"/>
    <w:rsid w:val="04AF1889"/>
    <w:rsid w:val="04BD7D66"/>
    <w:rsid w:val="04BF588C"/>
    <w:rsid w:val="04C82992"/>
    <w:rsid w:val="04CD7FA9"/>
    <w:rsid w:val="04E11CA6"/>
    <w:rsid w:val="04F66F48"/>
    <w:rsid w:val="04FD0162"/>
    <w:rsid w:val="051C2CDE"/>
    <w:rsid w:val="052439C6"/>
    <w:rsid w:val="05251E14"/>
    <w:rsid w:val="052878D5"/>
    <w:rsid w:val="053C0C8A"/>
    <w:rsid w:val="05410997"/>
    <w:rsid w:val="05432019"/>
    <w:rsid w:val="054A784B"/>
    <w:rsid w:val="05542478"/>
    <w:rsid w:val="05573D16"/>
    <w:rsid w:val="05595CE0"/>
    <w:rsid w:val="055A55B4"/>
    <w:rsid w:val="056106F1"/>
    <w:rsid w:val="056A1C9B"/>
    <w:rsid w:val="05760640"/>
    <w:rsid w:val="05834B0B"/>
    <w:rsid w:val="05A0746B"/>
    <w:rsid w:val="05A16594"/>
    <w:rsid w:val="05A76A4C"/>
    <w:rsid w:val="05A7762D"/>
    <w:rsid w:val="05AC4062"/>
    <w:rsid w:val="05B13426"/>
    <w:rsid w:val="05B20F4D"/>
    <w:rsid w:val="05D15877"/>
    <w:rsid w:val="05D22F97"/>
    <w:rsid w:val="05D435B9"/>
    <w:rsid w:val="06021ED4"/>
    <w:rsid w:val="060C68AF"/>
    <w:rsid w:val="060E0879"/>
    <w:rsid w:val="060E5941"/>
    <w:rsid w:val="06110369"/>
    <w:rsid w:val="06110FAF"/>
    <w:rsid w:val="062956B3"/>
    <w:rsid w:val="062C51A3"/>
    <w:rsid w:val="063F6C84"/>
    <w:rsid w:val="06493CA7"/>
    <w:rsid w:val="064F2C3F"/>
    <w:rsid w:val="06530982"/>
    <w:rsid w:val="065A6178"/>
    <w:rsid w:val="066F1CF3"/>
    <w:rsid w:val="06714493"/>
    <w:rsid w:val="067A4160"/>
    <w:rsid w:val="0687687D"/>
    <w:rsid w:val="06930BB8"/>
    <w:rsid w:val="06A0349B"/>
    <w:rsid w:val="06A20FC1"/>
    <w:rsid w:val="06A765D7"/>
    <w:rsid w:val="06B74C51"/>
    <w:rsid w:val="06BA27AF"/>
    <w:rsid w:val="06BC02D5"/>
    <w:rsid w:val="06C07699"/>
    <w:rsid w:val="06C4362D"/>
    <w:rsid w:val="06C62F02"/>
    <w:rsid w:val="06D118A6"/>
    <w:rsid w:val="06D7510F"/>
    <w:rsid w:val="06DC0977"/>
    <w:rsid w:val="06E11AE9"/>
    <w:rsid w:val="06E94E42"/>
    <w:rsid w:val="06FC2DC7"/>
    <w:rsid w:val="070B4DB8"/>
    <w:rsid w:val="07133C6D"/>
    <w:rsid w:val="072365A6"/>
    <w:rsid w:val="07245D42"/>
    <w:rsid w:val="07264C62"/>
    <w:rsid w:val="07302A71"/>
    <w:rsid w:val="07372051"/>
    <w:rsid w:val="074107DA"/>
    <w:rsid w:val="074402CA"/>
    <w:rsid w:val="075B5D40"/>
    <w:rsid w:val="075F5104"/>
    <w:rsid w:val="076646E5"/>
    <w:rsid w:val="076803F1"/>
    <w:rsid w:val="0779354C"/>
    <w:rsid w:val="07794418"/>
    <w:rsid w:val="079F3753"/>
    <w:rsid w:val="07A11279"/>
    <w:rsid w:val="07A34FF1"/>
    <w:rsid w:val="07A64AE1"/>
    <w:rsid w:val="07A80859"/>
    <w:rsid w:val="07AA6C9E"/>
    <w:rsid w:val="07AC6B21"/>
    <w:rsid w:val="07C531B9"/>
    <w:rsid w:val="07CD4764"/>
    <w:rsid w:val="07E07FF3"/>
    <w:rsid w:val="07E43C8F"/>
    <w:rsid w:val="07EC6998"/>
    <w:rsid w:val="07F10452"/>
    <w:rsid w:val="07F51244"/>
    <w:rsid w:val="07FD6DF7"/>
    <w:rsid w:val="07FF2A68"/>
    <w:rsid w:val="08061376"/>
    <w:rsid w:val="080A32C2"/>
    <w:rsid w:val="081E6D6D"/>
    <w:rsid w:val="08206641"/>
    <w:rsid w:val="08397703"/>
    <w:rsid w:val="08452D77"/>
    <w:rsid w:val="084A7B62"/>
    <w:rsid w:val="08536A17"/>
    <w:rsid w:val="0858227F"/>
    <w:rsid w:val="086401F8"/>
    <w:rsid w:val="086E1AA3"/>
    <w:rsid w:val="08744BDF"/>
    <w:rsid w:val="08751CAA"/>
    <w:rsid w:val="087921F6"/>
    <w:rsid w:val="087E4C40"/>
    <w:rsid w:val="08872B64"/>
    <w:rsid w:val="088C763C"/>
    <w:rsid w:val="089A2898"/>
    <w:rsid w:val="08A6123D"/>
    <w:rsid w:val="08A94889"/>
    <w:rsid w:val="08AA0601"/>
    <w:rsid w:val="08B84ACC"/>
    <w:rsid w:val="08CE609D"/>
    <w:rsid w:val="08CE6A87"/>
    <w:rsid w:val="08D132DE"/>
    <w:rsid w:val="08D31906"/>
    <w:rsid w:val="08D66AD6"/>
    <w:rsid w:val="08D833C0"/>
    <w:rsid w:val="08DA33A3"/>
    <w:rsid w:val="08E65ADD"/>
    <w:rsid w:val="08E80F13"/>
    <w:rsid w:val="08F024B8"/>
    <w:rsid w:val="08FF7E1C"/>
    <w:rsid w:val="090E293E"/>
    <w:rsid w:val="09271C52"/>
    <w:rsid w:val="09335624"/>
    <w:rsid w:val="09385C0D"/>
    <w:rsid w:val="093C394F"/>
    <w:rsid w:val="0944690F"/>
    <w:rsid w:val="09491BC8"/>
    <w:rsid w:val="09535675"/>
    <w:rsid w:val="09563B8E"/>
    <w:rsid w:val="095E1B17"/>
    <w:rsid w:val="095F057D"/>
    <w:rsid w:val="09642282"/>
    <w:rsid w:val="0966277A"/>
    <w:rsid w:val="096864F2"/>
    <w:rsid w:val="09733572"/>
    <w:rsid w:val="09772C16"/>
    <w:rsid w:val="09774987"/>
    <w:rsid w:val="098353B5"/>
    <w:rsid w:val="09840E52"/>
    <w:rsid w:val="09864BCA"/>
    <w:rsid w:val="099C263F"/>
    <w:rsid w:val="09A432A2"/>
    <w:rsid w:val="09A92330"/>
    <w:rsid w:val="09AF5ECF"/>
    <w:rsid w:val="09B06B87"/>
    <w:rsid w:val="09C13146"/>
    <w:rsid w:val="09C35E1E"/>
    <w:rsid w:val="09C556F2"/>
    <w:rsid w:val="09CB082F"/>
    <w:rsid w:val="09D944FD"/>
    <w:rsid w:val="09DB4F16"/>
    <w:rsid w:val="09E04166"/>
    <w:rsid w:val="09E244F6"/>
    <w:rsid w:val="09E518F1"/>
    <w:rsid w:val="09ED69F7"/>
    <w:rsid w:val="09F00295"/>
    <w:rsid w:val="0A026946"/>
    <w:rsid w:val="0A116B8A"/>
    <w:rsid w:val="0A1C0718"/>
    <w:rsid w:val="0A2957BF"/>
    <w:rsid w:val="0A310FDA"/>
    <w:rsid w:val="0A344626"/>
    <w:rsid w:val="0A385E1A"/>
    <w:rsid w:val="0A3B3C06"/>
    <w:rsid w:val="0A3E7710"/>
    <w:rsid w:val="0A4F320E"/>
    <w:rsid w:val="0A516F86"/>
    <w:rsid w:val="0A561B3D"/>
    <w:rsid w:val="0A586E09"/>
    <w:rsid w:val="0A5B7E63"/>
    <w:rsid w:val="0A5C592B"/>
    <w:rsid w:val="0A641F8C"/>
    <w:rsid w:val="0A917CCA"/>
    <w:rsid w:val="0A960E3D"/>
    <w:rsid w:val="0A99092D"/>
    <w:rsid w:val="0AA374A5"/>
    <w:rsid w:val="0AAB7649"/>
    <w:rsid w:val="0AAC0660"/>
    <w:rsid w:val="0ABC5606"/>
    <w:rsid w:val="0ABF65E6"/>
    <w:rsid w:val="0ACE4A7B"/>
    <w:rsid w:val="0ADD4CBE"/>
    <w:rsid w:val="0AE579F8"/>
    <w:rsid w:val="0AEB1631"/>
    <w:rsid w:val="0AFF2E86"/>
    <w:rsid w:val="0B071D3B"/>
    <w:rsid w:val="0B0E131B"/>
    <w:rsid w:val="0B183F48"/>
    <w:rsid w:val="0B1C3A38"/>
    <w:rsid w:val="0B291CB1"/>
    <w:rsid w:val="0B30404E"/>
    <w:rsid w:val="0B3F14D4"/>
    <w:rsid w:val="0B460AB5"/>
    <w:rsid w:val="0B4C6C14"/>
    <w:rsid w:val="0B4E7969"/>
    <w:rsid w:val="0B5331D2"/>
    <w:rsid w:val="0B5F1DB6"/>
    <w:rsid w:val="0B61769D"/>
    <w:rsid w:val="0B631A88"/>
    <w:rsid w:val="0B680A2B"/>
    <w:rsid w:val="0B683D45"/>
    <w:rsid w:val="0B6B22C9"/>
    <w:rsid w:val="0B6E5916"/>
    <w:rsid w:val="0B794AD1"/>
    <w:rsid w:val="0B7F3F11"/>
    <w:rsid w:val="0B84338B"/>
    <w:rsid w:val="0B884417"/>
    <w:rsid w:val="0B980BE5"/>
    <w:rsid w:val="0B9A2BAF"/>
    <w:rsid w:val="0BA17A99"/>
    <w:rsid w:val="0BA375C8"/>
    <w:rsid w:val="0BC1013B"/>
    <w:rsid w:val="0BF00A21"/>
    <w:rsid w:val="0BF6188C"/>
    <w:rsid w:val="0BF73C91"/>
    <w:rsid w:val="0BF978D5"/>
    <w:rsid w:val="0BFA53FB"/>
    <w:rsid w:val="0C0D512F"/>
    <w:rsid w:val="0C170175"/>
    <w:rsid w:val="0C252478"/>
    <w:rsid w:val="0C324B95"/>
    <w:rsid w:val="0C3B7EEE"/>
    <w:rsid w:val="0C3D3FF4"/>
    <w:rsid w:val="0C482DA4"/>
    <w:rsid w:val="0C4C2CDB"/>
    <w:rsid w:val="0C571A41"/>
    <w:rsid w:val="0C59617A"/>
    <w:rsid w:val="0C5C1171"/>
    <w:rsid w:val="0C5C7E64"/>
    <w:rsid w:val="0C5E1CBC"/>
    <w:rsid w:val="0C615B50"/>
    <w:rsid w:val="0C8278CB"/>
    <w:rsid w:val="0C8445DA"/>
    <w:rsid w:val="0C87121B"/>
    <w:rsid w:val="0CA75583"/>
    <w:rsid w:val="0CC007F7"/>
    <w:rsid w:val="0CC47EE3"/>
    <w:rsid w:val="0CDB046D"/>
    <w:rsid w:val="0CE045F1"/>
    <w:rsid w:val="0CE340E1"/>
    <w:rsid w:val="0CE560AB"/>
    <w:rsid w:val="0CFB58CF"/>
    <w:rsid w:val="0CFE707A"/>
    <w:rsid w:val="0D026C5D"/>
    <w:rsid w:val="0D063BDA"/>
    <w:rsid w:val="0D077DD0"/>
    <w:rsid w:val="0D08375F"/>
    <w:rsid w:val="0D184CFB"/>
    <w:rsid w:val="0D272220"/>
    <w:rsid w:val="0D444B80"/>
    <w:rsid w:val="0D490BEF"/>
    <w:rsid w:val="0D4A7419"/>
    <w:rsid w:val="0D555D85"/>
    <w:rsid w:val="0D577C2B"/>
    <w:rsid w:val="0D584ACF"/>
    <w:rsid w:val="0D7D62E4"/>
    <w:rsid w:val="0D821B4C"/>
    <w:rsid w:val="0D827401"/>
    <w:rsid w:val="0D84094E"/>
    <w:rsid w:val="0D8853B5"/>
    <w:rsid w:val="0D8A00E9"/>
    <w:rsid w:val="0D8D589E"/>
    <w:rsid w:val="0DA01C73"/>
    <w:rsid w:val="0DC3019B"/>
    <w:rsid w:val="0DC45CC1"/>
    <w:rsid w:val="0DD00B0A"/>
    <w:rsid w:val="0DD06C7C"/>
    <w:rsid w:val="0DD63300"/>
    <w:rsid w:val="0DE14AC5"/>
    <w:rsid w:val="0DE545B5"/>
    <w:rsid w:val="0DED346A"/>
    <w:rsid w:val="0DED5218"/>
    <w:rsid w:val="0DF50604"/>
    <w:rsid w:val="0DF702FE"/>
    <w:rsid w:val="0E060E51"/>
    <w:rsid w:val="0E082052"/>
    <w:rsid w:val="0E123986"/>
    <w:rsid w:val="0E15476E"/>
    <w:rsid w:val="0E2B5D40"/>
    <w:rsid w:val="0E342E47"/>
    <w:rsid w:val="0E4017EB"/>
    <w:rsid w:val="0E4137B5"/>
    <w:rsid w:val="0E4B0190"/>
    <w:rsid w:val="0E5604B2"/>
    <w:rsid w:val="0E6D5D79"/>
    <w:rsid w:val="0E8518F4"/>
    <w:rsid w:val="0E963B01"/>
    <w:rsid w:val="0E9B1118"/>
    <w:rsid w:val="0E9D0089"/>
    <w:rsid w:val="0EA03BFE"/>
    <w:rsid w:val="0EA224A6"/>
    <w:rsid w:val="0EB803EE"/>
    <w:rsid w:val="0EBD2E3C"/>
    <w:rsid w:val="0EC00B7E"/>
    <w:rsid w:val="0EC764FA"/>
    <w:rsid w:val="0EC8358F"/>
    <w:rsid w:val="0EE26D46"/>
    <w:rsid w:val="0EE4486D"/>
    <w:rsid w:val="0EE7435D"/>
    <w:rsid w:val="0EF94D4B"/>
    <w:rsid w:val="0F022F45"/>
    <w:rsid w:val="0F0767AD"/>
    <w:rsid w:val="0F0E18EA"/>
    <w:rsid w:val="0F2509E1"/>
    <w:rsid w:val="0F334EAC"/>
    <w:rsid w:val="0F40581B"/>
    <w:rsid w:val="0F4958DC"/>
    <w:rsid w:val="0F4B48EC"/>
    <w:rsid w:val="0F515DF7"/>
    <w:rsid w:val="0F596BA8"/>
    <w:rsid w:val="0F6248D2"/>
    <w:rsid w:val="0F693536"/>
    <w:rsid w:val="0F6C03BE"/>
    <w:rsid w:val="0F73799F"/>
    <w:rsid w:val="0F7B0511"/>
    <w:rsid w:val="0F7B76D9"/>
    <w:rsid w:val="0F8120BC"/>
    <w:rsid w:val="0F816ACD"/>
    <w:rsid w:val="0F8B2F3A"/>
    <w:rsid w:val="0F9832DB"/>
    <w:rsid w:val="0FA43FFC"/>
    <w:rsid w:val="0FA67D74"/>
    <w:rsid w:val="0FAE6C29"/>
    <w:rsid w:val="0FB56209"/>
    <w:rsid w:val="0FBF3FD2"/>
    <w:rsid w:val="0FBF7FF3"/>
    <w:rsid w:val="0FCE1079"/>
    <w:rsid w:val="0FD03282"/>
    <w:rsid w:val="0FE8038D"/>
    <w:rsid w:val="0FF860F6"/>
    <w:rsid w:val="10042CED"/>
    <w:rsid w:val="101847F7"/>
    <w:rsid w:val="101C3B92"/>
    <w:rsid w:val="101F18D4"/>
    <w:rsid w:val="1021389E"/>
    <w:rsid w:val="10264A11"/>
    <w:rsid w:val="10294501"/>
    <w:rsid w:val="10433815"/>
    <w:rsid w:val="10507CE0"/>
    <w:rsid w:val="1053332C"/>
    <w:rsid w:val="105B0B5E"/>
    <w:rsid w:val="10646583"/>
    <w:rsid w:val="10647D00"/>
    <w:rsid w:val="10686DD7"/>
    <w:rsid w:val="107D4B15"/>
    <w:rsid w:val="10846DA4"/>
    <w:rsid w:val="108A3C80"/>
    <w:rsid w:val="108A4FA0"/>
    <w:rsid w:val="109220A6"/>
    <w:rsid w:val="10A36062"/>
    <w:rsid w:val="10AB4F16"/>
    <w:rsid w:val="10BA52FE"/>
    <w:rsid w:val="10C26171"/>
    <w:rsid w:val="10D64689"/>
    <w:rsid w:val="10EF5293"/>
    <w:rsid w:val="10F33360"/>
    <w:rsid w:val="10F44B0F"/>
    <w:rsid w:val="10FC16EA"/>
    <w:rsid w:val="110F1D40"/>
    <w:rsid w:val="11205904"/>
    <w:rsid w:val="112278CE"/>
    <w:rsid w:val="11266F33"/>
    <w:rsid w:val="11273BBE"/>
    <w:rsid w:val="112C6057"/>
    <w:rsid w:val="11317B11"/>
    <w:rsid w:val="113B0990"/>
    <w:rsid w:val="113B4369"/>
    <w:rsid w:val="113D0264"/>
    <w:rsid w:val="113D2012"/>
    <w:rsid w:val="113D64B6"/>
    <w:rsid w:val="11513D10"/>
    <w:rsid w:val="11515ABE"/>
    <w:rsid w:val="1158509E"/>
    <w:rsid w:val="115D4462"/>
    <w:rsid w:val="118714DF"/>
    <w:rsid w:val="118963A1"/>
    <w:rsid w:val="11A13517"/>
    <w:rsid w:val="11A85FF9"/>
    <w:rsid w:val="11B04EDA"/>
    <w:rsid w:val="11C049F1"/>
    <w:rsid w:val="11C6522A"/>
    <w:rsid w:val="11C91AF8"/>
    <w:rsid w:val="11CC3A28"/>
    <w:rsid w:val="11D84431"/>
    <w:rsid w:val="11D87F8D"/>
    <w:rsid w:val="11D9622F"/>
    <w:rsid w:val="11E104CC"/>
    <w:rsid w:val="11E20309"/>
    <w:rsid w:val="11E46932"/>
    <w:rsid w:val="11F528ED"/>
    <w:rsid w:val="11FF19BD"/>
    <w:rsid w:val="12011237"/>
    <w:rsid w:val="120A5BAF"/>
    <w:rsid w:val="120D6537"/>
    <w:rsid w:val="120E39AF"/>
    <w:rsid w:val="12130FC5"/>
    <w:rsid w:val="121A2353"/>
    <w:rsid w:val="122136E2"/>
    <w:rsid w:val="12255233"/>
    <w:rsid w:val="124318AA"/>
    <w:rsid w:val="124949E7"/>
    <w:rsid w:val="124B69B1"/>
    <w:rsid w:val="12530213"/>
    <w:rsid w:val="12535865"/>
    <w:rsid w:val="126F6B43"/>
    <w:rsid w:val="127723A9"/>
    <w:rsid w:val="127952CC"/>
    <w:rsid w:val="127C6B6A"/>
    <w:rsid w:val="12862074"/>
    <w:rsid w:val="12883966"/>
    <w:rsid w:val="128A74D9"/>
    <w:rsid w:val="12942091"/>
    <w:rsid w:val="129E45B4"/>
    <w:rsid w:val="12A26ED5"/>
    <w:rsid w:val="12A85BB1"/>
    <w:rsid w:val="12C8390D"/>
    <w:rsid w:val="12D20E80"/>
    <w:rsid w:val="12D81596"/>
    <w:rsid w:val="12DB5F87"/>
    <w:rsid w:val="12F47048"/>
    <w:rsid w:val="13051255"/>
    <w:rsid w:val="13070B2A"/>
    <w:rsid w:val="13072A44"/>
    <w:rsid w:val="131E2FC6"/>
    <w:rsid w:val="13265254"/>
    <w:rsid w:val="13307FAC"/>
    <w:rsid w:val="13347445"/>
    <w:rsid w:val="133D279D"/>
    <w:rsid w:val="135F4BE2"/>
    <w:rsid w:val="137D2B9A"/>
    <w:rsid w:val="138C0E00"/>
    <w:rsid w:val="139B1A0A"/>
    <w:rsid w:val="139D25C7"/>
    <w:rsid w:val="139F6FB4"/>
    <w:rsid w:val="13BF3CE4"/>
    <w:rsid w:val="13CA1B57"/>
    <w:rsid w:val="13D33102"/>
    <w:rsid w:val="13E744B7"/>
    <w:rsid w:val="13F56BD4"/>
    <w:rsid w:val="140E5EE8"/>
    <w:rsid w:val="141008D8"/>
    <w:rsid w:val="14125FE6"/>
    <w:rsid w:val="14240F02"/>
    <w:rsid w:val="142B0848"/>
    <w:rsid w:val="14373691"/>
    <w:rsid w:val="1437543F"/>
    <w:rsid w:val="143811B7"/>
    <w:rsid w:val="14515DD5"/>
    <w:rsid w:val="14535FF1"/>
    <w:rsid w:val="145A2EDB"/>
    <w:rsid w:val="145C4EA5"/>
    <w:rsid w:val="146401FE"/>
    <w:rsid w:val="146A2525"/>
    <w:rsid w:val="146D271E"/>
    <w:rsid w:val="147D6BCA"/>
    <w:rsid w:val="14982588"/>
    <w:rsid w:val="149A5AD9"/>
    <w:rsid w:val="149E457B"/>
    <w:rsid w:val="149F4D92"/>
    <w:rsid w:val="14A7619D"/>
    <w:rsid w:val="14B922F8"/>
    <w:rsid w:val="14B95E54"/>
    <w:rsid w:val="14D233B9"/>
    <w:rsid w:val="14DC5FE6"/>
    <w:rsid w:val="14E153AA"/>
    <w:rsid w:val="14F82861"/>
    <w:rsid w:val="14FE7D0A"/>
    <w:rsid w:val="15035321"/>
    <w:rsid w:val="150536C3"/>
    <w:rsid w:val="150C1963"/>
    <w:rsid w:val="151447A0"/>
    <w:rsid w:val="153C0833"/>
    <w:rsid w:val="154A6454"/>
    <w:rsid w:val="154F4A0A"/>
    <w:rsid w:val="15762120"/>
    <w:rsid w:val="1585667E"/>
    <w:rsid w:val="15891CCA"/>
    <w:rsid w:val="15900494"/>
    <w:rsid w:val="15B42ABF"/>
    <w:rsid w:val="15B4486D"/>
    <w:rsid w:val="15C01464"/>
    <w:rsid w:val="15CA4090"/>
    <w:rsid w:val="15CE592F"/>
    <w:rsid w:val="1602382A"/>
    <w:rsid w:val="16061850"/>
    <w:rsid w:val="160C6457"/>
    <w:rsid w:val="16104199"/>
    <w:rsid w:val="161377E5"/>
    <w:rsid w:val="16297009"/>
    <w:rsid w:val="16491459"/>
    <w:rsid w:val="16504596"/>
    <w:rsid w:val="165F0C7D"/>
    <w:rsid w:val="168801D3"/>
    <w:rsid w:val="1699418F"/>
    <w:rsid w:val="16A40FB8"/>
    <w:rsid w:val="16A8729C"/>
    <w:rsid w:val="16AD19E8"/>
    <w:rsid w:val="16AD214A"/>
    <w:rsid w:val="16B33777"/>
    <w:rsid w:val="16B72867"/>
    <w:rsid w:val="16B8213B"/>
    <w:rsid w:val="16BC70A7"/>
    <w:rsid w:val="16C6339E"/>
    <w:rsid w:val="16D36F75"/>
    <w:rsid w:val="16EB2510"/>
    <w:rsid w:val="16ED6288"/>
    <w:rsid w:val="16FC471D"/>
    <w:rsid w:val="17033CFE"/>
    <w:rsid w:val="170535D2"/>
    <w:rsid w:val="1715758D"/>
    <w:rsid w:val="17237EFC"/>
    <w:rsid w:val="17283764"/>
    <w:rsid w:val="172F2D79"/>
    <w:rsid w:val="173619DD"/>
    <w:rsid w:val="17397720"/>
    <w:rsid w:val="173C0FBE"/>
    <w:rsid w:val="17435EA8"/>
    <w:rsid w:val="17487963"/>
    <w:rsid w:val="17557BEF"/>
    <w:rsid w:val="1776002C"/>
    <w:rsid w:val="177B3894"/>
    <w:rsid w:val="178A3AD7"/>
    <w:rsid w:val="178D35C8"/>
    <w:rsid w:val="178F7340"/>
    <w:rsid w:val="17914E66"/>
    <w:rsid w:val="179E3A27"/>
    <w:rsid w:val="17AD23E0"/>
    <w:rsid w:val="17BD20FF"/>
    <w:rsid w:val="17D336D0"/>
    <w:rsid w:val="17D349C1"/>
    <w:rsid w:val="17DB37CE"/>
    <w:rsid w:val="17DB4333"/>
    <w:rsid w:val="17DFB5AC"/>
    <w:rsid w:val="17F378CF"/>
    <w:rsid w:val="17F6116D"/>
    <w:rsid w:val="17F65611"/>
    <w:rsid w:val="17FB49D5"/>
    <w:rsid w:val="180A2E6A"/>
    <w:rsid w:val="181810E3"/>
    <w:rsid w:val="181D15CF"/>
    <w:rsid w:val="1821268E"/>
    <w:rsid w:val="182757CA"/>
    <w:rsid w:val="182F467F"/>
    <w:rsid w:val="1830729E"/>
    <w:rsid w:val="18335F1D"/>
    <w:rsid w:val="183D0B4A"/>
    <w:rsid w:val="1844012A"/>
    <w:rsid w:val="184A42DA"/>
    <w:rsid w:val="185365BF"/>
    <w:rsid w:val="18622CA6"/>
    <w:rsid w:val="186662F2"/>
    <w:rsid w:val="1867206B"/>
    <w:rsid w:val="1869193F"/>
    <w:rsid w:val="1870062C"/>
    <w:rsid w:val="187C78C4"/>
    <w:rsid w:val="18817102"/>
    <w:rsid w:val="18822A00"/>
    <w:rsid w:val="18830A15"/>
    <w:rsid w:val="18840950"/>
    <w:rsid w:val="18852B28"/>
    <w:rsid w:val="188B5321"/>
    <w:rsid w:val="18925339"/>
    <w:rsid w:val="18934C0E"/>
    <w:rsid w:val="18A1732B"/>
    <w:rsid w:val="18A84B5D"/>
    <w:rsid w:val="18BC23B6"/>
    <w:rsid w:val="18BF5A03"/>
    <w:rsid w:val="18C15C1F"/>
    <w:rsid w:val="18C662FD"/>
    <w:rsid w:val="18E57134"/>
    <w:rsid w:val="18EA78A5"/>
    <w:rsid w:val="18F51424"/>
    <w:rsid w:val="18F57676"/>
    <w:rsid w:val="192D6E10"/>
    <w:rsid w:val="193444F2"/>
    <w:rsid w:val="19380096"/>
    <w:rsid w:val="1941466A"/>
    <w:rsid w:val="19461C80"/>
    <w:rsid w:val="196842EC"/>
    <w:rsid w:val="197B5DCD"/>
    <w:rsid w:val="197B7B7C"/>
    <w:rsid w:val="197C1B46"/>
    <w:rsid w:val="19932372"/>
    <w:rsid w:val="199B1FCC"/>
    <w:rsid w:val="199C02DC"/>
    <w:rsid w:val="19A03A86"/>
    <w:rsid w:val="19A20DD5"/>
    <w:rsid w:val="19A30E80"/>
    <w:rsid w:val="19A8293B"/>
    <w:rsid w:val="19AE03F1"/>
    <w:rsid w:val="19B47531"/>
    <w:rsid w:val="19C72DC1"/>
    <w:rsid w:val="19C86B39"/>
    <w:rsid w:val="19EF2318"/>
    <w:rsid w:val="19F142E2"/>
    <w:rsid w:val="19FB6F0E"/>
    <w:rsid w:val="1A071A03"/>
    <w:rsid w:val="1A1F16AE"/>
    <w:rsid w:val="1A226A73"/>
    <w:rsid w:val="1A3B5C77"/>
    <w:rsid w:val="1A3D7527"/>
    <w:rsid w:val="1A402B73"/>
    <w:rsid w:val="1A4B1C44"/>
    <w:rsid w:val="1A4C776A"/>
    <w:rsid w:val="1A5959E3"/>
    <w:rsid w:val="1A5B175B"/>
    <w:rsid w:val="1A75606A"/>
    <w:rsid w:val="1A9133CF"/>
    <w:rsid w:val="1A984BAD"/>
    <w:rsid w:val="1A9C249F"/>
    <w:rsid w:val="1AA66E7A"/>
    <w:rsid w:val="1AAD579B"/>
    <w:rsid w:val="1AB33345"/>
    <w:rsid w:val="1AB8220E"/>
    <w:rsid w:val="1AC13CB4"/>
    <w:rsid w:val="1ACD2659"/>
    <w:rsid w:val="1AE16104"/>
    <w:rsid w:val="1AE4166C"/>
    <w:rsid w:val="1AF06CFB"/>
    <w:rsid w:val="1AF11B8D"/>
    <w:rsid w:val="1AF37BE5"/>
    <w:rsid w:val="1AFC2F3E"/>
    <w:rsid w:val="1B11359C"/>
    <w:rsid w:val="1B1C0EEA"/>
    <w:rsid w:val="1B2A271F"/>
    <w:rsid w:val="1B2B3823"/>
    <w:rsid w:val="1B3E3557"/>
    <w:rsid w:val="1B43291B"/>
    <w:rsid w:val="1B530544"/>
    <w:rsid w:val="1B60171F"/>
    <w:rsid w:val="1B6805D3"/>
    <w:rsid w:val="1B713184"/>
    <w:rsid w:val="1B8C2514"/>
    <w:rsid w:val="1B9413C8"/>
    <w:rsid w:val="1B99078D"/>
    <w:rsid w:val="1BA209CF"/>
    <w:rsid w:val="1BA809D0"/>
    <w:rsid w:val="1BAB7A3D"/>
    <w:rsid w:val="1BB455C7"/>
    <w:rsid w:val="1BB4777D"/>
    <w:rsid w:val="1BB750B7"/>
    <w:rsid w:val="1BC31CAE"/>
    <w:rsid w:val="1BC670A8"/>
    <w:rsid w:val="1BC81072"/>
    <w:rsid w:val="1BD143CB"/>
    <w:rsid w:val="1BD16179"/>
    <w:rsid w:val="1BD33001"/>
    <w:rsid w:val="1BD712B5"/>
    <w:rsid w:val="1BD75AB8"/>
    <w:rsid w:val="1BE3162A"/>
    <w:rsid w:val="1BE91714"/>
    <w:rsid w:val="1BEA0FE8"/>
    <w:rsid w:val="1BEF4851"/>
    <w:rsid w:val="1C0459C2"/>
    <w:rsid w:val="1C183DA8"/>
    <w:rsid w:val="1C1B3B4A"/>
    <w:rsid w:val="1C24274C"/>
    <w:rsid w:val="1C252021"/>
    <w:rsid w:val="1C427076"/>
    <w:rsid w:val="1C6E7E6B"/>
    <w:rsid w:val="1C88086E"/>
    <w:rsid w:val="1C9378D2"/>
    <w:rsid w:val="1C9F6277"/>
    <w:rsid w:val="1CA27B15"/>
    <w:rsid w:val="1CA94A00"/>
    <w:rsid w:val="1CB17D58"/>
    <w:rsid w:val="1CB6536F"/>
    <w:rsid w:val="1CC01D49"/>
    <w:rsid w:val="1CC161ED"/>
    <w:rsid w:val="1CC45CDD"/>
    <w:rsid w:val="1CCE26B8"/>
    <w:rsid w:val="1CD203FA"/>
    <w:rsid w:val="1CD6156D"/>
    <w:rsid w:val="1CE357D5"/>
    <w:rsid w:val="1CF10155"/>
    <w:rsid w:val="1CFC5477"/>
    <w:rsid w:val="1D0600A4"/>
    <w:rsid w:val="1D0936F0"/>
    <w:rsid w:val="1D235971"/>
    <w:rsid w:val="1D266CE1"/>
    <w:rsid w:val="1D353C90"/>
    <w:rsid w:val="1D3963AF"/>
    <w:rsid w:val="1D3A7D4E"/>
    <w:rsid w:val="1D3D339A"/>
    <w:rsid w:val="1D4604A0"/>
    <w:rsid w:val="1D4961E3"/>
    <w:rsid w:val="1D6A673C"/>
    <w:rsid w:val="1D840FC9"/>
    <w:rsid w:val="1D9247AE"/>
    <w:rsid w:val="1D9B4C90"/>
    <w:rsid w:val="1DA022A7"/>
    <w:rsid w:val="1DB567EC"/>
    <w:rsid w:val="1DD41F50"/>
    <w:rsid w:val="1DE008F5"/>
    <w:rsid w:val="1DF20628"/>
    <w:rsid w:val="1DF51A98"/>
    <w:rsid w:val="1DFE6FCD"/>
    <w:rsid w:val="1E0A0959"/>
    <w:rsid w:val="1E1467F1"/>
    <w:rsid w:val="1E162569"/>
    <w:rsid w:val="1E37428D"/>
    <w:rsid w:val="1E396257"/>
    <w:rsid w:val="1E3D060F"/>
    <w:rsid w:val="1E3F7D2E"/>
    <w:rsid w:val="1E4134E4"/>
    <w:rsid w:val="1E4569AA"/>
    <w:rsid w:val="1E4F7829"/>
    <w:rsid w:val="1E5062B3"/>
    <w:rsid w:val="1E523514"/>
    <w:rsid w:val="1E592455"/>
    <w:rsid w:val="1E650DFA"/>
    <w:rsid w:val="1E6C03DB"/>
    <w:rsid w:val="1E71154D"/>
    <w:rsid w:val="1E714A66"/>
    <w:rsid w:val="1E7E3C6A"/>
    <w:rsid w:val="1E802593"/>
    <w:rsid w:val="1E934CC5"/>
    <w:rsid w:val="1E982F7E"/>
    <w:rsid w:val="1EA25BAA"/>
    <w:rsid w:val="1EA703CC"/>
    <w:rsid w:val="1EAA2CB1"/>
    <w:rsid w:val="1EB4768C"/>
    <w:rsid w:val="1EB63404"/>
    <w:rsid w:val="1EB7330C"/>
    <w:rsid w:val="1EBC3110"/>
    <w:rsid w:val="1EE77A61"/>
    <w:rsid w:val="1EF26B32"/>
    <w:rsid w:val="1EF36406"/>
    <w:rsid w:val="1EFF4DAB"/>
    <w:rsid w:val="1F0138E4"/>
    <w:rsid w:val="1F022AED"/>
    <w:rsid w:val="1F0A0FF3"/>
    <w:rsid w:val="1F0E4FEE"/>
    <w:rsid w:val="1F136AA8"/>
    <w:rsid w:val="1F1F369F"/>
    <w:rsid w:val="1F242A63"/>
    <w:rsid w:val="1F424E16"/>
    <w:rsid w:val="1F4C5B16"/>
    <w:rsid w:val="1F5275D0"/>
    <w:rsid w:val="1F5771FF"/>
    <w:rsid w:val="1F63358C"/>
    <w:rsid w:val="1F751511"/>
    <w:rsid w:val="1F775289"/>
    <w:rsid w:val="1FA6791C"/>
    <w:rsid w:val="1FBB08FE"/>
    <w:rsid w:val="1FBC0EEE"/>
    <w:rsid w:val="1FC61D6D"/>
    <w:rsid w:val="1FC85AE5"/>
    <w:rsid w:val="1FCA53B9"/>
    <w:rsid w:val="1FCB2EDF"/>
    <w:rsid w:val="1FD75D28"/>
    <w:rsid w:val="1FE67D19"/>
    <w:rsid w:val="1FE868A9"/>
    <w:rsid w:val="1FED10A7"/>
    <w:rsid w:val="1FF22B62"/>
    <w:rsid w:val="1FF241DB"/>
    <w:rsid w:val="1FF93EF0"/>
    <w:rsid w:val="1FFC753C"/>
    <w:rsid w:val="2000527E"/>
    <w:rsid w:val="2000702C"/>
    <w:rsid w:val="20034907"/>
    <w:rsid w:val="20173E4B"/>
    <w:rsid w:val="20176124"/>
    <w:rsid w:val="20196340"/>
    <w:rsid w:val="201E48A5"/>
    <w:rsid w:val="202D1DEC"/>
    <w:rsid w:val="2040567B"/>
    <w:rsid w:val="20452C91"/>
    <w:rsid w:val="20471345"/>
    <w:rsid w:val="204E48BC"/>
    <w:rsid w:val="20673637"/>
    <w:rsid w:val="207E61A3"/>
    <w:rsid w:val="208921B3"/>
    <w:rsid w:val="208A4B48"/>
    <w:rsid w:val="20973DEB"/>
    <w:rsid w:val="209F6845"/>
    <w:rsid w:val="20A51982"/>
    <w:rsid w:val="20AC1D3C"/>
    <w:rsid w:val="20B16579"/>
    <w:rsid w:val="20B26522"/>
    <w:rsid w:val="20B44310"/>
    <w:rsid w:val="20BD316F"/>
    <w:rsid w:val="20C55B80"/>
    <w:rsid w:val="20CA763A"/>
    <w:rsid w:val="20E701EC"/>
    <w:rsid w:val="20FB17E4"/>
    <w:rsid w:val="211116EB"/>
    <w:rsid w:val="21132D8F"/>
    <w:rsid w:val="213170F5"/>
    <w:rsid w:val="21374CD0"/>
    <w:rsid w:val="213977FF"/>
    <w:rsid w:val="21486EDD"/>
    <w:rsid w:val="214C004F"/>
    <w:rsid w:val="21577120"/>
    <w:rsid w:val="216133FC"/>
    <w:rsid w:val="21661111"/>
    <w:rsid w:val="218872DA"/>
    <w:rsid w:val="219C2D85"/>
    <w:rsid w:val="21BC3427"/>
    <w:rsid w:val="21D267A7"/>
    <w:rsid w:val="21D56769"/>
    <w:rsid w:val="21D818E3"/>
    <w:rsid w:val="21D97B35"/>
    <w:rsid w:val="21E40288"/>
    <w:rsid w:val="21E52EF3"/>
    <w:rsid w:val="21E93AF0"/>
    <w:rsid w:val="21F11323"/>
    <w:rsid w:val="21F944FD"/>
    <w:rsid w:val="21FB5D7B"/>
    <w:rsid w:val="22010E3A"/>
    <w:rsid w:val="220B1C3D"/>
    <w:rsid w:val="220B1CB9"/>
    <w:rsid w:val="221D1D20"/>
    <w:rsid w:val="222114DC"/>
    <w:rsid w:val="22334A87"/>
    <w:rsid w:val="223C00C4"/>
    <w:rsid w:val="224156DA"/>
    <w:rsid w:val="224A458F"/>
    <w:rsid w:val="224F6049"/>
    <w:rsid w:val="22573150"/>
    <w:rsid w:val="22635651"/>
    <w:rsid w:val="226D64CF"/>
    <w:rsid w:val="22804455"/>
    <w:rsid w:val="22813DB4"/>
    <w:rsid w:val="22835CF3"/>
    <w:rsid w:val="228F28EA"/>
    <w:rsid w:val="229E2B2D"/>
    <w:rsid w:val="22A00653"/>
    <w:rsid w:val="22A04AF7"/>
    <w:rsid w:val="22A30143"/>
    <w:rsid w:val="22A31EF1"/>
    <w:rsid w:val="22A448F0"/>
    <w:rsid w:val="22B440FE"/>
    <w:rsid w:val="22B91715"/>
    <w:rsid w:val="22BE6801"/>
    <w:rsid w:val="22CA2A17"/>
    <w:rsid w:val="22D14CB0"/>
    <w:rsid w:val="22D93B65"/>
    <w:rsid w:val="22D95913"/>
    <w:rsid w:val="22F015DA"/>
    <w:rsid w:val="22F8048F"/>
    <w:rsid w:val="22FB7F7F"/>
    <w:rsid w:val="23103A2A"/>
    <w:rsid w:val="23151041"/>
    <w:rsid w:val="23164DB9"/>
    <w:rsid w:val="232678E1"/>
    <w:rsid w:val="232C638A"/>
    <w:rsid w:val="233500BF"/>
    <w:rsid w:val="23377FF7"/>
    <w:rsid w:val="233D0598"/>
    <w:rsid w:val="23403BE4"/>
    <w:rsid w:val="23474F72"/>
    <w:rsid w:val="234C4BAE"/>
    <w:rsid w:val="23517B9F"/>
    <w:rsid w:val="23675615"/>
    <w:rsid w:val="236B425F"/>
    <w:rsid w:val="236C6787"/>
    <w:rsid w:val="237A203E"/>
    <w:rsid w:val="237A70F6"/>
    <w:rsid w:val="237D6BE6"/>
    <w:rsid w:val="23836192"/>
    <w:rsid w:val="23843AD1"/>
    <w:rsid w:val="23847F75"/>
    <w:rsid w:val="23901F29"/>
    <w:rsid w:val="239C0061"/>
    <w:rsid w:val="23A979DB"/>
    <w:rsid w:val="23B908A4"/>
    <w:rsid w:val="23C10881"/>
    <w:rsid w:val="23C16AD3"/>
    <w:rsid w:val="23CD36CA"/>
    <w:rsid w:val="23E40A13"/>
    <w:rsid w:val="23E95BEF"/>
    <w:rsid w:val="23ED5B1A"/>
    <w:rsid w:val="23FD0064"/>
    <w:rsid w:val="2403691B"/>
    <w:rsid w:val="240370EB"/>
    <w:rsid w:val="240B41F2"/>
    <w:rsid w:val="2423778D"/>
    <w:rsid w:val="2426102C"/>
    <w:rsid w:val="24262DDA"/>
    <w:rsid w:val="24482D50"/>
    <w:rsid w:val="244D65B8"/>
    <w:rsid w:val="245375B0"/>
    <w:rsid w:val="245E07C6"/>
    <w:rsid w:val="246062EC"/>
    <w:rsid w:val="24642C0A"/>
    <w:rsid w:val="246851A0"/>
    <w:rsid w:val="246D6C5B"/>
    <w:rsid w:val="246F4EFF"/>
    <w:rsid w:val="247022A7"/>
    <w:rsid w:val="24747FE9"/>
    <w:rsid w:val="247578BD"/>
    <w:rsid w:val="247E2C16"/>
    <w:rsid w:val="24832617"/>
    <w:rsid w:val="24A26904"/>
    <w:rsid w:val="24AB32DF"/>
    <w:rsid w:val="24B22173"/>
    <w:rsid w:val="24B95AD9"/>
    <w:rsid w:val="24BB1774"/>
    <w:rsid w:val="24BE24DA"/>
    <w:rsid w:val="24C20D54"/>
    <w:rsid w:val="24CF5825"/>
    <w:rsid w:val="24D663E6"/>
    <w:rsid w:val="24D77F2B"/>
    <w:rsid w:val="24DE36B4"/>
    <w:rsid w:val="24E0551A"/>
    <w:rsid w:val="24EF141E"/>
    <w:rsid w:val="24F66C50"/>
    <w:rsid w:val="251A0B90"/>
    <w:rsid w:val="251C31E3"/>
    <w:rsid w:val="25287F65"/>
    <w:rsid w:val="252A06A8"/>
    <w:rsid w:val="253634F0"/>
    <w:rsid w:val="253A30B9"/>
    <w:rsid w:val="254259F1"/>
    <w:rsid w:val="25453733"/>
    <w:rsid w:val="25553977"/>
    <w:rsid w:val="255A0F8D"/>
    <w:rsid w:val="256040C9"/>
    <w:rsid w:val="25675458"/>
    <w:rsid w:val="257D4C7B"/>
    <w:rsid w:val="258B00E2"/>
    <w:rsid w:val="25A917A6"/>
    <w:rsid w:val="25AD37B3"/>
    <w:rsid w:val="25B61F3B"/>
    <w:rsid w:val="25BE27CC"/>
    <w:rsid w:val="25D02FFD"/>
    <w:rsid w:val="25D32D3D"/>
    <w:rsid w:val="25EB6089"/>
    <w:rsid w:val="25F3318F"/>
    <w:rsid w:val="25F52A64"/>
    <w:rsid w:val="25F74A5C"/>
    <w:rsid w:val="2601765A"/>
    <w:rsid w:val="26143832"/>
    <w:rsid w:val="2628662C"/>
    <w:rsid w:val="262D45DE"/>
    <w:rsid w:val="26325A66"/>
    <w:rsid w:val="263A491A"/>
    <w:rsid w:val="26467763"/>
    <w:rsid w:val="264A7253"/>
    <w:rsid w:val="264D464E"/>
    <w:rsid w:val="26541E80"/>
    <w:rsid w:val="26574EC0"/>
    <w:rsid w:val="2668592C"/>
    <w:rsid w:val="266A4519"/>
    <w:rsid w:val="267E6EFD"/>
    <w:rsid w:val="26802C75"/>
    <w:rsid w:val="26812549"/>
    <w:rsid w:val="26864004"/>
    <w:rsid w:val="268C786C"/>
    <w:rsid w:val="269009DE"/>
    <w:rsid w:val="269404CF"/>
    <w:rsid w:val="26A06E73"/>
    <w:rsid w:val="26A53EF9"/>
    <w:rsid w:val="26A94201"/>
    <w:rsid w:val="26AC274F"/>
    <w:rsid w:val="26BE554B"/>
    <w:rsid w:val="26E36D60"/>
    <w:rsid w:val="26E74CBE"/>
    <w:rsid w:val="26ED7BDF"/>
    <w:rsid w:val="27044A29"/>
    <w:rsid w:val="271D34C8"/>
    <w:rsid w:val="27207FB4"/>
    <w:rsid w:val="27231852"/>
    <w:rsid w:val="272A0E33"/>
    <w:rsid w:val="272F6449"/>
    <w:rsid w:val="273D0B66"/>
    <w:rsid w:val="273F48DE"/>
    <w:rsid w:val="27427F2B"/>
    <w:rsid w:val="27514612"/>
    <w:rsid w:val="275D6B12"/>
    <w:rsid w:val="275F0ADD"/>
    <w:rsid w:val="276142BF"/>
    <w:rsid w:val="276500BD"/>
    <w:rsid w:val="27783712"/>
    <w:rsid w:val="27906EE8"/>
    <w:rsid w:val="27907362"/>
    <w:rsid w:val="27930786"/>
    <w:rsid w:val="279D33B3"/>
    <w:rsid w:val="27A110F5"/>
    <w:rsid w:val="27A6670B"/>
    <w:rsid w:val="27D019DA"/>
    <w:rsid w:val="27E62FAC"/>
    <w:rsid w:val="27EB411E"/>
    <w:rsid w:val="27EE1E60"/>
    <w:rsid w:val="27EE63F8"/>
    <w:rsid w:val="27F21951"/>
    <w:rsid w:val="28035470"/>
    <w:rsid w:val="28081174"/>
    <w:rsid w:val="28101024"/>
    <w:rsid w:val="282E04AF"/>
    <w:rsid w:val="28304227"/>
    <w:rsid w:val="28333E1D"/>
    <w:rsid w:val="28341F69"/>
    <w:rsid w:val="28355CE1"/>
    <w:rsid w:val="283C7460"/>
    <w:rsid w:val="28425D08"/>
    <w:rsid w:val="28454BD6"/>
    <w:rsid w:val="28455253"/>
    <w:rsid w:val="28485A15"/>
    <w:rsid w:val="284F6DA3"/>
    <w:rsid w:val="28551971"/>
    <w:rsid w:val="2858552C"/>
    <w:rsid w:val="285B1C53"/>
    <w:rsid w:val="286D7229"/>
    <w:rsid w:val="287405B8"/>
    <w:rsid w:val="28870BE3"/>
    <w:rsid w:val="288F53F1"/>
    <w:rsid w:val="289C366A"/>
    <w:rsid w:val="289F7086"/>
    <w:rsid w:val="28AF7842"/>
    <w:rsid w:val="28B5472C"/>
    <w:rsid w:val="28C32028"/>
    <w:rsid w:val="28CC490F"/>
    <w:rsid w:val="28CD7CC8"/>
    <w:rsid w:val="28D9666D"/>
    <w:rsid w:val="28DE40AA"/>
    <w:rsid w:val="28E55011"/>
    <w:rsid w:val="28F9286B"/>
    <w:rsid w:val="28F96D0F"/>
    <w:rsid w:val="28FC05AD"/>
    <w:rsid w:val="290D4568"/>
    <w:rsid w:val="2915627C"/>
    <w:rsid w:val="29183639"/>
    <w:rsid w:val="291B0A33"/>
    <w:rsid w:val="29226266"/>
    <w:rsid w:val="292E4C0A"/>
    <w:rsid w:val="29325D7D"/>
    <w:rsid w:val="29345E77"/>
    <w:rsid w:val="294C65AD"/>
    <w:rsid w:val="29542197"/>
    <w:rsid w:val="296E357B"/>
    <w:rsid w:val="297445E7"/>
    <w:rsid w:val="29806583"/>
    <w:rsid w:val="298B3C4C"/>
    <w:rsid w:val="299407E6"/>
    <w:rsid w:val="29AC5B2F"/>
    <w:rsid w:val="29AE18A7"/>
    <w:rsid w:val="29D46E34"/>
    <w:rsid w:val="29F26D24"/>
    <w:rsid w:val="29FD638B"/>
    <w:rsid w:val="2A043BBD"/>
    <w:rsid w:val="2A106382"/>
    <w:rsid w:val="2A15033F"/>
    <w:rsid w:val="2A1662C1"/>
    <w:rsid w:val="2A17569E"/>
    <w:rsid w:val="2A1A6F3D"/>
    <w:rsid w:val="2A1C7367"/>
    <w:rsid w:val="2A261D85"/>
    <w:rsid w:val="2A2815FA"/>
    <w:rsid w:val="2A294452"/>
    <w:rsid w:val="2A385183"/>
    <w:rsid w:val="2A3873C3"/>
    <w:rsid w:val="2A3C5105"/>
    <w:rsid w:val="2A420242"/>
    <w:rsid w:val="2A467D32"/>
    <w:rsid w:val="2A497822"/>
    <w:rsid w:val="2A4E45E1"/>
    <w:rsid w:val="2A5F0DF4"/>
    <w:rsid w:val="2A6D6092"/>
    <w:rsid w:val="2A720B27"/>
    <w:rsid w:val="2A7228D5"/>
    <w:rsid w:val="2A740F74"/>
    <w:rsid w:val="2A7523C5"/>
    <w:rsid w:val="2A7D76B4"/>
    <w:rsid w:val="2A88659C"/>
    <w:rsid w:val="2A9036A3"/>
    <w:rsid w:val="2A9270B0"/>
    <w:rsid w:val="2A9F38E6"/>
    <w:rsid w:val="2AA8279A"/>
    <w:rsid w:val="2AAB228B"/>
    <w:rsid w:val="2ABB0720"/>
    <w:rsid w:val="2ABC4498"/>
    <w:rsid w:val="2ABE1FBE"/>
    <w:rsid w:val="2AC450FA"/>
    <w:rsid w:val="2AC46EA9"/>
    <w:rsid w:val="2AD52E64"/>
    <w:rsid w:val="2AEB2687"/>
    <w:rsid w:val="2AEC3A3B"/>
    <w:rsid w:val="2AF7727E"/>
    <w:rsid w:val="2B057BED"/>
    <w:rsid w:val="2B0B2D29"/>
    <w:rsid w:val="2B1716CE"/>
    <w:rsid w:val="2B255CF1"/>
    <w:rsid w:val="2B2C517A"/>
    <w:rsid w:val="2B3C1135"/>
    <w:rsid w:val="2B404781"/>
    <w:rsid w:val="2B437463"/>
    <w:rsid w:val="2B457FE9"/>
    <w:rsid w:val="2B4F70BA"/>
    <w:rsid w:val="2B5244B4"/>
    <w:rsid w:val="2B593A95"/>
    <w:rsid w:val="2B603075"/>
    <w:rsid w:val="2B683CD8"/>
    <w:rsid w:val="2B6C37C8"/>
    <w:rsid w:val="2B6D7540"/>
    <w:rsid w:val="2B7807EE"/>
    <w:rsid w:val="2B794137"/>
    <w:rsid w:val="2B852ADC"/>
    <w:rsid w:val="2B856638"/>
    <w:rsid w:val="2B8723B0"/>
    <w:rsid w:val="2BB673E4"/>
    <w:rsid w:val="2BBF00EC"/>
    <w:rsid w:val="2BC37CFD"/>
    <w:rsid w:val="2BCC24B9"/>
    <w:rsid w:val="2BD5237F"/>
    <w:rsid w:val="2BE536CE"/>
    <w:rsid w:val="2BE758D9"/>
    <w:rsid w:val="2BE961B4"/>
    <w:rsid w:val="2BEE242F"/>
    <w:rsid w:val="2BEF7F55"/>
    <w:rsid w:val="2BFA78E0"/>
    <w:rsid w:val="2C09049E"/>
    <w:rsid w:val="2C0A653C"/>
    <w:rsid w:val="2C153E60"/>
    <w:rsid w:val="2C191F85"/>
    <w:rsid w:val="2C365B84"/>
    <w:rsid w:val="2C3E47B1"/>
    <w:rsid w:val="2C46307E"/>
    <w:rsid w:val="2C4B162F"/>
    <w:rsid w:val="2C4E5E4B"/>
    <w:rsid w:val="2C631A05"/>
    <w:rsid w:val="2C7A0167"/>
    <w:rsid w:val="2C931228"/>
    <w:rsid w:val="2C985B8A"/>
    <w:rsid w:val="2C9C1E8B"/>
    <w:rsid w:val="2C9C632F"/>
    <w:rsid w:val="2C9F3CA1"/>
    <w:rsid w:val="2CA60F5C"/>
    <w:rsid w:val="2CB371D5"/>
    <w:rsid w:val="2CD31625"/>
    <w:rsid w:val="2CE028C6"/>
    <w:rsid w:val="2CE82D6F"/>
    <w:rsid w:val="2CED0939"/>
    <w:rsid w:val="2CF75313"/>
    <w:rsid w:val="2CFC5020"/>
    <w:rsid w:val="2D140E5E"/>
    <w:rsid w:val="2D1B36F8"/>
    <w:rsid w:val="2D287BC3"/>
    <w:rsid w:val="2D2F71A3"/>
    <w:rsid w:val="2D343236"/>
    <w:rsid w:val="2D485B6F"/>
    <w:rsid w:val="2D4C4AC2"/>
    <w:rsid w:val="2D4F281F"/>
    <w:rsid w:val="2D517119"/>
    <w:rsid w:val="2D524C40"/>
    <w:rsid w:val="2D686211"/>
    <w:rsid w:val="2D6A3D37"/>
    <w:rsid w:val="2D7E5A35"/>
    <w:rsid w:val="2D8E211C"/>
    <w:rsid w:val="2D92328E"/>
    <w:rsid w:val="2D99461C"/>
    <w:rsid w:val="2DA134D1"/>
    <w:rsid w:val="2DB43204"/>
    <w:rsid w:val="2DC409E2"/>
    <w:rsid w:val="2DD15014"/>
    <w:rsid w:val="2DE2019D"/>
    <w:rsid w:val="2DF72DE4"/>
    <w:rsid w:val="2E0220AF"/>
    <w:rsid w:val="2E0C4DEE"/>
    <w:rsid w:val="2E3D585B"/>
    <w:rsid w:val="2E483EDC"/>
    <w:rsid w:val="2E4B082A"/>
    <w:rsid w:val="2E4C78E1"/>
    <w:rsid w:val="2E4E3659"/>
    <w:rsid w:val="2E552C39"/>
    <w:rsid w:val="2E5D4E86"/>
    <w:rsid w:val="2E5D790B"/>
    <w:rsid w:val="2E6B020F"/>
    <w:rsid w:val="2E7035CF"/>
    <w:rsid w:val="2E7F1A64"/>
    <w:rsid w:val="2E8928E3"/>
    <w:rsid w:val="2E9A3B12"/>
    <w:rsid w:val="2E9A3C18"/>
    <w:rsid w:val="2EBB0FEE"/>
    <w:rsid w:val="2EC15BD9"/>
    <w:rsid w:val="2EC63002"/>
    <w:rsid w:val="2ED10AFD"/>
    <w:rsid w:val="2EF266DA"/>
    <w:rsid w:val="2EFC4E63"/>
    <w:rsid w:val="2F0106CB"/>
    <w:rsid w:val="2F0A6B38"/>
    <w:rsid w:val="2F125CDF"/>
    <w:rsid w:val="2F154177"/>
    <w:rsid w:val="2F25260C"/>
    <w:rsid w:val="2F3960B7"/>
    <w:rsid w:val="2F5A5701"/>
    <w:rsid w:val="2F697F69"/>
    <w:rsid w:val="2F762E67"/>
    <w:rsid w:val="2F81180C"/>
    <w:rsid w:val="2F8161F0"/>
    <w:rsid w:val="2F8310E0"/>
    <w:rsid w:val="2F8B36ED"/>
    <w:rsid w:val="2F946CCB"/>
    <w:rsid w:val="2FA572A9"/>
    <w:rsid w:val="2FB254A3"/>
    <w:rsid w:val="2FC610F6"/>
    <w:rsid w:val="2FC75471"/>
    <w:rsid w:val="2FCC2A87"/>
    <w:rsid w:val="2FCF0858"/>
    <w:rsid w:val="2FD25781"/>
    <w:rsid w:val="2FD91648"/>
    <w:rsid w:val="2FDD4C94"/>
    <w:rsid w:val="2FE9188B"/>
    <w:rsid w:val="2FEF2C1A"/>
    <w:rsid w:val="2FFD7934"/>
    <w:rsid w:val="30055F99"/>
    <w:rsid w:val="300F0BC6"/>
    <w:rsid w:val="30112B90"/>
    <w:rsid w:val="30161F54"/>
    <w:rsid w:val="302503E9"/>
    <w:rsid w:val="3038011D"/>
    <w:rsid w:val="30395C43"/>
    <w:rsid w:val="30403475"/>
    <w:rsid w:val="304F5466"/>
    <w:rsid w:val="30542A7D"/>
    <w:rsid w:val="305B02AF"/>
    <w:rsid w:val="305C74BB"/>
    <w:rsid w:val="30670A02"/>
    <w:rsid w:val="30733ACD"/>
    <w:rsid w:val="307F7AFA"/>
    <w:rsid w:val="308570DA"/>
    <w:rsid w:val="308C3862"/>
    <w:rsid w:val="30913CD1"/>
    <w:rsid w:val="309379D8"/>
    <w:rsid w:val="30A270F7"/>
    <w:rsid w:val="30B023A9"/>
    <w:rsid w:val="30B579BF"/>
    <w:rsid w:val="30CE6CD3"/>
    <w:rsid w:val="30DC319E"/>
    <w:rsid w:val="30DD6F16"/>
    <w:rsid w:val="30DF1478"/>
    <w:rsid w:val="30E16A06"/>
    <w:rsid w:val="30E738F1"/>
    <w:rsid w:val="30EB33E1"/>
    <w:rsid w:val="30EC586F"/>
    <w:rsid w:val="30F304E8"/>
    <w:rsid w:val="30F54260"/>
    <w:rsid w:val="31012C04"/>
    <w:rsid w:val="3106646D"/>
    <w:rsid w:val="31126BC0"/>
    <w:rsid w:val="311346E6"/>
    <w:rsid w:val="311C1228"/>
    <w:rsid w:val="3148438F"/>
    <w:rsid w:val="3152520E"/>
    <w:rsid w:val="3166515D"/>
    <w:rsid w:val="31772EC7"/>
    <w:rsid w:val="318C4BC4"/>
    <w:rsid w:val="318D26EA"/>
    <w:rsid w:val="318D4498"/>
    <w:rsid w:val="319B054E"/>
    <w:rsid w:val="319C6071"/>
    <w:rsid w:val="31A517E2"/>
    <w:rsid w:val="31A737AC"/>
    <w:rsid w:val="31A82D30"/>
    <w:rsid w:val="31AC537E"/>
    <w:rsid w:val="31B25CAD"/>
    <w:rsid w:val="31B73AC6"/>
    <w:rsid w:val="31D40319"/>
    <w:rsid w:val="31DB3455"/>
    <w:rsid w:val="31E3679B"/>
    <w:rsid w:val="31E732FD"/>
    <w:rsid w:val="31ED3189"/>
    <w:rsid w:val="31F462C5"/>
    <w:rsid w:val="32081D71"/>
    <w:rsid w:val="32116E77"/>
    <w:rsid w:val="32140715"/>
    <w:rsid w:val="321C75CA"/>
    <w:rsid w:val="321E3342"/>
    <w:rsid w:val="322A7F39"/>
    <w:rsid w:val="32335040"/>
    <w:rsid w:val="32517576"/>
    <w:rsid w:val="3260395B"/>
    <w:rsid w:val="32827D75"/>
    <w:rsid w:val="328A09D8"/>
    <w:rsid w:val="328B4E7C"/>
    <w:rsid w:val="32994C8F"/>
    <w:rsid w:val="32A001FB"/>
    <w:rsid w:val="32A61CB5"/>
    <w:rsid w:val="32BA306B"/>
    <w:rsid w:val="32BE5C2C"/>
    <w:rsid w:val="32BF0681"/>
    <w:rsid w:val="32E97DF4"/>
    <w:rsid w:val="32EF2C26"/>
    <w:rsid w:val="32F522F5"/>
    <w:rsid w:val="32FB6478"/>
    <w:rsid w:val="32FD11AA"/>
    <w:rsid w:val="32FF13C6"/>
    <w:rsid w:val="330B7D6A"/>
    <w:rsid w:val="331F55C4"/>
    <w:rsid w:val="33233306"/>
    <w:rsid w:val="33244988"/>
    <w:rsid w:val="33253A0C"/>
    <w:rsid w:val="33263B3F"/>
    <w:rsid w:val="33294694"/>
    <w:rsid w:val="333170A5"/>
    <w:rsid w:val="333C43C8"/>
    <w:rsid w:val="333F7A14"/>
    <w:rsid w:val="334219C7"/>
    <w:rsid w:val="33446DD8"/>
    <w:rsid w:val="336963EB"/>
    <w:rsid w:val="33816EEB"/>
    <w:rsid w:val="3392223A"/>
    <w:rsid w:val="33955886"/>
    <w:rsid w:val="339733AC"/>
    <w:rsid w:val="339A10EE"/>
    <w:rsid w:val="33A855B9"/>
    <w:rsid w:val="33AB6E58"/>
    <w:rsid w:val="33AD7074"/>
    <w:rsid w:val="33BE302F"/>
    <w:rsid w:val="33CB1178"/>
    <w:rsid w:val="33DDAB97"/>
    <w:rsid w:val="33E505BB"/>
    <w:rsid w:val="33EB55CD"/>
    <w:rsid w:val="33EC4C02"/>
    <w:rsid w:val="33ED121E"/>
    <w:rsid w:val="34076784"/>
    <w:rsid w:val="340D2360"/>
    <w:rsid w:val="3410665D"/>
    <w:rsid w:val="34211214"/>
    <w:rsid w:val="34264730"/>
    <w:rsid w:val="342E63AB"/>
    <w:rsid w:val="343520A9"/>
    <w:rsid w:val="343969A2"/>
    <w:rsid w:val="343B01DB"/>
    <w:rsid w:val="343B467F"/>
    <w:rsid w:val="343E5F1E"/>
    <w:rsid w:val="344A041F"/>
    <w:rsid w:val="345067A3"/>
    <w:rsid w:val="3454129D"/>
    <w:rsid w:val="345B6AD0"/>
    <w:rsid w:val="346433A8"/>
    <w:rsid w:val="34645984"/>
    <w:rsid w:val="34950E68"/>
    <w:rsid w:val="34986E94"/>
    <w:rsid w:val="34AF62C9"/>
    <w:rsid w:val="34BF5C85"/>
    <w:rsid w:val="34CB4388"/>
    <w:rsid w:val="34D4239F"/>
    <w:rsid w:val="34D522FE"/>
    <w:rsid w:val="34E61774"/>
    <w:rsid w:val="34E73EBF"/>
    <w:rsid w:val="34EE16F2"/>
    <w:rsid w:val="34FA6E12"/>
    <w:rsid w:val="3502780C"/>
    <w:rsid w:val="35101668"/>
    <w:rsid w:val="35156C7E"/>
    <w:rsid w:val="352769B2"/>
    <w:rsid w:val="352E5F92"/>
    <w:rsid w:val="3538471B"/>
    <w:rsid w:val="353E4427"/>
    <w:rsid w:val="353F3CFB"/>
    <w:rsid w:val="35523A2F"/>
    <w:rsid w:val="355754E9"/>
    <w:rsid w:val="35702107"/>
    <w:rsid w:val="357065AB"/>
    <w:rsid w:val="357240D1"/>
    <w:rsid w:val="35814314"/>
    <w:rsid w:val="358856A2"/>
    <w:rsid w:val="358A766C"/>
    <w:rsid w:val="358B5193"/>
    <w:rsid w:val="358D0F0B"/>
    <w:rsid w:val="358D5588"/>
    <w:rsid w:val="359978AF"/>
    <w:rsid w:val="359D6D3A"/>
    <w:rsid w:val="35AD5109"/>
    <w:rsid w:val="35C16E06"/>
    <w:rsid w:val="35C54A48"/>
    <w:rsid w:val="35DD060C"/>
    <w:rsid w:val="35DE3514"/>
    <w:rsid w:val="35DE62C0"/>
    <w:rsid w:val="35E36D7D"/>
    <w:rsid w:val="35F26FC0"/>
    <w:rsid w:val="360B4FFE"/>
    <w:rsid w:val="363A3B40"/>
    <w:rsid w:val="36401AD9"/>
    <w:rsid w:val="36486BE0"/>
    <w:rsid w:val="36511F38"/>
    <w:rsid w:val="365302AE"/>
    <w:rsid w:val="365437D6"/>
    <w:rsid w:val="36607A0A"/>
    <w:rsid w:val="366E227C"/>
    <w:rsid w:val="366F2E0D"/>
    <w:rsid w:val="3679148F"/>
    <w:rsid w:val="367B6A5C"/>
    <w:rsid w:val="369B31B3"/>
    <w:rsid w:val="36A74ADA"/>
    <w:rsid w:val="36AD60D5"/>
    <w:rsid w:val="36B224F9"/>
    <w:rsid w:val="36BD75CE"/>
    <w:rsid w:val="36C941C4"/>
    <w:rsid w:val="36CC15BF"/>
    <w:rsid w:val="36E032BC"/>
    <w:rsid w:val="36E56B24"/>
    <w:rsid w:val="36E903C3"/>
    <w:rsid w:val="36EC0CC9"/>
    <w:rsid w:val="36EEC313"/>
    <w:rsid w:val="370A4574"/>
    <w:rsid w:val="371F3DE4"/>
    <w:rsid w:val="372431A9"/>
    <w:rsid w:val="373A6E70"/>
    <w:rsid w:val="373F410B"/>
    <w:rsid w:val="37450DA6"/>
    <w:rsid w:val="375810A4"/>
    <w:rsid w:val="375A6BCB"/>
    <w:rsid w:val="375E41CE"/>
    <w:rsid w:val="3768578B"/>
    <w:rsid w:val="376B0DD8"/>
    <w:rsid w:val="376D0FF4"/>
    <w:rsid w:val="377D6D5D"/>
    <w:rsid w:val="377E4FAF"/>
    <w:rsid w:val="379C5435"/>
    <w:rsid w:val="37A161FF"/>
    <w:rsid w:val="37AB5678"/>
    <w:rsid w:val="37AF33BA"/>
    <w:rsid w:val="37CD55EE"/>
    <w:rsid w:val="37D3697D"/>
    <w:rsid w:val="37D90437"/>
    <w:rsid w:val="37DE5A4E"/>
    <w:rsid w:val="37E82428"/>
    <w:rsid w:val="37EE7094"/>
    <w:rsid w:val="37F708BD"/>
    <w:rsid w:val="3801798E"/>
    <w:rsid w:val="38163439"/>
    <w:rsid w:val="381A45AC"/>
    <w:rsid w:val="381C47C8"/>
    <w:rsid w:val="381E0825"/>
    <w:rsid w:val="381F1BC2"/>
    <w:rsid w:val="382316B2"/>
    <w:rsid w:val="382408DF"/>
    <w:rsid w:val="38262F51"/>
    <w:rsid w:val="38296C89"/>
    <w:rsid w:val="382B0567"/>
    <w:rsid w:val="383002EB"/>
    <w:rsid w:val="383B2EA0"/>
    <w:rsid w:val="38451629"/>
    <w:rsid w:val="38586797"/>
    <w:rsid w:val="385B0E4C"/>
    <w:rsid w:val="386661FC"/>
    <w:rsid w:val="388A7983"/>
    <w:rsid w:val="389820A0"/>
    <w:rsid w:val="38A87E0A"/>
    <w:rsid w:val="38B62526"/>
    <w:rsid w:val="38BC0149"/>
    <w:rsid w:val="38C06F01"/>
    <w:rsid w:val="38C509BB"/>
    <w:rsid w:val="38D87D1C"/>
    <w:rsid w:val="38DE55D9"/>
    <w:rsid w:val="38EC7CF6"/>
    <w:rsid w:val="38F372D7"/>
    <w:rsid w:val="39070FD4"/>
    <w:rsid w:val="390A63CE"/>
    <w:rsid w:val="3911775D"/>
    <w:rsid w:val="392C27E9"/>
    <w:rsid w:val="393618B9"/>
    <w:rsid w:val="393873DF"/>
    <w:rsid w:val="39551D3F"/>
    <w:rsid w:val="3958538C"/>
    <w:rsid w:val="39636459"/>
    <w:rsid w:val="39643D30"/>
    <w:rsid w:val="396843AB"/>
    <w:rsid w:val="39691347"/>
    <w:rsid w:val="396957EB"/>
    <w:rsid w:val="396B7F6C"/>
    <w:rsid w:val="39755F3E"/>
    <w:rsid w:val="39761CB6"/>
    <w:rsid w:val="39777F08"/>
    <w:rsid w:val="3986639D"/>
    <w:rsid w:val="39893797"/>
    <w:rsid w:val="399860D0"/>
    <w:rsid w:val="39A93E39"/>
    <w:rsid w:val="39AC56D7"/>
    <w:rsid w:val="39B12CEE"/>
    <w:rsid w:val="39B417A9"/>
    <w:rsid w:val="39BF18AF"/>
    <w:rsid w:val="39CD7B28"/>
    <w:rsid w:val="39FC5695"/>
    <w:rsid w:val="3A006D8E"/>
    <w:rsid w:val="3A045513"/>
    <w:rsid w:val="3A137505"/>
    <w:rsid w:val="3A1C73C2"/>
    <w:rsid w:val="3A2636DC"/>
    <w:rsid w:val="3A3651E5"/>
    <w:rsid w:val="3A410516"/>
    <w:rsid w:val="3A4D6EBA"/>
    <w:rsid w:val="3A5169AB"/>
    <w:rsid w:val="3A56234B"/>
    <w:rsid w:val="3A744481"/>
    <w:rsid w:val="3A802DEC"/>
    <w:rsid w:val="3A8C7BEF"/>
    <w:rsid w:val="3A906246"/>
    <w:rsid w:val="3A970136"/>
    <w:rsid w:val="3AC32CD9"/>
    <w:rsid w:val="3AD1189A"/>
    <w:rsid w:val="3AD35612"/>
    <w:rsid w:val="3AD71050"/>
    <w:rsid w:val="3ADA3168"/>
    <w:rsid w:val="3ADB379F"/>
    <w:rsid w:val="3ADD023E"/>
    <w:rsid w:val="3AE35129"/>
    <w:rsid w:val="3AE570F3"/>
    <w:rsid w:val="3AF17CC7"/>
    <w:rsid w:val="3AF50AFC"/>
    <w:rsid w:val="3B11613A"/>
    <w:rsid w:val="3B163750"/>
    <w:rsid w:val="3B196D9D"/>
    <w:rsid w:val="3B2349B7"/>
    <w:rsid w:val="3B261813"/>
    <w:rsid w:val="3B3D35C6"/>
    <w:rsid w:val="3B3F2CA7"/>
    <w:rsid w:val="3B616CFF"/>
    <w:rsid w:val="3B6224F2"/>
    <w:rsid w:val="3B6259F6"/>
    <w:rsid w:val="3B6C511E"/>
    <w:rsid w:val="3B7010B2"/>
    <w:rsid w:val="3B714E2B"/>
    <w:rsid w:val="3B74226D"/>
    <w:rsid w:val="3B773172"/>
    <w:rsid w:val="3B781D15"/>
    <w:rsid w:val="3B8B7C9A"/>
    <w:rsid w:val="3B914B85"/>
    <w:rsid w:val="3B974891"/>
    <w:rsid w:val="3B976654"/>
    <w:rsid w:val="3BBA0580"/>
    <w:rsid w:val="3BC01EFC"/>
    <w:rsid w:val="3BC12C0B"/>
    <w:rsid w:val="3BCA786A"/>
    <w:rsid w:val="3BD31E2F"/>
    <w:rsid w:val="3BF15831"/>
    <w:rsid w:val="3BFA097C"/>
    <w:rsid w:val="3BFA4E20"/>
    <w:rsid w:val="3C105946"/>
    <w:rsid w:val="3C1E0B0E"/>
    <w:rsid w:val="3C3C7EA1"/>
    <w:rsid w:val="3C461E13"/>
    <w:rsid w:val="3C471448"/>
    <w:rsid w:val="3C4A1903"/>
    <w:rsid w:val="3C4C0A09"/>
    <w:rsid w:val="3C5F759A"/>
    <w:rsid w:val="3C681D8A"/>
    <w:rsid w:val="3C6C525A"/>
    <w:rsid w:val="3C746980"/>
    <w:rsid w:val="3C7B2567"/>
    <w:rsid w:val="3CAA05F4"/>
    <w:rsid w:val="3CB925E5"/>
    <w:rsid w:val="3CC316B6"/>
    <w:rsid w:val="3CC35212"/>
    <w:rsid w:val="3CCE23CB"/>
    <w:rsid w:val="3CD17D17"/>
    <w:rsid w:val="3CDD2778"/>
    <w:rsid w:val="3CEA09F1"/>
    <w:rsid w:val="3CF74EBC"/>
    <w:rsid w:val="3D141F11"/>
    <w:rsid w:val="3D145A6E"/>
    <w:rsid w:val="3D1617E6"/>
    <w:rsid w:val="3D271C45"/>
    <w:rsid w:val="3D3C7F39"/>
    <w:rsid w:val="3D440F09"/>
    <w:rsid w:val="3D4504A0"/>
    <w:rsid w:val="3D4D0CA1"/>
    <w:rsid w:val="3D5347E8"/>
    <w:rsid w:val="3D5567B2"/>
    <w:rsid w:val="3D583BAC"/>
    <w:rsid w:val="3D65276D"/>
    <w:rsid w:val="3D733273"/>
    <w:rsid w:val="3D8175A7"/>
    <w:rsid w:val="3D8734BB"/>
    <w:rsid w:val="3D891FB8"/>
    <w:rsid w:val="3D9A11D4"/>
    <w:rsid w:val="3DA16D89"/>
    <w:rsid w:val="3DA364BE"/>
    <w:rsid w:val="3DB334D8"/>
    <w:rsid w:val="3DC96858"/>
    <w:rsid w:val="3DCB0822"/>
    <w:rsid w:val="3DD1570D"/>
    <w:rsid w:val="3DD84CED"/>
    <w:rsid w:val="3DDF42CD"/>
    <w:rsid w:val="3DE041CB"/>
    <w:rsid w:val="3DED69EA"/>
    <w:rsid w:val="3DFC2FDE"/>
    <w:rsid w:val="3DFD6502"/>
    <w:rsid w:val="3E043D34"/>
    <w:rsid w:val="3E0D48F6"/>
    <w:rsid w:val="3E1868B4"/>
    <w:rsid w:val="3E377251"/>
    <w:rsid w:val="3E42664B"/>
    <w:rsid w:val="3E497999"/>
    <w:rsid w:val="3E5325C6"/>
    <w:rsid w:val="3E546A69"/>
    <w:rsid w:val="3E5A7334"/>
    <w:rsid w:val="3E5D6110"/>
    <w:rsid w:val="3E66054B"/>
    <w:rsid w:val="3E7B5D6B"/>
    <w:rsid w:val="3E843E66"/>
    <w:rsid w:val="3E8F51FE"/>
    <w:rsid w:val="3E926F87"/>
    <w:rsid w:val="3E9A59DE"/>
    <w:rsid w:val="3EAD1CD6"/>
    <w:rsid w:val="3EAF4836"/>
    <w:rsid w:val="3EC33DFA"/>
    <w:rsid w:val="3ED731F7"/>
    <w:rsid w:val="3EEA117C"/>
    <w:rsid w:val="3EF695FE"/>
    <w:rsid w:val="3F060E16"/>
    <w:rsid w:val="3F1D1096"/>
    <w:rsid w:val="3F261A88"/>
    <w:rsid w:val="3F2C1AE6"/>
    <w:rsid w:val="3F2F0234"/>
    <w:rsid w:val="3F520ACF"/>
    <w:rsid w:val="3F6363FE"/>
    <w:rsid w:val="3F6E5909"/>
    <w:rsid w:val="3F6F39F1"/>
    <w:rsid w:val="3F756B8F"/>
    <w:rsid w:val="3F7B6278"/>
    <w:rsid w:val="3F95482B"/>
    <w:rsid w:val="3FAC01DF"/>
    <w:rsid w:val="3FB35A12"/>
    <w:rsid w:val="3FBD419A"/>
    <w:rsid w:val="3FC1012F"/>
    <w:rsid w:val="3FC714BD"/>
    <w:rsid w:val="400C3FD4"/>
    <w:rsid w:val="400D3374"/>
    <w:rsid w:val="4019356B"/>
    <w:rsid w:val="401A339B"/>
    <w:rsid w:val="40271F5C"/>
    <w:rsid w:val="402944ED"/>
    <w:rsid w:val="40592157"/>
    <w:rsid w:val="405C1C05"/>
    <w:rsid w:val="406D5BC1"/>
    <w:rsid w:val="406E1939"/>
    <w:rsid w:val="406E1CAE"/>
    <w:rsid w:val="4081539D"/>
    <w:rsid w:val="40860A30"/>
    <w:rsid w:val="40985A3E"/>
    <w:rsid w:val="409A272E"/>
    <w:rsid w:val="40A0133A"/>
    <w:rsid w:val="40A634B2"/>
    <w:rsid w:val="40B437EF"/>
    <w:rsid w:val="40C17CBA"/>
    <w:rsid w:val="40C31A53"/>
    <w:rsid w:val="40D0614F"/>
    <w:rsid w:val="40E35E83"/>
    <w:rsid w:val="40E57E4D"/>
    <w:rsid w:val="40E85247"/>
    <w:rsid w:val="40EB11DB"/>
    <w:rsid w:val="40F7192E"/>
    <w:rsid w:val="40FF545D"/>
    <w:rsid w:val="410067C8"/>
    <w:rsid w:val="41015EE4"/>
    <w:rsid w:val="41032081"/>
    <w:rsid w:val="411B386E"/>
    <w:rsid w:val="412546ED"/>
    <w:rsid w:val="41265D6F"/>
    <w:rsid w:val="413973BD"/>
    <w:rsid w:val="413B5CBF"/>
    <w:rsid w:val="413E130B"/>
    <w:rsid w:val="414B31CA"/>
    <w:rsid w:val="41562AF9"/>
    <w:rsid w:val="41586871"/>
    <w:rsid w:val="41780CC1"/>
    <w:rsid w:val="417C1E33"/>
    <w:rsid w:val="418036D2"/>
    <w:rsid w:val="41847666"/>
    <w:rsid w:val="418D4040"/>
    <w:rsid w:val="418F0D2A"/>
    <w:rsid w:val="41986C6D"/>
    <w:rsid w:val="419E53BB"/>
    <w:rsid w:val="41AD023F"/>
    <w:rsid w:val="41BD0482"/>
    <w:rsid w:val="41BD4926"/>
    <w:rsid w:val="41C07F72"/>
    <w:rsid w:val="41D01505"/>
    <w:rsid w:val="41E9571B"/>
    <w:rsid w:val="41F850FE"/>
    <w:rsid w:val="41FB36A0"/>
    <w:rsid w:val="4205007B"/>
    <w:rsid w:val="422E137F"/>
    <w:rsid w:val="423F4EBB"/>
    <w:rsid w:val="4246491B"/>
    <w:rsid w:val="42474939"/>
    <w:rsid w:val="424C3C57"/>
    <w:rsid w:val="424E557E"/>
    <w:rsid w:val="42613503"/>
    <w:rsid w:val="42613FF3"/>
    <w:rsid w:val="42660D96"/>
    <w:rsid w:val="42667993"/>
    <w:rsid w:val="426B4382"/>
    <w:rsid w:val="42723962"/>
    <w:rsid w:val="42731488"/>
    <w:rsid w:val="42772D26"/>
    <w:rsid w:val="42786A9F"/>
    <w:rsid w:val="427D40B5"/>
    <w:rsid w:val="428667D2"/>
    <w:rsid w:val="4288714F"/>
    <w:rsid w:val="42976F25"/>
    <w:rsid w:val="429D02B3"/>
    <w:rsid w:val="42A60D98"/>
    <w:rsid w:val="42BE6BA7"/>
    <w:rsid w:val="42C34E0B"/>
    <w:rsid w:val="42CD1CE0"/>
    <w:rsid w:val="42E1381E"/>
    <w:rsid w:val="42ED6459"/>
    <w:rsid w:val="42F205FF"/>
    <w:rsid w:val="42FE58DD"/>
    <w:rsid w:val="43016A94"/>
    <w:rsid w:val="430F2F5F"/>
    <w:rsid w:val="43104F29"/>
    <w:rsid w:val="43174B3D"/>
    <w:rsid w:val="43236A0A"/>
    <w:rsid w:val="432A76B1"/>
    <w:rsid w:val="432B30AA"/>
    <w:rsid w:val="432B495E"/>
    <w:rsid w:val="432D5ADB"/>
    <w:rsid w:val="43344580"/>
    <w:rsid w:val="43370708"/>
    <w:rsid w:val="434075BC"/>
    <w:rsid w:val="434B790E"/>
    <w:rsid w:val="434B7D0F"/>
    <w:rsid w:val="43560B8E"/>
    <w:rsid w:val="4360274F"/>
    <w:rsid w:val="43707776"/>
    <w:rsid w:val="43715F0A"/>
    <w:rsid w:val="4379487C"/>
    <w:rsid w:val="43884ABF"/>
    <w:rsid w:val="438A0837"/>
    <w:rsid w:val="438A4CDB"/>
    <w:rsid w:val="43977AB6"/>
    <w:rsid w:val="43A3342B"/>
    <w:rsid w:val="43AA0EDA"/>
    <w:rsid w:val="43C65C90"/>
    <w:rsid w:val="43C77C27"/>
    <w:rsid w:val="43D321DE"/>
    <w:rsid w:val="43DE09EE"/>
    <w:rsid w:val="43F62371"/>
    <w:rsid w:val="43FE4D82"/>
    <w:rsid w:val="44002FAD"/>
    <w:rsid w:val="44020D16"/>
    <w:rsid w:val="441B5933"/>
    <w:rsid w:val="441D16AC"/>
    <w:rsid w:val="4427252A"/>
    <w:rsid w:val="44380293"/>
    <w:rsid w:val="445A2900"/>
    <w:rsid w:val="445F0B62"/>
    <w:rsid w:val="446A688F"/>
    <w:rsid w:val="446E0159"/>
    <w:rsid w:val="446E63AB"/>
    <w:rsid w:val="44823C05"/>
    <w:rsid w:val="448654A3"/>
    <w:rsid w:val="449101DD"/>
    <w:rsid w:val="449F0313"/>
    <w:rsid w:val="44AB4F09"/>
    <w:rsid w:val="44BA6EFA"/>
    <w:rsid w:val="44BF2763"/>
    <w:rsid w:val="44D53D34"/>
    <w:rsid w:val="44DE1391"/>
    <w:rsid w:val="44DF1057"/>
    <w:rsid w:val="44F87A23"/>
    <w:rsid w:val="45034D45"/>
    <w:rsid w:val="45151268"/>
    <w:rsid w:val="451B225C"/>
    <w:rsid w:val="451C7BB5"/>
    <w:rsid w:val="452410C9"/>
    <w:rsid w:val="45317DFB"/>
    <w:rsid w:val="45367649"/>
    <w:rsid w:val="45622B78"/>
    <w:rsid w:val="4568104C"/>
    <w:rsid w:val="456D3CE4"/>
    <w:rsid w:val="45763769"/>
    <w:rsid w:val="4577303D"/>
    <w:rsid w:val="4579042C"/>
    <w:rsid w:val="457B2B2E"/>
    <w:rsid w:val="457F0571"/>
    <w:rsid w:val="45851176"/>
    <w:rsid w:val="45863281"/>
    <w:rsid w:val="45905EAD"/>
    <w:rsid w:val="459704BE"/>
    <w:rsid w:val="459B24F4"/>
    <w:rsid w:val="459D4A40"/>
    <w:rsid w:val="45AA6F6F"/>
    <w:rsid w:val="45B147A1"/>
    <w:rsid w:val="45C63B94"/>
    <w:rsid w:val="45CA13BF"/>
    <w:rsid w:val="45DD7344"/>
    <w:rsid w:val="45E5269D"/>
    <w:rsid w:val="45ED3300"/>
    <w:rsid w:val="45ED50AE"/>
    <w:rsid w:val="45F621B4"/>
    <w:rsid w:val="45FC4A4F"/>
    <w:rsid w:val="46001285"/>
    <w:rsid w:val="46050649"/>
    <w:rsid w:val="46081EE8"/>
    <w:rsid w:val="460C5E7C"/>
    <w:rsid w:val="460E39A2"/>
    <w:rsid w:val="460E7DA5"/>
    <w:rsid w:val="461A0599"/>
    <w:rsid w:val="46250CEB"/>
    <w:rsid w:val="462C3E28"/>
    <w:rsid w:val="462E7BA0"/>
    <w:rsid w:val="462F1B6A"/>
    <w:rsid w:val="46326F64"/>
    <w:rsid w:val="46422483"/>
    <w:rsid w:val="46445615"/>
    <w:rsid w:val="464473C4"/>
    <w:rsid w:val="4646138E"/>
    <w:rsid w:val="464B6EA4"/>
    <w:rsid w:val="464C0026"/>
    <w:rsid w:val="464C07A8"/>
    <w:rsid w:val="46517D32"/>
    <w:rsid w:val="4659254A"/>
    <w:rsid w:val="465B0637"/>
    <w:rsid w:val="465E3F0D"/>
    <w:rsid w:val="466060B3"/>
    <w:rsid w:val="466A16E6"/>
    <w:rsid w:val="466C06C8"/>
    <w:rsid w:val="46763D1E"/>
    <w:rsid w:val="46810B28"/>
    <w:rsid w:val="46893F2B"/>
    <w:rsid w:val="468A0B4E"/>
    <w:rsid w:val="469D5A1A"/>
    <w:rsid w:val="469F5CBE"/>
    <w:rsid w:val="46A14816"/>
    <w:rsid w:val="46A55988"/>
    <w:rsid w:val="46B04A59"/>
    <w:rsid w:val="46C16C66"/>
    <w:rsid w:val="46C4686E"/>
    <w:rsid w:val="46CB3641"/>
    <w:rsid w:val="46DC57DE"/>
    <w:rsid w:val="46E11615"/>
    <w:rsid w:val="46E464B1"/>
    <w:rsid w:val="46F56910"/>
    <w:rsid w:val="4732546E"/>
    <w:rsid w:val="474A6C5C"/>
    <w:rsid w:val="474B29D4"/>
    <w:rsid w:val="47637D1D"/>
    <w:rsid w:val="47777325"/>
    <w:rsid w:val="477B778F"/>
    <w:rsid w:val="478203EC"/>
    <w:rsid w:val="479B74B7"/>
    <w:rsid w:val="47B025FA"/>
    <w:rsid w:val="47B40579"/>
    <w:rsid w:val="47C562E2"/>
    <w:rsid w:val="47D14C87"/>
    <w:rsid w:val="47E349BA"/>
    <w:rsid w:val="47FE7A46"/>
    <w:rsid w:val="4809698F"/>
    <w:rsid w:val="4810535C"/>
    <w:rsid w:val="4811697D"/>
    <w:rsid w:val="48153C8D"/>
    <w:rsid w:val="481E1E96"/>
    <w:rsid w:val="48233009"/>
    <w:rsid w:val="482C010F"/>
    <w:rsid w:val="48413FDC"/>
    <w:rsid w:val="485D651B"/>
    <w:rsid w:val="487A3E25"/>
    <w:rsid w:val="488B5503"/>
    <w:rsid w:val="48937E21"/>
    <w:rsid w:val="489A0361"/>
    <w:rsid w:val="48AC1250"/>
    <w:rsid w:val="48AC2FFE"/>
    <w:rsid w:val="48B60321"/>
    <w:rsid w:val="48B819A3"/>
    <w:rsid w:val="48B94FF3"/>
    <w:rsid w:val="48BD16AF"/>
    <w:rsid w:val="48C52312"/>
    <w:rsid w:val="48C742DC"/>
    <w:rsid w:val="48D03190"/>
    <w:rsid w:val="48D569F9"/>
    <w:rsid w:val="48DF3E68"/>
    <w:rsid w:val="48E37AAB"/>
    <w:rsid w:val="48E44E8E"/>
    <w:rsid w:val="48E629B4"/>
    <w:rsid w:val="48E7672C"/>
    <w:rsid w:val="48EE7ABB"/>
    <w:rsid w:val="48F03833"/>
    <w:rsid w:val="48FD4B4C"/>
    <w:rsid w:val="490525B3"/>
    <w:rsid w:val="490A68E0"/>
    <w:rsid w:val="4910358D"/>
    <w:rsid w:val="491055FE"/>
    <w:rsid w:val="49117305"/>
    <w:rsid w:val="492359B6"/>
    <w:rsid w:val="492B6619"/>
    <w:rsid w:val="494B2817"/>
    <w:rsid w:val="4953791E"/>
    <w:rsid w:val="495518E8"/>
    <w:rsid w:val="495D254A"/>
    <w:rsid w:val="495F5B3E"/>
    <w:rsid w:val="49675177"/>
    <w:rsid w:val="496A2D5C"/>
    <w:rsid w:val="496F77D7"/>
    <w:rsid w:val="49731D6E"/>
    <w:rsid w:val="497654FD"/>
    <w:rsid w:val="497A75A0"/>
    <w:rsid w:val="49883A6B"/>
    <w:rsid w:val="49A95790"/>
    <w:rsid w:val="49AA39E1"/>
    <w:rsid w:val="49AB775A"/>
    <w:rsid w:val="49B04D70"/>
    <w:rsid w:val="49B1480B"/>
    <w:rsid w:val="49B64211"/>
    <w:rsid w:val="49BC1967"/>
    <w:rsid w:val="49C12AD9"/>
    <w:rsid w:val="49D15412"/>
    <w:rsid w:val="49D2118A"/>
    <w:rsid w:val="49D40A5E"/>
    <w:rsid w:val="49D93B4E"/>
    <w:rsid w:val="49D942C7"/>
    <w:rsid w:val="49E14F29"/>
    <w:rsid w:val="49E635A7"/>
    <w:rsid w:val="49F6167F"/>
    <w:rsid w:val="4A037596"/>
    <w:rsid w:val="4A05330E"/>
    <w:rsid w:val="4A064FA0"/>
    <w:rsid w:val="4A16615C"/>
    <w:rsid w:val="4A1C41B3"/>
    <w:rsid w:val="4A365275"/>
    <w:rsid w:val="4A3F3BEF"/>
    <w:rsid w:val="4A4424D7"/>
    <w:rsid w:val="4A4A1D68"/>
    <w:rsid w:val="4A510301"/>
    <w:rsid w:val="4A677B24"/>
    <w:rsid w:val="4A6A13C3"/>
    <w:rsid w:val="4A7E09CA"/>
    <w:rsid w:val="4A8561FD"/>
    <w:rsid w:val="4A9B332A"/>
    <w:rsid w:val="4AA85A47"/>
    <w:rsid w:val="4AB82D0F"/>
    <w:rsid w:val="4AB97C54"/>
    <w:rsid w:val="4ABB39CC"/>
    <w:rsid w:val="4ABF34BD"/>
    <w:rsid w:val="4AC42881"/>
    <w:rsid w:val="4AC477B5"/>
    <w:rsid w:val="4ACC7988"/>
    <w:rsid w:val="4ADA02F6"/>
    <w:rsid w:val="4AE7656F"/>
    <w:rsid w:val="4AE86B80"/>
    <w:rsid w:val="4AEB7664"/>
    <w:rsid w:val="4AF173EE"/>
    <w:rsid w:val="4AF56EDE"/>
    <w:rsid w:val="4AFD7C19"/>
    <w:rsid w:val="4B005BCD"/>
    <w:rsid w:val="4B0567D1"/>
    <w:rsid w:val="4B07755D"/>
    <w:rsid w:val="4B0C247A"/>
    <w:rsid w:val="4B155BCD"/>
    <w:rsid w:val="4B1A4B97"/>
    <w:rsid w:val="4B223A4B"/>
    <w:rsid w:val="4B236AAE"/>
    <w:rsid w:val="4B320132"/>
    <w:rsid w:val="4B3814C1"/>
    <w:rsid w:val="4B427C4A"/>
    <w:rsid w:val="4B4C0AC8"/>
    <w:rsid w:val="4B571947"/>
    <w:rsid w:val="4B5F6A4E"/>
    <w:rsid w:val="4B66323D"/>
    <w:rsid w:val="4B704048"/>
    <w:rsid w:val="4B707271"/>
    <w:rsid w:val="4B7B411C"/>
    <w:rsid w:val="4B840262"/>
    <w:rsid w:val="4B8457C6"/>
    <w:rsid w:val="4B86222C"/>
    <w:rsid w:val="4B863FDA"/>
    <w:rsid w:val="4B8A01B9"/>
    <w:rsid w:val="4B8B7843"/>
    <w:rsid w:val="4B8D7117"/>
    <w:rsid w:val="4B9739F7"/>
    <w:rsid w:val="4B983D0E"/>
    <w:rsid w:val="4B9B321A"/>
    <w:rsid w:val="4BAE52DF"/>
    <w:rsid w:val="4BAF3531"/>
    <w:rsid w:val="4BCF3BD3"/>
    <w:rsid w:val="4BE8259F"/>
    <w:rsid w:val="4BE86A43"/>
    <w:rsid w:val="4BEE2503"/>
    <w:rsid w:val="4BF4363A"/>
    <w:rsid w:val="4BFF5B3B"/>
    <w:rsid w:val="4C043151"/>
    <w:rsid w:val="4C147838"/>
    <w:rsid w:val="4C1635B0"/>
    <w:rsid w:val="4C1930A0"/>
    <w:rsid w:val="4C245A30"/>
    <w:rsid w:val="4C3954F1"/>
    <w:rsid w:val="4C4243A5"/>
    <w:rsid w:val="4C5B45D0"/>
    <w:rsid w:val="4C651E42"/>
    <w:rsid w:val="4C856040"/>
    <w:rsid w:val="4C9A5C67"/>
    <w:rsid w:val="4CAC7A71"/>
    <w:rsid w:val="4CB6685F"/>
    <w:rsid w:val="4CC367FE"/>
    <w:rsid w:val="4CCF550D"/>
    <w:rsid w:val="4CE03BBE"/>
    <w:rsid w:val="4CE90CC5"/>
    <w:rsid w:val="4CF83F29"/>
    <w:rsid w:val="4CFD02CC"/>
    <w:rsid w:val="4CFD651E"/>
    <w:rsid w:val="4D057181"/>
    <w:rsid w:val="4D077F3C"/>
    <w:rsid w:val="4D094EC3"/>
    <w:rsid w:val="4D0B7988"/>
    <w:rsid w:val="4D123355"/>
    <w:rsid w:val="4D221AE1"/>
    <w:rsid w:val="4D2A3B31"/>
    <w:rsid w:val="4D2A6BE7"/>
    <w:rsid w:val="4D312C52"/>
    <w:rsid w:val="4D3857A8"/>
    <w:rsid w:val="4D422183"/>
    <w:rsid w:val="4D4C41DB"/>
    <w:rsid w:val="4D5048A0"/>
    <w:rsid w:val="4D510618"/>
    <w:rsid w:val="4D616AAD"/>
    <w:rsid w:val="4D704F42"/>
    <w:rsid w:val="4D78651E"/>
    <w:rsid w:val="4D862070"/>
    <w:rsid w:val="4D877614"/>
    <w:rsid w:val="4D8973D9"/>
    <w:rsid w:val="4D905305"/>
    <w:rsid w:val="4D964A72"/>
    <w:rsid w:val="4D9C1254"/>
    <w:rsid w:val="4DA4699A"/>
    <w:rsid w:val="4DBC1F35"/>
    <w:rsid w:val="4DBE3EFF"/>
    <w:rsid w:val="4DC332C4"/>
    <w:rsid w:val="4DD03C33"/>
    <w:rsid w:val="4DE14B44"/>
    <w:rsid w:val="4DE60D60"/>
    <w:rsid w:val="4DF94F37"/>
    <w:rsid w:val="4DFA0CB0"/>
    <w:rsid w:val="4E0B6A19"/>
    <w:rsid w:val="4E165AE9"/>
    <w:rsid w:val="4E28581D"/>
    <w:rsid w:val="4E2E44B5"/>
    <w:rsid w:val="4E612ADD"/>
    <w:rsid w:val="4E793892"/>
    <w:rsid w:val="4E800872"/>
    <w:rsid w:val="4E8567CB"/>
    <w:rsid w:val="4E881E17"/>
    <w:rsid w:val="4E9E77F7"/>
    <w:rsid w:val="4EA529C9"/>
    <w:rsid w:val="4EB2452C"/>
    <w:rsid w:val="4EC569ED"/>
    <w:rsid w:val="4ED50EA1"/>
    <w:rsid w:val="4ED82BCE"/>
    <w:rsid w:val="4ED92673"/>
    <w:rsid w:val="4EDD2163"/>
    <w:rsid w:val="4EDD6180"/>
    <w:rsid w:val="4EE74D90"/>
    <w:rsid w:val="4EEC050C"/>
    <w:rsid w:val="4EEF00E8"/>
    <w:rsid w:val="4F0E4A13"/>
    <w:rsid w:val="4F104EC3"/>
    <w:rsid w:val="4F1B2C8C"/>
    <w:rsid w:val="4F240A83"/>
    <w:rsid w:val="4F2B5A6B"/>
    <w:rsid w:val="4F361873"/>
    <w:rsid w:val="4F391364"/>
    <w:rsid w:val="4F3D2C02"/>
    <w:rsid w:val="4F47354A"/>
    <w:rsid w:val="4F495A4B"/>
    <w:rsid w:val="4F6E725F"/>
    <w:rsid w:val="4F730D1A"/>
    <w:rsid w:val="4F822D0B"/>
    <w:rsid w:val="4F895E47"/>
    <w:rsid w:val="4F911C54"/>
    <w:rsid w:val="4F9A44F8"/>
    <w:rsid w:val="4F9B5B7A"/>
    <w:rsid w:val="4FAE297B"/>
    <w:rsid w:val="4FB82BD0"/>
    <w:rsid w:val="4FD07F1A"/>
    <w:rsid w:val="4FDA2B47"/>
    <w:rsid w:val="4FE625E0"/>
    <w:rsid w:val="4FF10AAF"/>
    <w:rsid w:val="50084580"/>
    <w:rsid w:val="500951DA"/>
    <w:rsid w:val="500D481B"/>
    <w:rsid w:val="50211ADF"/>
    <w:rsid w:val="5021480F"/>
    <w:rsid w:val="50355FCF"/>
    <w:rsid w:val="5035610E"/>
    <w:rsid w:val="50483F54"/>
    <w:rsid w:val="504F52E3"/>
    <w:rsid w:val="50697A27"/>
    <w:rsid w:val="50854860"/>
    <w:rsid w:val="50947199"/>
    <w:rsid w:val="50962ECB"/>
    <w:rsid w:val="50964CC0"/>
    <w:rsid w:val="50A42E38"/>
    <w:rsid w:val="50A4577F"/>
    <w:rsid w:val="50A76ECD"/>
    <w:rsid w:val="50AB003F"/>
    <w:rsid w:val="50B73D1F"/>
    <w:rsid w:val="50BD5BC9"/>
    <w:rsid w:val="50BE4F65"/>
    <w:rsid w:val="50C11EEE"/>
    <w:rsid w:val="50C3182D"/>
    <w:rsid w:val="50E0418D"/>
    <w:rsid w:val="50E27F05"/>
    <w:rsid w:val="50E97CFC"/>
    <w:rsid w:val="50F25C6E"/>
    <w:rsid w:val="50F96FFC"/>
    <w:rsid w:val="50FA4028"/>
    <w:rsid w:val="51053BF3"/>
    <w:rsid w:val="510A120A"/>
    <w:rsid w:val="510A2FB8"/>
    <w:rsid w:val="510D65B7"/>
    <w:rsid w:val="511157AB"/>
    <w:rsid w:val="51145BE4"/>
    <w:rsid w:val="511D6E11"/>
    <w:rsid w:val="511E2B79"/>
    <w:rsid w:val="511E4CB5"/>
    <w:rsid w:val="51220301"/>
    <w:rsid w:val="51387B25"/>
    <w:rsid w:val="5142540C"/>
    <w:rsid w:val="514566E6"/>
    <w:rsid w:val="51477D68"/>
    <w:rsid w:val="515406D7"/>
    <w:rsid w:val="51583D23"/>
    <w:rsid w:val="518832C8"/>
    <w:rsid w:val="518965D2"/>
    <w:rsid w:val="51954F77"/>
    <w:rsid w:val="51A0432A"/>
    <w:rsid w:val="51A76A58"/>
    <w:rsid w:val="51A86090"/>
    <w:rsid w:val="51B15B29"/>
    <w:rsid w:val="51B7396D"/>
    <w:rsid w:val="51D57A6A"/>
    <w:rsid w:val="51F53C68"/>
    <w:rsid w:val="520774F7"/>
    <w:rsid w:val="5208399B"/>
    <w:rsid w:val="520E6201"/>
    <w:rsid w:val="521A1920"/>
    <w:rsid w:val="52263E21"/>
    <w:rsid w:val="522E4CC3"/>
    <w:rsid w:val="523302EC"/>
    <w:rsid w:val="52344790"/>
    <w:rsid w:val="523D116B"/>
    <w:rsid w:val="5244713B"/>
    <w:rsid w:val="52615633"/>
    <w:rsid w:val="527B23BF"/>
    <w:rsid w:val="52977FD4"/>
    <w:rsid w:val="529F276A"/>
    <w:rsid w:val="52A25790"/>
    <w:rsid w:val="52A317F4"/>
    <w:rsid w:val="52A35472"/>
    <w:rsid w:val="52A96B6F"/>
    <w:rsid w:val="52B45975"/>
    <w:rsid w:val="52B4767F"/>
    <w:rsid w:val="52D94AA4"/>
    <w:rsid w:val="52EA3A62"/>
    <w:rsid w:val="52F50BB8"/>
    <w:rsid w:val="530263F1"/>
    <w:rsid w:val="53097272"/>
    <w:rsid w:val="532A16EF"/>
    <w:rsid w:val="533407C0"/>
    <w:rsid w:val="53364538"/>
    <w:rsid w:val="534A7FE3"/>
    <w:rsid w:val="53544462"/>
    <w:rsid w:val="53746E0E"/>
    <w:rsid w:val="53760A1B"/>
    <w:rsid w:val="538232D9"/>
    <w:rsid w:val="5397158E"/>
    <w:rsid w:val="539D0113"/>
    <w:rsid w:val="53B316E5"/>
    <w:rsid w:val="53B4545D"/>
    <w:rsid w:val="53B8319F"/>
    <w:rsid w:val="53BD07B5"/>
    <w:rsid w:val="53C9715A"/>
    <w:rsid w:val="53D31D87"/>
    <w:rsid w:val="53D53D51"/>
    <w:rsid w:val="53D855EF"/>
    <w:rsid w:val="53E47AF0"/>
    <w:rsid w:val="53EB70D0"/>
    <w:rsid w:val="53EE096F"/>
    <w:rsid w:val="53FD5056"/>
    <w:rsid w:val="54013861"/>
    <w:rsid w:val="54014B46"/>
    <w:rsid w:val="54041F40"/>
    <w:rsid w:val="54104D89"/>
    <w:rsid w:val="54176117"/>
    <w:rsid w:val="541A79B6"/>
    <w:rsid w:val="542B3971"/>
    <w:rsid w:val="543A3BB4"/>
    <w:rsid w:val="543E202D"/>
    <w:rsid w:val="54487265"/>
    <w:rsid w:val="544D6070"/>
    <w:rsid w:val="54551654"/>
    <w:rsid w:val="54576514"/>
    <w:rsid w:val="545A24A8"/>
    <w:rsid w:val="54605E1E"/>
    <w:rsid w:val="546B6463"/>
    <w:rsid w:val="547A48F8"/>
    <w:rsid w:val="548E5CAE"/>
    <w:rsid w:val="549A0AF6"/>
    <w:rsid w:val="549E05E7"/>
    <w:rsid w:val="549E2395"/>
    <w:rsid w:val="54A11E85"/>
    <w:rsid w:val="54B27BEE"/>
    <w:rsid w:val="54B3506A"/>
    <w:rsid w:val="54B43966"/>
    <w:rsid w:val="54B75204"/>
    <w:rsid w:val="54B971CF"/>
    <w:rsid w:val="54BF40B9"/>
    <w:rsid w:val="54C0055D"/>
    <w:rsid w:val="54CA0D16"/>
    <w:rsid w:val="54CD4A28"/>
    <w:rsid w:val="54D73AF9"/>
    <w:rsid w:val="54D9161F"/>
    <w:rsid w:val="54DD4057"/>
    <w:rsid w:val="54E7490F"/>
    <w:rsid w:val="54EB4EAE"/>
    <w:rsid w:val="55006BAB"/>
    <w:rsid w:val="55061CE8"/>
    <w:rsid w:val="550764A4"/>
    <w:rsid w:val="550B2BF6"/>
    <w:rsid w:val="551C676F"/>
    <w:rsid w:val="55214EB5"/>
    <w:rsid w:val="552705DC"/>
    <w:rsid w:val="55287EB0"/>
    <w:rsid w:val="55364EFD"/>
    <w:rsid w:val="55393E6B"/>
    <w:rsid w:val="553C7BC9"/>
    <w:rsid w:val="554271C4"/>
    <w:rsid w:val="554C1DF1"/>
    <w:rsid w:val="554C3B9F"/>
    <w:rsid w:val="555D4828"/>
    <w:rsid w:val="555E1B24"/>
    <w:rsid w:val="557430F6"/>
    <w:rsid w:val="55782BE6"/>
    <w:rsid w:val="557A4C8B"/>
    <w:rsid w:val="55820C1A"/>
    <w:rsid w:val="558931E1"/>
    <w:rsid w:val="55923347"/>
    <w:rsid w:val="55925180"/>
    <w:rsid w:val="55983B1B"/>
    <w:rsid w:val="559E63C4"/>
    <w:rsid w:val="55A8376B"/>
    <w:rsid w:val="55B61960"/>
    <w:rsid w:val="55B87486"/>
    <w:rsid w:val="55C91693"/>
    <w:rsid w:val="55DC29B6"/>
    <w:rsid w:val="55DD4241"/>
    <w:rsid w:val="55E262B1"/>
    <w:rsid w:val="560E354A"/>
    <w:rsid w:val="56101070"/>
    <w:rsid w:val="56292132"/>
    <w:rsid w:val="5630526E"/>
    <w:rsid w:val="56333318"/>
    <w:rsid w:val="56352885"/>
    <w:rsid w:val="56446F6C"/>
    <w:rsid w:val="564E3947"/>
    <w:rsid w:val="56530F5D"/>
    <w:rsid w:val="56554CD5"/>
    <w:rsid w:val="565F3DA6"/>
    <w:rsid w:val="566B274A"/>
    <w:rsid w:val="566B6D1E"/>
    <w:rsid w:val="5697709C"/>
    <w:rsid w:val="56B55774"/>
    <w:rsid w:val="56CB4F97"/>
    <w:rsid w:val="56D54068"/>
    <w:rsid w:val="56DE5A0C"/>
    <w:rsid w:val="56E12A0D"/>
    <w:rsid w:val="56E46059"/>
    <w:rsid w:val="56EB388B"/>
    <w:rsid w:val="56F1653F"/>
    <w:rsid w:val="57032A2C"/>
    <w:rsid w:val="570F5219"/>
    <w:rsid w:val="57172725"/>
    <w:rsid w:val="571C57F3"/>
    <w:rsid w:val="571E156B"/>
    <w:rsid w:val="57344B05"/>
    <w:rsid w:val="57454D4A"/>
    <w:rsid w:val="57476D14"/>
    <w:rsid w:val="574A2D59"/>
    <w:rsid w:val="574D3BFE"/>
    <w:rsid w:val="575D12B5"/>
    <w:rsid w:val="57610A87"/>
    <w:rsid w:val="57650F48"/>
    <w:rsid w:val="577B1140"/>
    <w:rsid w:val="577B7F21"/>
    <w:rsid w:val="577F181B"/>
    <w:rsid w:val="578735B4"/>
    <w:rsid w:val="57921984"/>
    <w:rsid w:val="57923D07"/>
    <w:rsid w:val="579737F0"/>
    <w:rsid w:val="579D2DD8"/>
    <w:rsid w:val="57A777B2"/>
    <w:rsid w:val="57AB7B30"/>
    <w:rsid w:val="57AD28EF"/>
    <w:rsid w:val="57AF5251"/>
    <w:rsid w:val="57B123DF"/>
    <w:rsid w:val="57B26373"/>
    <w:rsid w:val="57B32A0E"/>
    <w:rsid w:val="57B63F04"/>
    <w:rsid w:val="57B7551B"/>
    <w:rsid w:val="57CD20C2"/>
    <w:rsid w:val="57D165DD"/>
    <w:rsid w:val="57D52571"/>
    <w:rsid w:val="57D675AB"/>
    <w:rsid w:val="57D95FDD"/>
    <w:rsid w:val="57DE2D58"/>
    <w:rsid w:val="57EE3633"/>
    <w:rsid w:val="57F329F7"/>
    <w:rsid w:val="57F95B34"/>
    <w:rsid w:val="58070251"/>
    <w:rsid w:val="580F7106"/>
    <w:rsid w:val="581D7A74"/>
    <w:rsid w:val="581F559B"/>
    <w:rsid w:val="582B2191"/>
    <w:rsid w:val="58333CC5"/>
    <w:rsid w:val="58366D88"/>
    <w:rsid w:val="5847689F"/>
    <w:rsid w:val="584D65AC"/>
    <w:rsid w:val="585316E8"/>
    <w:rsid w:val="58690F0C"/>
    <w:rsid w:val="586E207E"/>
    <w:rsid w:val="587A6C75"/>
    <w:rsid w:val="58876800"/>
    <w:rsid w:val="58917D2F"/>
    <w:rsid w:val="58931AE5"/>
    <w:rsid w:val="5894085C"/>
    <w:rsid w:val="589C6BEB"/>
    <w:rsid w:val="58A27F7A"/>
    <w:rsid w:val="58AE2DC2"/>
    <w:rsid w:val="58AE4F0C"/>
    <w:rsid w:val="58B24A28"/>
    <w:rsid w:val="58B85899"/>
    <w:rsid w:val="58BF28DA"/>
    <w:rsid w:val="58C61EBA"/>
    <w:rsid w:val="58CB127E"/>
    <w:rsid w:val="58CB5722"/>
    <w:rsid w:val="58DC4708"/>
    <w:rsid w:val="58E363A9"/>
    <w:rsid w:val="58E81E30"/>
    <w:rsid w:val="58F92290"/>
    <w:rsid w:val="590C7034"/>
    <w:rsid w:val="591075D9"/>
    <w:rsid w:val="591C7D2C"/>
    <w:rsid w:val="59215342"/>
    <w:rsid w:val="59260BAB"/>
    <w:rsid w:val="593037D7"/>
    <w:rsid w:val="5939268C"/>
    <w:rsid w:val="59592D2E"/>
    <w:rsid w:val="595E1678"/>
    <w:rsid w:val="596040BD"/>
    <w:rsid w:val="596D5BD4"/>
    <w:rsid w:val="597E3DD8"/>
    <w:rsid w:val="59875AED"/>
    <w:rsid w:val="598853C1"/>
    <w:rsid w:val="598C3104"/>
    <w:rsid w:val="5991071A"/>
    <w:rsid w:val="59B12B6A"/>
    <w:rsid w:val="59B241EC"/>
    <w:rsid w:val="59BF6BFF"/>
    <w:rsid w:val="59D14FBA"/>
    <w:rsid w:val="59DE4FE1"/>
    <w:rsid w:val="59E051FD"/>
    <w:rsid w:val="59E06FAB"/>
    <w:rsid w:val="59E87171"/>
    <w:rsid w:val="59E940B2"/>
    <w:rsid w:val="59EC76FE"/>
    <w:rsid w:val="59F80043"/>
    <w:rsid w:val="5A056A12"/>
    <w:rsid w:val="5A09252F"/>
    <w:rsid w:val="5A0A5DD6"/>
    <w:rsid w:val="5A0B2778"/>
    <w:rsid w:val="5A1F4B06"/>
    <w:rsid w:val="5A2275C4"/>
    <w:rsid w:val="5A2A7C7B"/>
    <w:rsid w:val="5A307F33"/>
    <w:rsid w:val="5A3612C1"/>
    <w:rsid w:val="5A382944"/>
    <w:rsid w:val="5A3E2560"/>
    <w:rsid w:val="5A4F5EDF"/>
    <w:rsid w:val="5A5C0D28"/>
    <w:rsid w:val="5A5D3B6E"/>
    <w:rsid w:val="5A637A76"/>
    <w:rsid w:val="5A6A4AC7"/>
    <w:rsid w:val="5A6D33BA"/>
    <w:rsid w:val="5A792B1F"/>
    <w:rsid w:val="5A874767"/>
    <w:rsid w:val="5A981634"/>
    <w:rsid w:val="5AAC50E0"/>
    <w:rsid w:val="5AAD6F28"/>
    <w:rsid w:val="5AB26B9A"/>
    <w:rsid w:val="5AB53F94"/>
    <w:rsid w:val="5ACE14FA"/>
    <w:rsid w:val="5AD63A24"/>
    <w:rsid w:val="5AD7215D"/>
    <w:rsid w:val="5ADA1C4D"/>
    <w:rsid w:val="5AF21780"/>
    <w:rsid w:val="5AFD593B"/>
    <w:rsid w:val="5B0263A3"/>
    <w:rsid w:val="5B1D473C"/>
    <w:rsid w:val="5B24111A"/>
    <w:rsid w:val="5B280C0A"/>
    <w:rsid w:val="5B2D2AF0"/>
    <w:rsid w:val="5B2E1A1D"/>
    <w:rsid w:val="5B3A26EB"/>
    <w:rsid w:val="5B3C46B5"/>
    <w:rsid w:val="5B433C96"/>
    <w:rsid w:val="5B4A6DD2"/>
    <w:rsid w:val="5B5437AD"/>
    <w:rsid w:val="5B637E94"/>
    <w:rsid w:val="5B81031A"/>
    <w:rsid w:val="5B843A1C"/>
    <w:rsid w:val="5B873E3F"/>
    <w:rsid w:val="5B953DC6"/>
    <w:rsid w:val="5BD26DC8"/>
    <w:rsid w:val="5BD42B40"/>
    <w:rsid w:val="5BDC19F5"/>
    <w:rsid w:val="5BE2700B"/>
    <w:rsid w:val="5BF52B2A"/>
    <w:rsid w:val="5C02690E"/>
    <w:rsid w:val="5C0F1DCA"/>
    <w:rsid w:val="5C142F3C"/>
    <w:rsid w:val="5C163158"/>
    <w:rsid w:val="5C190553"/>
    <w:rsid w:val="5C196DA7"/>
    <w:rsid w:val="5C1B1F35"/>
    <w:rsid w:val="5C2A048C"/>
    <w:rsid w:val="5C2F5FC8"/>
    <w:rsid w:val="5C3D2493"/>
    <w:rsid w:val="5C563555"/>
    <w:rsid w:val="5C5B0B6B"/>
    <w:rsid w:val="5C7A36E7"/>
    <w:rsid w:val="5C80234E"/>
    <w:rsid w:val="5C8A680C"/>
    <w:rsid w:val="5C8E7193"/>
    <w:rsid w:val="5C9E3D89"/>
    <w:rsid w:val="5C9F4EFC"/>
    <w:rsid w:val="5CAC13C7"/>
    <w:rsid w:val="5CCD7CBB"/>
    <w:rsid w:val="5CD01559"/>
    <w:rsid w:val="5CEB1EEF"/>
    <w:rsid w:val="5CEE378D"/>
    <w:rsid w:val="5CF3349A"/>
    <w:rsid w:val="5CF8285E"/>
    <w:rsid w:val="5D0C4701"/>
    <w:rsid w:val="5D0E2082"/>
    <w:rsid w:val="5D0F0395"/>
    <w:rsid w:val="5D107BA8"/>
    <w:rsid w:val="5D1A4582"/>
    <w:rsid w:val="5D215911"/>
    <w:rsid w:val="5D221076"/>
    <w:rsid w:val="5D284EF1"/>
    <w:rsid w:val="5D2B49E2"/>
    <w:rsid w:val="5D397964"/>
    <w:rsid w:val="5D3D1EAB"/>
    <w:rsid w:val="5D4E06D0"/>
    <w:rsid w:val="5D524382"/>
    <w:rsid w:val="5D5850AB"/>
    <w:rsid w:val="5D5A391C"/>
    <w:rsid w:val="5D5F10C0"/>
    <w:rsid w:val="5D681792"/>
    <w:rsid w:val="5D6B3030"/>
    <w:rsid w:val="5D70362F"/>
    <w:rsid w:val="5D746389"/>
    <w:rsid w:val="5D755C5D"/>
    <w:rsid w:val="5D7C348F"/>
    <w:rsid w:val="5D891B7B"/>
    <w:rsid w:val="5D8A5BAC"/>
    <w:rsid w:val="5D8D744A"/>
    <w:rsid w:val="5D8F31C2"/>
    <w:rsid w:val="5DAD38EE"/>
    <w:rsid w:val="5DB06C95"/>
    <w:rsid w:val="5DB22A0D"/>
    <w:rsid w:val="5DB9023F"/>
    <w:rsid w:val="5DBF512A"/>
    <w:rsid w:val="5DCA41FA"/>
    <w:rsid w:val="5DCC7F73"/>
    <w:rsid w:val="5DD07337"/>
    <w:rsid w:val="5DD45079"/>
    <w:rsid w:val="5DD46E27"/>
    <w:rsid w:val="5DE51034"/>
    <w:rsid w:val="5DEF3C61"/>
    <w:rsid w:val="5E006862"/>
    <w:rsid w:val="5E0207B9"/>
    <w:rsid w:val="5E021BE6"/>
    <w:rsid w:val="5E1834A1"/>
    <w:rsid w:val="5E1B2CA8"/>
    <w:rsid w:val="5E1C432A"/>
    <w:rsid w:val="5E1E00A2"/>
    <w:rsid w:val="5E261785"/>
    <w:rsid w:val="5E2C0A11"/>
    <w:rsid w:val="5E2E29DB"/>
    <w:rsid w:val="5E305DFE"/>
    <w:rsid w:val="5E3B0C54"/>
    <w:rsid w:val="5E4A7017"/>
    <w:rsid w:val="5E4D2736"/>
    <w:rsid w:val="5E552BBA"/>
    <w:rsid w:val="5E611C10"/>
    <w:rsid w:val="5E6F08FE"/>
    <w:rsid w:val="5E760849"/>
    <w:rsid w:val="5E7E6D93"/>
    <w:rsid w:val="5E8425FB"/>
    <w:rsid w:val="5E912F6A"/>
    <w:rsid w:val="5E916AC6"/>
    <w:rsid w:val="5E987E55"/>
    <w:rsid w:val="5E9C5E97"/>
    <w:rsid w:val="5EB033F0"/>
    <w:rsid w:val="5EBD3D5F"/>
    <w:rsid w:val="5ECD49E5"/>
    <w:rsid w:val="5ECE1AC8"/>
    <w:rsid w:val="5ECE7D1A"/>
    <w:rsid w:val="5EDB5F93"/>
    <w:rsid w:val="5EEE216B"/>
    <w:rsid w:val="5EF05EE3"/>
    <w:rsid w:val="5EF332DD"/>
    <w:rsid w:val="5EF534F9"/>
    <w:rsid w:val="5EFC7377"/>
    <w:rsid w:val="5F06174D"/>
    <w:rsid w:val="5F1C2834"/>
    <w:rsid w:val="5F257BD5"/>
    <w:rsid w:val="5F322057"/>
    <w:rsid w:val="5F3A3602"/>
    <w:rsid w:val="5F3C2ED6"/>
    <w:rsid w:val="5F3D3C14"/>
    <w:rsid w:val="5F4678B1"/>
    <w:rsid w:val="5F557AF4"/>
    <w:rsid w:val="5F5C5326"/>
    <w:rsid w:val="5F6277C6"/>
    <w:rsid w:val="5F6D0B1D"/>
    <w:rsid w:val="5F7268F8"/>
    <w:rsid w:val="5F73441E"/>
    <w:rsid w:val="5F796DF2"/>
    <w:rsid w:val="5F83116B"/>
    <w:rsid w:val="5F893C41"/>
    <w:rsid w:val="5F8D0B82"/>
    <w:rsid w:val="5F950838"/>
    <w:rsid w:val="5F9F5213"/>
    <w:rsid w:val="5FAD7930"/>
    <w:rsid w:val="5FB46F10"/>
    <w:rsid w:val="5FBA3DFB"/>
    <w:rsid w:val="5FBF1411"/>
    <w:rsid w:val="5FCC5339"/>
    <w:rsid w:val="5FD0361E"/>
    <w:rsid w:val="5FD4310E"/>
    <w:rsid w:val="5FD924D3"/>
    <w:rsid w:val="5FDF3861"/>
    <w:rsid w:val="5FE34A5B"/>
    <w:rsid w:val="5FF4555F"/>
    <w:rsid w:val="5FFE1E36"/>
    <w:rsid w:val="6005151A"/>
    <w:rsid w:val="60232584"/>
    <w:rsid w:val="60275934"/>
    <w:rsid w:val="60297C51"/>
    <w:rsid w:val="602F6597"/>
    <w:rsid w:val="60395667"/>
    <w:rsid w:val="603E67DA"/>
    <w:rsid w:val="60402552"/>
    <w:rsid w:val="60483AFC"/>
    <w:rsid w:val="604A33D1"/>
    <w:rsid w:val="604C0EF7"/>
    <w:rsid w:val="604D2EC1"/>
    <w:rsid w:val="605424A1"/>
    <w:rsid w:val="60563B24"/>
    <w:rsid w:val="605E6E7C"/>
    <w:rsid w:val="606721D5"/>
    <w:rsid w:val="607330CE"/>
    <w:rsid w:val="60825176"/>
    <w:rsid w:val="60912DAE"/>
    <w:rsid w:val="60997EB4"/>
    <w:rsid w:val="609B00D0"/>
    <w:rsid w:val="609F2AC4"/>
    <w:rsid w:val="60A01243"/>
    <w:rsid w:val="60A24FBB"/>
    <w:rsid w:val="60A52CFD"/>
    <w:rsid w:val="60A70823"/>
    <w:rsid w:val="60A9459B"/>
    <w:rsid w:val="60AC5E39"/>
    <w:rsid w:val="60BB42CE"/>
    <w:rsid w:val="60C43183"/>
    <w:rsid w:val="60C82547"/>
    <w:rsid w:val="60D13AF2"/>
    <w:rsid w:val="60D96503"/>
    <w:rsid w:val="60E5134B"/>
    <w:rsid w:val="60F375C4"/>
    <w:rsid w:val="60F65306"/>
    <w:rsid w:val="60FA2EE8"/>
    <w:rsid w:val="61054A27"/>
    <w:rsid w:val="610619ED"/>
    <w:rsid w:val="610A52BC"/>
    <w:rsid w:val="611B6B1B"/>
    <w:rsid w:val="611D2366"/>
    <w:rsid w:val="61306A6A"/>
    <w:rsid w:val="61421856"/>
    <w:rsid w:val="615148D9"/>
    <w:rsid w:val="615227C4"/>
    <w:rsid w:val="615A3AE7"/>
    <w:rsid w:val="615D7134"/>
    <w:rsid w:val="61642270"/>
    <w:rsid w:val="61654E3F"/>
    <w:rsid w:val="61693D2A"/>
    <w:rsid w:val="616E7593"/>
    <w:rsid w:val="6182292A"/>
    <w:rsid w:val="618D5C6B"/>
    <w:rsid w:val="619863BE"/>
    <w:rsid w:val="619F7F92"/>
    <w:rsid w:val="61A3723C"/>
    <w:rsid w:val="61AD1E69"/>
    <w:rsid w:val="61ED04B8"/>
    <w:rsid w:val="61F94C26"/>
    <w:rsid w:val="61FE26C5"/>
    <w:rsid w:val="62000E56"/>
    <w:rsid w:val="62065A1D"/>
    <w:rsid w:val="621517BC"/>
    <w:rsid w:val="622D6B06"/>
    <w:rsid w:val="62377985"/>
    <w:rsid w:val="624C78D4"/>
    <w:rsid w:val="624F3E49"/>
    <w:rsid w:val="625A5AA1"/>
    <w:rsid w:val="62620EA5"/>
    <w:rsid w:val="62632286"/>
    <w:rsid w:val="627209BD"/>
    <w:rsid w:val="627B3D15"/>
    <w:rsid w:val="62885958"/>
    <w:rsid w:val="62894684"/>
    <w:rsid w:val="628E1C9B"/>
    <w:rsid w:val="629848C7"/>
    <w:rsid w:val="629B43B7"/>
    <w:rsid w:val="629E17B2"/>
    <w:rsid w:val="62AB0917"/>
    <w:rsid w:val="62BD2580"/>
    <w:rsid w:val="62BF2ADF"/>
    <w:rsid w:val="62C0797A"/>
    <w:rsid w:val="62C456BC"/>
    <w:rsid w:val="62C84A81"/>
    <w:rsid w:val="62CD563A"/>
    <w:rsid w:val="62D82F16"/>
    <w:rsid w:val="62DD22DA"/>
    <w:rsid w:val="62E33669"/>
    <w:rsid w:val="62EC69C1"/>
    <w:rsid w:val="62F40B65"/>
    <w:rsid w:val="62F45876"/>
    <w:rsid w:val="62FC2CFE"/>
    <w:rsid w:val="62FF4946"/>
    <w:rsid w:val="63024505"/>
    <w:rsid w:val="63041F5D"/>
    <w:rsid w:val="630755A9"/>
    <w:rsid w:val="630C0E11"/>
    <w:rsid w:val="631A52DC"/>
    <w:rsid w:val="6320666B"/>
    <w:rsid w:val="63216475"/>
    <w:rsid w:val="63253C81"/>
    <w:rsid w:val="633C21FE"/>
    <w:rsid w:val="634D537E"/>
    <w:rsid w:val="634E4F86"/>
    <w:rsid w:val="63585E05"/>
    <w:rsid w:val="635B1DB5"/>
    <w:rsid w:val="63711FED"/>
    <w:rsid w:val="63880DDC"/>
    <w:rsid w:val="638C3D00"/>
    <w:rsid w:val="638D750D"/>
    <w:rsid w:val="63950E07"/>
    <w:rsid w:val="639D7CBB"/>
    <w:rsid w:val="63AC6CC0"/>
    <w:rsid w:val="63B868A3"/>
    <w:rsid w:val="63BC2837"/>
    <w:rsid w:val="63CB4828"/>
    <w:rsid w:val="63CD05A1"/>
    <w:rsid w:val="63D062E3"/>
    <w:rsid w:val="63DC07E4"/>
    <w:rsid w:val="63E61662"/>
    <w:rsid w:val="63E678B4"/>
    <w:rsid w:val="63F0603D"/>
    <w:rsid w:val="63F7561D"/>
    <w:rsid w:val="63F975E8"/>
    <w:rsid w:val="63FC0E86"/>
    <w:rsid w:val="64020817"/>
    <w:rsid w:val="64055776"/>
    <w:rsid w:val="64085A7D"/>
    <w:rsid w:val="640A35A3"/>
    <w:rsid w:val="640E2967"/>
    <w:rsid w:val="64240056"/>
    <w:rsid w:val="64264155"/>
    <w:rsid w:val="642B176B"/>
    <w:rsid w:val="64356146"/>
    <w:rsid w:val="643E143A"/>
    <w:rsid w:val="64524F4A"/>
    <w:rsid w:val="6461518D"/>
    <w:rsid w:val="64744EC0"/>
    <w:rsid w:val="64747D3B"/>
    <w:rsid w:val="647924D6"/>
    <w:rsid w:val="64794284"/>
    <w:rsid w:val="647A3F6A"/>
    <w:rsid w:val="648A0240"/>
    <w:rsid w:val="648B6EEF"/>
    <w:rsid w:val="648C045C"/>
    <w:rsid w:val="649D4417"/>
    <w:rsid w:val="64A216CA"/>
    <w:rsid w:val="64BE438D"/>
    <w:rsid w:val="64C158BF"/>
    <w:rsid w:val="64C51278"/>
    <w:rsid w:val="64C574CA"/>
    <w:rsid w:val="64CE2EAA"/>
    <w:rsid w:val="64E77440"/>
    <w:rsid w:val="64EE6A20"/>
    <w:rsid w:val="64F16511"/>
    <w:rsid w:val="64F41B5D"/>
    <w:rsid w:val="65067853"/>
    <w:rsid w:val="651641C9"/>
    <w:rsid w:val="65183A9D"/>
    <w:rsid w:val="651B69FF"/>
    <w:rsid w:val="652F0DE7"/>
    <w:rsid w:val="652F2B95"/>
    <w:rsid w:val="65332685"/>
    <w:rsid w:val="653A7EB8"/>
    <w:rsid w:val="653B778C"/>
    <w:rsid w:val="653C3090"/>
    <w:rsid w:val="654A5C21"/>
    <w:rsid w:val="654E3963"/>
    <w:rsid w:val="6554084E"/>
    <w:rsid w:val="65660CAD"/>
    <w:rsid w:val="656942F9"/>
    <w:rsid w:val="65854376"/>
    <w:rsid w:val="6587305C"/>
    <w:rsid w:val="6587477F"/>
    <w:rsid w:val="658767BE"/>
    <w:rsid w:val="65892531"/>
    <w:rsid w:val="65B03CD6"/>
    <w:rsid w:val="65B37C6A"/>
    <w:rsid w:val="65BD4645"/>
    <w:rsid w:val="65BD63F3"/>
    <w:rsid w:val="65D57BE0"/>
    <w:rsid w:val="65E73470"/>
    <w:rsid w:val="65EB2F60"/>
    <w:rsid w:val="65EE2A50"/>
    <w:rsid w:val="65F362B8"/>
    <w:rsid w:val="66061B48"/>
    <w:rsid w:val="660B132F"/>
    <w:rsid w:val="66195831"/>
    <w:rsid w:val="6626043C"/>
    <w:rsid w:val="662E75B1"/>
    <w:rsid w:val="663366B5"/>
    <w:rsid w:val="66342C2E"/>
    <w:rsid w:val="663E784C"/>
    <w:rsid w:val="664459EA"/>
    <w:rsid w:val="664B39FF"/>
    <w:rsid w:val="666B23BE"/>
    <w:rsid w:val="66805D9E"/>
    <w:rsid w:val="66833198"/>
    <w:rsid w:val="6683763C"/>
    <w:rsid w:val="668533B4"/>
    <w:rsid w:val="668B6A45"/>
    <w:rsid w:val="6692162D"/>
    <w:rsid w:val="66B25148"/>
    <w:rsid w:val="66B912B0"/>
    <w:rsid w:val="66BB5F1A"/>
    <w:rsid w:val="66C11F13"/>
    <w:rsid w:val="66CC0FE3"/>
    <w:rsid w:val="66E16111"/>
    <w:rsid w:val="66E8749F"/>
    <w:rsid w:val="66F127F8"/>
    <w:rsid w:val="66F2031E"/>
    <w:rsid w:val="66F83B86"/>
    <w:rsid w:val="66FB3677"/>
    <w:rsid w:val="67006EDF"/>
    <w:rsid w:val="67073DC9"/>
    <w:rsid w:val="671169F6"/>
    <w:rsid w:val="672A5D0A"/>
    <w:rsid w:val="672F3F24"/>
    <w:rsid w:val="67334BBF"/>
    <w:rsid w:val="6736645D"/>
    <w:rsid w:val="673E055F"/>
    <w:rsid w:val="6744501E"/>
    <w:rsid w:val="67551CE3"/>
    <w:rsid w:val="676236F6"/>
    <w:rsid w:val="677F6811"/>
    <w:rsid w:val="678673E4"/>
    <w:rsid w:val="67917B37"/>
    <w:rsid w:val="67A22552"/>
    <w:rsid w:val="67B22DCC"/>
    <w:rsid w:val="67BE71AA"/>
    <w:rsid w:val="67CA4DF7"/>
    <w:rsid w:val="67D04C04"/>
    <w:rsid w:val="67D90273"/>
    <w:rsid w:val="67DE5875"/>
    <w:rsid w:val="67E55852"/>
    <w:rsid w:val="67EB1AB4"/>
    <w:rsid w:val="67EB2C5D"/>
    <w:rsid w:val="67F24A7A"/>
    <w:rsid w:val="67FA1285"/>
    <w:rsid w:val="68016A6B"/>
    <w:rsid w:val="68264723"/>
    <w:rsid w:val="682B7F8C"/>
    <w:rsid w:val="683C5CF5"/>
    <w:rsid w:val="684352D5"/>
    <w:rsid w:val="68437083"/>
    <w:rsid w:val="684A23F5"/>
    <w:rsid w:val="684D3A5E"/>
    <w:rsid w:val="68551F4F"/>
    <w:rsid w:val="685748DD"/>
    <w:rsid w:val="68637725"/>
    <w:rsid w:val="68646FFA"/>
    <w:rsid w:val="687C10C9"/>
    <w:rsid w:val="68840C16"/>
    <w:rsid w:val="688431F8"/>
    <w:rsid w:val="68876EFB"/>
    <w:rsid w:val="68884654"/>
    <w:rsid w:val="688B27D8"/>
    <w:rsid w:val="689F444F"/>
    <w:rsid w:val="68B96DBB"/>
    <w:rsid w:val="68BC6E36"/>
    <w:rsid w:val="68C006D4"/>
    <w:rsid w:val="68CA2805"/>
    <w:rsid w:val="68CA77A4"/>
    <w:rsid w:val="68CD2DF1"/>
    <w:rsid w:val="68D221B5"/>
    <w:rsid w:val="68D45F2D"/>
    <w:rsid w:val="68E048D2"/>
    <w:rsid w:val="68E1689C"/>
    <w:rsid w:val="68E937A3"/>
    <w:rsid w:val="69083E29"/>
    <w:rsid w:val="69086D1C"/>
    <w:rsid w:val="690C3919"/>
    <w:rsid w:val="691427CE"/>
    <w:rsid w:val="691B3B5C"/>
    <w:rsid w:val="69256789"/>
    <w:rsid w:val="69366BE8"/>
    <w:rsid w:val="69394130"/>
    <w:rsid w:val="693E15D3"/>
    <w:rsid w:val="693E5A9D"/>
    <w:rsid w:val="6942733B"/>
    <w:rsid w:val="694503FF"/>
    <w:rsid w:val="694D5CE0"/>
    <w:rsid w:val="6954706E"/>
    <w:rsid w:val="69586B5E"/>
    <w:rsid w:val="69627681"/>
    <w:rsid w:val="6977531D"/>
    <w:rsid w:val="698D20B2"/>
    <w:rsid w:val="69B30239"/>
    <w:rsid w:val="69B55D5F"/>
    <w:rsid w:val="69C9180A"/>
    <w:rsid w:val="69C97A5C"/>
    <w:rsid w:val="69CC2BFF"/>
    <w:rsid w:val="69D56401"/>
    <w:rsid w:val="69FD55B8"/>
    <w:rsid w:val="6A0B1C62"/>
    <w:rsid w:val="6A0E546F"/>
    <w:rsid w:val="6A113133"/>
    <w:rsid w:val="6A2406C8"/>
    <w:rsid w:val="6A274783"/>
    <w:rsid w:val="6A3C6480"/>
    <w:rsid w:val="6A43612F"/>
    <w:rsid w:val="6A4D41E9"/>
    <w:rsid w:val="6A5F216E"/>
    <w:rsid w:val="6A681023"/>
    <w:rsid w:val="6A6D488B"/>
    <w:rsid w:val="6A8614A9"/>
    <w:rsid w:val="6A8F4802"/>
    <w:rsid w:val="6A9739A1"/>
    <w:rsid w:val="6AB97AD1"/>
    <w:rsid w:val="6ABC4ECB"/>
    <w:rsid w:val="6AC34B1A"/>
    <w:rsid w:val="6ACA640D"/>
    <w:rsid w:val="6ACD0E86"/>
    <w:rsid w:val="6ACD70D8"/>
    <w:rsid w:val="6AD611D4"/>
    <w:rsid w:val="6ADC37BF"/>
    <w:rsid w:val="6ADE0BD1"/>
    <w:rsid w:val="6AE508C6"/>
    <w:rsid w:val="6AE96859"/>
    <w:rsid w:val="6AED1528"/>
    <w:rsid w:val="6B144D07"/>
    <w:rsid w:val="6B147746"/>
    <w:rsid w:val="6B19231D"/>
    <w:rsid w:val="6B1C1E0E"/>
    <w:rsid w:val="6B24787C"/>
    <w:rsid w:val="6B272C8C"/>
    <w:rsid w:val="6B362ECF"/>
    <w:rsid w:val="6B39651C"/>
    <w:rsid w:val="6B4F3F91"/>
    <w:rsid w:val="6B4F5D3F"/>
    <w:rsid w:val="6B517D09"/>
    <w:rsid w:val="6B573233"/>
    <w:rsid w:val="6B596BBE"/>
    <w:rsid w:val="6B5B6274"/>
    <w:rsid w:val="6B680BAF"/>
    <w:rsid w:val="6B827EC3"/>
    <w:rsid w:val="6B9145AA"/>
    <w:rsid w:val="6B923E7E"/>
    <w:rsid w:val="6B935D53"/>
    <w:rsid w:val="6BA3764E"/>
    <w:rsid w:val="6BB77FE6"/>
    <w:rsid w:val="6BD66460"/>
    <w:rsid w:val="6BDF70C3"/>
    <w:rsid w:val="6BF863D7"/>
    <w:rsid w:val="6BFF1513"/>
    <w:rsid w:val="6C1825D5"/>
    <w:rsid w:val="6C186A79"/>
    <w:rsid w:val="6C196F71"/>
    <w:rsid w:val="6C226FCB"/>
    <w:rsid w:val="6C303DC2"/>
    <w:rsid w:val="6C31226F"/>
    <w:rsid w:val="6C375151"/>
    <w:rsid w:val="6C44161C"/>
    <w:rsid w:val="6C552F0B"/>
    <w:rsid w:val="6C5C6966"/>
    <w:rsid w:val="6C5F6456"/>
    <w:rsid w:val="6C67530A"/>
    <w:rsid w:val="6C7E4523"/>
    <w:rsid w:val="6C8C67B7"/>
    <w:rsid w:val="6C9D744C"/>
    <w:rsid w:val="6C9E6F7E"/>
    <w:rsid w:val="6C9F6852"/>
    <w:rsid w:val="6CA43E69"/>
    <w:rsid w:val="6CAA3F66"/>
    <w:rsid w:val="6CB56076"/>
    <w:rsid w:val="6CC62031"/>
    <w:rsid w:val="6CCB5899"/>
    <w:rsid w:val="6CCD33BF"/>
    <w:rsid w:val="6CDA3D2E"/>
    <w:rsid w:val="6CF272CA"/>
    <w:rsid w:val="6CF941B4"/>
    <w:rsid w:val="6D167928"/>
    <w:rsid w:val="6D1A237D"/>
    <w:rsid w:val="6D1E2F9D"/>
    <w:rsid w:val="6D26299B"/>
    <w:rsid w:val="6D26480F"/>
    <w:rsid w:val="6D3276C6"/>
    <w:rsid w:val="6D401DE3"/>
    <w:rsid w:val="6D4318D3"/>
    <w:rsid w:val="6D4772EC"/>
    <w:rsid w:val="6D4876B2"/>
    <w:rsid w:val="6D4D2ACF"/>
    <w:rsid w:val="6D8F4B19"/>
    <w:rsid w:val="6D9078AF"/>
    <w:rsid w:val="6D965EA7"/>
    <w:rsid w:val="6D9B526C"/>
    <w:rsid w:val="6DA700B4"/>
    <w:rsid w:val="6DAA3FEF"/>
    <w:rsid w:val="6DB14A8F"/>
    <w:rsid w:val="6DC0172B"/>
    <w:rsid w:val="6DCB690C"/>
    <w:rsid w:val="6DCE5641"/>
    <w:rsid w:val="6DCF3167"/>
    <w:rsid w:val="6DD41A5B"/>
    <w:rsid w:val="6DE2733E"/>
    <w:rsid w:val="6DEC1F6B"/>
    <w:rsid w:val="6DF43C2E"/>
    <w:rsid w:val="6DF51CA3"/>
    <w:rsid w:val="6DF80910"/>
    <w:rsid w:val="6DF901E4"/>
    <w:rsid w:val="6E3A2CD6"/>
    <w:rsid w:val="6E5A5127"/>
    <w:rsid w:val="6E5D131B"/>
    <w:rsid w:val="6E5D69C5"/>
    <w:rsid w:val="6E602011"/>
    <w:rsid w:val="6E645FA5"/>
    <w:rsid w:val="6E6B10E2"/>
    <w:rsid w:val="6E763BDC"/>
    <w:rsid w:val="6E7A1325"/>
    <w:rsid w:val="6E7B6E4B"/>
    <w:rsid w:val="6E8335BD"/>
    <w:rsid w:val="6E857CCC"/>
    <w:rsid w:val="6E8B1784"/>
    <w:rsid w:val="6E8E12EF"/>
    <w:rsid w:val="6E8E3022"/>
    <w:rsid w:val="6E972936"/>
    <w:rsid w:val="6EBD1212"/>
    <w:rsid w:val="6ED446C5"/>
    <w:rsid w:val="6EE449F0"/>
    <w:rsid w:val="6EEB2223"/>
    <w:rsid w:val="6EF47329"/>
    <w:rsid w:val="6F15104E"/>
    <w:rsid w:val="6F1B634E"/>
    <w:rsid w:val="6F282B2F"/>
    <w:rsid w:val="6F2A7D94"/>
    <w:rsid w:val="6F2D6397"/>
    <w:rsid w:val="6F3E2352"/>
    <w:rsid w:val="6F410095"/>
    <w:rsid w:val="6F490CF7"/>
    <w:rsid w:val="6F63000B"/>
    <w:rsid w:val="6F8331F1"/>
    <w:rsid w:val="6F834209"/>
    <w:rsid w:val="6F984159"/>
    <w:rsid w:val="6F997ED1"/>
    <w:rsid w:val="6FAE1A09"/>
    <w:rsid w:val="6FB24AEE"/>
    <w:rsid w:val="6FC34F4E"/>
    <w:rsid w:val="6FCD36D6"/>
    <w:rsid w:val="6FD75BF8"/>
    <w:rsid w:val="6FE56C72"/>
    <w:rsid w:val="6FEE1FCA"/>
    <w:rsid w:val="6FF26761"/>
    <w:rsid w:val="6FF944CB"/>
    <w:rsid w:val="7000585A"/>
    <w:rsid w:val="700510C2"/>
    <w:rsid w:val="700A0487"/>
    <w:rsid w:val="700D7F77"/>
    <w:rsid w:val="701D28B0"/>
    <w:rsid w:val="703A6FBE"/>
    <w:rsid w:val="7045792D"/>
    <w:rsid w:val="705C33D8"/>
    <w:rsid w:val="707324D0"/>
    <w:rsid w:val="707723D0"/>
    <w:rsid w:val="707B3132"/>
    <w:rsid w:val="708446DD"/>
    <w:rsid w:val="708741CD"/>
    <w:rsid w:val="709B5583"/>
    <w:rsid w:val="70A1528F"/>
    <w:rsid w:val="70A42689"/>
    <w:rsid w:val="70A95EF1"/>
    <w:rsid w:val="70A97C9F"/>
    <w:rsid w:val="70C25205"/>
    <w:rsid w:val="70DA42FD"/>
    <w:rsid w:val="70DD3DED"/>
    <w:rsid w:val="70EA2568"/>
    <w:rsid w:val="70F5661B"/>
    <w:rsid w:val="70FE448F"/>
    <w:rsid w:val="70FF1FB5"/>
    <w:rsid w:val="71025602"/>
    <w:rsid w:val="71153587"/>
    <w:rsid w:val="71235CA4"/>
    <w:rsid w:val="712B4B58"/>
    <w:rsid w:val="712F289B"/>
    <w:rsid w:val="713003C1"/>
    <w:rsid w:val="71360107"/>
    <w:rsid w:val="7137174F"/>
    <w:rsid w:val="713752AB"/>
    <w:rsid w:val="713B688E"/>
    <w:rsid w:val="71526589"/>
    <w:rsid w:val="71573B9F"/>
    <w:rsid w:val="715744EE"/>
    <w:rsid w:val="715776FB"/>
    <w:rsid w:val="715A71EC"/>
    <w:rsid w:val="715E0A8A"/>
    <w:rsid w:val="71630796"/>
    <w:rsid w:val="71665B90"/>
    <w:rsid w:val="716D3DD2"/>
    <w:rsid w:val="716D5171"/>
    <w:rsid w:val="718030F6"/>
    <w:rsid w:val="71836742"/>
    <w:rsid w:val="71902C0D"/>
    <w:rsid w:val="71926986"/>
    <w:rsid w:val="71A1306D"/>
    <w:rsid w:val="71B44B4E"/>
    <w:rsid w:val="71C034F3"/>
    <w:rsid w:val="71CA4371"/>
    <w:rsid w:val="71D43752"/>
    <w:rsid w:val="71F1796A"/>
    <w:rsid w:val="7209439E"/>
    <w:rsid w:val="72154626"/>
    <w:rsid w:val="72262B5D"/>
    <w:rsid w:val="72283FF7"/>
    <w:rsid w:val="722C2936"/>
    <w:rsid w:val="722D66AE"/>
    <w:rsid w:val="722E7212"/>
    <w:rsid w:val="723932A5"/>
    <w:rsid w:val="723A0474"/>
    <w:rsid w:val="72565C05"/>
    <w:rsid w:val="725923E4"/>
    <w:rsid w:val="72600832"/>
    <w:rsid w:val="72750781"/>
    <w:rsid w:val="72834520"/>
    <w:rsid w:val="72850298"/>
    <w:rsid w:val="72864BF7"/>
    <w:rsid w:val="728E539F"/>
    <w:rsid w:val="729023FC"/>
    <w:rsid w:val="72A023BA"/>
    <w:rsid w:val="72A03324"/>
    <w:rsid w:val="72A43671"/>
    <w:rsid w:val="72A66B8C"/>
    <w:rsid w:val="72A72905"/>
    <w:rsid w:val="72AC2584"/>
    <w:rsid w:val="72B204E9"/>
    <w:rsid w:val="72BF7C4E"/>
    <w:rsid w:val="72D27981"/>
    <w:rsid w:val="72E74AAF"/>
    <w:rsid w:val="72F07E08"/>
    <w:rsid w:val="72FB055A"/>
    <w:rsid w:val="72FD0776"/>
    <w:rsid w:val="730218E9"/>
    <w:rsid w:val="731A13E3"/>
    <w:rsid w:val="73260244"/>
    <w:rsid w:val="733C129F"/>
    <w:rsid w:val="733D0B73"/>
    <w:rsid w:val="73426189"/>
    <w:rsid w:val="734B7734"/>
    <w:rsid w:val="73530396"/>
    <w:rsid w:val="73691968"/>
    <w:rsid w:val="736C3B18"/>
    <w:rsid w:val="736D1458"/>
    <w:rsid w:val="7379604F"/>
    <w:rsid w:val="738A200A"/>
    <w:rsid w:val="738D38A8"/>
    <w:rsid w:val="739739A2"/>
    <w:rsid w:val="739A7D73"/>
    <w:rsid w:val="73A330CC"/>
    <w:rsid w:val="73A40BF2"/>
    <w:rsid w:val="73BE7F06"/>
    <w:rsid w:val="73C0646E"/>
    <w:rsid w:val="73DA2007"/>
    <w:rsid w:val="740D2C3B"/>
    <w:rsid w:val="740F3C88"/>
    <w:rsid w:val="742222F5"/>
    <w:rsid w:val="742F69B6"/>
    <w:rsid w:val="74341F76"/>
    <w:rsid w:val="743C0E2B"/>
    <w:rsid w:val="743E2DF5"/>
    <w:rsid w:val="74476126"/>
    <w:rsid w:val="744F6BF8"/>
    <w:rsid w:val="745A5E80"/>
    <w:rsid w:val="7460720F"/>
    <w:rsid w:val="74706664"/>
    <w:rsid w:val="74716D26"/>
    <w:rsid w:val="747B1953"/>
    <w:rsid w:val="747D7D58"/>
    <w:rsid w:val="747F3682"/>
    <w:rsid w:val="74844CAB"/>
    <w:rsid w:val="74934EEE"/>
    <w:rsid w:val="749C4185"/>
    <w:rsid w:val="74A0585D"/>
    <w:rsid w:val="74BD1F6B"/>
    <w:rsid w:val="74EA089B"/>
    <w:rsid w:val="74EE481B"/>
    <w:rsid w:val="74FC6F38"/>
    <w:rsid w:val="750202C6"/>
    <w:rsid w:val="75067759"/>
    <w:rsid w:val="75091655"/>
    <w:rsid w:val="75137DDD"/>
    <w:rsid w:val="75267B11"/>
    <w:rsid w:val="752E6DCD"/>
    <w:rsid w:val="753A35BC"/>
    <w:rsid w:val="75436915"/>
    <w:rsid w:val="7551380D"/>
    <w:rsid w:val="75556648"/>
    <w:rsid w:val="75600BE5"/>
    <w:rsid w:val="7564475C"/>
    <w:rsid w:val="75706FDE"/>
    <w:rsid w:val="7583797F"/>
    <w:rsid w:val="75862CA5"/>
    <w:rsid w:val="759A04FF"/>
    <w:rsid w:val="75B415C0"/>
    <w:rsid w:val="75C17839"/>
    <w:rsid w:val="75D20F1D"/>
    <w:rsid w:val="75D51537"/>
    <w:rsid w:val="75D7705D"/>
    <w:rsid w:val="75DA2C18"/>
    <w:rsid w:val="75E8126A"/>
    <w:rsid w:val="75EB6213"/>
    <w:rsid w:val="75F25C45"/>
    <w:rsid w:val="75F54412"/>
    <w:rsid w:val="760D2A7F"/>
    <w:rsid w:val="761D08E0"/>
    <w:rsid w:val="762027B2"/>
    <w:rsid w:val="762C55FB"/>
    <w:rsid w:val="763C15B6"/>
    <w:rsid w:val="76564426"/>
    <w:rsid w:val="765D347C"/>
    <w:rsid w:val="765E152C"/>
    <w:rsid w:val="765E32DA"/>
    <w:rsid w:val="7662101C"/>
    <w:rsid w:val="76684159"/>
    <w:rsid w:val="766C3C49"/>
    <w:rsid w:val="766D176F"/>
    <w:rsid w:val="768076F4"/>
    <w:rsid w:val="76826699"/>
    <w:rsid w:val="76854D0B"/>
    <w:rsid w:val="76982C90"/>
    <w:rsid w:val="769E5DCD"/>
    <w:rsid w:val="769E7B7B"/>
    <w:rsid w:val="76AC673B"/>
    <w:rsid w:val="76B8141B"/>
    <w:rsid w:val="76C87133"/>
    <w:rsid w:val="76CD08D5"/>
    <w:rsid w:val="76CF5F86"/>
    <w:rsid w:val="76DB4B92"/>
    <w:rsid w:val="76E25CB9"/>
    <w:rsid w:val="76EA1012"/>
    <w:rsid w:val="76EC08E6"/>
    <w:rsid w:val="76EFDDFA"/>
    <w:rsid w:val="76F679B7"/>
    <w:rsid w:val="76FC00A6"/>
    <w:rsid w:val="76FD0D45"/>
    <w:rsid w:val="77052AA4"/>
    <w:rsid w:val="77057BFA"/>
    <w:rsid w:val="77073972"/>
    <w:rsid w:val="77136511"/>
    <w:rsid w:val="7722255A"/>
    <w:rsid w:val="77274014"/>
    <w:rsid w:val="77340A39"/>
    <w:rsid w:val="77351FD0"/>
    <w:rsid w:val="77472422"/>
    <w:rsid w:val="774B1AB0"/>
    <w:rsid w:val="77536BB7"/>
    <w:rsid w:val="77626DFA"/>
    <w:rsid w:val="776C1A27"/>
    <w:rsid w:val="777F31F2"/>
    <w:rsid w:val="77A17922"/>
    <w:rsid w:val="77A6318B"/>
    <w:rsid w:val="77AB254F"/>
    <w:rsid w:val="77B27D81"/>
    <w:rsid w:val="77C17FC5"/>
    <w:rsid w:val="77CB0E43"/>
    <w:rsid w:val="77D1700D"/>
    <w:rsid w:val="77D47CF8"/>
    <w:rsid w:val="77E872FF"/>
    <w:rsid w:val="77EC04CC"/>
    <w:rsid w:val="77EF68E0"/>
    <w:rsid w:val="77FE6B23"/>
    <w:rsid w:val="78087CD6"/>
    <w:rsid w:val="78104AA8"/>
    <w:rsid w:val="78146346"/>
    <w:rsid w:val="78244A52"/>
    <w:rsid w:val="783469E8"/>
    <w:rsid w:val="784A620C"/>
    <w:rsid w:val="784C3D32"/>
    <w:rsid w:val="784F55D0"/>
    <w:rsid w:val="7852207F"/>
    <w:rsid w:val="785E3A65"/>
    <w:rsid w:val="786A41B8"/>
    <w:rsid w:val="786D625B"/>
    <w:rsid w:val="78775729"/>
    <w:rsid w:val="789D0631"/>
    <w:rsid w:val="78A02EEA"/>
    <w:rsid w:val="78A21BA4"/>
    <w:rsid w:val="78A42DB0"/>
    <w:rsid w:val="78A656AB"/>
    <w:rsid w:val="78B2245C"/>
    <w:rsid w:val="78E172CC"/>
    <w:rsid w:val="78E201F2"/>
    <w:rsid w:val="78EA1D1F"/>
    <w:rsid w:val="78EC6676"/>
    <w:rsid w:val="78FB12B4"/>
    <w:rsid w:val="78FD6DDA"/>
    <w:rsid w:val="7904172F"/>
    <w:rsid w:val="790E548B"/>
    <w:rsid w:val="790F7E27"/>
    <w:rsid w:val="79102FB2"/>
    <w:rsid w:val="791A69E7"/>
    <w:rsid w:val="79206F6D"/>
    <w:rsid w:val="7925031F"/>
    <w:rsid w:val="792627D5"/>
    <w:rsid w:val="792A231A"/>
    <w:rsid w:val="792A3948"/>
    <w:rsid w:val="79316829"/>
    <w:rsid w:val="79382508"/>
    <w:rsid w:val="7947274B"/>
    <w:rsid w:val="794C7D62"/>
    <w:rsid w:val="79702308"/>
    <w:rsid w:val="797E66A9"/>
    <w:rsid w:val="798474FC"/>
    <w:rsid w:val="799F7E92"/>
    <w:rsid w:val="79A100AE"/>
    <w:rsid w:val="79A25BD4"/>
    <w:rsid w:val="79A97383"/>
    <w:rsid w:val="79B55907"/>
    <w:rsid w:val="79C773E8"/>
    <w:rsid w:val="79C8388C"/>
    <w:rsid w:val="79C8563A"/>
    <w:rsid w:val="79CE4C1B"/>
    <w:rsid w:val="79CE69C9"/>
    <w:rsid w:val="79E27E8B"/>
    <w:rsid w:val="79E955B1"/>
    <w:rsid w:val="79EE2BC7"/>
    <w:rsid w:val="79F850CE"/>
    <w:rsid w:val="79FA77BE"/>
    <w:rsid w:val="79FD443C"/>
    <w:rsid w:val="79FF3026"/>
    <w:rsid w:val="7A1244BA"/>
    <w:rsid w:val="7A1B7E60"/>
    <w:rsid w:val="7A1D1975"/>
    <w:rsid w:val="7A1E34AC"/>
    <w:rsid w:val="7A291E51"/>
    <w:rsid w:val="7A2C0B6E"/>
    <w:rsid w:val="7A3A401F"/>
    <w:rsid w:val="7A3E5150"/>
    <w:rsid w:val="7A4670D6"/>
    <w:rsid w:val="7A534B63"/>
    <w:rsid w:val="7A5E5F9F"/>
    <w:rsid w:val="7A615382"/>
    <w:rsid w:val="7A67303B"/>
    <w:rsid w:val="7A717AEC"/>
    <w:rsid w:val="7A8D2CB9"/>
    <w:rsid w:val="7AAB1D04"/>
    <w:rsid w:val="7ABA4368"/>
    <w:rsid w:val="7ABD652C"/>
    <w:rsid w:val="7ACD0A2E"/>
    <w:rsid w:val="7ACD6C80"/>
    <w:rsid w:val="7AD05746"/>
    <w:rsid w:val="7AD7365B"/>
    <w:rsid w:val="7AD95625"/>
    <w:rsid w:val="7AE53FCA"/>
    <w:rsid w:val="7AFE6E3A"/>
    <w:rsid w:val="7B013D7C"/>
    <w:rsid w:val="7B257FFD"/>
    <w:rsid w:val="7B310FBD"/>
    <w:rsid w:val="7B315461"/>
    <w:rsid w:val="7B343476"/>
    <w:rsid w:val="7B4E1B6F"/>
    <w:rsid w:val="7B5A2978"/>
    <w:rsid w:val="7B5A7E4C"/>
    <w:rsid w:val="7B667AF9"/>
    <w:rsid w:val="7B7468F8"/>
    <w:rsid w:val="7B7535A0"/>
    <w:rsid w:val="7B841A35"/>
    <w:rsid w:val="7B8820C8"/>
    <w:rsid w:val="7B8F1286"/>
    <w:rsid w:val="7B9652C4"/>
    <w:rsid w:val="7BA63759"/>
    <w:rsid w:val="7BB73A37"/>
    <w:rsid w:val="7BC167E5"/>
    <w:rsid w:val="7BCB7664"/>
    <w:rsid w:val="7BCE4A5E"/>
    <w:rsid w:val="7BD302C6"/>
    <w:rsid w:val="7BD733E6"/>
    <w:rsid w:val="7BD83B2F"/>
    <w:rsid w:val="7BDF4EBD"/>
    <w:rsid w:val="7BED75DA"/>
    <w:rsid w:val="7BEE0103"/>
    <w:rsid w:val="7BEE5100"/>
    <w:rsid w:val="7BF546E1"/>
    <w:rsid w:val="7BFA1CF7"/>
    <w:rsid w:val="7C0A0FE4"/>
    <w:rsid w:val="7C105077"/>
    <w:rsid w:val="7C1A78FD"/>
    <w:rsid w:val="7C23124E"/>
    <w:rsid w:val="7C254906"/>
    <w:rsid w:val="7C330D65"/>
    <w:rsid w:val="7C422690"/>
    <w:rsid w:val="7C4D1E27"/>
    <w:rsid w:val="7C4E41EC"/>
    <w:rsid w:val="7C5036C5"/>
    <w:rsid w:val="7C590818"/>
    <w:rsid w:val="7C594C70"/>
    <w:rsid w:val="7C5950EA"/>
    <w:rsid w:val="7C743857"/>
    <w:rsid w:val="7C7C10F6"/>
    <w:rsid w:val="7C7E46D6"/>
    <w:rsid w:val="7C853BEA"/>
    <w:rsid w:val="7C855A65"/>
    <w:rsid w:val="7C881368"/>
    <w:rsid w:val="7C907F65"/>
    <w:rsid w:val="7C9B7036"/>
    <w:rsid w:val="7C9E2682"/>
    <w:rsid w:val="7CB24380"/>
    <w:rsid w:val="7CBB1486"/>
    <w:rsid w:val="7CCD11BA"/>
    <w:rsid w:val="7CD9190C"/>
    <w:rsid w:val="7CDC13FD"/>
    <w:rsid w:val="7CE27788"/>
    <w:rsid w:val="7D07647A"/>
    <w:rsid w:val="7D0C32F1"/>
    <w:rsid w:val="7D0F408D"/>
    <w:rsid w:val="7D197F5B"/>
    <w:rsid w:val="7D1B1F25"/>
    <w:rsid w:val="7D382AD7"/>
    <w:rsid w:val="7D3923AB"/>
    <w:rsid w:val="7D3D633F"/>
    <w:rsid w:val="7D425704"/>
    <w:rsid w:val="7D491C6C"/>
    <w:rsid w:val="7D5429C0"/>
    <w:rsid w:val="7D5947FB"/>
    <w:rsid w:val="7D603DDC"/>
    <w:rsid w:val="7D641B1E"/>
    <w:rsid w:val="7D6531A0"/>
    <w:rsid w:val="7D6679FD"/>
    <w:rsid w:val="7D692C90"/>
    <w:rsid w:val="7D6E64F9"/>
    <w:rsid w:val="7D6E6D43"/>
    <w:rsid w:val="7D755AD9"/>
    <w:rsid w:val="7D7D498E"/>
    <w:rsid w:val="7D871368"/>
    <w:rsid w:val="7DA43CC8"/>
    <w:rsid w:val="7DAF266D"/>
    <w:rsid w:val="7DB57A34"/>
    <w:rsid w:val="7DCF67CB"/>
    <w:rsid w:val="7DE60973"/>
    <w:rsid w:val="7DEF0916"/>
    <w:rsid w:val="7DFA5D53"/>
    <w:rsid w:val="7E1D1CCD"/>
    <w:rsid w:val="7E1E5218"/>
    <w:rsid w:val="7E2A260C"/>
    <w:rsid w:val="7E2B43EA"/>
    <w:rsid w:val="7E327526"/>
    <w:rsid w:val="7E3F7E95"/>
    <w:rsid w:val="7E464D80"/>
    <w:rsid w:val="7E551467"/>
    <w:rsid w:val="7E5751DF"/>
    <w:rsid w:val="7E5C0A47"/>
    <w:rsid w:val="7E5E47BF"/>
    <w:rsid w:val="7E7538B7"/>
    <w:rsid w:val="7E781FEE"/>
    <w:rsid w:val="7E7FFE31"/>
    <w:rsid w:val="7E865AC4"/>
    <w:rsid w:val="7E977CD1"/>
    <w:rsid w:val="7E9A4E1F"/>
    <w:rsid w:val="7E9C52E7"/>
    <w:rsid w:val="7EA36676"/>
    <w:rsid w:val="7EA7723A"/>
    <w:rsid w:val="7EA83C8C"/>
    <w:rsid w:val="7EC565EC"/>
    <w:rsid w:val="7ECB34D7"/>
    <w:rsid w:val="7ED14F91"/>
    <w:rsid w:val="7ED607F9"/>
    <w:rsid w:val="7EE06F82"/>
    <w:rsid w:val="7EEF5417"/>
    <w:rsid w:val="7EF44CAD"/>
    <w:rsid w:val="7EF56FBB"/>
    <w:rsid w:val="7EF944E8"/>
    <w:rsid w:val="7EF96296"/>
    <w:rsid w:val="7EFC5D86"/>
    <w:rsid w:val="7F0768EB"/>
    <w:rsid w:val="7F143BEC"/>
    <w:rsid w:val="7F21759B"/>
    <w:rsid w:val="7F3B065C"/>
    <w:rsid w:val="7F480FCB"/>
    <w:rsid w:val="7F4A7735"/>
    <w:rsid w:val="7F4C4618"/>
    <w:rsid w:val="7F54171E"/>
    <w:rsid w:val="7F5E259D"/>
    <w:rsid w:val="7F651B7D"/>
    <w:rsid w:val="7F6556D9"/>
    <w:rsid w:val="7F715AF2"/>
    <w:rsid w:val="7F7E682B"/>
    <w:rsid w:val="7F853FCE"/>
    <w:rsid w:val="7F886E69"/>
    <w:rsid w:val="7F8C0EB8"/>
    <w:rsid w:val="7F9145F0"/>
    <w:rsid w:val="7F9E0BEB"/>
    <w:rsid w:val="7F9E2999"/>
    <w:rsid w:val="7FA83BFE"/>
    <w:rsid w:val="7FB15581"/>
    <w:rsid w:val="7FB16B71"/>
    <w:rsid w:val="7FBD5515"/>
    <w:rsid w:val="7FD73AEA"/>
    <w:rsid w:val="7FE707E4"/>
    <w:rsid w:val="7FF54CAF"/>
    <w:rsid w:val="7FF56A5D"/>
    <w:rsid w:val="7FFC4290"/>
    <w:rsid w:val="7FFD1DB6"/>
    <w:rsid w:val="7FFF3B1B"/>
    <w:rsid w:val="96FFFFE3"/>
    <w:rsid w:val="BB7FA927"/>
    <w:rsid w:val="BCA92260"/>
    <w:rsid w:val="DDF9AC99"/>
    <w:rsid w:val="EE66ED2F"/>
    <w:rsid w:val="F5FFD31F"/>
    <w:rsid w:val="FD7D4055"/>
    <w:rsid w:val="FF767C41"/>
    <w:rsid w:val="FF7F4C4D"/>
    <w:rsid w:val="FFE849F9"/>
    <w:rsid w:val="FFFF9F2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12" w:lineRule="auto"/>
      <w:jc w:val="both"/>
    </w:pPr>
    <w:rPr>
      <w:rFonts w:ascii="Times New Roman" w:hAnsi="Times New Roman" w:eastAsia="仿宋" w:cs="Times New Roman"/>
      <w:kern w:val="2"/>
      <w:sz w:val="24"/>
      <w:szCs w:val="24"/>
      <w:lang w:val="en-US" w:eastAsia="zh-CN" w:bidi="ar-SA"/>
    </w:rPr>
  </w:style>
  <w:style w:type="paragraph" w:styleId="2">
    <w:name w:val="heading 1"/>
    <w:basedOn w:val="1"/>
    <w:next w:val="1"/>
    <w:link w:val="94"/>
    <w:qFormat/>
    <w:uiPriority w:val="9"/>
    <w:pPr>
      <w:keepNext/>
      <w:keepLines/>
      <w:numPr>
        <w:ilvl w:val="0"/>
        <w:numId w:val="1"/>
      </w:numPr>
      <w:tabs>
        <w:tab w:val="left" w:pos="432"/>
      </w:tab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tabs>
        <w:tab w:val="left" w:pos="432"/>
      </w:tabs>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tabs>
        <w:tab w:val="left" w:pos="900"/>
      </w:tabs>
      <w:spacing w:before="260" w:after="260" w:line="416" w:lineRule="auto"/>
      <w:outlineLvl w:val="2"/>
    </w:pPr>
    <w:rPr>
      <w:b/>
      <w:bCs/>
      <w:sz w:val="32"/>
      <w:szCs w:val="32"/>
    </w:rPr>
  </w:style>
  <w:style w:type="paragraph" w:styleId="5">
    <w:name w:val="heading 4"/>
    <w:basedOn w:val="1"/>
    <w:next w:val="1"/>
    <w:link w:val="334"/>
    <w:qFormat/>
    <w:uiPriority w:val="0"/>
    <w:pPr>
      <w:keepNext/>
      <w:keepLines/>
      <w:numPr>
        <w:ilvl w:val="3"/>
        <w:numId w:val="1"/>
      </w:numPr>
      <w:tabs>
        <w:tab w:val="left" w:pos="864"/>
      </w:tabs>
      <w:spacing w:before="280" w:after="290" w:line="376" w:lineRule="auto"/>
      <w:outlineLvl w:val="3"/>
    </w:pPr>
    <w:rPr>
      <w:rFonts w:ascii="Arial" w:hAnsi="Arial" w:eastAsia="黑体"/>
      <w:b/>
      <w:bCs/>
      <w:sz w:val="28"/>
      <w:szCs w:val="28"/>
      <w:lang w:val="zh-CN"/>
    </w:rPr>
  </w:style>
  <w:style w:type="paragraph" w:styleId="6">
    <w:name w:val="heading 5"/>
    <w:basedOn w:val="1"/>
    <w:next w:val="1"/>
    <w:link w:val="301"/>
    <w:qFormat/>
    <w:uiPriority w:val="0"/>
    <w:pPr>
      <w:keepNext/>
      <w:keepLines/>
      <w:numPr>
        <w:ilvl w:val="4"/>
        <w:numId w:val="1"/>
      </w:numPr>
      <w:tabs>
        <w:tab w:val="left" w:pos="1008"/>
      </w:tabs>
      <w:spacing w:before="280" w:after="290" w:line="376" w:lineRule="auto"/>
      <w:outlineLvl w:val="4"/>
    </w:pPr>
    <w:rPr>
      <w:b/>
      <w:bCs/>
      <w:sz w:val="28"/>
      <w:szCs w:val="28"/>
    </w:rPr>
  </w:style>
  <w:style w:type="paragraph" w:styleId="7">
    <w:name w:val="heading 6"/>
    <w:basedOn w:val="1"/>
    <w:next w:val="1"/>
    <w:link w:val="159"/>
    <w:qFormat/>
    <w:uiPriority w:val="0"/>
    <w:pPr>
      <w:keepNext/>
      <w:keepLines/>
      <w:numPr>
        <w:ilvl w:val="5"/>
        <w:numId w:val="1"/>
      </w:numPr>
      <w:tabs>
        <w:tab w:val="left" w:pos="1152"/>
      </w:tabs>
      <w:spacing w:before="240" w:after="64" w:line="320" w:lineRule="auto"/>
      <w:outlineLvl w:val="5"/>
    </w:pPr>
    <w:rPr>
      <w:rFonts w:ascii="Arial" w:hAnsi="Arial" w:eastAsia="黑体"/>
      <w:b/>
      <w:bCs/>
    </w:rPr>
  </w:style>
  <w:style w:type="paragraph" w:styleId="8">
    <w:name w:val="heading 7"/>
    <w:basedOn w:val="1"/>
    <w:next w:val="1"/>
    <w:link w:val="314"/>
    <w:qFormat/>
    <w:uiPriority w:val="0"/>
    <w:pPr>
      <w:keepNext/>
      <w:keepLines/>
      <w:numPr>
        <w:ilvl w:val="6"/>
        <w:numId w:val="1"/>
      </w:numPr>
      <w:tabs>
        <w:tab w:val="left" w:pos="1296"/>
      </w:tabs>
      <w:spacing w:before="240" w:after="64" w:line="320" w:lineRule="auto"/>
      <w:outlineLvl w:val="6"/>
    </w:pPr>
    <w:rPr>
      <w:b/>
      <w:bCs/>
    </w:rPr>
  </w:style>
  <w:style w:type="paragraph" w:styleId="9">
    <w:name w:val="heading 8"/>
    <w:basedOn w:val="1"/>
    <w:next w:val="1"/>
    <w:link w:val="364"/>
    <w:qFormat/>
    <w:uiPriority w:val="0"/>
    <w:pPr>
      <w:keepNext/>
      <w:keepLines/>
      <w:numPr>
        <w:ilvl w:val="7"/>
        <w:numId w:val="1"/>
      </w:numPr>
      <w:tabs>
        <w:tab w:val="left" w:pos="1440"/>
      </w:tabs>
      <w:spacing w:before="240" w:after="64" w:line="320" w:lineRule="auto"/>
      <w:outlineLvl w:val="7"/>
    </w:pPr>
    <w:rPr>
      <w:rFonts w:ascii="Arial" w:hAnsi="Arial" w:eastAsia="黑体"/>
    </w:rPr>
  </w:style>
  <w:style w:type="paragraph" w:styleId="10">
    <w:name w:val="heading 9"/>
    <w:basedOn w:val="1"/>
    <w:next w:val="1"/>
    <w:link w:val="193"/>
    <w:qFormat/>
    <w:uiPriority w:val="0"/>
    <w:pPr>
      <w:keepNext/>
      <w:keepLines/>
      <w:numPr>
        <w:ilvl w:val="8"/>
        <w:numId w:val="1"/>
      </w:numPr>
      <w:tabs>
        <w:tab w:val="left" w:pos="1584"/>
      </w:tabs>
      <w:spacing w:before="240" w:after="64" w:line="320" w:lineRule="auto"/>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Cs w:val="20"/>
    </w:rPr>
  </w:style>
  <w:style w:type="paragraph" w:styleId="15">
    <w:name w:val="Normal Indent"/>
    <w:basedOn w:val="1"/>
    <w:link w:val="204"/>
    <w:qFormat/>
    <w:uiPriority w:val="0"/>
    <w:pPr>
      <w:widowControl/>
      <w:spacing w:line="480" w:lineRule="exact"/>
      <w:ind w:firstLine="567"/>
    </w:pPr>
    <w:rPr>
      <w:rFonts w:ascii="宋体"/>
      <w:snapToGrid w:val="0"/>
      <w:color w:val="000000"/>
      <w:kern w:val="28"/>
      <w:sz w:val="28"/>
      <w:szCs w:val="20"/>
    </w:rPr>
  </w:style>
  <w:style w:type="paragraph" w:styleId="16">
    <w:name w:val="caption"/>
    <w:basedOn w:val="1"/>
    <w:next w:val="1"/>
    <w:link w:val="240"/>
    <w:qFormat/>
    <w:uiPriority w:val="35"/>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13"/>
    <w:qFormat/>
    <w:uiPriority w:val="0"/>
    <w:pPr>
      <w:shd w:val="clear" w:color="auto" w:fill="000080"/>
    </w:pPr>
  </w:style>
  <w:style w:type="paragraph" w:styleId="19">
    <w:name w:val="annotation text"/>
    <w:basedOn w:val="1"/>
    <w:link w:val="351"/>
    <w:qFormat/>
    <w:uiPriority w:val="0"/>
    <w:pPr>
      <w:jc w:val="left"/>
    </w:pPr>
  </w:style>
  <w:style w:type="paragraph" w:styleId="20">
    <w:name w:val="Salutation"/>
    <w:basedOn w:val="1"/>
    <w:next w:val="1"/>
    <w:link w:val="306"/>
    <w:qFormat/>
    <w:uiPriority w:val="0"/>
    <w:rPr>
      <w:rFonts w:ascii="仿宋_GB2312" w:eastAsia="仿宋_GB2312"/>
      <w:sz w:val="28"/>
      <w:szCs w:val="20"/>
    </w:rPr>
  </w:style>
  <w:style w:type="paragraph" w:styleId="21">
    <w:name w:val="Body Text 3"/>
    <w:basedOn w:val="1"/>
    <w:link w:val="337"/>
    <w:qFormat/>
    <w:uiPriority w:val="0"/>
    <w:pPr>
      <w:jc w:val="center"/>
    </w:pPr>
    <w:rPr>
      <w:szCs w:val="20"/>
    </w:rPr>
  </w:style>
  <w:style w:type="paragraph" w:styleId="22">
    <w:name w:val="List Bullet 3"/>
    <w:basedOn w:val="1"/>
    <w:unhideWhenUsed/>
    <w:qFormat/>
    <w:uiPriority w:val="0"/>
    <w:pPr>
      <w:spacing w:line="360" w:lineRule="auto"/>
      <w:ind w:left="360" w:right="238" w:hanging="360"/>
      <w:contextualSpacing/>
    </w:pPr>
  </w:style>
  <w:style w:type="paragraph" w:styleId="23">
    <w:name w:val="Body Text"/>
    <w:basedOn w:val="1"/>
    <w:link w:val="967"/>
    <w:qFormat/>
    <w:uiPriority w:val="0"/>
    <w:pPr>
      <w:autoSpaceDE w:val="0"/>
      <w:autoSpaceDN w:val="0"/>
      <w:spacing w:line="360" w:lineRule="auto"/>
    </w:pPr>
    <w:rPr>
      <w:rFonts w:ascii="宋体" w:hAnsi="Arial" w:cs="Arial"/>
      <w:snapToGrid w:val="0"/>
      <w:szCs w:val="21"/>
      <w:lang w:val="zh-CN"/>
    </w:rPr>
  </w:style>
  <w:style w:type="paragraph" w:styleId="24">
    <w:name w:val="Body Text Indent"/>
    <w:basedOn w:val="1"/>
    <w:next w:val="25"/>
    <w:link w:val="274"/>
    <w:qFormat/>
    <w:uiPriority w:val="0"/>
    <w:pPr>
      <w:spacing w:line="480" w:lineRule="exact"/>
      <w:ind w:firstLine="480" w:firstLineChars="200"/>
    </w:pPr>
    <w:rPr>
      <w:rFonts w:ascii="宋体" w:hAnsi="宋体"/>
    </w:rPr>
  </w:style>
  <w:style w:type="paragraph" w:styleId="25">
    <w:name w:val="Body Text First Indent 2"/>
    <w:basedOn w:val="24"/>
    <w:link w:val="133"/>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Cs w:val="20"/>
    </w:rPr>
  </w:style>
  <w:style w:type="paragraph" w:styleId="30">
    <w:name w:val="HTML Address"/>
    <w:basedOn w:val="1"/>
    <w:link w:val="230"/>
    <w:qFormat/>
    <w:uiPriority w:val="0"/>
    <w:pPr>
      <w:widowControl/>
      <w:adjustRightInd/>
      <w:ind w:firstLine="200" w:firstLineChars="200"/>
      <w:jc w:val="left"/>
    </w:pPr>
    <w:rPr>
      <w:rFonts w:ascii="宋体" w:hAnsi="宋体"/>
      <w:i/>
      <w:iCs/>
      <w:kern w:val="0"/>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rPr>
  </w:style>
  <w:style w:type="paragraph" w:styleId="35">
    <w:name w:val="toc 8"/>
    <w:basedOn w:val="1"/>
    <w:next w:val="1"/>
    <w:qFormat/>
    <w:uiPriority w:val="0"/>
    <w:pPr>
      <w:ind w:left="2940" w:leftChars="1400"/>
    </w:pPr>
  </w:style>
  <w:style w:type="paragraph" w:styleId="36">
    <w:name w:val="Date"/>
    <w:basedOn w:val="1"/>
    <w:next w:val="1"/>
    <w:link w:val="192"/>
    <w:qFormat/>
    <w:uiPriority w:val="0"/>
    <w:pPr>
      <w:ind w:left="100" w:leftChars="2500"/>
    </w:pPr>
    <w:rPr>
      <w:rFonts w:ascii="宋体"/>
      <w:szCs w:val="21"/>
      <w:lang w:val="zh-CN"/>
    </w:rPr>
  </w:style>
  <w:style w:type="paragraph" w:styleId="37">
    <w:name w:val="Body Text Indent 2"/>
    <w:basedOn w:val="1"/>
    <w:link w:val="315"/>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99"/>
    <w:qFormat/>
    <w:uiPriority w:val="0"/>
    <w:rPr>
      <w:sz w:val="18"/>
      <w:szCs w:val="18"/>
    </w:rPr>
  </w:style>
  <w:style w:type="paragraph" w:styleId="40">
    <w:name w:val="footer"/>
    <w:basedOn w:val="1"/>
    <w:link w:val="388"/>
    <w:qFormat/>
    <w:uiPriority w:val="99"/>
    <w:pPr>
      <w:tabs>
        <w:tab w:val="center" w:pos="4153"/>
        <w:tab w:val="right" w:pos="8306"/>
      </w:tabs>
      <w:jc w:val="left"/>
    </w:pPr>
    <w:rPr>
      <w:sz w:val="18"/>
      <w:szCs w:val="18"/>
    </w:rPr>
  </w:style>
  <w:style w:type="paragraph" w:styleId="41">
    <w:name w:val="header"/>
    <w:basedOn w:val="1"/>
    <w:link w:val="397"/>
    <w:qFormat/>
    <w:uiPriority w:val="99"/>
    <w:pPr>
      <w:pBdr>
        <w:bottom w:val="single" w:color="auto" w:sz="6" w:space="1"/>
      </w:pBdr>
      <w:tabs>
        <w:tab w:val="center" w:pos="4153"/>
        <w:tab w:val="right" w:pos="8306"/>
      </w:tabs>
      <w:jc w:val="center"/>
    </w:pPr>
    <w:rPr>
      <w:sz w:val="18"/>
      <w:szCs w:val="18"/>
    </w:rPr>
  </w:style>
  <w:style w:type="paragraph" w:styleId="42">
    <w:name w:val="Signature"/>
    <w:basedOn w:val="1"/>
    <w:link w:val="352"/>
    <w:qFormat/>
    <w:uiPriority w:val="0"/>
    <w:pPr>
      <w:spacing w:after="600" w:line="312" w:lineRule="atLeast"/>
      <w:jc w:val="center"/>
      <w:textAlignment w:val="baseline"/>
    </w:pPr>
    <w:rPr>
      <w:rFonts w:eastAsia="仿宋_GB2312"/>
      <w:kern w:val="0"/>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Cs w:val="20"/>
    </w:rPr>
  </w:style>
  <w:style w:type="paragraph" w:styleId="47">
    <w:name w:val="Subtitle"/>
    <w:link w:val="14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Cs w:val="20"/>
    </w:rPr>
  </w:style>
  <w:style w:type="paragraph" w:styleId="49">
    <w:name w:val="List"/>
    <w:basedOn w:val="1"/>
    <w:qFormat/>
    <w:uiPriority w:val="0"/>
    <w:pPr>
      <w:ind w:left="200" w:hanging="200" w:hangingChars="200"/>
    </w:pPr>
  </w:style>
  <w:style w:type="paragraph" w:styleId="50">
    <w:name w:val="footnote text"/>
    <w:basedOn w:val="15"/>
    <w:link w:val="31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80"/>
    <w:qFormat/>
    <w:uiPriority w:val="0"/>
    <w:pPr>
      <w:spacing w:line="360" w:lineRule="auto"/>
      <w:ind w:firstLine="420"/>
    </w:pPr>
    <w:rPr>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9"/>
    <w:qFormat/>
    <w:uiPriority w:val="0"/>
    <w:pPr>
      <w:spacing w:after="120" w:line="480" w:lineRule="auto"/>
    </w:pPr>
  </w:style>
  <w:style w:type="paragraph" w:styleId="57">
    <w:name w:val="HTML Preformatted"/>
    <w:basedOn w:val="1"/>
    <w:link w:val="3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rPr>
  </w:style>
  <w:style w:type="paragraph" w:styleId="59">
    <w:name w:val="Title"/>
    <w:basedOn w:val="1"/>
    <w:link w:val="294"/>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19"/>
    <w:next w:val="19"/>
    <w:link w:val="109"/>
    <w:qFormat/>
    <w:uiPriority w:val="0"/>
    <w:rPr>
      <w:b/>
      <w:bCs/>
    </w:rPr>
  </w:style>
  <w:style w:type="paragraph" w:styleId="61">
    <w:name w:val="Body Text First Indent"/>
    <w:basedOn w:val="23"/>
    <w:link w:val="328"/>
    <w:qFormat/>
    <w:uiPriority w:val="0"/>
    <w:pPr>
      <w:ind w:firstLine="420"/>
    </w:pPr>
    <w:rPr>
      <w:rFonts w:hAnsi="Calibri" w:cs="Times New Roman"/>
      <w:snapToGrid/>
      <w:szCs w:val="20"/>
    </w:rPr>
  </w:style>
  <w:style w:type="table" w:styleId="63">
    <w:name w:val="Table Grid"/>
    <w:basedOn w:val="6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next w:val="80"/>
    <w:link w:val="24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1">
    <w:name w:val="标题 2 字符"/>
    <w:qFormat/>
    <w:uiPriority w:val="1"/>
    <w:rPr>
      <w:rFonts w:ascii="仿宋_GB2312" w:hAnsi="Times New Roman" w:eastAsia="仿宋_GB2312" w:cs="Times New Roman"/>
      <w:b/>
      <w:kern w:val="2"/>
      <w:sz w:val="24"/>
      <w:lang w:val="zh-CN"/>
    </w:rPr>
  </w:style>
  <w:style w:type="character" w:customStyle="1" w:styleId="82">
    <w:name w:val="标题 3 字符"/>
    <w:qFormat/>
    <w:uiPriority w:val="9"/>
    <w:rPr>
      <w:b/>
      <w:bCs/>
      <w:kern w:val="2"/>
      <w:sz w:val="32"/>
      <w:szCs w:val="32"/>
    </w:rPr>
  </w:style>
  <w:style w:type="paragraph" w:customStyle="1" w:styleId="8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84">
    <w:name w:val="List Paragraph"/>
    <w:basedOn w:val="1"/>
    <w:next w:val="1"/>
    <w:qFormat/>
    <w:uiPriority w:val="34"/>
    <w:pPr>
      <w:spacing w:line="360" w:lineRule="auto"/>
      <w:ind w:firstLine="200" w:firstLineChars="200"/>
    </w:pPr>
    <w:rPr>
      <w:rFonts w:eastAsia="楷体_GB2312" w:cs="Lucida Sans"/>
    </w:rPr>
  </w:style>
  <w:style w:type="character" w:customStyle="1" w:styleId="85">
    <w:name w:val="正文缩进 字符"/>
    <w:qFormat/>
    <w:uiPriority w:val="0"/>
    <w:rPr>
      <w:rFonts w:ascii="宋体" w:eastAsia="宋体"/>
      <w:snapToGrid w:val="0"/>
      <w:color w:val="000000"/>
      <w:kern w:val="28"/>
      <w:sz w:val="28"/>
      <w:lang w:val="en-US" w:eastAsia="zh-CN" w:bidi="ar-SA"/>
    </w:rPr>
  </w:style>
  <w:style w:type="character" w:customStyle="1" w:styleId="86">
    <w:name w:val="正文文本 Char"/>
    <w:qFormat/>
    <w:uiPriority w:val="0"/>
    <w:rPr>
      <w:rFonts w:eastAsia="宋体"/>
      <w:kern w:val="2"/>
      <w:sz w:val="24"/>
      <w:szCs w:val="24"/>
      <w:lang w:val="en-US" w:eastAsia="zh-CN" w:bidi="ar-SA"/>
    </w:rPr>
  </w:style>
  <w:style w:type="character" w:customStyle="1" w:styleId="87">
    <w:name w:val="标题 4 字符"/>
    <w:qFormat/>
    <w:uiPriority w:val="9"/>
    <w:rPr>
      <w:rFonts w:ascii="等线 Light" w:hAnsi="等线 Light" w:eastAsia="等线 Light" w:cs="Times New Roman"/>
      <w:b/>
      <w:bCs/>
      <w:snapToGrid w:val="0"/>
      <w:kern w:val="0"/>
      <w:sz w:val="28"/>
      <w:szCs w:val="28"/>
    </w:rPr>
  </w:style>
  <w:style w:type="paragraph" w:customStyle="1" w:styleId="88">
    <w:name w:val="Heading2"/>
    <w:basedOn w:val="1"/>
    <w:next w:val="1"/>
    <w:qFormat/>
    <w:uiPriority w:val="0"/>
    <w:pPr>
      <w:keepNext/>
      <w:keepLines/>
      <w:spacing w:before="260" w:after="260" w:line="412" w:lineRule="auto"/>
      <w:textAlignment w:val="baseline"/>
    </w:pPr>
    <w:rPr>
      <w:rFonts w:ascii="Arial" w:hAnsi="Arial" w:eastAsia="黑体"/>
      <w:b/>
      <w:bCs/>
      <w:sz w:val="32"/>
      <w:szCs w:val="32"/>
    </w:rPr>
  </w:style>
  <w:style w:type="paragraph" w:customStyle="1" w:styleId="89">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90">
    <w:name w:val="样式3"/>
    <w:basedOn w:val="91"/>
    <w:next w:val="1"/>
    <w:qFormat/>
    <w:uiPriority w:val="0"/>
    <w:pPr>
      <w:tabs>
        <w:tab w:val="left" w:pos="2790"/>
        <w:tab w:val="left" w:pos="4230"/>
      </w:tabs>
      <w:spacing w:beforeLines="100"/>
      <w:jc w:val="left"/>
    </w:pPr>
  </w:style>
  <w:style w:type="paragraph" w:customStyle="1" w:styleId="91">
    <w:name w:val="样式2"/>
    <w:basedOn w:val="1"/>
    <w:qFormat/>
    <w:uiPriority w:val="0"/>
    <w:pPr>
      <w:tabs>
        <w:tab w:val="left" w:pos="2790"/>
        <w:tab w:val="left" w:pos="4230"/>
      </w:tabs>
      <w:autoSpaceDE w:val="0"/>
      <w:autoSpaceDN w:val="0"/>
      <w:spacing w:line="360" w:lineRule="auto"/>
      <w:jc w:val="center"/>
      <w:outlineLvl w:val="1"/>
    </w:pPr>
    <w:rPr>
      <w:rFonts w:ascii="仿宋_GB2312" w:hAnsi="仿宋" w:eastAsia="仿宋_GB2312"/>
      <w:b/>
      <w:bCs/>
      <w:kern w:val="0"/>
      <w:sz w:val="32"/>
      <w:szCs w:val="30"/>
      <w:lang w:val="zh-CN"/>
    </w:rPr>
  </w:style>
  <w:style w:type="paragraph" w:customStyle="1" w:styleId="92">
    <w:name w:val="样式6"/>
    <w:basedOn w:val="33"/>
    <w:next w:val="23"/>
    <w:qFormat/>
    <w:uiPriority w:val="0"/>
    <w:pPr>
      <w:spacing w:line="460" w:lineRule="exact"/>
      <w:outlineLvl w:val="2"/>
    </w:pPr>
    <w:rPr>
      <w:rFonts w:ascii="仿宋_GB2312" w:hAnsi="宋体" w:eastAsia="仿宋_GB2312"/>
      <w:b/>
      <w:bCs/>
      <w:szCs w:val="24"/>
    </w:rPr>
  </w:style>
  <w:style w:type="character" w:customStyle="1" w:styleId="93">
    <w:name w:val="标题 1 字符"/>
    <w:qFormat/>
    <w:uiPriority w:val="9"/>
    <w:rPr>
      <w:rFonts w:ascii="Arial" w:hAnsi="Arial" w:eastAsia="黑体" w:cs="Arial"/>
      <w:b/>
      <w:bCs/>
      <w:snapToGrid w:val="0"/>
      <w:kern w:val="44"/>
      <w:sz w:val="44"/>
      <w:szCs w:val="44"/>
    </w:rPr>
  </w:style>
  <w:style w:type="character" w:customStyle="1" w:styleId="94">
    <w:name w:val="标题 1 字符1"/>
    <w:link w:val="2"/>
    <w:qFormat/>
    <w:uiPriority w:val="9"/>
    <w:rPr>
      <w:b/>
      <w:bCs/>
      <w:kern w:val="44"/>
      <w:sz w:val="44"/>
      <w:szCs w:val="44"/>
    </w:rPr>
  </w:style>
  <w:style w:type="character" w:customStyle="1" w:styleId="95">
    <w:name w:val="表格非标题文字 Char"/>
    <w:link w:val="96"/>
    <w:qFormat/>
    <w:uiPriority w:val="0"/>
    <w:rPr>
      <w:rFonts w:ascii="Futura Bk" w:hAnsi="Futura Bk"/>
      <w:kern w:val="2"/>
      <w:sz w:val="18"/>
      <w:szCs w:val="21"/>
      <w:lang w:val="en-US" w:eastAsia="zh-CN" w:bidi="ar-SA"/>
    </w:rPr>
  </w:style>
  <w:style w:type="paragraph" w:customStyle="1" w:styleId="96">
    <w:name w:val="表格非标题文字"/>
    <w:link w:val="9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
    <w:name w:val="*正文 Char"/>
    <w:link w:val="98"/>
    <w:qFormat/>
    <w:locked/>
    <w:uiPriority w:val="0"/>
    <w:rPr>
      <w:rFonts w:ascii="宋体" w:hAnsi="宋体"/>
      <w:sz w:val="24"/>
    </w:rPr>
  </w:style>
  <w:style w:type="paragraph" w:customStyle="1" w:styleId="98">
    <w:name w:val="*正文"/>
    <w:basedOn w:val="1"/>
    <w:link w:val="97"/>
    <w:qFormat/>
    <w:uiPriority w:val="0"/>
    <w:pPr>
      <w:spacing w:line="360" w:lineRule="auto"/>
      <w:ind w:firstLine="482"/>
      <w:jc w:val="left"/>
    </w:pPr>
    <w:rPr>
      <w:rFonts w:ascii="宋体" w:hAnsi="宋体"/>
      <w:kern w:val="0"/>
      <w:szCs w:val="20"/>
    </w:rPr>
  </w:style>
  <w:style w:type="character" w:customStyle="1" w:styleId="99">
    <w:name w:val="Char Char71"/>
    <w:semiHidden/>
    <w:qFormat/>
    <w:uiPriority w:val="0"/>
    <w:rPr>
      <w:rFonts w:eastAsia="宋体"/>
      <w:kern w:val="2"/>
      <w:sz w:val="21"/>
      <w:szCs w:val="24"/>
      <w:lang w:val="en-US" w:eastAsia="zh-CN" w:bidi="ar-SA"/>
    </w:rPr>
  </w:style>
  <w:style w:type="character" w:customStyle="1" w:styleId="100">
    <w:name w:val="Char Char6"/>
    <w:qFormat/>
    <w:uiPriority w:val="0"/>
    <w:rPr>
      <w:rFonts w:eastAsia="宋体"/>
      <w:kern w:val="2"/>
      <w:sz w:val="21"/>
      <w:szCs w:val="24"/>
      <w:lang w:val="en-US" w:eastAsia="zh-CN" w:bidi="ar-SA"/>
    </w:rPr>
  </w:style>
  <w:style w:type="character" w:customStyle="1" w:styleId="101">
    <w:name w:val="正文缩进 Char"/>
    <w:qFormat/>
    <w:uiPriority w:val="0"/>
    <w:rPr>
      <w:rFonts w:eastAsia="宋体"/>
      <w:kern w:val="2"/>
      <w:sz w:val="21"/>
      <w:lang w:val="en-US" w:eastAsia="zh-CN"/>
    </w:rPr>
  </w:style>
  <w:style w:type="character" w:customStyle="1" w:styleId="102">
    <w:name w:val="正文首行缩进 Char1"/>
    <w:qFormat/>
    <w:uiPriority w:val="0"/>
    <w:rPr>
      <w:rFonts w:ascii="宋体" w:hAnsi="Times New Roman" w:eastAsia="宋体" w:cs="Times New Roman"/>
      <w:snapToGrid w:val="0"/>
      <w:kern w:val="2"/>
      <w:sz w:val="24"/>
      <w:szCs w:val="21"/>
      <w:lang w:val="zh-CN"/>
    </w:rPr>
  </w:style>
  <w:style w:type="character" w:customStyle="1" w:styleId="103">
    <w:name w:val="Char Char28"/>
    <w:qFormat/>
    <w:uiPriority w:val="6"/>
    <w:rPr>
      <w:rFonts w:ascii="仿宋_GB2312" w:hAnsi="仿宋_GB2312" w:eastAsia="仿宋_GB2312"/>
      <w:kern w:val="1"/>
      <w:sz w:val="28"/>
    </w:rPr>
  </w:style>
  <w:style w:type="character" w:customStyle="1" w:styleId="10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5">
    <w:name w:val="Heading 1 Char"/>
    <w:qFormat/>
    <w:uiPriority w:val="6"/>
    <w:rPr>
      <w:rFonts w:ascii="Times New Roman" w:hAnsi="Times New Roman" w:eastAsia="黑体" w:cs="Times New Roman"/>
      <w:b/>
      <w:kern w:val="0"/>
      <w:sz w:val="24"/>
      <w:szCs w:val="24"/>
    </w:rPr>
  </w:style>
  <w:style w:type="character" w:customStyle="1" w:styleId="106">
    <w:name w:val="U_正文 Char"/>
    <w:link w:val="107"/>
    <w:qFormat/>
    <w:uiPriority w:val="0"/>
    <w:rPr>
      <w:sz w:val="24"/>
      <w:szCs w:val="24"/>
    </w:rPr>
  </w:style>
  <w:style w:type="paragraph" w:customStyle="1" w:styleId="107">
    <w:name w:val="U_正文"/>
    <w:basedOn w:val="1"/>
    <w:link w:val="106"/>
    <w:qFormat/>
    <w:uiPriority w:val="0"/>
    <w:pPr>
      <w:adjustRightInd/>
      <w:spacing w:beforeLines="20" w:afterLines="20" w:line="300" w:lineRule="auto"/>
      <w:ind w:firstLine="200" w:firstLineChars="200"/>
    </w:pPr>
    <w:rPr>
      <w:kern w:val="0"/>
    </w:rPr>
  </w:style>
  <w:style w:type="character" w:customStyle="1" w:styleId="108">
    <w:name w:val="HTML 地址 Char1"/>
    <w:qFormat/>
    <w:uiPriority w:val="0"/>
    <w:rPr>
      <w:rFonts w:ascii="Times New Roman" w:hAnsi="Times New Roman" w:eastAsia="宋体" w:cs="Times New Roman"/>
      <w:i/>
      <w:iCs/>
      <w:szCs w:val="24"/>
    </w:rPr>
  </w:style>
  <w:style w:type="character" w:customStyle="1" w:styleId="109">
    <w:name w:val="批注主题 字符"/>
    <w:link w:val="60"/>
    <w:qFormat/>
    <w:uiPriority w:val="0"/>
    <w:rPr>
      <w:b/>
      <w:bCs/>
      <w:kern w:val="2"/>
      <w:sz w:val="21"/>
      <w:szCs w:val="24"/>
    </w:rPr>
  </w:style>
  <w:style w:type="character" w:customStyle="1" w:styleId="110">
    <w:name w:val="Char Char51"/>
    <w:qFormat/>
    <w:uiPriority w:val="0"/>
    <w:rPr>
      <w:rFonts w:ascii="宋体" w:hAnsi="Courier New" w:eastAsia="宋体"/>
      <w:kern w:val="2"/>
      <w:sz w:val="21"/>
      <w:lang w:val="en-US" w:eastAsia="zh-CN"/>
    </w:rPr>
  </w:style>
  <w:style w:type="character" w:customStyle="1" w:styleId="111">
    <w:name w:val="表正文 Char"/>
    <w:qFormat/>
    <w:uiPriority w:val="0"/>
    <w:rPr>
      <w:rFonts w:ascii="宋体" w:eastAsia="宋体"/>
      <w:snapToGrid w:val="0"/>
      <w:color w:val="000000"/>
      <w:kern w:val="28"/>
      <w:sz w:val="28"/>
      <w:lang w:val="en-US" w:eastAsia="zh-CN" w:bidi="ar-SA"/>
    </w:rPr>
  </w:style>
  <w:style w:type="character" w:customStyle="1" w:styleId="112">
    <w:name w:val="Char Char34"/>
    <w:qFormat/>
    <w:uiPriority w:val="6"/>
    <w:rPr>
      <w:b/>
      <w:kern w:val="1"/>
      <w:sz w:val="28"/>
      <w:szCs w:val="28"/>
    </w:rPr>
  </w:style>
  <w:style w:type="character" w:customStyle="1" w:styleId="11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4">
    <w:name w:val="哈哈正文 Char"/>
    <w:link w:val="115"/>
    <w:qFormat/>
    <w:uiPriority w:val="0"/>
    <w:rPr>
      <w:rFonts w:ascii="宋体" w:hAnsi="宋体" w:eastAsia="宋体"/>
      <w:kern w:val="2"/>
      <w:sz w:val="24"/>
      <w:lang w:bidi="ar-SA"/>
    </w:rPr>
  </w:style>
  <w:style w:type="paragraph" w:customStyle="1" w:styleId="115">
    <w:name w:val="哈哈正文"/>
    <w:basedOn w:val="1"/>
    <w:link w:val="114"/>
    <w:qFormat/>
    <w:uiPriority w:val="0"/>
    <w:pPr>
      <w:adjustRightInd/>
      <w:spacing w:line="360" w:lineRule="auto"/>
      <w:ind w:firstLine="200" w:firstLineChars="200"/>
    </w:pPr>
    <w:rPr>
      <w:rFonts w:ascii="宋体" w:hAnsi="宋体"/>
      <w:szCs w:val="20"/>
    </w:rPr>
  </w:style>
  <w:style w:type="character" w:customStyle="1" w:styleId="116">
    <w:name w:val="未处理的提及1"/>
    <w:qFormat/>
    <w:uiPriority w:val="0"/>
    <w:rPr>
      <w:color w:val="808080"/>
      <w:shd w:val="clear" w:color="auto" w:fill="E6E6E6"/>
    </w:rPr>
  </w:style>
  <w:style w:type="character" w:customStyle="1" w:styleId="117">
    <w:name w:val="txt"/>
    <w:qFormat/>
    <w:uiPriority w:val="0"/>
    <w:rPr>
      <w:rFonts w:ascii="仿宋_GB2312" w:eastAsia="微软雅黑"/>
      <w:b/>
      <w:kern w:val="2"/>
      <w:sz w:val="32"/>
      <w:szCs w:val="32"/>
      <w:lang w:val="en-US" w:eastAsia="zh-CN" w:bidi="ar-SA"/>
    </w:rPr>
  </w:style>
  <w:style w:type="character" w:customStyle="1" w:styleId="118">
    <w:name w:val="二级标题 Char Char"/>
    <w:qFormat/>
    <w:uiPriority w:val="0"/>
    <w:rPr>
      <w:rFonts w:ascii="宋体" w:hAnsi="宋体" w:eastAsia="宋体"/>
      <w:b/>
      <w:snapToGrid w:val="0"/>
      <w:kern w:val="2"/>
      <w:sz w:val="24"/>
      <w:szCs w:val="24"/>
      <w:lang w:val="en-US" w:eastAsia="zh-CN" w:bidi="ar-SA"/>
    </w:rPr>
  </w:style>
  <w:style w:type="character" w:customStyle="1" w:styleId="119">
    <w:name w:val="Char Char32"/>
    <w:qFormat/>
    <w:uiPriority w:val="6"/>
    <w:rPr>
      <w:b/>
      <w:kern w:val="1"/>
      <w:sz w:val="24"/>
      <w:szCs w:val="24"/>
    </w:rPr>
  </w:style>
  <w:style w:type="character" w:customStyle="1" w:styleId="120">
    <w:name w:val="PI Char1"/>
    <w:qFormat/>
    <w:uiPriority w:val="0"/>
    <w:rPr>
      <w:rFonts w:ascii="宋体" w:hAnsi="宋体"/>
      <w:kern w:val="2"/>
      <w:sz w:val="24"/>
      <w:szCs w:val="24"/>
    </w:rPr>
  </w:style>
  <w:style w:type="character" w:customStyle="1" w:styleId="121">
    <w:name w:val="tw4winTerm"/>
    <w:qFormat/>
    <w:uiPriority w:val="0"/>
    <w:rPr>
      <w:color w:val="0000FF"/>
    </w:rPr>
  </w:style>
  <w:style w:type="character" w:customStyle="1" w:styleId="122">
    <w:name w:val="Footer Char"/>
    <w:qFormat/>
    <w:locked/>
    <w:uiPriority w:val="0"/>
    <w:rPr>
      <w:rFonts w:eastAsia="宋体"/>
      <w:kern w:val="2"/>
      <w:sz w:val="18"/>
      <w:lang w:val="en-US" w:eastAsia="zh-CN" w:bidi="ar-SA"/>
    </w:rPr>
  </w:style>
  <w:style w:type="character" w:customStyle="1" w:styleId="123">
    <w:name w:val="普通文字 Char Char1"/>
    <w:qFormat/>
    <w:uiPriority w:val="0"/>
    <w:rPr>
      <w:rFonts w:ascii="宋体" w:hAnsi="Courier New"/>
      <w:kern w:val="2"/>
      <w:sz w:val="21"/>
    </w:rPr>
  </w:style>
  <w:style w:type="character" w:customStyle="1" w:styleId="124">
    <w:name w:val="Char Char101"/>
    <w:qFormat/>
    <w:uiPriority w:val="6"/>
    <w:rPr>
      <w:rFonts w:ascii="宋体" w:hAnsi="宋体"/>
      <w:kern w:val="2"/>
      <w:sz w:val="21"/>
      <w:szCs w:val="24"/>
      <w:lang w:val="en-US" w:eastAsia="zh-CN"/>
    </w:rPr>
  </w:style>
  <w:style w:type="character" w:customStyle="1" w:styleId="125">
    <w:name w:val="标题 4 Char"/>
    <w:qFormat/>
    <w:uiPriority w:val="0"/>
    <w:rPr>
      <w:rFonts w:ascii="Arial" w:hAnsi="Arial" w:eastAsia="黑体"/>
      <w:b/>
      <w:kern w:val="2"/>
      <w:sz w:val="28"/>
    </w:rPr>
  </w:style>
  <w:style w:type="character" w:customStyle="1" w:styleId="126">
    <w:name w:val="链接"/>
    <w:qFormat/>
    <w:uiPriority w:val="0"/>
    <w:rPr>
      <w:color w:val="0000FF"/>
      <w:sz w:val="21"/>
      <w:szCs w:val="21"/>
      <w:u w:val="single"/>
    </w:rPr>
  </w:style>
  <w:style w:type="character" w:customStyle="1" w:styleId="127">
    <w:name w:val="h4 Char"/>
    <w:qFormat/>
    <w:uiPriority w:val="0"/>
    <w:rPr>
      <w:rFonts w:ascii="Arial" w:hAnsi="Arial" w:eastAsia="黑体"/>
      <w:b/>
      <w:bCs/>
      <w:kern w:val="2"/>
      <w:sz w:val="28"/>
      <w:szCs w:val="28"/>
      <w:lang w:val="zh-CN" w:eastAsia="zh-CN" w:bidi="ar-SA"/>
    </w:rPr>
  </w:style>
  <w:style w:type="character" w:customStyle="1" w:styleId="128">
    <w:name w:val="5正文 Char"/>
    <w:link w:val="129"/>
    <w:qFormat/>
    <w:uiPriority w:val="0"/>
    <w:rPr>
      <w:rFonts w:ascii="仿宋_GB2312" w:hAnsi="微软雅黑" w:eastAsia="仿宋_GB2312"/>
      <w:sz w:val="28"/>
      <w:szCs w:val="21"/>
    </w:rPr>
  </w:style>
  <w:style w:type="paragraph" w:customStyle="1" w:styleId="129">
    <w:name w:val="5正文"/>
    <w:basedOn w:val="1"/>
    <w:link w:val="12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30">
    <w:name w:val="样式6 Char"/>
    <w:qFormat/>
    <w:uiPriority w:val="0"/>
    <w:rPr>
      <w:rFonts w:ascii="仿宋_GB2312" w:hAnsi="宋体" w:eastAsia="仿宋_GB2312"/>
      <w:b/>
      <w:bCs/>
      <w:kern w:val="2"/>
      <w:sz w:val="24"/>
      <w:szCs w:val="24"/>
      <w:lang w:val="en-US" w:eastAsia="zh-CN" w:bidi="ar-SA"/>
    </w:rPr>
  </w:style>
  <w:style w:type="character" w:customStyle="1" w:styleId="131">
    <w:name w:val="Char Char14"/>
    <w:qFormat/>
    <w:uiPriority w:val="6"/>
    <w:rPr>
      <w:rFonts w:ascii="黑体" w:hAnsi="黑体" w:eastAsia="黑体"/>
    </w:rPr>
  </w:style>
  <w:style w:type="character" w:customStyle="1" w:styleId="132">
    <w:name w:val="Heading 2 Hidden Char"/>
    <w:qFormat/>
    <w:uiPriority w:val="0"/>
    <w:rPr>
      <w:rFonts w:ascii="仿宋_GB2312" w:eastAsia="仿宋_GB2312"/>
      <w:b/>
      <w:bCs/>
      <w:kern w:val="2"/>
      <w:sz w:val="24"/>
      <w:szCs w:val="24"/>
      <w:lang w:val="zh-CN" w:eastAsia="zh-CN" w:bidi="ar-SA"/>
    </w:rPr>
  </w:style>
  <w:style w:type="character" w:customStyle="1" w:styleId="133">
    <w:name w:val="正文首行缩进 2 字符"/>
    <w:link w:val="25"/>
    <w:qFormat/>
    <w:uiPriority w:val="0"/>
    <w:rPr>
      <w:rFonts w:ascii="宋体" w:hAnsi="宋体"/>
      <w:kern w:val="2"/>
      <w:sz w:val="21"/>
      <w:szCs w:val="24"/>
    </w:rPr>
  </w:style>
  <w:style w:type="character" w:customStyle="1" w:styleId="134">
    <w:name w:val="font11"/>
    <w:qFormat/>
    <w:uiPriority w:val="0"/>
    <w:rPr>
      <w:rFonts w:hint="default" w:ascii="Times New Roman" w:hAnsi="Times New Roman" w:cs="Times New Roman"/>
      <w:color w:val="000000"/>
      <w:sz w:val="22"/>
      <w:szCs w:val="22"/>
      <w:u w:val="none"/>
    </w:rPr>
  </w:style>
  <w:style w:type="character" w:customStyle="1" w:styleId="135">
    <w:name w:val="表正文 Char1"/>
    <w:qFormat/>
    <w:uiPriority w:val="0"/>
    <w:rPr>
      <w:rFonts w:ascii="宋体" w:eastAsia="宋体"/>
      <w:snapToGrid w:val="0"/>
      <w:color w:val="000000"/>
      <w:kern w:val="28"/>
      <w:sz w:val="28"/>
    </w:rPr>
  </w:style>
  <w:style w:type="character" w:customStyle="1" w:styleId="136">
    <w:name w:val="blue1"/>
    <w:basedOn w:val="69"/>
    <w:qFormat/>
    <w:uiPriority w:val="0"/>
    <w:rPr>
      <w:rFonts w:ascii="Arial" w:hAnsi="Arial" w:eastAsia="黑体" w:cs="Arial"/>
      <w:snapToGrid w:val="0"/>
      <w:kern w:val="0"/>
      <w:szCs w:val="21"/>
    </w:rPr>
  </w:style>
  <w:style w:type="character" w:customStyle="1" w:styleId="137">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38">
    <w:name w:val="标书1 Char"/>
    <w:qFormat/>
    <w:uiPriority w:val="0"/>
    <w:rPr>
      <w:rFonts w:eastAsia="宋体"/>
      <w:b/>
      <w:bCs/>
      <w:kern w:val="44"/>
      <w:sz w:val="44"/>
      <w:szCs w:val="44"/>
      <w:lang w:val="en-US" w:eastAsia="zh-CN" w:bidi="ar-SA"/>
    </w:rPr>
  </w:style>
  <w:style w:type="character" w:customStyle="1" w:styleId="139">
    <w:name w:val="样式5 Char"/>
    <w:qFormat/>
    <w:uiPriority w:val="0"/>
    <w:rPr>
      <w:rFonts w:ascii="仿宋_GB2312" w:hAnsi="仿宋" w:eastAsia="仿宋_GB2312"/>
      <w:kern w:val="2"/>
      <w:sz w:val="24"/>
      <w:szCs w:val="24"/>
    </w:rPr>
  </w:style>
  <w:style w:type="character" w:customStyle="1" w:styleId="140">
    <w:name w:val="样式4 Char"/>
    <w:qFormat/>
    <w:uiPriority w:val="0"/>
    <w:rPr>
      <w:rFonts w:ascii="仿宋_GB2312" w:hAnsi="仿宋" w:eastAsia="仿宋_GB2312"/>
      <w:b/>
      <w:kern w:val="2"/>
      <w:sz w:val="32"/>
      <w:szCs w:val="32"/>
      <w:lang w:bidi="ar-SA"/>
    </w:rPr>
  </w:style>
  <w:style w:type="character" w:customStyle="1" w:styleId="141">
    <w:name w:val="插图说明 Char"/>
    <w:qFormat/>
    <w:uiPriority w:val="0"/>
    <w:rPr>
      <w:rFonts w:eastAsia="黑体"/>
      <w:sz w:val="24"/>
      <w:lang w:val="en-US" w:eastAsia="zh-CN"/>
    </w:rPr>
  </w:style>
  <w:style w:type="character" w:customStyle="1" w:styleId="142">
    <w:name w:val="正文2 Char Char"/>
    <w:link w:val="143"/>
    <w:qFormat/>
    <w:uiPriority w:val="0"/>
    <w:rPr>
      <w:rFonts w:eastAsia="宋体"/>
      <w:kern w:val="2"/>
      <w:sz w:val="24"/>
      <w:lang w:val="en-US" w:eastAsia="zh-CN" w:bidi="ar-SA"/>
    </w:rPr>
  </w:style>
  <w:style w:type="paragraph" w:customStyle="1" w:styleId="143">
    <w:name w:val="正文2"/>
    <w:basedOn w:val="1"/>
    <w:link w:val="142"/>
    <w:qFormat/>
    <w:uiPriority w:val="0"/>
    <w:pPr>
      <w:spacing w:before="156" w:line="360" w:lineRule="auto"/>
      <w:ind w:firstLine="510" w:firstLineChars="200"/>
    </w:pPr>
    <w:rPr>
      <w:szCs w:val="20"/>
    </w:rPr>
  </w:style>
  <w:style w:type="character" w:customStyle="1" w:styleId="144">
    <w:name w:val="Char Char24"/>
    <w:qFormat/>
    <w:uiPriority w:val="6"/>
    <w:rPr>
      <w:kern w:val="1"/>
      <w:sz w:val="21"/>
    </w:rPr>
  </w:style>
  <w:style w:type="character" w:customStyle="1" w:styleId="145">
    <w:name w:val="副标题 字符"/>
    <w:link w:val="47"/>
    <w:qFormat/>
    <w:uiPriority w:val="0"/>
    <w:rPr>
      <w:rFonts w:ascii="Arial" w:hAnsi="Arial" w:eastAsia="隶书"/>
      <w:b/>
      <w:bCs/>
      <w:kern w:val="28"/>
      <w:sz w:val="44"/>
      <w:szCs w:val="32"/>
      <w:lang w:val="en-US" w:eastAsia="zh-CN" w:bidi="ar-SA"/>
    </w:rPr>
  </w:style>
  <w:style w:type="character" w:customStyle="1" w:styleId="146">
    <w:name w:val="普通文字 Char1 Char"/>
    <w:qFormat/>
    <w:uiPriority w:val="0"/>
    <w:rPr>
      <w:rFonts w:ascii="宋体" w:hAnsi="Courier New" w:eastAsia="宋体"/>
      <w:kern w:val="2"/>
      <w:sz w:val="21"/>
      <w:szCs w:val="24"/>
      <w:lang w:val="en-US" w:eastAsia="zh-CN" w:bidi="ar-SA"/>
    </w:rPr>
  </w:style>
  <w:style w:type="character" w:customStyle="1" w:styleId="147">
    <w:name w:val="h3 Char1"/>
    <w:qFormat/>
    <w:uiPriority w:val="0"/>
    <w:rPr>
      <w:rFonts w:eastAsia="宋体"/>
      <w:b/>
      <w:bCs/>
      <w:kern w:val="2"/>
      <w:sz w:val="32"/>
      <w:szCs w:val="32"/>
      <w:lang w:bidi="ar-SA"/>
    </w:rPr>
  </w:style>
  <w:style w:type="character" w:customStyle="1" w:styleId="148">
    <w:name w:val="标题 Char1"/>
    <w:qFormat/>
    <w:uiPriority w:val="0"/>
    <w:rPr>
      <w:rFonts w:ascii="Cambria" w:hAnsi="Cambria" w:eastAsia="宋体" w:cs="Times New Roman"/>
      <w:b/>
      <w:bCs/>
      <w:sz w:val="32"/>
      <w:szCs w:val="32"/>
      <w:lang w:bidi="ar-SA"/>
    </w:rPr>
  </w:style>
  <w:style w:type="character" w:customStyle="1" w:styleId="149">
    <w:name w:val="gf正文1 Char"/>
    <w:qFormat/>
    <w:uiPriority w:val="0"/>
    <w:rPr>
      <w:rFonts w:ascii="宋体" w:hAnsi="宋体" w:eastAsia="宋体" w:cs="宋体"/>
      <w:kern w:val="2"/>
      <w:sz w:val="24"/>
      <w:szCs w:val="24"/>
      <w:lang w:val="en-US" w:eastAsia="zh-CN" w:bidi="ar-SA"/>
    </w:rPr>
  </w:style>
  <w:style w:type="character" w:customStyle="1" w:styleId="150">
    <w:name w:val="正文文本缩进 Char1"/>
    <w:qFormat/>
    <w:uiPriority w:val="0"/>
    <w:rPr>
      <w:rFonts w:ascii="Calibri" w:hAnsi="Calibri"/>
      <w:sz w:val="28"/>
    </w:rPr>
  </w:style>
  <w:style w:type="character" w:customStyle="1" w:styleId="151">
    <w:name w:val="No Spacing Char"/>
    <w:link w:val="152"/>
    <w:qFormat/>
    <w:uiPriority w:val="1"/>
    <w:rPr>
      <w:sz w:val="22"/>
      <w:szCs w:val="22"/>
      <w:lang w:val="en-US" w:eastAsia="zh-CN" w:bidi="ar-SA"/>
    </w:rPr>
  </w:style>
  <w:style w:type="paragraph" w:customStyle="1" w:styleId="152">
    <w:name w:val="无间隔1"/>
    <w:link w:val="151"/>
    <w:qFormat/>
    <w:uiPriority w:val="1"/>
    <w:rPr>
      <w:rFonts w:ascii="Times New Roman" w:hAnsi="Times New Roman" w:eastAsia="宋体" w:cs="Times New Roman"/>
      <w:sz w:val="22"/>
      <w:szCs w:val="22"/>
      <w:lang w:val="en-US" w:eastAsia="zh-CN" w:bidi="ar-SA"/>
    </w:rPr>
  </w:style>
  <w:style w:type="character" w:customStyle="1" w:styleId="153">
    <w:name w:val="样式7 Char"/>
    <w:qFormat/>
    <w:uiPriority w:val="0"/>
    <w:rPr>
      <w:rFonts w:ascii="仿宋_GB2312" w:hAnsi="仿宋" w:eastAsia="仿宋_GB2312"/>
      <w:b/>
      <w:kern w:val="2"/>
      <w:sz w:val="24"/>
      <w:szCs w:val="24"/>
    </w:rPr>
  </w:style>
  <w:style w:type="character" w:customStyle="1" w:styleId="154">
    <w:name w:val="font12gray1"/>
    <w:qFormat/>
    <w:uiPriority w:val="0"/>
    <w:rPr>
      <w:rFonts w:ascii="仿宋_GB2312" w:eastAsia="微软雅黑"/>
      <w:b/>
      <w:spacing w:val="300"/>
      <w:kern w:val="2"/>
      <w:sz w:val="18"/>
      <w:szCs w:val="18"/>
      <w:lang w:val="en-US" w:eastAsia="zh-CN" w:bidi="ar-SA"/>
    </w:rPr>
  </w:style>
  <w:style w:type="character" w:customStyle="1" w:styleId="155">
    <w:name w:val="Char Char7"/>
    <w:semiHidden/>
    <w:qFormat/>
    <w:uiPriority w:val="0"/>
    <w:rPr>
      <w:rFonts w:eastAsia="宋体"/>
      <w:kern w:val="2"/>
      <w:sz w:val="21"/>
      <w:szCs w:val="24"/>
      <w:lang w:val="en-US" w:eastAsia="zh-CN" w:bidi="ar-SA"/>
    </w:rPr>
  </w:style>
  <w:style w:type="character" w:customStyle="1" w:styleId="156">
    <w:name w:val="表名 Char"/>
    <w:qFormat/>
    <w:uiPriority w:val="0"/>
    <w:rPr>
      <w:rFonts w:eastAsia="宋体"/>
      <w:b/>
      <w:bCs/>
      <w:kern w:val="2"/>
      <w:sz w:val="24"/>
      <w:szCs w:val="24"/>
      <w:lang w:val="en-US" w:eastAsia="zh-CN" w:bidi="ar-SA"/>
    </w:rPr>
  </w:style>
  <w:style w:type="character" w:customStyle="1" w:styleId="157">
    <w:name w:val="Document Map Char"/>
    <w:qFormat/>
    <w:locked/>
    <w:uiPriority w:val="0"/>
    <w:rPr>
      <w:rFonts w:eastAsia="宋体"/>
      <w:kern w:val="2"/>
      <w:sz w:val="21"/>
      <w:szCs w:val="24"/>
      <w:lang w:val="en-US" w:eastAsia="zh-CN" w:bidi="ar-SA"/>
    </w:rPr>
  </w:style>
  <w:style w:type="character" w:customStyle="1" w:styleId="158">
    <w:name w:val="font41"/>
    <w:qFormat/>
    <w:uiPriority w:val="0"/>
    <w:rPr>
      <w:rFonts w:hint="eastAsia" w:ascii="仿宋_GB2312" w:eastAsia="仿宋_GB2312" w:cs="仿宋_GB2312"/>
      <w:color w:val="000000"/>
      <w:sz w:val="22"/>
      <w:szCs w:val="22"/>
      <w:u w:val="none"/>
    </w:rPr>
  </w:style>
  <w:style w:type="character" w:customStyle="1" w:styleId="159">
    <w:name w:val="标题 6 字符"/>
    <w:link w:val="7"/>
    <w:qFormat/>
    <w:uiPriority w:val="0"/>
    <w:rPr>
      <w:rFonts w:ascii="Arial" w:hAnsi="Arial" w:eastAsia="黑体"/>
      <w:b/>
      <w:bCs/>
      <w:kern w:val="2"/>
      <w:sz w:val="24"/>
      <w:szCs w:val="24"/>
    </w:rPr>
  </w:style>
  <w:style w:type="character" w:customStyle="1" w:styleId="160">
    <w:name w:val="纯文本 Char_0"/>
    <w:link w:val="161"/>
    <w:qFormat/>
    <w:uiPriority w:val="0"/>
    <w:rPr>
      <w:rFonts w:ascii="宋体" w:hAnsi="Courier New"/>
      <w:kern w:val="2"/>
      <w:sz w:val="21"/>
      <w:szCs w:val="21"/>
      <w:lang w:val="en-US" w:eastAsia="zh-CN"/>
    </w:rPr>
  </w:style>
  <w:style w:type="paragraph" w:customStyle="1" w:styleId="161">
    <w:name w:val="纯文本_0_0"/>
    <w:basedOn w:val="162"/>
    <w:link w:val="160"/>
    <w:qFormat/>
    <w:uiPriority w:val="0"/>
    <w:rPr>
      <w:rFonts w:ascii="宋体" w:hAnsi="Courier New"/>
      <w:szCs w:val="21"/>
    </w:rPr>
  </w:style>
  <w:style w:type="paragraph" w:customStyle="1" w:styleId="16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3">
    <w:name w:val="Balloon Text Char"/>
    <w:qFormat/>
    <w:locked/>
    <w:uiPriority w:val="0"/>
    <w:rPr>
      <w:rFonts w:eastAsia="宋体"/>
      <w:kern w:val="2"/>
      <w:sz w:val="18"/>
      <w:szCs w:val="18"/>
      <w:lang w:val="en-US" w:eastAsia="zh-CN" w:bidi="ar-SA"/>
    </w:rPr>
  </w:style>
  <w:style w:type="character" w:customStyle="1" w:styleId="164">
    <w:name w:val="正文 项目2 Char"/>
    <w:basedOn w:val="165"/>
    <w:qFormat/>
    <w:uiPriority w:val="0"/>
    <w:rPr>
      <w:rFonts w:ascii="仿宋_GB2312" w:hAnsi="仿宋_GB2312" w:eastAsia="仿宋_GB2312"/>
      <w:kern w:val="2"/>
      <w:sz w:val="24"/>
      <w:lang w:bidi="ar-SA"/>
    </w:rPr>
  </w:style>
  <w:style w:type="character" w:customStyle="1" w:styleId="165">
    <w:name w:val="正文 项目 Char"/>
    <w:qFormat/>
    <w:uiPriority w:val="0"/>
    <w:rPr>
      <w:rFonts w:ascii="仿宋_GB2312" w:hAnsi="仿宋_GB2312" w:eastAsia="仿宋_GB2312"/>
      <w:kern w:val="2"/>
      <w:sz w:val="24"/>
      <w:lang w:bidi="ar-SA"/>
    </w:rPr>
  </w:style>
  <w:style w:type="character" w:customStyle="1" w:styleId="166">
    <w:name w:val="h Char Char1"/>
    <w:qFormat/>
    <w:uiPriority w:val="0"/>
    <w:rPr>
      <w:rFonts w:eastAsia="宋体"/>
      <w:kern w:val="2"/>
      <w:sz w:val="18"/>
      <w:szCs w:val="18"/>
      <w:lang w:val="en-US" w:eastAsia="zh-CN" w:bidi="ar-SA"/>
    </w:rPr>
  </w:style>
  <w:style w:type="character" w:customStyle="1" w:styleId="167">
    <w:name w:val="Char Char27"/>
    <w:qFormat/>
    <w:uiPriority w:val="6"/>
    <w:rPr>
      <w:rFonts w:ascii="宋体" w:hAnsi="宋体" w:eastAsia="宋体"/>
      <w:color w:val="000000"/>
      <w:kern w:val="1"/>
      <w:sz w:val="28"/>
      <w:lang w:val="en-US" w:eastAsia="zh-CN" w:bidi="ar-SA"/>
    </w:rPr>
  </w:style>
  <w:style w:type="character" w:customStyle="1" w:styleId="168">
    <w:name w:val="px14"/>
    <w:qFormat/>
    <w:uiPriority w:val="0"/>
    <w:rPr>
      <w:rFonts w:ascii="仿宋_GB2312" w:eastAsia="微软雅黑" w:cs="Times New Roman"/>
      <w:b/>
      <w:kern w:val="2"/>
      <w:sz w:val="32"/>
      <w:szCs w:val="32"/>
      <w:lang w:val="en-US" w:eastAsia="zh-CN" w:bidi="ar-SA"/>
    </w:rPr>
  </w:style>
  <w:style w:type="character" w:customStyle="1" w:styleId="169">
    <w:name w:val="HTML 预设格式 Char1"/>
    <w:qFormat/>
    <w:uiPriority w:val="0"/>
    <w:rPr>
      <w:rFonts w:ascii="Courier New" w:hAnsi="Courier New" w:eastAsia="宋体" w:cs="Courier New"/>
      <w:sz w:val="20"/>
      <w:szCs w:val="20"/>
    </w:rPr>
  </w:style>
  <w:style w:type="character" w:customStyle="1" w:styleId="170">
    <w:name w:val="普通文字 Char1"/>
    <w:qFormat/>
    <w:uiPriority w:val="0"/>
    <w:rPr>
      <w:rFonts w:ascii="宋体" w:hAnsi="Courier New" w:eastAsia="宋体"/>
      <w:kern w:val="2"/>
      <w:sz w:val="21"/>
      <w:lang w:val="en-US" w:eastAsia="zh-CN"/>
    </w:rPr>
  </w:style>
  <w:style w:type="character" w:customStyle="1" w:styleId="171">
    <w:name w:val="hei16b1"/>
    <w:qFormat/>
    <w:uiPriority w:val="0"/>
    <w:rPr>
      <w:rFonts w:hint="default" w:ascii="Arial" w:hAnsi="Arial" w:cs="Arial"/>
      <w:b/>
      <w:bCs/>
      <w:color w:val="000000"/>
      <w:sz w:val="24"/>
      <w:szCs w:val="24"/>
    </w:rPr>
  </w:style>
  <w:style w:type="character" w:customStyle="1" w:styleId="172">
    <w:name w:val="正文（绿盟科技） Char"/>
    <w:link w:val="173"/>
    <w:qFormat/>
    <w:uiPriority w:val="0"/>
    <w:rPr>
      <w:rFonts w:ascii="Arial" w:hAnsi="Arial"/>
      <w:sz w:val="21"/>
      <w:szCs w:val="21"/>
    </w:rPr>
  </w:style>
  <w:style w:type="paragraph" w:customStyle="1" w:styleId="173">
    <w:name w:val="正文（绿盟科技）"/>
    <w:link w:val="172"/>
    <w:qFormat/>
    <w:uiPriority w:val="0"/>
    <w:pPr>
      <w:spacing w:line="300" w:lineRule="auto"/>
    </w:pPr>
    <w:rPr>
      <w:rFonts w:ascii="Arial" w:hAnsi="Arial" w:eastAsia="宋体" w:cs="Times New Roman"/>
      <w:sz w:val="21"/>
      <w:szCs w:val="21"/>
      <w:lang w:val="en-US" w:eastAsia="zh-CN" w:bidi="ar-SA"/>
    </w:rPr>
  </w:style>
  <w:style w:type="character" w:customStyle="1" w:styleId="174">
    <w:name w:val="Char Char19"/>
    <w:qFormat/>
    <w:uiPriority w:val="6"/>
    <w:rPr>
      <w:rFonts w:ascii="宋体" w:hAnsi="宋体"/>
      <w:i/>
      <w:sz w:val="24"/>
      <w:szCs w:val="24"/>
    </w:rPr>
  </w:style>
  <w:style w:type="character" w:customStyle="1" w:styleId="175">
    <w:name w:val="页脚 Char"/>
    <w:qFormat/>
    <w:uiPriority w:val="0"/>
    <w:rPr>
      <w:rFonts w:eastAsia="仿宋_GB2312"/>
      <w:kern w:val="2"/>
      <w:sz w:val="18"/>
      <w:lang w:val="en-US" w:eastAsia="zh-CN"/>
    </w:rPr>
  </w:style>
  <w:style w:type="character" w:customStyle="1" w:styleId="176">
    <w:name w:val="批注主题 Char"/>
    <w:qFormat/>
    <w:uiPriority w:val="0"/>
    <w:rPr>
      <w:rFonts w:eastAsia="宋体"/>
      <w:b/>
      <w:bCs/>
      <w:kern w:val="2"/>
      <w:sz w:val="21"/>
      <w:szCs w:val="24"/>
      <w:lang w:val="en-US" w:eastAsia="zh-CN" w:bidi="ar-SA"/>
    </w:rPr>
  </w:style>
  <w:style w:type="character" w:customStyle="1" w:styleId="177">
    <w:name w:val="Comment Text Char"/>
    <w:qFormat/>
    <w:locked/>
    <w:uiPriority w:val="0"/>
    <w:rPr>
      <w:rFonts w:ascii="宋体" w:hAnsi="宋体" w:eastAsia="宋体"/>
      <w:kern w:val="2"/>
      <w:sz w:val="24"/>
      <w:lang w:val="en-US" w:eastAsia="zh-CN" w:bidi="ar-SA"/>
    </w:rPr>
  </w:style>
  <w:style w:type="character" w:customStyle="1" w:styleId="178">
    <w:name w:val="Char Char72"/>
    <w:qFormat/>
    <w:uiPriority w:val="0"/>
    <w:rPr>
      <w:rFonts w:eastAsia="宋体"/>
      <w:kern w:val="2"/>
      <w:sz w:val="21"/>
      <w:szCs w:val="24"/>
      <w:lang w:val="en-US" w:eastAsia="zh-CN" w:bidi="ar-SA"/>
    </w:rPr>
  </w:style>
  <w:style w:type="character" w:customStyle="1" w:styleId="179">
    <w:name w:val="正文文本缩进 Char2"/>
    <w:qFormat/>
    <w:uiPriority w:val="0"/>
    <w:rPr>
      <w:rFonts w:ascii="Times New Roman" w:hAnsi="Times New Roman" w:eastAsia="宋体" w:cs="Times New Roman"/>
      <w:snapToGrid w:val="0"/>
      <w:kern w:val="0"/>
      <w:szCs w:val="24"/>
    </w:rPr>
  </w:style>
  <w:style w:type="character" w:customStyle="1" w:styleId="180">
    <w:name w:val="样式2 Char"/>
    <w:qFormat/>
    <w:uiPriority w:val="0"/>
    <w:rPr>
      <w:rFonts w:ascii="仿宋_GB2312" w:hAnsi="仿宋" w:eastAsia="仿宋_GB2312" w:cs="仿宋_GB2312"/>
      <w:b/>
      <w:bCs/>
      <w:sz w:val="32"/>
      <w:szCs w:val="30"/>
      <w:lang w:val="zh-CN"/>
    </w:rPr>
  </w:style>
  <w:style w:type="character" w:customStyle="1" w:styleId="181">
    <w:name w:val="表格名称[858D7CFB-ED40-4347-BF05-701D383B685F]"/>
    <w:link w:val="182"/>
    <w:qFormat/>
    <w:uiPriority w:val="0"/>
    <w:rPr>
      <w:sz w:val="32"/>
    </w:rPr>
  </w:style>
  <w:style w:type="paragraph" w:customStyle="1" w:styleId="182">
    <w:name w:val="表格名称"/>
    <w:basedOn w:val="3"/>
    <w:link w:val="181"/>
    <w:qFormat/>
    <w:uiPriority w:val="0"/>
    <w:pPr>
      <w:spacing w:before="240" w:after="240" w:line="240" w:lineRule="auto"/>
      <w:ind w:left="0" w:firstLine="0"/>
      <w:jc w:val="center"/>
    </w:pPr>
    <w:rPr>
      <w:rFonts w:ascii="Calibri" w:hAnsi="Calibri" w:eastAsia="宋体"/>
      <w:b w:val="0"/>
      <w:bCs w:val="0"/>
      <w:kern w:val="0"/>
      <w:szCs w:val="20"/>
    </w:rPr>
  </w:style>
  <w:style w:type="character" w:customStyle="1" w:styleId="183">
    <w:name w:val="Char Char4"/>
    <w:qFormat/>
    <w:uiPriority w:val="0"/>
    <w:rPr>
      <w:rFonts w:eastAsia="宋体"/>
      <w:b/>
      <w:sz w:val="24"/>
      <w:lang w:val="en-GB" w:eastAsia="zh-CN" w:bidi="ar-SA"/>
    </w:rPr>
  </w:style>
  <w:style w:type="character" w:customStyle="1" w:styleId="184">
    <w:name w:val="c7 style3"/>
    <w:qFormat/>
    <w:uiPriority w:val="0"/>
  </w:style>
  <w:style w:type="character" w:customStyle="1" w:styleId="185">
    <w:name w:val="正文文本 3 Char1"/>
    <w:semiHidden/>
    <w:qFormat/>
    <w:uiPriority w:val="99"/>
    <w:rPr>
      <w:rFonts w:ascii="Times New Roman" w:hAnsi="Times New Roman" w:eastAsia="宋体" w:cs="Times New Roman"/>
      <w:sz w:val="16"/>
      <w:szCs w:val="16"/>
    </w:rPr>
  </w:style>
  <w:style w:type="character" w:customStyle="1" w:styleId="186">
    <w:name w:val="tw4winInternal"/>
    <w:qFormat/>
    <w:uiPriority w:val="0"/>
    <w:rPr>
      <w:rFonts w:ascii="Courier New" w:hAnsi="Courier New" w:cs="Courier New"/>
      <w:color w:val="FF0000"/>
      <w:lang w:val="en-US" w:eastAsia="zh-CN"/>
    </w:rPr>
  </w:style>
  <w:style w:type="character" w:customStyle="1" w:styleId="187">
    <w:name w:val="Char Char10"/>
    <w:semiHidden/>
    <w:qFormat/>
    <w:uiPriority w:val="0"/>
    <w:rPr>
      <w:rFonts w:ascii="宋体" w:hAnsi="宋体"/>
      <w:kern w:val="2"/>
      <w:sz w:val="21"/>
      <w:szCs w:val="24"/>
      <w:lang w:val="en-US" w:eastAsia="zh-CN"/>
    </w:rPr>
  </w:style>
  <w:style w:type="character" w:customStyle="1" w:styleId="188">
    <w:name w:val="shadow11"/>
    <w:qFormat/>
    <w:uiPriority w:val="0"/>
    <w:rPr>
      <w:color w:val="000000"/>
      <w:sz w:val="21"/>
    </w:rPr>
  </w:style>
  <w:style w:type="character" w:customStyle="1" w:styleId="189">
    <w:name w:val="正文非缩进 Char3"/>
    <w:qFormat/>
    <w:uiPriority w:val="0"/>
    <w:rPr>
      <w:rFonts w:ascii="宋体" w:eastAsia="宋体"/>
      <w:snapToGrid w:val="0"/>
      <w:color w:val="000000"/>
      <w:kern w:val="28"/>
      <w:sz w:val="28"/>
      <w:lang w:val="en-US" w:eastAsia="zh-CN" w:bidi="ar-SA"/>
    </w:rPr>
  </w:style>
  <w:style w:type="character" w:customStyle="1" w:styleId="190">
    <w:name w:val="Char Char"/>
    <w:qFormat/>
    <w:uiPriority w:val="0"/>
    <w:rPr>
      <w:rFonts w:ascii="宋体" w:hAnsi="Courier New" w:eastAsia="宋体"/>
      <w:kern w:val="2"/>
      <w:sz w:val="21"/>
      <w:lang w:val="en-US" w:eastAsia="zh-CN" w:bidi="ar-SA"/>
    </w:rPr>
  </w:style>
  <w:style w:type="character" w:customStyle="1" w:styleId="191">
    <w:name w:val="签名 Char1"/>
    <w:qFormat/>
    <w:uiPriority w:val="0"/>
    <w:rPr>
      <w:rFonts w:ascii="Times New Roman" w:hAnsi="Times New Roman" w:eastAsia="宋体" w:cs="Times New Roman"/>
      <w:szCs w:val="24"/>
    </w:rPr>
  </w:style>
  <w:style w:type="character" w:customStyle="1" w:styleId="192">
    <w:name w:val="日期 字符"/>
    <w:link w:val="36"/>
    <w:qFormat/>
    <w:uiPriority w:val="0"/>
    <w:rPr>
      <w:rFonts w:ascii="宋体"/>
      <w:kern w:val="2"/>
      <w:sz w:val="24"/>
      <w:szCs w:val="21"/>
      <w:lang w:val="zh-CN"/>
    </w:rPr>
  </w:style>
  <w:style w:type="character" w:customStyle="1" w:styleId="193">
    <w:name w:val="标题 9 字符"/>
    <w:link w:val="10"/>
    <w:qFormat/>
    <w:uiPriority w:val="0"/>
    <w:rPr>
      <w:rFonts w:ascii="Arial" w:hAnsi="Arial" w:eastAsia="黑体"/>
      <w:kern w:val="2"/>
      <w:sz w:val="21"/>
      <w:szCs w:val="21"/>
    </w:rPr>
  </w:style>
  <w:style w:type="character" w:customStyle="1" w:styleId="194">
    <w:name w:val="Char Char18"/>
    <w:qFormat/>
    <w:uiPriority w:val="6"/>
    <w:rPr>
      <w:rFonts w:ascii="宋体" w:hAnsi="宋体"/>
      <w:sz w:val="28"/>
    </w:rPr>
  </w:style>
  <w:style w:type="character" w:customStyle="1" w:styleId="195">
    <w:name w:val="批注文字 Char"/>
    <w:qFormat/>
    <w:uiPriority w:val="99"/>
    <w:rPr>
      <w:kern w:val="2"/>
      <w:sz w:val="21"/>
      <w:szCs w:val="24"/>
    </w:rPr>
  </w:style>
  <w:style w:type="character" w:customStyle="1" w:styleId="196">
    <w:name w:val="Char Char22"/>
    <w:qFormat/>
    <w:uiPriority w:val="6"/>
    <w:rPr>
      <w:rFonts w:ascii="宋体" w:hAnsi="宋体"/>
      <w:kern w:val="1"/>
      <w:sz w:val="24"/>
      <w:szCs w:val="24"/>
    </w:rPr>
  </w:style>
  <w:style w:type="character" w:customStyle="1" w:styleId="197">
    <w:name w:val="pt141"/>
    <w:qFormat/>
    <w:uiPriority w:val="0"/>
    <w:rPr>
      <w:color w:val="330066"/>
      <w:sz w:val="22"/>
      <w:szCs w:val="22"/>
    </w:rPr>
  </w:style>
  <w:style w:type="character" w:customStyle="1" w:styleId="198">
    <w:name w:val="正文文本缩进 2 Char1"/>
    <w:semiHidden/>
    <w:qFormat/>
    <w:uiPriority w:val="99"/>
    <w:rPr>
      <w:rFonts w:ascii="Times New Roman" w:hAnsi="Times New Roman" w:eastAsia="宋体" w:cs="Times New Roman"/>
      <w:szCs w:val="24"/>
    </w:rPr>
  </w:style>
  <w:style w:type="character" w:customStyle="1" w:styleId="199">
    <w:name w:val="批注框文本 字符1"/>
    <w:link w:val="39"/>
    <w:qFormat/>
    <w:uiPriority w:val="0"/>
    <w:rPr>
      <w:kern w:val="2"/>
      <w:sz w:val="18"/>
      <w:szCs w:val="18"/>
    </w:rPr>
  </w:style>
  <w:style w:type="character" w:customStyle="1" w:styleId="200">
    <w:name w:val="Char Char611"/>
    <w:qFormat/>
    <w:uiPriority w:val="0"/>
    <w:rPr>
      <w:rFonts w:eastAsia="宋体"/>
      <w:kern w:val="2"/>
      <w:sz w:val="21"/>
      <w:szCs w:val="24"/>
      <w:lang w:val="en-US" w:eastAsia="zh-CN" w:bidi="ar-SA"/>
    </w:rPr>
  </w:style>
  <w:style w:type="character" w:customStyle="1" w:styleId="201">
    <w:name w:val="highlight1"/>
    <w:qFormat/>
    <w:uiPriority w:val="0"/>
    <w:rPr>
      <w:rFonts w:ascii="仿宋_GB2312" w:eastAsia="微软雅黑"/>
      <w:b/>
      <w:kern w:val="2"/>
      <w:sz w:val="23"/>
      <w:szCs w:val="23"/>
      <w:lang w:val="en-US" w:eastAsia="zh-CN" w:bidi="ar-SA"/>
    </w:rPr>
  </w:style>
  <w:style w:type="character" w:customStyle="1" w:styleId="202">
    <w:name w:val="my正文 Char"/>
    <w:link w:val="203"/>
    <w:qFormat/>
    <w:locked/>
    <w:uiPriority w:val="0"/>
    <w:rPr>
      <w:rFonts w:ascii="Tahoma" w:hAnsi="Tahoma"/>
      <w:sz w:val="24"/>
      <w:szCs w:val="24"/>
    </w:rPr>
  </w:style>
  <w:style w:type="paragraph" w:customStyle="1" w:styleId="203">
    <w:name w:val="my正文"/>
    <w:basedOn w:val="1"/>
    <w:link w:val="202"/>
    <w:qFormat/>
    <w:uiPriority w:val="0"/>
    <w:pPr>
      <w:adjustRightInd/>
      <w:spacing w:line="360" w:lineRule="auto"/>
      <w:ind w:firstLine="480" w:firstLineChars="200"/>
    </w:pPr>
    <w:rPr>
      <w:rFonts w:ascii="Tahoma" w:hAnsi="Tahoma"/>
      <w:kern w:val="0"/>
    </w:rPr>
  </w:style>
  <w:style w:type="character" w:customStyle="1" w:styleId="204">
    <w:name w:val="正文缩进 字符2"/>
    <w:link w:val="15"/>
    <w:qFormat/>
    <w:uiPriority w:val="0"/>
    <w:rPr>
      <w:rFonts w:ascii="宋体" w:eastAsia="宋体"/>
      <w:snapToGrid w:val="0"/>
      <w:color w:val="000000"/>
      <w:kern w:val="28"/>
      <w:sz w:val="28"/>
      <w:lang w:val="en-US" w:eastAsia="zh-CN" w:bidi="ar-SA"/>
    </w:rPr>
  </w:style>
  <w:style w:type="character" w:customStyle="1" w:styleId="205">
    <w:name w:val="Used by Word for text of Help footnotes Char Char1"/>
    <w:qFormat/>
    <w:uiPriority w:val="0"/>
    <w:rPr>
      <w:color w:val="0000FF"/>
      <w:sz w:val="21"/>
    </w:rPr>
  </w:style>
  <w:style w:type="character" w:customStyle="1" w:styleId="206">
    <w:name w:val="页眉 Char"/>
    <w:qFormat/>
    <w:uiPriority w:val="0"/>
    <w:rPr>
      <w:rFonts w:eastAsia="仿宋_GB2312"/>
      <w:kern w:val="2"/>
      <w:sz w:val="18"/>
      <w:lang w:val="en-US" w:eastAsia="zh-CN"/>
    </w:rPr>
  </w:style>
  <w:style w:type="character" w:customStyle="1" w:styleId="207">
    <w:name w:val="FA正文 Char Char"/>
    <w:qFormat/>
    <w:uiPriority w:val="0"/>
    <w:rPr>
      <w:rFonts w:hAnsi="宋体"/>
      <w:kern w:val="2"/>
      <w:sz w:val="24"/>
      <w:lang w:bidi="ar-SA"/>
    </w:rPr>
  </w:style>
  <w:style w:type="character" w:customStyle="1" w:styleId="208">
    <w:name w:val="纯文本 字符"/>
    <w:qFormat/>
    <w:uiPriority w:val="0"/>
    <w:rPr>
      <w:rFonts w:ascii="宋体" w:hAnsi="Courier New" w:eastAsia="宋体" w:cs="Arial"/>
      <w:snapToGrid w:val="0"/>
      <w:kern w:val="2"/>
      <w:sz w:val="21"/>
      <w:szCs w:val="21"/>
      <w:lang w:val="en-US" w:eastAsia="zh-CN" w:bidi="ar-SA"/>
    </w:rPr>
  </w:style>
  <w:style w:type="character" w:customStyle="1" w:styleId="209">
    <w:name w:val="3级 Char"/>
    <w:link w:val="210"/>
    <w:qFormat/>
    <w:uiPriority w:val="0"/>
    <w:rPr>
      <w:rFonts w:ascii="宋体" w:hAnsi="宋体"/>
      <w:b/>
      <w:bCs/>
      <w:snapToGrid/>
      <w:sz w:val="28"/>
    </w:rPr>
  </w:style>
  <w:style w:type="paragraph" w:customStyle="1" w:styleId="210">
    <w:name w:val="3级"/>
    <w:basedOn w:val="211"/>
    <w:link w:val="209"/>
    <w:qFormat/>
    <w:uiPriority w:val="0"/>
    <w:pPr>
      <w:ind w:left="0" w:right="466" w:firstLine="288"/>
    </w:pPr>
    <w:rPr>
      <w:rFonts w:hAnsi="宋体"/>
      <w:snapToGrid/>
    </w:rPr>
  </w:style>
  <w:style w:type="paragraph" w:customStyle="1" w:styleId="21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2">
    <w:name w:val="myp11"/>
    <w:qFormat/>
    <w:uiPriority w:val="0"/>
    <w:rPr>
      <w:rFonts w:ascii="仿宋_GB2312" w:eastAsia="微软雅黑"/>
      <w:b/>
      <w:kern w:val="2"/>
      <w:sz w:val="32"/>
      <w:szCs w:val="32"/>
      <w:lang w:val="en-US" w:eastAsia="zh-CN" w:bidi="ar-SA"/>
    </w:rPr>
  </w:style>
  <w:style w:type="character" w:customStyle="1" w:styleId="213">
    <w:name w:val="文档结构图 字符"/>
    <w:link w:val="18"/>
    <w:qFormat/>
    <w:uiPriority w:val="0"/>
    <w:rPr>
      <w:kern w:val="2"/>
      <w:sz w:val="21"/>
      <w:szCs w:val="24"/>
      <w:shd w:val="clear" w:color="auto" w:fill="000080"/>
    </w:rPr>
  </w:style>
  <w:style w:type="character" w:customStyle="1" w:styleId="214">
    <w:name w:val="H6 Char"/>
    <w:qFormat/>
    <w:uiPriority w:val="0"/>
    <w:rPr>
      <w:rFonts w:ascii="Arial" w:hAnsi="Arial" w:eastAsia="黑体"/>
      <w:b/>
      <w:bCs/>
      <w:kern w:val="2"/>
      <w:sz w:val="24"/>
      <w:szCs w:val="24"/>
    </w:rPr>
  </w:style>
  <w:style w:type="character" w:customStyle="1" w:styleId="215">
    <w:name w:val="Char Char91"/>
    <w:qFormat/>
    <w:uiPriority w:val="0"/>
    <w:rPr>
      <w:rFonts w:eastAsia="宋体"/>
      <w:kern w:val="2"/>
      <w:sz w:val="18"/>
      <w:szCs w:val="18"/>
      <w:lang w:val="en-US" w:eastAsia="zh-CN" w:bidi="ar-SA"/>
    </w:rPr>
  </w:style>
  <w:style w:type="character" w:customStyle="1" w:styleId="216">
    <w:name w:val="副标题 Char1"/>
    <w:qFormat/>
    <w:uiPriority w:val="0"/>
    <w:rPr>
      <w:rFonts w:ascii="Cambria" w:hAnsi="Cambria" w:eastAsia="宋体" w:cs="Times New Roman"/>
      <w:b/>
      <w:bCs/>
      <w:snapToGrid w:val="0"/>
      <w:kern w:val="28"/>
      <w:sz w:val="32"/>
      <w:szCs w:val="32"/>
    </w:rPr>
  </w:style>
  <w:style w:type="character" w:customStyle="1" w:styleId="217">
    <w:name w:val="font61"/>
    <w:basedOn w:val="69"/>
    <w:qFormat/>
    <w:uiPriority w:val="0"/>
    <w:rPr>
      <w:rFonts w:hint="eastAsia" w:ascii="仿宋" w:hAnsi="仿宋" w:eastAsia="仿宋" w:cs="仿宋"/>
      <w:color w:val="000000"/>
      <w:sz w:val="20"/>
      <w:szCs w:val="20"/>
      <w:u w:val="none"/>
    </w:rPr>
  </w:style>
  <w:style w:type="character" w:customStyle="1" w:styleId="21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9">
    <w:name w:val="Char Char211"/>
    <w:qFormat/>
    <w:uiPriority w:val="0"/>
    <w:rPr>
      <w:rFonts w:eastAsia="宋体"/>
      <w:b/>
      <w:bCs/>
      <w:kern w:val="2"/>
      <w:sz w:val="21"/>
      <w:szCs w:val="24"/>
      <w:lang w:val="en-US" w:eastAsia="zh-CN" w:bidi="ar-SA"/>
    </w:rPr>
  </w:style>
  <w:style w:type="character" w:customStyle="1" w:styleId="220">
    <w:name w:val="标题 2 Char"/>
    <w:qFormat/>
    <w:uiPriority w:val="0"/>
    <w:rPr>
      <w:rFonts w:ascii="Arial" w:hAnsi="Arial" w:eastAsia="黑体"/>
      <w:b/>
      <w:kern w:val="2"/>
      <w:sz w:val="32"/>
      <w:lang w:val="en-US" w:eastAsia="zh-CN"/>
    </w:rPr>
  </w:style>
  <w:style w:type="character" w:customStyle="1" w:styleId="221">
    <w:name w:val="maywed421"/>
    <w:qFormat/>
    <w:uiPriority w:val="0"/>
    <w:rPr>
      <w:color w:val="366FB6"/>
      <w:u w:val="none"/>
    </w:rPr>
  </w:style>
  <w:style w:type="character" w:customStyle="1" w:styleId="222">
    <w:name w:val="正文文本缩进 Char"/>
    <w:qFormat/>
    <w:uiPriority w:val="0"/>
    <w:rPr>
      <w:rFonts w:ascii="宋体" w:hAnsi="宋体"/>
      <w:kern w:val="2"/>
      <w:sz w:val="24"/>
      <w:szCs w:val="24"/>
    </w:rPr>
  </w:style>
  <w:style w:type="character" w:customStyle="1" w:styleId="223">
    <w:name w:val="Char Char102"/>
    <w:semiHidden/>
    <w:qFormat/>
    <w:uiPriority w:val="0"/>
    <w:rPr>
      <w:rFonts w:ascii="宋体" w:hAnsi="宋体"/>
      <w:kern w:val="2"/>
      <w:sz w:val="21"/>
      <w:szCs w:val="24"/>
      <w:lang w:val="en-US" w:eastAsia="zh-CN"/>
    </w:rPr>
  </w:style>
  <w:style w:type="character" w:customStyle="1" w:styleId="224">
    <w:name w:val="页眉 Char1"/>
    <w:qFormat/>
    <w:uiPriority w:val="0"/>
    <w:rPr>
      <w:rFonts w:eastAsia="宋体"/>
      <w:kern w:val="2"/>
      <w:sz w:val="18"/>
      <w:szCs w:val="18"/>
      <w:lang w:val="en-US" w:eastAsia="zh-CN" w:bidi="ar-SA"/>
    </w:rPr>
  </w:style>
  <w:style w:type="character" w:customStyle="1" w:styleId="225">
    <w:name w:val="md"/>
    <w:basedOn w:val="69"/>
    <w:qFormat/>
    <w:uiPriority w:val="0"/>
    <w:rPr>
      <w:rFonts w:ascii="Arial" w:hAnsi="Arial" w:eastAsia="黑体" w:cs="Arial"/>
      <w:snapToGrid w:val="0"/>
      <w:kern w:val="0"/>
      <w:szCs w:val="21"/>
    </w:rPr>
  </w:style>
  <w:style w:type="character" w:customStyle="1" w:styleId="226">
    <w:name w:val="big1"/>
    <w:qFormat/>
    <w:uiPriority w:val="0"/>
    <w:rPr>
      <w:rFonts w:hint="eastAsia" w:ascii="宋体" w:hAnsi="宋体" w:eastAsia="宋体"/>
      <w:color w:val="333333"/>
      <w:sz w:val="22"/>
      <w:szCs w:val="22"/>
    </w:rPr>
  </w:style>
  <w:style w:type="character" w:customStyle="1" w:styleId="227">
    <w:name w:val="Char Char311"/>
    <w:qFormat/>
    <w:uiPriority w:val="0"/>
    <w:rPr>
      <w:rFonts w:eastAsia="宋体"/>
      <w:kern w:val="2"/>
      <w:sz w:val="21"/>
      <w:szCs w:val="24"/>
      <w:lang w:val="en-US" w:eastAsia="zh-CN" w:bidi="ar-SA"/>
    </w:rPr>
  </w:style>
  <w:style w:type="character" w:customStyle="1" w:styleId="228">
    <w:name w:val="Char Char81"/>
    <w:qFormat/>
    <w:uiPriority w:val="6"/>
    <w:rPr>
      <w:rFonts w:eastAsia="宋体"/>
      <w:b/>
      <w:sz w:val="24"/>
      <w:lang w:val="en-GB" w:eastAsia="zh-CN"/>
    </w:rPr>
  </w:style>
  <w:style w:type="character" w:customStyle="1" w:styleId="229">
    <w:name w:val="样式3 Char"/>
    <w:basedOn w:val="180"/>
    <w:qFormat/>
    <w:uiPriority w:val="0"/>
    <w:rPr>
      <w:rFonts w:ascii="仿宋_GB2312" w:hAnsi="仿宋" w:eastAsia="仿宋_GB2312" w:cs="仿宋_GB2312"/>
      <w:sz w:val="32"/>
      <w:szCs w:val="30"/>
      <w:lang w:val="zh-CN"/>
    </w:rPr>
  </w:style>
  <w:style w:type="character" w:customStyle="1" w:styleId="230">
    <w:name w:val="HTML 地址 字符"/>
    <w:link w:val="30"/>
    <w:qFormat/>
    <w:uiPriority w:val="0"/>
    <w:rPr>
      <w:rFonts w:ascii="宋体" w:hAnsi="宋体"/>
      <w:i/>
      <w:iCs/>
      <w:sz w:val="24"/>
      <w:szCs w:val="24"/>
    </w:rPr>
  </w:style>
  <w:style w:type="character" w:customStyle="1" w:styleId="231">
    <w:name w:val="正文首行缩进 2 Char1"/>
    <w:qFormat/>
    <w:uiPriority w:val="0"/>
    <w:rPr>
      <w:rFonts w:ascii="Times New Roman" w:hAnsi="Times New Roman" w:eastAsia="宋体" w:cs="Times New Roman"/>
      <w:kern w:val="2"/>
      <w:sz w:val="24"/>
      <w:szCs w:val="24"/>
    </w:rPr>
  </w:style>
  <w:style w:type="character" w:customStyle="1" w:styleId="232">
    <w:name w:val="副标题 Char2"/>
    <w:qFormat/>
    <w:uiPriority w:val="0"/>
    <w:rPr>
      <w:rFonts w:ascii="Cambria" w:hAnsi="Cambria" w:eastAsia="宋体" w:cs="Times New Roman"/>
      <w:b/>
      <w:bCs/>
      <w:snapToGrid w:val="0"/>
      <w:kern w:val="28"/>
      <w:sz w:val="32"/>
      <w:szCs w:val="32"/>
    </w:rPr>
  </w:style>
  <w:style w:type="character" w:customStyle="1" w:styleId="233">
    <w:name w:val="标题4-dyf Char"/>
    <w:link w:val="234"/>
    <w:qFormat/>
    <w:uiPriority w:val="0"/>
    <w:rPr>
      <w:rFonts w:ascii="Cambria" w:hAnsi="Cambria"/>
      <w:b/>
      <w:bCs/>
      <w:color w:val="000000"/>
      <w:kern w:val="2"/>
      <w:sz w:val="21"/>
      <w:szCs w:val="21"/>
    </w:rPr>
  </w:style>
  <w:style w:type="paragraph" w:customStyle="1" w:styleId="234">
    <w:name w:val="标题4-dyf"/>
    <w:basedOn w:val="5"/>
    <w:link w:val="23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5">
    <w:name w:val="dectext1"/>
    <w:qFormat/>
    <w:uiPriority w:val="0"/>
    <w:rPr>
      <w:rFonts w:ascii="宋体" w:hAnsi="宋体" w:eastAsia="宋体"/>
      <w:color w:val="333333"/>
      <w:sz w:val="21"/>
      <w:szCs w:val="21"/>
      <w:u w:val="none"/>
    </w:rPr>
  </w:style>
  <w:style w:type="character" w:customStyle="1" w:styleId="236">
    <w:name w:val="冯 Char"/>
    <w:link w:val="237"/>
    <w:qFormat/>
    <w:uiPriority w:val="0"/>
    <w:rPr>
      <w:rFonts w:ascii="宋体" w:hAnsi="宋体"/>
      <w:color w:val="000000"/>
      <w:sz w:val="24"/>
      <w:szCs w:val="24"/>
    </w:rPr>
  </w:style>
  <w:style w:type="paragraph" w:customStyle="1" w:styleId="237">
    <w:name w:val="冯"/>
    <w:basedOn w:val="1"/>
    <w:link w:val="236"/>
    <w:qFormat/>
    <w:uiPriority w:val="0"/>
    <w:pPr>
      <w:widowControl/>
      <w:adjustRightInd/>
      <w:spacing w:line="360" w:lineRule="auto"/>
      <w:ind w:firstLine="480" w:firstLineChars="200"/>
    </w:pPr>
    <w:rPr>
      <w:rFonts w:ascii="宋体" w:hAnsi="宋体"/>
      <w:color w:val="000000"/>
      <w:kern w:val="0"/>
    </w:rPr>
  </w:style>
  <w:style w:type="character" w:customStyle="1" w:styleId="238">
    <w:name w:val="Header Char"/>
    <w:qFormat/>
    <w:locked/>
    <w:uiPriority w:val="0"/>
    <w:rPr>
      <w:rFonts w:eastAsia="宋体"/>
      <w:kern w:val="2"/>
      <w:sz w:val="18"/>
      <w:szCs w:val="18"/>
      <w:lang w:val="en-US" w:eastAsia="zh-CN" w:bidi="ar-SA"/>
    </w:rPr>
  </w:style>
  <w:style w:type="character" w:customStyle="1" w:styleId="239">
    <w:name w:val="Char Char12"/>
    <w:qFormat/>
    <w:uiPriority w:val="0"/>
    <w:rPr>
      <w:rFonts w:ascii="仿宋_GB2312" w:eastAsia="仿宋_GB2312"/>
      <w:b/>
      <w:bCs/>
      <w:kern w:val="2"/>
      <w:sz w:val="24"/>
      <w:szCs w:val="24"/>
      <w:lang w:val="zh-CN" w:eastAsia="zh-CN" w:bidi="ar-SA"/>
    </w:rPr>
  </w:style>
  <w:style w:type="character" w:customStyle="1" w:styleId="240">
    <w:name w:val="题注 字符"/>
    <w:link w:val="16"/>
    <w:qFormat/>
    <w:uiPriority w:val="0"/>
    <w:rPr>
      <w:b/>
      <w:kern w:val="2"/>
      <w:sz w:val="28"/>
    </w:rPr>
  </w:style>
  <w:style w:type="character" w:customStyle="1" w:styleId="241">
    <w:name w:val="普通文字 Char3"/>
    <w:qFormat/>
    <w:uiPriority w:val="0"/>
    <w:rPr>
      <w:rFonts w:ascii="宋体" w:hAnsi="Courier New" w:eastAsia="宋体"/>
      <w:kern w:val="2"/>
      <w:sz w:val="21"/>
      <w:lang w:val="en-US" w:eastAsia="zh-CN" w:bidi="ar-SA"/>
    </w:rPr>
  </w:style>
  <w:style w:type="character" w:customStyle="1" w:styleId="242">
    <w:name w:val="公文正文 Char"/>
    <w:qFormat/>
    <w:uiPriority w:val="0"/>
    <w:rPr>
      <w:rFonts w:ascii="仿宋_GB2312" w:eastAsia="仿宋_GB2312"/>
      <w:kern w:val="2"/>
      <w:sz w:val="24"/>
      <w:szCs w:val="24"/>
      <w:lang w:val="en-US" w:eastAsia="zh-CN" w:bidi="ar-SA"/>
    </w:rPr>
  </w:style>
  <w:style w:type="character" w:customStyle="1" w:styleId="243">
    <w:name w:val="正文首行缩进 Char Char Char Char Char"/>
    <w:qFormat/>
    <w:uiPriority w:val="0"/>
    <w:rPr>
      <w:rFonts w:ascii="宋体"/>
      <w:kern w:val="2"/>
      <w:sz w:val="24"/>
      <w:lang w:val="zh-CN"/>
    </w:rPr>
  </w:style>
  <w:style w:type="character" w:customStyle="1" w:styleId="244">
    <w:name w:val="PI Char"/>
    <w:qFormat/>
    <w:uiPriority w:val="0"/>
    <w:rPr>
      <w:rFonts w:ascii="宋体" w:hAnsi="宋体" w:eastAsia="宋体"/>
      <w:kern w:val="2"/>
      <w:sz w:val="24"/>
      <w:szCs w:val="24"/>
      <w:lang w:val="en-US" w:eastAsia="zh-CN" w:bidi="ar-SA"/>
    </w:rPr>
  </w:style>
  <w:style w:type="character" w:customStyle="1" w:styleId="245">
    <w:name w:val="Default Char"/>
    <w:link w:val="79"/>
    <w:qFormat/>
    <w:uiPriority w:val="0"/>
    <w:rPr>
      <w:rFonts w:ascii="仿宋_GB2312" w:eastAsia="仿宋_GB2312" w:cs="仿宋_GB2312"/>
      <w:color w:val="000000"/>
      <w:sz w:val="24"/>
      <w:szCs w:val="24"/>
      <w:lang w:val="en-US" w:eastAsia="zh-CN" w:bidi="ar-SA"/>
    </w:rPr>
  </w:style>
  <w:style w:type="character" w:customStyle="1" w:styleId="246">
    <w:name w:val="style91"/>
    <w:qFormat/>
    <w:uiPriority w:val="0"/>
    <w:rPr>
      <w:color w:val="333333"/>
    </w:rPr>
  </w:style>
  <w:style w:type="character" w:customStyle="1" w:styleId="247">
    <w:name w:val="列出段落 Char2"/>
    <w:qFormat/>
    <w:uiPriority w:val="34"/>
    <w:rPr>
      <w:rFonts w:ascii="Calibri" w:hAnsi="Calibri"/>
      <w:kern w:val="2"/>
      <w:sz w:val="28"/>
    </w:rPr>
  </w:style>
  <w:style w:type="character" w:customStyle="1" w:styleId="248">
    <w:name w:val="mdeck"/>
    <w:qFormat/>
    <w:uiPriority w:val="0"/>
    <w:rPr>
      <w:rFonts w:ascii="仿宋_GB2312" w:eastAsia="微软雅黑"/>
      <w:b/>
      <w:kern w:val="2"/>
      <w:sz w:val="32"/>
      <w:szCs w:val="32"/>
      <w:lang w:val="en-US" w:eastAsia="zh-CN" w:bidi="ar-SA"/>
    </w:rPr>
  </w:style>
  <w:style w:type="character" w:customStyle="1" w:styleId="249">
    <w:name w:val="unnamed11"/>
    <w:qFormat/>
    <w:uiPriority w:val="0"/>
    <w:rPr>
      <w:sz w:val="20"/>
      <w:szCs w:val="20"/>
    </w:rPr>
  </w:style>
  <w:style w:type="character" w:customStyle="1" w:styleId="250">
    <w:name w:val="正文文本 Char2"/>
    <w:semiHidden/>
    <w:qFormat/>
    <w:uiPriority w:val="99"/>
    <w:rPr>
      <w:rFonts w:ascii="Times New Roman" w:hAnsi="Times New Roman" w:eastAsia="宋体" w:cs="Times New Roman"/>
      <w:snapToGrid w:val="0"/>
      <w:kern w:val="0"/>
      <w:szCs w:val="24"/>
    </w:rPr>
  </w:style>
  <w:style w:type="character" w:customStyle="1" w:styleId="251">
    <w:name w:val="标书正文格式 Char"/>
    <w:qFormat/>
    <w:uiPriority w:val="0"/>
    <w:rPr>
      <w:rFonts w:eastAsia="楷体_GB2312"/>
      <w:kern w:val="2"/>
      <w:sz w:val="24"/>
      <w:szCs w:val="24"/>
      <w:lang w:bidi="ar-SA"/>
    </w:rPr>
  </w:style>
  <w:style w:type="character" w:customStyle="1" w:styleId="252">
    <w:name w:val="Char Char11"/>
    <w:qFormat/>
    <w:locked/>
    <w:uiPriority w:val="0"/>
    <w:rPr>
      <w:rFonts w:ascii="宋体" w:hAnsi="宋体" w:eastAsia="宋体"/>
      <w:b/>
      <w:kern w:val="2"/>
      <w:sz w:val="24"/>
      <w:szCs w:val="24"/>
      <w:lang w:val="en-US" w:eastAsia="zh-CN" w:bidi="ar-SA"/>
    </w:rPr>
  </w:style>
  <w:style w:type="character" w:customStyle="1" w:styleId="253">
    <w:name w:val="ca-131"/>
    <w:qFormat/>
    <w:uiPriority w:val="0"/>
    <w:rPr>
      <w:rFonts w:hint="eastAsia" w:ascii="仿宋_GB2312" w:eastAsia="仿宋_GB2312"/>
      <w:b/>
      <w:bCs/>
      <w:color w:val="000000"/>
      <w:spacing w:val="-20"/>
      <w:sz w:val="24"/>
      <w:szCs w:val="24"/>
    </w:rPr>
  </w:style>
  <w:style w:type="character" w:customStyle="1" w:styleId="254">
    <w:name w:val="tw4winMark"/>
    <w:qFormat/>
    <w:uiPriority w:val="0"/>
    <w:rPr>
      <w:rFonts w:ascii="Courier New" w:hAnsi="Courier New" w:cs="Courier New"/>
      <w:vanish/>
      <w:color w:val="800080"/>
      <w:sz w:val="24"/>
      <w:szCs w:val="24"/>
      <w:vertAlign w:val="subscript"/>
    </w:rPr>
  </w:style>
  <w:style w:type="character" w:customStyle="1" w:styleId="255">
    <w:name w:val="正文样式 Char"/>
    <w:link w:val="256"/>
    <w:qFormat/>
    <w:uiPriority w:val="0"/>
    <w:rPr>
      <w:rFonts w:ascii="Calibri" w:hAnsi="Calibri"/>
      <w:sz w:val="24"/>
      <w:szCs w:val="24"/>
    </w:rPr>
  </w:style>
  <w:style w:type="paragraph" w:customStyle="1" w:styleId="256">
    <w:name w:val="正文样式"/>
    <w:basedOn w:val="1"/>
    <w:link w:val="255"/>
    <w:qFormat/>
    <w:uiPriority w:val="0"/>
    <w:pPr>
      <w:adjustRightInd/>
      <w:spacing w:line="360" w:lineRule="auto"/>
      <w:ind w:firstLine="480" w:firstLineChars="200"/>
    </w:pPr>
    <w:rPr>
      <w:kern w:val="0"/>
    </w:rPr>
  </w:style>
  <w:style w:type="character" w:customStyle="1" w:styleId="257">
    <w:name w:val="表正文 Char3"/>
    <w:qFormat/>
    <w:uiPriority w:val="0"/>
    <w:rPr>
      <w:rFonts w:eastAsia="宋体"/>
    </w:rPr>
  </w:style>
  <w:style w:type="character" w:customStyle="1" w:styleId="258">
    <w:name w:val="H5 Char"/>
    <w:qFormat/>
    <w:uiPriority w:val="0"/>
    <w:rPr>
      <w:b/>
      <w:bCs/>
      <w:kern w:val="2"/>
      <w:sz w:val="28"/>
      <w:szCs w:val="28"/>
    </w:rPr>
  </w:style>
  <w:style w:type="character" w:customStyle="1" w:styleId="259">
    <w:name w:val="Char Char3"/>
    <w:qFormat/>
    <w:uiPriority w:val="0"/>
    <w:rPr>
      <w:rFonts w:eastAsia="宋体"/>
      <w:kern w:val="2"/>
      <w:sz w:val="21"/>
      <w:szCs w:val="24"/>
      <w:lang w:val="en-US" w:eastAsia="zh-CN" w:bidi="ar-SA"/>
    </w:rPr>
  </w:style>
  <w:style w:type="character" w:customStyle="1" w:styleId="260">
    <w:name w:val="正文 编号 Char"/>
    <w:qFormat/>
    <w:uiPriority w:val="0"/>
    <w:rPr>
      <w:rFonts w:ascii="仿宋_GB2312" w:hAnsi="仿宋_GB2312" w:eastAsia="仿宋_GB2312"/>
      <w:kern w:val="2"/>
      <w:sz w:val="24"/>
      <w:lang w:bidi="ar-SA"/>
    </w:rPr>
  </w:style>
  <w:style w:type="character" w:customStyle="1" w:styleId="261">
    <w:name w:val="question-title2"/>
    <w:qFormat/>
    <w:uiPriority w:val="6"/>
    <w:rPr>
      <w:rFonts w:ascii="Arial" w:hAnsi="Arial" w:eastAsia="黑体" w:cs="Arial"/>
      <w:snapToGrid w:val="0"/>
      <w:kern w:val="0"/>
      <w:szCs w:val="21"/>
    </w:rPr>
  </w:style>
  <w:style w:type="character" w:customStyle="1" w:styleId="262">
    <w:name w:val="gf正文1 Char Char"/>
    <w:link w:val="263"/>
    <w:qFormat/>
    <w:uiPriority w:val="0"/>
    <w:rPr>
      <w:rFonts w:ascii="宋体" w:hAnsi="宋体" w:cs="宋体"/>
      <w:kern w:val="2"/>
      <w:sz w:val="24"/>
      <w:szCs w:val="24"/>
    </w:rPr>
  </w:style>
  <w:style w:type="paragraph" w:customStyle="1" w:styleId="263">
    <w:name w:val="gf正文1"/>
    <w:basedOn w:val="1"/>
    <w:link w:val="262"/>
    <w:qFormat/>
    <w:uiPriority w:val="0"/>
    <w:pPr>
      <w:tabs>
        <w:tab w:val="left" w:pos="3240"/>
        <w:tab w:val="left" w:pos="3960"/>
      </w:tabs>
      <w:spacing w:line="360" w:lineRule="auto"/>
      <w:ind w:firstLine="480" w:firstLineChars="200"/>
    </w:pPr>
    <w:rPr>
      <w:rFonts w:ascii="宋体" w:hAnsi="宋体"/>
    </w:rPr>
  </w:style>
  <w:style w:type="character" w:customStyle="1" w:styleId="264">
    <w:name w:val="Char Char15"/>
    <w:qFormat/>
    <w:uiPriority w:val="6"/>
    <w:rPr>
      <w:rFonts w:ascii="宋体" w:hAnsi="宋体"/>
      <w:kern w:val="1"/>
      <w:sz w:val="21"/>
    </w:rPr>
  </w:style>
  <w:style w:type="character" w:customStyle="1" w:styleId="265">
    <w:name w:val="正文缩进 Char3"/>
    <w:qFormat/>
    <w:uiPriority w:val="0"/>
    <w:rPr>
      <w:rFonts w:ascii="宋体" w:eastAsia="宋体"/>
      <w:snapToGrid w:val="0"/>
      <w:color w:val="000000"/>
      <w:kern w:val="28"/>
      <w:sz w:val="28"/>
      <w:lang w:val="en-US" w:eastAsia="zh-CN" w:bidi="ar-SA"/>
    </w:rPr>
  </w:style>
  <w:style w:type="character" w:customStyle="1" w:styleId="266">
    <w:name w:val="列出段落 Char1"/>
    <w:link w:val="267"/>
    <w:qFormat/>
    <w:uiPriority w:val="0"/>
    <w:rPr>
      <w:rFonts w:ascii="Calibri" w:hAnsi="Calibri"/>
      <w:sz w:val="24"/>
      <w:lang w:eastAsia="en-US"/>
    </w:rPr>
  </w:style>
  <w:style w:type="paragraph" w:customStyle="1" w:styleId="267">
    <w:name w:val="列表1"/>
    <w:basedOn w:val="1"/>
    <w:next w:val="84"/>
    <w:link w:val="266"/>
    <w:qFormat/>
    <w:uiPriority w:val="0"/>
    <w:pPr>
      <w:widowControl/>
      <w:adjustRightInd/>
      <w:spacing w:after="200" w:line="360" w:lineRule="auto"/>
      <w:ind w:left="720" w:firstLine="200" w:firstLineChars="200"/>
      <w:jc w:val="left"/>
    </w:pPr>
    <w:rPr>
      <w:kern w:val="0"/>
      <w:szCs w:val="20"/>
      <w:lang w:eastAsia="en-US"/>
    </w:rPr>
  </w:style>
  <w:style w:type="character" w:customStyle="1" w:styleId="268">
    <w:name w:val="Char Char8"/>
    <w:qFormat/>
    <w:uiPriority w:val="0"/>
    <w:rPr>
      <w:rFonts w:eastAsia="宋体"/>
      <w:b/>
      <w:sz w:val="24"/>
      <w:lang w:val="en-GB" w:eastAsia="zh-CN"/>
    </w:rPr>
  </w:style>
  <w:style w:type="character" w:customStyle="1" w:styleId="269">
    <w:name w:val="Normal Indent Char Char"/>
    <w:qFormat/>
    <w:uiPriority w:val="0"/>
    <w:rPr>
      <w:rFonts w:eastAsia="宋体"/>
      <w:kern w:val="2"/>
      <w:sz w:val="21"/>
      <w:lang w:val="en-US" w:eastAsia="zh-CN" w:bidi="ar-SA"/>
    </w:rPr>
  </w:style>
  <w:style w:type="character" w:customStyle="1" w:styleId="270">
    <w:name w:val="列表段落 字符"/>
    <w:qFormat/>
    <w:uiPriority w:val="99"/>
  </w:style>
  <w:style w:type="character" w:customStyle="1" w:styleId="271">
    <w:name w:val="Ò³Ã¼ Char Char1"/>
    <w:qFormat/>
    <w:uiPriority w:val="0"/>
    <w:rPr>
      <w:rFonts w:eastAsia="宋体"/>
      <w:kern w:val="2"/>
      <w:sz w:val="18"/>
      <w:szCs w:val="18"/>
      <w:lang w:val="en-US" w:eastAsia="zh-CN" w:bidi="ar-SA"/>
    </w:rPr>
  </w:style>
  <w:style w:type="character" w:customStyle="1" w:styleId="272">
    <w:name w:val="方案正文 Char"/>
    <w:qFormat/>
    <w:uiPriority w:val="0"/>
    <w:rPr>
      <w:rFonts w:ascii="仿宋_GB2312" w:eastAsia="仿宋_GB2312"/>
      <w:b/>
      <w:color w:val="000000"/>
      <w:kern w:val="2"/>
      <w:sz w:val="24"/>
      <w:lang w:val="en-US" w:eastAsia="zh-CN" w:bidi="ar-SA"/>
    </w:rPr>
  </w:style>
  <w:style w:type="character" w:customStyle="1" w:styleId="273">
    <w:name w:val="Char Char30"/>
    <w:qFormat/>
    <w:uiPriority w:val="6"/>
    <w:rPr>
      <w:rFonts w:ascii="Arial" w:hAnsi="Arial" w:eastAsia="黑体"/>
      <w:kern w:val="1"/>
      <w:sz w:val="21"/>
      <w:szCs w:val="21"/>
    </w:rPr>
  </w:style>
  <w:style w:type="character" w:customStyle="1" w:styleId="274">
    <w:name w:val="正文文本缩进 字符1"/>
    <w:link w:val="24"/>
    <w:qFormat/>
    <w:uiPriority w:val="0"/>
    <w:rPr>
      <w:rFonts w:ascii="宋体" w:hAnsi="宋体"/>
      <w:kern w:val="2"/>
      <w:sz w:val="24"/>
      <w:szCs w:val="24"/>
    </w:rPr>
  </w:style>
  <w:style w:type="character" w:customStyle="1" w:styleId="275">
    <w:name w:val="font01"/>
    <w:qFormat/>
    <w:uiPriority w:val="0"/>
    <w:rPr>
      <w:rFonts w:hint="eastAsia" w:ascii="微软雅黑" w:hAnsi="微软雅黑" w:eastAsia="微软雅黑" w:cs="微软雅黑"/>
      <w:color w:val="000000"/>
      <w:sz w:val="20"/>
      <w:szCs w:val="20"/>
      <w:u w:val="none"/>
    </w:rPr>
  </w:style>
  <w:style w:type="character" w:customStyle="1" w:styleId="276">
    <w:name w:val="Char Char20"/>
    <w:qFormat/>
    <w:uiPriority w:val="6"/>
    <w:rPr>
      <w:kern w:val="1"/>
      <w:sz w:val="24"/>
    </w:rPr>
  </w:style>
  <w:style w:type="character" w:customStyle="1" w:styleId="277">
    <w:name w:val="tw4winExternal"/>
    <w:qFormat/>
    <w:uiPriority w:val="0"/>
    <w:rPr>
      <w:rFonts w:ascii="Courier New" w:hAnsi="Courier New" w:cs="Courier New"/>
      <w:color w:val="808080"/>
      <w:lang w:val="en-US" w:eastAsia="zh-CN"/>
    </w:rPr>
  </w:style>
  <w:style w:type="character" w:customStyle="1" w:styleId="278">
    <w:name w:val="标题 4 Char1"/>
    <w:qFormat/>
    <w:uiPriority w:val="9"/>
    <w:rPr>
      <w:rFonts w:ascii="Cambria" w:hAnsi="Cambria" w:eastAsia="宋体" w:cs="Times New Roman"/>
      <w:b/>
      <w:bCs/>
      <w:kern w:val="2"/>
      <w:sz w:val="28"/>
      <w:szCs w:val="28"/>
    </w:rPr>
  </w:style>
  <w:style w:type="character" w:customStyle="1" w:styleId="279">
    <w:name w:val="批注文字 Char2"/>
    <w:qFormat/>
    <w:uiPriority w:val="99"/>
    <w:rPr>
      <w:rFonts w:ascii="Times New Roman" w:hAnsi="Times New Roman" w:eastAsia="宋体" w:cs="Times New Roman"/>
      <w:snapToGrid w:val="0"/>
      <w:kern w:val="0"/>
      <w:szCs w:val="24"/>
    </w:rPr>
  </w:style>
  <w:style w:type="character" w:customStyle="1" w:styleId="280">
    <w:name w:val="正文文本 2 Char"/>
    <w:qFormat/>
    <w:uiPriority w:val="0"/>
    <w:rPr>
      <w:rFonts w:eastAsia="宋体"/>
      <w:kern w:val="2"/>
      <w:sz w:val="21"/>
      <w:szCs w:val="24"/>
      <w:lang w:val="en-US" w:eastAsia="zh-CN" w:bidi="ar-SA"/>
    </w:rPr>
  </w:style>
  <w:style w:type="character" w:customStyle="1" w:styleId="281">
    <w:name w:val="Ò³Ã¼ Char Char"/>
    <w:qFormat/>
    <w:uiPriority w:val="0"/>
    <w:rPr>
      <w:rFonts w:eastAsia="宋体"/>
      <w:kern w:val="2"/>
      <w:sz w:val="18"/>
      <w:lang w:val="en-US" w:eastAsia="zh-CN" w:bidi="ar-SA"/>
    </w:rPr>
  </w:style>
  <w:style w:type="character" w:customStyle="1" w:styleId="282">
    <w:name w:val="message1"/>
    <w:qFormat/>
    <w:uiPriority w:val="0"/>
    <w:rPr>
      <w:rFonts w:hint="default" w:ascii="Tahoma" w:hAnsi="Tahoma" w:cs="Tahoma"/>
      <w:sz w:val="18"/>
      <w:szCs w:val="18"/>
    </w:rPr>
  </w:style>
  <w:style w:type="character" w:customStyle="1" w:styleId="283">
    <w:name w:val="Char Char23"/>
    <w:qFormat/>
    <w:uiPriority w:val="6"/>
    <w:rPr>
      <w:color w:val="0000FF"/>
      <w:sz w:val="21"/>
    </w:rPr>
  </w:style>
  <w:style w:type="character" w:customStyle="1" w:styleId="284">
    <w:name w:val="批注框文本 字符"/>
    <w:qFormat/>
    <w:uiPriority w:val="0"/>
    <w:rPr>
      <w:rFonts w:ascii="Arial" w:hAnsi="Arial" w:eastAsia="黑体" w:cs="Arial"/>
      <w:snapToGrid w:val="0"/>
      <w:kern w:val="0"/>
      <w:sz w:val="18"/>
      <w:szCs w:val="18"/>
    </w:rPr>
  </w:style>
  <w:style w:type="character" w:customStyle="1" w:styleId="285">
    <w:name w:val="纯文本 Char2"/>
    <w:semiHidden/>
    <w:qFormat/>
    <w:uiPriority w:val="99"/>
    <w:rPr>
      <w:rFonts w:ascii="宋体" w:hAnsi="Courier New" w:eastAsia="宋体" w:cs="Courier New"/>
    </w:rPr>
  </w:style>
  <w:style w:type="character" w:customStyle="1" w:styleId="286">
    <w:name w:val="Char Char25"/>
    <w:qFormat/>
    <w:uiPriority w:val="6"/>
    <w:rPr>
      <w:rFonts w:ascii="宋体" w:hAnsi="宋体"/>
      <w:kern w:val="1"/>
      <w:sz w:val="24"/>
      <w:lang w:val="zh-CN"/>
    </w:rPr>
  </w:style>
  <w:style w:type="character" w:customStyle="1" w:styleId="287">
    <w:name w:val="Char Char411"/>
    <w:qFormat/>
    <w:uiPriority w:val="0"/>
    <w:rPr>
      <w:rFonts w:eastAsia="宋体"/>
      <w:b/>
      <w:sz w:val="24"/>
      <w:lang w:val="en-GB" w:eastAsia="zh-CN" w:bidi="ar-SA"/>
    </w:rPr>
  </w:style>
  <w:style w:type="character" w:customStyle="1" w:styleId="288">
    <w:name w:val="Heading 7 Char"/>
    <w:qFormat/>
    <w:locked/>
    <w:uiPriority w:val="0"/>
    <w:rPr>
      <w:rFonts w:ascii="宋体" w:hAnsi="宋体" w:eastAsia="宋体"/>
      <w:b/>
      <w:bCs/>
      <w:kern w:val="2"/>
      <w:sz w:val="24"/>
      <w:szCs w:val="24"/>
      <w:lang w:val="en-US" w:eastAsia="zh-CN" w:bidi="ar-SA"/>
    </w:rPr>
  </w:style>
  <w:style w:type="character" w:customStyle="1" w:styleId="289">
    <w:name w:val="此正文 Char"/>
    <w:link w:val="290"/>
    <w:qFormat/>
    <w:uiPriority w:val="0"/>
    <w:rPr>
      <w:kern w:val="2"/>
      <w:sz w:val="24"/>
      <w:szCs w:val="24"/>
    </w:rPr>
  </w:style>
  <w:style w:type="paragraph" w:customStyle="1" w:styleId="290">
    <w:name w:val="此正文"/>
    <w:basedOn w:val="1"/>
    <w:link w:val="289"/>
    <w:qFormat/>
    <w:uiPriority w:val="0"/>
    <w:pPr>
      <w:adjustRightInd/>
      <w:spacing w:line="360" w:lineRule="auto"/>
      <w:ind w:firstLine="200" w:firstLineChars="200"/>
    </w:pPr>
  </w:style>
  <w:style w:type="character" w:customStyle="1" w:styleId="291">
    <w:name w:val="Char Char2"/>
    <w:qFormat/>
    <w:uiPriority w:val="0"/>
    <w:rPr>
      <w:rFonts w:eastAsia="宋体"/>
      <w:b/>
      <w:bCs/>
      <w:kern w:val="2"/>
      <w:sz w:val="21"/>
      <w:szCs w:val="24"/>
      <w:lang w:val="en-US" w:eastAsia="zh-CN" w:bidi="ar-SA"/>
    </w:rPr>
  </w:style>
  <w:style w:type="character" w:customStyle="1" w:styleId="292">
    <w:name w:val="Footer-Even Char1"/>
    <w:qFormat/>
    <w:uiPriority w:val="0"/>
    <w:rPr>
      <w:rFonts w:eastAsia="宋体"/>
      <w:kern w:val="2"/>
      <w:sz w:val="18"/>
      <w:szCs w:val="18"/>
      <w:lang w:val="en-US" w:eastAsia="zh-CN" w:bidi="ar-SA"/>
    </w:rPr>
  </w:style>
  <w:style w:type="character" w:customStyle="1" w:styleId="293">
    <w:name w:val="Char Char29"/>
    <w:qFormat/>
    <w:uiPriority w:val="6"/>
    <w:rPr>
      <w:rFonts w:ascii="Arial" w:hAnsi="Arial" w:eastAsia="微软雅黑"/>
      <w:b/>
      <w:kern w:val="1"/>
      <w:sz w:val="44"/>
      <w:szCs w:val="32"/>
      <w:lang w:val="en-US" w:eastAsia="zh-CN" w:bidi="ar-SA"/>
    </w:rPr>
  </w:style>
  <w:style w:type="character" w:customStyle="1" w:styleId="294">
    <w:name w:val="标题 字符"/>
    <w:link w:val="59"/>
    <w:qFormat/>
    <w:uiPriority w:val="10"/>
    <w:rPr>
      <w:b/>
      <w:sz w:val="24"/>
      <w:lang w:val="en-GB"/>
    </w:rPr>
  </w:style>
  <w:style w:type="character" w:customStyle="1" w:styleId="295">
    <w:name w:val="font81"/>
    <w:qFormat/>
    <w:uiPriority w:val="0"/>
    <w:rPr>
      <w:rFonts w:ascii="微软雅黑" w:hAnsi="微软雅黑" w:eastAsia="微软雅黑" w:cs="微软雅黑"/>
      <w:color w:val="000000"/>
      <w:sz w:val="20"/>
      <w:szCs w:val="20"/>
      <w:u w:val="none"/>
    </w:rPr>
  </w:style>
  <w:style w:type="character" w:customStyle="1" w:styleId="296">
    <w:name w:val="Char Char312"/>
    <w:qFormat/>
    <w:uiPriority w:val="0"/>
    <w:rPr>
      <w:rFonts w:ascii="Times New Roman" w:hAnsi="Times New Roman" w:eastAsia="宋体" w:cs="Times New Roman"/>
      <w:b/>
      <w:kern w:val="2"/>
      <w:sz w:val="32"/>
      <w:szCs w:val="24"/>
      <w:lang w:val="en-US" w:eastAsia="zh-CN" w:bidi="ar-SA"/>
    </w:rPr>
  </w:style>
  <w:style w:type="character" w:customStyle="1" w:styleId="297">
    <w:name w:val="t21"/>
    <w:qFormat/>
    <w:uiPriority w:val="0"/>
    <w:rPr>
      <w:rFonts w:ascii="仿宋_GB2312" w:eastAsia="微软雅黑"/>
      <w:b/>
      <w:kern w:val="2"/>
      <w:sz w:val="23"/>
      <w:szCs w:val="23"/>
      <w:lang w:val="en-US" w:eastAsia="zh-CN" w:bidi="ar-SA"/>
    </w:rPr>
  </w:style>
  <w:style w:type="character" w:customStyle="1" w:styleId="298">
    <w:name w:val="样式8 Char"/>
    <w:qFormat/>
    <w:uiPriority w:val="0"/>
    <w:rPr>
      <w:rFonts w:ascii="仿宋_GB2312" w:hAnsi="宋体" w:eastAsia="仿宋_GB2312"/>
      <w:b/>
      <w:bCs/>
      <w:kern w:val="2"/>
      <w:sz w:val="24"/>
      <w:szCs w:val="24"/>
    </w:rPr>
  </w:style>
  <w:style w:type="character" w:customStyle="1" w:styleId="299">
    <w:name w:val="表格 Char Char"/>
    <w:qFormat/>
    <w:uiPriority w:val="0"/>
    <w:rPr>
      <w:rFonts w:ascii="宋体" w:hAnsi="宋体" w:eastAsia="宋体"/>
      <w:lang w:bidi="ar-SA"/>
    </w:rPr>
  </w:style>
  <w:style w:type="character" w:customStyle="1" w:styleId="300">
    <w:name w:val="正文文本 字符1"/>
    <w:qFormat/>
    <w:uiPriority w:val="0"/>
    <w:rPr>
      <w:rFonts w:ascii="Calibri" w:hAnsi="Calibri" w:eastAsia="黑体" w:cs="Arial"/>
      <w:snapToGrid w:val="0"/>
      <w:kern w:val="2"/>
      <w:sz w:val="28"/>
      <w:szCs w:val="21"/>
    </w:rPr>
  </w:style>
  <w:style w:type="character" w:customStyle="1" w:styleId="301">
    <w:name w:val="标题 5 字符"/>
    <w:link w:val="6"/>
    <w:qFormat/>
    <w:uiPriority w:val="9"/>
    <w:rPr>
      <w:b/>
      <w:bCs/>
      <w:kern w:val="2"/>
      <w:sz w:val="28"/>
      <w:szCs w:val="28"/>
    </w:rPr>
  </w:style>
  <w:style w:type="character" w:customStyle="1" w:styleId="302">
    <w:name w:val="标题 6 Char1"/>
    <w:qFormat/>
    <w:uiPriority w:val="0"/>
    <w:rPr>
      <w:rFonts w:ascii="Arial" w:hAnsi="Arial" w:eastAsia="黑体" w:cs="Times New Roman"/>
      <w:b/>
      <w:sz w:val="24"/>
      <w:szCs w:val="20"/>
      <w:lang w:bidi="ar-SA"/>
    </w:rPr>
  </w:style>
  <w:style w:type="character" w:customStyle="1" w:styleId="303">
    <w:name w:val="带编号样式 Char"/>
    <w:qFormat/>
    <w:uiPriority w:val="0"/>
    <w:rPr>
      <w:rFonts w:ascii="仿宋_GB2312" w:eastAsia="仿宋_GB2312"/>
      <w:color w:val="000000"/>
      <w:sz w:val="24"/>
      <w:lang w:bidi="ar-SA"/>
    </w:rPr>
  </w:style>
  <w:style w:type="character" w:customStyle="1" w:styleId="304">
    <w:name w:val="unnamed31"/>
    <w:qFormat/>
    <w:uiPriority w:val="0"/>
    <w:rPr>
      <w:rFonts w:ascii="Tahoma" w:hAnsi="Tahoma" w:eastAsia="宋体"/>
      <w:b/>
      <w:kern w:val="2"/>
      <w:sz w:val="24"/>
      <w:szCs w:val="32"/>
      <w:u w:val="none"/>
      <w:lang w:val="en-US" w:eastAsia="zh-CN" w:bidi="ar-SA"/>
    </w:rPr>
  </w:style>
  <w:style w:type="character" w:customStyle="1" w:styleId="305">
    <w:name w:val="正文首行缩进 Char Char Char Char Char Char1"/>
    <w:qFormat/>
    <w:uiPriority w:val="0"/>
    <w:rPr>
      <w:rFonts w:ascii="宋体" w:eastAsia="宋体"/>
      <w:kern w:val="2"/>
      <w:sz w:val="24"/>
      <w:szCs w:val="24"/>
      <w:lang w:val="zh-CN" w:bidi="ar-SA"/>
    </w:rPr>
  </w:style>
  <w:style w:type="character" w:customStyle="1" w:styleId="306">
    <w:name w:val="称呼 字符"/>
    <w:link w:val="20"/>
    <w:qFormat/>
    <w:uiPriority w:val="0"/>
    <w:rPr>
      <w:rFonts w:ascii="仿宋_GB2312" w:eastAsia="仿宋_GB2312"/>
      <w:kern w:val="2"/>
      <w:sz w:val="28"/>
    </w:rPr>
  </w:style>
  <w:style w:type="character" w:customStyle="1" w:styleId="307">
    <w:name w:val="文本正文 Char Char"/>
    <w:qFormat/>
    <w:locked/>
    <w:uiPriority w:val="0"/>
    <w:rPr>
      <w:sz w:val="24"/>
      <w:lang w:bidi="ar-SA"/>
    </w:rPr>
  </w:style>
  <w:style w:type="character" w:customStyle="1" w:styleId="308">
    <w:name w:val="HTML 预设格式 字符"/>
    <w:link w:val="57"/>
    <w:qFormat/>
    <w:uiPriority w:val="0"/>
    <w:rPr>
      <w:rFonts w:ascii="黑体" w:hAnsi="Courier New" w:eastAsia="黑体"/>
    </w:rPr>
  </w:style>
  <w:style w:type="character" w:customStyle="1" w:styleId="309">
    <w:name w:val="正文文本 2 字符1"/>
    <w:link w:val="56"/>
    <w:qFormat/>
    <w:uiPriority w:val="0"/>
    <w:rPr>
      <w:kern w:val="2"/>
      <w:sz w:val="21"/>
      <w:szCs w:val="24"/>
    </w:rPr>
  </w:style>
  <w:style w:type="character" w:customStyle="1" w:styleId="310">
    <w:name w:val="样式 样式 标题 4h4H4Fab-4T5Ref Heading 1rh1Heading sqlsect 1.2.3.... +... Char"/>
    <w:link w:val="311"/>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qFormat/>
    <w:uiPriority w:val="0"/>
    <w:pPr>
      <w:tabs>
        <w:tab w:val="left" w:pos="2356"/>
      </w:tabs>
    </w:pPr>
  </w:style>
  <w:style w:type="paragraph" w:customStyle="1" w:styleId="312">
    <w:name w:val="样式 标题 4h4H4Fab-4T5Ref Heading 1rh1Heading sqlsect 1.2.3...."/>
    <w:basedOn w:val="5"/>
    <w:link w:val="4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qFormat/>
    <w:uiPriority w:val="0"/>
    <w:rPr>
      <w:rFonts w:ascii="宋体" w:eastAsia="宋体"/>
      <w:snapToGrid w:val="0"/>
      <w:color w:val="000000"/>
      <w:kern w:val="28"/>
      <w:sz w:val="28"/>
      <w:lang w:val="en-US" w:eastAsia="zh-CN" w:bidi="ar-SA"/>
    </w:rPr>
  </w:style>
  <w:style w:type="character" w:customStyle="1" w:styleId="314">
    <w:name w:val="标题 7 字符"/>
    <w:link w:val="8"/>
    <w:qFormat/>
    <w:uiPriority w:val="0"/>
    <w:rPr>
      <w:b/>
      <w:bCs/>
      <w:kern w:val="2"/>
      <w:sz w:val="24"/>
      <w:szCs w:val="24"/>
    </w:rPr>
  </w:style>
  <w:style w:type="character" w:customStyle="1" w:styleId="315">
    <w:name w:val="正文文本缩进 2 字符"/>
    <w:link w:val="37"/>
    <w:qFormat/>
    <w:uiPriority w:val="0"/>
    <w:rPr>
      <w:rFonts w:ascii="宋体"/>
      <w:sz w:val="28"/>
    </w:rPr>
  </w:style>
  <w:style w:type="character" w:customStyle="1" w:styleId="316">
    <w:name w:val="Char Char5"/>
    <w:qFormat/>
    <w:uiPriority w:val="0"/>
    <w:rPr>
      <w:rFonts w:ascii="宋体" w:hAnsi="Courier New" w:eastAsia="宋体"/>
      <w:kern w:val="2"/>
      <w:sz w:val="21"/>
      <w:lang w:val="en-US" w:eastAsia="zh-CN"/>
    </w:rPr>
  </w:style>
  <w:style w:type="character" w:customStyle="1" w:styleId="317">
    <w:name w:val="脚注文本 字符"/>
    <w:link w:val="50"/>
    <w:qFormat/>
    <w:uiPriority w:val="0"/>
    <w:rPr>
      <w:color w:val="0000FF"/>
      <w:sz w:val="21"/>
    </w:rPr>
  </w:style>
  <w:style w:type="character" w:customStyle="1" w:styleId="318">
    <w:name w:val="称呼 Char1"/>
    <w:qFormat/>
    <w:uiPriority w:val="0"/>
    <w:rPr>
      <w:rFonts w:ascii="Times New Roman" w:hAnsi="Times New Roman" w:eastAsia="宋体" w:cs="Times New Roman"/>
      <w:szCs w:val="24"/>
    </w:rPr>
  </w:style>
  <w:style w:type="character" w:customStyle="1" w:styleId="319">
    <w:name w:val="正文1 Char"/>
    <w:qFormat/>
    <w:uiPriority w:val="0"/>
    <w:rPr>
      <w:rFonts w:ascii="宋体" w:eastAsia="宋体"/>
      <w:snapToGrid w:val="0"/>
      <w:color w:val="000000"/>
      <w:kern w:val="28"/>
      <w:sz w:val="28"/>
      <w:lang w:val="en-US" w:eastAsia="zh-CN" w:bidi="ar-SA"/>
    </w:rPr>
  </w:style>
  <w:style w:type="character" w:customStyle="1" w:styleId="320">
    <w:name w:val="正文缩进 Char1"/>
    <w:qFormat/>
    <w:uiPriority w:val="0"/>
    <w:rPr>
      <w:rFonts w:ascii="宋体" w:eastAsia="宋体"/>
      <w:snapToGrid w:val="0"/>
      <w:color w:val="000000"/>
      <w:kern w:val="28"/>
      <w:sz w:val="28"/>
      <w:lang w:val="en-US" w:eastAsia="zh-CN" w:bidi="ar-SA"/>
    </w:rPr>
  </w:style>
  <w:style w:type="character" w:customStyle="1" w:styleId="321">
    <w:name w:val="font21"/>
    <w:basedOn w:val="69"/>
    <w:qFormat/>
    <w:uiPriority w:val="0"/>
    <w:rPr>
      <w:rFonts w:hint="eastAsia" w:ascii="宋体" w:hAnsi="宋体" w:eastAsia="宋体"/>
      <w:kern w:val="2"/>
      <w:sz w:val="28"/>
      <w:szCs w:val="28"/>
      <w:lang w:val="en-US" w:eastAsia="zh-CN" w:bidi="ar-SA"/>
    </w:rPr>
  </w:style>
  <w:style w:type="character" w:customStyle="1" w:styleId="322">
    <w:name w:val="Char Char26"/>
    <w:qFormat/>
    <w:uiPriority w:val="6"/>
    <w:rPr>
      <w:kern w:val="1"/>
      <w:sz w:val="21"/>
      <w:szCs w:val="24"/>
    </w:rPr>
  </w:style>
  <w:style w:type="character" w:customStyle="1" w:styleId="323">
    <w:name w:val="Item List Char"/>
    <w:link w:val="324"/>
    <w:qFormat/>
    <w:uiPriority w:val="0"/>
    <w:rPr>
      <w:rFonts w:ascii="Arial"/>
      <w:bCs/>
      <w:sz w:val="21"/>
      <w:szCs w:val="21"/>
      <w:lang w:val="en-US" w:eastAsia="zh-CN" w:bidi="ar-SA"/>
    </w:rPr>
  </w:style>
  <w:style w:type="paragraph" w:customStyle="1" w:styleId="324">
    <w:name w:val="Item List"/>
    <w:link w:val="32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qFormat/>
    <w:uiPriority w:val="0"/>
    <w:rPr>
      <w:rFonts w:ascii="Times New Roman" w:hAnsi="Times New Roman" w:eastAsia="宋体" w:cs="Times New Roman"/>
      <w:sz w:val="18"/>
      <w:szCs w:val="18"/>
    </w:rPr>
  </w:style>
  <w:style w:type="character" w:customStyle="1" w:styleId="326">
    <w:name w:val="纯文本 Char1"/>
    <w:link w:val="327"/>
    <w:qFormat/>
    <w:uiPriority w:val="0"/>
    <w:rPr>
      <w:rFonts w:ascii="宋体" w:hAnsi="Courier New"/>
    </w:rPr>
  </w:style>
  <w:style w:type="paragraph" w:customStyle="1" w:styleId="327">
    <w:name w:val="纯文本1"/>
    <w:basedOn w:val="1"/>
    <w:link w:val="326"/>
    <w:qFormat/>
    <w:uiPriority w:val="0"/>
    <w:pPr>
      <w:adjustRightInd/>
    </w:pPr>
    <w:rPr>
      <w:rFonts w:ascii="宋体" w:hAnsi="Courier New"/>
      <w:kern w:val="0"/>
      <w:sz w:val="20"/>
      <w:szCs w:val="20"/>
    </w:rPr>
  </w:style>
  <w:style w:type="character" w:customStyle="1" w:styleId="328">
    <w:name w:val="正文首行缩进 字符"/>
    <w:link w:val="61"/>
    <w:qFormat/>
    <w:uiPriority w:val="0"/>
    <w:rPr>
      <w:rFonts w:ascii="宋体"/>
      <w:kern w:val="2"/>
      <w:sz w:val="24"/>
      <w:lang w:val="zh-CN"/>
    </w:rPr>
  </w:style>
  <w:style w:type="character" w:customStyle="1" w:styleId="329">
    <w:name w:val="h3 Char"/>
    <w:qFormat/>
    <w:uiPriority w:val="0"/>
    <w:rPr>
      <w:rFonts w:eastAsia="宋体"/>
      <w:b/>
      <w:kern w:val="2"/>
      <w:sz w:val="32"/>
      <w:lang w:val="en-US" w:eastAsia="zh-CN" w:bidi="ar-SA"/>
    </w:rPr>
  </w:style>
  <w:style w:type="character" w:customStyle="1" w:styleId="330">
    <w:name w:val="dandyren_title1"/>
    <w:qFormat/>
    <w:uiPriority w:val="0"/>
    <w:rPr>
      <w:b/>
      <w:bCs/>
      <w:color w:val="FF6633"/>
      <w:sz w:val="18"/>
      <w:szCs w:val="18"/>
    </w:rPr>
  </w:style>
  <w:style w:type="character" w:customStyle="1" w:styleId="331">
    <w:name w:val="Char Char31"/>
    <w:qFormat/>
    <w:uiPriority w:val="6"/>
    <w:rPr>
      <w:rFonts w:ascii="Arial" w:hAnsi="Arial" w:eastAsia="黑体"/>
      <w:kern w:val="1"/>
      <w:sz w:val="24"/>
      <w:szCs w:val="24"/>
    </w:rPr>
  </w:style>
  <w:style w:type="character" w:customStyle="1" w:styleId="332">
    <w:name w:val="h Char1"/>
    <w:qFormat/>
    <w:uiPriority w:val="0"/>
    <w:rPr>
      <w:sz w:val="18"/>
      <w:szCs w:val="18"/>
    </w:rPr>
  </w:style>
  <w:style w:type="character" w:customStyle="1" w:styleId="333">
    <w:name w:val="solutionfonts"/>
    <w:qFormat/>
    <w:uiPriority w:val="0"/>
  </w:style>
  <w:style w:type="character" w:customStyle="1" w:styleId="334">
    <w:name w:val="标题 4 字符1"/>
    <w:link w:val="5"/>
    <w:qFormat/>
    <w:uiPriority w:val="9"/>
    <w:rPr>
      <w:rFonts w:ascii="Arial" w:hAnsi="Arial" w:eastAsia="黑体"/>
      <w:b/>
      <w:bCs/>
      <w:kern w:val="2"/>
      <w:sz w:val="28"/>
      <w:szCs w:val="28"/>
      <w:lang w:val="zh-CN"/>
    </w:rPr>
  </w:style>
  <w:style w:type="character" w:customStyle="1" w:styleId="335">
    <w:name w:val="首行缩进 Char"/>
    <w:qFormat/>
    <w:uiPriority w:val="0"/>
    <w:rPr>
      <w:rFonts w:ascii="宋体" w:eastAsia="宋体"/>
      <w:kern w:val="2"/>
      <w:sz w:val="24"/>
      <w:lang w:val="en-US" w:eastAsia="zh-CN" w:bidi="ar-SA"/>
    </w:rPr>
  </w:style>
  <w:style w:type="character" w:customStyle="1" w:styleId="336">
    <w:name w:val="Char Char52"/>
    <w:qFormat/>
    <w:uiPriority w:val="0"/>
    <w:rPr>
      <w:rFonts w:ascii="宋体" w:hAnsi="Courier New" w:eastAsia="宋体"/>
      <w:kern w:val="2"/>
      <w:sz w:val="21"/>
      <w:lang w:val="en-US" w:eastAsia="zh-CN"/>
    </w:rPr>
  </w:style>
  <w:style w:type="character" w:customStyle="1" w:styleId="337">
    <w:name w:val="正文文本 3 字符"/>
    <w:link w:val="21"/>
    <w:qFormat/>
    <w:uiPriority w:val="0"/>
    <w:rPr>
      <w:kern w:val="2"/>
      <w:sz w:val="21"/>
    </w:rPr>
  </w:style>
  <w:style w:type="character" w:customStyle="1" w:styleId="338">
    <w:name w:val="font31"/>
    <w:qFormat/>
    <w:uiPriority w:val="0"/>
    <w:rPr>
      <w:rFonts w:hint="eastAsia" w:ascii="仿宋" w:hAnsi="仿宋" w:eastAsia="仿宋" w:cs="仿宋"/>
      <w:color w:val="000000"/>
      <w:sz w:val="20"/>
      <w:szCs w:val="20"/>
      <w:u w:val="none"/>
    </w:rPr>
  </w:style>
  <w:style w:type="character" w:customStyle="1" w:styleId="339">
    <w:name w:val="正文说明 Char"/>
    <w:link w:val="340"/>
    <w:qFormat/>
    <w:uiPriority w:val="0"/>
    <w:rPr>
      <w:sz w:val="24"/>
      <w:szCs w:val="24"/>
    </w:rPr>
  </w:style>
  <w:style w:type="paragraph" w:customStyle="1" w:styleId="340">
    <w:name w:val="正文说明"/>
    <w:basedOn w:val="1"/>
    <w:link w:val="339"/>
    <w:qFormat/>
    <w:uiPriority w:val="0"/>
    <w:pPr>
      <w:adjustRightInd/>
      <w:spacing w:line="360" w:lineRule="auto"/>
    </w:pPr>
    <w:rPr>
      <w:kern w:val="0"/>
    </w:rPr>
  </w:style>
  <w:style w:type="character" w:customStyle="1" w:styleId="341">
    <w:name w:val="脚注文本 Char1"/>
    <w:qFormat/>
    <w:uiPriority w:val="0"/>
    <w:rPr>
      <w:rFonts w:ascii="Times New Roman" w:hAnsi="Times New Roman" w:eastAsia="宋体" w:cs="Times New Roman"/>
      <w:sz w:val="18"/>
      <w:szCs w:val="18"/>
    </w:rPr>
  </w:style>
  <w:style w:type="character" w:customStyle="1" w:styleId="342">
    <w:name w:val="Char Char1211"/>
    <w:qFormat/>
    <w:uiPriority w:val="0"/>
    <w:rPr>
      <w:rFonts w:ascii="仿宋_GB2312" w:eastAsia="仿宋_GB2312"/>
      <w:b/>
      <w:bCs/>
      <w:kern w:val="2"/>
      <w:sz w:val="24"/>
      <w:szCs w:val="24"/>
      <w:lang w:val="zh-CN" w:eastAsia="zh-CN" w:bidi="ar-SA"/>
    </w:rPr>
  </w:style>
  <w:style w:type="character" w:customStyle="1" w:styleId="343">
    <w:name w:val="标题 Char"/>
    <w:qFormat/>
    <w:uiPriority w:val="0"/>
    <w:rPr>
      <w:rFonts w:eastAsia="宋体"/>
      <w:b/>
      <w:sz w:val="24"/>
      <w:lang w:val="en-GB" w:eastAsia="zh-CN" w:bidi="ar-SA"/>
    </w:rPr>
  </w:style>
  <w:style w:type="character" w:customStyle="1" w:styleId="344">
    <w:name w:val="Char Char35"/>
    <w:qFormat/>
    <w:uiPriority w:val="6"/>
    <w:rPr>
      <w:rFonts w:ascii="Arial" w:hAnsi="Arial" w:eastAsia="黑体"/>
      <w:b/>
      <w:kern w:val="1"/>
      <w:sz w:val="28"/>
      <w:szCs w:val="28"/>
      <w:lang w:val="zh-CN"/>
    </w:rPr>
  </w:style>
  <w:style w:type="character" w:customStyle="1" w:styleId="345">
    <w:name w:val="纯文本 Char Char Char"/>
    <w:qFormat/>
    <w:uiPriority w:val="0"/>
    <w:rPr>
      <w:rFonts w:ascii="宋体" w:hAnsi="Courier New" w:eastAsia="宋体"/>
      <w:kern w:val="2"/>
      <w:sz w:val="21"/>
      <w:lang w:val="en-US" w:eastAsia="zh-CN" w:bidi="ar-SA"/>
    </w:rPr>
  </w:style>
  <w:style w:type="character" w:customStyle="1" w:styleId="346">
    <w:name w:val="Table Text Char"/>
    <w:link w:val="347"/>
    <w:qFormat/>
    <w:uiPriority w:val="0"/>
    <w:rPr>
      <w:sz w:val="24"/>
      <w:szCs w:val="24"/>
    </w:rPr>
  </w:style>
  <w:style w:type="paragraph" w:customStyle="1" w:styleId="347">
    <w:name w:val="Table Text"/>
    <w:basedOn w:val="1"/>
    <w:link w:val="346"/>
    <w:qFormat/>
    <w:uiPriority w:val="0"/>
    <w:pPr>
      <w:widowControl/>
      <w:spacing w:before="60" w:after="60"/>
      <w:jc w:val="left"/>
    </w:pPr>
    <w:rPr>
      <w:kern w:val="0"/>
    </w:rPr>
  </w:style>
  <w:style w:type="character" w:customStyle="1" w:styleId="348">
    <w:name w:val="正文1 Char1"/>
    <w:qFormat/>
    <w:uiPriority w:val="0"/>
    <w:rPr>
      <w:rFonts w:ascii="仿宋_GB2312" w:hAnsi="Courier New" w:eastAsia="仿宋_GB2312"/>
      <w:kern w:val="28"/>
      <w:sz w:val="24"/>
      <w:szCs w:val="24"/>
      <w:lang w:val="en-US" w:eastAsia="zh-CN"/>
    </w:rPr>
  </w:style>
  <w:style w:type="character" w:customStyle="1" w:styleId="349">
    <w:name w:val="页脚 Char1"/>
    <w:qFormat/>
    <w:uiPriority w:val="0"/>
    <w:rPr>
      <w:rFonts w:eastAsia="宋体"/>
      <w:kern w:val="2"/>
      <w:sz w:val="18"/>
      <w:szCs w:val="18"/>
      <w:lang w:val="en-US" w:eastAsia="zh-CN" w:bidi="ar-SA"/>
    </w:rPr>
  </w:style>
  <w:style w:type="character" w:customStyle="1" w:styleId="350">
    <w:name w:val="Bold"/>
    <w:qFormat/>
    <w:uiPriority w:val="0"/>
    <w:rPr>
      <w:rFonts w:ascii="Arial" w:hAnsi="Arial" w:eastAsia="黑体" w:cs="Times New Roman"/>
      <w:b/>
      <w:kern w:val="2"/>
      <w:sz w:val="32"/>
      <w:szCs w:val="32"/>
      <w:lang w:val="en-US" w:eastAsia="zh-CN" w:bidi="ar-SA"/>
    </w:rPr>
  </w:style>
  <w:style w:type="character" w:customStyle="1" w:styleId="351">
    <w:name w:val="批注文字 字符1"/>
    <w:link w:val="19"/>
    <w:qFormat/>
    <w:uiPriority w:val="99"/>
    <w:rPr>
      <w:kern w:val="2"/>
      <w:sz w:val="21"/>
      <w:szCs w:val="24"/>
    </w:rPr>
  </w:style>
  <w:style w:type="character" w:customStyle="1" w:styleId="352">
    <w:name w:val="签名 字符"/>
    <w:link w:val="42"/>
    <w:qFormat/>
    <w:uiPriority w:val="0"/>
    <w:rPr>
      <w:rFonts w:eastAsia="仿宋_GB2312"/>
      <w:sz w:val="24"/>
    </w:rPr>
  </w:style>
  <w:style w:type="character" w:customStyle="1" w:styleId="353">
    <w:name w:val="hui3"/>
    <w:qFormat/>
    <w:uiPriority w:val="0"/>
    <w:rPr>
      <w:color w:val="333333"/>
    </w:rPr>
  </w:style>
  <w:style w:type="character" w:customStyle="1" w:styleId="354">
    <w:name w:val="Char Char17"/>
    <w:qFormat/>
    <w:uiPriority w:val="6"/>
    <w:rPr>
      <w:rFonts w:eastAsia="仿宋_GB2312"/>
      <w:sz w:val="24"/>
    </w:rPr>
  </w:style>
  <w:style w:type="character" w:customStyle="1" w:styleId="355">
    <w:name w:val="Char Char37"/>
    <w:qFormat/>
    <w:uiPriority w:val="6"/>
    <w:rPr>
      <w:b/>
      <w:kern w:val="1"/>
      <w:sz w:val="44"/>
      <w:szCs w:val="44"/>
    </w:rPr>
  </w:style>
  <w:style w:type="character" w:customStyle="1" w:styleId="356">
    <w:name w:val="列出段落 Char"/>
    <w:qFormat/>
    <w:uiPriority w:val="0"/>
    <w:rPr>
      <w:rFonts w:eastAsia="楷体_GB2312" w:cs="Lucida Sans"/>
      <w:kern w:val="2"/>
      <w:sz w:val="24"/>
      <w:szCs w:val="24"/>
      <w:lang w:val="en-US" w:eastAsia="zh-CN" w:bidi="ar-SA"/>
    </w:rPr>
  </w:style>
  <w:style w:type="character" w:customStyle="1" w:styleId="357">
    <w:name w:val="正文文本缩进 3 Char1"/>
    <w:semiHidden/>
    <w:qFormat/>
    <w:uiPriority w:val="99"/>
    <w:rPr>
      <w:rFonts w:ascii="Times New Roman" w:hAnsi="Times New Roman" w:eastAsia="宋体" w:cs="Times New Roman"/>
      <w:sz w:val="16"/>
      <w:szCs w:val="16"/>
    </w:rPr>
  </w:style>
  <w:style w:type="character" w:customStyle="1" w:styleId="358">
    <w:name w:val="公文正文 Char Char"/>
    <w:link w:val="359"/>
    <w:qFormat/>
    <w:uiPriority w:val="0"/>
    <w:rPr>
      <w:rFonts w:ascii="仿宋_GB2312" w:eastAsia="仿宋_GB2312"/>
      <w:kern w:val="2"/>
      <w:sz w:val="24"/>
      <w:szCs w:val="24"/>
    </w:rPr>
  </w:style>
  <w:style w:type="paragraph" w:customStyle="1" w:styleId="359">
    <w:name w:val="公文正文"/>
    <w:basedOn w:val="1"/>
    <w:link w:val="358"/>
    <w:qFormat/>
    <w:uiPriority w:val="0"/>
    <w:pPr>
      <w:adjustRightInd/>
      <w:spacing w:before="156" w:line="360" w:lineRule="auto"/>
      <w:ind w:firstLine="360" w:firstLineChars="200"/>
    </w:pPr>
    <w:rPr>
      <w:rFonts w:ascii="仿宋_GB2312" w:eastAsia="仿宋_GB2312"/>
    </w:rPr>
  </w:style>
  <w:style w:type="character" w:customStyle="1" w:styleId="360">
    <w:name w:val="Table Text Char1"/>
    <w:qFormat/>
    <w:uiPriority w:val="0"/>
    <w:rPr>
      <w:rFonts w:eastAsia="宋体"/>
      <w:sz w:val="24"/>
      <w:szCs w:val="24"/>
      <w:lang w:val="en-US" w:eastAsia="zh-CN" w:bidi="ar-SA"/>
    </w:rPr>
  </w:style>
  <w:style w:type="character" w:customStyle="1" w:styleId="361">
    <w:name w:val="标题 1 Char Char"/>
    <w:qFormat/>
    <w:uiPriority w:val="0"/>
    <w:rPr>
      <w:rFonts w:hint="eastAsia" w:ascii="宋体" w:hAnsi="宋体" w:eastAsia="宋体"/>
      <w:b/>
      <w:spacing w:val="-2"/>
      <w:sz w:val="24"/>
      <w:lang w:val="en-US" w:eastAsia="zh-CN" w:bidi="ar-SA"/>
    </w:rPr>
  </w:style>
  <w:style w:type="character" w:customStyle="1" w:styleId="362">
    <w:name w:val="正文（缩进2汉字） Char"/>
    <w:link w:val="363"/>
    <w:qFormat/>
    <w:uiPriority w:val="0"/>
    <w:rPr>
      <w:rFonts w:ascii="宋体"/>
    </w:rPr>
  </w:style>
  <w:style w:type="paragraph" w:customStyle="1" w:styleId="363">
    <w:name w:val="正文（缩进2汉字）"/>
    <w:basedOn w:val="1"/>
    <w:link w:val="36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字符"/>
    <w:link w:val="9"/>
    <w:qFormat/>
    <w:uiPriority w:val="0"/>
    <w:rPr>
      <w:rFonts w:ascii="Arial" w:hAnsi="Arial" w:eastAsia="黑体"/>
      <w:kern w:val="2"/>
      <w:sz w:val="24"/>
      <w:szCs w:val="24"/>
    </w:rPr>
  </w:style>
  <w:style w:type="character" w:customStyle="1" w:styleId="365">
    <w:name w:val="标书表格字体格式 Char"/>
    <w:qFormat/>
    <w:uiPriority w:val="0"/>
    <w:rPr>
      <w:kern w:val="2"/>
      <w:sz w:val="21"/>
      <w:szCs w:val="24"/>
      <w:lang w:bidi="ar-SA"/>
    </w:rPr>
  </w:style>
  <w:style w:type="character" w:customStyle="1" w:styleId="366">
    <w:name w:val="tw4winError"/>
    <w:qFormat/>
    <w:uiPriority w:val="0"/>
    <w:rPr>
      <w:rFonts w:ascii="Courier New" w:hAnsi="Courier New" w:cs="Courier New"/>
      <w:color w:val="00FF00"/>
      <w:sz w:val="40"/>
      <w:szCs w:val="40"/>
    </w:rPr>
  </w:style>
  <w:style w:type="character" w:customStyle="1" w:styleId="367">
    <w:name w:val="Body Text(ch) Char Char"/>
    <w:qFormat/>
    <w:uiPriority w:val="0"/>
    <w:rPr>
      <w:rFonts w:ascii="宋体"/>
      <w:kern w:val="2"/>
      <w:sz w:val="24"/>
      <w:szCs w:val="21"/>
      <w:lang w:val="zh-CN"/>
    </w:rPr>
  </w:style>
  <w:style w:type="character" w:customStyle="1" w:styleId="368">
    <w:name w:val="正文首行缩进两字 Char"/>
    <w:qFormat/>
    <w:uiPriority w:val="0"/>
    <w:rPr>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字符"/>
    <w:link w:val="53"/>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字符2"/>
    <w:link w:val="40"/>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字符2"/>
    <w:link w:val="41"/>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pacing w:afterLines="50"/>
      <w:ind w:firstLine="200" w:firstLineChars="200"/>
    </w:pPr>
    <w:rPr>
      <w:kern w:val="0"/>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2"/>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style36"/>
    <w:basedOn w:val="69"/>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15"/>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qFormat/>
    <w:uiPriority w:val="0"/>
    <w:rPr>
      <w:rFonts w:ascii="宋体" w:hAnsi="Arial" w:eastAsia="宋体" w:cs="Arial"/>
      <w:snapToGrid w:val="0"/>
      <w:kern w:val="2"/>
      <w:sz w:val="24"/>
      <w:szCs w:val="21"/>
      <w:lang w:val="zh-CN" w:eastAsia="zh-CN" w:bidi="ar-SA"/>
    </w:rPr>
  </w:style>
  <w:style w:type="character" w:customStyle="1" w:styleId="435">
    <w:name w:val="gray6"/>
    <w:basedOn w:val="69"/>
    <w:qFormat/>
    <w:uiPriority w:val="0"/>
    <w:rPr>
      <w:rFonts w:ascii="Arial" w:hAnsi="Arial" w:eastAsia="黑体" w:cs="Arial"/>
      <w:snapToGrid w:val="0"/>
      <w:kern w:val="0"/>
      <w:szCs w:val="21"/>
    </w:rPr>
  </w:style>
  <w:style w:type="character" w:customStyle="1" w:styleId="436">
    <w:name w:val="hui"/>
    <w:basedOn w:val="69"/>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5">
    <w:name w:val="标题4_自定义"/>
    <w:basedOn w:val="5"/>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54">
    <w:name w:val="文章标题"/>
    <w:next w:val="45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9">
    <w:name w:val="Char Char Char Char Char Char Char Char"/>
    <w:basedOn w:val="1"/>
    <w:qFormat/>
    <w:uiPriority w:val="0"/>
    <w:pPr>
      <w:tabs>
        <w:tab w:val="left" w:pos="360"/>
      </w:tabs>
    </w:pPr>
    <w:rPr>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Char Char1 Char Char1 Char Char1"/>
    <w:basedOn w:val="1"/>
    <w:qFormat/>
    <w:uiPriority w:val="0"/>
    <w:pPr>
      <w:tabs>
        <w:tab w:val="left" w:pos="840"/>
      </w:tabs>
      <w:ind w:left="840" w:hanging="420"/>
    </w:pPr>
    <w:rPr>
      <w:rFonts w:ascii="Tahoma" w:hAnsi="Tahoma"/>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left" w:pos="840"/>
        <w:tab w:val="clear" w:pos="432"/>
      </w:tabs>
      <w:adjustRightIn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Cs w:val="20"/>
    </w:rPr>
  </w:style>
  <w:style w:type="paragraph" w:customStyle="1" w:styleId="468">
    <w:name w:val="Test2"/>
    <w:basedOn w:val="3"/>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8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82">
    <w:name w:val="Char Char Char"/>
    <w:basedOn w:val="1"/>
    <w:qFormat/>
    <w:uiPriority w:val="0"/>
    <w:rPr>
      <w:rFonts w:ascii="Tahoma" w:hAnsi="Tahoma"/>
      <w:szCs w:val="20"/>
    </w:rPr>
  </w:style>
  <w:style w:type="paragraph" w:customStyle="1" w:styleId="483">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3"/>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9">
    <w:name w:val="Char Char1 Char1"/>
    <w:basedOn w:val="1"/>
    <w:qFormat/>
    <w:uiPriority w:val="6"/>
    <w:pPr>
      <w:widowControl/>
      <w:spacing w:before="120" w:after="160" w:line="360" w:lineRule="auto"/>
      <w:ind w:right="-360"/>
      <w:jc w:val="left"/>
    </w:pPr>
    <w:rPr>
      <w:rFonts w:ascii="Arial" w:hAnsi="Arial"/>
      <w:kern w:val="0"/>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Cs w:val="20"/>
    </w:rPr>
  </w:style>
  <w:style w:type="paragraph" w:customStyle="1" w:styleId="500">
    <w:name w:val="MM Topic 5"/>
    <w:basedOn w:val="6"/>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4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pacing w:line="0" w:lineRule="atLeast"/>
      <w:ind w:firstLine="200" w:firstLineChars="200"/>
      <w:jc w:val="center"/>
    </w:pPr>
    <w:rPr>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pacing w:line="300" w:lineRule="auto"/>
    </w:pPr>
    <w:rPr>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Cs w:val="20"/>
    </w:rPr>
  </w:style>
  <w:style w:type="paragraph" w:customStyle="1" w:styleId="515">
    <w:name w:val="列出段落5"/>
    <w:basedOn w:val="1"/>
    <w:qFormat/>
    <w:uiPriority w:val="0"/>
    <w:pPr>
      <w:spacing w:line="360" w:lineRule="auto"/>
      <w:ind w:firstLine="200" w:firstLineChars="200"/>
    </w:pPr>
    <w:rPr>
      <w:rFonts w:eastAsia="楷体_GB2312" w:cs="Lucida Sans"/>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5"/>
    <w:qFormat/>
    <w:uiPriority w:val="0"/>
    <w:pPr>
      <w:adjustRightInd/>
      <w:ind w:firstLine="200" w:firstLineChars="200"/>
    </w:pPr>
    <w:rPr>
      <w:rFonts w:ascii="Arial" w:hAnsi="Arial"/>
      <w:spacing w:val="-5"/>
      <w:kern w:val="0"/>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Cs w:val="20"/>
    </w:rPr>
  </w:style>
  <w:style w:type="paragraph" w:customStyle="1" w:styleId="529">
    <w:name w:val="1正文"/>
    <w:basedOn w:val="1"/>
    <w:qFormat/>
    <w:uiPriority w:val="0"/>
    <w:pPr>
      <w:adjustRightInd/>
      <w:spacing w:line="360" w:lineRule="auto"/>
      <w:ind w:firstLine="200" w:firstLineChars="200"/>
    </w:pPr>
    <w:rPr>
      <w:rFonts w:ascii="仿宋_GB2312" w:hAnsi="Arial"/>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79"/>
    <w:next w:val="79"/>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79"/>
    <w:next w:val="79"/>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rPr>
  </w:style>
  <w:style w:type="paragraph" w:customStyle="1" w:styleId="562">
    <w:name w:val="正文格式"/>
    <w:basedOn w:val="1"/>
    <w:qFormat/>
    <w:uiPriority w:val="0"/>
    <w:pPr>
      <w:widowControl/>
      <w:autoSpaceDE w:val="0"/>
      <w:autoSpaceDN w:val="0"/>
      <w:spacing w:line="360" w:lineRule="atLeast"/>
      <w:ind w:firstLine="200" w:firstLineChars="200"/>
      <w:textAlignment w:val="baseline"/>
    </w:pPr>
    <w:rPr>
      <w:kern w:val="0"/>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pacing w:before="120" w:after="160" w:line="360" w:lineRule="auto"/>
      <w:ind w:right="-360"/>
      <w:jc w:val="left"/>
    </w:pPr>
    <w:rPr>
      <w:rFonts w:ascii="Arial" w:hAnsi="Arial"/>
      <w:kern w:val="0"/>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Cs w:val="20"/>
    </w:rPr>
  </w:style>
  <w:style w:type="paragraph" w:customStyle="1" w:styleId="586">
    <w:name w:val="标题五"/>
    <w:basedOn w:val="1"/>
    <w:qFormat/>
    <w:uiPriority w:val="0"/>
    <w:pPr>
      <w:adjustRightInd/>
      <w:spacing w:beforeLines="50" w:line="360" w:lineRule="auto"/>
    </w:pPr>
    <w:rPr>
      <w:b/>
    </w:rPr>
  </w:style>
  <w:style w:type="paragraph" w:customStyle="1" w:styleId="587">
    <w:name w:val="Char Char1101"/>
    <w:basedOn w:val="1"/>
    <w:qFormat/>
    <w:uiPriority w:val="0"/>
    <w:pPr>
      <w:spacing w:line="360" w:lineRule="auto"/>
    </w:pPr>
    <w:rPr>
      <w:rFonts w:ascii="Tahoma" w:hAnsi="Tahoma"/>
      <w:szCs w:val="20"/>
    </w:rPr>
  </w:style>
  <w:style w:type="paragraph" w:customStyle="1" w:styleId="588">
    <w:name w:val="Char Char Char Char Char Char Char Char1"/>
    <w:basedOn w:val="1"/>
    <w:qFormat/>
    <w:uiPriority w:val="0"/>
    <w:pPr>
      <w:tabs>
        <w:tab w:val="left" w:pos="360"/>
      </w:tabs>
    </w:pPr>
    <w:rPr>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pacing w:before="120" w:after="120" w:line="360" w:lineRule="auto"/>
    </w:pPr>
    <w:rPr>
      <w:rFonts w:ascii="宋体"/>
      <w:szCs w:val="20"/>
    </w:rPr>
  </w:style>
  <w:style w:type="paragraph" w:customStyle="1" w:styleId="60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Cs w:val="20"/>
    </w:rPr>
  </w:style>
  <w:style w:type="paragraph" w:customStyle="1" w:styleId="605">
    <w:name w:val="正文文字表格居中"/>
    <w:basedOn w:val="1"/>
    <w:next w:val="56"/>
    <w:qFormat/>
    <w:uiPriority w:val="0"/>
    <w:pPr>
      <w:spacing w:line="360" w:lineRule="auto"/>
    </w:pPr>
    <w:rPr>
      <w:rFonts w:ascii="宋体"/>
      <w:b/>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rPr>
  </w:style>
  <w:style w:type="paragraph" w:customStyle="1" w:styleId="614">
    <w:name w:val="样式 标题 3标题 3 Char第二层条h33Bold Headbh章标题1小标题level_3PIM 3..."/>
    <w:basedOn w:val="4"/>
    <w:qFormat/>
    <w:uiPriority w:val="0"/>
    <w:pPr>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Cs w:val="20"/>
    </w:rPr>
  </w:style>
  <w:style w:type="paragraph" w:customStyle="1" w:styleId="629">
    <w:name w:val="表格"/>
    <w:basedOn w:val="1"/>
    <w:qFormat/>
    <w:uiPriority w:val="0"/>
    <w:pPr>
      <w:ind w:firstLine="42" w:firstLineChars="21"/>
    </w:pPr>
    <w:rPr>
      <w:rFonts w:ascii="宋体" w:hAnsi="宋体"/>
      <w:kern w:val="0"/>
      <w:sz w:val="20"/>
      <w:szCs w:val="20"/>
    </w:rPr>
  </w:style>
  <w:style w:type="paragraph" w:customStyle="1" w:styleId="630">
    <w:name w:val="标书标题4"/>
    <w:basedOn w:val="5"/>
    <w:qFormat/>
    <w:uiPriority w:val="0"/>
    <w:pPr>
      <w:keepLines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Cs w:val="20"/>
    </w:rPr>
  </w:style>
  <w:style w:type="paragraph" w:customStyle="1" w:styleId="647">
    <w:name w:val="Char1 Char Char Char1"/>
    <w:basedOn w:val="1"/>
    <w:qFormat/>
    <w:uiPriority w:val="0"/>
    <w:pPr>
      <w:adjustRightInd/>
      <w:ind w:firstLine="200" w:firstLineChars="200"/>
    </w:pPr>
    <w:rPr>
      <w:rFonts w:ascii="Tahoma" w:hAnsi="Tahoma"/>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9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Cs w:val="20"/>
    </w:rPr>
  </w:style>
  <w:style w:type="paragraph" w:customStyle="1" w:styleId="655">
    <w:name w:val="Char1 Char Char Char"/>
    <w:basedOn w:val="1"/>
    <w:qFormat/>
    <w:uiPriority w:val="0"/>
    <w:pPr>
      <w:widowControl/>
      <w:spacing w:before="120" w:after="160" w:line="360" w:lineRule="auto"/>
      <w:ind w:right="-360"/>
      <w:jc w:val="left"/>
    </w:pPr>
    <w:rPr>
      <w:rFonts w:ascii="Arial" w:hAnsi="Arial"/>
      <w:kern w:val="0"/>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8">
    <w:name w:val="Body Text 2*"/>
    <w:basedOn w:val="1"/>
    <w:qFormat/>
    <w:uiPriority w:val="6"/>
    <w:pPr>
      <w:widowControl/>
      <w:adjustRightInd/>
      <w:ind w:left="720" w:hanging="720"/>
    </w:pPr>
    <w:rPr>
      <w:color w:val="000000"/>
      <w:kern w:val="0"/>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rPr>
  </w:style>
  <w:style w:type="paragraph" w:customStyle="1" w:styleId="673">
    <w:name w:val="2级标题"/>
    <w:basedOn w:val="674"/>
    <w:qFormat/>
    <w:uiPriority w:val="0"/>
    <w:pPr>
      <w:jc w:val="left"/>
      <w:outlineLvl w:val="1"/>
    </w:pPr>
    <w:rPr>
      <w:rFonts w:ascii="Times New Roman" w:hAnsi="Times New Roman"/>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4"/>
    <w:qFormat/>
    <w:uiPriority w:val="0"/>
    <w:pPr>
      <w:autoSpaceDE w:val="0"/>
      <w:autoSpaceDN w:val="0"/>
      <w:spacing w:after="120" w:line="360" w:lineRule="auto"/>
      <w:ind w:left="420" w:leftChars="200" w:firstLine="480" w:firstLineChars="200"/>
    </w:pPr>
    <w:rPr>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3">
    <w:name w:val="4"/>
    <w:basedOn w:val="1"/>
    <w:next w:val="37"/>
    <w:qFormat/>
    <w:uiPriority w:val="0"/>
    <w:pPr>
      <w:spacing w:after="120" w:line="480" w:lineRule="auto"/>
      <w:ind w:left="420" w:leftChars="200"/>
    </w:pPr>
    <w:rPr>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Cs w:val="20"/>
    </w:rPr>
  </w:style>
  <w:style w:type="paragraph" w:customStyle="1" w:styleId="746">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8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3">
    <w:name w:val="Char Char Char Char Char Char Char Char Char Char Char1 Char"/>
    <w:basedOn w:val="1"/>
    <w:qFormat/>
    <w:uiPriority w:val="0"/>
    <w:pPr>
      <w:adjustRightInd/>
    </w:pPr>
    <w:rPr>
      <w:rFonts w:ascii="Tahoma" w:hAnsi="Tahoma"/>
    </w:rPr>
  </w:style>
  <w:style w:type="paragraph" w:customStyle="1" w:styleId="754">
    <w:name w:val="Char Char Char Char11"/>
    <w:basedOn w:val="1"/>
    <w:qFormat/>
    <w:uiPriority w:val="0"/>
    <w:rPr>
      <w:rFonts w:ascii="Tahoma" w:hAnsi="Tahoma"/>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Cs w:val="20"/>
    </w:rPr>
  </w:style>
  <w:style w:type="paragraph" w:customStyle="1" w:styleId="757">
    <w:name w:val="标1"/>
    <w:basedOn w:val="1"/>
    <w:qFormat/>
    <w:uiPriority w:val="0"/>
    <w:pPr>
      <w:widowControl/>
      <w:tabs>
        <w:tab w:val="left" w:pos="1020"/>
      </w:tabs>
      <w:spacing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1"/>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9">
    <w:name w:val="列出段落3"/>
    <w:basedOn w:val="1"/>
    <w:qFormat/>
    <w:uiPriority w:val="34"/>
    <w:pPr>
      <w:adjustRightInd/>
      <w:spacing w:line="360" w:lineRule="auto"/>
      <w:ind w:firstLine="420" w:firstLineChars="200"/>
    </w:pPr>
    <w:rPr>
      <w:rFonts w:ascii="Calibri" w:hAnsi="Calibri"/>
      <w:szCs w:val="22"/>
    </w:rPr>
  </w:style>
  <w:style w:type="paragraph" w:customStyle="1" w:styleId="800">
    <w:name w:val="首行缩进"/>
    <w:basedOn w:val="1"/>
    <w:qFormat/>
    <w:uiPriority w:val="0"/>
    <w:pPr>
      <w:spacing w:line="360" w:lineRule="auto"/>
      <w:ind w:firstLine="480" w:firstLineChars="200"/>
    </w:pPr>
    <w:rPr>
      <w:rFonts w:ascii="宋体"/>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2">
    <w:name w:val="单元格左对齐"/>
    <w:basedOn w:val="1"/>
    <w:qFormat/>
    <w:uiPriority w:val="0"/>
    <w:pPr>
      <w:adjustRightInd/>
      <w:spacing w:line="360" w:lineRule="auto"/>
    </w:pPr>
  </w:style>
  <w:style w:type="paragraph" w:customStyle="1" w:styleId="803">
    <w:name w:val="正文主体"/>
    <w:basedOn w:val="625"/>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Cs w:val="20"/>
    </w:rPr>
  </w:style>
  <w:style w:type="paragraph" w:customStyle="1" w:styleId="839">
    <w:name w:val="Char Char Char Char Char Char Char Char Char Char Char Char1 Char"/>
    <w:basedOn w:val="1"/>
    <w:qFormat/>
    <w:uiPriority w:val="0"/>
    <w:rPr>
      <w:rFonts w:ascii="Tahoma" w:hAnsi="Tahoma" w:cs="仿宋_GB2312"/>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3">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rPr>
  </w:style>
  <w:style w:type="paragraph" w:customStyle="1" w:styleId="863">
    <w:name w:val="Char Char110"/>
    <w:basedOn w:val="1"/>
    <w:qFormat/>
    <w:uiPriority w:val="6"/>
    <w:pPr>
      <w:spacing w:line="360" w:lineRule="auto"/>
    </w:pPr>
    <w:rPr>
      <w:rFonts w:ascii="Tahoma" w:hAnsi="Tahoma"/>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70">
    <w:name w:val="Char Char281"/>
    <w:basedOn w:val="1"/>
    <w:qFormat/>
    <w:uiPriority w:val="0"/>
    <w:pPr>
      <w:adjustRightInd/>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Cs w:val="20"/>
    </w:rPr>
  </w:style>
  <w:style w:type="paragraph" w:customStyle="1" w:styleId="873">
    <w:name w:val="_Style 12"/>
    <w:basedOn w:val="18"/>
    <w:qFormat/>
    <w:uiPriority w:val="0"/>
    <w:pPr>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5">
    <w:name w:val="Char1 Char Char Char6"/>
    <w:basedOn w:val="1"/>
    <w:qFormat/>
    <w:uiPriority w:val="6"/>
    <w:pPr>
      <w:widowControl/>
      <w:spacing w:before="120" w:after="160" w:line="360" w:lineRule="auto"/>
      <w:ind w:right="-360"/>
      <w:jc w:val="left"/>
    </w:pPr>
    <w:rPr>
      <w:rFonts w:ascii="Arial" w:hAnsi="Arial"/>
      <w:kern w:val="0"/>
      <w:lang w:eastAsia="en-US"/>
    </w:rPr>
  </w:style>
  <w:style w:type="paragraph" w:customStyle="1" w:styleId="876">
    <w:name w:val="_Style 94"/>
    <w:basedOn w:val="1"/>
    <w:next w:val="84"/>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pacing w:line="324" w:lineRule="auto"/>
      <w:ind w:firstLine="482" w:firstLineChars="200"/>
    </w:pPr>
    <w:rPr>
      <w:rFonts w:ascii="仿宋_GB2312" w:eastAsia="仿宋_GB2312"/>
      <w:b/>
      <w:color w:val="000000"/>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kern w:val="0"/>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40"/>
    <w:qFormat/>
    <w:uiPriority w:val="0"/>
  </w:style>
  <w:style w:type="paragraph" w:customStyle="1" w:styleId="887">
    <w:name w:val="U_编号2"/>
    <w:basedOn w:val="1"/>
    <w:qFormat/>
    <w:uiPriority w:val="0"/>
    <w:pPr>
      <w:tabs>
        <w:tab w:val="left" w:pos="785"/>
      </w:tabs>
      <w:adjustRightInd/>
      <w:spacing w:beforeLines="10" w:afterLines="10" w:line="300" w:lineRule="auto"/>
    </w:p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90">
    <w:name w:val="标书标题3"/>
    <w:basedOn w:val="4"/>
    <w:qFormat/>
    <w:uiPriority w:val="0"/>
    <w:pPr>
      <w:keepLines w:val="0"/>
      <w:widowControl/>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7"/>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4"/>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8"/>
    <w:qFormat/>
    <w:uiPriority w:val="0"/>
    <w:rPr>
      <w:kern w:val="2"/>
      <w:sz w:val="21"/>
      <w:szCs w:val="24"/>
      <w:lang w:val="zh-CN"/>
    </w:rPr>
  </w:style>
  <w:style w:type="character" w:customStyle="1" w:styleId="933">
    <w:name w:val="无间隔 字符"/>
    <w:link w:val="485"/>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84"/>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1">
    <w:name w:val="ksfind_class_select1"/>
    <w:basedOn w:val="69"/>
    <w:qFormat/>
    <w:uiPriority w:val="0"/>
    <w:rPr>
      <w:color w:val="000000"/>
      <w:shd w:val="clear" w:color="auto" w:fill="EFD200"/>
    </w:rPr>
  </w:style>
  <w:style w:type="character" w:customStyle="1" w:styleId="962">
    <w:name w:val="font71"/>
    <w:basedOn w:val="69"/>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5">
    <w:name w:val="Table Normal"/>
    <w:semiHidden/>
    <w:unhideWhenUsed/>
    <w:qFormat/>
    <w:uiPriority w:val="0"/>
    <w:tblPr>
      <w:tblCellMar>
        <w:top w:w="0" w:type="dxa"/>
        <w:left w:w="0" w:type="dxa"/>
        <w:bottom w:w="0" w:type="dxa"/>
        <w:right w:w="0" w:type="dxa"/>
      </w:tblCellMar>
    </w:tblPr>
  </w:style>
  <w:style w:type="paragraph" w:customStyle="1" w:styleId="966">
    <w:name w:val="修订5"/>
    <w:hidden/>
    <w:semiHidden/>
    <w:unhideWhenUsed/>
    <w:qFormat/>
    <w:uiPriority w:val="99"/>
    <w:rPr>
      <w:rFonts w:ascii="Times New Roman" w:hAnsi="Times New Roman" w:eastAsia="仿宋" w:cs="Times New Roman"/>
      <w:kern w:val="2"/>
      <w:sz w:val="24"/>
      <w:szCs w:val="24"/>
      <w:lang w:val="en-US" w:eastAsia="zh-CN" w:bidi="ar-SA"/>
    </w:rPr>
  </w:style>
  <w:style w:type="character" w:customStyle="1" w:styleId="967">
    <w:name w:val="正文文本 字符"/>
    <w:basedOn w:val="69"/>
    <w:link w:val="23"/>
    <w:qFormat/>
    <w:uiPriority w:val="0"/>
    <w:rPr>
      <w:rFonts w:hint="default" w:ascii="Times New Roman" w:hAnsi="Times New Roman" w:eastAsia="宋体" w:cs="Times New Roman"/>
      <w:szCs w:val="24"/>
    </w:rPr>
  </w:style>
  <w:style w:type="paragraph" w:customStyle="1" w:styleId="968">
    <w:name w:val="msolistparagraph"/>
    <w:basedOn w:val="1"/>
    <w:qFormat/>
    <w:uiPriority w:val="0"/>
    <w:pPr>
      <w:ind w:firstLine="420" w:firstLineChars="200"/>
    </w:pPr>
    <w:rPr>
      <w:rFonts w:eastAsia="宋体"/>
      <w:sz w:val="21"/>
    </w:rPr>
  </w:style>
  <w:style w:type="table" w:customStyle="1" w:styleId="969">
    <w:name w:val="网格型浅色1"/>
    <w:basedOn w:val="62"/>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970">
    <w:name w:val="修订6"/>
    <w:hidden/>
    <w:unhideWhenUsed/>
    <w:qFormat/>
    <w:uiPriority w:val="99"/>
    <w:rPr>
      <w:rFonts w:ascii="Times New Roman" w:hAnsi="Times New Roman" w:eastAsia="仿宋" w:cs="Times New Roman"/>
      <w:kern w:val="2"/>
      <w:sz w:val="24"/>
      <w:szCs w:val="24"/>
      <w:lang w:val="en-US" w:eastAsia="zh-CN" w:bidi="ar-SA"/>
    </w:rPr>
  </w:style>
  <w:style w:type="paragraph" w:customStyle="1" w:styleId="971">
    <w:name w:val="安恒信息--正文"/>
    <w:qFormat/>
    <w:uiPriority w:val="0"/>
    <w:pPr>
      <w:spacing w:line="300" w:lineRule="auto"/>
    </w:pPr>
    <w:rPr>
      <w:rFonts w:ascii="Arial" w:hAnsi="Arial" w:eastAsia="宋体" w:cs="Times New Roman"/>
      <w:sz w:val="21"/>
      <w:szCs w:val="21"/>
      <w:lang w:val="en-US" w:eastAsia="zh-CN" w:bidi="ar-SA"/>
    </w:rPr>
  </w:style>
  <w:style w:type="paragraph" w:customStyle="1" w:styleId="972">
    <w:name w:val="自定义正文"/>
    <w:basedOn w:val="1"/>
    <w:qFormat/>
    <w:uiPriority w:val="0"/>
    <w:pPr>
      <w:spacing w:before="120" w:after="60" w:line="400" w:lineRule="exact"/>
      <w:ind w:firstLine="200" w:firstLineChars="200"/>
      <w:jc w:val="left"/>
    </w:pPr>
    <w:rPr>
      <w:rFonts w:ascii="仿宋_GB2312" w:eastAsia="仿宋_GB2312"/>
      <w:kern w:val="0"/>
      <w:szCs w:val="20"/>
    </w:rPr>
  </w:style>
  <w:style w:type="paragraph" w:customStyle="1" w:styleId="973">
    <w:name w:val="Revision"/>
    <w:hidden/>
    <w:semiHidden/>
    <w:qFormat/>
    <w:uiPriority w:val="99"/>
    <w:rPr>
      <w:rFonts w:ascii="Times New Roman" w:hAnsi="Times New Roman" w:eastAsia="仿宋"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wmf"/><Relationship Id="rId15" Type="http://schemas.openxmlformats.org/officeDocument/2006/relationships/oleObject" Target="embeddings/oleObject1.bin"/><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113</Pages>
  <Words>19447</Words>
  <Characters>20239</Characters>
  <Lines>516</Lines>
  <Paragraphs>145</Paragraphs>
  <TotalTime>101</TotalTime>
  <ScaleCrop>false</ScaleCrop>
  <LinksUpToDate>false</LinksUpToDate>
  <CharactersWithSpaces>20322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2023-08-05T02:17:00Z</dcterms:created>
  <dc:creator>玥</dc:creator>
  <cp:lastModifiedBy>汪懿婷</cp:lastModifiedBy>
  <cp:lastPrinted>2023-04-08T01:30:00Z</cp:lastPrinted>
  <dcterms:modified xsi:type="dcterms:W3CDTF">2024-11-22T11:05:28Z</dcterms:modified>
  <dc:title>杭州市市民卡扩大发卡工程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0EE0E4586D77467CBE53E8B1D07611F8_13</vt:lpwstr>
  </property>
</Properties>
</file>