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AE8E7D">
      <w:pPr>
        <w:ind w:left="210" w:leftChars="100"/>
        <w:rPr>
          <w:rFonts w:ascii="Times New Roman" w:hAnsi="Times New Roman" w:eastAsia="华文新魏" w:cs="Times New Roman"/>
          <w:b/>
          <w:sz w:val="52"/>
          <w:szCs w:val="52"/>
        </w:rPr>
      </w:pPr>
      <w:bookmarkStart w:id="0" w:name="OLE_LINK1"/>
    </w:p>
    <w:p w14:paraId="6A614C99">
      <w:pPr>
        <w:jc w:val="center"/>
        <w:rPr>
          <w:rFonts w:ascii="Times New Roman" w:hAnsi="Times New Roman" w:eastAsia="华文新魏" w:cs="Times New Roman"/>
          <w:b/>
          <w:spacing w:val="-14"/>
          <w:sz w:val="52"/>
          <w:szCs w:val="52"/>
        </w:rPr>
      </w:pPr>
    </w:p>
    <w:p w14:paraId="6C3E1110">
      <w:pPr>
        <w:jc w:val="center"/>
        <w:rPr>
          <w:rFonts w:hint="eastAsia" w:ascii="华文新魏" w:eastAsia="华文新魏"/>
          <w:b/>
          <w:spacing w:val="-12"/>
          <w:sz w:val="52"/>
          <w:szCs w:val="52"/>
        </w:rPr>
      </w:pPr>
      <w:r>
        <w:rPr>
          <w:rFonts w:hint="eastAsia" w:ascii="华文新魏" w:eastAsia="华文新魏"/>
          <w:b/>
          <w:spacing w:val="-12"/>
          <w:sz w:val="52"/>
          <w:szCs w:val="52"/>
        </w:rPr>
        <w:t>2025年普陀区水生生物增殖放流项目</w:t>
      </w:r>
    </w:p>
    <w:p w14:paraId="604CDCD0">
      <w:pPr>
        <w:spacing w:after="120"/>
        <w:ind w:firstLine="210" w:firstLineChars="100"/>
        <w:rPr>
          <w:rFonts w:ascii="华文新魏" w:hAnsi="Calibri" w:eastAsia="华文新魏" w:cs="Times New Roman"/>
          <w:kern w:val="0"/>
        </w:rPr>
      </w:pPr>
    </w:p>
    <w:p w14:paraId="7883ABC4">
      <w:pPr>
        <w:snapToGrid w:val="0"/>
        <w:spacing w:line="312" w:lineRule="auto"/>
        <w:jc w:val="center"/>
        <w:rPr>
          <w:rFonts w:ascii="华文新魏" w:hAnsi="Times New Roman" w:eastAsia="华文新魏" w:cs="Times New Roman"/>
          <w:b/>
          <w:sz w:val="52"/>
        </w:rPr>
      </w:pPr>
      <w:r>
        <w:rPr>
          <w:rFonts w:hint="eastAsia" w:ascii="华文新魏" w:hAnsi="Times New Roman" w:eastAsia="华文新魏" w:cs="Times New Roman"/>
          <w:b/>
          <w:sz w:val="52"/>
        </w:rPr>
        <w:t>招标文件</w:t>
      </w:r>
    </w:p>
    <w:p w14:paraId="53E91A1D">
      <w:pPr>
        <w:snapToGrid w:val="0"/>
        <w:spacing w:before="120" w:line="312" w:lineRule="auto"/>
        <w:rPr>
          <w:rFonts w:ascii="华文新魏" w:hAnsi="Times New Roman" w:eastAsia="华文新魏" w:cs="Times New Roman"/>
          <w:b/>
          <w:sz w:val="32"/>
        </w:rPr>
      </w:pPr>
    </w:p>
    <w:p w14:paraId="54696CF7">
      <w:pPr>
        <w:snapToGrid w:val="0"/>
        <w:spacing w:before="120" w:line="312" w:lineRule="auto"/>
        <w:ind w:left="1602" w:hanging="1602" w:hangingChars="500"/>
        <w:rPr>
          <w:rFonts w:hint="eastAsia" w:ascii="华文新魏" w:eastAsia="华文新魏"/>
          <w:b/>
          <w:sz w:val="32"/>
        </w:rPr>
      </w:pPr>
    </w:p>
    <w:p w14:paraId="51A89157">
      <w:pPr>
        <w:snapToGrid w:val="0"/>
        <w:spacing w:before="120" w:line="312" w:lineRule="auto"/>
        <w:ind w:left="1602" w:hanging="1602" w:hangingChars="500"/>
        <w:rPr>
          <w:rFonts w:hint="eastAsia" w:ascii="华文新魏" w:eastAsia="华文新魏"/>
          <w:sz w:val="32"/>
        </w:rPr>
      </w:pPr>
      <w:r>
        <w:rPr>
          <w:rFonts w:hint="eastAsia" w:ascii="华文新魏" w:eastAsia="华文新魏"/>
          <w:b/>
          <w:sz w:val="32"/>
        </w:rPr>
        <w:t>项目名称</w:t>
      </w:r>
      <w:r>
        <w:rPr>
          <w:rFonts w:hint="eastAsia" w:ascii="华文新魏" w:eastAsia="华文新魏"/>
          <w:sz w:val="32"/>
        </w:rPr>
        <w:t>：</w:t>
      </w:r>
      <w:r>
        <w:rPr>
          <w:rFonts w:hint="eastAsia" w:ascii="华文新魏" w:eastAsia="华文新魏"/>
          <w:b/>
          <w:sz w:val="32"/>
        </w:rPr>
        <w:t>2025年普陀区水生生物增殖放流项目</w:t>
      </w:r>
    </w:p>
    <w:p w14:paraId="03CA5090">
      <w:pPr>
        <w:snapToGrid w:val="0"/>
        <w:spacing w:before="120" w:line="312" w:lineRule="auto"/>
        <w:rPr>
          <w:rFonts w:hint="eastAsia" w:eastAsia="华文新魏"/>
          <w:b/>
          <w:sz w:val="32"/>
        </w:rPr>
      </w:pPr>
    </w:p>
    <w:p w14:paraId="2624EA45">
      <w:pPr>
        <w:snapToGrid w:val="0"/>
        <w:spacing w:before="120" w:line="312" w:lineRule="auto"/>
        <w:rPr>
          <w:rFonts w:hint="eastAsia" w:ascii="华文新魏" w:eastAsia="华文新魏"/>
          <w:b/>
          <w:sz w:val="32"/>
        </w:rPr>
      </w:pPr>
      <w:r>
        <w:rPr>
          <w:rFonts w:eastAsia="华文新魏"/>
          <w:b/>
          <w:sz w:val="32"/>
        </w:rPr>
        <w:t>项目</w:t>
      </w:r>
      <w:r>
        <w:rPr>
          <w:rFonts w:hint="eastAsia" w:ascii="华文新魏" w:eastAsia="华文新魏"/>
          <w:b/>
          <w:sz w:val="32"/>
        </w:rPr>
        <w:t>编号：SZGXZS2025017</w:t>
      </w:r>
    </w:p>
    <w:p w14:paraId="4B726B5D">
      <w:pPr>
        <w:snapToGrid w:val="0"/>
        <w:spacing w:before="120" w:line="312" w:lineRule="auto"/>
        <w:rPr>
          <w:rFonts w:hint="eastAsia" w:eastAsia="华文新魏"/>
          <w:b/>
          <w:w w:val="95"/>
          <w:sz w:val="32"/>
        </w:rPr>
      </w:pPr>
    </w:p>
    <w:p w14:paraId="6BEDE3CF">
      <w:pPr>
        <w:snapToGrid w:val="0"/>
        <w:spacing w:before="120" w:line="312" w:lineRule="auto"/>
        <w:ind w:left="1520" w:hanging="1522" w:hangingChars="500"/>
        <w:rPr>
          <w:rFonts w:hint="eastAsia" w:eastAsia="华文新魏"/>
          <w:sz w:val="32"/>
          <w:highlight w:val="yellow"/>
        </w:rPr>
      </w:pPr>
      <w:r>
        <w:rPr>
          <w:rFonts w:eastAsia="华文新魏"/>
          <w:b/>
          <w:w w:val="95"/>
          <w:sz w:val="32"/>
        </w:rPr>
        <w:t>采购单位：</w:t>
      </w:r>
      <w:r>
        <w:rPr>
          <w:rFonts w:hint="eastAsia" w:eastAsia="华文新魏"/>
          <w:b/>
          <w:sz w:val="32"/>
        </w:rPr>
        <w:t>舟山市普陀区海洋经济发展局</w:t>
      </w:r>
    </w:p>
    <w:p w14:paraId="1E9ED704">
      <w:pPr>
        <w:snapToGrid w:val="0"/>
        <w:spacing w:before="120" w:line="312" w:lineRule="auto"/>
        <w:rPr>
          <w:rFonts w:hint="eastAsia" w:eastAsia="华文新魏"/>
          <w:b/>
          <w:w w:val="95"/>
          <w:sz w:val="32"/>
        </w:rPr>
      </w:pPr>
    </w:p>
    <w:p w14:paraId="3E7E4929">
      <w:pPr>
        <w:snapToGrid w:val="0"/>
        <w:spacing w:before="120" w:line="312" w:lineRule="auto"/>
        <w:rPr>
          <w:rFonts w:hint="eastAsia" w:eastAsia="华文新魏"/>
          <w:b/>
          <w:w w:val="95"/>
          <w:sz w:val="32"/>
        </w:rPr>
      </w:pPr>
      <w:r>
        <w:rPr>
          <w:rFonts w:eastAsia="华文新魏"/>
          <w:b/>
          <w:w w:val="95"/>
          <w:sz w:val="32"/>
        </w:rPr>
        <w:t>代理机构：深圳市国信招标有限公司</w:t>
      </w:r>
    </w:p>
    <w:p w14:paraId="1107406F">
      <w:pPr>
        <w:snapToGrid w:val="0"/>
        <w:spacing w:before="120" w:line="312" w:lineRule="auto"/>
        <w:rPr>
          <w:rFonts w:ascii="Times New Roman" w:hAnsi="Times New Roman" w:eastAsia="华文新魏" w:cs="Times New Roman"/>
          <w:b/>
          <w:w w:val="95"/>
          <w:sz w:val="32"/>
        </w:rPr>
      </w:pPr>
    </w:p>
    <w:p w14:paraId="036C3792">
      <w:pPr>
        <w:snapToGrid w:val="0"/>
        <w:spacing w:before="120" w:line="312" w:lineRule="auto"/>
        <w:ind w:left="5961" w:hanging="5968" w:hangingChars="1961"/>
        <w:rPr>
          <w:rFonts w:ascii="Times New Roman" w:hAnsi="Times New Roman" w:eastAsia="华文新魏" w:cs="Times New Roman"/>
          <w:b/>
          <w:w w:val="95"/>
          <w:sz w:val="32"/>
        </w:rPr>
      </w:pPr>
    </w:p>
    <w:p w14:paraId="28981561">
      <w:pPr>
        <w:snapToGrid w:val="0"/>
        <w:spacing w:before="120" w:line="312" w:lineRule="auto"/>
        <w:rPr>
          <w:rFonts w:ascii="Times New Roman" w:hAnsi="Times New Roman" w:eastAsia="华文新魏" w:cs="Times New Roman"/>
          <w:b/>
          <w:w w:val="95"/>
          <w:sz w:val="32"/>
        </w:rPr>
      </w:pPr>
    </w:p>
    <w:p w14:paraId="6071914B">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rPr>
        <w:t>5</w:t>
      </w:r>
      <w:r>
        <w:rPr>
          <w:rFonts w:ascii="Times New Roman" w:hAnsi="Times New Roman" w:eastAsia="华文新魏" w:cs="Times New Roman"/>
          <w:b/>
          <w:w w:val="95"/>
          <w:sz w:val="32"/>
        </w:rPr>
        <w:t>年0</w:t>
      </w:r>
      <w:r>
        <w:rPr>
          <w:rFonts w:hint="eastAsia" w:ascii="Times New Roman" w:hAnsi="Times New Roman" w:eastAsia="华文新魏" w:cs="Times New Roman"/>
          <w:b/>
          <w:w w:val="95"/>
          <w:sz w:val="32"/>
          <w:lang w:val="en-US" w:eastAsia="zh-CN"/>
        </w:rPr>
        <w:t>4</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08</w:t>
      </w:r>
      <w:r>
        <w:rPr>
          <w:rFonts w:hint="eastAsia" w:ascii="Times New Roman" w:hAnsi="Times New Roman" w:eastAsia="华文新魏" w:cs="Times New Roman"/>
          <w:b/>
          <w:w w:val="95"/>
          <w:sz w:val="32"/>
        </w:rPr>
        <w:t>日</w:t>
      </w:r>
    </w:p>
    <w:p w14:paraId="7A368293">
      <w:pPr>
        <w:snapToGrid w:val="0"/>
        <w:spacing w:before="120" w:line="312" w:lineRule="auto"/>
        <w:ind w:left="6057" w:leftChars="2409" w:hanging="998" w:hangingChars="328"/>
        <w:rPr>
          <w:rFonts w:ascii="Times New Roman" w:hAnsi="Times New Roman" w:eastAsia="华文新魏" w:cs="Times New Roman"/>
          <w:b/>
          <w:w w:val="95"/>
          <w:sz w:val="32"/>
        </w:rPr>
      </w:pPr>
    </w:p>
    <w:p w14:paraId="2025D1CC">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11A6E713">
      <w:pPr>
        <w:snapToGrid w:val="0"/>
        <w:spacing w:before="120" w:line="312" w:lineRule="auto"/>
        <w:rPr>
          <w:rFonts w:ascii="Times New Roman" w:hAnsi="Times New Roman" w:eastAsia="创艺简标宋" w:cs="Times New Roman"/>
          <w:sz w:val="44"/>
        </w:rPr>
      </w:pPr>
    </w:p>
    <w:p w14:paraId="075D5A01">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127E223B">
      <w:pPr>
        <w:spacing w:after="120"/>
        <w:ind w:firstLine="210" w:firstLineChars="100"/>
        <w:rPr>
          <w:rFonts w:ascii="Times New Roman" w:hAnsi="Times New Roman" w:eastAsia="宋体" w:cs="Times New Roman"/>
          <w:kern w:val="0"/>
        </w:rPr>
      </w:pPr>
    </w:p>
    <w:p w14:paraId="6394D010">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32344690">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4E479B82">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6B82F20F">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7DCE58B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4321F0A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7A6B6A3B">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4137E4B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54132254">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5BC7796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7ECAF5FF">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0E5D7DBC">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第四章</w:t>
      </w:r>
      <w:r>
        <w:rPr>
          <w:rFonts w:hint="eastAsia" w:ascii="Times New Roman" w:hAnsi="Times New Roman" w:eastAsia="宋体" w:cs="Times New Roman"/>
          <w:sz w:val="24"/>
          <w:lang w:val="en-US" w:eastAsia="zh-CN"/>
        </w:rPr>
        <w:t xml:space="preserve">  </w:t>
      </w:r>
      <w:r>
        <w:rPr>
          <w:rFonts w:hint="eastAsia" w:ascii="Times New Roman" w:hAnsi="Times New Roman" w:eastAsia="宋体" w:cs="Times New Roman"/>
          <w:sz w:val="24"/>
          <w:lang w:eastAsia="zh-CN"/>
        </w:rPr>
        <w:t>评标方法</w:t>
      </w:r>
      <w:r>
        <w:rPr>
          <w:rFonts w:hint="eastAsia" w:ascii="Times New Roman" w:hAnsi="Times New Roman" w:eastAsia="宋体" w:cs="Times New Roman"/>
          <w:sz w:val="24"/>
        </w:rPr>
        <w:t>及评分标准</w:t>
      </w:r>
    </w:p>
    <w:p w14:paraId="5F8B0C5B">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第五章</w:t>
      </w:r>
      <w:r>
        <w:rPr>
          <w:rFonts w:hint="eastAsia" w:ascii="Times New Roman" w:hAnsi="Times New Roman" w:eastAsia="宋体" w:cs="Times New Roman"/>
          <w:sz w:val="24"/>
          <w:lang w:val="en-US" w:eastAsia="zh-CN"/>
        </w:rPr>
        <w:t xml:space="preserve">  </w:t>
      </w:r>
      <w:r>
        <w:rPr>
          <w:rFonts w:hint="eastAsia" w:ascii="Times New Roman" w:hAnsi="Times New Roman" w:eastAsia="宋体" w:cs="Times New Roman"/>
          <w:sz w:val="24"/>
        </w:rPr>
        <w:t>政府采购合同主要条款</w:t>
      </w:r>
    </w:p>
    <w:p w14:paraId="47444B58">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第六章</w:t>
      </w:r>
      <w:r>
        <w:rPr>
          <w:rFonts w:hint="eastAsia" w:ascii="Times New Roman" w:hAnsi="Times New Roman" w:eastAsia="宋体" w:cs="Times New Roman"/>
          <w:sz w:val="24"/>
          <w:lang w:val="en-US" w:eastAsia="zh-CN"/>
        </w:rPr>
        <w:t xml:space="preserve">  </w:t>
      </w:r>
      <w:r>
        <w:rPr>
          <w:rFonts w:hint="eastAsia" w:ascii="Times New Roman" w:hAnsi="Times New Roman" w:eastAsia="宋体" w:cs="Times New Roman"/>
          <w:sz w:val="24"/>
        </w:rPr>
        <w:t>投标文件相关格式</w:t>
      </w:r>
    </w:p>
    <w:p w14:paraId="3508DC8F">
      <w:pPr>
        <w:snapToGrid w:val="0"/>
        <w:spacing w:before="120" w:line="312" w:lineRule="auto"/>
        <w:outlineLvl w:val="0"/>
        <w:rPr>
          <w:rFonts w:ascii="Times New Roman" w:hAnsi="Times New Roman" w:eastAsia="宋体" w:cs="Times New Roman"/>
        </w:rPr>
      </w:pPr>
    </w:p>
    <w:p w14:paraId="2246393D">
      <w:pPr>
        <w:snapToGrid w:val="0"/>
        <w:spacing w:before="120" w:line="312" w:lineRule="auto"/>
        <w:outlineLvl w:val="0"/>
        <w:rPr>
          <w:rFonts w:ascii="Times New Roman" w:hAnsi="Times New Roman" w:eastAsia="宋体" w:cs="Times New Roman"/>
        </w:rPr>
      </w:pPr>
    </w:p>
    <w:p w14:paraId="3F2C31BD">
      <w:pPr>
        <w:snapToGrid w:val="0"/>
        <w:spacing w:before="120" w:line="312" w:lineRule="auto"/>
        <w:outlineLvl w:val="0"/>
        <w:rPr>
          <w:rFonts w:ascii="Times New Roman" w:hAnsi="Times New Roman" w:eastAsia="宋体" w:cs="Times New Roman"/>
        </w:rPr>
      </w:pPr>
    </w:p>
    <w:p w14:paraId="6D6958CF">
      <w:pPr>
        <w:snapToGrid w:val="0"/>
        <w:spacing w:before="120" w:line="312" w:lineRule="auto"/>
        <w:outlineLvl w:val="0"/>
        <w:rPr>
          <w:rFonts w:ascii="Times New Roman" w:hAnsi="Times New Roman" w:eastAsia="宋体" w:cs="Times New Roman"/>
        </w:rPr>
      </w:pPr>
    </w:p>
    <w:p w14:paraId="6465F147">
      <w:pPr>
        <w:snapToGrid w:val="0"/>
        <w:spacing w:before="120" w:line="312" w:lineRule="auto"/>
        <w:outlineLvl w:val="0"/>
        <w:rPr>
          <w:rFonts w:ascii="Times New Roman" w:hAnsi="Times New Roman" w:eastAsia="宋体" w:cs="Times New Roman"/>
        </w:rPr>
      </w:pPr>
    </w:p>
    <w:p w14:paraId="5A7346DE">
      <w:pPr>
        <w:snapToGrid w:val="0"/>
        <w:spacing w:before="120" w:line="312" w:lineRule="auto"/>
        <w:outlineLvl w:val="0"/>
        <w:rPr>
          <w:rFonts w:ascii="Times New Roman" w:hAnsi="Times New Roman" w:eastAsia="宋体" w:cs="Times New Roman"/>
        </w:rPr>
      </w:pPr>
    </w:p>
    <w:p w14:paraId="2F16D93A">
      <w:pPr>
        <w:snapToGrid w:val="0"/>
        <w:spacing w:before="120" w:line="312" w:lineRule="auto"/>
        <w:outlineLvl w:val="0"/>
        <w:rPr>
          <w:rFonts w:ascii="Times New Roman" w:hAnsi="Times New Roman" w:eastAsia="宋体" w:cs="Times New Roman"/>
        </w:rPr>
      </w:pPr>
    </w:p>
    <w:p w14:paraId="7DC76B56">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16BD95B4">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第一章公开招标采购公告</w:t>
      </w:r>
    </w:p>
    <w:p w14:paraId="10D0E55C">
      <w:pPr>
        <w:spacing w:line="312" w:lineRule="auto"/>
        <w:rPr>
          <w:rFonts w:ascii="Times New Roman" w:hAnsi="Times New Roman" w:eastAsia="宋体" w:cs="Times New Roman"/>
        </w:rPr>
      </w:pPr>
    </w:p>
    <w:p w14:paraId="637E54F3">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根据《中华人民共和国政府采购法》等规定，受舟山市普陀区海洋经济发展局委托，现就2025年普陀区水生生物增殖放流项目进行公开招标，欢迎符合资质要求并能提供相关服务的供应商参加投标。</w:t>
      </w:r>
    </w:p>
    <w:p w14:paraId="310D927E">
      <w:pPr>
        <w:widowControl/>
        <w:spacing w:line="360" w:lineRule="auto"/>
        <w:jc w:val="left"/>
        <w:rPr>
          <w:rFonts w:hint="eastAsia" w:ascii="宋体" w:hAnsi="宋体" w:eastAsia="宋体" w:cs="宋体"/>
          <w:szCs w:val="21"/>
        </w:rPr>
      </w:pPr>
      <w:r>
        <w:rPr>
          <w:rFonts w:hint="eastAsia" w:ascii="宋体" w:hAnsi="宋体" w:eastAsia="宋体" w:cs="宋体"/>
          <w:b/>
          <w:bCs/>
          <w:kern w:val="0"/>
          <w:szCs w:val="21"/>
        </w:rPr>
        <w:t>一、项目名称：</w:t>
      </w:r>
      <w:r>
        <w:rPr>
          <w:rFonts w:hint="eastAsia" w:ascii="宋体" w:hAnsi="宋体" w:eastAsia="宋体" w:cs="宋体"/>
          <w:szCs w:val="21"/>
        </w:rPr>
        <w:t>2025年普陀区水生生物增殖放流项目</w:t>
      </w:r>
    </w:p>
    <w:p w14:paraId="7E636DE3">
      <w:pPr>
        <w:widowControl/>
        <w:spacing w:line="360" w:lineRule="auto"/>
        <w:jc w:val="left"/>
        <w:rPr>
          <w:rFonts w:hint="eastAsia" w:ascii="宋体" w:hAnsi="宋体" w:eastAsia="宋体" w:cs="宋体"/>
          <w:b/>
          <w:bCs/>
          <w:szCs w:val="21"/>
        </w:rPr>
      </w:pPr>
      <w:r>
        <w:rPr>
          <w:rStyle w:val="70"/>
          <w:rFonts w:hint="eastAsia" w:ascii="宋体" w:hAnsi="宋体" w:eastAsia="宋体" w:cs="宋体"/>
          <w:bCs/>
          <w:szCs w:val="21"/>
        </w:rPr>
        <w:t>二、项目编号：</w:t>
      </w:r>
      <w:r>
        <w:rPr>
          <w:rFonts w:hint="eastAsia" w:ascii="宋体" w:hAnsi="宋体" w:eastAsia="宋体" w:cs="宋体"/>
          <w:kern w:val="0"/>
          <w:szCs w:val="21"/>
          <w:shd w:val="clear" w:color="auto" w:fill="FFFFFF"/>
        </w:rPr>
        <w:t>SZGXZS2025017</w:t>
      </w:r>
    </w:p>
    <w:p w14:paraId="35EB68A3">
      <w:pPr>
        <w:pStyle w:val="123"/>
        <w:rPr>
          <w:b w:val="0"/>
          <w:bCs w:val="0"/>
          <w:shd w:val="clear" w:color="auto" w:fill="FFFFFF"/>
        </w:rPr>
      </w:pPr>
      <w:r>
        <w:rPr>
          <w:rStyle w:val="70"/>
          <w:rFonts w:hint="eastAsia" w:ascii="宋体" w:hAnsi="宋体" w:cs="宋体"/>
          <w:b/>
          <w:bCs w:val="0"/>
        </w:rPr>
        <w:t>三、采购组织类型</w:t>
      </w:r>
      <w:r>
        <w:rPr>
          <w:rStyle w:val="70"/>
          <w:rFonts w:hint="eastAsia" w:ascii="宋体" w:hAnsi="宋体" w:cs="宋体"/>
          <w:b w:val="0"/>
        </w:rPr>
        <w:t>：</w:t>
      </w:r>
      <w:r>
        <w:rPr>
          <w:rFonts w:hint="eastAsia"/>
          <w:b w:val="0"/>
          <w:bCs w:val="0"/>
          <w:shd w:val="clear" w:color="auto" w:fill="FFFFFF"/>
        </w:rPr>
        <w:t>分散采购委托代理</w:t>
      </w:r>
    </w:p>
    <w:p w14:paraId="1C862239">
      <w:pPr>
        <w:snapToGrid w:val="0"/>
        <w:spacing w:line="312" w:lineRule="auto"/>
        <w:rPr>
          <w:rFonts w:hint="eastAsia" w:ascii="宋体" w:hAnsi="宋体" w:eastAsia="宋体" w:cs="宋体"/>
          <w:sz w:val="21"/>
          <w:szCs w:val="21"/>
        </w:rPr>
      </w:pPr>
      <w:r>
        <w:rPr>
          <w:rFonts w:hint="eastAsia" w:ascii="宋体" w:hAnsi="宋体" w:eastAsia="宋体" w:cs="宋体"/>
          <w:sz w:val="21"/>
          <w:szCs w:val="21"/>
        </w:rPr>
        <w:t>四、招标项目概况（内容、用途、数量、简要技术要求等）:</w:t>
      </w:r>
    </w:p>
    <w:tbl>
      <w:tblPr>
        <w:tblStyle w:val="60"/>
        <w:tblW w:w="9792" w:type="dxa"/>
        <w:tblInd w:w="-81" w:type="dxa"/>
        <w:tblLayout w:type="fixed"/>
        <w:tblCellMar>
          <w:top w:w="15" w:type="dxa"/>
          <w:left w:w="15" w:type="dxa"/>
          <w:bottom w:w="15" w:type="dxa"/>
          <w:right w:w="15" w:type="dxa"/>
        </w:tblCellMar>
      </w:tblPr>
      <w:tblGrid>
        <w:gridCol w:w="527"/>
        <w:gridCol w:w="1129"/>
        <w:gridCol w:w="1056"/>
        <w:gridCol w:w="756"/>
        <w:gridCol w:w="756"/>
        <w:gridCol w:w="1104"/>
        <w:gridCol w:w="888"/>
        <w:gridCol w:w="660"/>
        <w:gridCol w:w="576"/>
        <w:gridCol w:w="900"/>
        <w:gridCol w:w="1440"/>
      </w:tblGrid>
      <w:tr w14:paraId="53797F30">
        <w:tblPrEx>
          <w:tblCellMar>
            <w:top w:w="15" w:type="dxa"/>
            <w:left w:w="15" w:type="dxa"/>
            <w:bottom w:w="15" w:type="dxa"/>
            <w:right w:w="15" w:type="dxa"/>
          </w:tblCellMar>
        </w:tblPrEx>
        <w:trPr>
          <w:trHeight w:val="256" w:hRule="atLeast"/>
        </w:trPr>
        <w:tc>
          <w:tcPr>
            <w:tcW w:w="527" w:type="dxa"/>
            <w:vMerge w:val="restart"/>
            <w:tcBorders>
              <w:top w:val="single" w:color="000000" w:sz="4" w:space="0"/>
              <w:left w:val="single" w:color="000000" w:sz="4" w:space="0"/>
              <w:right w:val="single" w:color="000000" w:sz="4" w:space="0"/>
            </w:tcBorders>
            <w:vAlign w:val="center"/>
          </w:tcPr>
          <w:p w14:paraId="60DB9915">
            <w:pPr>
              <w:jc w:val="center"/>
              <w:rPr>
                <w:rFonts w:hint="eastAsia" w:ascii="宋体" w:hAnsi="宋体" w:eastAsia="宋体" w:cs="宋体"/>
                <w:b/>
                <w:sz w:val="18"/>
                <w:szCs w:val="18"/>
              </w:rPr>
            </w:pPr>
            <w:r>
              <w:rPr>
                <w:rFonts w:hint="eastAsia" w:ascii="宋体" w:hAnsi="宋体" w:eastAsia="宋体" w:cs="宋体"/>
                <w:b/>
                <w:sz w:val="18"/>
                <w:szCs w:val="18"/>
              </w:rPr>
              <w:t>标项</w:t>
            </w:r>
          </w:p>
        </w:tc>
        <w:tc>
          <w:tcPr>
            <w:tcW w:w="1129" w:type="dxa"/>
            <w:vMerge w:val="restart"/>
            <w:tcBorders>
              <w:top w:val="single" w:color="000000" w:sz="4" w:space="0"/>
              <w:left w:val="single" w:color="000000" w:sz="4" w:space="0"/>
              <w:right w:val="single" w:color="000000" w:sz="4" w:space="0"/>
            </w:tcBorders>
            <w:vAlign w:val="center"/>
          </w:tcPr>
          <w:p w14:paraId="638C9331">
            <w:pPr>
              <w:widowControl/>
              <w:jc w:val="center"/>
              <w:rPr>
                <w:rFonts w:hint="eastAsia" w:ascii="宋体" w:hAnsi="宋体" w:eastAsia="宋体" w:cs="宋体"/>
                <w:b/>
                <w:sz w:val="18"/>
                <w:szCs w:val="18"/>
              </w:rPr>
            </w:pPr>
            <w:r>
              <w:rPr>
                <w:rFonts w:hint="eastAsia" w:ascii="宋体" w:hAnsi="宋体" w:eastAsia="宋体" w:cs="宋体"/>
                <w:b/>
                <w:bCs/>
                <w:kern w:val="0"/>
                <w:sz w:val="18"/>
                <w:szCs w:val="18"/>
                <w:lang w:eastAsia="zh-CN"/>
              </w:rPr>
              <w:t>品种</w:t>
            </w:r>
          </w:p>
        </w:tc>
        <w:tc>
          <w:tcPr>
            <w:tcW w:w="1056" w:type="dxa"/>
            <w:vMerge w:val="restart"/>
            <w:tcBorders>
              <w:top w:val="single" w:color="000000" w:sz="4" w:space="0"/>
              <w:left w:val="single" w:color="000000" w:sz="4" w:space="0"/>
              <w:right w:val="single" w:color="000000" w:sz="4" w:space="0"/>
            </w:tcBorders>
            <w:vAlign w:val="center"/>
          </w:tcPr>
          <w:p w14:paraId="22F7B377">
            <w:pPr>
              <w:widowControl/>
              <w:jc w:val="center"/>
              <w:rPr>
                <w:rFonts w:hint="eastAsia" w:ascii="宋体" w:hAnsi="宋体" w:eastAsia="宋体" w:cs="宋体"/>
                <w:b/>
                <w:sz w:val="18"/>
                <w:szCs w:val="18"/>
              </w:rPr>
            </w:pPr>
            <w:r>
              <w:rPr>
                <w:rFonts w:hint="eastAsia" w:ascii="宋体" w:hAnsi="宋体" w:eastAsia="宋体" w:cs="宋体"/>
                <w:b/>
                <w:bCs/>
                <w:kern w:val="0"/>
                <w:sz w:val="18"/>
                <w:szCs w:val="18"/>
                <w:highlight w:val="none"/>
              </w:rPr>
              <w:t>规格</w:t>
            </w:r>
          </w:p>
        </w:tc>
        <w:tc>
          <w:tcPr>
            <w:tcW w:w="756" w:type="dxa"/>
            <w:vMerge w:val="restart"/>
            <w:tcBorders>
              <w:top w:val="single" w:color="000000" w:sz="4" w:space="0"/>
              <w:left w:val="single" w:color="000000" w:sz="4" w:space="0"/>
              <w:right w:val="single" w:color="000000" w:sz="4" w:space="0"/>
            </w:tcBorders>
            <w:vAlign w:val="center"/>
          </w:tcPr>
          <w:p w14:paraId="13ACAEF4">
            <w:pPr>
              <w:widowControl/>
              <w:jc w:val="center"/>
              <w:rPr>
                <w:rFonts w:hint="eastAsia" w:ascii="宋体" w:hAnsi="宋体" w:eastAsia="宋体" w:cs="宋体"/>
                <w:b/>
                <w:kern w:val="0"/>
                <w:sz w:val="18"/>
                <w:szCs w:val="18"/>
              </w:rPr>
            </w:pPr>
            <w:r>
              <w:rPr>
                <w:rFonts w:hint="eastAsia" w:ascii="宋体" w:hAnsi="宋体" w:eastAsia="宋体" w:cs="宋体"/>
                <w:b/>
                <w:bCs/>
                <w:kern w:val="0"/>
                <w:sz w:val="18"/>
                <w:szCs w:val="18"/>
                <w:highlight w:val="none"/>
              </w:rPr>
              <w:t>参考单价(元/单位)</w:t>
            </w:r>
          </w:p>
        </w:tc>
        <w:tc>
          <w:tcPr>
            <w:tcW w:w="756" w:type="dxa"/>
            <w:vMerge w:val="restart"/>
            <w:tcBorders>
              <w:top w:val="single" w:color="000000" w:sz="4" w:space="0"/>
              <w:left w:val="single" w:color="000000" w:sz="4" w:space="0"/>
              <w:right w:val="single" w:color="000000" w:sz="4" w:space="0"/>
            </w:tcBorders>
            <w:vAlign w:val="center"/>
          </w:tcPr>
          <w:p w14:paraId="62C08E7F">
            <w:pPr>
              <w:widowControl/>
              <w:jc w:val="center"/>
              <w:rPr>
                <w:rFonts w:hint="eastAsia" w:ascii="宋体" w:hAnsi="宋体" w:eastAsia="宋体" w:cs="宋体"/>
                <w:b/>
                <w:sz w:val="18"/>
                <w:szCs w:val="18"/>
              </w:rPr>
            </w:pPr>
            <w:r>
              <w:rPr>
                <w:rFonts w:hint="eastAsia" w:ascii="宋体" w:hAnsi="宋体" w:eastAsia="宋体" w:cs="宋体"/>
                <w:b/>
                <w:bCs/>
                <w:kern w:val="0"/>
                <w:sz w:val="18"/>
                <w:szCs w:val="18"/>
                <w:highlight w:val="none"/>
                <w:lang w:eastAsia="zh-CN"/>
              </w:rPr>
              <w:t>苗种</w:t>
            </w:r>
            <w:r>
              <w:rPr>
                <w:rFonts w:hint="eastAsia" w:ascii="宋体" w:hAnsi="宋体" w:eastAsia="宋体" w:cs="宋体"/>
                <w:b/>
                <w:bCs/>
                <w:kern w:val="0"/>
                <w:sz w:val="18"/>
                <w:szCs w:val="18"/>
                <w:highlight w:val="none"/>
              </w:rPr>
              <w:t>费(万元)</w:t>
            </w:r>
          </w:p>
        </w:tc>
        <w:tc>
          <w:tcPr>
            <w:tcW w:w="1104" w:type="dxa"/>
            <w:vMerge w:val="restart"/>
            <w:tcBorders>
              <w:top w:val="single" w:color="000000" w:sz="4" w:space="0"/>
              <w:left w:val="single" w:color="000000" w:sz="4" w:space="0"/>
              <w:right w:val="single" w:color="auto" w:sz="4" w:space="0"/>
            </w:tcBorders>
            <w:vAlign w:val="center"/>
          </w:tcPr>
          <w:p w14:paraId="10277F66">
            <w:pPr>
              <w:widowControl/>
              <w:jc w:val="center"/>
              <w:rPr>
                <w:rFonts w:hint="eastAsia" w:ascii="宋体" w:hAnsi="宋体" w:eastAsia="宋体" w:cs="宋体"/>
                <w:b/>
                <w:sz w:val="18"/>
                <w:szCs w:val="18"/>
              </w:rPr>
            </w:pPr>
            <w:r>
              <w:rPr>
                <w:rFonts w:hint="eastAsia" w:ascii="宋体" w:hAnsi="宋体" w:eastAsia="宋体" w:cs="宋体"/>
                <w:b/>
                <w:bCs/>
                <w:kern w:val="0"/>
                <w:sz w:val="18"/>
                <w:szCs w:val="18"/>
                <w:highlight w:val="none"/>
              </w:rPr>
              <w:t>总</w:t>
            </w:r>
            <w:r>
              <w:rPr>
                <w:rFonts w:hint="eastAsia" w:ascii="宋体" w:hAnsi="宋体" w:eastAsia="宋体" w:cs="宋体"/>
                <w:b/>
                <w:bCs/>
                <w:kern w:val="0"/>
                <w:sz w:val="18"/>
                <w:szCs w:val="18"/>
                <w:highlight w:val="none"/>
                <w:lang w:eastAsia="zh-CN"/>
              </w:rPr>
              <w:t>苗种</w:t>
            </w:r>
            <w:r>
              <w:rPr>
                <w:rFonts w:hint="eastAsia" w:ascii="宋体" w:hAnsi="宋体" w:eastAsia="宋体" w:cs="宋体"/>
                <w:b/>
                <w:bCs/>
                <w:kern w:val="0"/>
                <w:sz w:val="18"/>
                <w:szCs w:val="18"/>
                <w:highlight w:val="none"/>
              </w:rPr>
              <w:t>数量(≥万单位)</w:t>
            </w:r>
          </w:p>
        </w:tc>
        <w:tc>
          <w:tcPr>
            <w:tcW w:w="888" w:type="dxa"/>
            <w:vMerge w:val="restart"/>
            <w:tcBorders>
              <w:top w:val="single" w:color="000000" w:sz="4" w:space="0"/>
              <w:left w:val="single" w:color="auto" w:sz="4" w:space="0"/>
              <w:right w:val="single" w:color="000000" w:sz="4" w:space="0"/>
            </w:tcBorders>
            <w:vAlign w:val="center"/>
          </w:tcPr>
          <w:p w14:paraId="564F16B0">
            <w:pPr>
              <w:widowControl/>
              <w:jc w:val="center"/>
              <w:rPr>
                <w:rFonts w:hint="eastAsia" w:ascii="宋体" w:hAnsi="宋体" w:eastAsia="宋体" w:cs="宋体"/>
                <w:b/>
                <w:sz w:val="18"/>
                <w:szCs w:val="18"/>
              </w:rPr>
            </w:pPr>
            <w:r>
              <w:rPr>
                <w:rFonts w:hint="eastAsia" w:ascii="宋体" w:hAnsi="宋体" w:eastAsia="宋体" w:cs="宋体"/>
                <w:b/>
                <w:bCs/>
                <w:kern w:val="0"/>
                <w:sz w:val="18"/>
                <w:szCs w:val="18"/>
              </w:rPr>
              <w:t>拟中标单位(家)</w:t>
            </w:r>
          </w:p>
        </w:tc>
        <w:tc>
          <w:tcPr>
            <w:tcW w:w="1236" w:type="dxa"/>
            <w:gridSpan w:val="2"/>
            <w:tcBorders>
              <w:top w:val="single" w:color="000000" w:sz="4" w:space="0"/>
              <w:left w:val="single" w:color="000000" w:sz="4" w:space="0"/>
              <w:bottom w:val="single" w:color="auto" w:sz="4" w:space="0"/>
              <w:right w:val="single" w:color="auto" w:sz="4" w:space="0"/>
            </w:tcBorders>
            <w:vAlign w:val="center"/>
          </w:tcPr>
          <w:p w14:paraId="33264557">
            <w:pPr>
              <w:jc w:val="center"/>
              <w:rPr>
                <w:rFonts w:hint="eastAsia" w:ascii="宋体" w:hAnsi="宋体" w:eastAsia="宋体" w:cs="宋体"/>
                <w:b/>
                <w:sz w:val="18"/>
                <w:szCs w:val="18"/>
              </w:rPr>
            </w:pPr>
            <w:r>
              <w:rPr>
                <w:rFonts w:hint="eastAsia" w:ascii="宋体" w:hAnsi="宋体" w:eastAsia="宋体" w:cs="宋体"/>
                <w:b/>
                <w:sz w:val="18"/>
                <w:szCs w:val="18"/>
              </w:rPr>
              <w:t>中标单位种苗费分配(万元)</w:t>
            </w:r>
          </w:p>
        </w:tc>
        <w:tc>
          <w:tcPr>
            <w:tcW w:w="900" w:type="dxa"/>
            <w:vMerge w:val="restart"/>
            <w:tcBorders>
              <w:top w:val="single" w:color="000000" w:sz="4" w:space="0"/>
              <w:left w:val="single" w:color="000000" w:sz="4" w:space="0"/>
              <w:right w:val="single" w:color="auto" w:sz="4" w:space="0"/>
            </w:tcBorders>
            <w:vAlign w:val="center"/>
          </w:tcPr>
          <w:p w14:paraId="5E3EE78E">
            <w:pPr>
              <w:jc w:val="center"/>
              <w:rPr>
                <w:rFonts w:hint="eastAsia" w:ascii="宋体" w:hAnsi="宋体" w:eastAsia="宋体" w:cs="宋体"/>
                <w:b/>
                <w:sz w:val="18"/>
                <w:szCs w:val="18"/>
              </w:rPr>
            </w:pPr>
            <w:r>
              <w:rPr>
                <w:rFonts w:hint="eastAsia" w:ascii="宋体" w:hAnsi="宋体" w:eastAsia="宋体" w:cs="宋体"/>
                <w:b/>
                <w:sz w:val="18"/>
                <w:szCs w:val="18"/>
              </w:rPr>
              <w:t>放流时间（月）</w:t>
            </w:r>
          </w:p>
        </w:tc>
        <w:tc>
          <w:tcPr>
            <w:tcW w:w="1440" w:type="dxa"/>
            <w:vMerge w:val="restart"/>
            <w:tcBorders>
              <w:top w:val="single" w:color="000000" w:sz="4" w:space="0"/>
              <w:left w:val="single" w:color="auto" w:sz="4" w:space="0"/>
              <w:right w:val="single" w:color="000000" w:sz="4" w:space="0"/>
            </w:tcBorders>
            <w:vAlign w:val="center"/>
          </w:tcPr>
          <w:p w14:paraId="2E462155">
            <w:pPr>
              <w:jc w:val="center"/>
              <w:rPr>
                <w:rFonts w:hint="eastAsia" w:ascii="宋体" w:hAnsi="宋体" w:eastAsia="宋体" w:cs="宋体"/>
                <w:b/>
                <w:sz w:val="18"/>
                <w:szCs w:val="18"/>
              </w:rPr>
            </w:pPr>
            <w:r>
              <w:rPr>
                <w:rFonts w:hint="eastAsia" w:ascii="宋体" w:hAnsi="宋体" w:eastAsia="宋体" w:cs="宋体"/>
                <w:b/>
                <w:sz w:val="18"/>
                <w:szCs w:val="18"/>
              </w:rPr>
              <w:t>放流海域</w:t>
            </w:r>
          </w:p>
        </w:tc>
      </w:tr>
      <w:tr w14:paraId="478540F1">
        <w:tblPrEx>
          <w:tblCellMar>
            <w:top w:w="15" w:type="dxa"/>
            <w:left w:w="15" w:type="dxa"/>
            <w:bottom w:w="15" w:type="dxa"/>
            <w:right w:w="15" w:type="dxa"/>
          </w:tblCellMar>
        </w:tblPrEx>
        <w:trPr>
          <w:trHeight w:val="219" w:hRule="atLeast"/>
        </w:trPr>
        <w:tc>
          <w:tcPr>
            <w:tcW w:w="527" w:type="dxa"/>
            <w:vMerge w:val="continue"/>
            <w:tcBorders>
              <w:left w:val="single" w:color="000000" w:sz="4" w:space="0"/>
              <w:bottom w:val="single" w:color="000000" w:sz="4" w:space="0"/>
              <w:right w:val="single" w:color="000000" w:sz="4" w:space="0"/>
            </w:tcBorders>
            <w:vAlign w:val="center"/>
          </w:tcPr>
          <w:p w14:paraId="77112EF3">
            <w:pPr>
              <w:jc w:val="center"/>
              <w:rPr>
                <w:rFonts w:hint="eastAsia" w:ascii="宋体" w:hAnsi="宋体" w:eastAsia="宋体" w:cs="宋体"/>
                <w:b/>
                <w:sz w:val="18"/>
                <w:szCs w:val="18"/>
              </w:rPr>
            </w:pPr>
          </w:p>
        </w:tc>
        <w:tc>
          <w:tcPr>
            <w:tcW w:w="1129" w:type="dxa"/>
            <w:vMerge w:val="continue"/>
            <w:tcBorders>
              <w:left w:val="single" w:color="000000" w:sz="4" w:space="0"/>
              <w:bottom w:val="single" w:color="000000" w:sz="4" w:space="0"/>
              <w:right w:val="single" w:color="000000" w:sz="4" w:space="0"/>
            </w:tcBorders>
            <w:vAlign w:val="center"/>
          </w:tcPr>
          <w:p w14:paraId="69430A4C">
            <w:pPr>
              <w:jc w:val="center"/>
              <w:rPr>
                <w:rFonts w:hint="eastAsia" w:ascii="宋体" w:hAnsi="宋体" w:eastAsia="宋体" w:cs="宋体"/>
                <w:sz w:val="18"/>
                <w:szCs w:val="18"/>
              </w:rPr>
            </w:pPr>
          </w:p>
        </w:tc>
        <w:tc>
          <w:tcPr>
            <w:tcW w:w="1056" w:type="dxa"/>
            <w:vMerge w:val="continue"/>
            <w:tcBorders>
              <w:left w:val="single" w:color="000000" w:sz="4" w:space="0"/>
              <w:bottom w:val="single" w:color="000000" w:sz="4" w:space="0"/>
              <w:right w:val="single" w:color="000000" w:sz="4" w:space="0"/>
            </w:tcBorders>
            <w:vAlign w:val="center"/>
          </w:tcPr>
          <w:p w14:paraId="4BEF06B6">
            <w:pPr>
              <w:jc w:val="center"/>
              <w:rPr>
                <w:rFonts w:hint="eastAsia" w:ascii="宋体" w:hAnsi="宋体" w:eastAsia="宋体" w:cs="宋体"/>
                <w:sz w:val="18"/>
                <w:szCs w:val="18"/>
              </w:rPr>
            </w:pPr>
          </w:p>
        </w:tc>
        <w:tc>
          <w:tcPr>
            <w:tcW w:w="756" w:type="dxa"/>
            <w:vMerge w:val="continue"/>
            <w:tcBorders>
              <w:left w:val="single" w:color="000000" w:sz="4" w:space="0"/>
              <w:bottom w:val="single" w:color="000000" w:sz="4" w:space="0"/>
              <w:right w:val="single" w:color="000000" w:sz="4" w:space="0"/>
            </w:tcBorders>
          </w:tcPr>
          <w:p w14:paraId="2BE14CAF">
            <w:pPr>
              <w:rPr>
                <w:rFonts w:hint="eastAsia" w:ascii="宋体" w:hAnsi="宋体" w:eastAsia="宋体" w:cs="宋体"/>
                <w:sz w:val="18"/>
                <w:szCs w:val="18"/>
              </w:rPr>
            </w:pPr>
          </w:p>
        </w:tc>
        <w:tc>
          <w:tcPr>
            <w:tcW w:w="756" w:type="dxa"/>
            <w:vMerge w:val="continue"/>
            <w:tcBorders>
              <w:left w:val="single" w:color="000000" w:sz="4" w:space="0"/>
              <w:bottom w:val="single" w:color="000000" w:sz="4" w:space="0"/>
              <w:right w:val="single" w:color="000000" w:sz="4" w:space="0"/>
            </w:tcBorders>
            <w:vAlign w:val="center"/>
          </w:tcPr>
          <w:p w14:paraId="7D47A3DF">
            <w:pPr>
              <w:jc w:val="center"/>
              <w:rPr>
                <w:rFonts w:hint="eastAsia" w:ascii="宋体" w:hAnsi="宋体" w:eastAsia="宋体" w:cs="宋体"/>
                <w:sz w:val="18"/>
                <w:szCs w:val="18"/>
              </w:rPr>
            </w:pPr>
          </w:p>
        </w:tc>
        <w:tc>
          <w:tcPr>
            <w:tcW w:w="1104" w:type="dxa"/>
            <w:vMerge w:val="continue"/>
            <w:tcBorders>
              <w:left w:val="single" w:color="000000" w:sz="4" w:space="0"/>
              <w:bottom w:val="single" w:color="000000" w:sz="4" w:space="0"/>
              <w:right w:val="single" w:color="auto" w:sz="4" w:space="0"/>
            </w:tcBorders>
            <w:vAlign w:val="center"/>
          </w:tcPr>
          <w:p w14:paraId="40669B19">
            <w:pPr>
              <w:jc w:val="center"/>
              <w:rPr>
                <w:rFonts w:hint="eastAsia" w:ascii="宋体" w:hAnsi="宋体" w:eastAsia="宋体" w:cs="宋体"/>
                <w:sz w:val="18"/>
                <w:szCs w:val="18"/>
              </w:rPr>
            </w:pPr>
          </w:p>
        </w:tc>
        <w:tc>
          <w:tcPr>
            <w:tcW w:w="888" w:type="dxa"/>
            <w:vMerge w:val="continue"/>
            <w:tcBorders>
              <w:left w:val="single" w:color="auto" w:sz="4" w:space="0"/>
              <w:bottom w:val="single" w:color="000000" w:sz="4" w:space="0"/>
              <w:right w:val="single" w:color="000000" w:sz="4" w:space="0"/>
            </w:tcBorders>
            <w:vAlign w:val="center"/>
          </w:tcPr>
          <w:p w14:paraId="3B58D5F0">
            <w:pPr>
              <w:jc w:val="center"/>
              <w:rPr>
                <w:rFonts w:hint="eastAsia" w:ascii="宋体" w:hAnsi="宋体" w:eastAsia="宋体" w:cs="宋体"/>
                <w:sz w:val="18"/>
                <w:szCs w:val="18"/>
              </w:rPr>
            </w:pPr>
          </w:p>
        </w:tc>
        <w:tc>
          <w:tcPr>
            <w:tcW w:w="660" w:type="dxa"/>
            <w:tcBorders>
              <w:top w:val="single" w:color="auto" w:sz="4" w:space="0"/>
              <w:left w:val="single" w:color="000000" w:sz="4" w:space="0"/>
              <w:bottom w:val="single" w:color="000000" w:sz="4" w:space="0"/>
              <w:right w:val="single" w:color="auto" w:sz="4" w:space="0"/>
            </w:tcBorders>
            <w:vAlign w:val="center"/>
          </w:tcPr>
          <w:p w14:paraId="5A143971">
            <w:pPr>
              <w:widowControl/>
              <w:jc w:val="center"/>
              <w:rPr>
                <w:rFonts w:hint="eastAsia" w:ascii="宋体" w:hAnsi="宋体" w:eastAsia="宋体" w:cs="宋体"/>
                <w:sz w:val="18"/>
                <w:szCs w:val="18"/>
              </w:rPr>
            </w:pPr>
            <w:r>
              <w:rPr>
                <w:rFonts w:hint="eastAsia" w:ascii="宋体" w:hAnsi="宋体" w:eastAsia="宋体" w:cs="宋体"/>
                <w:b/>
                <w:bCs/>
                <w:kern w:val="0"/>
                <w:sz w:val="18"/>
                <w:szCs w:val="18"/>
              </w:rPr>
              <w:t>1</w:t>
            </w:r>
          </w:p>
        </w:tc>
        <w:tc>
          <w:tcPr>
            <w:tcW w:w="576" w:type="dxa"/>
            <w:tcBorders>
              <w:top w:val="single" w:color="auto" w:sz="4" w:space="0"/>
              <w:left w:val="single" w:color="000000" w:sz="4" w:space="0"/>
              <w:bottom w:val="single" w:color="000000" w:sz="4" w:space="0"/>
              <w:right w:val="single" w:color="auto" w:sz="4" w:space="0"/>
            </w:tcBorders>
            <w:vAlign w:val="center"/>
          </w:tcPr>
          <w:p w14:paraId="54EC9B69">
            <w:pPr>
              <w:widowControl/>
              <w:jc w:val="center"/>
              <w:rPr>
                <w:rFonts w:hint="eastAsia" w:ascii="宋体" w:hAnsi="宋体" w:eastAsia="宋体" w:cs="宋体"/>
                <w:sz w:val="18"/>
                <w:szCs w:val="18"/>
              </w:rPr>
            </w:pPr>
            <w:r>
              <w:rPr>
                <w:rFonts w:hint="eastAsia" w:ascii="宋体" w:hAnsi="宋体" w:eastAsia="宋体" w:cs="宋体"/>
                <w:b/>
                <w:bCs/>
                <w:kern w:val="0"/>
                <w:sz w:val="18"/>
                <w:szCs w:val="18"/>
              </w:rPr>
              <w:t>2</w:t>
            </w:r>
          </w:p>
        </w:tc>
        <w:tc>
          <w:tcPr>
            <w:tcW w:w="900" w:type="dxa"/>
            <w:vMerge w:val="continue"/>
            <w:tcBorders>
              <w:left w:val="single" w:color="000000" w:sz="4" w:space="0"/>
              <w:bottom w:val="single" w:color="000000" w:sz="4" w:space="0"/>
              <w:right w:val="single" w:color="auto" w:sz="4" w:space="0"/>
            </w:tcBorders>
            <w:vAlign w:val="center"/>
          </w:tcPr>
          <w:p w14:paraId="1412F28C">
            <w:pPr>
              <w:jc w:val="center"/>
              <w:rPr>
                <w:rFonts w:hint="eastAsia" w:ascii="宋体" w:hAnsi="宋体" w:eastAsia="宋体" w:cs="宋体"/>
                <w:sz w:val="18"/>
                <w:szCs w:val="18"/>
              </w:rPr>
            </w:pPr>
          </w:p>
        </w:tc>
        <w:tc>
          <w:tcPr>
            <w:tcW w:w="1440" w:type="dxa"/>
            <w:vMerge w:val="continue"/>
            <w:tcBorders>
              <w:left w:val="single" w:color="auto" w:sz="4" w:space="0"/>
              <w:bottom w:val="single" w:color="000000" w:sz="4" w:space="0"/>
              <w:right w:val="single" w:color="000000" w:sz="4" w:space="0"/>
            </w:tcBorders>
            <w:vAlign w:val="center"/>
          </w:tcPr>
          <w:p w14:paraId="35EFB1D0">
            <w:pPr>
              <w:jc w:val="center"/>
              <w:rPr>
                <w:rFonts w:hint="eastAsia" w:ascii="宋体" w:hAnsi="宋体" w:eastAsia="宋体" w:cs="宋体"/>
                <w:sz w:val="18"/>
                <w:szCs w:val="18"/>
              </w:rPr>
            </w:pPr>
          </w:p>
        </w:tc>
      </w:tr>
      <w:tr w14:paraId="164B1A51">
        <w:tblPrEx>
          <w:tblCellMar>
            <w:top w:w="15" w:type="dxa"/>
            <w:left w:w="15" w:type="dxa"/>
            <w:bottom w:w="15" w:type="dxa"/>
            <w:right w:w="15" w:type="dxa"/>
          </w:tblCellMar>
        </w:tblPrEx>
        <w:trPr>
          <w:trHeight w:val="336"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5E194939">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一</w:t>
            </w:r>
          </w:p>
        </w:tc>
        <w:tc>
          <w:tcPr>
            <w:tcW w:w="1129" w:type="dxa"/>
            <w:tcBorders>
              <w:top w:val="single" w:color="000000" w:sz="4" w:space="0"/>
              <w:left w:val="single" w:color="000000" w:sz="4" w:space="0"/>
              <w:bottom w:val="single" w:color="000000" w:sz="4" w:space="0"/>
              <w:right w:val="single" w:color="000000" w:sz="4" w:space="0"/>
            </w:tcBorders>
            <w:vAlign w:val="center"/>
          </w:tcPr>
          <w:p w14:paraId="0B1AEA3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大黄鱼</w:t>
            </w:r>
          </w:p>
        </w:tc>
        <w:tc>
          <w:tcPr>
            <w:tcW w:w="1056" w:type="dxa"/>
            <w:tcBorders>
              <w:top w:val="single" w:color="000000" w:sz="4" w:space="0"/>
              <w:left w:val="single" w:color="000000" w:sz="4" w:space="0"/>
              <w:bottom w:val="single" w:color="000000" w:sz="4" w:space="0"/>
              <w:right w:val="single" w:color="000000" w:sz="4" w:space="0"/>
            </w:tcBorders>
            <w:vAlign w:val="center"/>
          </w:tcPr>
          <w:p w14:paraId="2298505F">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体长≥5cm</w:t>
            </w:r>
          </w:p>
        </w:tc>
        <w:tc>
          <w:tcPr>
            <w:tcW w:w="756" w:type="dxa"/>
            <w:tcBorders>
              <w:top w:val="nil"/>
              <w:left w:val="single" w:color="auto" w:sz="4" w:space="0"/>
              <w:bottom w:val="single" w:color="auto" w:sz="4" w:space="0"/>
              <w:right w:val="single" w:color="auto" w:sz="4" w:space="0"/>
            </w:tcBorders>
            <w:vAlign w:val="center"/>
          </w:tcPr>
          <w:p w14:paraId="485000D0">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0.</w:t>
            </w:r>
            <w:r>
              <w:rPr>
                <w:rFonts w:hint="eastAsia" w:ascii="宋体" w:hAnsi="宋体" w:eastAsia="宋体" w:cs="宋体"/>
                <w:kern w:val="0"/>
                <w:sz w:val="18"/>
                <w:szCs w:val="18"/>
                <w:lang w:val="en-US" w:eastAsia="zh-CN"/>
              </w:rPr>
              <w:t>30</w:t>
            </w:r>
          </w:p>
        </w:tc>
        <w:tc>
          <w:tcPr>
            <w:tcW w:w="756" w:type="dxa"/>
            <w:tcBorders>
              <w:top w:val="single" w:color="000000" w:sz="4" w:space="0"/>
              <w:left w:val="single" w:color="000000" w:sz="4" w:space="0"/>
              <w:bottom w:val="single" w:color="000000" w:sz="4" w:space="0"/>
              <w:right w:val="single" w:color="000000" w:sz="4" w:space="0"/>
            </w:tcBorders>
            <w:vAlign w:val="center"/>
          </w:tcPr>
          <w:p w14:paraId="403BFD2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160</w:t>
            </w:r>
          </w:p>
        </w:tc>
        <w:tc>
          <w:tcPr>
            <w:tcW w:w="1104" w:type="dxa"/>
            <w:tcBorders>
              <w:top w:val="single" w:color="000000" w:sz="4" w:space="0"/>
              <w:bottom w:val="single" w:color="000000" w:sz="4" w:space="0"/>
              <w:right w:val="single" w:color="auto" w:sz="4" w:space="0"/>
            </w:tcBorders>
            <w:vAlign w:val="center"/>
          </w:tcPr>
          <w:p w14:paraId="586BE05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533.3</w:t>
            </w:r>
          </w:p>
        </w:tc>
        <w:tc>
          <w:tcPr>
            <w:tcW w:w="888" w:type="dxa"/>
            <w:tcBorders>
              <w:top w:val="single" w:color="000000" w:sz="4" w:space="0"/>
              <w:left w:val="single" w:color="auto" w:sz="4" w:space="0"/>
              <w:bottom w:val="single" w:color="000000" w:sz="4" w:space="0"/>
              <w:right w:val="single" w:color="000000" w:sz="4" w:space="0"/>
            </w:tcBorders>
            <w:vAlign w:val="center"/>
          </w:tcPr>
          <w:p w14:paraId="3D8955C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8AC584E">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85</w:t>
            </w:r>
          </w:p>
        </w:tc>
        <w:tc>
          <w:tcPr>
            <w:tcW w:w="576" w:type="dxa"/>
            <w:tcBorders>
              <w:top w:val="single" w:color="000000" w:sz="4" w:space="0"/>
              <w:left w:val="single" w:color="000000" w:sz="4" w:space="0"/>
              <w:bottom w:val="single" w:color="000000" w:sz="4" w:space="0"/>
              <w:right w:val="single" w:color="auto" w:sz="4" w:space="0"/>
            </w:tcBorders>
            <w:vAlign w:val="center"/>
          </w:tcPr>
          <w:p w14:paraId="66C49E3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75</w:t>
            </w:r>
          </w:p>
        </w:tc>
        <w:tc>
          <w:tcPr>
            <w:tcW w:w="900" w:type="dxa"/>
            <w:tcBorders>
              <w:top w:val="single" w:color="000000" w:sz="4" w:space="0"/>
              <w:left w:val="single" w:color="000000" w:sz="4" w:space="0"/>
              <w:bottom w:val="single" w:color="000000" w:sz="4" w:space="0"/>
              <w:right w:val="single" w:color="auto" w:sz="4" w:space="0"/>
            </w:tcBorders>
            <w:vAlign w:val="center"/>
          </w:tcPr>
          <w:p w14:paraId="1FF5D9A7">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5-</w:t>
            </w:r>
            <w:r>
              <w:rPr>
                <w:rFonts w:hint="eastAsia" w:ascii="宋体" w:hAnsi="宋体" w:eastAsia="宋体" w:cs="宋体"/>
                <w:kern w:val="0"/>
                <w:sz w:val="18"/>
                <w:szCs w:val="18"/>
                <w:lang w:val="en-US" w:eastAsia="zh-CN"/>
              </w:rPr>
              <w:t>8</w:t>
            </w:r>
          </w:p>
        </w:tc>
        <w:tc>
          <w:tcPr>
            <w:tcW w:w="1440" w:type="dxa"/>
            <w:tcBorders>
              <w:top w:val="single" w:color="000000" w:sz="4" w:space="0"/>
              <w:left w:val="single" w:color="auto" w:sz="4" w:space="0"/>
              <w:bottom w:val="single" w:color="000000" w:sz="4" w:space="0"/>
              <w:right w:val="single" w:color="000000" w:sz="4" w:space="0"/>
            </w:tcBorders>
            <w:vAlign w:val="center"/>
          </w:tcPr>
          <w:p w14:paraId="35ABAE5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莲花洋</w:t>
            </w:r>
          </w:p>
        </w:tc>
      </w:tr>
      <w:tr w14:paraId="72756264">
        <w:tblPrEx>
          <w:tblCellMar>
            <w:top w:w="15" w:type="dxa"/>
            <w:left w:w="15" w:type="dxa"/>
            <w:bottom w:w="15" w:type="dxa"/>
            <w:right w:w="15" w:type="dxa"/>
          </w:tblCellMar>
        </w:tblPrEx>
        <w:trPr>
          <w:trHeight w:val="348"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5A3D5470">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二</w:t>
            </w:r>
          </w:p>
        </w:tc>
        <w:tc>
          <w:tcPr>
            <w:tcW w:w="1129" w:type="dxa"/>
            <w:tcBorders>
              <w:top w:val="single" w:color="000000" w:sz="4" w:space="0"/>
              <w:left w:val="single" w:color="000000" w:sz="4" w:space="0"/>
              <w:bottom w:val="single" w:color="000000" w:sz="4" w:space="0"/>
              <w:right w:val="single" w:color="000000" w:sz="4" w:space="0"/>
            </w:tcBorders>
            <w:vAlign w:val="center"/>
          </w:tcPr>
          <w:p w14:paraId="7DDD43A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曼氏无针乌贼</w:t>
            </w:r>
          </w:p>
        </w:tc>
        <w:tc>
          <w:tcPr>
            <w:tcW w:w="1056" w:type="dxa"/>
            <w:tcBorders>
              <w:top w:val="single" w:color="000000" w:sz="4" w:space="0"/>
              <w:left w:val="single" w:color="000000" w:sz="4" w:space="0"/>
              <w:bottom w:val="single" w:color="000000" w:sz="4" w:space="0"/>
              <w:right w:val="single" w:color="000000" w:sz="4" w:space="0"/>
            </w:tcBorders>
            <w:vAlign w:val="center"/>
          </w:tcPr>
          <w:p w14:paraId="2C7A086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受精卵</w:t>
            </w:r>
          </w:p>
        </w:tc>
        <w:tc>
          <w:tcPr>
            <w:tcW w:w="756" w:type="dxa"/>
            <w:tcBorders>
              <w:top w:val="nil"/>
              <w:left w:val="nil"/>
              <w:bottom w:val="single" w:color="auto" w:sz="4" w:space="0"/>
              <w:right w:val="single" w:color="auto" w:sz="4" w:space="0"/>
            </w:tcBorders>
            <w:vAlign w:val="center"/>
          </w:tcPr>
          <w:p w14:paraId="60A15F6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0.1</w:t>
            </w:r>
          </w:p>
        </w:tc>
        <w:tc>
          <w:tcPr>
            <w:tcW w:w="756" w:type="dxa"/>
            <w:tcBorders>
              <w:top w:val="single" w:color="000000" w:sz="4" w:space="0"/>
              <w:left w:val="single" w:color="000000" w:sz="4" w:space="0"/>
              <w:bottom w:val="single" w:color="000000" w:sz="4" w:space="0"/>
              <w:right w:val="single" w:color="000000" w:sz="4" w:space="0"/>
            </w:tcBorders>
            <w:vAlign w:val="center"/>
          </w:tcPr>
          <w:p w14:paraId="29D632F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100</w:t>
            </w:r>
          </w:p>
        </w:tc>
        <w:tc>
          <w:tcPr>
            <w:tcW w:w="1104" w:type="dxa"/>
            <w:tcBorders>
              <w:top w:val="single" w:color="000000" w:sz="4" w:space="0"/>
              <w:bottom w:val="single" w:color="000000" w:sz="4" w:space="0"/>
              <w:right w:val="single" w:color="auto" w:sz="4" w:space="0"/>
            </w:tcBorders>
            <w:vAlign w:val="center"/>
          </w:tcPr>
          <w:p w14:paraId="196EC058">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1000</w:t>
            </w:r>
          </w:p>
        </w:tc>
        <w:tc>
          <w:tcPr>
            <w:tcW w:w="888" w:type="dxa"/>
            <w:tcBorders>
              <w:top w:val="single" w:color="000000" w:sz="4" w:space="0"/>
              <w:left w:val="single" w:color="auto" w:sz="4" w:space="0"/>
              <w:bottom w:val="single" w:color="000000" w:sz="4" w:space="0"/>
              <w:right w:val="single" w:color="000000" w:sz="4" w:space="0"/>
            </w:tcBorders>
            <w:vAlign w:val="center"/>
          </w:tcPr>
          <w:p w14:paraId="48D5BECB">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4B054EE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100</w:t>
            </w:r>
          </w:p>
        </w:tc>
        <w:tc>
          <w:tcPr>
            <w:tcW w:w="576" w:type="dxa"/>
            <w:tcBorders>
              <w:top w:val="single" w:color="000000" w:sz="4" w:space="0"/>
              <w:left w:val="single" w:color="000000" w:sz="4" w:space="0"/>
              <w:bottom w:val="single" w:color="000000" w:sz="4" w:space="0"/>
              <w:right w:val="single" w:color="auto" w:sz="4" w:space="0"/>
            </w:tcBorders>
            <w:vAlign w:val="center"/>
          </w:tcPr>
          <w:p w14:paraId="25B0057A">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w:t>
            </w:r>
            <w:r>
              <w:rPr>
                <w:rFonts w:hint="eastAsia" w:ascii="宋体" w:hAnsi="宋体" w:eastAsia="宋体" w:cs="宋体"/>
                <w:kern w:val="0"/>
                <w:sz w:val="18"/>
                <w:szCs w:val="18"/>
              </w:rPr>
              <w:t>　</w:t>
            </w:r>
          </w:p>
        </w:tc>
        <w:tc>
          <w:tcPr>
            <w:tcW w:w="900" w:type="dxa"/>
            <w:tcBorders>
              <w:top w:val="single" w:color="000000" w:sz="4" w:space="0"/>
              <w:left w:val="single" w:color="000000" w:sz="4" w:space="0"/>
              <w:bottom w:val="single" w:color="000000" w:sz="4" w:space="0"/>
              <w:right w:val="single" w:color="auto" w:sz="4" w:space="0"/>
            </w:tcBorders>
            <w:vAlign w:val="center"/>
          </w:tcPr>
          <w:p w14:paraId="6CCED6D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4-7</w:t>
            </w:r>
          </w:p>
        </w:tc>
        <w:tc>
          <w:tcPr>
            <w:tcW w:w="1440" w:type="dxa"/>
            <w:tcBorders>
              <w:top w:val="single" w:color="000000" w:sz="4" w:space="0"/>
              <w:left w:val="single" w:color="auto" w:sz="4" w:space="0"/>
              <w:bottom w:val="single" w:color="000000" w:sz="4" w:space="0"/>
              <w:right w:val="single" w:color="000000" w:sz="4" w:space="0"/>
            </w:tcBorders>
            <w:vAlign w:val="center"/>
          </w:tcPr>
          <w:p w14:paraId="5614AE7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中街山列岛海洋特别保护区</w:t>
            </w:r>
          </w:p>
        </w:tc>
      </w:tr>
      <w:tr w14:paraId="0445D5E2">
        <w:tblPrEx>
          <w:tblCellMar>
            <w:top w:w="15" w:type="dxa"/>
            <w:left w:w="15" w:type="dxa"/>
            <w:bottom w:w="15" w:type="dxa"/>
            <w:right w:w="15" w:type="dxa"/>
          </w:tblCellMar>
        </w:tblPrEx>
        <w:trPr>
          <w:trHeight w:val="340"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1C4C96C2">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三</w:t>
            </w:r>
          </w:p>
        </w:tc>
        <w:tc>
          <w:tcPr>
            <w:tcW w:w="1129" w:type="dxa"/>
            <w:tcBorders>
              <w:top w:val="single" w:color="000000" w:sz="4" w:space="0"/>
              <w:left w:val="single" w:color="000000" w:sz="4" w:space="0"/>
              <w:bottom w:val="single" w:color="000000" w:sz="4" w:space="0"/>
              <w:right w:val="single" w:color="000000" w:sz="4" w:space="0"/>
            </w:tcBorders>
            <w:vAlign w:val="center"/>
          </w:tcPr>
          <w:p w14:paraId="414050D7">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海蜇</w:t>
            </w:r>
          </w:p>
        </w:tc>
        <w:tc>
          <w:tcPr>
            <w:tcW w:w="1056" w:type="dxa"/>
            <w:tcBorders>
              <w:top w:val="single" w:color="000000" w:sz="4" w:space="0"/>
              <w:left w:val="single" w:color="000000" w:sz="4" w:space="0"/>
              <w:bottom w:val="single" w:color="000000" w:sz="4" w:space="0"/>
              <w:right w:val="single" w:color="000000" w:sz="4" w:space="0"/>
            </w:tcBorders>
            <w:vAlign w:val="center"/>
          </w:tcPr>
          <w:p w14:paraId="5B6A231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伞径≥</w:t>
            </w:r>
            <w:r>
              <w:rPr>
                <w:rFonts w:hint="eastAsia" w:ascii="宋体" w:hAnsi="宋体" w:eastAsia="宋体" w:cs="宋体"/>
                <w:kern w:val="0"/>
                <w:sz w:val="18"/>
                <w:szCs w:val="18"/>
                <w:highlight w:val="none"/>
                <w:lang w:val="en-US" w:eastAsia="zh-CN"/>
              </w:rPr>
              <w:t>0.7c</w:t>
            </w:r>
            <w:r>
              <w:rPr>
                <w:rFonts w:hint="eastAsia" w:ascii="宋体" w:hAnsi="宋体" w:eastAsia="宋体" w:cs="宋体"/>
                <w:kern w:val="0"/>
                <w:sz w:val="18"/>
                <w:szCs w:val="18"/>
                <w:highlight w:val="none"/>
              </w:rPr>
              <w:t>m</w:t>
            </w:r>
          </w:p>
        </w:tc>
        <w:tc>
          <w:tcPr>
            <w:tcW w:w="756" w:type="dxa"/>
            <w:tcBorders>
              <w:top w:val="nil"/>
              <w:left w:val="single" w:color="auto" w:sz="4" w:space="0"/>
              <w:bottom w:val="single" w:color="auto" w:sz="4" w:space="0"/>
              <w:right w:val="single" w:color="auto" w:sz="4" w:space="0"/>
            </w:tcBorders>
            <w:vAlign w:val="center"/>
          </w:tcPr>
          <w:p w14:paraId="11D030A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0.00</w:t>
            </w:r>
            <w:r>
              <w:rPr>
                <w:rFonts w:hint="eastAsia" w:ascii="宋体" w:hAnsi="宋体" w:eastAsia="宋体" w:cs="宋体"/>
                <w:kern w:val="0"/>
                <w:sz w:val="18"/>
                <w:szCs w:val="18"/>
                <w:highlight w:val="none"/>
                <w:lang w:val="en-US" w:eastAsia="zh-CN"/>
              </w:rPr>
              <w:t>6</w:t>
            </w:r>
          </w:p>
        </w:tc>
        <w:tc>
          <w:tcPr>
            <w:tcW w:w="756" w:type="dxa"/>
            <w:tcBorders>
              <w:top w:val="single" w:color="000000" w:sz="4" w:space="0"/>
              <w:left w:val="single" w:color="000000" w:sz="4" w:space="0"/>
              <w:bottom w:val="single" w:color="000000" w:sz="4" w:space="0"/>
              <w:right w:val="single" w:color="000000" w:sz="4" w:space="0"/>
            </w:tcBorders>
            <w:vAlign w:val="center"/>
          </w:tcPr>
          <w:p w14:paraId="7AE7123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54</w:t>
            </w:r>
          </w:p>
        </w:tc>
        <w:tc>
          <w:tcPr>
            <w:tcW w:w="1104" w:type="dxa"/>
            <w:tcBorders>
              <w:top w:val="single" w:color="000000" w:sz="4" w:space="0"/>
              <w:bottom w:val="single" w:color="000000" w:sz="4" w:space="0"/>
              <w:right w:val="single" w:color="auto" w:sz="4" w:space="0"/>
            </w:tcBorders>
            <w:vAlign w:val="center"/>
          </w:tcPr>
          <w:p w14:paraId="0DB3A85F">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9000</w:t>
            </w:r>
          </w:p>
        </w:tc>
        <w:tc>
          <w:tcPr>
            <w:tcW w:w="888" w:type="dxa"/>
            <w:tcBorders>
              <w:top w:val="single" w:color="000000" w:sz="4" w:space="0"/>
              <w:left w:val="single" w:color="auto" w:sz="4" w:space="0"/>
              <w:bottom w:val="single" w:color="000000" w:sz="4" w:space="0"/>
              <w:right w:val="single" w:color="000000" w:sz="4" w:space="0"/>
            </w:tcBorders>
            <w:vAlign w:val="center"/>
          </w:tcPr>
          <w:p w14:paraId="404F01E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3207E58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30</w:t>
            </w:r>
          </w:p>
        </w:tc>
        <w:tc>
          <w:tcPr>
            <w:tcW w:w="576" w:type="dxa"/>
            <w:tcBorders>
              <w:top w:val="single" w:color="000000" w:sz="4" w:space="0"/>
              <w:left w:val="single" w:color="000000" w:sz="4" w:space="0"/>
              <w:bottom w:val="single" w:color="000000" w:sz="4" w:space="0"/>
              <w:right w:val="single" w:color="auto" w:sz="4" w:space="0"/>
            </w:tcBorders>
            <w:vAlign w:val="center"/>
          </w:tcPr>
          <w:p w14:paraId="73FCA515">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24</w:t>
            </w:r>
          </w:p>
        </w:tc>
        <w:tc>
          <w:tcPr>
            <w:tcW w:w="900" w:type="dxa"/>
            <w:tcBorders>
              <w:top w:val="single" w:color="000000" w:sz="4" w:space="0"/>
              <w:left w:val="single" w:color="000000" w:sz="4" w:space="0"/>
              <w:bottom w:val="single" w:color="000000" w:sz="4" w:space="0"/>
              <w:right w:val="single" w:color="auto" w:sz="4" w:space="0"/>
            </w:tcBorders>
            <w:vAlign w:val="center"/>
          </w:tcPr>
          <w:p w14:paraId="3E56164F">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4-</w:t>
            </w:r>
            <w:r>
              <w:rPr>
                <w:rFonts w:hint="eastAsia" w:ascii="宋体" w:hAnsi="宋体" w:eastAsia="宋体" w:cs="宋体"/>
                <w:kern w:val="0"/>
                <w:sz w:val="18"/>
                <w:szCs w:val="18"/>
                <w:highlight w:val="none"/>
              </w:rPr>
              <w:t>5</w:t>
            </w:r>
          </w:p>
        </w:tc>
        <w:tc>
          <w:tcPr>
            <w:tcW w:w="1440" w:type="dxa"/>
            <w:tcBorders>
              <w:top w:val="single" w:color="000000" w:sz="4" w:space="0"/>
              <w:left w:val="single" w:color="auto" w:sz="4" w:space="0"/>
              <w:bottom w:val="single" w:color="000000" w:sz="4" w:space="0"/>
              <w:right w:val="single" w:color="000000" w:sz="4" w:space="0"/>
            </w:tcBorders>
            <w:vAlign w:val="center"/>
          </w:tcPr>
          <w:p w14:paraId="07A29BF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莲花洋、六横台门海域</w:t>
            </w:r>
          </w:p>
        </w:tc>
      </w:tr>
      <w:tr w14:paraId="1F1424BF">
        <w:tblPrEx>
          <w:tblCellMar>
            <w:top w:w="15" w:type="dxa"/>
            <w:left w:w="15" w:type="dxa"/>
            <w:bottom w:w="15" w:type="dxa"/>
            <w:right w:w="15" w:type="dxa"/>
          </w:tblCellMar>
        </w:tblPrEx>
        <w:trPr>
          <w:trHeight w:val="384"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062AE458">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四</w:t>
            </w:r>
          </w:p>
        </w:tc>
        <w:tc>
          <w:tcPr>
            <w:tcW w:w="1129" w:type="dxa"/>
            <w:tcBorders>
              <w:top w:val="single" w:color="000000" w:sz="4" w:space="0"/>
              <w:left w:val="single" w:color="000000" w:sz="4" w:space="0"/>
              <w:bottom w:val="single" w:color="000000" w:sz="4" w:space="0"/>
              <w:right w:val="single" w:color="000000" w:sz="4" w:space="0"/>
            </w:tcBorders>
            <w:vAlign w:val="center"/>
          </w:tcPr>
          <w:p w14:paraId="3686C20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黑鲷</w:t>
            </w:r>
          </w:p>
        </w:tc>
        <w:tc>
          <w:tcPr>
            <w:tcW w:w="1056" w:type="dxa"/>
            <w:tcBorders>
              <w:top w:val="single" w:color="000000" w:sz="4" w:space="0"/>
              <w:left w:val="single" w:color="000000" w:sz="4" w:space="0"/>
              <w:bottom w:val="single" w:color="000000" w:sz="4" w:space="0"/>
              <w:right w:val="single" w:color="000000" w:sz="4" w:space="0"/>
            </w:tcBorders>
            <w:vAlign w:val="center"/>
          </w:tcPr>
          <w:p w14:paraId="6ACDAFD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体</w:t>
            </w:r>
            <w:r>
              <w:rPr>
                <w:rFonts w:hint="eastAsia" w:ascii="宋体" w:hAnsi="宋体" w:eastAsia="宋体" w:cs="宋体"/>
                <w:kern w:val="0"/>
                <w:sz w:val="18"/>
                <w:szCs w:val="18"/>
                <w:highlight w:val="none"/>
              </w:rPr>
              <w:t>长≥5cm</w:t>
            </w:r>
          </w:p>
        </w:tc>
        <w:tc>
          <w:tcPr>
            <w:tcW w:w="756" w:type="dxa"/>
            <w:tcBorders>
              <w:top w:val="nil"/>
              <w:left w:val="single" w:color="auto" w:sz="4" w:space="0"/>
              <w:bottom w:val="single" w:color="auto" w:sz="4" w:space="0"/>
              <w:right w:val="single" w:color="auto" w:sz="4" w:space="0"/>
            </w:tcBorders>
            <w:vAlign w:val="center"/>
          </w:tcPr>
          <w:p w14:paraId="6FE011F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0.35</w:t>
            </w:r>
          </w:p>
        </w:tc>
        <w:tc>
          <w:tcPr>
            <w:tcW w:w="756" w:type="dxa"/>
            <w:tcBorders>
              <w:top w:val="single" w:color="000000" w:sz="4" w:space="0"/>
              <w:left w:val="single" w:color="000000" w:sz="4" w:space="0"/>
              <w:bottom w:val="single" w:color="000000" w:sz="4" w:space="0"/>
              <w:right w:val="single" w:color="000000" w:sz="4" w:space="0"/>
            </w:tcBorders>
            <w:vAlign w:val="center"/>
          </w:tcPr>
          <w:p w14:paraId="021E0D9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125</w:t>
            </w:r>
          </w:p>
        </w:tc>
        <w:tc>
          <w:tcPr>
            <w:tcW w:w="1104" w:type="dxa"/>
            <w:tcBorders>
              <w:top w:val="single" w:color="000000" w:sz="4" w:space="0"/>
              <w:bottom w:val="single" w:color="000000" w:sz="4" w:space="0"/>
              <w:right w:val="single" w:color="auto" w:sz="4" w:space="0"/>
            </w:tcBorders>
            <w:vAlign w:val="center"/>
          </w:tcPr>
          <w:p w14:paraId="55FB4F9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357.1</w:t>
            </w:r>
          </w:p>
        </w:tc>
        <w:tc>
          <w:tcPr>
            <w:tcW w:w="888" w:type="dxa"/>
            <w:tcBorders>
              <w:top w:val="single" w:color="000000" w:sz="4" w:space="0"/>
              <w:left w:val="single" w:color="auto" w:sz="4" w:space="0"/>
              <w:bottom w:val="single" w:color="000000" w:sz="4" w:space="0"/>
              <w:right w:val="single" w:color="000000" w:sz="4" w:space="0"/>
            </w:tcBorders>
            <w:vAlign w:val="center"/>
          </w:tcPr>
          <w:p w14:paraId="252A0F0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98E897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65</w:t>
            </w:r>
          </w:p>
        </w:tc>
        <w:tc>
          <w:tcPr>
            <w:tcW w:w="576" w:type="dxa"/>
            <w:tcBorders>
              <w:top w:val="single" w:color="000000" w:sz="4" w:space="0"/>
              <w:left w:val="single" w:color="000000" w:sz="4" w:space="0"/>
              <w:bottom w:val="single" w:color="000000" w:sz="4" w:space="0"/>
              <w:right w:val="single" w:color="auto" w:sz="4" w:space="0"/>
            </w:tcBorders>
            <w:vAlign w:val="center"/>
          </w:tcPr>
          <w:p w14:paraId="4C3C1D27">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60</w:t>
            </w:r>
          </w:p>
        </w:tc>
        <w:tc>
          <w:tcPr>
            <w:tcW w:w="900" w:type="dxa"/>
            <w:tcBorders>
              <w:top w:val="single" w:color="000000" w:sz="4" w:space="0"/>
              <w:left w:val="single" w:color="000000" w:sz="4" w:space="0"/>
              <w:bottom w:val="single" w:color="000000" w:sz="4" w:space="0"/>
              <w:right w:val="single" w:color="auto" w:sz="4" w:space="0"/>
            </w:tcBorders>
            <w:vAlign w:val="center"/>
          </w:tcPr>
          <w:p w14:paraId="39373E3B">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5-</w:t>
            </w:r>
            <w:r>
              <w:rPr>
                <w:rFonts w:hint="eastAsia" w:ascii="宋体" w:hAnsi="宋体" w:eastAsia="宋体" w:cs="宋体"/>
                <w:kern w:val="0"/>
                <w:sz w:val="18"/>
                <w:szCs w:val="18"/>
                <w:lang w:val="en-US" w:eastAsia="zh-CN"/>
              </w:rPr>
              <w:t>8</w:t>
            </w:r>
          </w:p>
        </w:tc>
        <w:tc>
          <w:tcPr>
            <w:tcW w:w="1440" w:type="dxa"/>
            <w:tcBorders>
              <w:top w:val="single" w:color="000000" w:sz="4" w:space="0"/>
              <w:left w:val="single" w:color="auto" w:sz="4" w:space="0"/>
              <w:bottom w:val="single" w:color="000000" w:sz="4" w:space="0"/>
              <w:right w:val="single" w:color="000000" w:sz="4" w:space="0"/>
            </w:tcBorders>
            <w:vAlign w:val="center"/>
          </w:tcPr>
          <w:p w14:paraId="175B27D7">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白沙海洋牧场、桃花海洋牧场</w:t>
            </w:r>
          </w:p>
        </w:tc>
      </w:tr>
      <w:tr w14:paraId="16B05755">
        <w:tblPrEx>
          <w:tblCellMar>
            <w:top w:w="15" w:type="dxa"/>
            <w:left w:w="15" w:type="dxa"/>
            <w:bottom w:w="15" w:type="dxa"/>
            <w:right w:w="15" w:type="dxa"/>
          </w:tblCellMar>
        </w:tblPrEx>
        <w:trPr>
          <w:trHeight w:val="324"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62D26B5B">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五</w:t>
            </w:r>
          </w:p>
        </w:tc>
        <w:tc>
          <w:tcPr>
            <w:tcW w:w="1129" w:type="dxa"/>
            <w:tcBorders>
              <w:top w:val="single" w:color="000000" w:sz="4" w:space="0"/>
              <w:left w:val="single" w:color="000000" w:sz="4" w:space="0"/>
              <w:bottom w:val="single" w:color="000000" w:sz="4" w:space="0"/>
              <w:right w:val="single" w:color="000000" w:sz="4" w:space="0"/>
            </w:tcBorders>
            <w:vAlign w:val="center"/>
          </w:tcPr>
          <w:p w14:paraId="3D6D763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黄姑鱼</w:t>
            </w:r>
          </w:p>
        </w:tc>
        <w:tc>
          <w:tcPr>
            <w:tcW w:w="1056" w:type="dxa"/>
            <w:tcBorders>
              <w:top w:val="single" w:color="000000" w:sz="4" w:space="0"/>
              <w:left w:val="single" w:color="000000" w:sz="4" w:space="0"/>
              <w:bottom w:val="single" w:color="000000" w:sz="4" w:space="0"/>
              <w:right w:val="single" w:color="000000" w:sz="4" w:space="0"/>
            </w:tcBorders>
            <w:vAlign w:val="center"/>
          </w:tcPr>
          <w:p w14:paraId="2B5C4AD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体长≥5cm</w:t>
            </w:r>
          </w:p>
        </w:tc>
        <w:tc>
          <w:tcPr>
            <w:tcW w:w="756" w:type="dxa"/>
            <w:tcBorders>
              <w:top w:val="nil"/>
              <w:left w:val="nil"/>
              <w:bottom w:val="single" w:color="auto" w:sz="4" w:space="0"/>
              <w:right w:val="single" w:color="auto" w:sz="4" w:space="0"/>
            </w:tcBorders>
            <w:vAlign w:val="center"/>
          </w:tcPr>
          <w:p w14:paraId="0EAFB216">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0.</w:t>
            </w:r>
            <w:r>
              <w:rPr>
                <w:rFonts w:hint="eastAsia" w:ascii="宋体" w:hAnsi="宋体" w:eastAsia="宋体" w:cs="宋体"/>
                <w:kern w:val="0"/>
                <w:sz w:val="18"/>
                <w:szCs w:val="18"/>
                <w:highlight w:val="none"/>
                <w:lang w:val="en-US" w:eastAsia="zh-CN"/>
              </w:rPr>
              <w:t>4</w:t>
            </w:r>
          </w:p>
        </w:tc>
        <w:tc>
          <w:tcPr>
            <w:tcW w:w="756" w:type="dxa"/>
            <w:tcBorders>
              <w:top w:val="single" w:color="000000" w:sz="4" w:space="0"/>
              <w:left w:val="single" w:color="000000" w:sz="4" w:space="0"/>
              <w:bottom w:val="single" w:color="000000" w:sz="4" w:space="0"/>
              <w:right w:val="single" w:color="000000" w:sz="4" w:space="0"/>
            </w:tcBorders>
            <w:vAlign w:val="center"/>
          </w:tcPr>
          <w:p w14:paraId="054FAE4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32</w:t>
            </w:r>
          </w:p>
        </w:tc>
        <w:tc>
          <w:tcPr>
            <w:tcW w:w="1104" w:type="dxa"/>
            <w:tcBorders>
              <w:top w:val="single" w:color="000000" w:sz="4" w:space="0"/>
              <w:bottom w:val="single" w:color="000000" w:sz="4" w:space="0"/>
              <w:right w:val="single" w:color="auto" w:sz="4" w:space="0"/>
            </w:tcBorders>
            <w:vAlign w:val="center"/>
          </w:tcPr>
          <w:p w14:paraId="5CDD29F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80</w:t>
            </w:r>
          </w:p>
        </w:tc>
        <w:tc>
          <w:tcPr>
            <w:tcW w:w="888" w:type="dxa"/>
            <w:tcBorders>
              <w:top w:val="single" w:color="000000" w:sz="4" w:space="0"/>
              <w:left w:val="single" w:color="auto" w:sz="4" w:space="0"/>
              <w:bottom w:val="single" w:color="000000" w:sz="4" w:space="0"/>
              <w:right w:val="single" w:color="000000" w:sz="4" w:space="0"/>
            </w:tcBorders>
            <w:vAlign w:val="center"/>
          </w:tcPr>
          <w:p w14:paraId="2BA0AD1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4E1D57E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32</w:t>
            </w:r>
          </w:p>
        </w:tc>
        <w:tc>
          <w:tcPr>
            <w:tcW w:w="576" w:type="dxa"/>
            <w:tcBorders>
              <w:top w:val="single" w:color="000000" w:sz="4" w:space="0"/>
              <w:left w:val="single" w:color="000000" w:sz="4" w:space="0"/>
              <w:bottom w:val="single" w:color="000000" w:sz="4" w:space="0"/>
              <w:right w:val="single" w:color="auto" w:sz="4" w:space="0"/>
            </w:tcBorders>
            <w:vAlign w:val="center"/>
          </w:tcPr>
          <w:p w14:paraId="56C2C948">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w:t>
            </w:r>
          </w:p>
        </w:tc>
        <w:tc>
          <w:tcPr>
            <w:tcW w:w="900" w:type="dxa"/>
            <w:tcBorders>
              <w:top w:val="single" w:color="000000" w:sz="4" w:space="0"/>
              <w:left w:val="single" w:color="000000" w:sz="4" w:space="0"/>
              <w:bottom w:val="single" w:color="000000" w:sz="4" w:space="0"/>
              <w:right w:val="single" w:color="auto" w:sz="4" w:space="0"/>
            </w:tcBorders>
            <w:vAlign w:val="center"/>
          </w:tcPr>
          <w:p w14:paraId="09B0B31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6-8</w:t>
            </w:r>
          </w:p>
        </w:tc>
        <w:tc>
          <w:tcPr>
            <w:tcW w:w="1440" w:type="dxa"/>
            <w:tcBorders>
              <w:top w:val="single" w:color="000000" w:sz="4" w:space="0"/>
              <w:left w:val="single" w:color="auto" w:sz="4" w:space="0"/>
              <w:bottom w:val="single" w:color="000000" w:sz="4" w:space="0"/>
              <w:right w:val="single" w:color="000000" w:sz="4" w:space="0"/>
            </w:tcBorders>
            <w:vAlign w:val="center"/>
          </w:tcPr>
          <w:p w14:paraId="5AD41ED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莲花洋</w:t>
            </w:r>
          </w:p>
        </w:tc>
      </w:tr>
      <w:tr w14:paraId="2790130B">
        <w:tblPrEx>
          <w:tblCellMar>
            <w:top w:w="15" w:type="dxa"/>
            <w:left w:w="15" w:type="dxa"/>
            <w:bottom w:w="15" w:type="dxa"/>
            <w:right w:w="15" w:type="dxa"/>
          </w:tblCellMar>
        </w:tblPrEx>
        <w:trPr>
          <w:trHeight w:val="368"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06130BF5">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六</w:t>
            </w:r>
          </w:p>
        </w:tc>
        <w:tc>
          <w:tcPr>
            <w:tcW w:w="1129" w:type="dxa"/>
            <w:tcBorders>
              <w:top w:val="single" w:color="000000" w:sz="4" w:space="0"/>
              <w:left w:val="single" w:color="000000" w:sz="4" w:space="0"/>
              <w:bottom w:val="single" w:color="000000" w:sz="4" w:space="0"/>
              <w:right w:val="single" w:color="000000" w:sz="4" w:space="0"/>
            </w:tcBorders>
            <w:vAlign w:val="center"/>
          </w:tcPr>
          <w:p w14:paraId="23BE72B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rPr>
              <w:t>三疣梭子蟹</w:t>
            </w:r>
          </w:p>
        </w:tc>
        <w:tc>
          <w:tcPr>
            <w:tcW w:w="1056" w:type="dxa"/>
            <w:tcBorders>
              <w:top w:val="single" w:color="000000" w:sz="4" w:space="0"/>
              <w:left w:val="single" w:color="000000" w:sz="4" w:space="0"/>
              <w:bottom w:val="single" w:color="000000" w:sz="4" w:space="0"/>
              <w:right w:val="single" w:color="000000" w:sz="4" w:space="0"/>
            </w:tcBorders>
            <w:vAlign w:val="center"/>
          </w:tcPr>
          <w:p w14:paraId="5C42F57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仔蟹</w:t>
            </w:r>
            <w:r>
              <w:rPr>
                <w:rFonts w:hint="eastAsia" w:ascii="宋体" w:hAnsi="宋体" w:eastAsia="宋体" w:cs="宋体"/>
                <w:kern w:val="0"/>
                <w:sz w:val="18"/>
                <w:szCs w:val="18"/>
                <w:highlight w:val="none"/>
              </w:rPr>
              <w:t>Ⅲ期</w:t>
            </w:r>
            <w:r>
              <w:rPr>
                <w:rFonts w:hint="eastAsia" w:ascii="宋体" w:hAnsi="宋体" w:eastAsia="宋体" w:cs="宋体"/>
                <w:kern w:val="0"/>
                <w:sz w:val="18"/>
                <w:szCs w:val="18"/>
                <w:highlight w:val="none"/>
                <w:vertAlign w:val="superscript"/>
              </w:rPr>
              <w:t>＊</w:t>
            </w:r>
          </w:p>
        </w:tc>
        <w:tc>
          <w:tcPr>
            <w:tcW w:w="756" w:type="dxa"/>
            <w:tcBorders>
              <w:top w:val="nil"/>
              <w:left w:val="nil"/>
              <w:bottom w:val="single" w:color="auto" w:sz="4" w:space="0"/>
              <w:right w:val="single" w:color="auto" w:sz="4" w:space="0"/>
            </w:tcBorders>
            <w:vAlign w:val="center"/>
          </w:tcPr>
          <w:p w14:paraId="0FCF0E0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0.1</w:t>
            </w:r>
          </w:p>
        </w:tc>
        <w:tc>
          <w:tcPr>
            <w:tcW w:w="756" w:type="dxa"/>
            <w:tcBorders>
              <w:top w:val="single" w:color="000000" w:sz="4" w:space="0"/>
              <w:left w:val="single" w:color="000000" w:sz="4" w:space="0"/>
              <w:bottom w:val="single" w:color="000000" w:sz="4" w:space="0"/>
              <w:right w:val="single" w:color="000000" w:sz="4" w:space="0"/>
            </w:tcBorders>
            <w:vAlign w:val="center"/>
          </w:tcPr>
          <w:p w14:paraId="1558EBF2">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51</w:t>
            </w:r>
          </w:p>
        </w:tc>
        <w:tc>
          <w:tcPr>
            <w:tcW w:w="1104" w:type="dxa"/>
            <w:tcBorders>
              <w:top w:val="single" w:color="000000" w:sz="4" w:space="0"/>
              <w:bottom w:val="single" w:color="000000" w:sz="4" w:space="0"/>
              <w:right w:val="single" w:color="auto" w:sz="4" w:space="0"/>
            </w:tcBorders>
            <w:vAlign w:val="center"/>
          </w:tcPr>
          <w:p w14:paraId="0F60638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510</w:t>
            </w:r>
          </w:p>
        </w:tc>
        <w:tc>
          <w:tcPr>
            <w:tcW w:w="888" w:type="dxa"/>
            <w:tcBorders>
              <w:top w:val="single" w:color="000000" w:sz="4" w:space="0"/>
              <w:left w:val="single" w:color="auto" w:sz="4" w:space="0"/>
              <w:bottom w:val="single" w:color="000000" w:sz="4" w:space="0"/>
              <w:right w:val="single" w:color="000000" w:sz="4" w:space="0"/>
            </w:tcBorders>
            <w:vAlign w:val="center"/>
          </w:tcPr>
          <w:p w14:paraId="7FD6155D">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2FE984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28</w:t>
            </w:r>
          </w:p>
        </w:tc>
        <w:tc>
          <w:tcPr>
            <w:tcW w:w="576" w:type="dxa"/>
            <w:tcBorders>
              <w:top w:val="single" w:color="000000" w:sz="4" w:space="0"/>
              <w:left w:val="single" w:color="000000" w:sz="4" w:space="0"/>
              <w:bottom w:val="single" w:color="000000" w:sz="4" w:space="0"/>
              <w:right w:val="single" w:color="auto" w:sz="4" w:space="0"/>
            </w:tcBorders>
            <w:vAlign w:val="center"/>
          </w:tcPr>
          <w:p w14:paraId="0C23DF0A">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23</w:t>
            </w:r>
          </w:p>
        </w:tc>
        <w:tc>
          <w:tcPr>
            <w:tcW w:w="900" w:type="dxa"/>
            <w:tcBorders>
              <w:top w:val="single" w:color="000000" w:sz="4" w:space="0"/>
              <w:left w:val="single" w:color="000000" w:sz="4" w:space="0"/>
              <w:bottom w:val="single" w:color="000000" w:sz="4" w:space="0"/>
              <w:right w:val="single" w:color="auto" w:sz="4" w:space="0"/>
            </w:tcBorders>
            <w:vAlign w:val="center"/>
          </w:tcPr>
          <w:p w14:paraId="57304BE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lang w:val="en-US" w:eastAsia="zh-CN"/>
              </w:rPr>
              <w:t>5-7</w:t>
            </w:r>
          </w:p>
        </w:tc>
        <w:tc>
          <w:tcPr>
            <w:tcW w:w="1440" w:type="dxa"/>
            <w:tcBorders>
              <w:top w:val="single" w:color="000000" w:sz="4" w:space="0"/>
              <w:left w:val="single" w:color="auto" w:sz="4" w:space="0"/>
              <w:bottom w:val="single" w:color="000000" w:sz="4" w:space="0"/>
              <w:right w:val="single" w:color="000000" w:sz="4" w:space="0"/>
            </w:tcBorders>
            <w:vAlign w:val="center"/>
          </w:tcPr>
          <w:p w14:paraId="72DD1C35">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 xml:space="preserve">莲花洋 </w:t>
            </w:r>
          </w:p>
        </w:tc>
      </w:tr>
      <w:tr w14:paraId="473B46DE">
        <w:tblPrEx>
          <w:tblCellMar>
            <w:top w:w="15" w:type="dxa"/>
            <w:left w:w="15" w:type="dxa"/>
            <w:bottom w:w="15" w:type="dxa"/>
            <w:right w:w="15" w:type="dxa"/>
          </w:tblCellMar>
        </w:tblPrEx>
        <w:trPr>
          <w:trHeight w:val="340"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5D375527">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七</w:t>
            </w:r>
          </w:p>
        </w:tc>
        <w:tc>
          <w:tcPr>
            <w:tcW w:w="1129" w:type="dxa"/>
            <w:tcBorders>
              <w:top w:val="single" w:color="000000" w:sz="4" w:space="0"/>
              <w:left w:val="single" w:color="000000" w:sz="4" w:space="0"/>
              <w:bottom w:val="single" w:color="000000" w:sz="4" w:space="0"/>
              <w:right w:val="single" w:color="000000" w:sz="4" w:space="0"/>
            </w:tcBorders>
            <w:vAlign w:val="center"/>
          </w:tcPr>
          <w:p w14:paraId="2ECA8FF0">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eastAsia="zh-CN"/>
              </w:rPr>
              <w:t>褐菖鲉</w:t>
            </w:r>
          </w:p>
        </w:tc>
        <w:tc>
          <w:tcPr>
            <w:tcW w:w="1056" w:type="dxa"/>
            <w:tcBorders>
              <w:top w:val="single" w:color="000000" w:sz="4" w:space="0"/>
              <w:left w:val="single" w:color="000000" w:sz="4" w:space="0"/>
              <w:bottom w:val="single" w:color="000000" w:sz="4" w:space="0"/>
              <w:right w:val="single" w:color="000000" w:sz="4" w:space="0"/>
            </w:tcBorders>
            <w:vAlign w:val="center"/>
          </w:tcPr>
          <w:p w14:paraId="2C00AAB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体</w:t>
            </w:r>
            <w:r>
              <w:rPr>
                <w:rFonts w:hint="eastAsia" w:ascii="宋体" w:hAnsi="宋体" w:eastAsia="宋体" w:cs="宋体"/>
                <w:kern w:val="0"/>
                <w:sz w:val="18"/>
                <w:szCs w:val="18"/>
                <w:highlight w:val="none"/>
              </w:rPr>
              <w:t>长≥</w:t>
            </w:r>
            <w:r>
              <w:rPr>
                <w:rFonts w:hint="eastAsia" w:ascii="宋体" w:hAnsi="宋体" w:eastAsia="宋体" w:cs="宋体"/>
                <w:kern w:val="0"/>
                <w:sz w:val="18"/>
                <w:szCs w:val="18"/>
                <w:highlight w:val="none"/>
                <w:lang w:val="en-US" w:eastAsia="zh-CN"/>
              </w:rPr>
              <w:t>3</w:t>
            </w:r>
            <w:r>
              <w:rPr>
                <w:rFonts w:hint="eastAsia" w:ascii="宋体" w:hAnsi="宋体" w:eastAsia="宋体" w:cs="宋体"/>
                <w:kern w:val="0"/>
                <w:sz w:val="18"/>
                <w:szCs w:val="18"/>
                <w:highlight w:val="none"/>
              </w:rPr>
              <w:t>cm</w:t>
            </w:r>
          </w:p>
        </w:tc>
        <w:tc>
          <w:tcPr>
            <w:tcW w:w="756" w:type="dxa"/>
            <w:tcBorders>
              <w:top w:val="nil"/>
              <w:left w:val="single" w:color="auto" w:sz="4" w:space="0"/>
              <w:bottom w:val="single" w:color="auto" w:sz="4" w:space="0"/>
              <w:right w:val="single" w:color="auto" w:sz="4" w:space="0"/>
            </w:tcBorders>
            <w:vAlign w:val="center"/>
          </w:tcPr>
          <w:p w14:paraId="30A17DEE">
            <w:pPr>
              <w:widowControl/>
              <w:jc w:val="center"/>
              <w:rPr>
                <w:rFonts w:hint="eastAsia" w:ascii="宋体" w:hAnsi="宋体" w:eastAsia="宋体" w:cs="宋体"/>
                <w:kern w:val="0"/>
                <w:sz w:val="18"/>
                <w:szCs w:val="18"/>
              </w:rPr>
            </w:pPr>
            <w:r>
              <w:rPr>
                <w:rFonts w:hint="eastAsia" w:ascii="宋体" w:hAnsi="宋体" w:eastAsia="宋体" w:cs="宋体"/>
                <w:b w:val="0"/>
                <w:bCs w:val="0"/>
                <w:kern w:val="0"/>
                <w:sz w:val="18"/>
                <w:szCs w:val="18"/>
                <w:highlight w:val="none"/>
                <w:lang w:val="en-US" w:eastAsia="zh-CN"/>
              </w:rPr>
              <w:t>2.5</w:t>
            </w:r>
          </w:p>
        </w:tc>
        <w:tc>
          <w:tcPr>
            <w:tcW w:w="756" w:type="dxa"/>
            <w:tcBorders>
              <w:top w:val="single" w:color="000000" w:sz="4" w:space="0"/>
              <w:left w:val="single" w:color="000000" w:sz="4" w:space="0"/>
              <w:bottom w:val="single" w:color="000000" w:sz="4" w:space="0"/>
              <w:right w:val="single" w:color="000000" w:sz="4" w:space="0"/>
            </w:tcBorders>
            <w:vAlign w:val="center"/>
          </w:tcPr>
          <w:p w14:paraId="3E68D25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40</w:t>
            </w:r>
          </w:p>
        </w:tc>
        <w:tc>
          <w:tcPr>
            <w:tcW w:w="1104" w:type="dxa"/>
            <w:tcBorders>
              <w:top w:val="single" w:color="000000" w:sz="4" w:space="0"/>
              <w:bottom w:val="single" w:color="000000" w:sz="4" w:space="0"/>
              <w:right w:val="single" w:color="auto" w:sz="4" w:space="0"/>
            </w:tcBorders>
            <w:vAlign w:val="center"/>
          </w:tcPr>
          <w:p w14:paraId="5659A333">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16</w:t>
            </w:r>
          </w:p>
        </w:tc>
        <w:tc>
          <w:tcPr>
            <w:tcW w:w="888" w:type="dxa"/>
            <w:tcBorders>
              <w:top w:val="single" w:color="000000" w:sz="4" w:space="0"/>
              <w:left w:val="single" w:color="auto" w:sz="4" w:space="0"/>
              <w:bottom w:val="single" w:color="000000" w:sz="4" w:space="0"/>
              <w:right w:val="single" w:color="000000" w:sz="4" w:space="0"/>
            </w:tcBorders>
            <w:vAlign w:val="center"/>
          </w:tcPr>
          <w:p w14:paraId="47D6CEB1">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16C43D1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40</w:t>
            </w:r>
          </w:p>
        </w:tc>
        <w:tc>
          <w:tcPr>
            <w:tcW w:w="576" w:type="dxa"/>
            <w:tcBorders>
              <w:top w:val="single" w:color="000000" w:sz="4" w:space="0"/>
              <w:left w:val="single" w:color="000000" w:sz="4" w:space="0"/>
              <w:bottom w:val="single" w:color="000000" w:sz="4" w:space="0"/>
              <w:right w:val="single" w:color="auto" w:sz="4" w:space="0"/>
            </w:tcBorders>
            <w:vAlign w:val="center"/>
          </w:tcPr>
          <w:p w14:paraId="016928BA">
            <w:pPr>
              <w:widowControl/>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w:t>
            </w:r>
          </w:p>
        </w:tc>
        <w:tc>
          <w:tcPr>
            <w:tcW w:w="900" w:type="dxa"/>
            <w:tcBorders>
              <w:top w:val="single" w:color="000000" w:sz="4" w:space="0"/>
              <w:left w:val="single" w:color="000000" w:sz="4" w:space="0"/>
              <w:bottom w:val="single" w:color="000000" w:sz="4" w:space="0"/>
              <w:right w:val="single" w:color="auto" w:sz="4" w:space="0"/>
            </w:tcBorders>
            <w:vAlign w:val="center"/>
          </w:tcPr>
          <w:p w14:paraId="3A4C1AF9">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5-8</w:t>
            </w:r>
          </w:p>
        </w:tc>
        <w:tc>
          <w:tcPr>
            <w:tcW w:w="1440" w:type="dxa"/>
            <w:tcBorders>
              <w:top w:val="single" w:color="000000" w:sz="4" w:space="0"/>
              <w:left w:val="single" w:color="auto" w:sz="4" w:space="0"/>
              <w:bottom w:val="single" w:color="000000" w:sz="4" w:space="0"/>
              <w:right w:val="single" w:color="000000" w:sz="4" w:space="0"/>
            </w:tcBorders>
            <w:vAlign w:val="center"/>
          </w:tcPr>
          <w:p w14:paraId="14B38D2A">
            <w:pPr>
              <w:widowControl/>
              <w:jc w:val="center"/>
              <w:rPr>
                <w:rFonts w:hint="eastAsia" w:ascii="宋体" w:hAnsi="宋体" w:eastAsia="宋体" w:cs="宋体"/>
                <w:kern w:val="0"/>
                <w:sz w:val="18"/>
                <w:szCs w:val="18"/>
              </w:rPr>
            </w:pPr>
            <w:r>
              <w:rPr>
                <w:rFonts w:hint="eastAsia" w:ascii="宋体" w:hAnsi="宋体" w:eastAsia="宋体" w:cs="宋体"/>
                <w:kern w:val="0"/>
                <w:sz w:val="18"/>
                <w:szCs w:val="18"/>
                <w:highlight w:val="none"/>
                <w:lang w:val="en-US" w:eastAsia="zh-CN"/>
              </w:rPr>
              <w:t>东极海洋牧场、白沙海洋牧场</w:t>
            </w:r>
          </w:p>
        </w:tc>
      </w:tr>
    </w:tbl>
    <w:p w14:paraId="589F2D70">
      <w:pPr>
        <w:snapToGrid w:val="0"/>
        <w:rPr>
          <w:rFonts w:hint="eastAsia" w:ascii="宋体" w:hAnsi="宋体" w:eastAsia="宋体" w:cs="Times New Roman"/>
          <w:b/>
          <w:szCs w:val="21"/>
        </w:rPr>
      </w:pPr>
    </w:p>
    <w:p w14:paraId="02AC0B0E">
      <w:pPr>
        <w:pStyle w:val="123"/>
        <w:ind w:firstLine="422" w:firstLineChars="200"/>
      </w:pPr>
      <w:r>
        <w:rPr>
          <w:rFonts w:hint="eastAsia"/>
        </w:rPr>
        <w:t>备注：</w:t>
      </w:r>
      <w:r>
        <w:rPr>
          <w:rFonts w:hint="eastAsia"/>
          <w:lang w:val="en-US" w:eastAsia="zh-CN"/>
        </w:rPr>
        <w:t>表中苗种单位为尾、粒、个、只等表示单个苗种的单位。表中“＊”表示三疣梭子蟹放流规格为仔蟹Ⅱ-Ⅳ期，以仔蟹Ⅲ期为主，其中仔蟹Ⅱ期参考单价为0.06元/单位，仔蟹Ⅳ期参考单价为0.2元/单位，按具体放流比例结算价格</w:t>
      </w:r>
      <w:r>
        <w:rPr>
          <w:rFonts w:hint="eastAsia"/>
        </w:rPr>
        <w:t>。</w:t>
      </w:r>
    </w:p>
    <w:p w14:paraId="7CE1F5BD">
      <w:pPr>
        <w:spacing w:line="360" w:lineRule="auto"/>
        <w:ind w:firstLine="413" w:firstLineChars="196"/>
        <w:rPr>
          <w:rFonts w:ascii="Times New Roman" w:hAnsi="Times New Roman"/>
          <w:b/>
          <w:bCs/>
          <w:szCs w:val="21"/>
        </w:rPr>
      </w:pPr>
      <w:r>
        <w:rPr>
          <w:rFonts w:hint="eastAsia" w:ascii="宋体" w:hAnsi="宋体" w:eastAsia="宋体"/>
          <w:b/>
          <w:szCs w:val="21"/>
        </w:rPr>
        <w:t>投标人可以进行一个标项或多个标项的投标。</w:t>
      </w:r>
      <w:r>
        <w:rPr>
          <w:rFonts w:hint="eastAsia" w:ascii="宋体" w:hAnsi="宋体" w:eastAsia="宋体" w:cs="宋体"/>
          <w:b/>
          <w:kern w:val="0"/>
          <w:szCs w:val="21"/>
        </w:rPr>
        <w:t>曼氏无针乌贼受精卵报价中应包含在放流海区受精卵待孵化期间的管理费。</w:t>
      </w:r>
    </w:p>
    <w:p w14:paraId="336021F5">
      <w:pPr>
        <w:pStyle w:val="123"/>
        <w:spacing w:before="0" w:after="0"/>
      </w:pPr>
      <w:r>
        <w:rPr>
          <w:rFonts w:hint="eastAsia"/>
        </w:rPr>
        <w:t>五、投标供应商资格要求</w:t>
      </w:r>
      <w:r>
        <w:t>:</w:t>
      </w:r>
    </w:p>
    <w:p w14:paraId="6F673690">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4140930C">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10AADEE4">
      <w:pPr>
        <w:pStyle w:val="123"/>
        <w:ind w:firstLine="422" w:firstLineChars="200"/>
        <w:rPr>
          <w:color w:val="auto"/>
        </w:rPr>
      </w:pPr>
      <w:r>
        <w:rPr>
          <w:rFonts w:hint="eastAsia"/>
          <w:color w:val="auto"/>
        </w:rPr>
        <w:t>3.标项一、标项三、标项四专门面向中小企业，其他标项不专门面向中小企业。(本项目对应的中小企业划分标准所属行业：农、林、牧、渔业。)</w:t>
      </w:r>
    </w:p>
    <w:p w14:paraId="2CB18CFF">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六、</w:t>
      </w:r>
      <w:r>
        <w:rPr>
          <w:rFonts w:hint="eastAsia" w:ascii="Times New Roman" w:hAnsi="Times New Roman" w:eastAsia="宋体" w:cs="Times New Roman"/>
          <w:b/>
          <w:color w:val="auto"/>
          <w:kern w:val="0"/>
          <w:szCs w:val="21"/>
        </w:rPr>
        <w:t>公告期限：</w:t>
      </w:r>
      <w:r>
        <w:rPr>
          <w:rFonts w:hint="eastAsia" w:ascii="Times New Roman" w:hAnsi="Times New Roman" w:eastAsia="宋体" w:cs="Times New Roman"/>
          <w:b/>
          <w:color w:val="auto"/>
          <w:kern w:val="0"/>
          <w:szCs w:val="21"/>
          <w:u w:val="single"/>
        </w:rPr>
        <w:t>自公告发布之日起</w:t>
      </w:r>
      <w:r>
        <w:rPr>
          <w:rFonts w:ascii="Times New Roman" w:hAnsi="Times New Roman" w:eastAsia="宋体" w:cs="Times New Roman"/>
          <w:b/>
          <w:color w:val="auto"/>
          <w:kern w:val="0"/>
          <w:szCs w:val="21"/>
          <w:u w:val="single"/>
        </w:rPr>
        <w:t>5</w:t>
      </w:r>
      <w:r>
        <w:rPr>
          <w:rFonts w:hint="eastAsia" w:ascii="Times New Roman" w:hAnsi="Times New Roman" w:eastAsia="宋体" w:cs="Times New Roman"/>
          <w:b/>
          <w:color w:val="auto"/>
          <w:kern w:val="0"/>
          <w:szCs w:val="21"/>
          <w:u w:val="single"/>
        </w:rPr>
        <w:t>个工作日</w:t>
      </w:r>
    </w:p>
    <w:p w14:paraId="19C1E9F2">
      <w:pPr>
        <w:snapToGrid w:val="0"/>
        <w:spacing w:line="360" w:lineRule="auto"/>
        <w:rPr>
          <w:rFonts w:ascii="Times New Roman" w:hAnsi="Times New Roman" w:eastAsia="宋体" w:cs="Times New Roman"/>
          <w:color w:val="auto"/>
          <w:szCs w:val="21"/>
        </w:rPr>
      </w:pPr>
      <w:r>
        <w:rPr>
          <w:rFonts w:hint="eastAsia" w:ascii="Times New Roman" w:hAnsi="Times New Roman" w:eastAsia="宋体" w:cs="Times New Roman"/>
          <w:b/>
          <w:bCs/>
          <w:color w:val="auto"/>
          <w:szCs w:val="21"/>
        </w:rPr>
        <w:t>七、注册及采购文件的获取</w:t>
      </w:r>
      <w:r>
        <w:rPr>
          <w:rFonts w:hint="eastAsia" w:ascii="Times New Roman" w:hAnsi="Times New Roman" w:eastAsia="宋体" w:cs="Times New Roman"/>
          <w:color w:val="auto"/>
          <w:szCs w:val="21"/>
        </w:rPr>
        <w:t>：</w:t>
      </w:r>
    </w:p>
    <w:p w14:paraId="3EDDEB42">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1.</w:t>
      </w:r>
      <w:r>
        <w:rPr>
          <w:rFonts w:hint="eastAsia" w:ascii="Times New Roman" w:hAnsi="Times New Roman" w:eastAsia="宋体" w:cs="Times New Roman"/>
          <w:b/>
          <w:bCs/>
          <w:color w:val="auto"/>
          <w:kern w:val="0"/>
          <w:szCs w:val="21"/>
          <w:shd w:val="clear" w:color="auto" w:fill="FFFFFF"/>
        </w:rPr>
        <w:t>本项目只实行网上获取采购文件。</w:t>
      </w:r>
    </w:p>
    <w:p w14:paraId="0FB69C80">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2.</w:t>
      </w:r>
      <w:r>
        <w:rPr>
          <w:rFonts w:hint="eastAsia" w:ascii="Times New Roman" w:hAnsi="Times New Roman" w:eastAsia="宋体" w:cs="Times New Roman"/>
          <w:b/>
          <w:bCs/>
          <w:color w:val="auto"/>
          <w:kern w:val="0"/>
          <w:szCs w:val="21"/>
          <w:shd w:val="clear" w:color="auto" w:fill="FFFFFF"/>
        </w:rPr>
        <w:t>获取采购文件网址</w:t>
      </w:r>
      <w:r>
        <w:rPr>
          <w:rFonts w:hint="eastAsia" w:ascii="Times New Roman" w:hAnsi="Times New Roman" w:eastAsia="宋体" w:cs="Times New Roman"/>
          <w:color w:val="auto"/>
          <w:kern w:val="0"/>
          <w:szCs w:val="21"/>
          <w:shd w:val="clear" w:color="auto" w:fill="FFFFFF"/>
        </w:rPr>
        <w:t>：浙江政府采购网</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（用</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注册账号、密码登录系统后获取采购文件）</w:t>
      </w:r>
    </w:p>
    <w:p w14:paraId="2BFBCFA0">
      <w:pPr>
        <w:widowControl/>
        <w:shd w:val="clear" w:color="auto" w:fill="FFFFFF"/>
        <w:spacing w:line="360" w:lineRule="auto"/>
        <w:ind w:left="416" w:left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3.</w:t>
      </w:r>
      <w:r>
        <w:rPr>
          <w:rFonts w:hint="eastAsia" w:ascii="Times New Roman" w:hAnsi="Times New Roman" w:eastAsia="宋体" w:cs="Times New Roman"/>
          <w:b/>
          <w:bCs/>
          <w:color w:val="auto"/>
          <w:kern w:val="0"/>
          <w:szCs w:val="21"/>
          <w:shd w:val="clear" w:color="auto" w:fill="FFFFFF"/>
        </w:rPr>
        <w:t>免费注册网址：浙江政府采购网（供应商注册页面）：</w:t>
      </w:r>
    </w:p>
    <w:p w14:paraId="6452AE6F">
      <w:pPr>
        <w:widowControl/>
        <w:shd w:val="clear" w:color="auto" w:fill="FFFFFF"/>
        <w:spacing w:line="360" w:lineRule="auto"/>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u w:val="single"/>
          <w:shd w:val="clear" w:color="auto" w:fill="FFFFFF"/>
        </w:rPr>
        <w:t>https://middle.zcygov.cn/settle-front/#/registry</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，咨询电话：95763，已经注册成功的供应商无需重复注册。</w:t>
      </w:r>
    </w:p>
    <w:p w14:paraId="70F05B0D">
      <w:pPr>
        <w:widowControl/>
        <w:shd w:val="clear" w:color="auto" w:fill="FFFFFF"/>
        <w:spacing w:line="360" w:lineRule="auto"/>
        <w:ind w:firstLine="417" w:firstLineChars="198"/>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b/>
          <w:bCs/>
          <w:color w:val="auto"/>
          <w:kern w:val="0"/>
          <w:szCs w:val="21"/>
          <w:shd w:val="clear" w:color="auto" w:fill="FFFFFF"/>
        </w:rPr>
        <w:t>4.</w:t>
      </w:r>
      <w:r>
        <w:rPr>
          <w:rFonts w:hint="eastAsia" w:ascii="Times New Roman" w:hAnsi="Times New Roman" w:eastAsia="宋体" w:cs="Times New Roman"/>
          <w:b/>
          <w:bCs/>
          <w:color w:val="auto"/>
          <w:kern w:val="0"/>
          <w:szCs w:val="21"/>
          <w:shd w:val="clear" w:color="auto" w:fill="FFFFFF"/>
        </w:rPr>
        <w:t>获取采购文件时间：</w:t>
      </w:r>
      <w:r>
        <w:rPr>
          <w:rFonts w:hint="eastAsia" w:ascii="Times New Roman" w:hAnsi="Times New Roman" w:eastAsia="宋体" w:cs="Times New Roman"/>
          <w:color w:val="auto"/>
          <w:kern w:val="0"/>
          <w:szCs w:val="21"/>
          <w:shd w:val="clear" w:color="auto" w:fill="FFFFFF"/>
        </w:rPr>
        <w:t>公告发布之日至投标截止时间</w:t>
      </w:r>
    </w:p>
    <w:p w14:paraId="30571FFD">
      <w:pPr>
        <w:widowControl/>
        <w:shd w:val="clear" w:color="auto" w:fill="FFFFFF"/>
        <w:spacing w:line="360" w:lineRule="auto"/>
        <w:jc w:val="left"/>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八、投标文件的制作及递交：</w:t>
      </w:r>
    </w:p>
    <w:p w14:paraId="16B1B644">
      <w:pPr>
        <w:widowControl/>
        <w:shd w:val="clear" w:color="auto" w:fill="FFFFFF"/>
        <w:spacing w:line="360" w:lineRule="auto"/>
        <w:ind w:firstLine="420" w:firstLineChars="200"/>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1.</w:t>
      </w:r>
      <w:r>
        <w:rPr>
          <w:rFonts w:hint="eastAsia" w:ascii="Times New Roman" w:hAnsi="Times New Roman" w:eastAsia="宋体" w:cs="Times New Roman"/>
          <w:color w:val="auto"/>
          <w:kern w:val="0"/>
          <w:szCs w:val="21"/>
          <w:shd w:val="clear" w:color="auto" w:fill="FFFFFF"/>
        </w:rPr>
        <w:t>供应商须</w:t>
      </w:r>
      <w:r>
        <w:rPr>
          <w:rFonts w:hint="eastAsia" w:ascii="Times New Roman" w:hAnsi="Times New Roman" w:eastAsia="宋体" w:cs="Times New Roman"/>
          <w:b/>
          <w:bCs/>
          <w:color w:val="auto"/>
          <w:kern w:val="0"/>
          <w:szCs w:val="21"/>
          <w:shd w:val="clear" w:color="auto" w:fill="FFFFFF"/>
        </w:rPr>
        <w:t>在线获取</w:t>
      </w:r>
      <w:r>
        <w:rPr>
          <w:rFonts w:ascii="Times New Roman" w:hAnsi="Times New Roman" w:eastAsia="宋体" w:cs="Times New Roman"/>
          <w:b/>
          <w:bCs/>
          <w:color w:val="auto"/>
          <w:kern w:val="0"/>
          <w:szCs w:val="21"/>
          <w:shd w:val="clear" w:color="auto" w:fill="FFFFFF"/>
        </w:rPr>
        <w:t>CA</w:t>
      </w:r>
      <w:r>
        <w:rPr>
          <w:rFonts w:hint="eastAsia" w:ascii="Times New Roman" w:hAnsi="Times New Roman" w:eastAsia="宋体" w:cs="Times New Roman"/>
          <w:b/>
          <w:bCs/>
          <w:color w:val="auto"/>
          <w:kern w:val="0"/>
          <w:szCs w:val="21"/>
          <w:shd w:val="clear" w:color="auto" w:fill="FFFFFF"/>
        </w:rPr>
        <w:t>数字证书</w:t>
      </w:r>
      <w:r>
        <w:rPr>
          <w:rFonts w:hint="eastAsia" w:ascii="Times New Roman" w:hAnsi="Times New Roman" w:eastAsia="宋体" w:cs="Times New Roman"/>
          <w:color w:val="auto"/>
          <w:kern w:val="0"/>
          <w:szCs w:val="21"/>
          <w:shd w:val="clear" w:color="auto" w:fill="FFFFFF"/>
        </w:rPr>
        <w:t>（完成</w:t>
      </w:r>
      <w:r>
        <w:rPr>
          <w:rFonts w:ascii="Times New Roman" w:hAnsi="Times New Roman" w:eastAsia="宋体" w:cs="Times New Roman"/>
          <w:color w:val="auto"/>
          <w:kern w:val="0"/>
          <w:szCs w:val="21"/>
          <w:shd w:val="clear" w:color="auto" w:fill="FFFFFF"/>
        </w:rPr>
        <w:t>CA</w:t>
      </w:r>
      <w:r>
        <w:rPr>
          <w:rFonts w:hint="eastAsia" w:ascii="Times New Roman" w:hAnsi="Times New Roman" w:eastAsia="宋体" w:cs="Times New Roman"/>
          <w:color w:val="auto"/>
          <w:kern w:val="0"/>
          <w:szCs w:val="21"/>
          <w:shd w:val="clear" w:color="auto" w:fill="FFFFFF"/>
        </w:rPr>
        <w:t>数字证书办理预计一周左右，建议各投标人自行把握时间）</w:t>
      </w:r>
      <w:r>
        <w:rPr>
          <w:rFonts w:hint="eastAsia" w:ascii="Times New Roman" w:hAnsi="Times New Roman" w:eastAsia="宋体" w:cs="Times New Roman"/>
          <w:b/>
          <w:bCs/>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并登录</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浙江政府采购网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），进入</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下载专区</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电子交易客户端</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，制作投标文件。</w:t>
      </w:r>
    </w:p>
    <w:p w14:paraId="2EF3F5C4">
      <w:pPr>
        <w:widowControl/>
        <w:spacing w:line="360" w:lineRule="auto"/>
        <w:ind w:firstLine="420" w:firstLineChars="200"/>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2.</w:t>
      </w:r>
      <w:r>
        <w:rPr>
          <w:rFonts w:hint="eastAsia" w:ascii="Times New Roman" w:hAnsi="Times New Roman" w:eastAsia="宋体" w:cs="Times New Roman"/>
          <w:color w:val="auto"/>
          <w:kern w:val="0"/>
          <w:szCs w:val="21"/>
          <w:shd w:val="clear" w:color="auto" w:fill="FFFFFF"/>
        </w:rPr>
        <w:t>投标人将加密的电子版投标文件于投标截止时间前上传到政采云系统中。</w:t>
      </w:r>
    </w:p>
    <w:p w14:paraId="23742A76">
      <w:pPr>
        <w:widowControl/>
        <w:shd w:val="clear" w:color="auto" w:fill="FFFFFF"/>
        <w:spacing w:line="360" w:lineRule="auto"/>
        <w:ind w:left="420" w:leftChars="200"/>
        <w:jc w:val="left"/>
        <w:rPr>
          <w:rFonts w:ascii="Times New Roman" w:hAnsi="Times New Roman" w:eastAsia="宋体" w:cs="Times New Roman"/>
          <w:color w:val="auto"/>
          <w:kern w:val="0"/>
          <w:szCs w:val="21"/>
          <w:u w:val="single"/>
          <w:shd w:val="clear" w:color="auto" w:fill="FFFFFF"/>
        </w:rPr>
      </w:pPr>
      <w:r>
        <w:rPr>
          <w:rFonts w:ascii="Times New Roman" w:hAnsi="Times New Roman" w:eastAsia="宋体" w:cs="Times New Roman"/>
          <w:color w:val="auto"/>
          <w:kern w:val="0"/>
          <w:szCs w:val="21"/>
          <w:shd w:val="clear" w:color="auto" w:fill="FFFFFF"/>
        </w:rPr>
        <w:t>3.</w:t>
      </w:r>
      <w:r>
        <w:rPr>
          <w:rFonts w:hint="eastAsia" w:ascii="Times New Roman" w:hAnsi="Times New Roman" w:eastAsia="宋体" w:cs="Times New Roman"/>
          <w:color w:val="auto"/>
          <w:kern w:val="0"/>
          <w:szCs w:val="21"/>
          <w:shd w:val="clear" w:color="auto" w:fill="FFFFFF"/>
        </w:rPr>
        <w:t>具体的投标文件加密上传等操作详见政采云平台操作指南。</w:t>
      </w:r>
      <w:r>
        <w:rPr>
          <w:color w:val="auto"/>
        </w:rPr>
        <w:fldChar w:fldCharType="begin"/>
      </w:r>
      <w:r>
        <w:rPr>
          <w:color w:val="auto"/>
        </w:rPr>
        <w:instrText xml:space="preserve"> HYPERLINK "https://edu.zcygov.cn/luban/e-biding?utm=a0004.2ef5001f.0001.0109.da8b35e0da8611e98d8937b7ef8a3544" </w:instrText>
      </w:r>
      <w:r>
        <w:rPr>
          <w:color w:val="auto"/>
        </w:rPr>
        <w:fldChar w:fldCharType="separate"/>
      </w:r>
      <w:r>
        <w:rPr>
          <w:rFonts w:ascii="Times New Roman" w:hAnsi="Times New Roman" w:eastAsia="宋体" w:cs="Times New Roman"/>
          <w:color w:val="auto"/>
          <w:kern w:val="0"/>
          <w:szCs w:val="21"/>
          <w:u w:val="single"/>
          <w:shd w:val="clear" w:color="auto" w:fill="FFFFFF"/>
        </w:rPr>
        <w:t>https://edu.zcygov.cn/luban/e-biding?utm=a0004.2ef5001f.0001.0109.da8b35e0da8611e98d8937b7ef8a3544</w:t>
      </w:r>
      <w:r>
        <w:rPr>
          <w:rFonts w:ascii="Times New Roman" w:hAnsi="Times New Roman" w:eastAsia="宋体" w:cs="Times New Roman"/>
          <w:color w:val="auto"/>
          <w:kern w:val="0"/>
          <w:szCs w:val="21"/>
          <w:u w:val="single"/>
          <w:shd w:val="clear" w:color="auto" w:fill="FFFFFF"/>
        </w:rPr>
        <w:fldChar w:fldCharType="end"/>
      </w:r>
    </w:p>
    <w:p w14:paraId="795D9CAC">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九、投标保证金：无。</w:t>
      </w:r>
    </w:p>
    <w:p w14:paraId="79403E5D">
      <w:pPr>
        <w:widowControl/>
        <w:spacing w:line="360" w:lineRule="auto"/>
        <w:rPr>
          <w:rFonts w:ascii="Times New Roman" w:hAnsi="Times New Roman" w:eastAsia="宋体" w:cs="Times New Roman"/>
          <w:b/>
          <w:bCs/>
          <w:color w:val="auto"/>
          <w:kern w:val="0"/>
          <w:szCs w:val="21"/>
        </w:rPr>
      </w:pPr>
      <w:r>
        <w:rPr>
          <w:rFonts w:hint="eastAsia" w:ascii="Times New Roman" w:hAnsi="Times New Roman" w:eastAsia="宋体" w:cs="Times New Roman"/>
          <w:b/>
          <w:bCs/>
          <w:color w:val="auto"/>
          <w:kern w:val="0"/>
          <w:szCs w:val="21"/>
        </w:rPr>
        <w:t>十、投标截止时间和地址：</w:t>
      </w:r>
    </w:p>
    <w:p w14:paraId="4620E9E0">
      <w:pPr>
        <w:spacing w:line="360" w:lineRule="auto"/>
        <w:ind w:firstLine="632" w:firstLineChars="300"/>
        <w:rPr>
          <w:rFonts w:ascii="Times New Roman" w:hAnsi="Times New Roman" w:eastAsia="宋体" w:cs="Times New Roman"/>
          <w:b/>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本项目实行电子投标。</w:t>
      </w:r>
    </w:p>
    <w:p w14:paraId="051B74FC">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6AA4D7C3">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r>
        <w:rPr>
          <w:rFonts w:hint="eastAsia" w:ascii="Times New Roman" w:hAnsi="Times New Roman" w:eastAsia="宋体" w:cs="Times New Roman"/>
          <w:color w:val="auto"/>
          <w:szCs w:val="21"/>
          <w:shd w:val="clear" w:color="auto" w:fill="FFFFFF"/>
        </w:rPr>
        <w:t>投标人应于</w:t>
      </w:r>
      <w:bookmarkStart w:id="1" w:name="_Hlk100345522"/>
      <w:r>
        <w:rPr>
          <w:rFonts w:ascii="Times New Roman" w:hAnsi="Times New Roman" w:eastAsia="宋体" w:cs="Times New Roman"/>
          <w:color w:val="auto"/>
          <w:szCs w:val="21"/>
          <w:shd w:val="clear" w:color="auto" w:fill="FFFFFF"/>
        </w:rPr>
        <w:t>202</w:t>
      </w:r>
      <w:r>
        <w:rPr>
          <w:rFonts w:hint="eastAsia" w:ascii="Times New Roman" w:hAnsi="Times New Roman" w:eastAsia="宋体" w:cs="Times New Roman"/>
          <w:color w:val="auto"/>
          <w:szCs w:val="21"/>
          <w:shd w:val="clear" w:color="auto" w:fill="FFFFFF"/>
        </w:rPr>
        <w:t>5</w:t>
      </w:r>
      <w:r>
        <w:rPr>
          <w:rFonts w:ascii="Times New Roman" w:hAnsi="Times New Roman" w:eastAsia="宋体" w:cs="Times New Roman"/>
          <w:color w:val="auto"/>
          <w:szCs w:val="21"/>
          <w:shd w:val="clear" w:color="auto" w:fill="FFFFFF"/>
        </w:rPr>
        <w:t>年</w:t>
      </w:r>
      <w:r>
        <w:rPr>
          <w:rFonts w:hint="eastAsia" w:ascii="Times New Roman" w:hAnsi="Times New Roman" w:eastAsia="宋体" w:cs="Times New Roman"/>
          <w:color w:val="auto"/>
          <w:szCs w:val="21"/>
          <w:shd w:val="clear" w:color="auto" w:fill="FFFFFF"/>
          <w:lang w:val="en-US" w:eastAsia="zh-CN"/>
        </w:rPr>
        <w:t>04</w:t>
      </w:r>
      <w:r>
        <w:rPr>
          <w:rFonts w:hint="eastAsia" w:ascii="Times New Roman" w:hAnsi="Times New Roman" w:eastAsia="宋体" w:cs="Times New Roman"/>
          <w:color w:val="auto"/>
          <w:szCs w:val="21"/>
          <w:shd w:val="clear" w:color="auto" w:fill="FFFFFF"/>
        </w:rPr>
        <w:t>月</w:t>
      </w:r>
      <w:r>
        <w:rPr>
          <w:rFonts w:hint="eastAsia" w:ascii="Times New Roman" w:hAnsi="Times New Roman" w:eastAsia="宋体" w:cs="Times New Roman"/>
          <w:color w:val="auto"/>
          <w:szCs w:val="21"/>
          <w:shd w:val="clear" w:color="auto" w:fill="FFFFFF"/>
          <w:lang w:val="en-US" w:eastAsia="zh-CN"/>
        </w:rPr>
        <w:t>30</w:t>
      </w:r>
      <w:r>
        <w:rPr>
          <w:rFonts w:hint="eastAsia" w:ascii="Times New Roman" w:hAnsi="Times New Roman" w:eastAsia="宋体" w:cs="Times New Roman"/>
          <w:color w:val="auto"/>
          <w:szCs w:val="21"/>
          <w:shd w:val="clear" w:color="auto" w:fill="FFFFFF"/>
        </w:rPr>
        <w:t>日09：</w:t>
      </w:r>
      <w:r>
        <w:rPr>
          <w:rFonts w:ascii="Times New Roman" w:hAnsi="Times New Roman" w:eastAsia="宋体" w:cs="Times New Roman"/>
          <w:color w:val="auto"/>
          <w:szCs w:val="21"/>
          <w:shd w:val="clear" w:color="auto" w:fill="FFFFFF"/>
        </w:rPr>
        <w:t>15</w:t>
      </w:r>
      <w:bookmarkEnd w:id="1"/>
      <w:r>
        <w:rPr>
          <w:rFonts w:hint="eastAsia" w:ascii="Times New Roman" w:hAnsi="Times New Roman" w:eastAsia="宋体" w:cs="Times New Roman"/>
          <w:color w:val="auto"/>
          <w:szCs w:val="21"/>
          <w:shd w:val="clear" w:color="auto" w:fill="FFFFFF"/>
        </w:rPr>
        <w:t>前将加密的电子版投标文件上传到政采云系统中（不准时上传视为无效标）。</w:t>
      </w:r>
      <w:r>
        <w:rPr>
          <w:rFonts w:ascii="Times New Roman" w:hAnsi="Times New Roman" w:eastAsia="宋体" w:cs="Times New Roman"/>
          <w:b/>
          <w:color w:val="auto"/>
          <w:szCs w:val="21"/>
          <w:shd w:val="clear" w:color="auto" w:fill="FFFFFF"/>
        </w:rPr>
        <w:t>CA</w:t>
      </w:r>
      <w:r>
        <w:rPr>
          <w:rFonts w:hint="eastAsia" w:ascii="Times New Roman" w:hAnsi="Times New Roman" w:eastAsia="宋体" w:cs="Times New Roman"/>
          <w:b/>
          <w:color w:val="auto"/>
          <w:szCs w:val="21"/>
          <w:shd w:val="clear" w:color="auto" w:fill="FFFFFF"/>
        </w:rPr>
        <w:t>数字证书随身携带或准时解码。</w:t>
      </w:r>
    </w:p>
    <w:p w14:paraId="6A1791C3">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646926CE">
      <w:pPr>
        <w:widowControl/>
        <w:shd w:val="clear" w:color="auto" w:fill="FFFFFF"/>
        <w:spacing w:line="360" w:lineRule="auto"/>
        <w:ind w:firstLine="516" w:firstLineChars="246"/>
        <w:jc w:val="left"/>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投标人应于</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lang w:val="en-US" w:eastAsia="zh-CN"/>
        </w:rPr>
        <w:t>5</w:t>
      </w:r>
      <w:r>
        <w:rPr>
          <w:rFonts w:ascii="Times New Roman" w:hAnsi="Times New Roman" w:eastAsia="宋体" w:cs="Times New Roman"/>
          <w:color w:val="auto"/>
          <w:kern w:val="0"/>
          <w:szCs w:val="21"/>
        </w:rPr>
        <w:t>年</w:t>
      </w:r>
      <w:r>
        <w:rPr>
          <w:rFonts w:hint="eastAsia" w:ascii="Times New Roman" w:hAnsi="Times New Roman" w:eastAsia="宋体" w:cs="Times New Roman"/>
          <w:color w:val="auto"/>
          <w:kern w:val="0"/>
          <w:szCs w:val="21"/>
          <w:lang w:val="en-US" w:eastAsia="zh-CN"/>
        </w:rPr>
        <w:t>04</w:t>
      </w:r>
      <w:r>
        <w:rPr>
          <w:rFonts w:hint="eastAsia" w:ascii="Times New Roman" w:hAnsi="Times New Roman" w:eastAsia="宋体" w:cs="Times New Roman"/>
          <w:color w:val="auto"/>
          <w:kern w:val="0"/>
          <w:szCs w:val="21"/>
        </w:rPr>
        <w:t>月</w:t>
      </w:r>
      <w:r>
        <w:rPr>
          <w:rFonts w:hint="eastAsia" w:ascii="Times New Roman" w:hAnsi="Times New Roman" w:eastAsia="宋体" w:cs="Times New Roman"/>
          <w:color w:val="auto"/>
          <w:kern w:val="0"/>
          <w:szCs w:val="21"/>
          <w:lang w:val="en-US" w:eastAsia="zh-CN"/>
        </w:rPr>
        <w:t>29</w:t>
      </w:r>
      <w:r>
        <w:rPr>
          <w:rFonts w:hint="eastAsia" w:ascii="Times New Roman" w:hAnsi="Times New Roman" w:eastAsia="宋体" w:cs="Times New Roman"/>
          <w:color w:val="auto"/>
          <w:kern w:val="0"/>
          <w:szCs w:val="21"/>
        </w:rPr>
        <w:t>日</w:t>
      </w:r>
      <w:r>
        <w:rPr>
          <w:rFonts w:ascii="Times New Roman" w:hAnsi="Times New Roman" w:eastAsia="宋体" w:cs="Times New Roman"/>
          <w:color w:val="auto"/>
          <w:kern w:val="0"/>
          <w:szCs w:val="21"/>
        </w:rPr>
        <w:t>11</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30</w:t>
      </w:r>
      <w:r>
        <w:rPr>
          <w:rFonts w:hint="eastAsia" w:ascii="Times New Roman" w:hAnsi="Times New Roman" w:eastAsia="宋体" w:cs="Times New Roman"/>
          <w:color w:val="auto"/>
          <w:kern w:val="0"/>
          <w:szCs w:val="21"/>
        </w:rPr>
        <w:t>（北京时间）前将备份的投标文件寄于采购代理公司，地址：舟山市定海区昌国路</w:t>
      </w:r>
      <w:r>
        <w:rPr>
          <w:rFonts w:ascii="Times New Roman" w:hAnsi="Times New Roman" w:eastAsia="宋体" w:cs="Times New Roman"/>
          <w:color w:val="auto"/>
          <w:kern w:val="0"/>
          <w:szCs w:val="21"/>
        </w:rPr>
        <w:t>232</w:t>
      </w:r>
      <w:r>
        <w:rPr>
          <w:rFonts w:hint="eastAsia" w:ascii="Times New Roman" w:hAnsi="Times New Roman" w:eastAsia="宋体" w:cs="Times New Roman"/>
          <w:color w:val="auto"/>
          <w:kern w:val="0"/>
          <w:szCs w:val="21"/>
        </w:rPr>
        <w:t>号中楼</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rPr>
        <w:t>深圳市国信招标有限公司舟山分公司(收件人：任女士，联系电话：13567673203），未按时寄到的自行承担风险。也可开标会现场递交。</w:t>
      </w:r>
    </w:p>
    <w:p w14:paraId="66C2ECBD">
      <w:pPr>
        <w:widowControl/>
        <w:shd w:val="clear" w:color="auto" w:fill="FFFFFF"/>
        <w:spacing w:line="360" w:lineRule="auto"/>
        <w:ind w:firstLine="519" w:firstLineChars="246"/>
        <w:jc w:val="left"/>
        <w:rPr>
          <w:rFonts w:ascii="Times New Roman" w:hAnsi="Times New Roman" w:eastAsia="宋体" w:cs="Times New Roman"/>
          <w:b/>
          <w:color w:val="auto"/>
          <w:kern w:val="0"/>
          <w:szCs w:val="21"/>
        </w:rPr>
      </w:pPr>
      <w:r>
        <w:rPr>
          <w:rFonts w:hint="eastAsia" w:ascii="Times New Roman" w:hAnsi="Times New Roman" w:eastAsia="宋体" w:cs="Times New Roman"/>
          <w:b/>
          <w:color w:val="auto"/>
          <w:kern w:val="0"/>
          <w:szCs w:val="21"/>
        </w:rPr>
        <w:t>投标人可以不提供备份投标文件，造成项目开评标活动无法进行下去的，投标无效，相关风险由投标人自行承担。</w:t>
      </w:r>
    </w:p>
    <w:p w14:paraId="177B9079">
      <w:pPr>
        <w:widowControl/>
        <w:shd w:val="clear" w:color="auto" w:fill="FFFFFF"/>
        <w:spacing w:line="360" w:lineRule="auto"/>
        <w:ind w:firstLine="413" w:firstLineChars="196"/>
        <w:jc w:val="left"/>
        <w:rPr>
          <w:rFonts w:ascii="Times New Roman" w:hAnsi="Times New Roman" w:eastAsia="宋体" w:cs="Times New Roman"/>
          <w:bCs/>
          <w:color w:val="auto"/>
          <w:kern w:val="0"/>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开标时间：</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rPr>
        <w:t>5</w:t>
      </w:r>
      <w:r>
        <w:rPr>
          <w:rFonts w:ascii="Times New Roman" w:hAnsi="Times New Roman" w:eastAsia="宋体" w:cs="Times New Roman"/>
          <w:color w:val="auto"/>
          <w:kern w:val="0"/>
          <w:szCs w:val="21"/>
        </w:rPr>
        <w:t>年</w:t>
      </w:r>
      <w:r>
        <w:rPr>
          <w:rFonts w:hint="eastAsia" w:ascii="Times New Roman" w:hAnsi="Times New Roman" w:eastAsia="宋体" w:cs="Times New Roman"/>
          <w:color w:val="auto"/>
          <w:kern w:val="0"/>
          <w:szCs w:val="21"/>
          <w:lang w:val="en-US" w:eastAsia="zh-CN"/>
        </w:rPr>
        <w:t>04</w:t>
      </w:r>
      <w:r>
        <w:rPr>
          <w:rFonts w:hint="eastAsia" w:ascii="Times New Roman" w:hAnsi="Times New Roman" w:eastAsia="宋体" w:cs="Times New Roman"/>
          <w:color w:val="auto"/>
          <w:kern w:val="0"/>
          <w:szCs w:val="21"/>
        </w:rPr>
        <w:t>月</w:t>
      </w:r>
      <w:r>
        <w:rPr>
          <w:rFonts w:hint="eastAsia" w:ascii="Times New Roman" w:hAnsi="Times New Roman" w:eastAsia="宋体" w:cs="Times New Roman"/>
          <w:color w:val="auto"/>
          <w:kern w:val="0"/>
          <w:szCs w:val="21"/>
          <w:lang w:val="en-US" w:eastAsia="zh-CN"/>
        </w:rPr>
        <w:t>30</w:t>
      </w:r>
      <w:r>
        <w:rPr>
          <w:rFonts w:hint="eastAsia" w:ascii="Times New Roman" w:hAnsi="Times New Roman" w:eastAsia="宋体" w:cs="Times New Roman"/>
          <w:color w:val="auto"/>
          <w:kern w:val="0"/>
          <w:szCs w:val="21"/>
        </w:rPr>
        <w:t>日09：</w:t>
      </w:r>
      <w:r>
        <w:rPr>
          <w:rFonts w:ascii="Times New Roman" w:hAnsi="Times New Roman" w:eastAsia="宋体" w:cs="Times New Roman"/>
          <w:color w:val="auto"/>
          <w:kern w:val="0"/>
          <w:szCs w:val="21"/>
        </w:rPr>
        <w:t>15</w:t>
      </w:r>
    </w:p>
    <w:p w14:paraId="0A08459B">
      <w:pPr>
        <w:widowControl/>
        <w:shd w:val="clear" w:color="auto" w:fill="FFFFFF"/>
        <w:spacing w:line="360" w:lineRule="auto"/>
        <w:ind w:firstLine="410"/>
        <w:jc w:val="left"/>
        <w:rPr>
          <w:rFonts w:hint="default" w:ascii="Times New Roman" w:hAnsi="Times New Roman" w:eastAsia="宋体" w:cs="Times New Roman"/>
          <w:color w:val="auto"/>
          <w:kern w:val="0"/>
          <w:szCs w:val="21"/>
          <w:lang w:val="en-US" w:eastAsia="zh-CN"/>
        </w:rPr>
      </w:pPr>
      <w:r>
        <w:rPr>
          <w:rFonts w:ascii="Times New Roman" w:hAnsi="Times New Roman" w:eastAsia="宋体" w:cs="Times New Roman"/>
          <w:b/>
          <w:bCs/>
          <w:color w:val="auto"/>
          <w:szCs w:val="21"/>
        </w:rPr>
        <w:t>3.</w:t>
      </w:r>
      <w:r>
        <w:rPr>
          <w:rFonts w:hint="eastAsia" w:ascii="Times New Roman" w:hAnsi="Times New Roman" w:eastAsia="宋体" w:cs="Times New Roman"/>
          <w:b/>
          <w:bCs/>
          <w:color w:val="auto"/>
          <w:szCs w:val="21"/>
        </w:rPr>
        <w:t>开标地点：</w:t>
      </w:r>
      <w:r>
        <w:rPr>
          <w:rFonts w:hint="eastAsia" w:ascii="Times New Roman" w:hAnsi="Times New Roman" w:eastAsia="宋体" w:cs="Times New Roman"/>
          <w:color w:val="auto"/>
          <w:kern w:val="0"/>
          <w:szCs w:val="21"/>
          <w:lang w:val="en-US" w:eastAsia="zh-CN"/>
        </w:rPr>
        <w:t>舟山市定海区颜家峧路7号一楼</w:t>
      </w:r>
    </w:p>
    <w:p w14:paraId="7FAEAF2B">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十一、其他事项：</w:t>
      </w:r>
    </w:p>
    <w:p w14:paraId="026E7943">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szCs w:val="21"/>
        </w:rPr>
        <w:t>1.</w:t>
      </w:r>
      <w:r>
        <w:rPr>
          <w:rFonts w:hint="eastAsia" w:ascii="Times New Roman" w:hAnsi="Times New Roman" w:eastAsia="宋体" w:cs="Times New Roman"/>
          <w:color w:val="auto"/>
        </w:rPr>
        <w:t>本项目公告期限为</w:t>
      </w:r>
      <w:r>
        <w:rPr>
          <w:rFonts w:ascii="Times New Roman" w:hAnsi="Times New Roman" w:eastAsia="宋体" w:cs="Times New Roman"/>
          <w:color w:val="auto"/>
        </w:rPr>
        <w:t>5</w:t>
      </w:r>
      <w:r>
        <w:rPr>
          <w:rFonts w:hint="eastAsia" w:ascii="Times New Roman" w:hAnsi="Times New Roman" w:eastAsia="宋体" w:cs="Times New Roman"/>
          <w:color w:val="auto"/>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color w:val="auto"/>
        </w:rPr>
        <w:t>7</w:t>
      </w:r>
      <w:r>
        <w:rPr>
          <w:rFonts w:hint="eastAsia" w:ascii="Times New Roman" w:hAnsi="Times New Roman" w:eastAsia="宋体" w:cs="Times New Roman"/>
          <w:color w:val="auto"/>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20BCFD">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投标人应在合同签订前成为浙江政府采购网正式注册供应商。</w:t>
      </w:r>
    </w:p>
    <w:p w14:paraId="37B7FB6B">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十二、联系方式：</w:t>
      </w:r>
    </w:p>
    <w:p w14:paraId="1FF1C5E5">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1.采购代理机构名称：深圳市国信招标有限公司舟山分公司</w:t>
      </w:r>
    </w:p>
    <w:p w14:paraId="27FE3C73">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联系人：朱女士、任女士</w:t>
      </w:r>
    </w:p>
    <w:p w14:paraId="6E3CBB5F">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联系电话：0580-2054476，13857236444，13567673203</w:t>
      </w:r>
    </w:p>
    <w:p w14:paraId="0220D7CE">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质疑答复联系人：王女士</w:t>
      </w:r>
    </w:p>
    <w:p w14:paraId="77B9290E">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联系电话：0580-2054476，13587045176</w:t>
      </w:r>
    </w:p>
    <w:p w14:paraId="009DCF3F">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传真： 0580-2054476</w:t>
      </w:r>
    </w:p>
    <w:p w14:paraId="2262EA0B">
      <w:pPr>
        <w:pStyle w:val="55"/>
        <w:spacing w:before="0" w:beforeAutospacing="0" w:after="0" w:afterAutospacing="0" w:line="360" w:lineRule="auto"/>
        <w:ind w:firstLine="420"/>
        <w:jc w:val="both"/>
        <w:rPr>
          <w:rFonts w:hint="eastAsia" w:ascii="宋体" w:hAnsi="宋体" w:cs="Times New Roman"/>
          <w:color w:val="auto"/>
          <w:kern w:val="2"/>
          <w:sz w:val="21"/>
          <w:szCs w:val="21"/>
        </w:rPr>
      </w:pPr>
      <w:r>
        <w:rPr>
          <w:rFonts w:hint="eastAsia" w:ascii="宋体" w:hAnsi="宋体" w:cs="Times New Roman"/>
          <w:color w:val="auto"/>
          <w:kern w:val="2"/>
          <w:sz w:val="21"/>
          <w:szCs w:val="21"/>
        </w:rPr>
        <w:t>地址：舟山市定海区昌国路232号中楼202</w:t>
      </w:r>
    </w:p>
    <w:p w14:paraId="77D8500D">
      <w:pPr>
        <w:spacing w:line="360" w:lineRule="auto"/>
        <w:ind w:firstLine="472" w:firstLineChars="225"/>
        <w:rPr>
          <w:rFonts w:hint="eastAsia" w:ascii="宋体" w:hAnsi="宋体" w:eastAsia="宋体" w:cs="Times New Roman"/>
          <w:b w:val="0"/>
          <w:bCs w:val="0"/>
          <w:color w:val="auto"/>
          <w:szCs w:val="21"/>
        </w:rPr>
      </w:pPr>
      <w:bookmarkStart w:id="2" w:name="_Hlk160185264"/>
      <w:r>
        <w:rPr>
          <w:rFonts w:hint="eastAsia" w:ascii="宋体" w:hAnsi="宋体" w:eastAsia="宋体" w:cs="Times New Roman"/>
          <w:b w:val="0"/>
          <w:bCs w:val="0"/>
          <w:color w:val="auto"/>
          <w:szCs w:val="21"/>
        </w:rPr>
        <w:t>2.采购人：舟山市普陀区海洋经济发展局</w:t>
      </w:r>
    </w:p>
    <w:p w14:paraId="70DF26C5">
      <w:pPr>
        <w:spacing w:line="360" w:lineRule="auto"/>
        <w:ind w:firstLine="472" w:firstLineChars="225"/>
        <w:rPr>
          <w:rFonts w:hint="eastAsia" w:ascii="宋体" w:hAnsi="宋体" w:eastAsia="宋体" w:cs="Times New Roman"/>
          <w:b w:val="0"/>
          <w:bCs w:val="0"/>
          <w:color w:val="auto"/>
          <w:szCs w:val="21"/>
          <w:lang w:eastAsia="zh-CN"/>
        </w:rPr>
      </w:pPr>
      <w:r>
        <w:rPr>
          <w:rFonts w:hint="eastAsia" w:ascii="宋体" w:hAnsi="宋体" w:eastAsia="宋体" w:cs="Times New Roman"/>
          <w:b w:val="0"/>
          <w:bCs w:val="0"/>
          <w:color w:val="auto"/>
          <w:szCs w:val="21"/>
        </w:rPr>
        <w:t>联系人：</w:t>
      </w:r>
      <w:r>
        <w:rPr>
          <w:rFonts w:hint="eastAsia" w:ascii="宋体" w:hAnsi="宋体" w:eastAsia="宋体" w:cs="Times New Roman"/>
          <w:b w:val="0"/>
          <w:bCs w:val="0"/>
          <w:color w:val="auto"/>
          <w:szCs w:val="21"/>
          <w:lang w:eastAsia="zh-CN"/>
        </w:rPr>
        <w:t>沈</w:t>
      </w:r>
      <w:r>
        <w:rPr>
          <w:rFonts w:hint="eastAsia" w:ascii="宋体" w:hAnsi="宋体" w:eastAsia="宋体" w:cs="Times New Roman"/>
          <w:b w:val="0"/>
          <w:bCs w:val="0"/>
          <w:color w:val="auto"/>
          <w:szCs w:val="21"/>
          <w:lang w:val="en-US" w:eastAsia="zh-CN"/>
        </w:rPr>
        <w:t xml:space="preserve">先生 </w:t>
      </w:r>
    </w:p>
    <w:p w14:paraId="342994FF">
      <w:pPr>
        <w:spacing w:line="360" w:lineRule="auto"/>
        <w:ind w:firstLine="472" w:firstLineChars="225"/>
        <w:rPr>
          <w:rFonts w:hint="default" w:ascii="宋体" w:hAnsi="宋体" w:eastAsia="宋体" w:cs="Times New Roman"/>
          <w:b w:val="0"/>
          <w:bCs w:val="0"/>
          <w:color w:val="auto"/>
          <w:szCs w:val="21"/>
          <w:lang w:val="en-US" w:eastAsia="zh-CN"/>
        </w:rPr>
      </w:pPr>
      <w:r>
        <w:rPr>
          <w:rFonts w:hint="eastAsia" w:ascii="宋体" w:hAnsi="宋体" w:eastAsia="宋体" w:cs="Times New Roman"/>
          <w:b w:val="0"/>
          <w:bCs w:val="0"/>
          <w:color w:val="auto"/>
          <w:szCs w:val="21"/>
        </w:rPr>
        <w:t>联系电话：</w:t>
      </w:r>
      <w:r>
        <w:rPr>
          <w:rFonts w:hint="eastAsia" w:ascii="宋体" w:hAnsi="宋体" w:eastAsia="宋体" w:cs="Times New Roman"/>
          <w:b w:val="0"/>
          <w:bCs w:val="0"/>
          <w:color w:val="auto"/>
          <w:szCs w:val="21"/>
          <w:lang w:val="en-US" w:eastAsia="zh-CN"/>
        </w:rPr>
        <w:t xml:space="preserve"> 0580-3013645</w:t>
      </w:r>
    </w:p>
    <w:p w14:paraId="0AB45253">
      <w:pPr>
        <w:spacing w:line="360" w:lineRule="auto"/>
        <w:ind w:firstLine="472" w:firstLineChars="225"/>
        <w:rPr>
          <w:rFonts w:hint="default" w:ascii="宋体" w:hAnsi="宋体" w:eastAsia="宋体" w:cs="Times New Roman"/>
          <w:b w:val="0"/>
          <w:bCs w:val="0"/>
          <w:color w:val="auto"/>
          <w:szCs w:val="21"/>
          <w:lang w:val="en-US" w:eastAsia="zh-CN"/>
        </w:rPr>
      </w:pPr>
      <w:r>
        <w:rPr>
          <w:rFonts w:hint="eastAsia" w:ascii="宋体" w:hAnsi="宋体" w:eastAsia="宋体" w:cs="Times New Roman"/>
          <w:b w:val="0"/>
          <w:bCs w:val="0"/>
          <w:color w:val="auto"/>
          <w:szCs w:val="21"/>
        </w:rPr>
        <w:t>质疑答复联系人：</w:t>
      </w:r>
      <w:r>
        <w:rPr>
          <w:rFonts w:hint="eastAsia" w:ascii="宋体" w:hAnsi="宋体" w:eastAsia="宋体" w:cs="Times New Roman"/>
          <w:b w:val="0"/>
          <w:bCs w:val="0"/>
          <w:color w:val="auto"/>
          <w:szCs w:val="21"/>
          <w:lang w:val="en-US" w:eastAsia="zh-CN"/>
        </w:rPr>
        <w:t xml:space="preserve"> 卢先生</w:t>
      </w:r>
    </w:p>
    <w:p w14:paraId="47C4A3F5">
      <w:pPr>
        <w:spacing w:line="360" w:lineRule="auto"/>
        <w:ind w:firstLine="472" w:firstLineChars="225"/>
        <w:rPr>
          <w:rFonts w:hint="eastAsia" w:ascii="宋体" w:hAnsi="宋体" w:eastAsia="宋体" w:cs="Times New Roman"/>
          <w:b w:val="0"/>
          <w:bCs w:val="0"/>
          <w:color w:val="auto"/>
          <w:szCs w:val="21"/>
          <w:lang w:eastAsia="zh-CN"/>
        </w:rPr>
      </w:pPr>
      <w:r>
        <w:rPr>
          <w:rFonts w:hint="eastAsia" w:ascii="宋体" w:hAnsi="宋体" w:eastAsia="宋体" w:cs="Times New Roman"/>
          <w:b w:val="0"/>
          <w:bCs w:val="0"/>
          <w:color w:val="auto"/>
          <w:szCs w:val="21"/>
        </w:rPr>
        <w:t>联系电话：</w:t>
      </w:r>
      <w:r>
        <w:rPr>
          <w:rFonts w:hint="eastAsia" w:ascii="宋体" w:hAnsi="宋体" w:eastAsia="宋体" w:cs="Times New Roman"/>
          <w:b w:val="0"/>
          <w:bCs w:val="0"/>
          <w:color w:val="auto"/>
          <w:szCs w:val="21"/>
          <w:lang w:val="en-US" w:eastAsia="zh-CN"/>
        </w:rPr>
        <w:t xml:space="preserve">0580-3055112 </w:t>
      </w:r>
    </w:p>
    <w:p w14:paraId="6271ABC3">
      <w:pPr>
        <w:pStyle w:val="26"/>
        <w:ind w:firstLine="0" w:firstLineChars="0"/>
        <w:rPr>
          <w:rFonts w:hint="eastAsia" w:ascii="宋体" w:hAnsi="宋体"/>
          <w:b w:val="0"/>
          <w:bCs w:val="0"/>
          <w:color w:val="auto"/>
          <w:kern w:val="2"/>
          <w:szCs w:val="21"/>
        </w:rPr>
      </w:pPr>
      <w:r>
        <w:rPr>
          <w:rFonts w:hint="eastAsia" w:ascii="宋体" w:hAnsi="宋体"/>
          <w:b w:val="0"/>
          <w:bCs w:val="0"/>
          <w:color w:val="auto"/>
          <w:kern w:val="2"/>
          <w:szCs w:val="21"/>
        </w:rPr>
        <w:t xml:space="preserve">    地址：舟山市沈家门东海西路9号</w:t>
      </w:r>
    </w:p>
    <w:bookmarkEnd w:id="2"/>
    <w:p w14:paraId="6B17DD1C">
      <w:pPr>
        <w:spacing w:line="360" w:lineRule="auto"/>
        <w:ind w:firstLine="472" w:firstLineChars="225"/>
        <w:rPr>
          <w:rFonts w:hint="eastAsia" w:ascii="宋体" w:hAnsi="宋体" w:eastAsia="宋体" w:cs="Times New Roman"/>
          <w:color w:val="auto"/>
          <w:szCs w:val="21"/>
        </w:rPr>
      </w:pPr>
      <w:r>
        <w:rPr>
          <w:rFonts w:hint="eastAsia" w:ascii="宋体" w:hAnsi="宋体" w:eastAsia="宋体" w:cs="Times New Roman"/>
          <w:color w:val="auto"/>
          <w:szCs w:val="21"/>
        </w:rPr>
        <w:t>3.同级政府采购监督管理部门名称：普陀区财政局</w:t>
      </w:r>
    </w:p>
    <w:p w14:paraId="0AF7325E">
      <w:pPr>
        <w:spacing w:line="360" w:lineRule="auto"/>
        <w:ind w:firstLine="472" w:firstLineChars="225"/>
        <w:rPr>
          <w:rFonts w:hint="eastAsia" w:ascii="宋体" w:hAnsi="宋体" w:eastAsia="宋体" w:cs="Times New Roman"/>
          <w:color w:val="auto"/>
          <w:szCs w:val="21"/>
        </w:rPr>
      </w:pPr>
      <w:r>
        <w:rPr>
          <w:rFonts w:hint="eastAsia" w:ascii="宋体" w:hAnsi="宋体" w:eastAsia="宋体" w:cs="Times New Roman"/>
          <w:color w:val="auto"/>
          <w:szCs w:val="21"/>
        </w:rPr>
        <w:t>监督</w:t>
      </w:r>
      <w:r>
        <w:rPr>
          <w:rFonts w:hint="eastAsia" w:ascii="宋体" w:hAnsi="宋体" w:eastAsia="宋体" w:cs="Times New Roman"/>
          <w:color w:val="auto"/>
          <w:szCs w:val="21"/>
          <w:lang w:val="en-US" w:eastAsia="zh-CN"/>
        </w:rPr>
        <w:t>投诉</w:t>
      </w:r>
      <w:r>
        <w:rPr>
          <w:rFonts w:hint="eastAsia" w:ascii="宋体" w:hAnsi="宋体" w:eastAsia="宋体" w:cs="Times New Roman"/>
          <w:color w:val="auto"/>
          <w:szCs w:val="21"/>
        </w:rPr>
        <w:t>电话：0580-3062899</w:t>
      </w:r>
    </w:p>
    <w:p w14:paraId="0060DF30">
      <w:pPr>
        <w:rPr>
          <w:rFonts w:ascii="Times New Roman" w:hAnsi="Times New Roman" w:eastAsia="宋体" w:cs="Times New Roman"/>
          <w:b/>
          <w:color w:val="auto"/>
          <w:kern w:val="0"/>
          <w:sz w:val="30"/>
        </w:rPr>
      </w:pPr>
      <w:r>
        <w:rPr>
          <w:rFonts w:ascii="Times New Roman" w:hAnsi="Times New Roman" w:eastAsia="宋体" w:cs="Times New Roman"/>
          <w:b/>
          <w:color w:val="auto"/>
          <w:kern w:val="0"/>
          <w:sz w:val="30"/>
        </w:rPr>
        <w:br w:type="page"/>
      </w:r>
    </w:p>
    <w:p w14:paraId="1ABE84F3">
      <w:pPr>
        <w:widowControl/>
        <w:jc w:val="left"/>
        <w:rPr>
          <w:rFonts w:ascii="Times New Roman" w:hAnsi="Times New Roman" w:eastAsia="宋体" w:cs="Times New Roman"/>
          <w:b/>
          <w:color w:val="auto"/>
          <w:kern w:val="0"/>
          <w:sz w:val="30"/>
        </w:rPr>
        <w:sectPr>
          <w:pgSz w:w="11906" w:h="16838"/>
          <w:pgMar w:top="1304" w:right="1531" w:bottom="1304" w:left="1531" w:header="1134" w:footer="1304" w:gutter="0"/>
          <w:cols w:space="720" w:num="1"/>
        </w:sectPr>
      </w:pPr>
    </w:p>
    <w:p w14:paraId="306ABE09">
      <w:pPr>
        <w:numPr>
          <w:ilvl w:val="0"/>
          <w:numId w:val="8"/>
        </w:numPr>
        <w:snapToGrid w:val="0"/>
        <w:spacing w:line="360" w:lineRule="auto"/>
        <w:jc w:val="center"/>
        <w:rPr>
          <w:rFonts w:ascii="Times New Roman" w:hAnsi="Times New Roman" w:eastAsia="宋体" w:cs="Times New Roman"/>
          <w:b/>
          <w:color w:val="auto"/>
          <w:sz w:val="30"/>
        </w:rPr>
      </w:pPr>
      <w:r>
        <w:rPr>
          <w:rFonts w:hint="eastAsia" w:ascii="Times New Roman" w:hAnsi="Times New Roman" w:eastAsia="宋体" w:cs="Times New Roman"/>
          <w:b/>
          <w:color w:val="auto"/>
          <w:sz w:val="30"/>
        </w:rPr>
        <w:t>招标需求</w:t>
      </w:r>
    </w:p>
    <w:p w14:paraId="3416EEA5">
      <w:pPr>
        <w:spacing w:line="312" w:lineRule="auto"/>
        <w:outlineLvl w:val="0"/>
        <w:rPr>
          <w:rFonts w:ascii="Times New Roman" w:hAnsi="Times New Roman" w:eastAsia="宋体" w:cs="Times New Roman"/>
          <w:b/>
          <w:color w:val="auto"/>
          <w:sz w:val="24"/>
        </w:rPr>
      </w:pPr>
    </w:p>
    <w:p w14:paraId="1AB1859F">
      <w:pPr>
        <w:spacing w:line="360" w:lineRule="auto"/>
        <w:rPr>
          <w:rFonts w:hint="eastAsia" w:ascii="宋体" w:hAnsi="宋体" w:eastAsia="宋体" w:cs="宋体"/>
          <w:b/>
          <w:color w:val="auto"/>
          <w:szCs w:val="21"/>
        </w:rPr>
      </w:pPr>
      <w:bookmarkStart w:id="3" w:name="_Hlk114668343"/>
      <w:r>
        <w:rPr>
          <w:rFonts w:hint="eastAsia" w:ascii="宋体" w:hAnsi="宋体" w:eastAsia="宋体" w:cs="宋体"/>
          <w:b/>
          <w:color w:val="auto"/>
          <w:sz w:val="24"/>
          <w:szCs w:val="24"/>
        </w:rPr>
        <w:t>一、采购项目：2025年普陀区水生生物增殖放流项目</w:t>
      </w:r>
    </w:p>
    <w:p w14:paraId="4D7468B0">
      <w:pPr>
        <w:spacing w:line="360" w:lineRule="auto"/>
        <w:ind w:firstLine="102" w:firstLineChars="49"/>
        <w:rPr>
          <w:rFonts w:hint="eastAsia" w:ascii="宋体" w:hAnsi="宋体" w:eastAsia="宋体" w:cs="宋体"/>
          <w:color w:val="auto"/>
          <w:szCs w:val="21"/>
          <w:lang w:val="zh-CN"/>
        </w:rPr>
      </w:pPr>
      <w:r>
        <w:rPr>
          <w:rFonts w:hint="eastAsia" w:ascii="宋体" w:hAnsi="宋体" w:eastAsia="宋体" w:cs="宋体"/>
          <w:color w:val="auto"/>
          <w:szCs w:val="21"/>
          <w:lang w:val="zh-CN"/>
        </w:rPr>
        <w:t>1.本项目采购内容为</w:t>
      </w:r>
      <w:r>
        <w:rPr>
          <w:rFonts w:hint="eastAsia" w:ascii="宋体" w:hAnsi="宋体" w:eastAsia="宋体" w:cs="宋体"/>
          <w:color w:val="auto"/>
          <w:szCs w:val="21"/>
        </w:rPr>
        <w:t>2025年普陀区水生生物增殖放流项目</w:t>
      </w:r>
      <w:r>
        <w:rPr>
          <w:rFonts w:hint="eastAsia" w:ascii="宋体" w:hAnsi="宋体" w:eastAsia="宋体" w:cs="宋体"/>
          <w:color w:val="auto"/>
          <w:szCs w:val="21"/>
          <w:lang w:val="zh-CN"/>
        </w:rPr>
        <w:t>。</w:t>
      </w:r>
    </w:p>
    <w:p w14:paraId="2EAEDBCF">
      <w:pPr>
        <w:spacing w:line="360" w:lineRule="auto"/>
        <w:ind w:firstLine="102" w:firstLineChars="49"/>
        <w:rPr>
          <w:rFonts w:hint="eastAsia" w:ascii="宋体" w:hAnsi="宋体" w:eastAsia="宋体" w:cs="Times New Roman"/>
          <w:color w:val="auto"/>
          <w:szCs w:val="21"/>
        </w:rPr>
      </w:pPr>
      <w:r>
        <w:rPr>
          <w:rFonts w:hint="eastAsia" w:ascii="宋体" w:hAnsi="宋体" w:eastAsia="宋体" w:cs="宋体"/>
          <w:color w:val="auto"/>
          <w:szCs w:val="21"/>
          <w:lang w:val="zh-CN"/>
        </w:rPr>
        <w:t>2.中标人应与采购方就此项目签订合同。</w:t>
      </w:r>
    </w:p>
    <w:p w14:paraId="749D7C85">
      <w:pPr>
        <w:pStyle w:val="17"/>
        <w:rPr>
          <w:color w:val="auto"/>
        </w:rPr>
      </w:pPr>
    </w:p>
    <w:bookmarkEnd w:id="3"/>
    <w:p w14:paraId="55C9EEF3">
      <w:pPr>
        <w:snapToGrid w:val="0"/>
        <w:spacing w:line="312" w:lineRule="auto"/>
        <w:rPr>
          <w:rFonts w:hint="eastAsia" w:ascii="宋体" w:hAnsi="宋体" w:eastAsia="宋体" w:cs="宋体"/>
          <w:color w:val="auto"/>
          <w:szCs w:val="21"/>
        </w:rPr>
      </w:pPr>
      <w:r>
        <w:rPr>
          <w:rFonts w:hint="eastAsia" w:ascii="Times New Roman" w:hAnsi="Times New Roman" w:eastAsia="宋体" w:cs="Times New Roman"/>
          <w:b/>
          <w:color w:val="auto"/>
          <w:sz w:val="24"/>
        </w:rPr>
        <w:t>二、采购清单</w:t>
      </w:r>
    </w:p>
    <w:tbl>
      <w:tblPr>
        <w:tblStyle w:val="60"/>
        <w:tblW w:w="9853" w:type="dxa"/>
        <w:tblInd w:w="-81" w:type="dxa"/>
        <w:tblLayout w:type="fixed"/>
        <w:tblCellMar>
          <w:top w:w="15" w:type="dxa"/>
          <w:left w:w="15" w:type="dxa"/>
          <w:bottom w:w="15" w:type="dxa"/>
          <w:right w:w="15" w:type="dxa"/>
        </w:tblCellMar>
      </w:tblPr>
      <w:tblGrid>
        <w:gridCol w:w="527"/>
        <w:gridCol w:w="1129"/>
        <w:gridCol w:w="1056"/>
        <w:gridCol w:w="991"/>
        <w:gridCol w:w="825"/>
        <w:gridCol w:w="1072"/>
        <w:gridCol w:w="889"/>
        <w:gridCol w:w="525"/>
        <w:gridCol w:w="675"/>
        <w:gridCol w:w="900"/>
        <w:gridCol w:w="1264"/>
      </w:tblGrid>
      <w:tr w14:paraId="7D57F0F4">
        <w:trPr>
          <w:trHeight w:val="256" w:hRule="atLeast"/>
        </w:trPr>
        <w:tc>
          <w:tcPr>
            <w:tcW w:w="527" w:type="dxa"/>
            <w:vMerge w:val="restart"/>
            <w:tcBorders>
              <w:top w:val="single" w:color="000000" w:sz="4" w:space="0"/>
              <w:left w:val="single" w:color="000000" w:sz="4" w:space="0"/>
              <w:right w:val="single" w:color="000000" w:sz="4" w:space="0"/>
            </w:tcBorders>
            <w:vAlign w:val="center"/>
          </w:tcPr>
          <w:p w14:paraId="58434DE6">
            <w:pPr>
              <w:jc w:val="center"/>
              <w:rPr>
                <w:rFonts w:hint="eastAsia" w:ascii="宋体" w:hAnsi="宋体" w:eastAsia="宋体" w:cs="宋体"/>
                <w:b/>
                <w:color w:val="auto"/>
                <w:sz w:val="18"/>
                <w:szCs w:val="18"/>
              </w:rPr>
            </w:pPr>
            <w:bookmarkStart w:id="4" w:name="_Hlk190181408"/>
            <w:r>
              <w:rPr>
                <w:rFonts w:hint="eastAsia" w:ascii="宋体" w:hAnsi="宋体" w:eastAsia="宋体" w:cs="宋体"/>
                <w:b/>
                <w:color w:val="auto"/>
                <w:sz w:val="18"/>
                <w:szCs w:val="18"/>
              </w:rPr>
              <w:t>标项</w:t>
            </w:r>
          </w:p>
        </w:tc>
        <w:tc>
          <w:tcPr>
            <w:tcW w:w="1129" w:type="dxa"/>
            <w:vMerge w:val="restart"/>
            <w:tcBorders>
              <w:top w:val="single" w:color="000000" w:sz="4" w:space="0"/>
              <w:left w:val="single" w:color="000000" w:sz="4" w:space="0"/>
              <w:right w:val="single" w:color="000000" w:sz="4" w:space="0"/>
            </w:tcBorders>
            <w:vAlign w:val="center"/>
          </w:tcPr>
          <w:p w14:paraId="20A9EB53">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lang w:eastAsia="zh-CN"/>
              </w:rPr>
              <w:t>品种</w:t>
            </w:r>
          </w:p>
        </w:tc>
        <w:tc>
          <w:tcPr>
            <w:tcW w:w="1056" w:type="dxa"/>
            <w:vMerge w:val="restart"/>
            <w:tcBorders>
              <w:top w:val="single" w:color="000000" w:sz="4" w:space="0"/>
              <w:left w:val="single" w:color="000000" w:sz="4" w:space="0"/>
              <w:right w:val="single" w:color="000000" w:sz="4" w:space="0"/>
            </w:tcBorders>
            <w:vAlign w:val="center"/>
          </w:tcPr>
          <w:p w14:paraId="1072F5E5">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rPr>
              <w:t>规格</w:t>
            </w:r>
          </w:p>
        </w:tc>
        <w:tc>
          <w:tcPr>
            <w:tcW w:w="991" w:type="dxa"/>
            <w:vMerge w:val="restart"/>
            <w:tcBorders>
              <w:top w:val="single" w:color="000000" w:sz="4" w:space="0"/>
              <w:left w:val="single" w:color="000000" w:sz="4" w:space="0"/>
              <w:right w:val="single" w:color="000000" w:sz="4" w:space="0"/>
            </w:tcBorders>
            <w:vAlign w:val="center"/>
          </w:tcPr>
          <w:p w14:paraId="39FF30EC">
            <w:pPr>
              <w:widowControl/>
              <w:jc w:val="center"/>
              <w:rPr>
                <w:rFonts w:hint="eastAsia" w:ascii="宋体" w:hAnsi="宋体" w:eastAsia="宋体" w:cs="宋体"/>
                <w:b/>
                <w:color w:val="auto"/>
                <w:kern w:val="0"/>
                <w:sz w:val="18"/>
                <w:szCs w:val="18"/>
              </w:rPr>
            </w:pPr>
            <w:r>
              <w:rPr>
                <w:rFonts w:hint="eastAsia" w:ascii="宋体" w:hAnsi="宋体" w:eastAsia="宋体" w:cs="宋体"/>
                <w:b/>
                <w:bCs/>
                <w:color w:val="auto"/>
                <w:kern w:val="0"/>
                <w:sz w:val="18"/>
                <w:szCs w:val="18"/>
                <w:highlight w:val="none"/>
              </w:rPr>
              <w:t>参考单价(元/单位)</w:t>
            </w:r>
          </w:p>
        </w:tc>
        <w:tc>
          <w:tcPr>
            <w:tcW w:w="825" w:type="dxa"/>
            <w:vMerge w:val="restart"/>
            <w:tcBorders>
              <w:top w:val="single" w:color="000000" w:sz="4" w:space="0"/>
              <w:left w:val="single" w:color="000000" w:sz="4" w:space="0"/>
              <w:right w:val="single" w:color="000000" w:sz="4" w:space="0"/>
            </w:tcBorders>
            <w:vAlign w:val="center"/>
          </w:tcPr>
          <w:p w14:paraId="007348DD">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lang w:eastAsia="zh-CN"/>
              </w:rPr>
              <w:t>苗种</w:t>
            </w:r>
            <w:r>
              <w:rPr>
                <w:rFonts w:hint="eastAsia" w:ascii="宋体" w:hAnsi="宋体" w:eastAsia="宋体" w:cs="宋体"/>
                <w:b/>
                <w:bCs/>
                <w:color w:val="auto"/>
                <w:kern w:val="0"/>
                <w:sz w:val="18"/>
                <w:szCs w:val="18"/>
                <w:highlight w:val="none"/>
              </w:rPr>
              <w:t>费(万元)</w:t>
            </w:r>
          </w:p>
        </w:tc>
        <w:tc>
          <w:tcPr>
            <w:tcW w:w="1072" w:type="dxa"/>
            <w:vMerge w:val="restart"/>
            <w:tcBorders>
              <w:top w:val="single" w:color="000000" w:sz="4" w:space="0"/>
              <w:left w:val="single" w:color="000000" w:sz="4" w:space="0"/>
              <w:right w:val="single" w:color="auto" w:sz="4" w:space="0"/>
            </w:tcBorders>
            <w:vAlign w:val="center"/>
          </w:tcPr>
          <w:p w14:paraId="1EA7FE56">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rPr>
              <w:t>总</w:t>
            </w:r>
            <w:r>
              <w:rPr>
                <w:rFonts w:hint="eastAsia" w:ascii="宋体" w:hAnsi="宋体" w:eastAsia="宋体" w:cs="宋体"/>
                <w:b/>
                <w:bCs/>
                <w:color w:val="auto"/>
                <w:kern w:val="0"/>
                <w:sz w:val="18"/>
                <w:szCs w:val="18"/>
                <w:highlight w:val="none"/>
                <w:lang w:eastAsia="zh-CN"/>
              </w:rPr>
              <w:t>苗种</w:t>
            </w:r>
            <w:r>
              <w:rPr>
                <w:rFonts w:hint="eastAsia" w:ascii="宋体" w:hAnsi="宋体" w:eastAsia="宋体" w:cs="宋体"/>
                <w:b/>
                <w:bCs/>
                <w:color w:val="auto"/>
                <w:kern w:val="0"/>
                <w:sz w:val="18"/>
                <w:szCs w:val="18"/>
                <w:highlight w:val="none"/>
              </w:rPr>
              <w:t>数量(≥万单位)</w:t>
            </w:r>
          </w:p>
        </w:tc>
        <w:tc>
          <w:tcPr>
            <w:tcW w:w="889" w:type="dxa"/>
            <w:vMerge w:val="restart"/>
            <w:tcBorders>
              <w:top w:val="single" w:color="000000" w:sz="4" w:space="0"/>
              <w:left w:val="single" w:color="auto" w:sz="4" w:space="0"/>
              <w:right w:val="single" w:color="000000" w:sz="4" w:space="0"/>
            </w:tcBorders>
            <w:vAlign w:val="center"/>
          </w:tcPr>
          <w:p w14:paraId="22577C1A">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拟中标单位(家)</w:t>
            </w:r>
          </w:p>
        </w:tc>
        <w:tc>
          <w:tcPr>
            <w:tcW w:w="1200" w:type="dxa"/>
            <w:gridSpan w:val="2"/>
            <w:tcBorders>
              <w:top w:val="single" w:color="000000" w:sz="4" w:space="0"/>
              <w:left w:val="single" w:color="000000" w:sz="4" w:space="0"/>
              <w:bottom w:val="single" w:color="auto" w:sz="4" w:space="0"/>
              <w:right w:val="single" w:color="auto" w:sz="4" w:space="0"/>
            </w:tcBorders>
            <w:vAlign w:val="center"/>
          </w:tcPr>
          <w:p w14:paraId="083F392B">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中标单位</w:t>
            </w:r>
            <w:r>
              <w:rPr>
                <w:rFonts w:hint="eastAsia" w:ascii="宋体" w:hAnsi="宋体" w:eastAsia="宋体" w:cs="宋体"/>
                <w:b/>
                <w:bCs/>
                <w:color w:val="auto"/>
                <w:kern w:val="0"/>
                <w:sz w:val="18"/>
                <w:szCs w:val="18"/>
                <w:lang w:eastAsia="zh-CN"/>
              </w:rPr>
              <w:t>苗种</w:t>
            </w:r>
            <w:r>
              <w:rPr>
                <w:rFonts w:hint="eastAsia" w:ascii="宋体" w:hAnsi="宋体" w:eastAsia="宋体" w:cs="宋体"/>
                <w:b/>
                <w:bCs/>
                <w:color w:val="auto"/>
                <w:kern w:val="0"/>
                <w:sz w:val="18"/>
                <w:szCs w:val="18"/>
              </w:rPr>
              <w:t>费分配(万元)</w:t>
            </w:r>
          </w:p>
        </w:tc>
        <w:tc>
          <w:tcPr>
            <w:tcW w:w="900" w:type="dxa"/>
            <w:vMerge w:val="restart"/>
            <w:tcBorders>
              <w:top w:val="single" w:color="000000" w:sz="4" w:space="0"/>
              <w:left w:val="single" w:color="000000" w:sz="4" w:space="0"/>
              <w:right w:val="single" w:color="auto" w:sz="4" w:space="0"/>
            </w:tcBorders>
            <w:vAlign w:val="center"/>
          </w:tcPr>
          <w:p w14:paraId="7304917C">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放流时间(月)</w:t>
            </w:r>
          </w:p>
        </w:tc>
        <w:tc>
          <w:tcPr>
            <w:tcW w:w="1264" w:type="dxa"/>
            <w:vMerge w:val="restart"/>
            <w:tcBorders>
              <w:top w:val="single" w:color="000000" w:sz="4" w:space="0"/>
              <w:left w:val="single" w:color="auto" w:sz="4" w:space="0"/>
              <w:right w:val="single" w:color="000000" w:sz="4" w:space="0"/>
            </w:tcBorders>
            <w:vAlign w:val="center"/>
          </w:tcPr>
          <w:p w14:paraId="35A56E46">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放流海域</w:t>
            </w:r>
          </w:p>
        </w:tc>
      </w:tr>
      <w:tr w14:paraId="123C638C">
        <w:tblPrEx>
          <w:tblCellMar>
            <w:top w:w="15" w:type="dxa"/>
            <w:left w:w="15" w:type="dxa"/>
            <w:bottom w:w="15" w:type="dxa"/>
            <w:right w:w="15" w:type="dxa"/>
          </w:tblCellMar>
        </w:tblPrEx>
        <w:trPr>
          <w:trHeight w:val="219" w:hRule="atLeast"/>
        </w:trPr>
        <w:tc>
          <w:tcPr>
            <w:tcW w:w="527" w:type="dxa"/>
            <w:vMerge w:val="continue"/>
            <w:tcBorders>
              <w:left w:val="single" w:color="000000" w:sz="4" w:space="0"/>
              <w:bottom w:val="single" w:color="000000" w:sz="4" w:space="0"/>
              <w:right w:val="single" w:color="000000" w:sz="4" w:space="0"/>
            </w:tcBorders>
            <w:vAlign w:val="center"/>
          </w:tcPr>
          <w:p w14:paraId="73EA8A67">
            <w:pPr>
              <w:jc w:val="center"/>
              <w:rPr>
                <w:rFonts w:hint="eastAsia" w:ascii="宋体" w:hAnsi="宋体" w:eastAsia="宋体"/>
                <w:b/>
                <w:color w:val="auto"/>
                <w:sz w:val="18"/>
                <w:szCs w:val="18"/>
              </w:rPr>
            </w:pPr>
          </w:p>
        </w:tc>
        <w:tc>
          <w:tcPr>
            <w:tcW w:w="1129" w:type="dxa"/>
            <w:vMerge w:val="continue"/>
            <w:tcBorders>
              <w:left w:val="single" w:color="000000" w:sz="4" w:space="0"/>
              <w:bottom w:val="single" w:color="000000" w:sz="4" w:space="0"/>
              <w:right w:val="single" w:color="000000" w:sz="4" w:space="0"/>
            </w:tcBorders>
            <w:vAlign w:val="center"/>
          </w:tcPr>
          <w:p w14:paraId="6C84EEB7">
            <w:pPr>
              <w:widowControl/>
              <w:jc w:val="left"/>
              <w:rPr>
                <w:rFonts w:hint="eastAsia" w:ascii="宋体" w:hAnsi="宋体" w:eastAsia="宋体" w:cs="宋体"/>
                <w:color w:val="auto"/>
                <w:sz w:val="18"/>
                <w:szCs w:val="18"/>
              </w:rPr>
            </w:pPr>
          </w:p>
        </w:tc>
        <w:tc>
          <w:tcPr>
            <w:tcW w:w="1056" w:type="dxa"/>
            <w:vMerge w:val="continue"/>
            <w:tcBorders>
              <w:left w:val="single" w:color="000000" w:sz="4" w:space="0"/>
              <w:bottom w:val="single" w:color="000000" w:sz="4" w:space="0"/>
              <w:right w:val="single" w:color="000000" w:sz="4" w:space="0"/>
            </w:tcBorders>
            <w:vAlign w:val="center"/>
          </w:tcPr>
          <w:p w14:paraId="20E66A82">
            <w:pPr>
              <w:widowControl/>
              <w:jc w:val="left"/>
              <w:rPr>
                <w:rFonts w:hint="eastAsia" w:ascii="宋体" w:hAnsi="宋体" w:eastAsia="宋体" w:cs="宋体"/>
                <w:color w:val="auto"/>
                <w:sz w:val="18"/>
                <w:szCs w:val="18"/>
              </w:rPr>
            </w:pPr>
          </w:p>
        </w:tc>
        <w:tc>
          <w:tcPr>
            <w:tcW w:w="991" w:type="dxa"/>
            <w:vMerge w:val="continue"/>
            <w:tcBorders>
              <w:left w:val="single" w:color="000000" w:sz="4" w:space="0"/>
              <w:bottom w:val="single" w:color="000000" w:sz="4" w:space="0"/>
              <w:right w:val="single" w:color="000000" w:sz="4" w:space="0"/>
            </w:tcBorders>
            <w:vAlign w:val="center"/>
          </w:tcPr>
          <w:p w14:paraId="60F72298">
            <w:pPr>
              <w:widowControl/>
              <w:jc w:val="left"/>
              <w:rPr>
                <w:rFonts w:hint="eastAsia" w:ascii="宋体" w:hAnsi="宋体" w:eastAsia="宋体" w:cs="宋体"/>
                <w:color w:val="auto"/>
                <w:sz w:val="18"/>
                <w:szCs w:val="18"/>
              </w:rPr>
            </w:pPr>
          </w:p>
        </w:tc>
        <w:tc>
          <w:tcPr>
            <w:tcW w:w="825" w:type="dxa"/>
            <w:vMerge w:val="continue"/>
            <w:tcBorders>
              <w:left w:val="single" w:color="000000" w:sz="4" w:space="0"/>
              <w:bottom w:val="single" w:color="000000" w:sz="4" w:space="0"/>
              <w:right w:val="single" w:color="000000" w:sz="4" w:space="0"/>
            </w:tcBorders>
            <w:vAlign w:val="center"/>
          </w:tcPr>
          <w:p w14:paraId="696F1868">
            <w:pPr>
              <w:widowControl/>
              <w:jc w:val="left"/>
              <w:rPr>
                <w:rFonts w:hint="eastAsia" w:ascii="宋体" w:hAnsi="宋体" w:eastAsia="宋体" w:cs="宋体"/>
                <w:color w:val="auto"/>
                <w:sz w:val="18"/>
                <w:szCs w:val="18"/>
              </w:rPr>
            </w:pPr>
          </w:p>
        </w:tc>
        <w:tc>
          <w:tcPr>
            <w:tcW w:w="1072" w:type="dxa"/>
            <w:vMerge w:val="continue"/>
            <w:tcBorders>
              <w:left w:val="single" w:color="000000" w:sz="4" w:space="0"/>
              <w:bottom w:val="single" w:color="000000" w:sz="4" w:space="0"/>
              <w:right w:val="single" w:color="auto" w:sz="4" w:space="0"/>
            </w:tcBorders>
            <w:vAlign w:val="center"/>
          </w:tcPr>
          <w:p w14:paraId="041282EF">
            <w:pPr>
              <w:widowControl/>
              <w:jc w:val="left"/>
              <w:rPr>
                <w:rFonts w:hint="eastAsia" w:ascii="宋体" w:hAnsi="宋体" w:eastAsia="宋体" w:cs="宋体"/>
                <w:color w:val="auto"/>
                <w:sz w:val="18"/>
                <w:szCs w:val="18"/>
              </w:rPr>
            </w:pPr>
          </w:p>
        </w:tc>
        <w:tc>
          <w:tcPr>
            <w:tcW w:w="889" w:type="dxa"/>
            <w:vMerge w:val="continue"/>
            <w:tcBorders>
              <w:left w:val="single" w:color="auto" w:sz="4" w:space="0"/>
              <w:bottom w:val="single" w:color="000000" w:sz="4" w:space="0"/>
              <w:right w:val="single" w:color="000000" w:sz="4" w:space="0"/>
            </w:tcBorders>
            <w:vAlign w:val="center"/>
          </w:tcPr>
          <w:p w14:paraId="7C4CD6A3">
            <w:pPr>
              <w:widowControl/>
              <w:jc w:val="left"/>
              <w:rPr>
                <w:rFonts w:hint="eastAsia" w:ascii="宋体" w:hAnsi="宋体" w:eastAsia="宋体" w:cs="宋体"/>
                <w:color w:val="auto"/>
                <w:sz w:val="18"/>
                <w:szCs w:val="18"/>
              </w:rPr>
            </w:pPr>
          </w:p>
        </w:tc>
        <w:tc>
          <w:tcPr>
            <w:tcW w:w="525" w:type="dxa"/>
            <w:tcBorders>
              <w:top w:val="single" w:color="auto" w:sz="4" w:space="0"/>
              <w:left w:val="single" w:color="000000" w:sz="4" w:space="0"/>
              <w:bottom w:val="single" w:color="000000" w:sz="4" w:space="0"/>
              <w:right w:val="single" w:color="auto" w:sz="4" w:space="0"/>
            </w:tcBorders>
            <w:vAlign w:val="center"/>
          </w:tcPr>
          <w:p w14:paraId="7F712473">
            <w:pPr>
              <w:widowControl/>
              <w:jc w:val="center"/>
              <w:rPr>
                <w:rFonts w:hint="eastAsia" w:ascii="宋体" w:hAnsi="宋体" w:eastAsia="宋体" w:cs="宋体"/>
                <w:color w:val="auto"/>
                <w:sz w:val="18"/>
                <w:szCs w:val="18"/>
              </w:rPr>
            </w:pPr>
            <w:r>
              <w:rPr>
                <w:rFonts w:hint="eastAsia" w:ascii="宋体" w:hAnsi="宋体" w:eastAsia="宋体" w:cs="宋体"/>
                <w:b/>
                <w:bCs/>
                <w:color w:val="auto"/>
                <w:kern w:val="0"/>
                <w:sz w:val="18"/>
                <w:szCs w:val="18"/>
              </w:rPr>
              <w:t>1</w:t>
            </w:r>
          </w:p>
        </w:tc>
        <w:tc>
          <w:tcPr>
            <w:tcW w:w="675" w:type="dxa"/>
            <w:tcBorders>
              <w:top w:val="single" w:color="auto" w:sz="4" w:space="0"/>
              <w:left w:val="single" w:color="000000" w:sz="4" w:space="0"/>
              <w:bottom w:val="single" w:color="000000" w:sz="4" w:space="0"/>
              <w:right w:val="single" w:color="auto" w:sz="4" w:space="0"/>
            </w:tcBorders>
            <w:vAlign w:val="center"/>
          </w:tcPr>
          <w:p w14:paraId="089DB2D2">
            <w:pPr>
              <w:widowControl/>
              <w:jc w:val="center"/>
              <w:rPr>
                <w:rFonts w:hint="eastAsia" w:ascii="宋体" w:hAnsi="宋体" w:eastAsia="宋体" w:cs="宋体"/>
                <w:color w:val="auto"/>
                <w:sz w:val="18"/>
                <w:szCs w:val="18"/>
              </w:rPr>
            </w:pPr>
            <w:r>
              <w:rPr>
                <w:rFonts w:hint="eastAsia" w:ascii="宋体" w:hAnsi="宋体" w:eastAsia="宋体" w:cs="宋体"/>
                <w:b/>
                <w:bCs/>
                <w:color w:val="auto"/>
                <w:kern w:val="0"/>
                <w:sz w:val="18"/>
                <w:szCs w:val="18"/>
              </w:rPr>
              <w:t>2</w:t>
            </w:r>
          </w:p>
        </w:tc>
        <w:tc>
          <w:tcPr>
            <w:tcW w:w="900" w:type="dxa"/>
            <w:vMerge w:val="continue"/>
            <w:tcBorders>
              <w:left w:val="single" w:color="000000" w:sz="4" w:space="0"/>
              <w:bottom w:val="single" w:color="000000" w:sz="4" w:space="0"/>
              <w:right w:val="single" w:color="auto" w:sz="4" w:space="0"/>
            </w:tcBorders>
            <w:vAlign w:val="center"/>
          </w:tcPr>
          <w:p w14:paraId="42A5FD9C">
            <w:pPr>
              <w:widowControl/>
              <w:jc w:val="left"/>
              <w:rPr>
                <w:rFonts w:hint="eastAsia" w:ascii="宋体" w:hAnsi="宋体" w:eastAsia="宋体" w:cs="宋体"/>
                <w:color w:val="auto"/>
                <w:sz w:val="18"/>
                <w:szCs w:val="18"/>
              </w:rPr>
            </w:pPr>
          </w:p>
        </w:tc>
        <w:tc>
          <w:tcPr>
            <w:tcW w:w="1264" w:type="dxa"/>
            <w:vMerge w:val="continue"/>
            <w:tcBorders>
              <w:left w:val="single" w:color="auto" w:sz="4" w:space="0"/>
              <w:bottom w:val="single" w:color="000000" w:sz="4" w:space="0"/>
              <w:right w:val="single" w:color="000000" w:sz="4" w:space="0"/>
            </w:tcBorders>
            <w:vAlign w:val="center"/>
          </w:tcPr>
          <w:p w14:paraId="63292ABD">
            <w:pPr>
              <w:widowControl/>
              <w:jc w:val="left"/>
              <w:rPr>
                <w:rFonts w:hint="eastAsia" w:ascii="宋体" w:hAnsi="宋体" w:eastAsia="宋体" w:cs="宋体"/>
                <w:color w:val="auto"/>
                <w:sz w:val="18"/>
                <w:szCs w:val="18"/>
              </w:rPr>
            </w:pPr>
          </w:p>
        </w:tc>
      </w:tr>
      <w:tr w14:paraId="1145FE71">
        <w:tblPrEx>
          <w:tblCellMar>
            <w:top w:w="15" w:type="dxa"/>
            <w:left w:w="15" w:type="dxa"/>
            <w:bottom w:w="15" w:type="dxa"/>
            <w:right w:w="15" w:type="dxa"/>
          </w:tblCellMar>
        </w:tblPrEx>
        <w:trPr>
          <w:trHeight w:val="336"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78CB52CA">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一</w:t>
            </w:r>
          </w:p>
        </w:tc>
        <w:tc>
          <w:tcPr>
            <w:tcW w:w="1129" w:type="dxa"/>
            <w:tcBorders>
              <w:top w:val="single" w:color="000000" w:sz="4" w:space="0"/>
              <w:left w:val="single" w:color="000000" w:sz="4" w:space="0"/>
              <w:bottom w:val="single" w:color="000000" w:sz="4" w:space="0"/>
              <w:right w:val="single" w:color="000000" w:sz="4" w:space="0"/>
            </w:tcBorders>
            <w:vAlign w:val="center"/>
          </w:tcPr>
          <w:p w14:paraId="285BFDE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大黄鱼</w:t>
            </w:r>
          </w:p>
        </w:tc>
        <w:tc>
          <w:tcPr>
            <w:tcW w:w="1056" w:type="dxa"/>
            <w:tcBorders>
              <w:top w:val="single" w:color="000000" w:sz="4" w:space="0"/>
              <w:left w:val="single" w:color="000000" w:sz="4" w:space="0"/>
              <w:bottom w:val="single" w:color="000000" w:sz="4" w:space="0"/>
              <w:right w:val="single" w:color="000000" w:sz="4" w:space="0"/>
            </w:tcBorders>
            <w:vAlign w:val="center"/>
          </w:tcPr>
          <w:p w14:paraId="3FF600C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体长≥5cm</w:t>
            </w:r>
          </w:p>
        </w:tc>
        <w:tc>
          <w:tcPr>
            <w:tcW w:w="991" w:type="dxa"/>
            <w:tcBorders>
              <w:top w:val="nil"/>
              <w:left w:val="single" w:color="auto" w:sz="4" w:space="0"/>
              <w:bottom w:val="single" w:color="auto" w:sz="4" w:space="0"/>
              <w:right w:val="single" w:color="auto" w:sz="4" w:space="0"/>
            </w:tcBorders>
            <w:vAlign w:val="center"/>
          </w:tcPr>
          <w:p w14:paraId="36FE699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0.</w:t>
            </w:r>
            <w:r>
              <w:rPr>
                <w:rFonts w:hint="eastAsia" w:ascii="宋体" w:hAnsi="宋体" w:eastAsia="宋体" w:cs="宋体"/>
                <w:color w:val="auto"/>
                <w:kern w:val="0"/>
                <w:sz w:val="18"/>
                <w:szCs w:val="18"/>
                <w:lang w:val="en-US" w:eastAsia="zh-CN"/>
              </w:rPr>
              <w:t>30</w:t>
            </w:r>
          </w:p>
        </w:tc>
        <w:tc>
          <w:tcPr>
            <w:tcW w:w="825" w:type="dxa"/>
            <w:tcBorders>
              <w:top w:val="single" w:color="000000" w:sz="4" w:space="0"/>
              <w:left w:val="single" w:color="000000" w:sz="4" w:space="0"/>
              <w:bottom w:val="single" w:color="000000" w:sz="4" w:space="0"/>
              <w:right w:val="single" w:color="000000" w:sz="4" w:space="0"/>
            </w:tcBorders>
            <w:vAlign w:val="center"/>
          </w:tcPr>
          <w:p w14:paraId="6BDB37B5">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160</w:t>
            </w:r>
          </w:p>
        </w:tc>
        <w:tc>
          <w:tcPr>
            <w:tcW w:w="1072" w:type="dxa"/>
            <w:tcBorders>
              <w:top w:val="single" w:color="000000" w:sz="4" w:space="0"/>
              <w:bottom w:val="single" w:color="000000" w:sz="4" w:space="0"/>
              <w:right w:val="single" w:color="auto" w:sz="4" w:space="0"/>
            </w:tcBorders>
            <w:vAlign w:val="center"/>
          </w:tcPr>
          <w:p w14:paraId="0A0FC1A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533.3</w:t>
            </w:r>
          </w:p>
        </w:tc>
        <w:tc>
          <w:tcPr>
            <w:tcW w:w="889" w:type="dxa"/>
            <w:tcBorders>
              <w:top w:val="single" w:color="000000" w:sz="4" w:space="0"/>
              <w:left w:val="single" w:color="auto" w:sz="4" w:space="0"/>
              <w:bottom w:val="single" w:color="000000" w:sz="4" w:space="0"/>
              <w:right w:val="single" w:color="000000" w:sz="4" w:space="0"/>
            </w:tcBorders>
            <w:vAlign w:val="center"/>
          </w:tcPr>
          <w:p w14:paraId="20B232C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2</w:t>
            </w:r>
          </w:p>
        </w:tc>
        <w:tc>
          <w:tcPr>
            <w:tcW w:w="525" w:type="dxa"/>
            <w:tcBorders>
              <w:top w:val="single" w:color="000000" w:sz="4" w:space="0"/>
              <w:left w:val="single" w:color="000000" w:sz="4" w:space="0"/>
              <w:bottom w:val="single" w:color="000000" w:sz="4" w:space="0"/>
              <w:right w:val="single" w:color="auto" w:sz="4" w:space="0"/>
            </w:tcBorders>
            <w:vAlign w:val="center"/>
          </w:tcPr>
          <w:p w14:paraId="352E6E79">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85</w:t>
            </w:r>
          </w:p>
        </w:tc>
        <w:tc>
          <w:tcPr>
            <w:tcW w:w="675" w:type="dxa"/>
            <w:tcBorders>
              <w:top w:val="single" w:color="000000" w:sz="4" w:space="0"/>
              <w:left w:val="single" w:color="000000" w:sz="4" w:space="0"/>
              <w:bottom w:val="single" w:color="000000" w:sz="4" w:space="0"/>
              <w:right w:val="single" w:color="auto" w:sz="4" w:space="0"/>
            </w:tcBorders>
            <w:vAlign w:val="center"/>
          </w:tcPr>
          <w:p w14:paraId="5D073E5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75</w:t>
            </w:r>
          </w:p>
        </w:tc>
        <w:tc>
          <w:tcPr>
            <w:tcW w:w="900" w:type="dxa"/>
            <w:tcBorders>
              <w:top w:val="single" w:color="000000" w:sz="4" w:space="0"/>
              <w:left w:val="single" w:color="000000" w:sz="4" w:space="0"/>
              <w:bottom w:val="single" w:color="000000" w:sz="4" w:space="0"/>
              <w:right w:val="single" w:color="auto" w:sz="4" w:space="0"/>
            </w:tcBorders>
            <w:vAlign w:val="center"/>
          </w:tcPr>
          <w:p w14:paraId="0051985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5-</w:t>
            </w:r>
            <w:r>
              <w:rPr>
                <w:rFonts w:hint="eastAsia" w:ascii="宋体" w:hAnsi="宋体" w:eastAsia="宋体" w:cs="宋体"/>
                <w:color w:val="auto"/>
                <w:kern w:val="0"/>
                <w:sz w:val="18"/>
                <w:szCs w:val="18"/>
                <w:lang w:val="en-US" w:eastAsia="zh-CN"/>
              </w:rPr>
              <w:t>8</w:t>
            </w:r>
          </w:p>
        </w:tc>
        <w:tc>
          <w:tcPr>
            <w:tcW w:w="1264" w:type="dxa"/>
            <w:tcBorders>
              <w:top w:val="single" w:color="000000" w:sz="4" w:space="0"/>
              <w:left w:val="single" w:color="auto" w:sz="4" w:space="0"/>
              <w:bottom w:val="single" w:color="000000" w:sz="4" w:space="0"/>
              <w:right w:val="single" w:color="000000" w:sz="4" w:space="0"/>
            </w:tcBorders>
            <w:vAlign w:val="center"/>
          </w:tcPr>
          <w:p w14:paraId="5BDF434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莲花洋</w:t>
            </w:r>
          </w:p>
        </w:tc>
      </w:tr>
      <w:tr w14:paraId="6C9B8E8B">
        <w:tblPrEx>
          <w:tblCellMar>
            <w:top w:w="15" w:type="dxa"/>
            <w:left w:w="15" w:type="dxa"/>
            <w:bottom w:w="15" w:type="dxa"/>
            <w:right w:w="15" w:type="dxa"/>
          </w:tblCellMar>
        </w:tblPrEx>
        <w:trPr>
          <w:trHeight w:val="348"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1F32D411">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二</w:t>
            </w:r>
          </w:p>
        </w:tc>
        <w:tc>
          <w:tcPr>
            <w:tcW w:w="1129" w:type="dxa"/>
            <w:tcBorders>
              <w:top w:val="single" w:color="000000" w:sz="4" w:space="0"/>
              <w:left w:val="single" w:color="000000" w:sz="4" w:space="0"/>
              <w:bottom w:val="single" w:color="000000" w:sz="4" w:space="0"/>
              <w:right w:val="single" w:color="000000" w:sz="4" w:space="0"/>
            </w:tcBorders>
            <w:vAlign w:val="center"/>
          </w:tcPr>
          <w:p w14:paraId="6BE8225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曼氏无针乌贼</w:t>
            </w:r>
          </w:p>
        </w:tc>
        <w:tc>
          <w:tcPr>
            <w:tcW w:w="1056" w:type="dxa"/>
            <w:tcBorders>
              <w:top w:val="single" w:color="000000" w:sz="4" w:space="0"/>
              <w:left w:val="single" w:color="000000" w:sz="4" w:space="0"/>
              <w:bottom w:val="single" w:color="000000" w:sz="4" w:space="0"/>
              <w:right w:val="single" w:color="000000" w:sz="4" w:space="0"/>
            </w:tcBorders>
            <w:vAlign w:val="center"/>
          </w:tcPr>
          <w:p w14:paraId="6168E5F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受精卵</w:t>
            </w:r>
          </w:p>
        </w:tc>
        <w:tc>
          <w:tcPr>
            <w:tcW w:w="991" w:type="dxa"/>
            <w:tcBorders>
              <w:top w:val="nil"/>
              <w:left w:val="nil"/>
              <w:bottom w:val="single" w:color="auto" w:sz="4" w:space="0"/>
              <w:right w:val="single" w:color="auto" w:sz="4" w:space="0"/>
            </w:tcBorders>
            <w:vAlign w:val="center"/>
          </w:tcPr>
          <w:p w14:paraId="3D5F5E2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0.1</w:t>
            </w:r>
          </w:p>
        </w:tc>
        <w:tc>
          <w:tcPr>
            <w:tcW w:w="825" w:type="dxa"/>
            <w:tcBorders>
              <w:top w:val="single" w:color="000000" w:sz="4" w:space="0"/>
              <w:left w:val="single" w:color="000000" w:sz="4" w:space="0"/>
              <w:bottom w:val="single" w:color="000000" w:sz="4" w:space="0"/>
              <w:right w:val="single" w:color="000000" w:sz="4" w:space="0"/>
            </w:tcBorders>
            <w:vAlign w:val="center"/>
          </w:tcPr>
          <w:p w14:paraId="086735D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w:t>
            </w:r>
          </w:p>
        </w:tc>
        <w:tc>
          <w:tcPr>
            <w:tcW w:w="1072" w:type="dxa"/>
            <w:tcBorders>
              <w:top w:val="single" w:color="000000" w:sz="4" w:space="0"/>
              <w:bottom w:val="single" w:color="000000" w:sz="4" w:space="0"/>
              <w:right w:val="single" w:color="auto" w:sz="4" w:space="0"/>
            </w:tcBorders>
            <w:vAlign w:val="center"/>
          </w:tcPr>
          <w:p w14:paraId="10C61CF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1000</w:t>
            </w:r>
          </w:p>
        </w:tc>
        <w:tc>
          <w:tcPr>
            <w:tcW w:w="889" w:type="dxa"/>
            <w:tcBorders>
              <w:top w:val="single" w:color="000000" w:sz="4" w:space="0"/>
              <w:left w:val="single" w:color="auto" w:sz="4" w:space="0"/>
              <w:bottom w:val="single" w:color="000000" w:sz="4" w:space="0"/>
              <w:right w:val="single" w:color="000000" w:sz="4" w:space="0"/>
            </w:tcBorders>
            <w:vAlign w:val="center"/>
          </w:tcPr>
          <w:p w14:paraId="72118AB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1</w:t>
            </w:r>
          </w:p>
        </w:tc>
        <w:tc>
          <w:tcPr>
            <w:tcW w:w="525" w:type="dxa"/>
            <w:tcBorders>
              <w:top w:val="single" w:color="000000" w:sz="4" w:space="0"/>
              <w:left w:val="single" w:color="000000" w:sz="4" w:space="0"/>
              <w:bottom w:val="single" w:color="000000" w:sz="4" w:space="0"/>
              <w:right w:val="single" w:color="auto" w:sz="4" w:space="0"/>
            </w:tcBorders>
            <w:vAlign w:val="center"/>
          </w:tcPr>
          <w:p w14:paraId="301F164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w:t>
            </w:r>
          </w:p>
        </w:tc>
        <w:tc>
          <w:tcPr>
            <w:tcW w:w="675" w:type="dxa"/>
            <w:tcBorders>
              <w:top w:val="single" w:color="000000" w:sz="4" w:space="0"/>
              <w:left w:val="single" w:color="000000" w:sz="4" w:space="0"/>
              <w:bottom w:val="single" w:color="000000" w:sz="4" w:space="0"/>
              <w:right w:val="single" w:color="auto" w:sz="4" w:space="0"/>
            </w:tcBorders>
            <w:vAlign w:val="center"/>
          </w:tcPr>
          <w:p w14:paraId="5FD60E6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w:t>
            </w:r>
            <w:r>
              <w:rPr>
                <w:rFonts w:hint="eastAsia" w:ascii="宋体" w:hAnsi="宋体" w:eastAsia="宋体" w:cs="宋体"/>
                <w:color w:val="auto"/>
                <w:kern w:val="0"/>
                <w:sz w:val="18"/>
                <w:szCs w:val="18"/>
              </w:rPr>
              <w:t>　</w:t>
            </w:r>
          </w:p>
        </w:tc>
        <w:tc>
          <w:tcPr>
            <w:tcW w:w="900" w:type="dxa"/>
            <w:tcBorders>
              <w:top w:val="single" w:color="000000" w:sz="4" w:space="0"/>
              <w:left w:val="single" w:color="000000" w:sz="4" w:space="0"/>
              <w:bottom w:val="single" w:color="000000" w:sz="4" w:space="0"/>
              <w:right w:val="single" w:color="auto" w:sz="4" w:space="0"/>
            </w:tcBorders>
            <w:vAlign w:val="center"/>
          </w:tcPr>
          <w:p w14:paraId="3E14B5D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4-7</w:t>
            </w:r>
          </w:p>
        </w:tc>
        <w:tc>
          <w:tcPr>
            <w:tcW w:w="1264" w:type="dxa"/>
            <w:tcBorders>
              <w:top w:val="single" w:color="000000" w:sz="4" w:space="0"/>
              <w:left w:val="single" w:color="auto" w:sz="4" w:space="0"/>
              <w:bottom w:val="single" w:color="000000" w:sz="4" w:space="0"/>
              <w:right w:val="single" w:color="000000" w:sz="4" w:space="0"/>
            </w:tcBorders>
            <w:vAlign w:val="center"/>
          </w:tcPr>
          <w:p w14:paraId="5E2A1B9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中街山列岛海洋特别保护区</w:t>
            </w:r>
          </w:p>
        </w:tc>
      </w:tr>
      <w:tr w14:paraId="505BDC8E">
        <w:tblPrEx>
          <w:tblCellMar>
            <w:top w:w="15" w:type="dxa"/>
            <w:left w:w="15" w:type="dxa"/>
            <w:bottom w:w="15" w:type="dxa"/>
            <w:right w:w="15" w:type="dxa"/>
          </w:tblCellMar>
        </w:tblPrEx>
        <w:trPr>
          <w:trHeight w:val="340"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670C78E3">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三</w:t>
            </w:r>
          </w:p>
        </w:tc>
        <w:tc>
          <w:tcPr>
            <w:tcW w:w="1129" w:type="dxa"/>
            <w:tcBorders>
              <w:top w:val="single" w:color="000000" w:sz="4" w:space="0"/>
              <w:left w:val="single" w:color="000000" w:sz="4" w:space="0"/>
              <w:bottom w:val="single" w:color="000000" w:sz="4" w:space="0"/>
              <w:right w:val="single" w:color="000000" w:sz="4" w:space="0"/>
            </w:tcBorders>
            <w:vAlign w:val="center"/>
          </w:tcPr>
          <w:p w14:paraId="7C83EF4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海蜇</w:t>
            </w:r>
          </w:p>
        </w:tc>
        <w:tc>
          <w:tcPr>
            <w:tcW w:w="1056" w:type="dxa"/>
            <w:tcBorders>
              <w:top w:val="single" w:color="000000" w:sz="4" w:space="0"/>
              <w:left w:val="single" w:color="000000" w:sz="4" w:space="0"/>
              <w:bottom w:val="single" w:color="000000" w:sz="4" w:space="0"/>
              <w:right w:val="single" w:color="000000" w:sz="4" w:space="0"/>
            </w:tcBorders>
            <w:vAlign w:val="center"/>
          </w:tcPr>
          <w:p w14:paraId="1512A0A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伞径≥</w:t>
            </w:r>
            <w:r>
              <w:rPr>
                <w:rFonts w:hint="eastAsia" w:ascii="宋体" w:hAnsi="宋体" w:eastAsia="宋体" w:cs="宋体"/>
                <w:color w:val="auto"/>
                <w:kern w:val="0"/>
                <w:sz w:val="18"/>
                <w:szCs w:val="18"/>
                <w:highlight w:val="none"/>
                <w:lang w:val="en-US" w:eastAsia="zh-CN"/>
              </w:rPr>
              <w:t>0.7c</w:t>
            </w:r>
            <w:r>
              <w:rPr>
                <w:rFonts w:hint="eastAsia" w:ascii="宋体" w:hAnsi="宋体" w:eastAsia="宋体" w:cs="宋体"/>
                <w:color w:val="auto"/>
                <w:kern w:val="0"/>
                <w:sz w:val="18"/>
                <w:szCs w:val="18"/>
                <w:highlight w:val="none"/>
              </w:rPr>
              <w:t>m</w:t>
            </w:r>
          </w:p>
        </w:tc>
        <w:tc>
          <w:tcPr>
            <w:tcW w:w="991" w:type="dxa"/>
            <w:tcBorders>
              <w:top w:val="nil"/>
              <w:left w:val="single" w:color="auto" w:sz="4" w:space="0"/>
              <w:bottom w:val="single" w:color="auto" w:sz="4" w:space="0"/>
              <w:right w:val="single" w:color="auto" w:sz="4" w:space="0"/>
            </w:tcBorders>
            <w:vAlign w:val="center"/>
          </w:tcPr>
          <w:p w14:paraId="1214DF9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0.00</w:t>
            </w:r>
            <w:r>
              <w:rPr>
                <w:rFonts w:hint="eastAsia" w:ascii="宋体" w:hAnsi="宋体" w:eastAsia="宋体" w:cs="宋体"/>
                <w:color w:val="auto"/>
                <w:kern w:val="0"/>
                <w:sz w:val="18"/>
                <w:szCs w:val="18"/>
                <w:highlight w:val="none"/>
                <w:lang w:val="en-US" w:eastAsia="zh-CN"/>
              </w:rPr>
              <w:t>6</w:t>
            </w:r>
          </w:p>
        </w:tc>
        <w:tc>
          <w:tcPr>
            <w:tcW w:w="825" w:type="dxa"/>
            <w:tcBorders>
              <w:top w:val="single" w:color="000000" w:sz="4" w:space="0"/>
              <w:left w:val="single" w:color="000000" w:sz="4" w:space="0"/>
              <w:bottom w:val="single" w:color="000000" w:sz="4" w:space="0"/>
              <w:right w:val="single" w:color="000000" w:sz="4" w:space="0"/>
            </w:tcBorders>
            <w:vAlign w:val="center"/>
          </w:tcPr>
          <w:p w14:paraId="1394662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54</w:t>
            </w:r>
          </w:p>
        </w:tc>
        <w:tc>
          <w:tcPr>
            <w:tcW w:w="1072" w:type="dxa"/>
            <w:tcBorders>
              <w:top w:val="single" w:color="000000" w:sz="4" w:space="0"/>
              <w:bottom w:val="single" w:color="000000" w:sz="4" w:space="0"/>
              <w:right w:val="single" w:color="auto" w:sz="4" w:space="0"/>
            </w:tcBorders>
            <w:vAlign w:val="center"/>
          </w:tcPr>
          <w:p w14:paraId="700CF21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9000</w:t>
            </w:r>
          </w:p>
        </w:tc>
        <w:tc>
          <w:tcPr>
            <w:tcW w:w="889" w:type="dxa"/>
            <w:tcBorders>
              <w:top w:val="single" w:color="000000" w:sz="4" w:space="0"/>
              <w:left w:val="single" w:color="auto" w:sz="4" w:space="0"/>
              <w:bottom w:val="single" w:color="000000" w:sz="4" w:space="0"/>
              <w:right w:val="single" w:color="000000" w:sz="4" w:space="0"/>
            </w:tcBorders>
            <w:vAlign w:val="center"/>
          </w:tcPr>
          <w:p w14:paraId="047DDFB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25" w:type="dxa"/>
            <w:tcBorders>
              <w:top w:val="single" w:color="000000" w:sz="4" w:space="0"/>
              <w:left w:val="single" w:color="000000" w:sz="4" w:space="0"/>
              <w:bottom w:val="single" w:color="000000" w:sz="4" w:space="0"/>
              <w:right w:val="single" w:color="auto" w:sz="4" w:space="0"/>
            </w:tcBorders>
            <w:vAlign w:val="center"/>
          </w:tcPr>
          <w:p w14:paraId="30E0714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30</w:t>
            </w:r>
          </w:p>
        </w:tc>
        <w:tc>
          <w:tcPr>
            <w:tcW w:w="675" w:type="dxa"/>
            <w:tcBorders>
              <w:top w:val="single" w:color="000000" w:sz="4" w:space="0"/>
              <w:left w:val="single" w:color="000000" w:sz="4" w:space="0"/>
              <w:bottom w:val="single" w:color="000000" w:sz="4" w:space="0"/>
              <w:right w:val="single" w:color="auto" w:sz="4" w:space="0"/>
            </w:tcBorders>
            <w:vAlign w:val="center"/>
          </w:tcPr>
          <w:p w14:paraId="18E76DD9">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24</w:t>
            </w:r>
          </w:p>
        </w:tc>
        <w:tc>
          <w:tcPr>
            <w:tcW w:w="900" w:type="dxa"/>
            <w:tcBorders>
              <w:top w:val="single" w:color="000000" w:sz="4" w:space="0"/>
              <w:left w:val="single" w:color="000000" w:sz="4" w:space="0"/>
              <w:bottom w:val="single" w:color="000000" w:sz="4" w:space="0"/>
              <w:right w:val="single" w:color="auto" w:sz="4" w:space="0"/>
            </w:tcBorders>
            <w:vAlign w:val="center"/>
          </w:tcPr>
          <w:p w14:paraId="55369CC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5</w:t>
            </w:r>
          </w:p>
        </w:tc>
        <w:tc>
          <w:tcPr>
            <w:tcW w:w="1264" w:type="dxa"/>
            <w:tcBorders>
              <w:top w:val="single" w:color="000000" w:sz="4" w:space="0"/>
              <w:left w:val="single" w:color="auto" w:sz="4" w:space="0"/>
              <w:bottom w:val="single" w:color="000000" w:sz="4" w:space="0"/>
              <w:right w:val="single" w:color="000000" w:sz="4" w:space="0"/>
            </w:tcBorders>
            <w:vAlign w:val="center"/>
          </w:tcPr>
          <w:p w14:paraId="42097C9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莲花洋、六横台门海域</w:t>
            </w:r>
          </w:p>
        </w:tc>
      </w:tr>
      <w:tr w14:paraId="6E876F59">
        <w:tblPrEx>
          <w:tblCellMar>
            <w:top w:w="15" w:type="dxa"/>
            <w:left w:w="15" w:type="dxa"/>
            <w:bottom w:w="15" w:type="dxa"/>
            <w:right w:w="15" w:type="dxa"/>
          </w:tblCellMar>
        </w:tblPrEx>
        <w:trPr>
          <w:trHeight w:val="384"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575A93C7">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四</w:t>
            </w:r>
          </w:p>
        </w:tc>
        <w:tc>
          <w:tcPr>
            <w:tcW w:w="1129" w:type="dxa"/>
            <w:tcBorders>
              <w:top w:val="single" w:color="000000" w:sz="4" w:space="0"/>
              <w:left w:val="single" w:color="000000" w:sz="4" w:space="0"/>
              <w:bottom w:val="single" w:color="000000" w:sz="4" w:space="0"/>
              <w:right w:val="single" w:color="000000" w:sz="4" w:space="0"/>
            </w:tcBorders>
            <w:vAlign w:val="center"/>
          </w:tcPr>
          <w:p w14:paraId="4B228D4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黑鲷</w:t>
            </w:r>
          </w:p>
        </w:tc>
        <w:tc>
          <w:tcPr>
            <w:tcW w:w="1056" w:type="dxa"/>
            <w:tcBorders>
              <w:top w:val="single" w:color="000000" w:sz="4" w:space="0"/>
              <w:left w:val="single" w:color="000000" w:sz="4" w:space="0"/>
              <w:bottom w:val="single" w:color="000000" w:sz="4" w:space="0"/>
              <w:right w:val="single" w:color="000000" w:sz="4" w:space="0"/>
            </w:tcBorders>
            <w:vAlign w:val="center"/>
          </w:tcPr>
          <w:p w14:paraId="46A09CF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体</w:t>
            </w:r>
            <w:r>
              <w:rPr>
                <w:rFonts w:hint="eastAsia" w:ascii="宋体" w:hAnsi="宋体" w:eastAsia="宋体" w:cs="宋体"/>
                <w:color w:val="auto"/>
                <w:kern w:val="0"/>
                <w:sz w:val="18"/>
                <w:szCs w:val="18"/>
                <w:highlight w:val="none"/>
              </w:rPr>
              <w:t>长≥5cm</w:t>
            </w:r>
          </w:p>
        </w:tc>
        <w:tc>
          <w:tcPr>
            <w:tcW w:w="991" w:type="dxa"/>
            <w:tcBorders>
              <w:top w:val="nil"/>
              <w:left w:val="single" w:color="auto" w:sz="4" w:space="0"/>
              <w:bottom w:val="single" w:color="auto" w:sz="4" w:space="0"/>
              <w:right w:val="single" w:color="auto" w:sz="4" w:space="0"/>
            </w:tcBorders>
            <w:vAlign w:val="center"/>
          </w:tcPr>
          <w:p w14:paraId="57D3EF4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0.35</w:t>
            </w:r>
          </w:p>
        </w:tc>
        <w:tc>
          <w:tcPr>
            <w:tcW w:w="825" w:type="dxa"/>
            <w:tcBorders>
              <w:top w:val="single" w:color="000000" w:sz="4" w:space="0"/>
              <w:left w:val="single" w:color="000000" w:sz="4" w:space="0"/>
              <w:bottom w:val="single" w:color="000000" w:sz="4" w:space="0"/>
              <w:right w:val="single" w:color="000000" w:sz="4" w:space="0"/>
            </w:tcBorders>
            <w:vAlign w:val="center"/>
          </w:tcPr>
          <w:p w14:paraId="57D4082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125</w:t>
            </w:r>
          </w:p>
        </w:tc>
        <w:tc>
          <w:tcPr>
            <w:tcW w:w="1072" w:type="dxa"/>
            <w:tcBorders>
              <w:top w:val="single" w:color="000000" w:sz="4" w:space="0"/>
              <w:bottom w:val="single" w:color="000000" w:sz="4" w:space="0"/>
              <w:right w:val="single" w:color="auto" w:sz="4" w:space="0"/>
            </w:tcBorders>
            <w:vAlign w:val="center"/>
          </w:tcPr>
          <w:p w14:paraId="4E112E9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357.1</w:t>
            </w:r>
          </w:p>
        </w:tc>
        <w:tc>
          <w:tcPr>
            <w:tcW w:w="889" w:type="dxa"/>
            <w:tcBorders>
              <w:top w:val="single" w:color="000000" w:sz="4" w:space="0"/>
              <w:left w:val="single" w:color="auto" w:sz="4" w:space="0"/>
              <w:bottom w:val="single" w:color="000000" w:sz="4" w:space="0"/>
              <w:right w:val="single" w:color="000000" w:sz="4" w:space="0"/>
            </w:tcBorders>
            <w:vAlign w:val="center"/>
          </w:tcPr>
          <w:p w14:paraId="3386DAD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25" w:type="dxa"/>
            <w:tcBorders>
              <w:top w:val="single" w:color="000000" w:sz="4" w:space="0"/>
              <w:left w:val="single" w:color="000000" w:sz="4" w:space="0"/>
              <w:bottom w:val="single" w:color="000000" w:sz="4" w:space="0"/>
              <w:right w:val="single" w:color="auto" w:sz="4" w:space="0"/>
            </w:tcBorders>
            <w:vAlign w:val="center"/>
          </w:tcPr>
          <w:p w14:paraId="722010B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65</w:t>
            </w:r>
          </w:p>
        </w:tc>
        <w:tc>
          <w:tcPr>
            <w:tcW w:w="675" w:type="dxa"/>
            <w:tcBorders>
              <w:top w:val="single" w:color="000000" w:sz="4" w:space="0"/>
              <w:left w:val="single" w:color="000000" w:sz="4" w:space="0"/>
              <w:bottom w:val="single" w:color="000000" w:sz="4" w:space="0"/>
              <w:right w:val="single" w:color="auto" w:sz="4" w:space="0"/>
            </w:tcBorders>
            <w:vAlign w:val="center"/>
          </w:tcPr>
          <w:p w14:paraId="1D7D65A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60</w:t>
            </w:r>
          </w:p>
        </w:tc>
        <w:tc>
          <w:tcPr>
            <w:tcW w:w="900" w:type="dxa"/>
            <w:tcBorders>
              <w:top w:val="single" w:color="000000" w:sz="4" w:space="0"/>
              <w:left w:val="single" w:color="000000" w:sz="4" w:space="0"/>
              <w:bottom w:val="single" w:color="000000" w:sz="4" w:space="0"/>
              <w:right w:val="single" w:color="auto" w:sz="4" w:space="0"/>
            </w:tcBorders>
            <w:vAlign w:val="center"/>
          </w:tcPr>
          <w:p w14:paraId="6A9251F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5-</w:t>
            </w:r>
            <w:r>
              <w:rPr>
                <w:rFonts w:hint="eastAsia" w:ascii="宋体" w:hAnsi="宋体" w:eastAsia="宋体" w:cs="宋体"/>
                <w:color w:val="auto"/>
                <w:kern w:val="0"/>
                <w:sz w:val="18"/>
                <w:szCs w:val="18"/>
                <w:lang w:val="en-US" w:eastAsia="zh-CN"/>
              </w:rPr>
              <w:t>8</w:t>
            </w:r>
          </w:p>
        </w:tc>
        <w:tc>
          <w:tcPr>
            <w:tcW w:w="1264" w:type="dxa"/>
            <w:tcBorders>
              <w:top w:val="single" w:color="000000" w:sz="4" w:space="0"/>
              <w:left w:val="single" w:color="auto" w:sz="4" w:space="0"/>
              <w:bottom w:val="single" w:color="000000" w:sz="4" w:space="0"/>
              <w:right w:val="single" w:color="000000" w:sz="4" w:space="0"/>
            </w:tcBorders>
            <w:vAlign w:val="center"/>
          </w:tcPr>
          <w:p w14:paraId="72D7D4C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白沙海洋牧场、桃花海洋牧场</w:t>
            </w:r>
          </w:p>
        </w:tc>
      </w:tr>
      <w:tr w14:paraId="10FCF7CA">
        <w:tblPrEx>
          <w:tblCellMar>
            <w:top w:w="15" w:type="dxa"/>
            <w:left w:w="15" w:type="dxa"/>
            <w:bottom w:w="15" w:type="dxa"/>
            <w:right w:w="15" w:type="dxa"/>
          </w:tblCellMar>
        </w:tblPrEx>
        <w:trPr>
          <w:trHeight w:val="324"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39D50F74">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五</w:t>
            </w:r>
          </w:p>
        </w:tc>
        <w:tc>
          <w:tcPr>
            <w:tcW w:w="1129" w:type="dxa"/>
            <w:tcBorders>
              <w:top w:val="single" w:color="000000" w:sz="4" w:space="0"/>
              <w:left w:val="single" w:color="000000" w:sz="4" w:space="0"/>
              <w:bottom w:val="single" w:color="000000" w:sz="4" w:space="0"/>
              <w:right w:val="single" w:color="000000" w:sz="4" w:space="0"/>
            </w:tcBorders>
            <w:vAlign w:val="center"/>
          </w:tcPr>
          <w:p w14:paraId="3CEBEF33">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黄姑鱼</w:t>
            </w:r>
          </w:p>
        </w:tc>
        <w:tc>
          <w:tcPr>
            <w:tcW w:w="1056" w:type="dxa"/>
            <w:tcBorders>
              <w:top w:val="single" w:color="000000" w:sz="4" w:space="0"/>
              <w:left w:val="single" w:color="000000" w:sz="4" w:space="0"/>
              <w:bottom w:val="single" w:color="000000" w:sz="4" w:space="0"/>
              <w:right w:val="single" w:color="000000" w:sz="4" w:space="0"/>
            </w:tcBorders>
            <w:vAlign w:val="center"/>
          </w:tcPr>
          <w:p w14:paraId="1E6CC37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体长≥5cm</w:t>
            </w:r>
          </w:p>
        </w:tc>
        <w:tc>
          <w:tcPr>
            <w:tcW w:w="991" w:type="dxa"/>
            <w:tcBorders>
              <w:top w:val="nil"/>
              <w:left w:val="nil"/>
              <w:bottom w:val="single" w:color="auto" w:sz="4" w:space="0"/>
              <w:right w:val="single" w:color="auto" w:sz="4" w:space="0"/>
            </w:tcBorders>
            <w:vAlign w:val="center"/>
          </w:tcPr>
          <w:p w14:paraId="0E11CDB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0.</w:t>
            </w:r>
            <w:r>
              <w:rPr>
                <w:rFonts w:hint="eastAsia" w:ascii="宋体" w:hAnsi="宋体" w:eastAsia="宋体" w:cs="宋体"/>
                <w:color w:val="auto"/>
                <w:kern w:val="0"/>
                <w:sz w:val="18"/>
                <w:szCs w:val="18"/>
                <w:highlight w:val="none"/>
                <w:lang w:val="en-US" w:eastAsia="zh-CN"/>
              </w:rPr>
              <w:t>4</w:t>
            </w:r>
          </w:p>
        </w:tc>
        <w:tc>
          <w:tcPr>
            <w:tcW w:w="825" w:type="dxa"/>
            <w:tcBorders>
              <w:top w:val="single" w:color="000000" w:sz="4" w:space="0"/>
              <w:left w:val="single" w:color="000000" w:sz="4" w:space="0"/>
              <w:bottom w:val="single" w:color="000000" w:sz="4" w:space="0"/>
              <w:right w:val="single" w:color="000000" w:sz="4" w:space="0"/>
            </w:tcBorders>
            <w:vAlign w:val="center"/>
          </w:tcPr>
          <w:p w14:paraId="57FE097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32</w:t>
            </w:r>
          </w:p>
        </w:tc>
        <w:tc>
          <w:tcPr>
            <w:tcW w:w="1072" w:type="dxa"/>
            <w:tcBorders>
              <w:top w:val="single" w:color="000000" w:sz="4" w:space="0"/>
              <w:bottom w:val="single" w:color="000000" w:sz="4" w:space="0"/>
              <w:right w:val="single" w:color="auto" w:sz="4" w:space="0"/>
            </w:tcBorders>
            <w:vAlign w:val="center"/>
          </w:tcPr>
          <w:p w14:paraId="211DCA9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80</w:t>
            </w:r>
          </w:p>
        </w:tc>
        <w:tc>
          <w:tcPr>
            <w:tcW w:w="889" w:type="dxa"/>
            <w:tcBorders>
              <w:top w:val="single" w:color="000000" w:sz="4" w:space="0"/>
              <w:left w:val="single" w:color="auto" w:sz="4" w:space="0"/>
              <w:bottom w:val="single" w:color="000000" w:sz="4" w:space="0"/>
              <w:right w:val="single" w:color="000000" w:sz="4" w:space="0"/>
            </w:tcBorders>
            <w:vAlign w:val="center"/>
          </w:tcPr>
          <w:p w14:paraId="530A592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w:t>
            </w:r>
          </w:p>
        </w:tc>
        <w:tc>
          <w:tcPr>
            <w:tcW w:w="525" w:type="dxa"/>
            <w:tcBorders>
              <w:top w:val="single" w:color="000000" w:sz="4" w:space="0"/>
              <w:left w:val="single" w:color="000000" w:sz="4" w:space="0"/>
              <w:bottom w:val="single" w:color="000000" w:sz="4" w:space="0"/>
              <w:right w:val="single" w:color="auto" w:sz="4" w:space="0"/>
            </w:tcBorders>
            <w:vAlign w:val="center"/>
          </w:tcPr>
          <w:p w14:paraId="14B633E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32</w:t>
            </w:r>
          </w:p>
        </w:tc>
        <w:tc>
          <w:tcPr>
            <w:tcW w:w="675" w:type="dxa"/>
            <w:tcBorders>
              <w:top w:val="single" w:color="000000" w:sz="4" w:space="0"/>
              <w:left w:val="single" w:color="000000" w:sz="4" w:space="0"/>
              <w:bottom w:val="single" w:color="000000" w:sz="4" w:space="0"/>
              <w:right w:val="single" w:color="auto" w:sz="4" w:space="0"/>
            </w:tcBorders>
            <w:vAlign w:val="center"/>
          </w:tcPr>
          <w:p w14:paraId="53EDBB0F">
            <w:pPr>
              <w:widowControl/>
              <w:jc w:val="left"/>
              <w:rPr>
                <w:rFonts w:hint="default" w:ascii="宋体" w:hAnsi="宋体" w:eastAsia="宋体" w:cs="宋体"/>
                <w:color w:val="auto"/>
                <w:kern w:val="0"/>
                <w:sz w:val="18"/>
                <w:szCs w:val="18"/>
                <w:lang w:val="en-US" w:eastAsia="zh-CN"/>
              </w:rPr>
            </w:pPr>
            <w:r>
              <w:rPr>
                <w:rFonts w:hint="eastAsia" w:ascii="宋体" w:hAnsi="宋体" w:eastAsia="宋体" w:cs="宋体"/>
                <w:color w:val="auto"/>
                <w:kern w:val="0"/>
                <w:sz w:val="18"/>
                <w:szCs w:val="18"/>
                <w:lang w:val="en-US" w:eastAsia="zh-CN"/>
              </w:rPr>
              <w:t xml:space="preserve">   -</w:t>
            </w:r>
          </w:p>
        </w:tc>
        <w:tc>
          <w:tcPr>
            <w:tcW w:w="900" w:type="dxa"/>
            <w:tcBorders>
              <w:top w:val="single" w:color="000000" w:sz="4" w:space="0"/>
              <w:left w:val="single" w:color="000000" w:sz="4" w:space="0"/>
              <w:bottom w:val="single" w:color="000000" w:sz="4" w:space="0"/>
              <w:right w:val="single" w:color="auto" w:sz="4" w:space="0"/>
            </w:tcBorders>
            <w:vAlign w:val="center"/>
          </w:tcPr>
          <w:p w14:paraId="30D2E80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6-8</w:t>
            </w:r>
          </w:p>
        </w:tc>
        <w:tc>
          <w:tcPr>
            <w:tcW w:w="1264" w:type="dxa"/>
            <w:tcBorders>
              <w:top w:val="single" w:color="000000" w:sz="4" w:space="0"/>
              <w:left w:val="single" w:color="auto" w:sz="4" w:space="0"/>
              <w:bottom w:val="single" w:color="000000" w:sz="4" w:space="0"/>
              <w:right w:val="single" w:color="000000" w:sz="4" w:space="0"/>
            </w:tcBorders>
            <w:vAlign w:val="center"/>
          </w:tcPr>
          <w:p w14:paraId="3DEB726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莲花洋</w:t>
            </w:r>
          </w:p>
        </w:tc>
      </w:tr>
      <w:tr w14:paraId="76787692">
        <w:tblPrEx>
          <w:tblCellMar>
            <w:top w:w="15" w:type="dxa"/>
            <w:left w:w="15" w:type="dxa"/>
            <w:bottom w:w="15" w:type="dxa"/>
            <w:right w:w="15" w:type="dxa"/>
          </w:tblCellMar>
        </w:tblPrEx>
        <w:trPr>
          <w:trHeight w:val="368"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2BC63CB8">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六</w:t>
            </w:r>
          </w:p>
        </w:tc>
        <w:tc>
          <w:tcPr>
            <w:tcW w:w="1129" w:type="dxa"/>
            <w:tcBorders>
              <w:top w:val="single" w:color="000000" w:sz="4" w:space="0"/>
              <w:left w:val="single" w:color="000000" w:sz="4" w:space="0"/>
              <w:bottom w:val="single" w:color="000000" w:sz="4" w:space="0"/>
              <w:right w:val="single" w:color="000000" w:sz="4" w:space="0"/>
            </w:tcBorders>
            <w:vAlign w:val="center"/>
          </w:tcPr>
          <w:p w14:paraId="3091D72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三疣梭子蟹</w:t>
            </w:r>
          </w:p>
        </w:tc>
        <w:tc>
          <w:tcPr>
            <w:tcW w:w="1056" w:type="dxa"/>
            <w:tcBorders>
              <w:top w:val="single" w:color="000000" w:sz="4" w:space="0"/>
              <w:left w:val="single" w:color="000000" w:sz="4" w:space="0"/>
              <w:bottom w:val="single" w:color="000000" w:sz="4" w:space="0"/>
              <w:right w:val="single" w:color="000000" w:sz="4" w:space="0"/>
            </w:tcBorders>
            <w:vAlign w:val="center"/>
          </w:tcPr>
          <w:p w14:paraId="17F2ADE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仔蟹</w:t>
            </w:r>
            <w:r>
              <w:rPr>
                <w:rFonts w:hint="eastAsia" w:ascii="宋体" w:hAnsi="宋体" w:eastAsia="宋体" w:cs="宋体"/>
                <w:color w:val="auto"/>
                <w:kern w:val="0"/>
                <w:sz w:val="18"/>
                <w:szCs w:val="18"/>
                <w:highlight w:val="none"/>
              </w:rPr>
              <w:t>Ⅲ期</w:t>
            </w:r>
            <w:r>
              <w:rPr>
                <w:rFonts w:hint="eastAsia" w:ascii="宋体" w:hAnsi="宋体" w:eastAsia="宋体" w:cs="宋体"/>
                <w:color w:val="auto"/>
                <w:kern w:val="0"/>
                <w:sz w:val="18"/>
                <w:szCs w:val="18"/>
                <w:highlight w:val="none"/>
                <w:vertAlign w:val="superscript"/>
              </w:rPr>
              <w:t>＊</w:t>
            </w:r>
          </w:p>
        </w:tc>
        <w:tc>
          <w:tcPr>
            <w:tcW w:w="991" w:type="dxa"/>
            <w:tcBorders>
              <w:top w:val="nil"/>
              <w:left w:val="nil"/>
              <w:bottom w:val="single" w:color="auto" w:sz="4" w:space="0"/>
              <w:right w:val="single" w:color="auto" w:sz="4" w:space="0"/>
            </w:tcBorders>
            <w:vAlign w:val="center"/>
          </w:tcPr>
          <w:p w14:paraId="20250EB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0.1</w:t>
            </w:r>
          </w:p>
        </w:tc>
        <w:tc>
          <w:tcPr>
            <w:tcW w:w="825" w:type="dxa"/>
            <w:tcBorders>
              <w:top w:val="single" w:color="000000" w:sz="4" w:space="0"/>
              <w:left w:val="single" w:color="000000" w:sz="4" w:space="0"/>
              <w:bottom w:val="single" w:color="000000" w:sz="4" w:space="0"/>
              <w:right w:val="single" w:color="000000" w:sz="4" w:space="0"/>
            </w:tcBorders>
            <w:vAlign w:val="center"/>
          </w:tcPr>
          <w:p w14:paraId="6819F76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51</w:t>
            </w:r>
          </w:p>
        </w:tc>
        <w:tc>
          <w:tcPr>
            <w:tcW w:w="1072" w:type="dxa"/>
            <w:tcBorders>
              <w:top w:val="single" w:color="000000" w:sz="4" w:space="0"/>
              <w:bottom w:val="single" w:color="000000" w:sz="4" w:space="0"/>
              <w:right w:val="single" w:color="auto" w:sz="4" w:space="0"/>
            </w:tcBorders>
            <w:vAlign w:val="center"/>
          </w:tcPr>
          <w:p w14:paraId="4236545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510</w:t>
            </w:r>
          </w:p>
        </w:tc>
        <w:tc>
          <w:tcPr>
            <w:tcW w:w="889" w:type="dxa"/>
            <w:tcBorders>
              <w:top w:val="single" w:color="000000" w:sz="4" w:space="0"/>
              <w:left w:val="single" w:color="auto" w:sz="4" w:space="0"/>
              <w:bottom w:val="single" w:color="000000" w:sz="4" w:space="0"/>
              <w:right w:val="single" w:color="000000" w:sz="4" w:space="0"/>
            </w:tcBorders>
            <w:vAlign w:val="center"/>
          </w:tcPr>
          <w:p w14:paraId="11CD954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25" w:type="dxa"/>
            <w:tcBorders>
              <w:top w:val="single" w:color="000000" w:sz="4" w:space="0"/>
              <w:left w:val="single" w:color="000000" w:sz="4" w:space="0"/>
              <w:bottom w:val="single" w:color="000000" w:sz="4" w:space="0"/>
              <w:right w:val="single" w:color="auto" w:sz="4" w:space="0"/>
            </w:tcBorders>
            <w:vAlign w:val="center"/>
          </w:tcPr>
          <w:p w14:paraId="56FF37B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28</w:t>
            </w:r>
          </w:p>
        </w:tc>
        <w:tc>
          <w:tcPr>
            <w:tcW w:w="675" w:type="dxa"/>
            <w:tcBorders>
              <w:top w:val="single" w:color="000000" w:sz="4" w:space="0"/>
              <w:left w:val="single" w:color="000000" w:sz="4" w:space="0"/>
              <w:bottom w:val="single" w:color="000000" w:sz="4" w:space="0"/>
              <w:right w:val="single" w:color="auto" w:sz="4" w:space="0"/>
            </w:tcBorders>
            <w:vAlign w:val="center"/>
          </w:tcPr>
          <w:p w14:paraId="6D04468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23</w:t>
            </w:r>
          </w:p>
        </w:tc>
        <w:tc>
          <w:tcPr>
            <w:tcW w:w="900" w:type="dxa"/>
            <w:tcBorders>
              <w:top w:val="single" w:color="000000" w:sz="4" w:space="0"/>
              <w:left w:val="single" w:color="000000" w:sz="4" w:space="0"/>
              <w:bottom w:val="single" w:color="000000" w:sz="4" w:space="0"/>
              <w:right w:val="single" w:color="auto" w:sz="4" w:space="0"/>
            </w:tcBorders>
            <w:vAlign w:val="center"/>
          </w:tcPr>
          <w:p w14:paraId="7F9D706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5-7</w:t>
            </w:r>
          </w:p>
        </w:tc>
        <w:tc>
          <w:tcPr>
            <w:tcW w:w="1264" w:type="dxa"/>
            <w:tcBorders>
              <w:top w:val="single" w:color="000000" w:sz="4" w:space="0"/>
              <w:left w:val="single" w:color="auto" w:sz="4" w:space="0"/>
              <w:bottom w:val="single" w:color="000000" w:sz="4" w:space="0"/>
              <w:right w:val="single" w:color="000000" w:sz="4" w:space="0"/>
            </w:tcBorders>
            <w:vAlign w:val="center"/>
          </w:tcPr>
          <w:p w14:paraId="5635040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 xml:space="preserve">莲花洋 </w:t>
            </w:r>
          </w:p>
        </w:tc>
      </w:tr>
      <w:tr w14:paraId="05F036CA">
        <w:trPr>
          <w:trHeight w:val="340" w:hRule="atLeast"/>
        </w:trPr>
        <w:tc>
          <w:tcPr>
            <w:tcW w:w="527" w:type="dxa"/>
            <w:tcBorders>
              <w:top w:val="single" w:color="000000" w:sz="4" w:space="0"/>
              <w:left w:val="single" w:color="000000" w:sz="4" w:space="0"/>
              <w:bottom w:val="single" w:color="000000" w:sz="4" w:space="0"/>
              <w:right w:val="single" w:color="000000" w:sz="4" w:space="0"/>
            </w:tcBorders>
            <w:vAlign w:val="center"/>
          </w:tcPr>
          <w:p w14:paraId="604ED208">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七</w:t>
            </w:r>
          </w:p>
        </w:tc>
        <w:tc>
          <w:tcPr>
            <w:tcW w:w="1129" w:type="dxa"/>
            <w:tcBorders>
              <w:top w:val="single" w:color="000000" w:sz="4" w:space="0"/>
              <w:left w:val="single" w:color="000000" w:sz="4" w:space="0"/>
              <w:bottom w:val="single" w:color="000000" w:sz="4" w:space="0"/>
              <w:right w:val="single" w:color="000000" w:sz="4" w:space="0"/>
            </w:tcBorders>
            <w:vAlign w:val="center"/>
          </w:tcPr>
          <w:p w14:paraId="2A68C67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eastAsia="zh-CN"/>
              </w:rPr>
              <w:t>褐菖鲉</w:t>
            </w:r>
          </w:p>
        </w:tc>
        <w:tc>
          <w:tcPr>
            <w:tcW w:w="1056" w:type="dxa"/>
            <w:tcBorders>
              <w:top w:val="single" w:color="000000" w:sz="4" w:space="0"/>
              <w:left w:val="single" w:color="000000" w:sz="4" w:space="0"/>
              <w:bottom w:val="single" w:color="000000" w:sz="4" w:space="0"/>
              <w:right w:val="single" w:color="000000" w:sz="4" w:space="0"/>
            </w:tcBorders>
            <w:vAlign w:val="center"/>
          </w:tcPr>
          <w:p w14:paraId="06234F1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体</w:t>
            </w:r>
            <w:r>
              <w:rPr>
                <w:rFonts w:hint="eastAsia" w:ascii="宋体" w:hAnsi="宋体" w:eastAsia="宋体" w:cs="宋体"/>
                <w:color w:val="auto"/>
                <w:kern w:val="0"/>
                <w:sz w:val="18"/>
                <w:szCs w:val="18"/>
                <w:highlight w:val="none"/>
              </w:rPr>
              <w:t>长≥</w:t>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cm</w:t>
            </w:r>
          </w:p>
        </w:tc>
        <w:tc>
          <w:tcPr>
            <w:tcW w:w="991" w:type="dxa"/>
            <w:tcBorders>
              <w:top w:val="nil"/>
              <w:left w:val="single" w:color="auto" w:sz="4" w:space="0"/>
              <w:bottom w:val="single" w:color="auto" w:sz="4" w:space="0"/>
              <w:right w:val="single" w:color="auto" w:sz="4" w:space="0"/>
            </w:tcBorders>
            <w:vAlign w:val="center"/>
          </w:tcPr>
          <w:p w14:paraId="0A0EB765">
            <w:pPr>
              <w:widowControl/>
              <w:jc w:val="center"/>
              <w:rPr>
                <w:rFonts w:hint="eastAsia" w:ascii="宋体" w:hAnsi="宋体" w:eastAsia="宋体" w:cs="宋体"/>
                <w:color w:val="auto"/>
                <w:kern w:val="0"/>
                <w:sz w:val="18"/>
                <w:szCs w:val="18"/>
              </w:rPr>
            </w:pPr>
            <w:r>
              <w:rPr>
                <w:rFonts w:hint="eastAsia" w:ascii="宋体" w:hAnsi="宋体" w:eastAsia="宋体" w:cs="宋体"/>
                <w:b w:val="0"/>
                <w:bCs w:val="0"/>
                <w:color w:val="auto"/>
                <w:kern w:val="0"/>
                <w:sz w:val="18"/>
                <w:szCs w:val="18"/>
                <w:highlight w:val="none"/>
                <w:lang w:val="en-US" w:eastAsia="zh-CN"/>
              </w:rPr>
              <w:t>2.5</w:t>
            </w:r>
          </w:p>
        </w:tc>
        <w:tc>
          <w:tcPr>
            <w:tcW w:w="825" w:type="dxa"/>
            <w:tcBorders>
              <w:top w:val="single" w:color="000000" w:sz="4" w:space="0"/>
              <w:left w:val="single" w:color="000000" w:sz="4" w:space="0"/>
              <w:bottom w:val="single" w:color="000000" w:sz="4" w:space="0"/>
              <w:right w:val="single" w:color="000000" w:sz="4" w:space="0"/>
            </w:tcBorders>
            <w:vAlign w:val="center"/>
          </w:tcPr>
          <w:p w14:paraId="7DD1EBE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40</w:t>
            </w:r>
          </w:p>
        </w:tc>
        <w:tc>
          <w:tcPr>
            <w:tcW w:w="1072" w:type="dxa"/>
            <w:tcBorders>
              <w:top w:val="single" w:color="000000" w:sz="4" w:space="0"/>
              <w:bottom w:val="single" w:color="000000" w:sz="4" w:space="0"/>
              <w:right w:val="single" w:color="auto" w:sz="4" w:space="0"/>
            </w:tcBorders>
            <w:vAlign w:val="center"/>
          </w:tcPr>
          <w:p w14:paraId="54EF1E8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16</w:t>
            </w:r>
          </w:p>
        </w:tc>
        <w:tc>
          <w:tcPr>
            <w:tcW w:w="889" w:type="dxa"/>
            <w:tcBorders>
              <w:top w:val="single" w:color="000000" w:sz="4" w:space="0"/>
              <w:left w:val="single" w:color="auto" w:sz="4" w:space="0"/>
              <w:bottom w:val="single" w:color="000000" w:sz="4" w:space="0"/>
              <w:right w:val="single" w:color="000000" w:sz="4" w:space="0"/>
            </w:tcBorders>
            <w:vAlign w:val="center"/>
          </w:tcPr>
          <w:p w14:paraId="6E819D6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w:t>
            </w:r>
          </w:p>
        </w:tc>
        <w:tc>
          <w:tcPr>
            <w:tcW w:w="525" w:type="dxa"/>
            <w:tcBorders>
              <w:top w:val="single" w:color="000000" w:sz="4" w:space="0"/>
              <w:left w:val="single" w:color="000000" w:sz="4" w:space="0"/>
              <w:bottom w:val="single" w:color="000000" w:sz="4" w:space="0"/>
              <w:right w:val="single" w:color="auto" w:sz="4" w:space="0"/>
            </w:tcBorders>
            <w:vAlign w:val="center"/>
          </w:tcPr>
          <w:p w14:paraId="687C3F3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40</w:t>
            </w:r>
          </w:p>
        </w:tc>
        <w:tc>
          <w:tcPr>
            <w:tcW w:w="675" w:type="dxa"/>
            <w:tcBorders>
              <w:top w:val="single" w:color="000000" w:sz="4" w:space="0"/>
              <w:left w:val="single" w:color="000000" w:sz="4" w:space="0"/>
              <w:bottom w:val="single" w:color="000000" w:sz="4" w:space="0"/>
              <w:right w:val="single" w:color="auto" w:sz="4" w:space="0"/>
            </w:tcBorders>
            <w:vAlign w:val="center"/>
          </w:tcPr>
          <w:p w14:paraId="4F3CD1F3">
            <w:pPr>
              <w:widowControl/>
              <w:jc w:val="center"/>
              <w:rPr>
                <w:rFonts w:hint="eastAsia" w:ascii="宋体" w:hAnsi="宋体" w:eastAsia="宋体" w:cs="宋体"/>
                <w:color w:val="auto"/>
                <w:kern w:val="0"/>
                <w:sz w:val="18"/>
                <w:szCs w:val="18"/>
                <w:lang w:val="en-US" w:eastAsia="zh-CN"/>
              </w:rPr>
            </w:pPr>
            <w:r>
              <w:rPr>
                <w:rFonts w:hint="eastAsia" w:ascii="宋体" w:hAnsi="宋体" w:eastAsia="宋体" w:cs="宋体"/>
                <w:color w:val="auto"/>
                <w:kern w:val="0"/>
                <w:sz w:val="18"/>
                <w:szCs w:val="18"/>
                <w:lang w:val="en-US" w:eastAsia="zh-CN"/>
              </w:rPr>
              <w:t>-</w:t>
            </w:r>
          </w:p>
        </w:tc>
        <w:tc>
          <w:tcPr>
            <w:tcW w:w="900" w:type="dxa"/>
            <w:tcBorders>
              <w:top w:val="single" w:color="000000" w:sz="4" w:space="0"/>
              <w:left w:val="single" w:color="000000" w:sz="4" w:space="0"/>
              <w:bottom w:val="single" w:color="000000" w:sz="4" w:space="0"/>
              <w:right w:val="single" w:color="auto" w:sz="4" w:space="0"/>
            </w:tcBorders>
            <w:vAlign w:val="center"/>
          </w:tcPr>
          <w:p w14:paraId="3FDA6C4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5-8</w:t>
            </w:r>
          </w:p>
        </w:tc>
        <w:tc>
          <w:tcPr>
            <w:tcW w:w="1264" w:type="dxa"/>
            <w:tcBorders>
              <w:top w:val="single" w:color="000000" w:sz="4" w:space="0"/>
              <w:left w:val="single" w:color="auto" w:sz="4" w:space="0"/>
              <w:bottom w:val="single" w:color="000000" w:sz="4" w:space="0"/>
              <w:right w:val="single" w:color="000000" w:sz="4" w:space="0"/>
            </w:tcBorders>
            <w:vAlign w:val="center"/>
          </w:tcPr>
          <w:p w14:paraId="3915A29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东极海洋牧场、白沙海洋牧场</w:t>
            </w:r>
          </w:p>
        </w:tc>
      </w:tr>
      <w:bookmarkEnd w:id="4"/>
    </w:tbl>
    <w:p w14:paraId="1917EDB3">
      <w:pPr>
        <w:snapToGrid w:val="0"/>
        <w:rPr>
          <w:rFonts w:hint="eastAsia" w:ascii="宋体" w:hAnsi="宋体" w:eastAsia="宋体" w:cs="Times New Roman"/>
          <w:b/>
          <w:color w:val="auto"/>
          <w:szCs w:val="21"/>
        </w:rPr>
      </w:pPr>
    </w:p>
    <w:p w14:paraId="06FEC4E0">
      <w:pPr>
        <w:spacing w:line="312" w:lineRule="auto"/>
        <w:ind w:firstLine="422" w:firstLineChars="200"/>
        <w:rPr>
          <w:rFonts w:hint="eastAsia" w:ascii="宋体" w:hAnsi="宋体" w:eastAsia="宋体"/>
          <w:b/>
          <w:color w:val="auto"/>
          <w:szCs w:val="21"/>
        </w:rPr>
      </w:pPr>
      <w:r>
        <w:rPr>
          <w:rFonts w:hint="eastAsia" w:ascii="宋体" w:hAnsi="宋体" w:eastAsia="宋体"/>
          <w:b/>
          <w:color w:val="auto"/>
          <w:szCs w:val="21"/>
        </w:rPr>
        <w:t>备注：表中苗种单位为尾、粒、个、只等表示单个苗种的单位。表中“＊”表示三疣梭子蟹放流规格为仔蟹Ⅱ-Ⅳ期，以仔蟹Ⅲ期为主，其中仔蟹Ⅱ期参考单价为0.06元/单位，仔蟹Ⅳ期参考单价为0.2元/单位，按具体放流比例结算价格。</w:t>
      </w:r>
    </w:p>
    <w:p w14:paraId="6DDB3F3F">
      <w:pPr>
        <w:spacing w:line="312" w:lineRule="auto"/>
        <w:ind w:firstLine="422" w:firstLineChars="200"/>
        <w:rPr>
          <w:rFonts w:hint="eastAsia" w:ascii="宋体" w:hAnsi="宋体" w:eastAsia="宋体" w:cs="宋体"/>
          <w:b/>
          <w:color w:val="auto"/>
          <w:kern w:val="0"/>
          <w:szCs w:val="21"/>
        </w:rPr>
      </w:pPr>
      <w:r>
        <w:rPr>
          <w:rFonts w:hint="eastAsia" w:ascii="宋体" w:hAnsi="宋体" w:eastAsia="宋体"/>
          <w:b/>
          <w:color w:val="auto"/>
          <w:szCs w:val="21"/>
        </w:rPr>
        <w:t>投标人可以进行一个标项或多个标项的投标。</w:t>
      </w:r>
      <w:r>
        <w:rPr>
          <w:rFonts w:hint="eastAsia" w:ascii="宋体" w:hAnsi="宋体" w:eastAsia="宋体" w:cs="宋体"/>
          <w:b/>
          <w:color w:val="auto"/>
          <w:kern w:val="0"/>
          <w:szCs w:val="21"/>
        </w:rPr>
        <w:t>曼氏无针乌贼受精卵报价中应包含在放流海区受精卵待孵化期间的管理费。</w:t>
      </w:r>
    </w:p>
    <w:p w14:paraId="3486369D">
      <w:pPr>
        <w:pStyle w:val="26"/>
        <w:ind w:firstLine="210"/>
        <w:rPr>
          <w:color w:val="auto"/>
        </w:rPr>
      </w:pPr>
    </w:p>
    <w:p w14:paraId="4B9EF0E5">
      <w:pPr>
        <w:spacing w:line="312" w:lineRule="auto"/>
        <w:rPr>
          <w:rFonts w:hint="eastAsia" w:ascii="宋体" w:hAnsi="宋体" w:eastAsia="宋体" w:cs="宋体"/>
          <w:b/>
          <w:color w:val="auto"/>
          <w:sz w:val="24"/>
          <w:szCs w:val="24"/>
        </w:rPr>
      </w:pPr>
      <w:r>
        <w:rPr>
          <w:rFonts w:hint="eastAsia" w:ascii="宋体" w:hAnsi="宋体" w:eastAsia="宋体" w:cs="宋体"/>
          <w:b/>
          <w:color w:val="auto"/>
          <w:sz w:val="24"/>
          <w:szCs w:val="24"/>
        </w:rPr>
        <w:t>三、具体要求</w:t>
      </w:r>
    </w:p>
    <w:p w14:paraId="2E87D0F5">
      <w:pPr>
        <w:spacing w:line="312" w:lineRule="auto"/>
        <w:ind w:firstLine="207" w:firstLineChars="98"/>
        <w:rPr>
          <w:rFonts w:hint="eastAsia" w:ascii="宋体" w:hAnsi="宋体" w:eastAsia="宋体" w:cs="宋体"/>
          <w:b/>
          <w:color w:val="auto"/>
          <w:szCs w:val="21"/>
        </w:rPr>
      </w:pPr>
      <w:r>
        <w:rPr>
          <w:rFonts w:hint="eastAsia" w:ascii="宋体" w:hAnsi="宋体" w:eastAsia="宋体" w:cs="宋体"/>
          <w:b/>
          <w:color w:val="auto"/>
          <w:szCs w:val="21"/>
        </w:rPr>
        <w:t>★1.参加投标的单位具有繁育上述放流种类的种苗生产许可证及相关工商登记证书的单位。并满足《浙江省增殖放流规程》规定的供苗单位基本要求：</w:t>
      </w:r>
    </w:p>
    <w:p w14:paraId="793498D9">
      <w:pPr>
        <w:spacing w:line="312" w:lineRule="auto"/>
        <w:ind w:firstLine="413" w:firstLineChars="196"/>
        <w:rPr>
          <w:rFonts w:hint="default" w:ascii="宋体" w:hAnsi="宋体" w:eastAsia="宋体" w:cs="宋体"/>
          <w:b/>
          <w:color w:val="auto"/>
          <w:szCs w:val="21"/>
          <w:lang w:val="en-US" w:eastAsia="zh-CN"/>
        </w:rPr>
      </w:pPr>
      <w:r>
        <w:rPr>
          <w:rFonts w:hint="eastAsia" w:ascii="宋体" w:hAnsi="宋体" w:eastAsia="宋体" w:cs="宋体"/>
          <w:b/>
          <w:color w:val="auto"/>
          <w:szCs w:val="21"/>
        </w:rPr>
        <w:t>1.1单位资质。苗种生产单位必须是在中华人民共和国境内从事水产苗种繁育的单位，且持有放流品种的水产种苗生产许可证。苗种生产单位</w:t>
      </w:r>
      <w:r>
        <w:rPr>
          <w:rFonts w:hint="eastAsia" w:ascii="宋体" w:hAnsi="宋体" w:eastAsia="宋体" w:cs="宋体"/>
          <w:b/>
          <w:color w:val="auto"/>
          <w:szCs w:val="21"/>
          <w:lang w:val="en-US" w:eastAsia="zh-CN"/>
        </w:rPr>
        <w:t>需按相关规定申报增殖放流物种和最大供苗数量等信息，且纳入增殖放流苗种供应体系。</w:t>
      </w:r>
    </w:p>
    <w:p w14:paraId="5283EFB3">
      <w:pPr>
        <w:spacing w:line="312" w:lineRule="auto"/>
        <w:ind w:firstLine="413" w:firstLineChars="196"/>
        <w:rPr>
          <w:rFonts w:hint="eastAsia" w:ascii="宋体" w:hAnsi="宋体" w:eastAsia="宋体" w:cs="宋体"/>
          <w:b/>
          <w:color w:val="auto"/>
          <w:szCs w:val="21"/>
        </w:rPr>
      </w:pPr>
      <w:r>
        <w:rPr>
          <w:rFonts w:hint="eastAsia" w:ascii="宋体" w:hAnsi="宋体" w:eastAsia="宋体" w:cs="宋体"/>
          <w:b/>
          <w:color w:val="auto"/>
          <w:szCs w:val="21"/>
        </w:rPr>
        <w:t>1.2亲本情况。应有用于繁育增殖放流苗种的亲本，亲本数量要满足放流苗种生产需要；亲本应当来自该物种原产地天然水域、水产种质资源保护区或省级及以上原种场保育的原种，且来源、培育、更新记录清楚完整。</w:t>
      </w:r>
    </w:p>
    <w:p w14:paraId="71A9F5EB">
      <w:pPr>
        <w:spacing w:line="312" w:lineRule="auto"/>
        <w:ind w:firstLine="413" w:firstLineChars="196"/>
        <w:rPr>
          <w:rFonts w:hint="eastAsia" w:ascii="宋体" w:hAnsi="宋体" w:eastAsia="宋体" w:cs="宋体"/>
          <w:b/>
          <w:color w:val="auto"/>
          <w:szCs w:val="21"/>
        </w:rPr>
      </w:pPr>
      <w:r>
        <w:rPr>
          <w:rFonts w:hint="eastAsia" w:ascii="宋体" w:hAnsi="宋体" w:eastAsia="宋体" w:cs="宋体"/>
          <w:b/>
          <w:color w:val="auto"/>
          <w:szCs w:val="21"/>
        </w:rPr>
        <w:t>1.3生产能力。苗种生产设施齐全，育苗设施规模或苗种生产能力应满足放流苗种生产需要。当年度承担放流供苗任务数量应不高于其年度苗种生产能力。</w:t>
      </w:r>
    </w:p>
    <w:p w14:paraId="723B7F74">
      <w:pPr>
        <w:spacing w:line="312" w:lineRule="auto"/>
        <w:ind w:firstLine="422" w:firstLineChars="200"/>
        <w:rPr>
          <w:rFonts w:hint="eastAsia" w:ascii="宋体" w:hAnsi="宋体" w:eastAsia="宋体" w:cs="宋体"/>
          <w:b/>
          <w:color w:val="auto"/>
          <w:szCs w:val="21"/>
        </w:rPr>
      </w:pPr>
      <w:r>
        <w:rPr>
          <w:rFonts w:hint="eastAsia" w:ascii="宋体" w:hAnsi="宋体" w:eastAsia="宋体" w:cs="宋体"/>
          <w:b/>
          <w:color w:val="auto"/>
          <w:szCs w:val="21"/>
        </w:rPr>
        <w:t>1.4技术保障能力。具备水质和苗种质量检验检测基本能力，技术负责人从事水产苗种繁育工作3年以上。建有水产苗种生产与质量控制各项管理制度，制订苗种生产技术操作规程，具有完整的引种、保种、生产、用药、销售、检验检测等记录档案资料。近三年内所生产的水产苗种未发现质量问题。</w:t>
      </w:r>
    </w:p>
    <w:p w14:paraId="739923F7">
      <w:pPr>
        <w:spacing w:line="312" w:lineRule="auto"/>
        <w:ind w:firstLine="422" w:firstLineChars="200"/>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2.所有中标的种苗,放流前必须由种苗</w:t>
      </w:r>
      <w:r>
        <w:rPr>
          <w:rFonts w:hint="eastAsia" w:ascii="宋体" w:hAnsi="宋体" w:eastAsia="宋体" w:cs="宋体"/>
          <w:snapToGrid w:val="0"/>
          <w:color w:val="auto"/>
          <w:kern w:val="0"/>
          <w:szCs w:val="21"/>
        </w:rPr>
        <w:t>培育</w:t>
      </w:r>
      <w:r>
        <w:rPr>
          <w:rFonts w:hint="eastAsia" w:ascii="宋体" w:hAnsi="宋体" w:eastAsia="宋体" w:cs="宋体"/>
          <w:color w:val="auto"/>
          <w:kern w:val="0"/>
          <w:szCs w:val="21"/>
        </w:rPr>
        <w:t>单位委托机构,对该批次</w:t>
      </w:r>
      <w:r>
        <w:rPr>
          <w:rFonts w:hint="eastAsia" w:ascii="宋体" w:hAnsi="宋体" w:eastAsia="宋体" w:cs="宋体"/>
          <w:color w:val="auto"/>
          <w:szCs w:val="21"/>
        </w:rPr>
        <w:t>放流种苗进行</w:t>
      </w:r>
      <w:r>
        <w:rPr>
          <w:rFonts w:hint="eastAsia" w:ascii="宋体" w:hAnsi="宋体" w:eastAsia="宋体" w:cs="宋体"/>
          <w:bCs/>
          <w:color w:val="auto"/>
          <w:szCs w:val="21"/>
        </w:rPr>
        <w:t>药残检验和疫病检测,</w:t>
      </w:r>
      <w:r>
        <w:rPr>
          <w:rFonts w:hint="eastAsia" w:ascii="宋体" w:hAnsi="宋体" w:eastAsia="宋体" w:cs="宋体"/>
          <w:b/>
          <w:bCs/>
          <w:color w:val="auto"/>
          <w:szCs w:val="21"/>
        </w:rPr>
        <w:t>并提供抽检</w:t>
      </w:r>
      <w:r>
        <w:rPr>
          <w:rFonts w:hint="eastAsia" w:ascii="宋体" w:hAnsi="宋体" w:eastAsia="宋体" w:cs="宋体"/>
          <w:b/>
          <w:color w:val="auto"/>
          <w:kern w:val="0"/>
          <w:szCs w:val="21"/>
        </w:rPr>
        <w:t>检验报告及疫病检测报告原件</w:t>
      </w:r>
      <w:r>
        <w:rPr>
          <w:rFonts w:hint="eastAsia" w:ascii="宋体" w:hAnsi="宋体" w:eastAsia="宋体" w:cs="宋体"/>
          <w:color w:val="auto"/>
          <w:kern w:val="0"/>
          <w:szCs w:val="21"/>
        </w:rPr>
        <w:t>。检验结果的</w:t>
      </w:r>
      <w:r>
        <w:rPr>
          <w:rFonts w:hint="eastAsia" w:ascii="宋体" w:hAnsi="宋体" w:eastAsia="宋体" w:cs="宋体"/>
          <w:color w:val="auto"/>
          <w:szCs w:val="21"/>
        </w:rPr>
        <w:t>放流种苗</w:t>
      </w:r>
      <w:r>
        <w:rPr>
          <w:rFonts w:hint="eastAsia" w:ascii="宋体" w:hAnsi="宋体" w:eastAsia="宋体" w:cs="宋体"/>
          <w:color w:val="auto"/>
          <w:kern w:val="0"/>
          <w:szCs w:val="21"/>
        </w:rPr>
        <w:t>必须</w:t>
      </w:r>
      <w:r>
        <w:rPr>
          <w:rFonts w:hint="eastAsia" w:ascii="宋体" w:hAnsi="宋体" w:eastAsia="宋体" w:cs="宋体"/>
          <w:color w:val="auto"/>
          <w:szCs w:val="21"/>
        </w:rPr>
        <w:t>符合政府相关规定和相应的种苗标准要求。</w:t>
      </w:r>
    </w:p>
    <w:p w14:paraId="5614C64C">
      <w:pPr>
        <w:spacing w:line="312"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3.如果中标单位未按要求履行“增殖放流苗种采购合同”,在下一年度放流苗种招标时,该单位将被列入该苗种投标企业信誉黑名单。</w:t>
      </w:r>
    </w:p>
    <w:p w14:paraId="5012F2F9">
      <w:pPr>
        <w:pStyle w:val="26"/>
        <w:spacing w:line="312" w:lineRule="auto"/>
        <w:ind w:firstLine="413" w:firstLineChars="196"/>
        <w:rPr>
          <w:rFonts w:hint="eastAsia" w:ascii="宋体" w:hAnsi="宋体" w:cs="宋体"/>
          <w:b/>
          <w:color w:val="auto"/>
          <w:szCs w:val="21"/>
        </w:rPr>
      </w:pPr>
      <w:r>
        <w:rPr>
          <w:rFonts w:hint="eastAsia" w:ascii="宋体" w:hAnsi="宋体" w:cs="宋体"/>
          <w:b/>
          <w:color w:val="auto"/>
          <w:szCs w:val="21"/>
        </w:rPr>
        <w:t>4.招标文件中须承诺从供货单位的生产种苗基地到规定放流海域之间的种苗运输时间，并提供相关证明文件。 虚假承诺者做无效标处理，并承担相关责任，且不能参与本单位下一年度的投标。</w:t>
      </w:r>
    </w:p>
    <w:p w14:paraId="6198C03B">
      <w:pPr>
        <w:spacing w:line="312" w:lineRule="auto"/>
        <w:rPr>
          <w:rFonts w:hint="eastAsia" w:ascii="宋体" w:hAnsi="宋体" w:eastAsia="宋体" w:cs="宋体"/>
          <w:b/>
          <w:color w:val="auto"/>
          <w:szCs w:val="21"/>
        </w:rPr>
      </w:pPr>
    </w:p>
    <w:p w14:paraId="07437B65">
      <w:pPr>
        <w:spacing w:line="312" w:lineRule="auto"/>
        <w:jc w:val="left"/>
        <w:rPr>
          <w:rFonts w:hint="eastAsia" w:ascii="宋体" w:hAnsi="宋体" w:eastAsia="宋体" w:cs="宋体"/>
          <w:b/>
          <w:color w:val="auto"/>
          <w:szCs w:val="21"/>
        </w:rPr>
      </w:pPr>
      <w:r>
        <w:rPr>
          <w:rFonts w:hint="eastAsia" w:ascii="宋体" w:hAnsi="宋体" w:eastAsia="宋体" w:cs="宋体"/>
          <w:b/>
          <w:color w:val="auto"/>
          <w:sz w:val="24"/>
          <w:szCs w:val="24"/>
        </w:rPr>
        <w:t>四、种苗放流要求。</w:t>
      </w:r>
    </w:p>
    <w:p w14:paraId="6571E783">
      <w:pPr>
        <w:spacing w:line="312" w:lineRule="auto"/>
        <w:ind w:firstLine="420" w:firstLineChars="200"/>
        <w:rPr>
          <w:rFonts w:hint="eastAsia" w:ascii="宋体" w:hAnsi="宋体" w:eastAsia="宋体" w:cs="宋体"/>
          <w:color w:val="auto"/>
          <w:szCs w:val="21"/>
        </w:rPr>
      </w:pPr>
      <w:bookmarkStart w:id="5" w:name="_Hlk160185332"/>
      <w:r>
        <w:rPr>
          <w:rFonts w:hint="eastAsia" w:ascii="宋体" w:hAnsi="宋体" w:eastAsia="宋体" w:cs="宋体"/>
          <w:color w:val="auto"/>
          <w:szCs w:val="21"/>
        </w:rPr>
        <w:t>1.所有苗种的放流工作由舟山市普陀区水生生物增殖放流工作领导小组办公室组织实施。</w:t>
      </w:r>
    </w:p>
    <w:p w14:paraId="428BC301">
      <w:pPr>
        <w:spacing w:line="312" w:lineRule="auto"/>
        <w:ind w:firstLine="211" w:firstLineChars="100"/>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2.种苗放流前必须对放流种苗的培育进行前期验收。在以下放流种类所表示的种苗培育阶段内,由种苗培育单位提前一周告知验收时间,并对验收结果予以确认。 经前期验收并确认的种苗准予放流,未经前期验收和确认的种苗不予放流。</w:t>
      </w:r>
    </w:p>
    <w:p w14:paraId="0BD8E329">
      <w:pPr>
        <w:spacing w:line="312"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3.种苗培育单位按照有关种苗繁育技术规范进行种苗繁育，认真填写育苗日志，记录种苗繁育的关键环节。</w:t>
      </w:r>
    </w:p>
    <w:p w14:paraId="60BB963F">
      <w:pPr>
        <w:spacing w:line="312"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4.应有用于繁育增殖放流苗种的亲本，亲本数量要满足放流苗种生产需要；亲本应当来自该物种原产地天然水域、水产种质资源保护区或省级及以上原种场保育的原种，且来源、培育、更新记录清楚完整；对种类特征明显异常且无符合规定的亲本来源证明的，未经种质鉴定不得放流。</w:t>
      </w:r>
    </w:p>
    <w:p w14:paraId="547A842F">
      <w:pPr>
        <w:spacing w:line="312" w:lineRule="auto"/>
        <w:ind w:firstLine="422" w:firstLineChars="200"/>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5.曼氏无针乌贼受精卵放流后，中标单位应加强放流海域管理直至受精卵孵化。</w:t>
      </w:r>
    </w:p>
    <w:bookmarkEnd w:id="5"/>
    <w:p w14:paraId="49650376">
      <w:pPr>
        <w:spacing w:line="312" w:lineRule="auto"/>
        <w:rPr>
          <w:rFonts w:hint="eastAsia" w:ascii="宋体" w:hAnsi="宋体" w:eastAsia="宋体" w:cs="宋体"/>
          <w:b/>
          <w:color w:val="auto"/>
          <w:szCs w:val="21"/>
        </w:rPr>
      </w:pPr>
    </w:p>
    <w:p w14:paraId="022C5A70">
      <w:pPr>
        <w:widowControl/>
        <w:autoSpaceDE w:val="0"/>
        <w:autoSpaceDN w:val="0"/>
        <w:spacing w:line="312" w:lineRule="auto"/>
        <w:ind w:right="-53" w:rightChars="-25"/>
        <w:textAlignment w:val="bottom"/>
        <w:rPr>
          <w:rFonts w:hint="eastAsia" w:ascii="宋体" w:hAnsi="宋体" w:eastAsia="宋体" w:cs="宋体"/>
          <w:b/>
          <w:color w:val="auto"/>
          <w:sz w:val="24"/>
          <w:szCs w:val="24"/>
        </w:rPr>
      </w:pPr>
      <w:r>
        <w:rPr>
          <w:rFonts w:hint="eastAsia" w:ascii="宋体" w:hAnsi="宋体" w:eastAsia="宋体" w:cs="宋体"/>
          <w:b/>
          <w:color w:val="auto"/>
          <w:sz w:val="24"/>
          <w:szCs w:val="24"/>
        </w:rPr>
        <w:t>五、报价要求</w:t>
      </w:r>
    </w:p>
    <w:p w14:paraId="278FEF82">
      <w:pPr>
        <w:widowControl/>
        <w:autoSpaceDE w:val="0"/>
        <w:autoSpaceDN w:val="0"/>
        <w:spacing w:line="312" w:lineRule="auto"/>
        <w:ind w:right="-53" w:rightChars="-25"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1.投标人应根据招标文件报出合同总价。合同总价一旦核实确认，不得再做更改。对投标人漏报致使系统未能达到需求的功能和效果，其费用和后果由投标人自行负责。</w:t>
      </w:r>
    </w:p>
    <w:p w14:paraId="67B87AC0">
      <w:pPr>
        <w:widowControl/>
        <w:autoSpaceDE w:val="0"/>
        <w:autoSpaceDN w:val="0"/>
        <w:spacing w:line="312" w:lineRule="auto"/>
        <w:ind w:right="-53" w:rightChars="-25" w:firstLine="413" w:firstLineChars="196"/>
        <w:textAlignment w:val="bottom"/>
        <w:rPr>
          <w:rFonts w:hint="eastAsia"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w:t>
      </w:r>
      <w:r>
        <w:rPr>
          <w:rFonts w:hint="eastAsia" w:ascii="宋体" w:hAnsi="宋体" w:eastAsia="宋体" w:cs="宋体"/>
          <w:b/>
          <w:color w:val="auto"/>
          <w:szCs w:val="21"/>
        </w:rPr>
        <w:t>.投标人对每种苗种的报价必须是唯一的。招标人不接受有任何选择的报价。</w:t>
      </w:r>
    </w:p>
    <w:p w14:paraId="3F55047B">
      <w:pPr>
        <w:widowControl/>
        <w:autoSpaceDE w:val="0"/>
        <w:autoSpaceDN w:val="0"/>
        <w:spacing w:line="312" w:lineRule="auto"/>
        <w:ind w:right="-53" w:rightChars="-25" w:firstLine="420" w:firstLineChars="200"/>
        <w:textAlignment w:val="bottom"/>
        <w:rPr>
          <w:rFonts w:hint="eastAsia" w:ascii="宋体" w:hAnsi="宋体" w:eastAsia="宋体" w:cs="宋体"/>
          <w:color w:val="auto"/>
          <w:szCs w:val="21"/>
        </w:rPr>
      </w:pPr>
      <w:r>
        <w:rPr>
          <w:rFonts w:hint="eastAsia" w:ascii="宋体" w:hAnsi="宋体" w:eastAsia="宋体" w:cs="宋体"/>
          <w:color w:val="auto"/>
          <w:szCs w:val="21"/>
        </w:rPr>
        <w:t>3.所有报价均应已包含国家规定的所有税费。</w:t>
      </w:r>
    </w:p>
    <w:p w14:paraId="4FC1C982">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4.扶持政策说明：</w:t>
      </w:r>
    </w:p>
    <w:p w14:paraId="728DC6EE">
      <w:pPr>
        <w:spacing w:line="360" w:lineRule="auto"/>
        <w:ind w:firstLine="420" w:firstLineChars="200"/>
        <w:rPr>
          <w:rFonts w:hint="eastAsia" w:ascii="宋体" w:hAnsi="宋体" w:eastAsia="宋体" w:cs="宋体"/>
          <w:b/>
          <w:bCs/>
          <w:color w:val="auto"/>
          <w:szCs w:val="21"/>
        </w:rPr>
      </w:pPr>
      <w:r>
        <w:rPr>
          <w:rFonts w:hint="eastAsia" w:ascii="宋体" w:hAnsi="宋体" w:eastAsia="宋体" w:cs="宋体"/>
          <w:color w:val="auto"/>
          <w:szCs w:val="21"/>
        </w:rPr>
        <w:t>（1）中小企业预留份额情况：根据《政府采购促进中小企业发展管理办法》（财库〔2020〕46号），</w:t>
      </w:r>
      <w:r>
        <w:rPr>
          <w:rFonts w:hint="eastAsia" w:ascii="宋体" w:hAnsi="宋体" w:eastAsia="宋体" w:cs="宋体"/>
          <w:b/>
          <w:bCs/>
          <w:color w:val="auto"/>
          <w:szCs w:val="21"/>
        </w:rPr>
        <w:t>标项一、标项三、标项四专门面向中小企业。 本项目对应的中小企业划分标准所属行业：</w:t>
      </w:r>
      <w:r>
        <w:rPr>
          <w:rFonts w:hint="eastAsia" w:ascii="宋体" w:hAnsi="宋体" w:eastAsia="宋体" w:cs="宋体"/>
          <w:b/>
          <w:bCs/>
          <w:color w:val="auto"/>
          <w:szCs w:val="21"/>
          <w:u w:val="single"/>
        </w:rPr>
        <w:t>农、林、牧、渔业。</w:t>
      </w:r>
    </w:p>
    <w:p w14:paraId="2A449B68">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（2）在政府采购活动中，供应商提供的货物、工程或者服务符合下列情形的，享受本办法规定的中小企业扶持政策：</w:t>
      </w:r>
    </w:p>
    <w:p w14:paraId="5B6945A8">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（一）在货物采购项目中，货物由中小企业制造，即货物由中小企业生产且使用该中小企业商号或者注册商标；</w:t>
      </w:r>
    </w:p>
    <w:p w14:paraId="00CE4889">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（二）在工程采购项目中，工程由中小企业承建，即工程施工单位为中小企业；</w:t>
      </w:r>
    </w:p>
    <w:p w14:paraId="789CB878">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（三）在服务采购项目中，服务由中小企业承接，即提供服务的人员为中小企业依照《中华人民共和国劳动合同法》订立劳动合同的从业人员。</w:t>
      </w:r>
    </w:p>
    <w:p w14:paraId="57FAEACF">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在货物采购项目中，供应商提供的货物既有中小企业制造货物，也有大型企业制造货物的，不享受本办法规定的中小企业扶持政策。</w:t>
      </w:r>
    </w:p>
    <w:p w14:paraId="0A338ACD">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以联合体形式参加政府采购活动，联合体各方均为中小企业的，联合体视同中小企业。其中，联合体各方均为小微企业的，联合体视同小微企业。</w:t>
      </w:r>
    </w:p>
    <w:p w14:paraId="1ECABE6D">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0512BB65">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（4）投标人符合《三部门联合发布关于促进残疾人就业政府采购政策的通知》（财库〔2017〕141号）文件要求，并提供《残疾人福利性单位声明函》的，则视同小型、微型企业。</w:t>
      </w:r>
    </w:p>
    <w:p w14:paraId="5EED9838">
      <w:pPr>
        <w:spacing w:line="360" w:lineRule="auto"/>
        <w:ind w:firstLine="422" w:firstLineChars="200"/>
        <w:rPr>
          <w:rFonts w:hint="eastAsia" w:ascii="宋体" w:hAnsi="宋体" w:eastAsia="宋体" w:cs="宋体"/>
          <w:color w:val="auto"/>
          <w:szCs w:val="21"/>
        </w:rPr>
      </w:pPr>
      <w:r>
        <w:rPr>
          <w:rFonts w:hint="eastAsia" w:ascii="宋体" w:hAnsi="宋体" w:eastAsia="宋体" w:cs="宋体"/>
          <w:b/>
          <w:color w:val="auto"/>
          <w:szCs w:val="21"/>
        </w:rPr>
        <w:t>标项一、标项三、标项四专门面向中小企业采购（参加投标供应商须出具《中小企业声明函》，未提供不认定为中小企业，此次投标无效）。其他标项不专门面向中小企业</w:t>
      </w:r>
    </w:p>
    <w:p w14:paraId="26D065ED">
      <w:pPr>
        <w:widowControl/>
        <w:snapToGrid w:val="0"/>
        <w:spacing w:line="360" w:lineRule="auto"/>
        <w:ind w:firstLine="420" w:firstLineChars="200"/>
        <w:rPr>
          <w:rFonts w:hint="eastAsia" w:ascii="宋体" w:hAnsi="宋体" w:eastAsia="宋体" w:cs="宋体"/>
          <w:b/>
          <w:bCs/>
          <w:color w:val="auto"/>
          <w:szCs w:val="21"/>
        </w:rPr>
      </w:pPr>
      <w:r>
        <w:rPr>
          <w:rFonts w:hint="eastAsia" w:ascii="宋体" w:hAnsi="宋体" w:eastAsia="宋体" w:cs="宋体"/>
          <w:bCs/>
          <w:color w:val="auto"/>
          <w:szCs w:val="21"/>
        </w:rPr>
        <w:t>（1）根据财政部财库〔</w:t>
      </w:r>
      <w:r>
        <w:rPr>
          <w:rFonts w:ascii="宋体" w:hAnsi="宋体" w:eastAsia="宋体" w:cs="宋体"/>
          <w:bCs/>
          <w:color w:val="auto"/>
          <w:szCs w:val="21"/>
        </w:rPr>
        <w:t>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本项目不专门面向中小企业，</w:t>
      </w:r>
      <w:r>
        <w:rPr>
          <w:rFonts w:hint="eastAsia" w:ascii="宋体" w:hAnsi="宋体" w:eastAsia="宋体" w:cs="宋体"/>
          <w:b/>
          <w:bCs/>
          <w:color w:val="auto"/>
          <w:szCs w:val="21"/>
        </w:rPr>
        <w:t>本项目对应的中小企业划分标准所属行业：</w:t>
      </w:r>
      <w:r>
        <w:rPr>
          <w:rFonts w:hint="eastAsia" w:ascii="宋体" w:hAnsi="宋体" w:eastAsia="宋体" w:cs="宋体"/>
          <w:b/>
          <w:bCs/>
          <w:color w:val="auto"/>
          <w:szCs w:val="21"/>
          <w:u w:val="single"/>
        </w:rPr>
        <w:t>农、林、牧、渔业。</w:t>
      </w:r>
    </w:p>
    <w:p w14:paraId="5F67B389">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未提供完整证明材料的，投标报价不予扣减。</w:t>
      </w:r>
    </w:p>
    <w:p w14:paraId="4A34202B">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（2）根据《关于政府采购支持监狱企业发展有关问题的通知》（财库[2014]68号）的规定，供应商如为监狱企业且所投产品为小型或微型企业生产的，其投标报价扣除10%后参与评审。</w:t>
      </w:r>
    </w:p>
    <w:p w14:paraId="2F81DFC4">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投标文件中须同时提供：供应商的省级以上监狱管理局、戒毒管理局（含新疆生产建设兵团）出具的属于监狱企业的证明文件，投标产品制造商的小微企业证明，未提供完整证明材料的，投标报价不予扣减。</w:t>
      </w:r>
    </w:p>
    <w:p w14:paraId="63A89D62">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5AA40416">
      <w:pPr>
        <w:widowControl/>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投标文件中须提供：《残疾人福利性单位声明函》，未提供完整证明材料的，投标报价不予扣减。</w:t>
      </w:r>
    </w:p>
    <w:p w14:paraId="2F647CB7">
      <w:pPr>
        <w:widowControl/>
        <w:snapToGrid w:val="0"/>
        <w:spacing w:line="360" w:lineRule="auto"/>
        <w:ind w:firstLine="630" w:firstLineChars="300"/>
        <w:rPr>
          <w:rFonts w:hint="eastAsia" w:ascii="宋体" w:hAnsi="宋体" w:eastAsia="宋体" w:cs="宋体"/>
          <w:color w:val="auto"/>
          <w:szCs w:val="21"/>
        </w:rPr>
      </w:pPr>
      <w:r>
        <w:rPr>
          <w:rFonts w:hint="eastAsia" w:ascii="宋体" w:hAnsi="宋体" w:eastAsia="宋体" w:cs="宋体"/>
          <w:color w:val="auto"/>
          <w:szCs w:val="21"/>
        </w:rPr>
        <w:t>上述（1），（2），（3）政策不重复计算。</w:t>
      </w:r>
    </w:p>
    <w:p w14:paraId="25176D21">
      <w:pPr>
        <w:tabs>
          <w:tab w:val="left" w:pos="0"/>
          <w:tab w:val="left" w:pos="7875"/>
        </w:tabs>
        <w:autoSpaceDE w:val="0"/>
        <w:autoSpaceDN w:val="0"/>
        <w:adjustRightInd w:val="0"/>
        <w:spacing w:line="312" w:lineRule="auto"/>
        <w:ind w:firstLine="420"/>
        <w:rPr>
          <w:rFonts w:hint="eastAsia" w:ascii="宋体" w:hAnsi="宋体" w:eastAsia="宋体" w:cs="宋体"/>
          <w:b/>
          <w:color w:val="auto"/>
          <w:szCs w:val="21"/>
        </w:rPr>
      </w:pPr>
      <w:r>
        <w:rPr>
          <w:rFonts w:hint="eastAsia" w:ascii="宋体" w:hAnsi="宋体" w:eastAsia="宋体" w:cs="宋体"/>
          <w:b/>
          <w:bCs/>
          <w:color w:val="auto"/>
          <w:szCs w:val="21"/>
        </w:rPr>
        <w:t>5.</w:t>
      </w:r>
      <w:r>
        <w:rPr>
          <w:rFonts w:hint="eastAsia" w:ascii="宋体" w:hAnsi="宋体" w:eastAsia="宋体" w:cs="宋体"/>
          <w:b/>
          <w:color w:val="auto"/>
          <w:szCs w:val="21"/>
        </w:rPr>
        <w:t xml:space="preserve">本次项目的预算金额为： </w:t>
      </w:r>
    </w:p>
    <w:tbl>
      <w:tblPr>
        <w:tblStyle w:val="60"/>
        <w:tblW w:w="8221" w:type="dxa"/>
        <w:tblInd w:w="392" w:type="dxa"/>
        <w:tblLayout w:type="fixed"/>
        <w:tblCellMar>
          <w:top w:w="0" w:type="dxa"/>
          <w:left w:w="108" w:type="dxa"/>
          <w:bottom w:w="0" w:type="dxa"/>
          <w:right w:w="108" w:type="dxa"/>
        </w:tblCellMar>
      </w:tblPr>
      <w:tblGrid>
        <w:gridCol w:w="850"/>
        <w:gridCol w:w="1638"/>
        <w:gridCol w:w="1275"/>
        <w:gridCol w:w="1328"/>
        <w:gridCol w:w="1429"/>
        <w:gridCol w:w="1701"/>
      </w:tblGrid>
      <w:tr w14:paraId="49EA89EE">
        <w:tblPrEx>
          <w:tblCellMar>
            <w:top w:w="0" w:type="dxa"/>
            <w:left w:w="108" w:type="dxa"/>
            <w:bottom w:w="0" w:type="dxa"/>
            <w:right w:w="108" w:type="dxa"/>
          </w:tblCellMar>
        </w:tblPrEx>
        <w:trPr>
          <w:trHeight w:val="419" w:hRule="atLeast"/>
        </w:trPr>
        <w:tc>
          <w:tcPr>
            <w:tcW w:w="850" w:type="dxa"/>
            <w:vMerge w:val="restart"/>
            <w:tcBorders>
              <w:top w:val="single" w:color="auto" w:sz="4" w:space="0"/>
              <w:left w:val="single" w:color="auto" w:sz="4" w:space="0"/>
              <w:bottom w:val="single" w:color="auto" w:sz="4" w:space="0"/>
              <w:right w:val="single" w:color="auto" w:sz="4" w:space="0"/>
            </w:tcBorders>
            <w:vAlign w:val="center"/>
          </w:tcPr>
          <w:p w14:paraId="06623ACC">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标项</w:t>
            </w:r>
          </w:p>
        </w:tc>
        <w:tc>
          <w:tcPr>
            <w:tcW w:w="1638" w:type="dxa"/>
            <w:vMerge w:val="restart"/>
            <w:tcBorders>
              <w:top w:val="single" w:color="auto" w:sz="4" w:space="0"/>
              <w:left w:val="single" w:color="auto" w:sz="4" w:space="0"/>
              <w:bottom w:val="single" w:color="auto" w:sz="4" w:space="0"/>
              <w:right w:val="single" w:color="auto" w:sz="4" w:space="0"/>
            </w:tcBorders>
            <w:vAlign w:val="center"/>
          </w:tcPr>
          <w:p w14:paraId="6382C583">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种类</w:t>
            </w:r>
          </w:p>
        </w:tc>
        <w:tc>
          <w:tcPr>
            <w:tcW w:w="1275" w:type="dxa"/>
            <w:vMerge w:val="restart"/>
            <w:tcBorders>
              <w:top w:val="single" w:color="auto" w:sz="4" w:space="0"/>
              <w:left w:val="single" w:color="auto" w:sz="4" w:space="0"/>
              <w:bottom w:val="single" w:color="auto" w:sz="4" w:space="0"/>
              <w:right w:val="single" w:color="auto" w:sz="4" w:space="0"/>
            </w:tcBorders>
            <w:vAlign w:val="center"/>
          </w:tcPr>
          <w:p w14:paraId="2F95C52C">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种苗费(万元)</w:t>
            </w:r>
          </w:p>
        </w:tc>
        <w:tc>
          <w:tcPr>
            <w:tcW w:w="1328" w:type="dxa"/>
            <w:vMerge w:val="restart"/>
            <w:tcBorders>
              <w:top w:val="single" w:color="auto" w:sz="4" w:space="0"/>
              <w:left w:val="single" w:color="auto" w:sz="4" w:space="0"/>
              <w:bottom w:val="single" w:color="auto" w:sz="4" w:space="0"/>
              <w:right w:val="single" w:color="auto" w:sz="4" w:space="0"/>
            </w:tcBorders>
            <w:vAlign w:val="center"/>
          </w:tcPr>
          <w:p w14:paraId="5986AF71">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拟中标单位(家)</w:t>
            </w:r>
          </w:p>
        </w:tc>
        <w:tc>
          <w:tcPr>
            <w:tcW w:w="3130" w:type="dxa"/>
            <w:gridSpan w:val="2"/>
            <w:tcBorders>
              <w:top w:val="single" w:color="auto" w:sz="4" w:space="0"/>
              <w:left w:val="nil"/>
              <w:bottom w:val="single" w:color="auto" w:sz="4" w:space="0"/>
              <w:right w:val="single" w:color="000000" w:sz="4" w:space="0"/>
            </w:tcBorders>
            <w:vAlign w:val="center"/>
          </w:tcPr>
          <w:p w14:paraId="0A84D13A">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中标单位种苗费分配(万元)</w:t>
            </w:r>
          </w:p>
        </w:tc>
      </w:tr>
      <w:tr w14:paraId="640A614A">
        <w:tblPrEx>
          <w:tblCellMar>
            <w:top w:w="0" w:type="dxa"/>
            <w:left w:w="108" w:type="dxa"/>
            <w:bottom w:w="0" w:type="dxa"/>
            <w:right w:w="108" w:type="dxa"/>
          </w:tblCellMar>
        </w:tblPrEx>
        <w:trPr>
          <w:trHeight w:val="269" w:hRule="atLeast"/>
        </w:trPr>
        <w:tc>
          <w:tcPr>
            <w:tcW w:w="850" w:type="dxa"/>
            <w:vMerge w:val="continue"/>
            <w:tcBorders>
              <w:top w:val="single" w:color="auto" w:sz="4" w:space="0"/>
              <w:left w:val="single" w:color="auto" w:sz="4" w:space="0"/>
              <w:bottom w:val="single" w:color="auto" w:sz="4" w:space="0"/>
              <w:right w:val="single" w:color="auto" w:sz="4" w:space="0"/>
            </w:tcBorders>
            <w:vAlign w:val="center"/>
          </w:tcPr>
          <w:p w14:paraId="6CD96FD6">
            <w:pPr>
              <w:widowControl/>
              <w:jc w:val="left"/>
              <w:rPr>
                <w:rFonts w:hint="eastAsia" w:ascii="宋体" w:hAnsi="宋体" w:eastAsia="宋体" w:cs="宋体"/>
                <w:b/>
                <w:bCs/>
                <w:color w:val="auto"/>
                <w:kern w:val="0"/>
                <w:sz w:val="21"/>
                <w:szCs w:val="21"/>
              </w:rPr>
            </w:pPr>
          </w:p>
        </w:tc>
        <w:tc>
          <w:tcPr>
            <w:tcW w:w="1638" w:type="dxa"/>
            <w:vMerge w:val="continue"/>
            <w:tcBorders>
              <w:top w:val="single" w:color="auto" w:sz="4" w:space="0"/>
              <w:left w:val="single" w:color="auto" w:sz="4" w:space="0"/>
              <w:bottom w:val="single" w:color="auto" w:sz="4" w:space="0"/>
              <w:right w:val="single" w:color="auto" w:sz="4" w:space="0"/>
            </w:tcBorders>
            <w:vAlign w:val="center"/>
          </w:tcPr>
          <w:p w14:paraId="2F2AFA84">
            <w:pPr>
              <w:widowControl/>
              <w:jc w:val="left"/>
              <w:rPr>
                <w:rFonts w:hint="eastAsia" w:ascii="宋体" w:hAnsi="宋体" w:eastAsia="宋体" w:cs="宋体"/>
                <w:b/>
                <w:bCs/>
                <w:color w:val="auto"/>
                <w:kern w:val="0"/>
                <w:sz w:val="21"/>
                <w:szCs w:val="21"/>
              </w:rPr>
            </w:pPr>
          </w:p>
        </w:tc>
        <w:tc>
          <w:tcPr>
            <w:tcW w:w="1275" w:type="dxa"/>
            <w:vMerge w:val="continue"/>
            <w:tcBorders>
              <w:top w:val="single" w:color="auto" w:sz="4" w:space="0"/>
              <w:left w:val="single" w:color="auto" w:sz="4" w:space="0"/>
              <w:bottom w:val="single" w:color="auto" w:sz="4" w:space="0"/>
              <w:right w:val="single" w:color="auto" w:sz="4" w:space="0"/>
            </w:tcBorders>
            <w:vAlign w:val="center"/>
          </w:tcPr>
          <w:p w14:paraId="3D4C4408">
            <w:pPr>
              <w:widowControl/>
              <w:jc w:val="left"/>
              <w:rPr>
                <w:rFonts w:hint="eastAsia" w:ascii="宋体" w:hAnsi="宋体" w:eastAsia="宋体" w:cs="宋体"/>
                <w:b/>
                <w:bCs/>
                <w:color w:val="auto"/>
                <w:kern w:val="0"/>
                <w:sz w:val="21"/>
                <w:szCs w:val="21"/>
              </w:rPr>
            </w:pPr>
          </w:p>
        </w:tc>
        <w:tc>
          <w:tcPr>
            <w:tcW w:w="1328" w:type="dxa"/>
            <w:vMerge w:val="continue"/>
            <w:tcBorders>
              <w:top w:val="single" w:color="auto" w:sz="4" w:space="0"/>
              <w:left w:val="single" w:color="auto" w:sz="4" w:space="0"/>
              <w:bottom w:val="single" w:color="auto" w:sz="4" w:space="0"/>
              <w:right w:val="single" w:color="auto" w:sz="4" w:space="0"/>
            </w:tcBorders>
            <w:vAlign w:val="center"/>
          </w:tcPr>
          <w:p w14:paraId="3AB38C7A">
            <w:pPr>
              <w:widowControl/>
              <w:jc w:val="left"/>
              <w:rPr>
                <w:rFonts w:hint="eastAsia" w:ascii="宋体" w:hAnsi="宋体" w:eastAsia="宋体" w:cs="宋体"/>
                <w:b/>
                <w:bCs/>
                <w:color w:val="auto"/>
                <w:kern w:val="0"/>
                <w:sz w:val="21"/>
                <w:szCs w:val="21"/>
              </w:rPr>
            </w:pPr>
          </w:p>
        </w:tc>
        <w:tc>
          <w:tcPr>
            <w:tcW w:w="1429" w:type="dxa"/>
            <w:tcBorders>
              <w:top w:val="nil"/>
              <w:left w:val="nil"/>
              <w:bottom w:val="single" w:color="auto" w:sz="4" w:space="0"/>
              <w:right w:val="single" w:color="auto" w:sz="4" w:space="0"/>
            </w:tcBorders>
            <w:vAlign w:val="center"/>
          </w:tcPr>
          <w:p w14:paraId="33116F3B">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1</w:t>
            </w:r>
          </w:p>
        </w:tc>
        <w:tc>
          <w:tcPr>
            <w:tcW w:w="1701" w:type="dxa"/>
            <w:tcBorders>
              <w:top w:val="nil"/>
              <w:left w:val="nil"/>
              <w:bottom w:val="single" w:color="auto" w:sz="4" w:space="0"/>
              <w:right w:val="single" w:color="auto" w:sz="4" w:space="0"/>
            </w:tcBorders>
            <w:vAlign w:val="center"/>
          </w:tcPr>
          <w:p w14:paraId="548F905C">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2</w:t>
            </w:r>
          </w:p>
        </w:tc>
      </w:tr>
      <w:tr w14:paraId="48BDE688">
        <w:tblPrEx>
          <w:tblCellMar>
            <w:top w:w="0" w:type="dxa"/>
            <w:left w:w="108" w:type="dxa"/>
            <w:bottom w:w="0" w:type="dxa"/>
            <w:right w:w="108" w:type="dxa"/>
          </w:tblCellMar>
        </w:tblPrEx>
        <w:trPr>
          <w:trHeight w:val="282" w:hRule="atLeast"/>
        </w:trPr>
        <w:tc>
          <w:tcPr>
            <w:tcW w:w="850" w:type="dxa"/>
            <w:tcBorders>
              <w:top w:val="nil"/>
              <w:left w:val="single" w:color="auto" w:sz="4" w:space="0"/>
              <w:bottom w:val="single" w:color="auto" w:sz="4" w:space="0"/>
              <w:right w:val="single" w:color="auto" w:sz="4" w:space="0"/>
            </w:tcBorders>
            <w:vAlign w:val="center"/>
          </w:tcPr>
          <w:p w14:paraId="1AD87C5D">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一</w:t>
            </w:r>
          </w:p>
        </w:tc>
        <w:tc>
          <w:tcPr>
            <w:tcW w:w="1638" w:type="dxa"/>
            <w:tcBorders>
              <w:top w:val="nil"/>
              <w:left w:val="nil"/>
              <w:bottom w:val="single" w:color="auto" w:sz="4" w:space="0"/>
              <w:right w:val="single" w:color="auto" w:sz="4" w:space="0"/>
            </w:tcBorders>
            <w:vAlign w:val="center"/>
          </w:tcPr>
          <w:p w14:paraId="03F6007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大黄鱼</w:t>
            </w:r>
          </w:p>
        </w:tc>
        <w:tc>
          <w:tcPr>
            <w:tcW w:w="1275" w:type="dxa"/>
            <w:tcBorders>
              <w:top w:val="nil"/>
              <w:left w:val="nil"/>
              <w:bottom w:val="single" w:color="auto" w:sz="4" w:space="0"/>
              <w:right w:val="single" w:color="auto" w:sz="4" w:space="0"/>
            </w:tcBorders>
            <w:vAlign w:val="center"/>
          </w:tcPr>
          <w:p w14:paraId="6F49FFE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160</w:t>
            </w:r>
          </w:p>
        </w:tc>
        <w:tc>
          <w:tcPr>
            <w:tcW w:w="1328" w:type="dxa"/>
            <w:tcBorders>
              <w:top w:val="nil"/>
              <w:left w:val="nil"/>
              <w:bottom w:val="single" w:color="auto" w:sz="4" w:space="0"/>
              <w:right w:val="single" w:color="auto" w:sz="4" w:space="0"/>
            </w:tcBorders>
            <w:vAlign w:val="center"/>
          </w:tcPr>
          <w:p w14:paraId="2FF864B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2</w:t>
            </w:r>
          </w:p>
        </w:tc>
        <w:tc>
          <w:tcPr>
            <w:tcW w:w="1429" w:type="dxa"/>
            <w:tcBorders>
              <w:top w:val="nil"/>
              <w:left w:val="nil"/>
              <w:bottom w:val="single" w:color="auto" w:sz="4" w:space="0"/>
              <w:right w:val="single" w:color="auto" w:sz="4" w:space="0"/>
            </w:tcBorders>
            <w:vAlign w:val="center"/>
          </w:tcPr>
          <w:p w14:paraId="4B7F1DE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85</w:t>
            </w:r>
          </w:p>
        </w:tc>
        <w:tc>
          <w:tcPr>
            <w:tcW w:w="1701" w:type="dxa"/>
            <w:tcBorders>
              <w:top w:val="nil"/>
              <w:left w:val="nil"/>
              <w:bottom w:val="single" w:color="auto" w:sz="4" w:space="0"/>
              <w:right w:val="single" w:color="auto" w:sz="4" w:space="0"/>
            </w:tcBorders>
            <w:vAlign w:val="center"/>
          </w:tcPr>
          <w:p w14:paraId="7E309FF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75</w:t>
            </w:r>
          </w:p>
        </w:tc>
      </w:tr>
      <w:tr w14:paraId="0A788707">
        <w:tblPrEx>
          <w:tblCellMar>
            <w:top w:w="0" w:type="dxa"/>
            <w:left w:w="108" w:type="dxa"/>
            <w:bottom w:w="0" w:type="dxa"/>
            <w:right w:w="108" w:type="dxa"/>
          </w:tblCellMar>
        </w:tblPrEx>
        <w:trPr>
          <w:trHeight w:val="385" w:hRule="atLeast"/>
        </w:trPr>
        <w:tc>
          <w:tcPr>
            <w:tcW w:w="850" w:type="dxa"/>
            <w:tcBorders>
              <w:top w:val="nil"/>
              <w:left w:val="single" w:color="auto" w:sz="4" w:space="0"/>
              <w:bottom w:val="single" w:color="auto" w:sz="4" w:space="0"/>
              <w:right w:val="single" w:color="auto" w:sz="4" w:space="0"/>
            </w:tcBorders>
            <w:vAlign w:val="center"/>
          </w:tcPr>
          <w:p w14:paraId="72888A58">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二</w:t>
            </w:r>
          </w:p>
        </w:tc>
        <w:tc>
          <w:tcPr>
            <w:tcW w:w="1638" w:type="dxa"/>
            <w:tcBorders>
              <w:top w:val="nil"/>
              <w:left w:val="nil"/>
              <w:bottom w:val="single" w:color="auto" w:sz="4" w:space="0"/>
              <w:right w:val="single" w:color="auto" w:sz="4" w:space="0"/>
            </w:tcBorders>
            <w:vAlign w:val="center"/>
          </w:tcPr>
          <w:p w14:paraId="741350E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曼氏无针乌贼</w:t>
            </w:r>
          </w:p>
        </w:tc>
        <w:tc>
          <w:tcPr>
            <w:tcW w:w="1275" w:type="dxa"/>
            <w:tcBorders>
              <w:top w:val="nil"/>
              <w:left w:val="nil"/>
              <w:bottom w:val="single" w:color="auto" w:sz="4" w:space="0"/>
              <w:right w:val="single" w:color="auto" w:sz="4" w:space="0"/>
            </w:tcBorders>
            <w:vAlign w:val="center"/>
          </w:tcPr>
          <w:p w14:paraId="6A1D54B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100</w:t>
            </w:r>
          </w:p>
        </w:tc>
        <w:tc>
          <w:tcPr>
            <w:tcW w:w="1328" w:type="dxa"/>
            <w:tcBorders>
              <w:top w:val="nil"/>
              <w:left w:val="nil"/>
              <w:bottom w:val="single" w:color="auto" w:sz="4" w:space="0"/>
              <w:right w:val="single" w:color="auto" w:sz="4" w:space="0"/>
            </w:tcBorders>
            <w:vAlign w:val="center"/>
          </w:tcPr>
          <w:p w14:paraId="62A0587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1</w:t>
            </w:r>
          </w:p>
        </w:tc>
        <w:tc>
          <w:tcPr>
            <w:tcW w:w="1429" w:type="dxa"/>
            <w:tcBorders>
              <w:top w:val="nil"/>
              <w:left w:val="nil"/>
              <w:bottom w:val="single" w:color="auto" w:sz="4" w:space="0"/>
              <w:right w:val="single" w:color="auto" w:sz="4" w:space="0"/>
            </w:tcBorders>
            <w:vAlign w:val="center"/>
          </w:tcPr>
          <w:p w14:paraId="774F4D98">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100</w:t>
            </w:r>
          </w:p>
        </w:tc>
        <w:tc>
          <w:tcPr>
            <w:tcW w:w="1701" w:type="dxa"/>
            <w:tcBorders>
              <w:top w:val="nil"/>
              <w:left w:val="nil"/>
              <w:bottom w:val="single" w:color="auto" w:sz="4" w:space="0"/>
              <w:right w:val="single" w:color="auto" w:sz="4" w:space="0"/>
            </w:tcBorders>
            <w:vAlign w:val="center"/>
          </w:tcPr>
          <w:p w14:paraId="0B54E01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　</w:t>
            </w:r>
          </w:p>
        </w:tc>
      </w:tr>
      <w:tr w14:paraId="13AA72C6">
        <w:tblPrEx>
          <w:tblCellMar>
            <w:top w:w="0" w:type="dxa"/>
            <w:left w:w="108" w:type="dxa"/>
            <w:bottom w:w="0" w:type="dxa"/>
            <w:right w:w="108" w:type="dxa"/>
          </w:tblCellMar>
        </w:tblPrEx>
        <w:trPr>
          <w:trHeight w:val="340" w:hRule="atLeast"/>
        </w:trPr>
        <w:tc>
          <w:tcPr>
            <w:tcW w:w="850" w:type="dxa"/>
            <w:tcBorders>
              <w:top w:val="nil"/>
              <w:left w:val="single" w:color="auto" w:sz="4" w:space="0"/>
              <w:bottom w:val="single" w:color="auto" w:sz="4" w:space="0"/>
              <w:right w:val="single" w:color="auto" w:sz="4" w:space="0"/>
            </w:tcBorders>
            <w:vAlign w:val="center"/>
          </w:tcPr>
          <w:p w14:paraId="097E7965">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三</w:t>
            </w:r>
          </w:p>
        </w:tc>
        <w:tc>
          <w:tcPr>
            <w:tcW w:w="1638" w:type="dxa"/>
            <w:tcBorders>
              <w:top w:val="nil"/>
              <w:left w:val="nil"/>
              <w:bottom w:val="single" w:color="auto" w:sz="4" w:space="0"/>
              <w:right w:val="single" w:color="auto" w:sz="4" w:space="0"/>
            </w:tcBorders>
            <w:vAlign w:val="center"/>
          </w:tcPr>
          <w:p w14:paraId="725805E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海蜇</w:t>
            </w:r>
          </w:p>
        </w:tc>
        <w:tc>
          <w:tcPr>
            <w:tcW w:w="1275" w:type="dxa"/>
            <w:tcBorders>
              <w:top w:val="nil"/>
              <w:left w:val="nil"/>
              <w:bottom w:val="single" w:color="auto" w:sz="4" w:space="0"/>
              <w:right w:val="single" w:color="auto" w:sz="4" w:space="0"/>
            </w:tcBorders>
            <w:vAlign w:val="center"/>
          </w:tcPr>
          <w:p w14:paraId="0C0C2DED">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54</w:t>
            </w:r>
          </w:p>
        </w:tc>
        <w:tc>
          <w:tcPr>
            <w:tcW w:w="1328" w:type="dxa"/>
            <w:tcBorders>
              <w:top w:val="nil"/>
              <w:left w:val="nil"/>
              <w:bottom w:val="single" w:color="auto" w:sz="4" w:space="0"/>
              <w:right w:val="single" w:color="auto" w:sz="4" w:space="0"/>
            </w:tcBorders>
            <w:vAlign w:val="center"/>
          </w:tcPr>
          <w:p w14:paraId="1CB7FBD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429" w:type="dxa"/>
            <w:tcBorders>
              <w:top w:val="nil"/>
              <w:left w:val="nil"/>
              <w:bottom w:val="single" w:color="auto" w:sz="4" w:space="0"/>
              <w:right w:val="single" w:color="auto" w:sz="4" w:space="0"/>
            </w:tcBorders>
            <w:vAlign w:val="center"/>
          </w:tcPr>
          <w:p w14:paraId="1F5671B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30</w:t>
            </w:r>
          </w:p>
        </w:tc>
        <w:tc>
          <w:tcPr>
            <w:tcW w:w="1701" w:type="dxa"/>
            <w:tcBorders>
              <w:top w:val="nil"/>
              <w:left w:val="nil"/>
              <w:bottom w:val="single" w:color="auto" w:sz="4" w:space="0"/>
              <w:right w:val="single" w:color="auto" w:sz="4" w:space="0"/>
            </w:tcBorders>
            <w:vAlign w:val="center"/>
          </w:tcPr>
          <w:p w14:paraId="0B31F9C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24</w:t>
            </w:r>
          </w:p>
        </w:tc>
      </w:tr>
      <w:tr w14:paraId="0018BA85">
        <w:tblPrEx>
          <w:tblCellMar>
            <w:top w:w="0" w:type="dxa"/>
            <w:left w:w="108" w:type="dxa"/>
            <w:bottom w:w="0" w:type="dxa"/>
            <w:right w:w="108" w:type="dxa"/>
          </w:tblCellMar>
        </w:tblPrEx>
        <w:trPr>
          <w:trHeight w:val="342" w:hRule="atLeast"/>
        </w:trPr>
        <w:tc>
          <w:tcPr>
            <w:tcW w:w="850" w:type="dxa"/>
            <w:tcBorders>
              <w:top w:val="nil"/>
              <w:left w:val="single" w:color="auto" w:sz="4" w:space="0"/>
              <w:bottom w:val="single" w:color="auto" w:sz="4" w:space="0"/>
              <w:right w:val="single" w:color="auto" w:sz="4" w:space="0"/>
            </w:tcBorders>
            <w:vAlign w:val="center"/>
          </w:tcPr>
          <w:p w14:paraId="1979F2CF">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四</w:t>
            </w:r>
          </w:p>
        </w:tc>
        <w:tc>
          <w:tcPr>
            <w:tcW w:w="1638" w:type="dxa"/>
            <w:tcBorders>
              <w:top w:val="nil"/>
              <w:left w:val="nil"/>
              <w:bottom w:val="single" w:color="auto" w:sz="4" w:space="0"/>
              <w:right w:val="single" w:color="auto" w:sz="4" w:space="0"/>
            </w:tcBorders>
            <w:vAlign w:val="center"/>
          </w:tcPr>
          <w:p w14:paraId="3C0A444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黑鲷</w:t>
            </w:r>
          </w:p>
        </w:tc>
        <w:tc>
          <w:tcPr>
            <w:tcW w:w="1275" w:type="dxa"/>
            <w:tcBorders>
              <w:top w:val="nil"/>
              <w:left w:val="nil"/>
              <w:bottom w:val="single" w:color="auto" w:sz="4" w:space="0"/>
              <w:right w:val="single" w:color="auto" w:sz="4" w:space="0"/>
            </w:tcBorders>
            <w:vAlign w:val="center"/>
          </w:tcPr>
          <w:p w14:paraId="7C9BD59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125</w:t>
            </w:r>
          </w:p>
        </w:tc>
        <w:tc>
          <w:tcPr>
            <w:tcW w:w="1328" w:type="dxa"/>
            <w:tcBorders>
              <w:top w:val="nil"/>
              <w:left w:val="nil"/>
              <w:bottom w:val="single" w:color="auto" w:sz="4" w:space="0"/>
              <w:right w:val="single" w:color="auto" w:sz="4" w:space="0"/>
            </w:tcBorders>
            <w:vAlign w:val="center"/>
          </w:tcPr>
          <w:p w14:paraId="0352B37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429" w:type="dxa"/>
            <w:tcBorders>
              <w:top w:val="nil"/>
              <w:left w:val="nil"/>
              <w:bottom w:val="single" w:color="auto" w:sz="4" w:space="0"/>
              <w:right w:val="single" w:color="auto" w:sz="4" w:space="0"/>
            </w:tcBorders>
            <w:vAlign w:val="center"/>
          </w:tcPr>
          <w:p w14:paraId="23F5DDA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65</w:t>
            </w:r>
          </w:p>
        </w:tc>
        <w:tc>
          <w:tcPr>
            <w:tcW w:w="1701" w:type="dxa"/>
            <w:tcBorders>
              <w:top w:val="nil"/>
              <w:left w:val="nil"/>
              <w:bottom w:val="single" w:color="auto" w:sz="4" w:space="0"/>
              <w:right w:val="single" w:color="auto" w:sz="4" w:space="0"/>
            </w:tcBorders>
            <w:vAlign w:val="center"/>
          </w:tcPr>
          <w:p w14:paraId="5EF934C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60</w:t>
            </w:r>
          </w:p>
        </w:tc>
      </w:tr>
      <w:tr w14:paraId="1902A0FF">
        <w:tblPrEx>
          <w:tblCellMar>
            <w:top w:w="0" w:type="dxa"/>
            <w:left w:w="108" w:type="dxa"/>
            <w:bottom w:w="0" w:type="dxa"/>
            <w:right w:w="108" w:type="dxa"/>
          </w:tblCellMar>
        </w:tblPrEx>
        <w:trPr>
          <w:trHeight w:val="277" w:hRule="atLeast"/>
        </w:trPr>
        <w:tc>
          <w:tcPr>
            <w:tcW w:w="850" w:type="dxa"/>
            <w:tcBorders>
              <w:top w:val="nil"/>
              <w:left w:val="single" w:color="auto" w:sz="4" w:space="0"/>
              <w:bottom w:val="single" w:color="auto" w:sz="4" w:space="0"/>
              <w:right w:val="single" w:color="auto" w:sz="4" w:space="0"/>
            </w:tcBorders>
            <w:vAlign w:val="center"/>
          </w:tcPr>
          <w:p w14:paraId="55C26F7E">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五</w:t>
            </w:r>
          </w:p>
        </w:tc>
        <w:tc>
          <w:tcPr>
            <w:tcW w:w="1638" w:type="dxa"/>
            <w:tcBorders>
              <w:top w:val="nil"/>
              <w:left w:val="nil"/>
              <w:bottom w:val="single" w:color="auto" w:sz="4" w:space="0"/>
              <w:right w:val="single" w:color="auto" w:sz="4" w:space="0"/>
            </w:tcBorders>
            <w:vAlign w:val="center"/>
          </w:tcPr>
          <w:p w14:paraId="776E22AE">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黄姑鱼</w:t>
            </w:r>
          </w:p>
        </w:tc>
        <w:tc>
          <w:tcPr>
            <w:tcW w:w="1275" w:type="dxa"/>
            <w:tcBorders>
              <w:top w:val="nil"/>
              <w:left w:val="nil"/>
              <w:bottom w:val="single" w:color="auto" w:sz="4" w:space="0"/>
              <w:right w:val="single" w:color="auto" w:sz="4" w:space="0"/>
            </w:tcBorders>
            <w:vAlign w:val="center"/>
          </w:tcPr>
          <w:p w14:paraId="24317892">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32</w:t>
            </w:r>
          </w:p>
        </w:tc>
        <w:tc>
          <w:tcPr>
            <w:tcW w:w="1328" w:type="dxa"/>
            <w:tcBorders>
              <w:top w:val="nil"/>
              <w:left w:val="nil"/>
              <w:bottom w:val="single" w:color="auto" w:sz="4" w:space="0"/>
              <w:right w:val="single" w:color="auto" w:sz="4" w:space="0"/>
            </w:tcBorders>
            <w:vAlign w:val="center"/>
          </w:tcPr>
          <w:p w14:paraId="5ABAD82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w:t>
            </w:r>
          </w:p>
        </w:tc>
        <w:tc>
          <w:tcPr>
            <w:tcW w:w="1429" w:type="dxa"/>
            <w:tcBorders>
              <w:top w:val="nil"/>
              <w:left w:val="nil"/>
              <w:bottom w:val="single" w:color="auto" w:sz="4" w:space="0"/>
              <w:right w:val="single" w:color="auto" w:sz="4" w:space="0"/>
            </w:tcBorders>
            <w:vAlign w:val="center"/>
          </w:tcPr>
          <w:p w14:paraId="4C1C37B2">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32</w:t>
            </w:r>
          </w:p>
        </w:tc>
        <w:tc>
          <w:tcPr>
            <w:tcW w:w="1701" w:type="dxa"/>
            <w:tcBorders>
              <w:top w:val="nil"/>
              <w:left w:val="nil"/>
              <w:bottom w:val="single" w:color="auto" w:sz="4" w:space="0"/>
              <w:right w:val="single" w:color="auto" w:sz="4" w:space="0"/>
            </w:tcBorders>
            <w:vAlign w:val="center"/>
          </w:tcPr>
          <w:p w14:paraId="62F66233">
            <w:pPr>
              <w:widowControl/>
              <w:jc w:val="left"/>
              <w:rPr>
                <w:rFonts w:hint="eastAsia" w:ascii="宋体" w:hAnsi="宋体" w:eastAsia="宋体" w:cs="宋体"/>
                <w:bCs/>
                <w:color w:val="auto"/>
                <w:kern w:val="0"/>
                <w:sz w:val="21"/>
                <w:szCs w:val="21"/>
              </w:rPr>
            </w:pPr>
          </w:p>
        </w:tc>
      </w:tr>
      <w:tr w14:paraId="7FDCDDAF">
        <w:tblPrEx>
          <w:tblCellMar>
            <w:top w:w="0" w:type="dxa"/>
            <w:left w:w="108" w:type="dxa"/>
            <w:bottom w:w="0" w:type="dxa"/>
            <w:right w:w="108" w:type="dxa"/>
          </w:tblCellMar>
        </w:tblPrEx>
        <w:trPr>
          <w:trHeight w:val="238" w:hRule="atLeast"/>
        </w:trPr>
        <w:tc>
          <w:tcPr>
            <w:tcW w:w="850" w:type="dxa"/>
            <w:tcBorders>
              <w:top w:val="nil"/>
              <w:left w:val="single" w:color="auto" w:sz="4" w:space="0"/>
              <w:bottom w:val="single" w:color="auto" w:sz="4" w:space="0"/>
              <w:right w:val="single" w:color="auto" w:sz="4" w:space="0"/>
            </w:tcBorders>
            <w:vAlign w:val="center"/>
          </w:tcPr>
          <w:p w14:paraId="50DC5575">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六</w:t>
            </w:r>
          </w:p>
        </w:tc>
        <w:tc>
          <w:tcPr>
            <w:tcW w:w="1638" w:type="dxa"/>
            <w:tcBorders>
              <w:top w:val="nil"/>
              <w:left w:val="nil"/>
              <w:bottom w:val="single" w:color="auto" w:sz="4" w:space="0"/>
              <w:right w:val="single" w:color="auto" w:sz="4" w:space="0"/>
            </w:tcBorders>
            <w:vAlign w:val="center"/>
          </w:tcPr>
          <w:p w14:paraId="00EAE68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三疣梭子蟹</w:t>
            </w:r>
          </w:p>
        </w:tc>
        <w:tc>
          <w:tcPr>
            <w:tcW w:w="1275" w:type="dxa"/>
            <w:tcBorders>
              <w:top w:val="nil"/>
              <w:left w:val="nil"/>
              <w:bottom w:val="single" w:color="auto" w:sz="4" w:space="0"/>
              <w:right w:val="single" w:color="auto" w:sz="4" w:space="0"/>
            </w:tcBorders>
            <w:vAlign w:val="center"/>
          </w:tcPr>
          <w:p w14:paraId="585E1DC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51</w:t>
            </w:r>
          </w:p>
        </w:tc>
        <w:tc>
          <w:tcPr>
            <w:tcW w:w="1328" w:type="dxa"/>
            <w:tcBorders>
              <w:top w:val="nil"/>
              <w:left w:val="nil"/>
              <w:bottom w:val="single" w:color="auto" w:sz="4" w:space="0"/>
              <w:right w:val="single" w:color="auto" w:sz="4" w:space="0"/>
            </w:tcBorders>
            <w:vAlign w:val="center"/>
          </w:tcPr>
          <w:p w14:paraId="1FD9A6A0">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429" w:type="dxa"/>
            <w:tcBorders>
              <w:top w:val="nil"/>
              <w:left w:val="nil"/>
              <w:bottom w:val="single" w:color="auto" w:sz="4" w:space="0"/>
              <w:right w:val="single" w:color="auto" w:sz="4" w:space="0"/>
            </w:tcBorders>
            <w:vAlign w:val="center"/>
          </w:tcPr>
          <w:p w14:paraId="2DCB11E8">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28</w:t>
            </w:r>
          </w:p>
        </w:tc>
        <w:tc>
          <w:tcPr>
            <w:tcW w:w="1701" w:type="dxa"/>
            <w:tcBorders>
              <w:top w:val="nil"/>
              <w:left w:val="nil"/>
              <w:bottom w:val="single" w:color="auto" w:sz="4" w:space="0"/>
              <w:right w:val="single" w:color="auto" w:sz="4" w:space="0"/>
            </w:tcBorders>
            <w:vAlign w:val="center"/>
          </w:tcPr>
          <w:p w14:paraId="030358AD">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23</w:t>
            </w:r>
          </w:p>
        </w:tc>
      </w:tr>
      <w:tr w14:paraId="6E988997">
        <w:tblPrEx>
          <w:tblCellMar>
            <w:top w:w="0" w:type="dxa"/>
            <w:left w:w="108" w:type="dxa"/>
            <w:bottom w:w="0" w:type="dxa"/>
            <w:right w:w="108" w:type="dxa"/>
          </w:tblCellMar>
        </w:tblPrEx>
        <w:trPr>
          <w:trHeight w:val="343" w:hRule="atLeast"/>
        </w:trPr>
        <w:tc>
          <w:tcPr>
            <w:tcW w:w="850" w:type="dxa"/>
            <w:tcBorders>
              <w:top w:val="nil"/>
              <w:left w:val="single" w:color="auto" w:sz="4" w:space="0"/>
              <w:bottom w:val="single" w:color="auto" w:sz="4" w:space="0"/>
              <w:right w:val="single" w:color="auto" w:sz="4" w:space="0"/>
            </w:tcBorders>
            <w:vAlign w:val="center"/>
          </w:tcPr>
          <w:p w14:paraId="5DE1D55B">
            <w:pPr>
              <w:widowControl/>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七</w:t>
            </w:r>
          </w:p>
        </w:tc>
        <w:tc>
          <w:tcPr>
            <w:tcW w:w="1638" w:type="dxa"/>
            <w:tcBorders>
              <w:top w:val="nil"/>
              <w:left w:val="nil"/>
              <w:bottom w:val="single" w:color="auto" w:sz="4" w:space="0"/>
              <w:right w:val="single" w:color="auto" w:sz="4" w:space="0"/>
            </w:tcBorders>
            <w:vAlign w:val="center"/>
          </w:tcPr>
          <w:p w14:paraId="589DB5D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eastAsia="zh-CN"/>
              </w:rPr>
              <w:t>褐菖鲉</w:t>
            </w:r>
          </w:p>
        </w:tc>
        <w:tc>
          <w:tcPr>
            <w:tcW w:w="1275" w:type="dxa"/>
            <w:tcBorders>
              <w:top w:val="nil"/>
              <w:left w:val="nil"/>
              <w:bottom w:val="single" w:color="auto" w:sz="4" w:space="0"/>
              <w:right w:val="single" w:color="auto" w:sz="4" w:space="0"/>
            </w:tcBorders>
            <w:vAlign w:val="center"/>
          </w:tcPr>
          <w:p w14:paraId="46E1453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40</w:t>
            </w:r>
          </w:p>
        </w:tc>
        <w:tc>
          <w:tcPr>
            <w:tcW w:w="1328" w:type="dxa"/>
            <w:tcBorders>
              <w:top w:val="nil"/>
              <w:left w:val="nil"/>
              <w:bottom w:val="single" w:color="auto" w:sz="4" w:space="0"/>
              <w:right w:val="single" w:color="auto" w:sz="4" w:space="0"/>
            </w:tcBorders>
            <w:vAlign w:val="center"/>
          </w:tcPr>
          <w:p w14:paraId="62186EE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w:t>
            </w:r>
          </w:p>
        </w:tc>
        <w:tc>
          <w:tcPr>
            <w:tcW w:w="1429" w:type="dxa"/>
            <w:tcBorders>
              <w:top w:val="nil"/>
              <w:left w:val="nil"/>
              <w:bottom w:val="single" w:color="auto" w:sz="4" w:space="0"/>
              <w:right w:val="single" w:color="auto" w:sz="4" w:space="0"/>
            </w:tcBorders>
            <w:vAlign w:val="center"/>
          </w:tcPr>
          <w:p w14:paraId="2D15558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40</w:t>
            </w:r>
          </w:p>
        </w:tc>
        <w:tc>
          <w:tcPr>
            <w:tcW w:w="1701" w:type="dxa"/>
            <w:tcBorders>
              <w:top w:val="nil"/>
              <w:left w:val="nil"/>
              <w:bottom w:val="single" w:color="auto" w:sz="4" w:space="0"/>
              <w:right w:val="single" w:color="auto" w:sz="4" w:space="0"/>
            </w:tcBorders>
            <w:vAlign w:val="center"/>
          </w:tcPr>
          <w:p w14:paraId="4982C2E8">
            <w:pPr>
              <w:widowControl/>
              <w:jc w:val="center"/>
              <w:rPr>
                <w:rFonts w:hint="eastAsia" w:ascii="宋体" w:hAnsi="宋体" w:eastAsia="宋体" w:cs="宋体"/>
                <w:bCs/>
                <w:color w:val="auto"/>
                <w:kern w:val="0"/>
                <w:sz w:val="21"/>
                <w:szCs w:val="21"/>
              </w:rPr>
            </w:pPr>
          </w:p>
        </w:tc>
      </w:tr>
    </w:tbl>
    <w:p w14:paraId="15B10973">
      <w:pPr>
        <w:spacing w:line="336" w:lineRule="auto"/>
        <w:rPr>
          <w:rFonts w:hint="eastAsia" w:ascii="宋体" w:hAnsi="宋体" w:eastAsia="宋体" w:cs="宋体"/>
          <w:b/>
          <w:bCs/>
          <w:color w:val="auto"/>
          <w:szCs w:val="21"/>
        </w:rPr>
      </w:pPr>
    </w:p>
    <w:p w14:paraId="5F35A68F">
      <w:pPr>
        <w:adjustRightInd w:val="0"/>
        <w:spacing w:line="312" w:lineRule="auto"/>
        <w:rPr>
          <w:rFonts w:hint="eastAsia" w:ascii="宋体" w:hAnsi="宋体" w:eastAsia="宋体" w:cs="宋体"/>
          <w:color w:val="auto"/>
          <w:sz w:val="24"/>
          <w:szCs w:val="24"/>
        </w:rPr>
      </w:pPr>
      <w:r>
        <w:rPr>
          <w:rFonts w:hint="eastAsia" w:ascii="宋体" w:hAnsi="宋体" w:eastAsia="宋体" w:cs="宋体"/>
          <w:b/>
          <w:bCs/>
          <w:color w:val="auto"/>
          <w:sz w:val="24"/>
          <w:szCs w:val="24"/>
        </w:rPr>
        <w:t>六、付款方式</w:t>
      </w:r>
    </w:p>
    <w:p w14:paraId="79E5FA0C">
      <w:pPr>
        <w:spacing w:line="312" w:lineRule="auto"/>
        <w:ind w:left="210" w:leftChars="100" w:firstLine="420" w:firstLineChars="200"/>
        <w:outlineLvl w:val="0"/>
        <w:rPr>
          <w:rFonts w:ascii="Times New Roman" w:hAnsi="Times New Roman" w:eastAsia="宋体" w:cs="Times New Roman"/>
          <w:b/>
          <w:color w:val="auto"/>
          <w:sz w:val="24"/>
        </w:rPr>
      </w:pPr>
      <w:r>
        <w:rPr>
          <w:rFonts w:hint="eastAsia" w:ascii="宋体" w:hAnsi="宋体" w:eastAsia="宋体" w:cs="宋体"/>
          <w:bCs/>
          <w:color w:val="auto"/>
          <w:szCs w:val="21"/>
        </w:rPr>
        <w:t>合同生效以及具备实施条件后，收到合法票据后7个工作日内支付40%的预付款，增殖放流结束并通过验收后，采购人在收到合法票据后</w:t>
      </w:r>
      <w:r>
        <w:rPr>
          <w:rFonts w:ascii="宋体" w:hAnsi="宋体" w:eastAsia="宋体" w:cs="宋体"/>
          <w:bCs/>
          <w:color w:val="auto"/>
          <w:szCs w:val="21"/>
        </w:rPr>
        <w:t>7个工作日内</w:t>
      </w:r>
      <w:r>
        <w:rPr>
          <w:rFonts w:hint="eastAsia" w:ascii="宋体" w:hAnsi="宋体" w:eastAsia="宋体" w:cs="宋体"/>
          <w:bCs/>
          <w:color w:val="auto"/>
          <w:szCs w:val="21"/>
        </w:rPr>
        <w:t>支付剩余款项。</w:t>
      </w:r>
    </w:p>
    <w:p w14:paraId="3284EC77">
      <w:pPr>
        <w:spacing w:line="312" w:lineRule="auto"/>
        <w:outlineLvl w:val="0"/>
        <w:rPr>
          <w:rFonts w:ascii="Times New Roman" w:hAnsi="Times New Roman" w:eastAsia="宋体" w:cs="Times New Roman"/>
          <w:b/>
          <w:color w:val="auto"/>
          <w:sz w:val="24"/>
        </w:rPr>
      </w:pPr>
    </w:p>
    <w:p w14:paraId="1C082EDF">
      <w:pPr>
        <w:pageBreakBefore/>
        <w:snapToGrid w:val="0"/>
        <w:jc w:val="center"/>
        <w:rPr>
          <w:rFonts w:ascii="Times New Roman" w:hAnsi="Times New Roman" w:eastAsia="宋体" w:cs="Times New Roman"/>
          <w:color w:val="auto"/>
          <w:sz w:val="28"/>
        </w:rPr>
      </w:pPr>
      <w:r>
        <w:rPr>
          <w:rFonts w:hint="eastAsia" w:ascii="Times New Roman" w:hAnsi="Times New Roman" w:eastAsia="宋体" w:cs="Times New Roman"/>
          <w:b/>
          <w:color w:val="auto"/>
          <w:sz w:val="32"/>
        </w:rPr>
        <w:t>第三章投标人须知</w:t>
      </w:r>
    </w:p>
    <w:p w14:paraId="09B1CF87">
      <w:pPr>
        <w:snapToGrid w:val="0"/>
        <w:ind w:firstLine="4340" w:firstLineChars="1550"/>
        <w:rPr>
          <w:rFonts w:ascii="Times New Roman" w:hAnsi="Times New Roman" w:eastAsia="宋体" w:cs="Times New Roman"/>
          <w:color w:val="auto"/>
          <w:sz w:val="28"/>
        </w:rPr>
      </w:pPr>
      <w:r>
        <w:rPr>
          <w:rFonts w:hint="eastAsia" w:ascii="Times New Roman" w:hAnsi="Times New Roman" w:eastAsia="宋体" w:cs="Times New Roman"/>
          <w:color w:val="auto"/>
          <w:sz w:val="28"/>
        </w:rPr>
        <w:t>前附表</w:t>
      </w:r>
    </w:p>
    <w:tbl>
      <w:tblPr>
        <w:tblStyle w:val="60"/>
        <w:tblW w:w="1043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444"/>
      </w:tblGrid>
      <w:tr w14:paraId="2730B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DAB14D">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序号</w:t>
            </w:r>
          </w:p>
        </w:tc>
        <w:tc>
          <w:tcPr>
            <w:tcW w:w="990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961C22">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内容说明及要求</w:t>
            </w:r>
          </w:p>
        </w:tc>
      </w:tr>
      <w:tr w14:paraId="79817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535CEC">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91B24C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ACB914">
            <w:pPr>
              <w:spacing w:line="240" w:lineRule="exact"/>
              <w:rPr>
                <w:rFonts w:ascii="Times New Roman" w:hAnsi="Times New Roman" w:eastAsia="宋体" w:cs="Times New Roman"/>
                <w:bCs/>
                <w:color w:val="auto"/>
                <w:lang w:val="zh-CN"/>
              </w:rPr>
            </w:pPr>
            <w:r>
              <w:rPr>
                <w:rFonts w:hint="eastAsia" w:ascii="Times New Roman" w:hAnsi="Times New Roman" w:eastAsia="宋体" w:cs="Times New Roman"/>
                <w:color w:val="auto"/>
              </w:rPr>
              <w:t>2025年普陀区水生生物增殖放流项目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3D54FBC">
            <w:pPr>
              <w:spacing w:line="240" w:lineRule="exact"/>
              <w:jc w:val="center"/>
              <w:rPr>
                <w:rFonts w:ascii="Times New Roman" w:hAnsi="Times New Roman" w:eastAsia="宋体" w:cs="Times New Roman"/>
                <w:bCs/>
                <w:color w:val="auto"/>
              </w:rPr>
            </w:pPr>
            <w:r>
              <w:rPr>
                <w:rFonts w:hint="eastAsia" w:ascii="Times New Roman" w:hAnsi="Times New Roman" w:eastAsia="宋体" w:cs="Times New Roman"/>
                <w:b/>
                <w:color w:val="auto"/>
              </w:rPr>
              <w:t>项目编号</w:t>
            </w:r>
          </w:p>
        </w:tc>
        <w:tc>
          <w:tcPr>
            <w:tcW w:w="242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E3FB030">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rPr>
              <w:t>SZGXZS2025017</w:t>
            </w:r>
          </w:p>
        </w:tc>
      </w:tr>
      <w:tr w14:paraId="01D51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652BE8">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A681C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采购单位名称</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5E09287">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rPr>
              <w:t>舟山市普陀区海洋经济发展局</w:t>
            </w:r>
          </w:p>
        </w:tc>
      </w:tr>
      <w:tr w14:paraId="1CEC1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D089FF">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F020AE">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采购内容</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8223" w:type="dxa"/>
              <w:tblInd w:w="0" w:type="dxa"/>
              <w:tblLayout w:type="fixed"/>
              <w:tblCellMar>
                <w:top w:w="15" w:type="dxa"/>
                <w:left w:w="15" w:type="dxa"/>
                <w:bottom w:w="15" w:type="dxa"/>
                <w:right w:w="15" w:type="dxa"/>
              </w:tblCellMar>
            </w:tblPr>
            <w:tblGrid>
              <w:gridCol w:w="451"/>
              <w:gridCol w:w="690"/>
              <w:gridCol w:w="921"/>
              <w:gridCol w:w="868"/>
              <w:gridCol w:w="697"/>
              <w:gridCol w:w="985"/>
              <w:gridCol w:w="793"/>
              <w:gridCol w:w="557"/>
              <w:gridCol w:w="622"/>
              <w:gridCol w:w="696"/>
              <w:gridCol w:w="943"/>
            </w:tblGrid>
            <w:tr w14:paraId="580FD913">
              <w:tblPrEx>
                <w:tblCellMar>
                  <w:top w:w="15" w:type="dxa"/>
                  <w:left w:w="15" w:type="dxa"/>
                  <w:bottom w:w="15" w:type="dxa"/>
                  <w:right w:w="15" w:type="dxa"/>
                </w:tblCellMar>
              </w:tblPrEx>
              <w:trPr>
                <w:trHeight w:val="256" w:hRule="atLeast"/>
              </w:trPr>
              <w:tc>
                <w:tcPr>
                  <w:tcW w:w="451" w:type="dxa"/>
                  <w:vMerge w:val="restart"/>
                  <w:tcBorders>
                    <w:top w:val="single" w:color="000000" w:sz="4" w:space="0"/>
                    <w:left w:val="single" w:color="000000" w:sz="4" w:space="0"/>
                    <w:right w:val="single" w:color="000000" w:sz="4" w:space="0"/>
                  </w:tcBorders>
                  <w:vAlign w:val="center"/>
                </w:tcPr>
                <w:p w14:paraId="33CB82EB">
                  <w:pPr>
                    <w:jc w:val="center"/>
                    <w:rPr>
                      <w:rFonts w:hint="eastAsia" w:ascii="宋体" w:hAnsi="宋体" w:eastAsia="宋体" w:cs="宋体"/>
                      <w:b/>
                      <w:color w:val="auto"/>
                      <w:sz w:val="18"/>
                      <w:szCs w:val="18"/>
                    </w:rPr>
                  </w:pPr>
                  <w:r>
                    <w:rPr>
                      <w:rFonts w:hint="eastAsia" w:ascii="宋体" w:hAnsi="宋体" w:eastAsia="宋体" w:cs="宋体"/>
                      <w:b/>
                      <w:color w:val="auto"/>
                      <w:sz w:val="18"/>
                      <w:szCs w:val="18"/>
                    </w:rPr>
                    <w:t>标项</w:t>
                  </w:r>
                </w:p>
              </w:tc>
              <w:tc>
                <w:tcPr>
                  <w:tcW w:w="690" w:type="dxa"/>
                  <w:vMerge w:val="restart"/>
                  <w:tcBorders>
                    <w:top w:val="single" w:color="000000" w:sz="4" w:space="0"/>
                    <w:left w:val="single" w:color="000000" w:sz="4" w:space="0"/>
                    <w:right w:val="single" w:color="000000" w:sz="4" w:space="0"/>
                  </w:tcBorders>
                  <w:vAlign w:val="center"/>
                </w:tcPr>
                <w:p w14:paraId="216A437F">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lang w:eastAsia="zh-CN"/>
                    </w:rPr>
                    <w:t>品种</w:t>
                  </w:r>
                </w:p>
              </w:tc>
              <w:tc>
                <w:tcPr>
                  <w:tcW w:w="921" w:type="dxa"/>
                  <w:vMerge w:val="restart"/>
                  <w:tcBorders>
                    <w:top w:val="single" w:color="000000" w:sz="4" w:space="0"/>
                    <w:left w:val="single" w:color="000000" w:sz="4" w:space="0"/>
                    <w:right w:val="single" w:color="000000" w:sz="4" w:space="0"/>
                  </w:tcBorders>
                  <w:vAlign w:val="center"/>
                </w:tcPr>
                <w:p w14:paraId="04AC159D">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rPr>
                    <w:t>规格</w:t>
                  </w:r>
                </w:p>
              </w:tc>
              <w:tc>
                <w:tcPr>
                  <w:tcW w:w="868" w:type="dxa"/>
                  <w:vMerge w:val="restart"/>
                  <w:tcBorders>
                    <w:top w:val="single" w:color="000000" w:sz="4" w:space="0"/>
                    <w:left w:val="single" w:color="000000" w:sz="4" w:space="0"/>
                    <w:right w:val="single" w:color="000000" w:sz="4" w:space="0"/>
                  </w:tcBorders>
                  <w:vAlign w:val="center"/>
                </w:tcPr>
                <w:p w14:paraId="58C5DD88">
                  <w:pPr>
                    <w:widowControl/>
                    <w:jc w:val="center"/>
                    <w:rPr>
                      <w:rFonts w:hint="eastAsia" w:ascii="宋体" w:hAnsi="宋体" w:eastAsia="宋体" w:cs="宋体"/>
                      <w:b/>
                      <w:color w:val="auto"/>
                      <w:kern w:val="0"/>
                      <w:sz w:val="18"/>
                      <w:szCs w:val="18"/>
                    </w:rPr>
                  </w:pPr>
                  <w:r>
                    <w:rPr>
                      <w:rFonts w:hint="eastAsia" w:ascii="宋体" w:hAnsi="宋体" w:eastAsia="宋体" w:cs="宋体"/>
                      <w:b/>
                      <w:bCs/>
                      <w:color w:val="auto"/>
                      <w:kern w:val="0"/>
                      <w:sz w:val="18"/>
                      <w:szCs w:val="18"/>
                      <w:highlight w:val="none"/>
                    </w:rPr>
                    <w:t>参考单价(元/单位)</w:t>
                  </w:r>
                </w:p>
              </w:tc>
              <w:tc>
                <w:tcPr>
                  <w:tcW w:w="697" w:type="dxa"/>
                  <w:vMerge w:val="restart"/>
                  <w:tcBorders>
                    <w:top w:val="single" w:color="000000" w:sz="4" w:space="0"/>
                    <w:left w:val="single" w:color="000000" w:sz="4" w:space="0"/>
                    <w:right w:val="single" w:color="000000" w:sz="4" w:space="0"/>
                  </w:tcBorders>
                  <w:vAlign w:val="center"/>
                </w:tcPr>
                <w:p w14:paraId="39D09EC5">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lang w:eastAsia="zh-CN"/>
                    </w:rPr>
                    <w:t>苗种</w:t>
                  </w:r>
                  <w:r>
                    <w:rPr>
                      <w:rFonts w:hint="eastAsia" w:ascii="宋体" w:hAnsi="宋体" w:eastAsia="宋体" w:cs="宋体"/>
                      <w:b/>
                      <w:bCs/>
                      <w:color w:val="auto"/>
                      <w:kern w:val="0"/>
                      <w:sz w:val="18"/>
                      <w:szCs w:val="18"/>
                      <w:highlight w:val="none"/>
                    </w:rPr>
                    <w:t>费(万元)</w:t>
                  </w:r>
                </w:p>
              </w:tc>
              <w:tc>
                <w:tcPr>
                  <w:tcW w:w="985" w:type="dxa"/>
                  <w:vMerge w:val="restart"/>
                  <w:tcBorders>
                    <w:top w:val="single" w:color="000000" w:sz="4" w:space="0"/>
                    <w:left w:val="single" w:color="000000" w:sz="4" w:space="0"/>
                    <w:right w:val="single" w:color="auto" w:sz="4" w:space="0"/>
                  </w:tcBorders>
                  <w:vAlign w:val="center"/>
                </w:tcPr>
                <w:p w14:paraId="1367C8C8">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highlight w:val="none"/>
                    </w:rPr>
                    <w:t>总</w:t>
                  </w:r>
                  <w:r>
                    <w:rPr>
                      <w:rFonts w:hint="eastAsia" w:ascii="宋体" w:hAnsi="宋体" w:eastAsia="宋体" w:cs="宋体"/>
                      <w:b/>
                      <w:bCs/>
                      <w:color w:val="auto"/>
                      <w:kern w:val="0"/>
                      <w:sz w:val="18"/>
                      <w:szCs w:val="18"/>
                      <w:highlight w:val="none"/>
                      <w:lang w:eastAsia="zh-CN"/>
                    </w:rPr>
                    <w:t>苗种</w:t>
                  </w:r>
                  <w:r>
                    <w:rPr>
                      <w:rFonts w:hint="eastAsia" w:ascii="宋体" w:hAnsi="宋体" w:eastAsia="宋体" w:cs="宋体"/>
                      <w:b/>
                      <w:bCs/>
                      <w:color w:val="auto"/>
                      <w:kern w:val="0"/>
                      <w:sz w:val="18"/>
                      <w:szCs w:val="18"/>
                      <w:highlight w:val="none"/>
                    </w:rPr>
                    <w:t>数量(≥万单位)</w:t>
                  </w:r>
                </w:p>
              </w:tc>
              <w:tc>
                <w:tcPr>
                  <w:tcW w:w="793" w:type="dxa"/>
                  <w:vMerge w:val="restart"/>
                  <w:tcBorders>
                    <w:top w:val="single" w:color="000000" w:sz="4" w:space="0"/>
                    <w:left w:val="single" w:color="auto" w:sz="4" w:space="0"/>
                    <w:right w:val="single" w:color="000000" w:sz="4" w:space="0"/>
                  </w:tcBorders>
                  <w:vAlign w:val="center"/>
                </w:tcPr>
                <w:p w14:paraId="0F8E52A3">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拟中标单位(家)</w:t>
                  </w:r>
                </w:p>
              </w:tc>
              <w:tc>
                <w:tcPr>
                  <w:tcW w:w="1179" w:type="dxa"/>
                  <w:gridSpan w:val="2"/>
                  <w:tcBorders>
                    <w:top w:val="single" w:color="000000" w:sz="4" w:space="0"/>
                    <w:left w:val="single" w:color="000000" w:sz="4" w:space="0"/>
                    <w:bottom w:val="single" w:color="auto" w:sz="4" w:space="0"/>
                    <w:right w:val="single" w:color="auto" w:sz="4" w:space="0"/>
                  </w:tcBorders>
                  <w:vAlign w:val="center"/>
                </w:tcPr>
                <w:p w14:paraId="6204F09C">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中标单位</w:t>
                  </w:r>
                  <w:r>
                    <w:rPr>
                      <w:rFonts w:hint="eastAsia" w:ascii="宋体" w:hAnsi="宋体" w:eastAsia="宋体" w:cs="宋体"/>
                      <w:b/>
                      <w:bCs/>
                      <w:color w:val="auto"/>
                      <w:kern w:val="0"/>
                      <w:sz w:val="18"/>
                      <w:szCs w:val="18"/>
                      <w:lang w:eastAsia="zh-CN"/>
                    </w:rPr>
                    <w:t>苗种</w:t>
                  </w:r>
                  <w:r>
                    <w:rPr>
                      <w:rFonts w:hint="eastAsia" w:ascii="宋体" w:hAnsi="宋体" w:eastAsia="宋体" w:cs="宋体"/>
                      <w:b/>
                      <w:bCs/>
                      <w:color w:val="auto"/>
                      <w:kern w:val="0"/>
                      <w:sz w:val="18"/>
                      <w:szCs w:val="18"/>
                    </w:rPr>
                    <w:t>费分配(万元)</w:t>
                  </w:r>
                </w:p>
              </w:tc>
              <w:tc>
                <w:tcPr>
                  <w:tcW w:w="696" w:type="dxa"/>
                  <w:vMerge w:val="restart"/>
                  <w:tcBorders>
                    <w:top w:val="single" w:color="000000" w:sz="4" w:space="0"/>
                    <w:left w:val="single" w:color="000000" w:sz="4" w:space="0"/>
                    <w:right w:val="single" w:color="auto" w:sz="4" w:space="0"/>
                  </w:tcBorders>
                  <w:vAlign w:val="center"/>
                </w:tcPr>
                <w:p w14:paraId="728F6FC1">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放流时间(月)</w:t>
                  </w:r>
                </w:p>
              </w:tc>
              <w:tc>
                <w:tcPr>
                  <w:tcW w:w="943" w:type="dxa"/>
                  <w:vMerge w:val="restart"/>
                  <w:tcBorders>
                    <w:top w:val="single" w:color="000000" w:sz="4" w:space="0"/>
                    <w:left w:val="single" w:color="auto" w:sz="4" w:space="0"/>
                    <w:right w:val="single" w:color="000000" w:sz="4" w:space="0"/>
                  </w:tcBorders>
                  <w:vAlign w:val="center"/>
                </w:tcPr>
                <w:p w14:paraId="03BF2C36">
                  <w:pPr>
                    <w:widowControl/>
                    <w:jc w:val="center"/>
                    <w:rPr>
                      <w:rFonts w:hint="eastAsia" w:ascii="宋体" w:hAnsi="宋体" w:eastAsia="宋体" w:cs="宋体"/>
                      <w:b/>
                      <w:color w:val="auto"/>
                      <w:sz w:val="18"/>
                      <w:szCs w:val="18"/>
                    </w:rPr>
                  </w:pPr>
                  <w:r>
                    <w:rPr>
                      <w:rFonts w:hint="eastAsia" w:ascii="宋体" w:hAnsi="宋体" w:eastAsia="宋体" w:cs="宋体"/>
                      <w:b/>
                      <w:bCs/>
                      <w:color w:val="auto"/>
                      <w:kern w:val="0"/>
                      <w:sz w:val="18"/>
                      <w:szCs w:val="18"/>
                    </w:rPr>
                    <w:t>放流海域</w:t>
                  </w:r>
                </w:p>
              </w:tc>
            </w:tr>
            <w:tr w14:paraId="2CE62928">
              <w:tblPrEx>
                <w:tblCellMar>
                  <w:top w:w="15" w:type="dxa"/>
                  <w:left w:w="15" w:type="dxa"/>
                  <w:bottom w:w="15" w:type="dxa"/>
                  <w:right w:w="15" w:type="dxa"/>
                </w:tblCellMar>
              </w:tblPrEx>
              <w:trPr>
                <w:trHeight w:val="219" w:hRule="atLeast"/>
              </w:trPr>
              <w:tc>
                <w:tcPr>
                  <w:tcW w:w="451" w:type="dxa"/>
                  <w:vMerge w:val="continue"/>
                  <w:tcBorders>
                    <w:left w:val="single" w:color="000000" w:sz="4" w:space="0"/>
                    <w:bottom w:val="single" w:color="000000" w:sz="4" w:space="0"/>
                    <w:right w:val="single" w:color="000000" w:sz="4" w:space="0"/>
                  </w:tcBorders>
                  <w:vAlign w:val="center"/>
                </w:tcPr>
                <w:p w14:paraId="73079659">
                  <w:pPr>
                    <w:jc w:val="center"/>
                    <w:rPr>
                      <w:rFonts w:hint="eastAsia" w:ascii="宋体" w:hAnsi="宋体" w:eastAsia="宋体"/>
                      <w:b/>
                      <w:color w:val="auto"/>
                      <w:sz w:val="18"/>
                      <w:szCs w:val="18"/>
                    </w:rPr>
                  </w:pPr>
                </w:p>
              </w:tc>
              <w:tc>
                <w:tcPr>
                  <w:tcW w:w="690" w:type="dxa"/>
                  <w:vMerge w:val="continue"/>
                  <w:tcBorders>
                    <w:left w:val="single" w:color="000000" w:sz="4" w:space="0"/>
                    <w:bottom w:val="single" w:color="000000" w:sz="4" w:space="0"/>
                    <w:right w:val="single" w:color="000000" w:sz="4" w:space="0"/>
                  </w:tcBorders>
                  <w:vAlign w:val="center"/>
                </w:tcPr>
                <w:p w14:paraId="051FDC7B">
                  <w:pPr>
                    <w:widowControl/>
                    <w:jc w:val="left"/>
                    <w:rPr>
                      <w:rFonts w:hint="eastAsia" w:ascii="宋体" w:hAnsi="宋体" w:eastAsia="宋体" w:cs="宋体"/>
                      <w:color w:val="auto"/>
                      <w:sz w:val="18"/>
                      <w:szCs w:val="18"/>
                    </w:rPr>
                  </w:pPr>
                </w:p>
              </w:tc>
              <w:tc>
                <w:tcPr>
                  <w:tcW w:w="921" w:type="dxa"/>
                  <w:vMerge w:val="continue"/>
                  <w:tcBorders>
                    <w:left w:val="single" w:color="000000" w:sz="4" w:space="0"/>
                    <w:bottom w:val="single" w:color="000000" w:sz="4" w:space="0"/>
                    <w:right w:val="single" w:color="000000" w:sz="4" w:space="0"/>
                  </w:tcBorders>
                  <w:vAlign w:val="center"/>
                </w:tcPr>
                <w:p w14:paraId="325A0FCF">
                  <w:pPr>
                    <w:widowControl/>
                    <w:jc w:val="left"/>
                    <w:rPr>
                      <w:rFonts w:hint="eastAsia" w:ascii="宋体" w:hAnsi="宋体" w:eastAsia="宋体" w:cs="宋体"/>
                      <w:color w:val="auto"/>
                      <w:sz w:val="18"/>
                      <w:szCs w:val="18"/>
                    </w:rPr>
                  </w:pPr>
                </w:p>
              </w:tc>
              <w:tc>
                <w:tcPr>
                  <w:tcW w:w="868" w:type="dxa"/>
                  <w:vMerge w:val="continue"/>
                  <w:tcBorders>
                    <w:left w:val="single" w:color="000000" w:sz="4" w:space="0"/>
                    <w:bottom w:val="single" w:color="000000" w:sz="4" w:space="0"/>
                    <w:right w:val="single" w:color="000000" w:sz="4" w:space="0"/>
                  </w:tcBorders>
                  <w:vAlign w:val="center"/>
                </w:tcPr>
                <w:p w14:paraId="441D49B9">
                  <w:pPr>
                    <w:widowControl/>
                    <w:jc w:val="left"/>
                    <w:rPr>
                      <w:rFonts w:hint="eastAsia" w:ascii="宋体" w:hAnsi="宋体" w:eastAsia="宋体" w:cs="宋体"/>
                      <w:color w:val="auto"/>
                      <w:sz w:val="18"/>
                      <w:szCs w:val="18"/>
                    </w:rPr>
                  </w:pPr>
                </w:p>
              </w:tc>
              <w:tc>
                <w:tcPr>
                  <w:tcW w:w="697" w:type="dxa"/>
                  <w:vMerge w:val="continue"/>
                  <w:tcBorders>
                    <w:left w:val="single" w:color="000000" w:sz="4" w:space="0"/>
                    <w:bottom w:val="single" w:color="000000" w:sz="4" w:space="0"/>
                    <w:right w:val="single" w:color="000000" w:sz="4" w:space="0"/>
                  </w:tcBorders>
                  <w:vAlign w:val="center"/>
                </w:tcPr>
                <w:p w14:paraId="32A209A9">
                  <w:pPr>
                    <w:widowControl/>
                    <w:jc w:val="left"/>
                    <w:rPr>
                      <w:rFonts w:hint="eastAsia" w:ascii="宋体" w:hAnsi="宋体" w:eastAsia="宋体" w:cs="宋体"/>
                      <w:color w:val="auto"/>
                      <w:sz w:val="18"/>
                      <w:szCs w:val="18"/>
                    </w:rPr>
                  </w:pPr>
                </w:p>
              </w:tc>
              <w:tc>
                <w:tcPr>
                  <w:tcW w:w="985" w:type="dxa"/>
                  <w:vMerge w:val="continue"/>
                  <w:tcBorders>
                    <w:left w:val="single" w:color="000000" w:sz="4" w:space="0"/>
                    <w:bottom w:val="single" w:color="000000" w:sz="4" w:space="0"/>
                    <w:right w:val="single" w:color="auto" w:sz="4" w:space="0"/>
                  </w:tcBorders>
                  <w:vAlign w:val="center"/>
                </w:tcPr>
                <w:p w14:paraId="0D596EDD">
                  <w:pPr>
                    <w:widowControl/>
                    <w:jc w:val="left"/>
                    <w:rPr>
                      <w:rFonts w:hint="eastAsia" w:ascii="宋体" w:hAnsi="宋体" w:eastAsia="宋体" w:cs="宋体"/>
                      <w:color w:val="auto"/>
                      <w:sz w:val="18"/>
                      <w:szCs w:val="18"/>
                    </w:rPr>
                  </w:pPr>
                </w:p>
              </w:tc>
              <w:tc>
                <w:tcPr>
                  <w:tcW w:w="793" w:type="dxa"/>
                  <w:vMerge w:val="continue"/>
                  <w:tcBorders>
                    <w:left w:val="single" w:color="auto" w:sz="4" w:space="0"/>
                    <w:bottom w:val="single" w:color="000000" w:sz="4" w:space="0"/>
                    <w:right w:val="single" w:color="000000" w:sz="4" w:space="0"/>
                  </w:tcBorders>
                  <w:vAlign w:val="center"/>
                </w:tcPr>
                <w:p w14:paraId="3AFEDF4A">
                  <w:pPr>
                    <w:widowControl/>
                    <w:jc w:val="left"/>
                    <w:rPr>
                      <w:rFonts w:hint="eastAsia" w:ascii="宋体" w:hAnsi="宋体" w:eastAsia="宋体" w:cs="宋体"/>
                      <w:color w:val="auto"/>
                      <w:sz w:val="18"/>
                      <w:szCs w:val="18"/>
                    </w:rPr>
                  </w:pPr>
                </w:p>
              </w:tc>
              <w:tc>
                <w:tcPr>
                  <w:tcW w:w="557" w:type="dxa"/>
                  <w:tcBorders>
                    <w:top w:val="single" w:color="auto" w:sz="4" w:space="0"/>
                    <w:left w:val="single" w:color="000000" w:sz="4" w:space="0"/>
                    <w:bottom w:val="single" w:color="000000" w:sz="4" w:space="0"/>
                    <w:right w:val="single" w:color="auto" w:sz="4" w:space="0"/>
                  </w:tcBorders>
                  <w:vAlign w:val="center"/>
                </w:tcPr>
                <w:p w14:paraId="5EC8ECE7">
                  <w:pPr>
                    <w:widowControl/>
                    <w:jc w:val="center"/>
                    <w:rPr>
                      <w:rFonts w:hint="eastAsia" w:ascii="宋体" w:hAnsi="宋体" w:eastAsia="宋体" w:cs="宋体"/>
                      <w:color w:val="auto"/>
                      <w:sz w:val="18"/>
                      <w:szCs w:val="18"/>
                    </w:rPr>
                  </w:pPr>
                  <w:r>
                    <w:rPr>
                      <w:rFonts w:hint="eastAsia" w:ascii="宋体" w:hAnsi="宋体" w:eastAsia="宋体" w:cs="宋体"/>
                      <w:b/>
                      <w:bCs/>
                      <w:color w:val="auto"/>
                      <w:kern w:val="0"/>
                      <w:sz w:val="18"/>
                      <w:szCs w:val="18"/>
                    </w:rPr>
                    <w:t>1</w:t>
                  </w:r>
                </w:p>
              </w:tc>
              <w:tc>
                <w:tcPr>
                  <w:tcW w:w="622" w:type="dxa"/>
                  <w:tcBorders>
                    <w:top w:val="single" w:color="auto" w:sz="4" w:space="0"/>
                    <w:left w:val="single" w:color="000000" w:sz="4" w:space="0"/>
                    <w:bottom w:val="single" w:color="000000" w:sz="4" w:space="0"/>
                    <w:right w:val="single" w:color="auto" w:sz="4" w:space="0"/>
                  </w:tcBorders>
                  <w:vAlign w:val="center"/>
                </w:tcPr>
                <w:p w14:paraId="5D353DA5">
                  <w:pPr>
                    <w:widowControl/>
                    <w:jc w:val="center"/>
                    <w:rPr>
                      <w:rFonts w:hint="eastAsia" w:ascii="宋体" w:hAnsi="宋体" w:eastAsia="宋体" w:cs="宋体"/>
                      <w:color w:val="auto"/>
                      <w:sz w:val="18"/>
                      <w:szCs w:val="18"/>
                    </w:rPr>
                  </w:pPr>
                  <w:r>
                    <w:rPr>
                      <w:rFonts w:hint="eastAsia" w:ascii="宋体" w:hAnsi="宋体" w:eastAsia="宋体" w:cs="宋体"/>
                      <w:b/>
                      <w:bCs/>
                      <w:color w:val="auto"/>
                      <w:kern w:val="0"/>
                      <w:sz w:val="18"/>
                      <w:szCs w:val="18"/>
                    </w:rPr>
                    <w:t>2</w:t>
                  </w:r>
                </w:p>
              </w:tc>
              <w:tc>
                <w:tcPr>
                  <w:tcW w:w="696" w:type="dxa"/>
                  <w:vMerge w:val="continue"/>
                  <w:tcBorders>
                    <w:left w:val="single" w:color="000000" w:sz="4" w:space="0"/>
                    <w:bottom w:val="single" w:color="000000" w:sz="4" w:space="0"/>
                    <w:right w:val="single" w:color="auto" w:sz="4" w:space="0"/>
                  </w:tcBorders>
                  <w:vAlign w:val="center"/>
                </w:tcPr>
                <w:p w14:paraId="5E8ADA13">
                  <w:pPr>
                    <w:widowControl/>
                    <w:jc w:val="left"/>
                    <w:rPr>
                      <w:rFonts w:hint="eastAsia" w:ascii="宋体" w:hAnsi="宋体" w:eastAsia="宋体" w:cs="宋体"/>
                      <w:color w:val="auto"/>
                      <w:sz w:val="18"/>
                      <w:szCs w:val="18"/>
                    </w:rPr>
                  </w:pPr>
                </w:p>
              </w:tc>
              <w:tc>
                <w:tcPr>
                  <w:tcW w:w="943" w:type="dxa"/>
                  <w:vMerge w:val="continue"/>
                  <w:tcBorders>
                    <w:left w:val="single" w:color="auto" w:sz="4" w:space="0"/>
                    <w:bottom w:val="single" w:color="000000" w:sz="4" w:space="0"/>
                    <w:right w:val="single" w:color="000000" w:sz="4" w:space="0"/>
                  </w:tcBorders>
                  <w:vAlign w:val="center"/>
                </w:tcPr>
                <w:p w14:paraId="0FDD03C4">
                  <w:pPr>
                    <w:widowControl/>
                    <w:jc w:val="left"/>
                    <w:rPr>
                      <w:rFonts w:hint="eastAsia" w:ascii="宋体" w:hAnsi="宋体" w:eastAsia="宋体" w:cs="宋体"/>
                      <w:color w:val="auto"/>
                      <w:sz w:val="18"/>
                      <w:szCs w:val="18"/>
                    </w:rPr>
                  </w:pPr>
                </w:p>
              </w:tc>
            </w:tr>
            <w:tr w14:paraId="4ABDF27D">
              <w:tblPrEx>
                <w:tblCellMar>
                  <w:top w:w="15" w:type="dxa"/>
                  <w:left w:w="15" w:type="dxa"/>
                  <w:bottom w:w="15" w:type="dxa"/>
                  <w:right w:w="15" w:type="dxa"/>
                </w:tblCellMar>
              </w:tblPrEx>
              <w:trPr>
                <w:trHeight w:val="336"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14C5AACB">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一</w:t>
                  </w:r>
                </w:p>
              </w:tc>
              <w:tc>
                <w:tcPr>
                  <w:tcW w:w="690" w:type="dxa"/>
                  <w:tcBorders>
                    <w:top w:val="single" w:color="000000" w:sz="4" w:space="0"/>
                    <w:left w:val="single" w:color="000000" w:sz="4" w:space="0"/>
                    <w:bottom w:val="single" w:color="000000" w:sz="4" w:space="0"/>
                    <w:right w:val="single" w:color="000000" w:sz="4" w:space="0"/>
                  </w:tcBorders>
                  <w:vAlign w:val="center"/>
                </w:tcPr>
                <w:p w14:paraId="7E35D74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大黄鱼</w:t>
                  </w:r>
                </w:p>
              </w:tc>
              <w:tc>
                <w:tcPr>
                  <w:tcW w:w="921" w:type="dxa"/>
                  <w:tcBorders>
                    <w:top w:val="single" w:color="000000" w:sz="4" w:space="0"/>
                    <w:left w:val="single" w:color="000000" w:sz="4" w:space="0"/>
                    <w:bottom w:val="single" w:color="000000" w:sz="4" w:space="0"/>
                    <w:right w:val="single" w:color="000000" w:sz="4" w:space="0"/>
                  </w:tcBorders>
                  <w:vAlign w:val="center"/>
                </w:tcPr>
                <w:p w14:paraId="728FCA9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体长≥5cm</w:t>
                  </w:r>
                </w:p>
              </w:tc>
              <w:tc>
                <w:tcPr>
                  <w:tcW w:w="868" w:type="dxa"/>
                  <w:tcBorders>
                    <w:top w:val="nil"/>
                    <w:left w:val="single" w:color="auto" w:sz="4" w:space="0"/>
                    <w:bottom w:val="single" w:color="auto" w:sz="4" w:space="0"/>
                    <w:right w:val="single" w:color="auto" w:sz="4" w:space="0"/>
                  </w:tcBorders>
                  <w:vAlign w:val="center"/>
                </w:tcPr>
                <w:p w14:paraId="115B743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0.</w:t>
                  </w:r>
                  <w:r>
                    <w:rPr>
                      <w:rFonts w:hint="eastAsia" w:ascii="宋体" w:hAnsi="宋体" w:eastAsia="宋体" w:cs="宋体"/>
                      <w:color w:val="auto"/>
                      <w:kern w:val="0"/>
                      <w:sz w:val="18"/>
                      <w:szCs w:val="18"/>
                      <w:lang w:val="en-US" w:eastAsia="zh-CN"/>
                    </w:rPr>
                    <w:t>30</w:t>
                  </w:r>
                </w:p>
              </w:tc>
              <w:tc>
                <w:tcPr>
                  <w:tcW w:w="697" w:type="dxa"/>
                  <w:tcBorders>
                    <w:top w:val="single" w:color="000000" w:sz="4" w:space="0"/>
                    <w:left w:val="single" w:color="000000" w:sz="4" w:space="0"/>
                    <w:bottom w:val="single" w:color="000000" w:sz="4" w:space="0"/>
                    <w:right w:val="single" w:color="000000" w:sz="4" w:space="0"/>
                  </w:tcBorders>
                  <w:vAlign w:val="center"/>
                </w:tcPr>
                <w:p w14:paraId="7C875EB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160</w:t>
                  </w:r>
                </w:p>
              </w:tc>
              <w:tc>
                <w:tcPr>
                  <w:tcW w:w="985" w:type="dxa"/>
                  <w:tcBorders>
                    <w:top w:val="single" w:color="000000" w:sz="4" w:space="0"/>
                    <w:bottom w:val="single" w:color="000000" w:sz="4" w:space="0"/>
                    <w:right w:val="single" w:color="auto" w:sz="4" w:space="0"/>
                  </w:tcBorders>
                  <w:vAlign w:val="center"/>
                </w:tcPr>
                <w:p w14:paraId="704882E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533.3</w:t>
                  </w:r>
                </w:p>
              </w:tc>
              <w:tc>
                <w:tcPr>
                  <w:tcW w:w="793" w:type="dxa"/>
                  <w:tcBorders>
                    <w:top w:val="single" w:color="000000" w:sz="4" w:space="0"/>
                    <w:left w:val="single" w:color="auto" w:sz="4" w:space="0"/>
                    <w:bottom w:val="single" w:color="000000" w:sz="4" w:space="0"/>
                    <w:right w:val="single" w:color="000000" w:sz="4" w:space="0"/>
                  </w:tcBorders>
                  <w:vAlign w:val="center"/>
                </w:tcPr>
                <w:p w14:paraId="28D34A5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2</w:t>
                  </w:r>
                </w:p>
              </w:tc>
              <w:tc>
                <w:tcPr>
                  <w:tcW w:w="557" w:type="dxa"/>
                  <w:tcBorders>
                    <w:top w:val="single" w:color="000000" w:sz="4" w:space="0"/>
                    <w:left w:val="single" w:color="000000" w:sz="4" w:space="0"/>
                    <w:bottom w:val="single" w:color="000000" w:sz="4" w:space="0"/>
                    <w:right w:val="single" w:color="auto" w:sz="4" w:space="0"/>
                  </w:tcBorders>
                  <w:vAlign w:val="center"/>
                </w:tcPr>
                <w:p w14:paraId="4CD6A9E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85</w:t>
                  </w:r>
                </w:p>
              </w:tc>
              <w:tc>
                <w:tcPr>
                  <w:tcW w:w="622" w:type="dxa"/>
                  <w:tcBorders>
                    <w:top w:val="single" w:color="000000" w:sz="4" w:space="0"/>
                    <w:left w:val="single" w:color="000000" w:sz="4" w:space="0"/>
                    <w:bottom w:val="single" w:color="000000" w:sz="4" w:space="0"/>
                    <w:right w:val="single" w:color="auto" w:sz="4" w:space="0"/>
                  </w:tcBorders>
                  <w:vAlign w:val="center"/>
                </w:tcPr>
                <w:p w14:paraId="6241617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75</w:t>
                  </w:r>
                </w:p>
              </w:tc>
              <w:tc>
                <w:tcPr>
                  <w:tcW w:w="696" w:type="dxa"/>
                  <w:tcBorders>
                    <w:top w:val="single" w:color="000000" w:sz="4" w:space="0"/>
                    <w:left w:val="single" w:color="000000" w:sz="4" w:space="0"/>
                    <w:bottom w:val="single" w:color="000000" w:sz="4" w:space="0"/>
                    <w:right w:val="single" w:color="auto" w:sz="4" w:space="0"/>
                  </w:tcBorders>
                  <w:vAlign w:val="center"/>
                </w:tcPr>
                <w:p w14:paraId="01448B1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5-</w:t>
                  </w:r>
                  <w:r>
                    <w:rPr>
                      <w:rFonts w:hint="eastAsia" w:ascii="宋体" w:hAnsi="宋体" w:eastAsia="宋体" w:cs="宋体"/>
                      <w:color w:val="auto"/>
                      <w:kern w:val="0"/>
                      <w:sz w:val="18"/>
                      <w:szCs w:val="18"/>
                      <w:lang w:val="en-US" w:eastAsia="zh-CN"/>
                    </w:rPr>
                    <w:t>8</w:t>
                  </w:r>
                </w:p>
              </w:tc>
              <w:tc>
                <w:tcPr>
                  <w:tcW w:w="943" w:type="dxa"/>
                  <w:tcBorders>
                    <w:top w:val="single" w:color="000000" w:sz="4" w:space="0"/>
                    <w:left w:val="single" w:color="auto" w:sz="4" w:space="0"/>
                    <w:bottom w:val="single" w:color="000000" w:sz="4" w:space="0"/>
                    <w:right w:val="single" w:color="000000" w:sz="4" w:space="0"/>
                  </w:tcBorders>
                  <w:vAlign w:val="center"/>
                </w:tcPr>
                <w:p w14:paraId="3D99A78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莲花洋</w:t>
                  </w:r>
                </w:p>
              </w:tc>
            </w:tr>
            <w:tr w14:paraId="6C3F02ED">
              <w:tblPrEx>
                <w:tblCellMar>
                  <w:top w:w="15" w:type="dxa"/>
                  <w:left w:w="15" w:type="dxa"/>
                  <w:bottom w:w="15" w:type="dxa"/>
                  <w:right w:w="15" w:type="dxa"/>
                </w:tblCellMar>
              </w:tblPrEx>
              <w:trPr>
                <w:trHeight w:val="348"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740C8D08">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二</w:t>
                  </w:r>
                </w:p>
              </w:tc>
              <w:tc>
                <w:tcPr>
                  <w:tcW w:w="690" w:type="dxa"/>
                  <w:tcBorders>
                    <w:top w:val="single" w:color="000000" w:sz="4" w:space="0"/>
                    <w:left w:val="single" w:color="000000" w:sz="4" w:space="0"/>
                    <w:bottom w:val="single" w:color="000000" w:sz="4" w:space="0"/>
                    <w:right w:val="single" w:color="000000" w:sz="4" w:space="0"/>
                  </w:tcBorders>
                  <w:vAlign w:val="center"/>
                </w:tcPr>
                <w:p w14:paraId="208B742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曼氏无针乌贼</w:t>
                  </w:r>
                </w:p>
              </w:tc>
              <w:tc>
                <w:tcPr>
                  <w:tcW w:w="921" w:type="dxa"/>
                  <w:tcBorders>
                    <w:top w:val="single" w:color="000000" w:sz="4" w:space="0"/>
                    <w:left w:val="single" w:color="000000" w:sz="4" w:space="0"/>
                    <w:bottom w:val="single" w:color="000000" w:sz="4" w:space="0"/>
                    <w:right w:val="single" w:color="000000" w:sz="4" w:space="0"/>
                  </w:tcBorders>
                  <w:vAlign w:val="center"/>
                </w:tcPr>
                <w:p w14:paraId="20F2D22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受精卵</w:t>
                  </w:r>
                </w:p>
              </w:tc>
              <w:tc>
                <w:tcPr>
                  <w:tcW w:w="868" w:type="dxa"/>
                  <w:tcBorders>
                    <w:top w:val="nil"/>
                    <w:left w:val="nil"/>
                    <w:bottom w:val="single" w:color="auto" w:sz="4" w:space="0"/>
                    <w:right w:val="single" w:color="auto" w:sz="4" w:space="0"/>
                  </w:tcBorders>
                  <w:vAlign w:val="center"/>
                </w:tcPr>
                <w:p w14:paraId="1E751CE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0.1</w:t>
                  </w:r>
                </w:p>
              </w:tc>
              <w:tc>
                <w:tcPr>
                  <w:tcW w:w="697" w:type="dxa"/>
                  <w:tcBorders>
                    <w:top w:val="single" w:color="000000" w:sz="4" w:space="0"/>
                    <w:left w:val="single" w:color="000000" w:sz="4" w:space="0"/>
                    <w:bottom w:val="single" w:color="000000" w:sz="4" w:space="0"/>
                    <w:right w:val="single" w:color="000000" w:sz="4" w:space="0"/>
                  </w:tcBorders>
                  <w:vAlign w:val="center"/>
                </w:tcPr>
                <w:p w14:paraId="0DE291A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w:t>
                  </w:r>
                </w:p>
              </w:tc>
              <w:tc>
                <w:tcPr>
                  <w:tcW w:w="985" w:type="dxa"/>
                  <w:tcBorders>
                    <w:top w:val="single" w:color="000000" w:sz="4" w:space="0"/>
                    <w:bottom w:val="single" w:color="000000" w:sz="4" w:space="0"/>
                    <w:right w:val="single" w:color="auto" w:sz="4" w:space="0"/>
                  </w:tcBorders>
                  <w:vAlign w:val="center"/>
                </w:tcPr>
                <w:p w14:paraId="47F97A7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1000</w:t>
                  </w:r>
                </w:p>
              </w:tc>
              <w:tc>
                <w:tcPr>
                  <w:tcW w:w="793" w:type="dxa"/>
                  <w:tcBorders>
                    <w:top w:val="single" w:color="000000" w:sz="4" w:space="0"/>
                    <w:left w:val="single" w:color="auto" w:sz="4" w:space="0"/>
                    <w:bottom w:val="single" w:color="000000" w:sz="4" w:space="0"/>
                    <w:right w:val="single" w:color="000000" w:sz="4" w:space="0"/>
                  </w:tcBorders>
                  <w:vAlign w:val="center"/>
                </w:tcPr>
                <w:p w14:paraId="48DB40A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1</w:t>
                  </w:r>
                </w:p>
              </w:tc>
              <w:tc>
                <w:tcPr>
                  <w:tcW w:w="557" w:type="dxa"/>
                  <w:tcBorders>
                    <w:top w:val="single" w:color="000000" w:sz="4" w:space="0"/>
                    <w:left w:val="single" w:color="000000" w:sz="4" w:space="0"/>
                    <w:bottom w:val="single" w:color="000000" w:sz="4" w:space="0"/>
                    <w:right w:val="single" w:color="auto" w:sz="4" w:space="0"/>
                  </w:tcBorders>
                  <w:vAlign w:val="center"/>
                </w:tcPr>
                <w:p w14:paraId="1E4C2D5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100</w:t>
                  </w:r>
                </w:p>
              </w:tc>
              <w:tc>
                <w:tcPr>
                  <w:tcW w:w="622" w:type="dxa"/>
                  <w:tcBorders>
                    <w:top w:val="single" w:color="000000" w:sz="4" w:space="0"/>
                    <w:left w:val="single" w:color="000000" w:sz="4" w:space="0"/>
                    <w:bottom w:val="single" w:color="000000" w:sz="4" w:space="0"/>
                    <w:right w:val="single" w:color="auto" w:sz="4" w:space="0"/>
                  </w:tcBorders>
                  <w:vAlign w:val="center"/>
                </w:tcPr>
                <w:p w14:paraId="6B7376C8">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　</w:t>
                  </w:r>
                </w:p>
              </w:tc>
              <w:tc>
                <w:tcPr>
                  <w:tcW w:w="696" w:type="dxa"/>
                  <w:tcBorders>
                    <w:top w:val="single" w:color="000000" w:sz="4" w:space="0"/>
                    <w:left w:val="single" w:color="000000" w:sz="4" w:space="0"/>
                    <w:bottom w:val="single" w:color="000000" w:sz="4" w:space="0"/>
                    <w:right w:val="single" w:color="auto" w:sz="4" w:space="0"/>
                  </w:tcBorders>
                  <w:vAlign w:val="center"/>
                </w:tcPr>
                <w:p w14:paraId="47A0C83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4-7</w:t>
                  </w:r>
                </w:p>
              </w:tc>
              <w:tc>
                <w:tcPr>
                  <w:tcW w:w="943" w:type="dxa"/>
                  <w:tcBorders>
                    <w:top w:val="single" w:color="000000" w:sz="4" w:space="0"/>
                    <w:left w:val="single" w:color="auto" w:sz="4" w:space="0"/>
                    <w:bottom w:val="single" w:color="000000" w:sz="4" w:space="0"/>
                    <w:right w:val="single" w:color="000000" w:sz="4" w:space="0"/>
                  </w:tcBorders>
                  <w:vAlign w:val="center"/>
                </w:tcPr>
                <w:p w14:paraId="7E2F00C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中街山列岛海洋特别保护区</w:t>
                  </w:r>
                </w:p>
              </w:tc>
            </w:tr>
            <w:tr w14:paraId="746BC595">
              <w:tblPrEx>
                <w:tblCellMar>
                  <w:top w:w="15" w:type="dxa"/>
                  <w:left w:w="15" w:type="dxa"/>
                  <w:bottom w:w="15" w:type="dxa"/>
                  <w:right w:w="15" w:type="dxa"/>
                </w:tblCellMar>
              </w:tblPrEx>
              <w:trPr>
                <w:trHeight w:val="340"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48603682">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三</w:t>
                  </w:r>
                </w:p>
              </w:tc>
              <w:tc>
                <w:tcPr>
                  <w:tcW w:w="690" w:type="dxa"/>
                  <w:tcBorders>
                    <w:top w:val="single" w:color="000000" w:sz="4" w:space="0"/>
                    <w:left w:val="single" w:color="000000" w:sz="4" w:space="0"/>
                    <w:bottom w:val="single" w:color="000000" w:sz="4" w:space="0"/>
                    <w:right w:val="single" w:color="000000" w:sz="4" w:space="0"/>
                  </w:tcBorders>
                  <w:vAlign w:val="center"/>
                </w:tcPr>
                <w:p w14:paraId="2E17EF2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海蜇</w:t>
                  </w:r>
                </w:p>
              </w:tc>
              <w:tc>
                <w:tcPr>
                  <w:tcW w:w="921" w:type="dxa"/>
                  <w:tcBorders>
                    <w:top w:val="single" w:color="000000" w:sz="4" w:space="0"/>
                    <w:left w:val="single" w:color="000000" w:sz="4" w:space="0"/>
                    <w:bottom w:val="single" w:color="000000" w:sz="4" w:space="0"/>
                    <w:right w:val="single" w:color="000000" w:sz="4" w:space="0"/>
                  </w:tcBorders>
                  <w:vAlign w:val="center"/>
                </w:tcPr>
                <w:p w14:paraId="673F2B9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伞径≥</w:t>
                  </w:r>
                  <w:r>
                    <w:rPr>
                      <w:rFonts w:hint="eastAsia" w:ascii="宋体" w:hAnsi="宋体" w:eastAsia="宋体" w:cs="宋体"/>
                      <w:color w:val="auto"/>
                      <w:kern w:val="0"/>
                      <w:sz w:val="18"/>
                      <w:szCs w:val="18"/>
                      <w:highlight w:val="none"/>
                      <w:lang w:val="en-US" w:eastAsia="zh-CN"/>
                    </w:rPr>
                    <w:t>0.7c</w:t>
                  </w:r>
                  <w:r>
                    <w:rPr>
                      <w:rFonts w:hint="eastAsia" w:ascii="宋体" w:hAnsi="宋体" w:eastAsia="宋体" w:cs="宋体"/>
                      <w:color w:val="auto"/>
                      <w:kern w:val="0"/>
                      <w:sz w:val="18"/>
                      <w:szCs w:val="18"/>
                      <w:highlight w:val="none"/>
                    </w:rPr>
                    <w:t>m</w:t>
                  </w:r>
                </w:p>
              </w:tc>
              <w:tc>
                <w:tcPr>
                  <w:tcW w:w="868" w:type="dxa"/>
                  <w:tcBorders>
                    <w:top w:val="nil"/>
                    <w:left w:val="single" w:color="auto" w:sz="4" w:space="0"/>
                    <w:bottom w:val="single" w:color="auto" w:sz="4" w:space="0"/>
                    <w:right w:val="single" w:color="auto" w:sz="4" w:space="0"/>
                  </w:tcBorders>
                  <w:vAlign w:val="center"/>
                </w:tcPr>
                <w:p w14:paraId="7D776FE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0.00</w:t>
                  </w:r>
                  <w:r>
                    <w:rPr>
                      <w:rFonts w:hint="eastAsia" w:ascii="宋体" w:hAnsi="宋体" w:eastAsia="宋体" w:cs="宋体"/>
                      <w:color w:val="auto"/>
                      <w:kern w:val="0"/>
                      <w:sz w:val="18"/>
                      <w:szCs w:val="18"/>
                      <w:highlight w:val="none"/>
                      <w:lang w:val="en-US" w:eastAsia="zh-CN"/>
                    </w:rPr>
                    <w:t>6</w:t>
                  </w:r>
                </w:p>
              </w:tc>
              <w:tc>
                <w:tcPr>
                  <w:tcW w:w="697" w:type="dxa"/>
                  <w:tcBorders>
                    <w:top w:val="single" w:color="000000" w:sz="4" w:space="0"/>
                    <w:left w:val="single" w:color="000000" w:sz="4" w:space="0"/>
                    <w:bottom w:val="single" w:color="000000" w:sz="4" w:space="0"/>
                    <w:right w:val="single" w:color="000000" w:sz="4" w:space="0"/>
                  </w:tcBorders>
                  <w:vAlign w:val="center"/>
                </w:tcPr>
                <w:p w14:paraId="6A0CF863">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54</w:t>
                  </w:r>
                </w:p>
              </w:tc>
              <w:tc>
                <w:tcPr>
                  <w:tcW w:w="985" w:type="dxa"/>
                  <w:tcBorders>
                    <w:top w:val="single" w:color="000000" w:sz="4" w:space="0"/>
                    <w:bottom w:val="single" w:color="000000" w:sz="4" w:space="0"/>
                    <w:right w:val="single" w:color="auto" w:sz="4" w:space="0"/>
                  </w:tcBorders>
                  <w:vAlign w:val="center"/>
                </w:tcPr>
                <w:p w14:paraId="0EA1D76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9000</w:t>
                  </w:r>
                </w:p>
              </w:tc>
              <w:tc>
                <w:tcPr>
                  <w:tcW w:w="793" w:type="dxa"/>
                  <w:tcBorders>
                    <w:top w:val="single" w:color="000000" w:sz="4" w:space="0"/>
                    <w:left w:val="single" w:color="auto" w:sz="4" w:space="0"/>
                    <w:bottom w:val="single" w:color="000000" w:sz="4" w:space="0"/>
                    <w:right w:val="single" w:color="000000" w:sz="4" w:space="0"/>
                  </w:tcBorders>
                  <w:vAlign w:val="center"/>
                </w:tcPr>
                <w:p w14:paraId="71D0E09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57" w:type="dxa"/>
                  <w:tcBorders>
                    <w:top w:val="single" w:color="000000" w:sz="4" w:space="0"/>
                    <w:left w:val="single" w:color="000000" w:sz="4" w:space="0"/>
                    <w:bottom w:val="single" w:color="000000" w:sz="4" w:space="0"/>
                    <w:right w:val="single" w:color="auto" w:sz="4" w:space="0"/>
                  </w:tcBorders>
                  <w:vAlign w:val="center"/>
                </w:tcPr>
                <w:p w14:paraId="75458CD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30</w:t>
                  </w:r>
                </w:p>
              </w:tc>
              <w:tc>
                <w:tcPr>
                  <w:tcW w:w="622" w:type="dxa"/>
                  <w:tcBorders>
                    <w:top w:val="single" w:color="000000" w:sz="4" w:space="0"/>
                    <w:left w:val="single" w:color="000000" w:sz="4" w:space="0"/>
                    <w:bottom w:val="single" w:color="000000" w:sz="4" w:space="0"/>
                    <w:right w:val="single" w:color="auto" w:sz="4" w:space="0"/>
                  </w:tcBorders>
                  <w:vAlign w:val="center"/>
                </w:tcPr>
                <w:p w14:paraId="083A3CE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24</w:t>
                  </w:r>
                </w:p>
              </w:tc>
              <w:tc>
                <w:tcPr>
                  <w:tcW w:w="696" w:type="dxa"/>
                  <w:tcBorders>
                    <w:top w:val="single" w:color="000000" w:sz="4" w:space="0"/>
                    <w:left w:val="single" w:color="000000" w:sz="4" w:space="0"/>
                    <w:bottom w:val="single" w:color="000000" w:sz="4" w:space="0"/>
                    <w:right w:val="single" w:color="auto" w:sz="4" w:space="0"/>
                  </w:tcBorders>
                  <w:vAlign w:val="center"/>
                </w:tcPr>
                <w:p w14:paraId="3D3E2C93">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w:t>
                  </w:r>
                  <w:r>
                    <w:rPr>
                      <w:rFonts w:hint="eastAsia" w:ascii="宋体" w:hAnsi="宋体" w:eastAsia="宋体" w:cs="宋体"/>
                      <w:color w:val="auto"/>
                      <w:kern w:val="0"/>
                      <w:sz w:val="18"/>
                      <w:szCs w:val="18"/>
                      <w:highlight w:val="none"/>
                    </w:rPr>
                    <w:t>5</w:t>
                  </w:r>
                </w:p>
              </w:tc>
              <w:tc>
                <w:tcPr>
                  <w:tcW w:w="943" w:type="dxa"/>
                  <w:tcBorders>
                    <w:top w:val="single" w:color="000000" w:sz="4" w:space="0"/>
                    <w:left w:val="single" w:color="auto" w:sz="4" w:space="0"/>
                    <w:bottom w:val="single" w:color="000000" w:sz="4" w:space="0"/>
                    <w:right w:val="single" w:color="000000" w:sz="4" w:space="0"/>
                  </w:tcBorders>
                  <w:vAlign w:val="center"/>
                </w:tcPr>
                <w:p w14:paraId="1540DD05">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莲花洋、六横台门海域</w:t>
                  </w:r>
                </w:p>
              </w:tc>
            </w:tr>
            <w:tr w14:paraId="57CD2899">
              <w:tblPrEx>
                <w:tblCellMar>
                  <w:top w:w="15" w:type="dxa"/>
                  <w:left w:w="15" w:type="dxa"/>
                  <w:bottom w:w="15" w:type="dxa"/>
                  <w:right w:w="15" w:type="dxa"/>
                </w:tblCellMar>
              </w:tblPrEx>
              <w:trPr>
                <w:trHeight w:val="384"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6587CAE1">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四</w:t>
                  </w:r>
                </w:p>
              </w:tc>
              <w:tc>
                <w:tcPr>
                  <w:tcW w:w="690" w:type="dxa"/>
                  <w:tcBorders>
                    <w:top w:val="single" w:color="000000" w:sz="4" w:space="0"/>
                    <w:left w:val="single" w:color="000000" w:sz="4" w:space="0"/>
                    <w:bottom w:val="single" w:color="000000" w:sz="4" w:space="0"/>
                    <w:right w:val="single" w:color="000000" w:sz="4" w:space="0"/>
                  </w:tcBorders>
                  <w:vAlign w:val="center"/>
                </w:tcPr>
                <w:p w14:paraId="257F0D5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黑鲷</w:t>
                  </w:r>
                </w:p>
              </w:tc>
              <w:tc>
                <w:tcPr>
                  <w:tcW w:w="921" w:type="dxa"/>
                  <w:tcBorders>
                    <w:top w:val="single" w:color="000000" w:sz="4" w:space="0"/>
                    <w:left w:val="single" w:color="000000" w:sz="4" w:space="0"/>
                    <w:bottom w:val="single" w:color="000000" w:sz="4" w:space="0"/>
                    <w:right w:val="single" w:color="000000" w:sz="4" w:space="0"/>
                  </w:tcBorders>
                  <w:vAlign w:val="center"/>
                </w:tcPr>
                <w:p w14:paraId="163019F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体</w:t>
                  </w:r>
                  <w:r>
                    <w:rPr>
                      <w:rFonts w:hint="eastAsia" w:ascii="宋体" w:hAnsi="宋体" w:eastAsia="宋体" w:cs="宋体"/>
                      <w:color w:val="auto"/>
                      <w:kern w:val="0"/>
                      <w:sz w:val="18"/>
                      <w:szCs w:val="18"/>
                      <w:highlight w:val="none"/>
                    </w:rPr>
                    <w:t>长≥5cm</w:t>
                  </w:r>
                </w:p>
              </w:tc>
              <w:tc>
                <w:tcPr>
                  <w:tcW w:w="868" w:type="dxa"/>
                  <w:tcBorders>
                    <w:top w:val="nil"/>
                    <w:left w:val="single" w:color="auto" w:sz="4" w:space="0"/>
                    <w:bottom w:val="single" w:color="auto" w:sz="4" w:space="0"/>
                    <w:right w:val="single" w:color="auto" w:sz="4" w:space="0"/>
                  </w:tcBorders>
                  <w:vAlign w:val="center"/>
                </w:tcPr>
                <w:p w14:paraId="4E605A7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0.35</w:t>
                  </w:r>
                </w:p>
              </w:tc>
              <w:tc>
                <w:tcPr>
                  <w:tcW w:w="697" w:type="dxa"/>
                  <w:tcBorders>
                    <w:top w:val="single" w:color="000000" w:sz="4" w:space="0"/>
                    <w:left w:val="single" w:color="000000" w:sz="4" w:space="0"/>
                    <w:bottom w:val="single" w:color="000000" w:sz="4" w:space="0"/>
                    <w:right w:val="single" w:color="000000" w:sz="4" w:space="0"/>
                  </w:tcBorders>
                  <w:vAlign w:val="center"/>
                </w:tcPr>
                <w:p w14:paraId="617B633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125</w:t>
                  </w:r>
                </w:p>
              </w:tc>
              <w:tc>
                <w:tcPr>
                  <w:tcW w:w="985" w:type="dxa"/>
                  <w:tcBorders>
                    <w:top w:val="single" w:color="000000" w:sz="4" w:space="0"/>
                    <w:bottom w:val="single" w:color="000000" w:sz="4" w:space="0"/>
                    <w:right w:val="single" w:color="auto" w:sz="4" w:space="0"/>
                  </w:tcBorders>
                  <w:vAlign w:val="center"/>
                </w:tcPr>
                <w:p w14:paraId="559B1D7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357.1</w:t>
                  </w:r>
                </w:p>
              </w:tc>
              <w:tc>
                <w:tcPr>
                  <w:tcW w:w="793" w:type="dxa"/>
                  <w:tcBorders>
                    <w:top w:val="single" w:color="000000" w:sz="4" w:space="0"/>
                    <w:left w:val="single" w:color="auto" w:sz="4" w:space="0"/>
                    <w:bottom w:val="single" w:color="000000" w:sz="4" w:space="0"/>
                    <w:right w:val="single" w:color="000000" w:sz="4" w:space="0"/>
                  </w:tcBorders>
                  <w:vAlign w:val="center"/>
                </w:tcPr>
                <w:p w14:paraId="3AC60CD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57" w:type="dxa"/>
                  <w:tcBorders>
                    <w:top w:val="single" w:color="000000" w:sz="4" w:space="0"/>
                    <w:left w:val="single" w:color="000000" w:sz="4" w:space="0"/>
                    <w:bottom w:val="single" w:color="000000" w:sz="4" w:space="0"/>
                    <w:right w:val="single" w:color="auto" w:sz="4" w:space="0"/>
                  </w:tcBorders>
                  <w:vAlign w:val="center"/>
                </w:tcPr>
                <w:p w14:paraId="5AE746D5">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65</w:t>
                  </w:r>
                </w:p>
              </w:tc>
              <w:tc>
                <w:tcPr>
                  <w:tcW w:w="622" w:type="dxa"/>
                  <w:tcBorders>
                    <w:top w:val="single" w:color="000000" w:sz="4" w:space="0"/>
                    <w:left w:val="single" w:color="000000" w:sz="4" w:space="0"/>
                    <w:bottom w:val="single" w:color="000000" w:sz="4" w:space="0"/>
                    <w:right w:val="single" w:color="auto" w:sz="4" w:space="0"/>
                  </w:tcBorders>
                  <w:vAlign w:val="center"/>
                </w:tcPr>
                <w:p w14:paraId="75953217">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60</w:t>
                  </w:r>
                </w:p>
              </w:tc>
              <w:tc>
                <w:tcPr>
                  <w:tcW w:w="696" w:type="dxa"/>
                  <w:tcBorders>
                    <w:top w:val="single" w:color="000000" w:sz="4" w:space="0"/>
                    <w:left w:val="single" w:color="000000" w:sz="4" w:space="0"/>
                    <w:bottom w:val="single" w:color="000000" w:sz="4" w:space="0"/>
                    <w:right w:val="single" w:color="auto" w:sz="4" w:space="0"/>
                  </w:tcBorders>
                  <w:vAlign w:val="center"/>
                </w:tcPr>
                <w:p w14:paraId="77AF9EF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rPr>
                    <w:t>5-</w:t>
                  </w:r>
                  <w:r>
                    <w:rPr>
                      <w:rFonts w:hint="eastAsia" w:ascii="宋体" w:hAnsi="宋体" w:eastAsia="宋体" w:cs="宋体"/>
                      <w:color w:val="auto"/>
                      <w:kern w:val="0"/>
                      <w:sz w:val="18"/>
                      <w:szCs w:val="18"/>
                      <w:lang w:val="en-US" w:eastAsia="zh-CN"/>
                    </w:rPr>
                    <w:t>8</w:t>
                  </w:r>
                </w:p>
              </w:tc>
              <w:tc>
                <w:tcPr>
                  <w:tcW w:w="943" w:type="dxa"/>
                  <w:tcBorders>
                    <w:top w:val="single" w:color="000000" w:sz="4" w:space="0"/>
                    <w:left w:val="single" w:color="auto" w:sz="4" w:space="0"/>
                    <w:bottom w:val="single" w:color="000000" w:sz="4" w:space="0"/>
                    <w:right w:val="single" w:color="000000" w:sz="4" w:space="0"/>
                  </w:tcBorders>
                  <w:vAlign w:val="center"/>
                </w:tcPr>
                <w:p w14:paraId="2771E78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白沙海洋牧场、桃花海洋牧场</w:t>
                  </w:r>
                </w:p>
              </w:tc>
            </w:tr>
            <w:tr w14:paraId="30A79E73">
              <w:tblPrEx>
                <w:tblCellMar>
                  <w:top w:w="15" w:type="dxa"/>
                  <w:left w:w="15" w:type="dxa"/>
                  <w:bottom w:w="15" w:type="dxa"/>
                  <w:right w:w="15" w:type="dxa"/>
                </w:tblCellMar>
              </w:tblPrEx>
              <w:trPr>
                <w:trHeight w:val="324"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749B52A4">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五</w:t>
                  </w:r>
                </w:p>
              </w:tc>
              <w:tc>
                <w:tcPr>
                  <w:tcW w:w="690" w:type="dxa"/>
                  <w:tcBorders>
                    <w:top w:val="single" w:color="000000" w:sz="4" w:space="0"/>
                    <w:left w:val="single" w:color="000000" w:sz="4" w:space="0"/>
                    <w:bottom w:val="single" w:color="000000" w:sz="4" w:space="0"/>
                    <w:right w:val="single" w:color="000000" w:sz="4" w:space="0"/>
                  </w:tcBorders>
                  <w:vAlign w:val="center"/>
                </w:tcPr>
                <w:p w14:paraId="05BE4E59">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黄姑鱼</w:t>
                  </w:r>
                </w:p>
              </w:tc>
              <w:tc>
                <w:tcPr>
                  <w:tcW w:w="921" w:type="dxa"/>
                  <w:tcBorders>
                    <w:top w:val="single" w:color="000000" w:sz="4" w:space="0"/>
                    <w:left w:val="single" w:color="000000" w:sz="4" w:space="0"/>
                    <w:bottom w:val="single" w:color="000000" w:sz="4" w:space="0"/>
                    <w:right w:val="single" w:color="000000" w:sz="4" w:space="0"/>
                  </w:tcBorders>
                  <w:vAlign w:val="center"/>
                </w:tcPr>
                <w:p w14:paraId="70D06E0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体长≥5cm</w:t>
                  </w:r>
                </w:p>
              </w:tc>
              <w:tc>
                <w:tcPr>
                  <w:tcW w:w="868" w:type="dxa"/>
                  <w:tcBorders>
                    <w:top w:val="nil"/>
                    <w:left w:val="nil"/>
                    <w:bottom w:val="single" w:color="auto" w:sz="4" w:space="0"/>
                    <w:right w:val="single" w:color="auto" w:sz="4" w:space="0"/>
                  </w:tcBorders>
                  <w:vAlign w:val="center"/>
                </w:tcPr>
                <w:p w14:paraId="071A814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0.</w:t>
                  </w:r>
                  <w:r>
                    <w:rPr>
                      <w:rFonts w:hint="eastAsia" w:ascii="宋体" w:hAnsi="宋体" w:eastAsia="宋体" w:cs="宋体"/>
                      <w:color w:val="auto"/>
                      <w:kern w:val="0"/>
                      <w:sz w:val="18"/>
                      <w:szCs w:val="18"/>
                      <w:highlight w:val="none"/>
                      <w:lang w:val="en-US" w:eastAsia="zh-CN"/>
                    </w:rPr>
                    <w:t>4</w:t>
                  </w:r>
                </w:p>
              </w:tc>
              <w:tc>
                <w:tcPr>
                  <w:tcW w:w="697" w:type="dxa"/>
                  <w:tcBorders>
                    <w:top w:val="single" w:color="000000" w:sz="4" w:space="0"/>
                    <w:left w:val="single" w:color="000000" w:sz="4" w:space="0"/>
                    <w:bottom w:val="single" w:color="000000" w:sz="4" w:space="0"/>
                    <w:right w:val="single" w:color="000000" w:sz="4" w:space="0"/>
                  </w:tcBorders>
                  <w:vAlign w:val="center"/>
                </w:tcPr>
                <w:p w14:paraId="1EDF30A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32</w:t>
                  </w:r>
                </w:p>
              </w:tc>
              <w:tc>
                <w:tcPr>
                  <w:tcW w:w="985" w:type="dxa"/>
                  <w:tcBorders>
                    <w:top w:val="single" w:color="000000" w:sz="4" w:space="0"/>
                    <w:bottom w:val="single" w:color="000000" w:sz="4" w:space="0"/>
                    <w:right w:val="single" w:color="auto" w:sz="4" w:space="0"/>
                  </w:tcBorders>
                  <w:vAlign w:val="center"/>
                </w:tcPr>
                <w:p w14:paraId="7359592A">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80</w:t>
                  </w:r>
                </w:p>
              </w:tc>
              <w:tc>
                <w:tcPr>
                  <w:tcW w:w="793" w:type="dxa"/>
                  <w:tcBorders>
                    <w:top w:val="single" w:color="000000" w:sz="4" w:space="0"/>
                    <w:left w:val="single" w:color="auto" w:sz="4" w:space="0"/>
                    <w:bottom w:val="single" w:color="000000" w:sz="4" w:space="0"/>
                    <w:right w:val="single" w:color="000000" w:sz="4" w:space="0"/>
                  </w:tcBorders>
                  <w:vAlign w:val="center"/>
                </w:tcPr>
                <w:p w14:paraId="45BEA7C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w:t>
                  </w:r>
                </w:p>
              </w:tc>
              <w:tc>
                <w:tcPr>
                  <w:tcW w:w="557" w:type="dxa"/>
                  <w:tcBorders>
                    <w:top w:val="single" w:color="000000" w:sz="4" w:space="0"/>
                    <w:left w:val="single" w:color="000000" w:sz="4" w:space="0"/>
                    <w:bottom w:val="single" w:color="000000" w:sz="4" w:space="0"/>
                    <w:right w:val="single" w:color="auto" w:sz="4" w:space="0"/>
                  </w:tcBorders>
                  <w:vAlign w:val="center"/>
                </w:tcPr>
                <w:p w14:paraId="3E3853F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32</w:t>
                  </w:r>
                </w:p>
              </w:tc>
              <w:tc>
                <w:tcPr>
                  <w:tcW w:w="622" w:type="dxa"/>
                  <w:tcBorders>
                    <w:top w:val="single" w:color="000000" w:sz="4" w:space="0"/>
                    <w:left w:val="single" w:color="000000" w:sz="4" w:space="0"/>
                    <w:bottom w:val="single" w:color="000000" w:sz="4" w:space="0"/>
                    <w:right w:val="single" w:color="auto" w:sz="4" w:space="0"/>
                  </w:tcBorders>
                  <w:vAlign w:val="center"/>
                </w:tcPr>
                <w:p w14:paraId="11F910AE">
                  <w:pPr>
                    <w:widowControl/>
                    <w:jc w:val="left"/>
                    <w:rPr>
                      <w:rFonts w:hint="eastAsia" w:ascii="宋体" w:hAnsi="宋体" w:eastAsia="宋体" w:cs="宋体"/>
                      <w:color w:val="auto"/>
                      <w:kern w:val="0"/>
                      <w:sz w:val="18"/>
                      <w:szCs w:val="18"/>
                    </w:rPr>
                  </w:pPr>
                </w:p>
              </w:tc>
              <w:tc>
                <w:tcPr>
                  <w:tcW w:w="696" w:type="dxa"/>
                  <w:tcBorders>
                    <w:top w:val="single" w:color="000000" w:sz="4" w:space="0"/>
                    <w:left w:val="single" w:color="000000" w:sz="4" w:space="0"/>
                    <w:bottom w:val="single" w:color="000000" w:sz="4" w:space="0"/>
                    <w:right w:val="single" w:color="auto" w:sz="4" w:space="0"/>
                  </w:tcBorders>
                  <w:vAlign w:val="center"/>
                </w:tcPr>
                <w:p w14:paraId="1B01ABA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6-8</w:t>
                  </w:r>
                </w:p>
              </w:tc>
              <w:tc>
                <w:tcPr>
                  <w:tcW w:w="943" w:type="dxa"/>
                  <w:tcBorders>
                    <w:top w:val="single" w:color="000000" w:sz="4" w:space="0"/>
                    <w:left w:val="single" w:color="auto" w:sz="4" w:space="0"/>
                    <w:bottom w:val="single" w:color="000000" w:sz="4" w:space="0"/>
                    <w:right w:val="single" w:color="000000" w:sz="4" w:space="0"/>
                  </w:tcBorders>
                  <w:vAlign w:val="center"/>
                </w:tcPr>
                <w:p w14:paraId="2A238B66">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莲花洋</w:t>
                  </w:r>
                </w:p>
              </w:tc>
            </w:tr>
            <w:tr w14:paraId="390D5BDD">
              <w:tblPrEx>
                <w:tblCellMar>
                  <w:top w:w="15" w:type="dxa"/>
                  <w:left w:w="15" w:type="dxa"/>
                  <w:bottom w:w="15" w:type="dxa"/>
                  <w:right w:w="15" w:type="dxa"/>
                </w:tblCellMar>
              </w:tblPrEx>
              <w:trPr>
                <w:trHeight w:val="368"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297665D0">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六</w:t>
                  </w:r>
                </w:p>
              </w:tc>
              <w:tc>
                <w:tcPr>
                  <w:tcW w:w="690" w:type="dxa"/>
                  <w:tcBorders>
                    <w:top w:val="single" w:color="000000" w:sz="4" w:space="0"/>
                    <w:left w:val="single" w:color="000000" w:sz="4" w:space="0"/>
                    <w:bottom w:val="single" w:color="000000" w:sz="4" w:space="0"/>
                    <w:right w:val="single" w:color="000000" w:sz="4" w:space="0"/>
                  </w:tcBorders>
                  <w:vAlign w:val="center"/>
                </w:tcPr>
                <w:p w14:paraId="3E2CB3B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rPr>
                    <w:t>三疣梭子蟹</w:t>
                  </w:r>
                </w:p>
              </w:tc>
              <w:tc>
                <w:tcPr>
                  <w:tcW w:w="921" w:type="dxa"/>
                  <w:tcBorders>
                    <w:top w:val="single" w:color="000000" w:sz="4" w:space="0"/>
                    <w:left w:val="single" w:color="000000" w:sz="4" w:space="0"/>
                    <w:bottom w:val="single" w:color="000000" w:sz="4" w:space="0"/>
                    <w:right w:val="single" w:color="000000" w:sz="4" w:space="0"/>
                  </w:tcBorders>
                  <w:vAlign w:val="center"/>
                </w:tcPr>
                <w:p w14:paraId="53F6E3B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仔蟹</w:t>
                  </w:r>
                  <w:r>
                    <w:rPr>
                      <w:rFonts w:hint="eastAsia" w:ascii="宋体" w:hAnsi="宋体" w:eastAsia="宋体" w:cs="宋体"/>
                      <w:color w:val="auto"/>
                      <w:kern w:val="0"/>
                      <w:sz w:val="18"/>
                      <w:szCs w:val="18"/>
                      <w:highlight w:val="none"/>
                    </w:rPr>
                    <w:t>Ⅲ期</w:t>
                  </w:r>
                  <w:r>
                    <w:rPr>
                      <w:rFonts w:hint="eastAsia" w:ascii="宋体" w:hAnsi="宋体" w:eastAsia="宋体" w:cs="宋体"/>
                      <w:color w:val="auto"/>
                      <w:kern w:val="0"/>
                      <w:sz w:val="18"/>
                      <w:szCs w:val="18"/>
                      <w:highlight w:val="none"/>
                      <w:vertAlign w:val="superscript"/>
                    </w:rPr>
                    <w:t>＊</w:t>
                  </w:r>
                </w:p>
              </w:tc>
              <w:tc>
                <w:tcPr>
                  <w:tcW w:w="868" w:type="dxa"/>
                  <w:tcBorders>
                    <w:top w:val="nil"/>
                    <w:left w:val="nil"/>
                    <w:bottom w:val="single" w:color="auto" w:sz="4" w:space="0"/>
                    <w:right w:val="single" w:color="auto" w:sz="4" w:space="0"/>
                  </w:tcBorders>
                  <w:vAlign w:val="center"/>
                </w:tcPr>
                <w:p w14:paraId="418BEAAE">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0.1</w:t>
                  </w:r>
                </w:p>
              </w:tc>
              <w:tc>
                <w:tcPr>
                  <w:tcW w:w="697" w:type="dxa"/>
                  <w:tcBorders>
                    <w:top w:val="single" w:color="000000" w:sz="4" w:space="0"/>
                    <w:left w:val="single" w:color="000000" w:sz="4" w:space="0"/>
                    <w:bottom w:val="single" w:color="000000" w:sz="4" w:space="0"/>
                    <w:right w:val="single" w:color="000000" w:sz="4" w:space="0"/>
                  </w:tcBorders>
                  <w:vAlign w:val="center"/>
                </w:tcPr>
                <w:p w14:paraId="2FB6FC50">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51</w:t>
                  </w:r>
                </w:p>
              </w:tc>
              <w:tc>
                <w:tcPr>
                  <w:tcW w:w="985" w:type="dxa"/>
                  <w:tcBorders>
                    <w:top w:val="single" w:color="000000" w:sz="4" w:space="0"/>
                    <w:bottom w:val="single" w:color="000000" w:sz="4" w:space="0"/>
                    <w:right w:val="single" w:color="auto" w:sz="4" w:space="0"/>
                  </w:tcBorders>
                  <w:vAlign w:val="center"/>
                </w:tcPr>
                <w:p w14:paraId="19FA6082">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510</w:t>
                  </w:r>
                </w:p>
              </w:tc>
              <w:tc>
                <w:tcPr>
                  <w:tcW w:w="793" w:type="dxa"/>
                  <w:tcBorders>
                    <w:top w:val="single" w:color="000000" w:sz="4" w:space="0"/>
                    <w:left w:val="single" w:color="auto" w:sz="4" w:space="0"/>
                    <w:bottom w:val="single" w:color="000000" w:sz="4" w:space="0"/>
                    <w:right w:val="single" w:color="000000" w:sz="4" w:space="0"/>
                  </w:tcBorders>
                  <w:vAlign w:val="center"/>
                </w:tcPr>
                <w:p w14:paraId="35550DB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w:t>
                  </w:r>
                </w:p>
              </w:tc>
              <w:tc>
                <w:tcPr>
                  <w:tcW w:w="557" w:type="dxa"/>
                  <w:tcBorders>
                    <w:top w:val="single" w:color="000000" w:sz="4" w:space="0"/>
                    <w:left w:val="single" w:color="000000" w:sz="4" w:space="0"/>
                    <w:bottom w:val="single" w:color="000000" w:sz="4" w:space="0"/>
                    <w:right w:val="single" w:color="auto" w:sz="4" w:space="0"/>
                  </w:tcBorders>
                  <w:vAlign w:val="center"/>
                </w:tcPr>
                <w:p w14:paraId="1AFC82B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28</w:t>
                  </w:r>
                </w:p>
              </w:tc>
              <w:tc>
                <w:tcPr>
                  <w:tcW w:w="622" w:type="dxa"/>
                  <w:tcBorders>
                    <w:top w:val="single" w:color="000000" w:sz="4" w:space="0"/>
                    <w:left w:val="single" w:color="000000" w:sz="4" w:space="0"/>
                    <w:bottom w:val="single" w:color="000000" w:sz="4" w:space="0"/>
                    <w:right w:val="single" w:color="auto" w:sz="4" w:space="0"/>
                  </w:tcBorders>
                  <w:vAlign w:val="center"/>
                </w:tcPr>
                <w:p w14:paraId="64309B9F">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23</w:t>
                  </w:r>
                </w:p>
              </w:tc>
              <w:tc>
                <w:tcPr>
                  <w:tcW w:w="696" w:type="dxa"/>
                  <w:tcBorders>
                    <w:top w:val="single" w:color="000000" w:sz="4" w:space="0"/>
                    <w:left w:val="single" w:color="000000" w:sz="4" w:space="0"/>
                    <w:bottom w:val="single" w:color="000000" w:sz="4" w:space="0"/>
                    <w:right w:val="single" w:color="auto" w:sz="4" w:space="0"/>
                  </w:tcBorders>
                  <w:vAlign w:val="center"/>
                </w:tcPr>
                <w:p w14:paraId="37CF127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val="en-US" w:eastAsia="zh-CN"/>
                    </w:rPr>
                    <w:t>5-7</w:t>
                  </w:r>
                </w:p>
              </w:tc>
              <w:tc>
                <w:tcPr>
                  <w:tcW w:w="943" w:type="dxa"/>
                  <w:tcBorders>
                    <w:top w:val="single" w:color="000000" w:sz="4" w:space="0"/>
                    <w:left w:val="single" w:color="auto" w:sz="4" w:space="0"/>
                    <w:bottom w:val="single" w:color="000000" w:sz="4" w:space="0"/>
                    <w:right w:val="single" w:color="000000" w:sz="4" w:space="0"/>
                  </w:tcBorders>
                  <w:vAlign w:val="center"/>
                </w:tcPr>
                <w:p w14:paraId="1E04CBDB">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 xml:space="preserve">莲花洋 </w:t>
                  </w:r>
                </w:p>
              </w:tc>
            </w:tr>
            <w:tr w14:paraId="3A8941B9">
              <w:tblPrEx>
                <w:tblCellMar>
                  <w:top w:w="15" w:type="dxa"/>
                  <w:left w:w="15" w:type="dxa"/>
                  <w:bottom w:w="15" w:type="dxa"/>
                  <w:right w:w="15" w:type="dxa"/>
                </w:tblCellMar>
              </w:tblPrEx>
              <w:trPr>
                <w:trHeight w:val="340" w:hRule="atLeast"/>
              </w:trPr>
              <w:tc>
                <w:tcPr>
                  <w:tcW w:w="451" w:type="dxa"/>
                  <w:tcBorders>
                    <w:top w:val="single" w:color="000000" w:sz="4" w:space="0"/>
                    <w:left w:val="single" w:color="000000" w:sz="4" w:space="0"/>
                    <w:bottom w:val="single" w:color="000000" w:sz="4" w:space="0"/>
                    <w:right w:val="single" w:color="000000" w:sz="4" w:space="0"/>
                  </w:tcBorders>
                  <w:vAlign w:val="center"/>
                </w:tcPr>
                <w:p w14:paraId="5089F5D1">
                  <w:pPr>
                    <w:widowControl/>
                    <w:jc w:val="center"/>
                    <w:rPr>
                      <w:rFonts w:hint="eastAsia" w:ascii="宋体" w:hAnsi="宋体" w:eastAsia="宋体" w:cs="宋体"/>
                      <w:b/>
                      <w:bCs/>
                      <w:color w:val="auto"/>
                      <w:kern w:val="0"/>
                      <w:sz w:val="18"/>
                      <w:szCs w:val="18"/>
                    </w:rPr>
                  </w:pPr>
                  <w:r>
                    <w:rPr>
                      <w:rFonts w:hint="eastAsia" w:ascii="宋体" w:hAnsi="宋体" w:eastAsia="宋体" w:cs="宋体"/>
                      <w:b/>
                      <w:bCs/>
                      <w:color w:val="auto"/>
                      <w:kern w:val="0"/>
                      <w:sz w:val="18"/>
                      <w:szCs w:val="18"/>
                    </w:rPr>
                    <w:t>七</w:t>
                  </w:r>
                </w:p>
              </w:tc>
              <w:tc>
                <w:tcPr>
                  <w:tcW w:w="690" w:type="dxa"/>
                  <w:tcBorders>
                    <w:top w:val="single" w:color="000000" w:sz="4" w:space="0"/>
                    <w:left w:val="single" w:color="000000" w:sz="4" w:space="0"/>
                    <w:bottom w:val="single" w:color="000000" w:sz="4" w:space="0"/>
                    <w:right w:val="single" w:color="000000" w:sz="4" w:space="0"/>
                  </w:tcBorders>
                  <w:vAlign w:val="center"/>
                </w:tcPr>
                <w:p w14:paraId="57A8262C">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eastAsia="zh-CN"/>
                    </w:rPr>
                    <w:t>褐菖鲉</w:t>
                  </w:r>
                </w:p>
              </w:tc>
              <w:tc>
                <w:tcPr>
                  <w:tcW w:w="921" w:type="dxa"/>
                  <w:tcBorders>
                    <w:top w:val="single" w:color="000000" w:sz="4" w:space="0"/>
                    <w:left w:val="single" w:color="000000" w:sz="4" w:space="0"/>
                    <w:bottom w:val="single" w:color="000000" w:sz="4" w:space="0"/>
                    <w:right w:val="single" w:color="000000" w:sz="4" w:space="0"/>
                  </w:tcBorders>
                  <w:vAlign w:val="center"/>
                </w:tcPr>
                <w:p w14:paraId="68CD384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体</w:t>
                  </w:r>
                  <w:r>
                    <w:rPr>
                      <w:rFonts w:hint="eastAsia" w:ascii="宋体" w:hAnsi="宋体" w:eastAsia="宋体" w:cs="宋体"/>
                      <w:color w:val="auto"/>
                      <w:kern w:val="0"/>
                      <w:sz w:val="18"/>
                      <w:szCs w:val="18"/>
                      <w:highlight w:val="none"/>
                    </w:rPr>
                    <w:t>长≥</w:t>
                  </w:r>
                  <w:r>
                    <w:rPr>
                      <w:rFonts w:hint="eastAsia" w:ascii="宋体" w:hAnsi="宋体" w:eastAsia="宋体" w:cs="宋体"/>
                      <w:color w:val="auto"/>
                      <w:kern w:val="0"/>
                      <w:sz w:val="18"/>
                      <w:szCs w:val="18"/>
                      <w:highlight w:val="none"/>
                      <w:lang w:val="en-US" w:eastAsia="zh-CN"/>
                    </w:rPr>
                    <w:t>3</w:t>
                  </w:r>
                  <w:r>
                    <w:rPr>
                      <w:rFonts w:hint="eastAsia" w:ascii="宋体" w:hAnsi="宋体" w:eastAsia="宋体" w:cs="宋体"/>
                      <w:color w:val="auto"/>
                      <w:kern w:val="0"/>
                      <w:sz w:val="18"/>
                      <w:szCs w:val="18"/>
                      <w:highlight w:val="none"/>
                    </w:rPr>
                    <w:t>cm</w:t>
                  </w:r>
                </w:p>
              </w:tc>
              <w:tc>
                <w:tcPr>
                  <w:tcW w:w="868" w:type="dxa"/>
                  <w:tcBorders>
                    <w:top w:val="nil"/>
                    <w:left w:val="single" w:color="auto" w:sz="4" w:space="0"/>
                    <w:bottom w:val="single" w:color="auto" w:sz="4" w:space="0"/>
                    <w:right w:val="single" w:color="auto" w:sz="4" w:space="0"/>
                  </w:tcBorders>
                  <w:vAlign w:val="center"/>
                </w:tcPr>
                <w:p w14:paraId="23F40063">
                  <w:pPr>
                    <w:widowControl/>
                    <w:jc w:val="center"/>
                    <w:rPr>
                      <w:rFonts w:hint="eastAsia" w:ascii="宋体" w:hAnsi="宋体" w:eastAsia="宋体" w:cs="宋体"/>
                      <w:color w:val="auto"/>
                      <w:kern w:val="0"/>
                      <w:sz w:val="18"/>
                      <w:szCs w:val="18"/>
                    </w:rPr>
                  </w:pPr>
                  <w:r>
                    <w:rPr>
                      <w:rFonts w:hint="eastAsia" w:ascii="宋体" w:hAnsi="宋体" w:eastAsia="宋体" w:cs="宋体"/>
                      <w:b w:val="0"/>
                      <w:bCs w:val="0"/>
                      <w:color w:val="auto"/>
                      <w:kern w:val="0"/>
                      <w:sz w:val="18"/>
                      <w:szCs w:val="18"/>
                      <w:highlight w:val="none"/>
                      <w:lang w:val="en-US" w:eastAsia="zh-CN"/>
                    </w:rPr>
                    <w:t>2.5</w:t>
                  </w:r>
                </w:p>
              </w:tc>
              <w:tc>
                <w:tcPr>
                  <w:tcW w:w="697" w:type="dxa"/>
                  <w:tcBorders>
                    <w:top w:val="single" w:color="000000" w:sz="4" w:space="0"/>
                    <w:left w:val="single" w:color="000000" w:sz="4" w:space="0"/>
                    <w:bottom w:val="single" w:color="000000" w:sz="4" w:space="0"/>
                    <w:right w:val="single" w:color="000000" w:sz="4" w:space="0"/>
                  </w:tcBorders>
                  <w:vAlign w:val="center"/>
                </w:tcPr>
                <w:p w14:paraId="62BFA995">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40</w:t>
                  </w:r>
                </w:p>
              </w:tc>
              <w:tc>
                <w:tcPr>
                  <w:tcW w:w="985" w:type="dxa"/>
                  <w:tcBorders>
                    <w:top w:val="single" w:color="000000" w:sz="4" w:space="0"/>
                    <w:bottom w:val="single" w:color="000000" w:sz="4" w:space="0"/>
                    <w:right w:val="single" w:color="auto" w:sz="4" w:space="0"/>
                  </w:tcBorders>
                  <w:vAlign w:val="center"/>
                </w:tcPr>
                <w:p w14:paraId="6DD9AE3D">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16</w:t>
                  </w:r>
                </w:p>
              </w:tc>
              <w:tc>
                <w:tcPr>
                  <w:tcW w:w="793" w:type="dxa"/>
                  <w:tcBorders>
                    <w:top w:val="single" w:color="000000" w:sz="4" w:space="0"/>
                    <w:left w:val="single" w:color="auto" w:sz="4" w:space="0"/>
                    <w:bottom w:val="single" w:color="000000" w:sz="4" w:space="0"/>
                    <w:right w:val="single" w:color="000000" w:sz="4" w:space="0"/>
                  </w:tcBorders>
                  <w:vAlign w:val="center"/>
                </w:tcPr>
                <w:p w14:paraId="52FE56B1">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1</w:t>
                  </w:r>
                </w:p>
              </w:tc>
              <w:tc>
                <w:tcPr>
                  <w:tcW w:w="557" w:type="dxa"/>
                  <w:tcBorders>
                    <w:top w:val="single" w:color="000000" w:sz="4" w:space="0"/>
                    <w:left w:val="single" w:color="000000" w:sz="4" w:space="0"/>
                    <w:bottom w:val="single" w:color="000000" w:sz="4" w:space="0"/>
                    <w:right w:val="single" w:color="auto" w:sz="4" w:space="0"/>
                  </w:tcBorders>
                  <w:vAlign w:val="center"/>
                </w:tcPr>
                <w:p w14:paraId="025099F3">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40</w:t>
                  </w:r>
                </w:p>
              </w:tc>
              <w:tc>
                <w:tcPr>
                  <w:tcW w:w="622" w:type="dxa"/>
                  <w:tcBorders>
                    <w:top w:val="single" w:color="000000" w:sz="4" w:space="0"/>
                    <w:left w:val="single" w:color="000000" w:sz="4" w:space="0"/>
                    <w:bottom w:val="single" w:color="000000" w:sz="4" w:space="0"/>
                    <w:right w:val="single" w:color="auto" w:sz="4" w:space="0"/>
                  </w:tcBorders>
                  <w:vAlign w:val="center"/>
                </w:tcPr>
                <w:p w14:paraId="692EA3FD">
                  <w:pPr>
                    <w:widowControl/>
                    <w:jc w:val="center"/>
                    <w:rPr>
                      <w:rFonts w:hint="eastAsia" w:ascii="宋体" w:hAnsi="宋体" w:eastAsia="宋体" w:cs="宋体"/>
                      <w:color w:val="auto"/>
                      <w:kern w:val="0"/>
                      <w:sz w:val="18"/>
                      <w:szCs w:val="18"/>
                    </w:rPr>
                  </w:pPr>
                </w:p>
              </w:tc>
              <w:tc>
                <w:tcPr>
                  <w:tcW w:w="696" w:type="dxa"/>
                  <w:tcBorders>
                    <w:top w:val="single" w:color="000000" w:sz="4" w:space="0"/>
                    <w:left w:val="single" w:color="000000" w:sz="4" w:space="0"/>
                    <w:bottom w:val="single" w:color="000000" w:sz="4" w:space="0"/>
                    <w:right w:val="single" w:color="auto" w:sz="4" w:space="0"/>
                  </w:tcBorders>
                  <w:vAlign w:val="center"/>
                </w:tcPr>
                <w:p w14:paraId="3D56214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5-8</w:t>
                  </w:r>
                </w:p>
              </w:tc>
              <w:tc>
                <w:tcPr>
                  <w:tcW w:w="943" w:type="dxa"/>
                  <w:tcBorders>
                    <w:top w:val="single" w:color="000000" w:sz="4" w:space="0"/>
                    <w:left w:val="single" w:color="auto" w:sz="4" w:space="0"/>
                    <w:bottom w:val="single" w:color="000000" w:sz="4" w:space="0"/>
                    <w:right w:val="single" w:color="000000" w:sz="4" w:space="0"/>
                  </w:tcBorders>
                  <w:vAlign w:val="center"/>
                </w:tcPr>
                <w:p w14:paraId="2C46FDF4">
                  <w:pPr>
                    <w:widowControl/>
                    <w:jc w:val="center"/>
                    <w:rPr>
                      <w:rFonts w:hint="eastAsia" w:ascii="宋体" w:hAnsi="宋体" w:eastAsia="宋体" w:cs="宋体"/>
                      <w:color w:val="auto"/>
                      <w:kern w:val="0"/>
                      <w:sz w:val="18"/>
                      <w:szCs w:val="18"/>
                    </w:rPr>
                  </w:pPr>
                  <w:r>
                    <w:rPr>
                      <w:rFonts w:hint="eastAsia" w:ascii="宋体" w:hAnsi="宋体" w:eastAsia="宋体" w:cs="宋体"/>
                      <w:color w:val="auto"/>
                      <w:kern w:val="0"/>
                      <w:sz w:val="18"/>
                      <w:szCs w:val="18"/>
                      <w:highlight w:val="none"/>
                      <w:lang w:val="en-US" w:eastAsia="zh-CN"/>
                    </w:rPr>
                    <w:t>东极海洋牧场、白沙海洋牧场</w:t>
                  </w:r>
                </w:p>
              </w:tc>
            </w:tr>
          </w:tbl>
          <w:p w14:paraId="228A3720">
            <w:pPr>
              <w:ind w:firstLine="422" w:firstLineChars="200"/>
              <w:rPr>
                <w:rFonts w:hint="eastAsia" w:ascii="宋体" w:hAnsi="宋体" w:eastAsia="宋体"/>
                <w:b/>
                <w:color w:val="auto"/>
                <w:szCs w:val="21"/>
              </w:rPr>
            </w:pPr>
            <w:r>
              <w:rPr>
                <w:rFonts w:hint="eastAsia" w:ascii="宋体" w:hAnsi="宋体" w:eastAsia="宋体"/>
                <w:b/>
                <w:color w:val="auto"/>
                <w:szCs w:val="21"/>
              </w:rPr>
              <w:t>备注：表中苗种单位为尾、粒、个、只等表示单个苗种的单位。表中“＊”表示三疣梭子蟹放流规格为仔蟹Ⅱ-Ⅳ期，以仔蟹Ⅲ期为主，其中仔蟹Ⅱ期参考单价为0.06元/单位，仔蟹Ⅳ期参考单价为0.2元/单位，按具体放流比例结算价格。</w:t>
            </w:r>
          </w:p>
          <w:p w14:paraId="1216C88E">
            <w:pPr>
              <w:ind w:firstLine="422" w:firstLineChars="200"/>
              <w:rPr>
                <w:rFonts w:hint="eastAsia" w:ascii="宋体" w:hAnsi="宋体" w:eastAsia="宋体" w:cs="宋体"/>
                <w:b/>
                <w:color w:val="auto"/>
                <w:kern w:val="0"/>
                <w:szCs w:val="21"/>
              </w:rPr>
            </w:pPr>
            <w:r>
              <w:rPr>
                <w:rFonts w:hint="eastAsia" w:ascii="宋体" w:hAnsi="宋体" w:eastAsia="宋体"/>
                <w:b/>
                <w:color w:val="auto"/>
                <w:szCs w:val="21"/>
              </w:rPr>
              <w:t>投标人可以进行一个标项或多个标项的投标。</w:t>
            </w:r>
            <w:r>
              <w:rPr>
                <w:rFonts w:hint="eastAsia" w:ascii="宋体" w:hAnsi="宋体" w:eastAsia="宋体" w:cs="宋体"/>
                <w:b/>
                <w:color w:val="auto"/>
                <w:kern w:val="0"/>
                <w:szCs w:val="21"/>
              </w:rPr>
              <w:t>曼氏无针乌贼受精卵报价中应包含在放流海区受精卵待孵化期间的管理费。</w:t>
            </w:r>
          </w:p>
        </w:tc>
      </w:tr>
      <w:tr w14:paraId="5C368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5A9B78">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3BD6BE">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本项目预算</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7764" w:type="dxa"/>
              <w:tblInd w:w="175" w:type="dxa"/>
              <w:tblLayout w:type="fixed"/>
              <w:tblCellMar>
                <w:top w:w="0" w:type="dxa"/>
                <w:left w:w="108" w:type="dxa"/>
                <w:bottom w:w="0" w:type="dxa"/>
                <w:right w:w="108" w:type="dxa"/>
              </w:tblCellMar>
            </w:tblPr>
            <w:tblGrid>
              <w:gridCol w:w="804"/>
              <w:gridCol w:w="1664"/>
              <w:gridCol w:w="1059"/>
              <w:gridCol w:w="1191"/>
              <w:gridCol w:w="1589"/>
              <w:gridCol w:w="1457"/>
            </w:tblGrid>
            <w:tr w14:paraId="79BD5BFD">
              <w:tblPrEx>
                <w:tblCellMar>
                  <w:top w:w="0" w:type="dxa"/>
                  <w:left w:w="108" w:type="dxa"/>
                  <w:bottom w:w="0" w:type="dxa"/>
                  <w:right w:w="108" w:type="dxa"/>
                </w:tblCellMar>
              </w:tblPrEx>
              <w:trPr>
                <w:trHeight w:val="90" w:hRule="atLeast"/>
              </w:trPr>
              <w:tc>
                <w:tcPr>
                  <w:tcW w:w="804" w:type="dxa"/>
                  <w:vMerge w:val="restart"/>
                  <w:tcBorders>
                    <w:top w:val="single" w:color="auto" w:sz="4" w:space="0"/>
                    <w:left w:val="single" w:color="auto" w:sz="4" w:space="0"/>
                    <w:bottom w:val="single" w:color="auto" w:sz="4" w:space="0"/>
                    <w:right w:val="single" w:color="auto" w:sz="4" w:space="0"/>
                  </w:tcBorders>
                  <w:vAlign w:val="center"/>
                </w:tcPr>
                <w:p w14:paraId="3FD4A42A">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标项</w:t>
                  </w:r>
                </w:p>
              </w:tc>
              <w:tc>
                <w:tcPr>
                  <w:tcW w:w="1664" w:type="dxa"/>
                  <w:vMerge w:val="restart"/>
                  <w:tcBorders>
                    <w:top w:val="single" w:color="auto" w:sz="4" w:space="0"/>
                    <w:left w:val="single" w:color="auto" w:sz="4" w:space="0"/>
                    <w:bottom w:val="single" w:color="auto" w:sz="4" w:space="0"/>
                    <w:right w:val="single" w:color="auto" w:sz="4" w:space="0"/>
                  </w:tcBorders>
                  <w:vAlign w:val="center"/>
                </w:tcPr>
                <w:p w14:paraId="201C4165">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种类</w:t>
                  </w: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6C4F4E90">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种苗费(万元)</w:t>
                  </w:r>
                </w:p>
              </w:tc>
              <w:tc>
                <w:tcPr>
                  <w:tcW w:w="1191" w:type="dxa"/>
                  <w:vMerge w:val="restart"/>
                  <w:tcBorders>
                    <w:top w:val="single" w:color="auto" w:sz="4" w:space="0"/>
                    <w:left w:val="single" w:color="auto" w:sz="4" w:space="0"/>
                    <w:bottom w:val="single" w:color="auto" w:sz="4" w:space="0"/>
                    <w:right w:val="single" w:color="auto" w:sz="4" w:space="0"/>
                  </w:tcBorders>
                  <w:vAlign w:val="center"/>
                </w:tcPr>
                <w:p w14:paraId="53224222">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拟中标单位(家)</w:t>
                  </w:r>
                </w:p>
              </w:tc>
              <w:tc>
                <w:tcPr>
                  <w:tcW w:w="3046" w:type="dxa"/>
                  <w:gridSpan w:val="2"/>
                  <w:tcBorders>
                    <w:top w:val="single" w:color="auto" w:sz="4" w:space="0"/>
                    <w:left w:val="nil"/>
                    <w:bottom w:val="single" w:color="auto" w:sz="4" w:space="0"/>
                    <w:right w:val="single" w:color="000000" w:sz="4" w:space="0"/>
                  </w:tcBorders>
                  <w:vAlign w:val="center"/>
                </w:tcPr>
                <w:p w14:paraId="162562E1">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中标单位种苗费分配(万元)</w:t>
                  </w:r>
                </w:p>
              </w:tc>
            </w:tr>
            <w:tr w14:paraId="78C18D52">
              <w:tblPrEx>
                <w:tblCellMar>
                  <w:top w:w="0" w:type="dxa"/>
                  <w:left w:w="108" w:type="dxa"/>
                  <w:bottom w:w="0" w:type="dxa"/>
                  <w:right w:w="108" w:type="dxa"/>
                </w:tblCellMar>
              </w:tblPrEx>
              <w:trPr>
                <w:trHeight w:val="274" w:hRule="atLeast"/>
              </w:trPr>
              <w:tc>
                <w:tcPr>
                  <w:tcW w:w="804" w:type="dxa"/>
                  <w:vMerge w:val="continue"/>
                  <w:tcBorders>
                    <w:top w:val="single" w:color="auto" w:sz="4" w:space="0"/>
                    <w:left w:val="single" w:color="auto" w:sz="4" w:space="0"/>
                    <w:bottom w:val="single" w:color="auto" w:sz="4" w:space="0"/>
                    <w:right w:val="single" w:color="auto" w:sz="4" w:space="0"/>
                  </w:tcBorders>
                  <w:vAlign w:val="center"/>
                </w:tcPr>
                <w:p w14:paraId="4048557D">
                  <w:pPr>
                    <w:widowControl/>
                    <w:spacing w:line="240" w:lineRule="exact"/>
                    <w:jc w:val="left"/>
                    <w:rPr>
                      <w:rFonts w:hint="eastAsia" w:ascii="宋体" w:hAnsi="宋体" w:eastAsia="宋体" w:cs="宋体"/>
                      <w:b/>
                      <w:bCs/>
                      <w:color w:val="auto"/>
                      <w:kern w:val="0"/>
                      <w:sz w:val="21"/>
                      <w:szCs w:val="21"/>
                    </w:rPr>
                  </w:pPr>
                </w:p>
              </w:tc>
              <w:tc>
                <w:tcPr>
                  <w:tcW w:w="1664" w:type="dxa"/>
                  <w:vMerge w:val="continue"/>
                  <w:tcBorders>
                    <w:top w:val="single" w:color="auto" w:sz="4" w:space="0"/>
                    <w:left w:val="single" w:color="auto" w:sz="4" w:space="0"/>
                    <w:bottom w:val="single" w:color="auto" w:sz="4" w:space="0"/>
                    <w:right w:val="single" w:color="auto" w:sz="4" w:space="0"/>
                  </w:tcBorders>
                  <w:vAlign w:val="center"/>
                </w:tcPr>
                <w:p w14:paraId="06671E9D">
                  <w:pPr>
                    <w:widowControl/>
                    <w:spacing w:line="240" w:lineRule="exact"/>
                    <w:jc w:val="left"/>
                    <w:rPr>
                      <w:rFonts w:hint="eastAsia" w:ascii="宋体" w:hAnsi="宋体" w:eastAsia="宋体" w:cs="宋体"/>
                      <w:b/>
                      <w:bCs/>
                      <w:color w:val="auto"/>
                      <w:kern w:val="0"/>
                      <w:sz w:val="21"/>
                      <w:szCs w:val="21"/>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31F4465E">
                  <w:pPr>
                    <w:widowControl/>
                    <w:spacing w:line="240" w:lineRule="exact"/>
                    <w:jc w:val="left"/>
                    <w:rPr>
                      <w:rFonts w:hint="eastAsia" w:ascii="宋体" w:hAnsi="宋体" w:eastAsia="宋体" w:cs="宋体"/>
                      <w:b/>
                      <w:bCs/>
                      <w:color w:val="auto"/>
                      <w:kern w:val="0"/>
                      <w:sz w:val="21"/>
                      <w:szCs w:val="21"/>
                    </w:rPr>
                  </w:pPr>
                </w:p>
              </w:tc>
              <w:tc>
                <w:tcPr>
                  <w:tcW w:w="1191" w:type="dxa"/>
                  <w:vMerge w:val="continue"/>
                  <w:tcBorders>
                    <w:top w:val="single" w:color="auto" w:sz="4" w:space="0"/>
                    <w:left w:val="single" w:color="auto" w:sz="4" w:space="0"/>
                    <w:bottom w:val="single" w:color="auto" w:sz="4" w:space="0"/>
                    <w:right w:val="single" w:color="auto" w:sz="4" w:space="0"/>
                  </w:tcBorders>
                  <w:vAlign w:val="center"/>
                </w:tcPr>
                <w:p w14:paraId="0E446DE4">
                  <w:pPr>
                    <w:widowControl/>
                    <w:spacing w:line="240" w:lineRule="exact"/>
                    <w:jc w:val="left"/>
                    <w:rPr>
                      <w:rFonts w:hint="eastAsia" w:ascii="宋体" w:hAnsi="宋体" w:eastAsia="宋体" w:cs="宋体"/>
                      <w:b/>
                      <w:bCs/>
                      <w:color w:val="auto"/>
                      <w:kern w:val="0"/>
                      <w:sz w:val="21"/>
                      <w:szCs w:val="21"/>
                    </w:rPr>
                  </w:pPr>
                </w:p>
              </w:tc>
              <w:tc>
                <w:tcPr>
                  <w:tcW w:w="1589" w:type="dxa"/>
                  <w:tcBorders>
                    <w:top w:val="nil"/>
                    <w:left w:val="nil"/>
                    <w:bottom w:val="single" w:color="auto" w:sz="4" w:space="0"/>
                    <w:right w:val="single" w:color="auto" w:sz="4" w:space="0"/>
                  </w:tcBorders>
                  <w:vAlign w:val="center"/>
                </w:tcPr>
                <w:p w14:paraId="1E21A6D3">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1</w:t>
                  </w:r>
                </w:p>
              </w:tc>
              <w:tc>
                <w:tcPr>
                  <w:tcW w:w="1457" w:type="dxa"/>
                  <w:tcBorders>
                    <w:top w:val="nil"/>
                    <w:left w:val="nil"/>
                    <w:bottom w:val="single" w:color="auto" w:sz="4" w:space="0"/>
                    <w:right w:val="single" w:color="auto" w:sz="4" w:space="0"/>
                  </w:tcBorders>
                  <w:vAlign w:val="center"/>
                </w:tcPr>
                <w:p w14:paraId="61C7F81C">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2</w:t>
                  </w:r>
                </w:p>
              </w:tc>
            </w:tr>
            <w:tr w14:paraId="42F5D941">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1D62C5DB">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一</w:t>
                  </w:r>
                </w:p>
              </w:tc>
              <w:tc>
                <w:tcPr>
                  <w:tcW w:w="1664" w:type="dxa"/>
                  <w:tcBorders>
                    <w:top w:val="nil"/>
                    <w:left w:val="nil"/>
                    <w:bottom w:val="single" w:color="auto" w:sz="4" w:space="0"/>
                    <w:right w:val="single" w:color="auto" w:sz="4" w:space="0"/>
                  </w:tcBorders>
                  <w:vAlign w:val="center"/>
                </w:tcPr>
                <w:p w14:paraId="301B283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大黄鱼</w:t>
                  </w:r>
                </w:p>
              </w:tc>
              <w:tc>
                <w:tcPr>
                  <w:tcW w:w="1059" w:type="dxa"/>
                  <w:tcBorders>
                    <w:top w:val="nil"/>
                    <w:left w:val="nil"/>
                    <w:bottom w:val="single" w:color="auto" w:sz="4" w:space="0"/>
                    <w:right w:val="single" w:color="auto" w:sz="4" w:space="0"/>
                  </w:tcBorders>
                  <w:vAlign w:val="center"/>
                </w:tcPr>
                <w:p w14:paraId="291F23F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160</w:t>
                  </w:r>
                </w:p>
              </w:tc>
              <w:tc>
                <w:tcPr>
                  <w:tcW w:w="1191" w:type="dxa"/>
                  <w:tcBorders>
                    <w:top w:val="nil"/>
                    <w:left w:val="nil"/>
                    <w:bottom w:val="single" w:color="auto" w:sz="4" w:space="0"/>
                    <w:right w:val="single" w:color="auto" w:sz="4" w:space="0"/>
                  </w:tcBorders>
                  <w:vAlign w:val="center"/>
                </w:tcPr>
                <w:p w14:paraId="43650E2E">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2</w:t>
                  </w:r>
                </w:p>
              </w:tc>
              <w:tc>
                <w:tcPr>
                  <w:tcW w:w="1589" w:type="dxa"/>
                  <w:tcBorders>
                    <w:top w:val="nil"/>
                    <w:left w:val="nil"/>
                    <w:bottom w:val="single" w:color="auto" w:sz="4" w:space="0"/>
                    <w:right w:val="single" w:color="auto" w:sz="4" w:space="0"/>
                  </w:tcBorders>
                  <w:vAlign w:val="center"/>
                </w:tcPr>
                <w:p w14:paraId="25127370">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85</w:t>
                  </w:r>
                </w:p>
              </w:tc>
              <w:tc>
                <w:tcPr>
                  <w:tcW w:w="1457" w:type="dxa"/>
                  <w:tcBorders>
                    <w:top w:val="nil"/>
                    <w:left w:val="nil"/>
                    <w:bottom w:val="single" w:color="auto" w:sz="4" w:space="0"/>
                    <w:right w:val="single" w:color="auto" w:sz="4" w:space="0"/>
                  </w:tcBorders>
                  <w:vAlign w:val="center"/>
                </w:tcPr>
                <w:p w14:paraId="6730519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75</w:t>
                  </w:r>
                </w:p>
              </w:tc>
            </w:tr>
            <w:tr w14:paraId="5934000D">
              <w:tblPrEx>
                <w:tblCellMar>
                  <w:top w:w="0" w:type="dxa"/>
                  <w:left w:w="108" w:type="dxa"/>
                  <w:bottom w:w="0" w:type="dxa"/>
                  <w:right w:w="108" w:type="dxa"/>
                </w:tblCellMar>
              </w:tblPrEx>
              <w:trPr>
                <w:trHeight w:val="373" w:hRule="atLeast"/>
              </w:trPr>
              <w:tc>
                <w:tcPr>
                  <w:tcW w:w="804" w:type="dxa"/>
                  <w:tcBorders>
                    <w:top w:val="nil"/>
                    <w:left w:val="single" w:color="auto" w:sz="4" w:space="0"/>
                    <w:bottom w:val="single" w:color="auto" w:sz="4" w:space="0"/>
                    <w:right w:val="single" w:color="auto" w:sz="4" w:space="0"/>
                  </w:tcBorders>
                  <w:vAlign w:val="center"/>
                </w:tcPr>
                <w:p w14:paraId="59FD7675">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二</w:t>
                  </w:r>
                </w:p>
              </w:tc>
              <w:tc>
                <w:tcPr>
                  <w:tcW w:w="1664" w:type="dxa"/>
                  <w:tcBorders>
                    <w:top w:val="nil"/>
                    <w:left w:val="nil"/>
                    <w:bottom w:val="single" w:color="auto" w:sz="4" w:space="0"/>
                    <w:right w:val="single" w:color="auto" w:sz="4" w:space="0"/>
                  </w:tcBorders>
                  <w:vAlign w:val="center"/>
                </w:tcPr>
                <w:p w14:paraId="3BC424B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曼氏无针乌贼</w:t>
                  </w:r>
                </w:p>
              </w:tc>
              <w:tc>
                <w:tcPr>
                  <w:tcW w:w="1059" w:type="dxa"/>
                  <w:tcBorders>
                    <w:top w:val="nil"/>
                    <w:left w:val="nil"/>
                    <w:bottom w:val="single" w:color="auto" w:sz="4" w:space="0"/>
                    <w:right w:val="single" w:color="auto" w:sz="4" w:space="0"/>
                  </w:tcBorders>
                  <w:vAlign w:val="center"/>
                </w:tcPr>
                <w:p w14:paraId="5A5C7FA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100</w:t>
                  </w:r>
                </w:p>
              </w:tc>
              <w:tc>
                <w:tcPr>
                  <w:tcW w:w="1191" w:type="dxa"/>
                  <w:tcBorders>
                    <w:top w:val="nil"/>
                    <w:left w:val="nil"/>
                    <w:bottom w:val="single" w:color="auto" w:sz="4" w:space="0"/>
                    <w:right w:val="single" w:color="auto" w:sz="4" w:space="0"/>
                  </w:tcBorders>
                  <w:vAlign w:val="center"/>
                </w:tcPr>
                <w:p w14:paraId="1AB5E44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1</w:t>
                  </w:r>
                </w:p>
              </w:tc>
              <w:tc>
                <w:tcPr>
                  <w:tcW w:w="1589" w:type="dxa"/>
                  <w:tcBorders>
                    <w:top w:val="nil"/>
                    <w:left w:val="nil"/>
                    <w:bottom w:val="single" w:color="auto" w:sz="4" w:space="0"/>
                    <w:right w:val="single" w:color="auto" w:sz="4" w:space="0"/>
                  </w:tcBorders>
                  <w:vAlign w:val="center"/>
                </w:tcPr>
                <w:p w14:paraId="3A19E40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100</w:t>
                  </w:r>
                </w:p>
              </w:tc>
              <w:tc>
                <w:tcPr>
                  <w:tcW w:w="1457" w:type="dxa"/>
                  <w:tcBorders>
                    <w:top w:val="nil"/>
                    <w:left w:val="nil"/>
                    <w:bottom w:val="single" w:color="auto" w:sz="4" w:space="0"/>
                    <w:right w:val="single" w:color="auto" w:sz="4" w:space="0"/>
                  </w:tcBorders>
                  <w:vAlign w:val="center"/>
                </w:tcPr>
                <w:p w14:paraId="4F5356A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w:t>
                  </w:r>
                  <w:r>
                    <w:rPr>
                      <w:rFonts w:hint="eastAsia" w:ascii="宋体" w:hAnsi="宋体" w:eastAsia="宋体" w:cs="宋体"/>
                      <w:color w:val="auto"/>
                      <w:kern w:val="0"/>
                      <w:sz w:val="21"/>
                      <w:szCs w:val="21"/>
                    </w:rPr>
                    <w:t>　</w:t>
                  </w:r>
                </w:p>
              </w:tc>
            </w:tr>
            <w:tr w14:paraId="71EAA22D">
              <w:tblPrEx>
                <w:tblCellMar>
                  <w:top w:w="0" w:type="dxa"/>
                  <w:left w:w="108" w:type="dxa"/>
                  <w:bottom w:w="0" w:type="dxa"/>
                  <w:right w:w="108" w:type="dxa"/>
                </w:tblCellMar>
              </w:tblPrEx>
              <w:trPr>
                <w:trHeight w:val="281" w:hRule="atLeast"/>
              </w:trPr>
              <w:tc>
                <w:tcPr>
                  <w:tcW w:w="804" w:type="dxa"/>
                  <w:tcBorders>
                    <w:top w:val="nil"/>
                    <w:left w:val="single" w:color="auto" w:sz="4" w:space="0"/>
                    <w:bottom w:val="single" w:color="auto" w:sz="4" w:space="0"/>
                    <w:right w:val="single" w:color="auto" w:sz="4" w:space="0"/>
                  </w:tcBorders>
                  <w:vAlign w:val="center"/>
                </w:tcPr>
                <w:p w14:paraId="236527C6">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三</w:t>
                  </w:r>
                </w:p>
              </w:tc>
              <w:tc>
                <w:tcPr>
                  <w:tcW w:w="1664" w:type="dxa"/>
                  <w:tcBorders>
                    <w:top w:val="nil"/>
                    <w:left w:val="nil"/>
                    <w:bottom w:val="single" w:color="auto" w:sz="4" w:space="0"/>
                    <w:right w:val="single" w:color="auto" w:sz="4" w:space="0"/>
                  </w:tcBorders>
                  <w:vAlign w:val="center"/>
                </w:tcPr>
                <w:p w14:paraId="2D3D147D">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海蜇</w:t>
                  </w:r>
                </w:p>
              </w:tc>
              <w:tc>
                <w:tcPr>
                  <w:tcW w:w="1059" w:type="dxa"/>
                  <w:tcBorders>
                    <w:top w:val="nil"/>
                    <w:left w:val="nil"/>
                    <w:bottom w:val="single" w:color="auto" w:sz="4" w:space="0"/>
                    <w:right w:val="single" w:color="auto" w:sz="4" w:space="0"/>
                  </w:tcBorders>
                  <w:vAlign w:val="center"/>
                </w:tcPr>
                <w:p w14:paraId="12C418E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54</w:t>
                  </w:r>
                </w:p>
              </w:tc>
              <w:tc>
                <w:tcPr>
                  <w:tcW w:w="1191" w:type="dxa"/>
                  <w:tcBorders>
                    <w:top w:val="nil"/>
                    <w:left w:val="nil"/>
                    <w:bottom w:val="single" w:color="auto" w:sz="4" w:space="0"/>
                    <w:right w:val="single" w:color="auto" w:sz="4" w:space="0"/>
                  </w:tcBorders>
                  <w:vAlign w:val="center"/>
                </w:tcPr>
                <w:p w14:paraId="4C03CD4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13560FF1">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30</w:t>
                  </w:r>
                </w:p>
              </w:tc>
              <w:tc>
                <w:tcPr>
                  <w:tcW w:w="1457" w:type="dxa"/>
                  <w:tcBorders>
                    <w:top w:val="nil"/>
                    <w:left w:val="nil"/>
                    <w:bottom w:val="single" w:color="auto" w:sz="4" w:space="0"/>
                    <w:right w:val="single" w:color="auto" w:sz="4" w:space="0"/>
                  </w:tcBorders>
                  <w:vAlign w:val="center"/>
                </w:tcPr>
                <w:p w14:paraId="37DCF1D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24</w:t>
                  </w:r>
                </w:p>
              </w:tc>
            </w:tr>
            <w:tr w14:paraId="11A3CCDF">
              <w:tblPrEx>
                <w:tblCellMar>
                  <w:top w:w="0" w:type="dxa"/>
                  <w:left w:w="108" w:type="dxa"/>
                  <w:bottom w:w="0" w:type="dxa"/>
                  <w:right w:w="108" w:type="dxa"/>
                </w:tblCellMar>
              </w:tblPrEx>
              <w:trPr>
                <w:trHeight w:val="341" w:hRule="atLeast"/>
              </w:trPr>
              <w:tc>
                <w:tcPr>
                  <w:tcW w:w="804" w:type="dxa"/>
                  <w:tcBorders>
                    <w:top w:val="nil"/>
                    <w:left w:val="single" w:color="auto" w:sz="4" w:space="0"/>
                    <w:bottom w:val="single" w:color="auto" w:sz="4" w:space="0"/>
                    <w:right w:val="single" w:color="auto" w:sz="4" w:space="0"/>
                  </w:tcBorders>
                  <w:vAlign w:val="center"/>
                </w:tcPr>
                <w:p w14:paraId="30AA721E">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四</w:t>
                  </w:r>
                </w:p>
              </w:tc>
              <w:tc>
                <w:tcPr>
                  <w:tcW w:w="1664" w:type="dxa"/>
                  <w:tcBorders>
                    <w:top w:val="nil"/>
                    <w:left w:val="nil"/>
                    <w:bottom w:val="single" w:color="auto" w:sz="4" w:space="0"/>
                    <w:right w:val="single" w:color="auto" w:sz="4" w:space="0"/>
                  </w:tcBorders>
                  <w:vAlign w:val="center"/>
                </w:tcPr>
                <w:p w14:paraId="0E9BB457">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黑鲷</w:t>
                  </w:r>
                </w:p>
              </w:tc>
              <w:tc>
                <w:tcPr>
                  <w:tcW w:w="1059" w:type="dxa"/>
                  <w:tcBorders>
                    <w:top w:val="nil"/>
                    <w:left w:val="nil"/>
                    <w:bottom w:val="single" w:color="auto" w:sz="4" w:space="0"/>
                    <w:right w:val="single" w:color="auto" w:sz="4" w:space="0"/>
                  </w:tcBorders>
                  <w:vAlign w:val="center"/>
                </w:tcPr>
                <w:p w14:paraId="39DEFAB5">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125</w:t>
                  </w:r>
                </w:p>
              </w:tc>
              <w:tc>
                <w:tcPr>
                  <w:tcW w:w="1191" w:type="dxa"/>
                  <w:tcBorders>
                    <w:top w:val="nil"/>
                    <w:left w:val="nil"/>
                    <w:bottom w:val="single" w:color="auto" w:sz="4" w:space="0"/>
                    <w:right w:val="single" w:color="auto" w:sz="4" w:space="0"/>
                  </w:tcBorders>
                  <w:vAlign w:val="center"/>
                </w:tcPr>
                <w:p w14:paraId="4DF4307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12135B3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65</w:t>
                  </w:r>
                </w:p>
              </w:tc>
              <w:tc>
                <w:tcPr>
                  <w:tcW w:w="1457" w:type="dxa"/>
                  <w:tcBorders>
                    <w:top w:val="nil"/>
                    <w:left w:val="nil"/>
                    <w:bottom w:val="single" w:color="auto" w:sz="4" w:space="0"/>
                    <w:right w:val="single" w:color="auto" w:sz="4" w:space="0"/>
                  </w:tcBorders>
                  <w:vAlign w:val="center"/>
                </w:tcPr>
                <w:p w14:paraId="2337F00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60</w:t>
                  </w:r>
                </w:p>
              </w:tc>
            </w:tr>
            <w:tr w14:paraId="093C3592">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3B765A29">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五</w:t>
                  </w:r>
                </w:p>
              </w:tc>
              <w:tc>
                <w:tcPr>
                  <w:tcW w:w="1664" w:type="dxa"/>
                  <w:tcBorders>
                    <w:top w:val="nil"/>
                    <w:left w:val="nil"/>
                    <w:bottom w:val="single" w:color="auto" w:sz="4" w:space="0"/>
                    <w:right w:val="single" w:color="auto" w:sz="4" w:space="0"/>
                  </w:tcBorders>
                  <w:vAlign w:val="center"/>
                </w:tcPr>
                <w:p w14:paraId="7A6CF95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黄姑鱼</w:t>
                  </w:r>
                </w:p>
              </w:tc>
              <w:tc>
                <w:tcPr>
                  <w:tcW w:w="1059" w:type="dxa"/>
                  <w:tcBorders>
                    <w:top w:val="nil"/>
                    <w:left w:val="nil"/>
                    <w:bottom w:val="single" w:color="auto" w:sz="4" w:space="0"/>
                    <w:right w:val="single" w:color="auto" w:sz="4" w:space="0"/>
                  </w:tcBorders>
                  <w:vAlign w:val="center"/>
                </w:tcPr>
                <w:p w14:paraId="763F99D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32</w:t>
                  </w:r>
                </w:p>
              </w:tc>
              <w:tc>
                <w:tcPr>
                  <w:tcW w:w="1191" w:type="dxa"/>
                  <w:tcBorders>
                    <w:top w:val="nil"/>
                    <w:left w:val="nil"/>
                    <w:bottom w:val="single" w:color="auto" w:sz="4" w:space="0"/>
                    <w:right w:val="single" w:color="auto" w:sz="4" w:space="0"/>
                  </w:tcBorders>
                  <w:vAlign w:val="center"/>
                </w:tcPr>
                <w:p w14:paraId="70627D1B">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w:t>
                  </w:r>
                </w:p>
              </w:tc>
              <w:tc>
                <w:tcPr>
                  <w:tcW w:w="1589" w:type="dxa"/>
                  <w:tcBorders>
                    <w:top w:val="nil"/>
                    <w:left w:val="nil"/>
                    <w:bottom w:val="single" w:color="auto" w:sz="4" w:space="0"/>
                    <w:right w:val="single" w:color="auto" w:sz="4" w:space="0"/>
                  </w:tcBorders>
                  <w:vAlign w:val="center"/>
                </w:tcPr>
                <w:p w14:paraId="4B0087F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32</w:t>
                  </w:r>
                </w:p>
              </w:tc>
              <w:tc>
                <w:tcPr>
                  <w:tcW w:w="1457" w:type="dxa"/>
                  <w:tcBorders>
                    <w:top w:val="nil"/>
                    <w:left w:val="nil"/>
                    <w:bottom w:val="single" w:color="auto" w:sz="4" w:space="0"/>
                    <w:right w:val="single" w:color="auto" w:sz="4" w:space="0"/>
                  </w:tcBorders>
                  <w:vAlign w:val="center"/>
                </w:tcPr>
                <w:p w14:paraId="16005617">
                  <w:pPr>
                    <w:widowControl/>
                    <w:jc w:val="left"/>
                    <w:rPr>
                      <w:rFonts w:hint="default"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en-US" w:eastAsia="zh-CN"/>
                    </w:rPr>
                    <w:t xml:space="preserve">     -</w:t>
                  </w:r>
                </w:p>
              </w:tc>
            </w:tr>
            <w:tr w14:paraId="684706B5">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792E89E9">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六</w:t>
                  </w:r>
                </w:p>
              </w:tc>
              <w:tc>
                <w:tcPr>
                  <w:tcW w:w="1664" w:type="dxa"/>
                  <w:tcBorders>
                    <w:top w:val="nil"/>
                    <w:left w:val="nil"/>
                    <w:bottom w:val="single" w:color="auto" w:sz="4" w:space="0"/>
                    <w:right w:val="single" w:color="auto" w:sz="4" w:space="0"/>
                  </w:tcBorders>
                  <w:vAlign w:val="center"/>
                </w:tcPr>
                <w:p w14:paraId="09CD4BC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rPr>
                    <w:t>三疣梭子蟹</w:t>
                  </w:r>
                </w:p>
              </w:tc>
              <w:tc>
                <w:tcPr>
                  <w:tcW w:w="1059" w:type="dxa"/>
                  <w:tcBorders>
                    <w:top w:val="nil"/>
                    <w:left w:val="nil"/>
                    <w:bottom w:val="single" w:color="auto" w:sz="4" w:space="0"/>
                    <w:right w:val="single" w:color="auto" w:sz="4" w:space="0"/>
                  </w:tcBorders>
                  <w:vAlign w:val="center"/>
                </w:tcPr>
                <w:p w14:paraId="2F37238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51</w:t>
                  </w:r>
                </w:p>
              </w:tc>
              <w:tc>
                <w:tcPr>
                  <w:tcW w:w="1191" w:type="dxa"/>
                  <w:tcBorders>
                    <w:top w:val="nil"/>
                    <w:left w:val="nil"/>
                    <w:bottom w:val="single" w:color="auto" w:sz="4" w:space="0"/>
                    <w:right w:val="single" w:color="auto" w:sz="4" w:space="0"/>
                  </w:tcBorders>
                  <w:vAlign w:val="center"/>
                </w:tcPr>
                <w:p w14:paraId="594AEF62">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0CB1D70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28</w:t>
                  </w:r>
                </w:p>
              </w:tc>
              <w:tc>
                <w:tcPr>
                  <w:tcW w:w="1457" w:type="dxa"/>
                  <w:tcBorders>
                    <w:top w:val="nil"/>
                    <w:left w:val="nil"/>
                    <w:bottom w:val="single" w:color="auto" w:sz="4" w:space="0"/>
                    <w:right w:val="single" w:color="auto" w:sz="4" w:space="0"/>
                  </w:tcBorders>
                  <w:vAlign w:val="center"/>
                </w:tcPr>
                <w:p w14:paraId="798F8780">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23</w:t>
                  </w:r>
                </w:p>
              </w:tc>
            </w:tr>
            <w:tr w14:paraId="71291B43">
              <w:tblPrEx>
                <w:tblCellMar>
                  <w:top w:w="0" w:type="dxa"/>
                  <w:left w:w="108" w:type="dxa"/>
                  <w:bottom w:w="0" w:type="dxa"/>
                  <w:right w:w="108" w:type="dxa"/>
                </w:tblCellMar>
              </w:tblPrEx>
              <w:trPr>
                <w:trHeight w:val="352" w:hRule="atLeast"/>
              </w:trPr>
              <w:tc>
                <w:tcPr>
                  <w:tcW w:w="804" w:type="dxa"/>
                  <w:tcBorders>
                    <w:top w:val="nil"/>
                    <w:left w:val="single" w:color="auto" w:sz="4" w:space="0"/>
                    <w:bottom w:val="single" w:color="auto" w:sz="4" w:space="0"/>
                    <w:right w:val="single" w:color="auto" w:sz="4" w:space="0"/>
                  </w:tcBorders>
                  <w:vAlign w:val="center"/>
                </w:tcPr>
                <w:p w14:paraId="44888F27">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七</w:t>
                  </w:r>
                </w:p>
              </w:tc>
              <w:tc>
                <w:tcPr>
                  <w:tcW w:w="1664" w:type="dxa"/>
                  <w:tcBorders>
                    <w:top w:val="nil"/>
                    <w:left w:val="nil"/>
                    <w:bottom w:val="single" w:color="auto" w:sz="4" w:space="0"/>
                    <w:right w:val="single" w:color="auto" w:sz="4" w:space="0"/>
                  </w:tcBorders>
                  <w:vAlign w:val="center"/>
                </w:tcPr>
                <w:p w14:paraId="2ACF2906">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eastAsia="zh-CN"/>
                    </w:rPr>
                    <w:t>褐菖鲉</w:t>
                  </w:r>
                </w:p>
              </w:tc>
              <w:tc>
                <w:tcPr>
                  <w:tcW w:w="1059" w:type="dxa"/>
                  <w:tcBorders>
                    <w:top w:val="nil"/>
                    <w:left w:val="nil"/>
                    <w:bottom w:val="single" w:color="auto" w:sz="4" w:space="0"/>
                    <w:right w:val="single" w:color="auto" w:sz="4" w:space="0"/>
                  </w:tcBorders>
                  <w:vAlign w:val="center"/>
                </w:tcPr>
                <w:p w14:paraId="227801E4">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40</w:t>
                  </w:r>
                </w:p>
              </w:tc>
              <w:tc>
                <w:tcPr>
                  <w:tcW w:w="1191" w:type="dxa"/>
                  <w:tcBorders>
                    <w:top w:val="nil"/>
                    <w:left w:val="nil"/>
                    <w:bottom w:val="single" w:color="auto" w:sz="4" w:space="0"/>
                    <w:right w:val="single" w:color="auto" w:sz="4" w:space="0"/>
                  </w:tcBorders>
                  <w:vAlign w:val="center"/>
                </w:tcPr>
                <w:p w14:paraId="5C9AF91A">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w:t>
                  </w:r>
                </w:p>
              </w:tc>
              <w:tc>
                <w:tcPr>
                  <w:tcW w:w="1589" w:type="dxa"/>
                  <w:tcBorders>
                    <w:top w:val="nil"/>
                    <w:left w:val="nil"/>
                    <w:bottom w:val="single" w:color="auto" w:sz="4" w:space="0"/>
                    <w:right w:val="single" w:color="auto" w:sz="4" w:space="0"/>
                  </w:tcBorders>
                  <w:vAlign w:val="center"/>
                </w:tcPr>
                <w:p w14:paraId="7D36F8AE">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40</w:t>
                  </w:r>
                </w:p>
              </w:tc>
              <w:tc>
                <w:tcPr>
                  <w:tcW w:w="1457" w:type="dxa"/>
                  <w:tcBorders>
                    <w:top w:val="nil"/>
                    <w:left w:val="nil"/>
                    <w:bottom w:val="single" w:color="auto" w:sz="4" w:space="0"/>
                    <w:right w:val="single" w:color="auto" w:sz="4" w:space="0"/>
                  </w:tcBorders>
                  <w:vAlign w:val="center"/>
                </w:tcPr>
                <w:p w14:paraId="50DAE529">
                  <w:pPr>
                    <w:widowControl/>
                    <w:jc w:val="center"/>
                    <w:rPr>
                      <w:rFonts w:hint="eastAsia"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en-US" w:eastAsia="zh-CN"/>
                    </w:rPr>
                    <w:t>-</w:t>
                  </w:r>
                </w:p>
              </w:tc>
            </w:tr>
          </w:tbl>
          <w:p w14:paraId="672DEC83">
            <w:pPr>
              <w:spacing w:line="240" w:lineRule="exact"/>
              <w:jc w:val="left"/>
              <w:rPr>
                <w:rFonts w:ascii="Times New Roman" w:hAnsi="Times New Roman" w:eastAsia="宋体" w:cs="Times New Roman"/>
                <w:bCs/>
                <w:color w:val="auto"/>
                <w:szCs w:val="21"/>
              </w:rPr>
            </w:pPr>
          </w:p>
        </w:tc>
      </w:tr>
      <w:tr w14:paraId="6DA25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C74324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429C989">
            <w:pPr>
              <w:spacing w:line="240" w:lineRule="exact"/>
              <w:jc w:val="center"/>
              <w:rPr>
                <w:rFonts w:hint="eastAsia" w:ascii="宋体" w:hAnsi="宋体" w:eastAsia="宋体" w:cs="Times New Roman"/>
                <w:b/>
                <w:color w:val="auto"/>
              </w:rPr>
            </w:pPr>
            <w:r>
              <w:rPr>
                <w:rFonts w:hint="eastAsia" w:ascii="宋体" w:hAnsi="宋体" w:eastAsia="宋体" w:cs="Times New Roman"/>
                <w:b/>
                <w:color w:val="auto"/>
              </w:rPr>
              <w:t>时间要求</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57C61D">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详见放流时间</w:t>
            </w:r>
          </w:p>
        </w:tc>
      </w:tr>
      <w:tr w14:paraId="18D83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5DF168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D885625">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投标有效期</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0386773">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u w:val="single"/>
              </w:rPr>
              <w:t>90</w:t>
            </w:r>
            <w:r>
              <w:rPr>
                <w:rFonts w:hint="eastAsia" w:ascii="Times New Roman" w:hAnsi="Times New Roman" w:eastAsia="宋体" w:cs="Times New Roman"/>
                <w:color w:val="auto"/>
                <w:szCs w:val="21"/>
                <w:u w:val="single"/>
              </w:rPr>
              <w:t>日</w:t>
            </w:r>
            <w:r>
              <w:rPr>
                <w:rFonts w:hint="eastAsia" w:ascii="Times New Roman" w:hAnsi="Times New Roman" w:eastAsia="宋体" w:cs="Times New Roman"/>
                <w:color w:val="auto"/>
                <w:szCs w:val="21"/>
              </w:rPr>
              <w:t>历天。（从投标截止之日算起）</w:t>
            </w:r>
          </w:p>
        </w:tc>
      </w:tr>
      <w:tr w14:paraId="5893A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4BDFF6">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9AC7E6">
            <w:pPr>
              <w:spacing w:line="240" w:lineRule="exact"/>
              <w:jc w:val="center"/>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lang w:eastAsia="zh-CN"/>
              </w:rPr>
              <w:t>评标方法</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AA1E983">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综合评分法</w:t>
            </w:r>
          </w:p>
        </w:tc>
      </w:tr>
      <w:tr w14:paraId="53667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9C247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5436A2">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签订合同</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73131A0">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中标通知书发出后</w:t>
            </w:r>
            <w:r>
              <w:rPr>
                <w:rFonts w:ascii="Times New Roman" w:hAnsi="Times New Roman" w:eastAsia="宋体" w:cs="Times New Roman"/>
                <w:color w:val="auto"/>
                <w:szCs w:val="21"/>
                <w:u w:val="single"/>
              </w:rPr>
              <w:t>30</w:t>
            </w:r>
            <w:r>
              <w:rPr>
                <w:rFonts w:hint="eastAsia" w:ascii="Times New Roman" w:hAnsi="Times New Roman" w:eastAsia="宋体" w:cs="Times New Roman"/>
                <w:color w:val="auto"/>
                <w:szCs w:val="21"/>
              </w:rPr>
              <w:t>天内。</w:t>
            </w:r>
          </w:p>
        </w:tc>
      </w:tr>
      <w:tr w14:paraId="71585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E0674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4721EC">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资金结算</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7B1F20">
            <w:pPr>
              <w:outlineLvl w:val="0"/>
              <w:rPr>
                <w:rFonts w:ascii="Times New Roman" w:hAnsi="Times New Roman" w:eastAsia="宋体" w:cs="Times New Roman"/>
                <w:b/>
                <w:color w:val="auto"/>
                <w:sz w:val="24"/>
              </w:rPr>
            </w:pPr>
            <w:r>
              <w:rPr>
                <w:rFonts w:hint="eastAsia" w:ascii="宋体" w:hAnsi="宋体" w:eastAsia="宋体" w:cs="宋体"/>
                <w:bCs/>
                <w:color w:val="auto"/>
                <w:szCs w:val="21"/>
              </w:rPr>
              <w:t>合同生效以及具备实施条件后，收到合法票据后7个工作日内支付40%的预付款，增殖放流结束并通过验收后，采购人在收到合法票据后7个工作日内支付剩余款项。</w:t>
            </w:r>
          </w:p>
        </w:tc>
      </w:tr>
      <w:tr w14:paraId="5E6CC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6"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95962D5">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864F034">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投标报价</w:t>
            </w:r>
          </w:p>
          <w:p w14:paraId="0AB3ECCD">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与费用</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85A541">
            <w:pPr>
              <w:rPr>
                <w:rFonts w:hint="eastAsia" w:ascii="宋体" w:hAnsi="宋体" w:eastAsia="宋体" w:cs="宋体"/>
                <w:color w:val="auto"/>
                <w:szCs w:val="21"/>
              </w:rPr>
            </w:pPr>
            <w:r>
              <w:rPr>
                <w:rFonts w:hint="eastAsia" w:ascii="宋体" w:hAnsi="宋体" w:eastAsia="宋体" w:cs="宋体"/>
                <w:color w:val="auto"/>
                <w:szCs w:val="21"/>
              </w:rPr>
              <w:t>1.本项目的投标应以人民币报价，投标报价应包括所有费用。</w:t>
            </w:r>
          </w:p>
          <w:p w14:paraId="30B386CC">
            <w:pPr>
              <w:rPr>
                <w:rFonts w:hint="eastAsia" w:ascii="宋体" w:hAnsi="宋体" w:eastAsia="宋体" w:cs="宋体"/>
                <w:color w:val="auto"/>
                <w:szCs w:val="21"/>
              </w:rPr>
            </w:pPr>
            <w:r>
              <w:rPr>
                <w:rFonts w:hint="eastAsia" w:ascii="宋体" w:hAnsi="宋体" w:eastAsia="宋体" w:cs="宋体"/>
                <w:color w:val="auto"/>
                <w:szCs w:val="21"/>
              </w:rPr>
              <w:t>2.投标人应承担其参加本招标活动自身所发生的费用。</w:t>
            </w:r>
          </w:p>
          <w:p w14:paraId="0E374B0B">
            <w:pPr>
              <w:rPr>
                <w:rFonts w:hint="eastAsia" w:ascii="宋体" w:hAnsi="宋体" w:eastAsia="宋体" w:cs="宋体"/>
                <w:color w:val="auto"/>
                <w:szCs w:val="21"/>
              </w:rPr>
            </w:pPr>
            <w:r>
              <w:rPr>
                <w:rFonts w:hint="eastAsia" w:ascii="宋体" w:hAnsi="宋体" w:eastAsia="宋体" w:cs="宋体"/>
                <w:color w:val="auto"/>
                <w:szCs w:val="21"/>
              </w:rPr>
              <w:t>3.中标供应商须缴纳服务费,收费金额为：</w:t>
            </w:r>
          </w:p>
          <w:p w14:paraId="5CF3668E">
            <w:pPr>
              <w:rPr>
                <w:rFonts w:hint="eastAsia" w:ascii="宋体" w:hAnsi="宋体" w:eastAsia="宋体" w:cs="宋体"/>
                <w:color w:val="auto"/>
                <w:szCs w:val="21"/>
                <w:lang w:eastAsia="zh-CN"/>
              </w:rPr>
            </w:pPr>
            <w:r>
              <w:rPr>
                <w:rFonts w:hint="eastAsia" w:ascii="宋体" w:hAnsi="宋体" w:eastAsia="宋体" w:cs="宋体"/>
                <w:color w:val="auto"/>
                <w:szCs w:val="21"/>
              </w:rPr>
              <w:t>标项一中标单位1：人民币</w:t>
            </w:r>
            <w:r>
              <w:rPr>
                <w:rFonts w:hint="eastAsia" w:ascii="宋体" w:hAnsi="宋体" w:eastAsia="宋体" w:cs="宋体"/>
                <w:color w:val="auto"/>
                <w:szCs w:val="21"/>
                <w:lang w:val="en-US" w:eastAsia="zh-CN"/>
              </w:rPr>
              <w:t>捌仟伍佰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85</w:t>
            </w:r>
            <w:r>
              <w:rPr>
                <w:rFonts w:hint="eastAsia" w:ascii="宋体" w:hAnsi="宋体" w:eastAsia="宋体" w:cs="宋体"/>
                <w:color w:val="auto"/>
                <w:szCs w:val="21"/>
              </w:rPr>
              <w:t>00.00元）</w:t>
            </w:r>
            <w:r>
              <w:rPr>
                <w:rFonts w:hint="eastAsia" w:ascii="宋体" w:hAnsi="宋体" w:eastAsia="宋体" w:cs="宋体"/>
                <w:color w:val="auto"/>
                <w:szCs w:val="21"/>
                <w:lang w:eastAsia="zh-CN"/>
              </w:rPr>
              <w:t>，</w:t>
            </w:r>
            <w:r>
              <w:rPr>
                <w:rFonts w:hint="eastAsia" w:ascii="宋体" w:hAnsi="宋体" w:eastAsia="宋体" w:cs="宋体"/>
                <w:color w:val="auto"/>
                <w:szCs w:val="21"/>
              </w:rPr>
              <w:t>中标单位</w:t>
            </w:r>
            <w:r>
              <w:rPr>
                <w:rFonts w:hint="eastAsia" w:ascii="宋体" w:hAnsi="宋体" w:eastAsia="宋体" w:cs="宋体"/>
                <w:color w:val="auto"/>
                <w:szCs w:val="21"/>
                <w:lang w:val="en-US" w:eastAsia="zh-CN"/>
              </w:rPr>
              <w:t>3</w:t>
            </w:r>
            <w:r>
              <w:rPr>
                <w:rFonts w:hint="eastAsia" w:ascii="宋体" w:hAnsi="宋体" w:eastAsia="宋体" w:cs="宋体"/>
                <w:color w:val="auto"/>
                <w:szCs w:val="21"/>
              </w:rPr>
              <w:t>：人民币</w:t>
            </w:r>
            <w:r>
              <w:rPr>
                <w:rFonts w:hint="eastAsia" w:ascii="宋体" w:hAnsi="宋体" w:eastAsia="宋体" w:cs="宋体"/>
                <w:color w:val="auto"/>
                <w:szCs w:val="21"/>
                <w:lang w:val="en-US" w:eastAsia="zh-CN"/>
              </w:rPr>
              <w:t>柒仟伍佰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75</w:t>
            </w:r>
            <w:r>
              <w:rPr>
                <w:rFonts w:hint="eastAsia" w:ascii="宋体" w:hAnsi="宋体" w:eastAsia="宋体" w:cs="宋体"/>
                <w:color w:val="auto"/>
                <w:szCs w:val="21"/>
              </w:rPr>
              <w:t>00.00元）</w:t>
            </w:r>
          </w:p>
          <w:p w14:paraId="0E2FE6CC">
            <w:pPr>
              <w:rPr>
                <w:rFonts w:hint="eastAsia" w:ascii="宋体" w:hAnsi="宋体" w:eastAsia="宋体" w:cs="宋体"/>
                <w:color w:val="auto"/>
                <w:szCs w:val="21"/>
              </w:rPr>
            </w:pPr>
            <w:r>
              <w:rPr>
                <w:rFonts w:hint="eastAsia" w:ascii="宋体" w:hAnsi="宋体" w:eastAsia="宋体" w:cs="宋体"/>
                <w:color w:val="auto"/>
                <w:szCs w:val="21"/>
              </w:rPr>
              <w:t>标项二：人民币</w:t>
            </w:r>
            <w:r>
              <w:rPr>
                <w:rFonts w:hint="eastAsia" w:ascii="宋体" w:hAnsi="宋体" w:eastAsia="宋体" w:cs="宋体"/>
                <w:color w:val="auto"/>
                <w:szCs w:val="21"/>
                <w:lang w:val="en-US" w:eastAsia="zh-CN"/>
              </w:rPr>
              <w:t>壹万</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100</w:t>
            </w:r>
            <w:r>
              <w:rPr>
                <w:rFonts w:hint="eastAsia" w:ascii="宋体" w:hAnsi="宋体" w:eastAsia="宋体" w:cs="宋体"/>
                <w:color w:val="auto"/>
                <w:szCs w:val="21"/>
              </w:rPr>
              <w:t>00.00元）</w:t>
            </w:r>
          </w:p>
          <w:p w14:paraId="02F8E9E5">
            <w:pPr>
              <w:rPr>
                <w:rFonts w:hint="eastAsia" w:ascii="宋体" w:hAnsi="宋体" w:eastAsia="宋体" w:cs="宋体"/>
                <w:color w:val="auto"/>
                <w:szCs w:val="21"/>
              </w:rPr>
            </w:pPr>
            <w:r>
              <w:rPr>
                <w:rFonts w:hint="eastAsia" w:ascii="宋体" w:hAnsi="宋体" w:eastAsia="宋体" w:cs="宋体"/>
                <w:color w:val="auto"/>
                <w:szCs w:val="21"/>
              </w:rPr>
              <w:t>标项三：中标单位1：人民币</w:t>
            </w:r>
            <w:r>
              <w:rPr>
                <w:rFonts w:hint="eastAsia" w:ascii="宋体" w:hAnsi="宋体" w:eastAsia="宋体" w:cs="宋体"/>
                <w:color w:val="auto"/>
                <w:szCs w:val="21"/>
                <w:lang w:val="en-US" w:eastAsia="zh-CN"/>
              </w:rPr>
              <w:t>叁仟</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30</w:t>
            </w:r>
            <w:r>
              <w:rPr>
                <w:rFonts w:ascii="宋体" w:hAnsi="宋体" w:eastAsia="宋体" w:cs="宋体"/>
                <w:color w:val="auto"/>
                <w:szCs w:val="21"/>
              </w:rPr>
              <w:t>0</w:t>
            </w:r>
            <w:r>
              <w:rPr>
                <w:rFonts w:hint="eastAsia" w:ascii="宋体" w:hAnsi="宋体" w:eastAsia="宋体" w:cs="宋体"/>
                <w:color w:val="auto"/>
                <w:szCs w:val="21"/>
              </w:rPr>
              <w:t>0.00元），中标单位2：人民币贰仟</w:t>
            </w:r>
            <w:r>
              <w:rPr>
                <w:rFonts w:hint="eastAsia" w:ascii="宋体" w:hAnsi="宋体" w:eastAsia="宋体" w:cs="宋体"/>
                <w:color w:val="auto"/>
                <w:szCs w:val="21"/>
                <w:lang w:val="en-US" w:eastAsia="zh-CN"/>
              </w:rPr>
              <w:t>肆</w:t>
            </w:r>
            <w:r>
              <w:rPr>
                <w:rFonts w:hint="eastAsia" w:ascii="宋体" w:hAnsi="宋体" w:eastAsia="宋体" w:cs="宋体"/>
                <w:color w:val="auto"/>
                <w:szCs w:val="21"/>
              </w:rPr>
              <w:t>佰元整（2</w:t>
            </w:r>
            <w:r>
              <w:rPr>
                <w:rFonts w:hint="eastAsia" w:ascii="宋体" w:hAnsi="宋体" w:eastAsia="宋体" w:cs="宋体"/>
                <w:color w:val="auto"/>
                <w:szCs w:val="21"/>
                <w:lang w:val="en-US" w:eastAsia="zh-CN"/>
              </w:rPr>
              <w:t>4</w:t>
            </w:r>
            <w:r>
              <w:rPr>
                <w:rFonts w:ascii="宋体" w:hAnsi="宋体" w:eastAsia="宋体" w:cs="宋体"/>
                <w:color w:val="auto"/>
                <w:szCs w:val="21"/>
              </w:rPr>
              <w:t>0</w:t>
            </w:r>
            <w:r>
              <w:rPr>
                <w:rFonts w:hint="eastAsia" w:ascii="宋体" w:hAnsi="宋体" w:eastAsia="宋体" w:cs="宋体"/>
                <w:color w:val="auto"/>
                <w:szCs w:val="21"/>
              </w:rPr>
              <w:t>0.00元）。</w:t>
            </w:r>
          </w:p>
          <w:p w14:paraId="47D7BDF3">
            <w:pPr>
              <w:rPr>
                <w:rFonts w:hint="eastAsia" w:ascii="宋体" w:hAnsi="宋体" w:eastAsia="宋体" w:cs="宋体"/>
                <w:color w:val="auto"/>
                <w:szCs w:val="21"/>
              </w:rPr>
            </w:pPr>
            <w:r>
              <w:rPr>
                <w:rFonts w:hint="eastAsia" w:ascii="宋体" w:hAnsi="宋体" w:eastAsia="宋体" w:cs="宋体"/>
                <w:color w:val="auto"/>
                <w:szCs w:val="21"/>
              </w:rPr>
              <w:t>标项四：中标单位1：人民币</w:t>
            </w:r>
            <w:r>
              <w:rPr>
                <w:rFonts w:hint="eastAsia" w:ascii="宋体" w:hAnsi="宋体" w:eastAsia="宋体" w:cs="宋体"/>
                <w:color w:val="auto"/>
                <w:szCs w:val="21"/>
                <w:lang w:val="en-US" w:eastAsia="zh-CN"/>
              </w:rPr>
              <w:t>陆仟伍佰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65</w:t>
            </w:r>
            <w:r>
              <w:rPr>
                <w:rFonts w:ascii="宋体" w:hAnsi="宋体" w:eastAsia="宋体" w:cs="宋体"/>
                <w:color w:val="auto"/>
                <w:szCs w:val="21"/>
              </w:rPr>
              <w:t>0</w:t>
            </w:r>
            <w:r>
              <w:rPr>
                <w:rFonts w:hint="eastAsia" w:ascii="宋体" w:hAnsi="宋体" w:eastAsia="宋体" w:cs="宋体"/>
                <w:color w:val="auto"/>
                <w:szCs w:val="21"/>
              </w:rPr>
              <w:t>0.00元），中标单位2：人民币</w:t>
            </w:r>
            <w:r>
              <w:rPr>
                <w:rFonts w:hint="eastAsia" w:ascii="宋体" w:hAnsi="宋体" w:eastAsia="宋体" w:cs="宋体"/>
                <w:color w:val="auto"/>
                <w:szCs w:val="21"/>
                <w:lang w:val="en-US" w:eastAsia="zh-CN"/>
              </w:rPr>
              <w:t>陆仟</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600</w:t>
            </w:r>
            <w:r>
              <w:rPr>
                <w:rFonts w:hint="eastAsia" w:ascii="宋体" w:hAnsi="宋体" w:eastAsia="宋体" w:cs="宋体"/>
                <w:color w:val="auto"/>
                <w:szCs w:val="21"/>
              </w:rPr>
              <w:t>0.00元）。</w:t>
            </w:r>
          </w:p>
          <w:p w14:paraId="30950457">
            <w:pPr>
              <w:rPr>
                <w:rFonts w:hint="eastAsia" w:ascii="宋体" w:hAnsi="宋体" w:eastAsia="宋体" w:cs="宋体"/>
                <w:color w:val="auto"/>
                <w:szCs w:val="21"/>
              </w:rPr>
            </w:pPr>
            <w:r>
              <w:rPr>
                <w:rFonts w:hint="eastAsia" w:ascii="宋体" w:hAnsi="宋体" w:eastAsia="宋体" w:cs="宋体"/>
                <w:color w:val="auto"/>
                <w:szCs w:val="21"/>
              </w:rPr>
              <w:t>标项五：人民币</w:t>
            </w:r>
            <w:r>
              <w:rPr>
                <w:rFonts w:hint="eastAsia" w:ascii="宋体" w:hAnsi="宋体" w:eastAsia="宋体" w:cs="宋体"/>
                <w:color w:val="auto"/>
                <w:szCs w:val="21"/>
                <w:lang w:val="en-US" w:eastAsia="zh-CN"/>
              </w:rPr>
              <w:t>叁仟贰佰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32</w:t>
            </w:r>
            <w:r>
              <w:rPr>
                <w:rFonts w:hint="eastAsia" w:ascii="宋体" w:hAnsi="宋体" w:eastAsia="宋体" w:cs="宋体"/>
                <w:color w:val="auto"/>
                <w:szCs w:val="21"/>
              </w:rPr>
              <w:t>00.00元）</w:t>
            </w:r>
          </w:p>
          <w:p w14:paraId="382177EB">
            <w:pPr>
              <w:rPr>
                <w:rFonts w:hint="eastAsia" w:ascii="宋体" w:hAnsi="宋体" w:eastAsia="宋体" w:cs="宋体"/>
                <w:color w:val="auto"/>
                <w:szCs w:val="21"/>
              </w:rPr>
            </w:pPr>
            <w:r>
              <w:rPr>
                <w:rFonts w:hint="eastAsia" w:ascii="宋体" w:hAnsi="宋体" w:eastAsia="宋体" w:cs="宋体"/>
                <w:color w:val="auto"/>
                <w:szCs w:val="21"/>
              </w:rPr>
              <w:t>标项六：中标单位1：人民币贰仟</w:t>
            </w:r>
            <w:r>
              <w:rPr>
                <w:rFonts w:hint="eastAsia" w:ascii="宋体" w:hAnsi="宋体" w:eastAsia="宋体" w:cs="宋体"/>
                <w:color w:val="auto"/>
                <w:szCs w:val="21"/>
                <w:lang w:val="en-US" w:eastAsia="zh-CN"/>
              </w:rPr>
              <w:t>捌</w:t>
            </w:r>
            <w:r>
              <w:rPr>
                <w:rFonts w:hint="eastAsia" w:ascii="宋体" w:hAnsi="宋体" w:eastAsia="宋体" w:cs="宋体"/>
                <w:color w:val="auto"/>
                <w:szCs w:val="21"/>
              </w:rPr>
              <w:t>佰元整（2</w:t>
            </w:r>
            <w:r>
              <w:rPr>
                <w:rFonts w:hint="eastAsia" w:ascii="宋体" w:hAnsi="宋体" w:eastAsia="宋体" w:cs="宋体"/>
                <w:color w:val="auto"/>
                <w:szCs w:val="21"/>
                <w:lang w:val="en-US" w:eastAsia="zh-CN"/>
              </w:rPr>
              <w:t>8</w:t>
            </w:r>
            <w:r>
              <w:rPr>
                <w:rFonts w:ascii="宋体" w:hAnsi="宋体" w:eastAsia="宋体" w:cs="宋体"/>
                <w:color w:val="auto"/>
                <w:szCs w:val="21"/>
              </w:rPr>
              <w:t>0</w:t>
            </w:r>
            <w:r>
              <w:rPr>
                <w:rFonts w:hint="eastAsia" w:ascii="宋体" w:hAnsi="宋体" w:eastAsia="宋体" w:cs="宋体"/>
                <w:color w:val="auto"/>
                <w:szCs w:val="21"/>
              </w:rPr>
              <w:t>0.00元），中标单位2：人民币贰仟</w:t>
            </w:r>
            <w:r>
              <w:rPr>
                <w:rFonts w:hint="eastAsia" w:ascii="宋体" w:hAnsi="宋体" w:eastAsia="宋体" w:cs="宋体"/>
                <w:color w:val="auto"/>
                <w:szCs w:val="21"/>
                <w:lang w:val="en-US" w:eastAsia="zh-CN"/>
              </w:rPr>
              <w:t>叁</w:t>
            </w:r>
            <w:r>
              <w:rPr>
                <w:rFonts w:hint="eastAsia" w:ascii="宋体" w:hAnsi="宋体" w:eastAsia="宋体" w:cs="宋体"/>
                <w:color w:val="auto"/>
                <w:szCs w:val="21"/>
              </w:rPr>
              <w:t>佰元整（2</w:t>
            </w:r>
            <w:r>
              <w:rPr>
                <w:rFonts w:hint="eastAsia" w:ascii="宋体" w:hAnsi="宋体" w:eastAsia="宋体" w:cs="宋体"/>
                <w:color w:val="auto"/>
                <w:szCs w:val="21"/>
                <w:lang w:val="en-US" w:eastAsia="zh-CN"/>
              </w:rPr>
              <w:t>3</w:t>
            </w:r>
            <w:r>
              <w:rPr>
                <w:rFonts w:ascii="宋体" w:hAnsi="宋体" w:eastAsia="宋体" w:cs="宋体"/>
                <w:color w:val="auto"/>
                <w:szCs w:val="21"/>
              </w:rPr>
              <w:t>0</w:t>
            </w:r>
            <w:r>
              <w:rPr>
                <w:rFonts w:hint="eastAsia" w:ascii="宋体" w:hAnsi="宋体" w:eastAsia="宋体" w:cs="宋体"/>
                <w:color w:val="auto"/>
                <w:szCs w:val="21"/>
              </w:rPr>
              <w:t>0.00元）。</w:t>
            </w:r>
          </w:p>
          <w:p w14:paraId="6214517B">
            <w:pPr>
              <w:rPr>
                <w:rFonts w:hint="eastAsia"/>
                <w:color w:val="auto"/>
              </w:rPr>
            </w:pPr>
            <w:r>
              <w:rPr>
                <w:rFonts w:hint="eastAsia" w:ascii="宋体" w:hAnsi="宋体" w:eastAsia="宋体" w:cs="宋体"/>
                <w:color w:val="auto"/>
                <w:szCs w:val="21"/>
              </w:rPr>
              <w:t>标项七：人民币</w:t>
            </w:r>
            <w:r>
              <w:rPr>
                <w:rFonts w:hint="eastAsia" w:ascii="宋体" w:hAnsi="宋体" w:eastAsia="宋体" w:cs="宋体"/>
                <w:color w:val="auto"/>
                <w:szCs w:val="21"/>
                <w:lang w:val="en-US" w:eastAsia="zh-CN"/>
              </w:rPr>
              <w:t>肆仟</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40</w:t>
            </w:r>
            <w:r>
              <w:rPr>
                <w:rFonts w:hint="eastAsia" w:ascii="宋体" w:hAnsi="宋体" w:eastAsia="宋体" w:cs="宋体"/>
                <w:color w:val="auto"/>
                <w:szCs w:val="21"/>
              </w:rPr>
              <w:t>00.00元）</w:t>
            </w:r>
          </w:p>
          <w:p w14:paraId="50B13BBA">
            <w:pPr>
              <w:rPr>
                <w:rFonts w:ascii="Times New Roman" w:hAnsi="Times New Roman" w:eastAsia="宋体" w:cs="Times New Roman"/>
                <w:color w:val="auto"/>
                <w:szCs w:val="21"/>
              </w:rPr>
            </w:pPr>
            <w:r>
              <w:rPr>
                <w:rFonts w:hint="eastAsia" w:ascii="宋体" w:hAnsi="宋体" w:eastAsia="宋体" w:cs="宋体"/>
                <w:color w:val="auto"/>
                <w:szCs w:val="21"/>
              </w:rPr>
              <w:t>4.中标通知书发出的同时，中标供应商应及时支付招标代理费，收到服务费后提供全额发票。</w:t>
            </w:r>
            <w:r>
              <w:rPr>
                <w:rFonts w:hint="eastAsia" w:ascii="宋体" w:hAnsi="宋体" w:eastAsia="宋体" w:cs="宋体"/>
                <w:color w:val="auto"/>
              </w:rPr>
              <w:t>中标结果确认后，因中标单位自身原因退出中标，招标代理费不予退回。</w:t>
            </w:r>
          </w:p>
        </w:tc>
      </w:tr>
      <w:tr w14:paraId="3B0FC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BD8ACD">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2A09F9">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银行账号</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B6E2D4D">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收款单位：深圳市国信招标有限公司舟山分公司</w:t>
            </w:r>
          </w:p>
          <w:p w14:paraId="03D837D0">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开户银行：中国工商银行舟山市定海区支行</w:t>
            </w:r>
          </w:p>
          <w:p w14:paraId="6E1B06BD">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银行账号：</w:t>
            </w:r>
            <w:r>
              <w:rPr>
                <w:rFonts w:ascii="Times New Roman" w:hAnsi="Times New Roman" w:eastAsia="宋体" w:cs="Times New Roman"/>
                <w:color w:val="auto"/>
                <w:szCs w:val="21"/>
              </w:rPr>
              <w:t>1206020209200081758</w:t>
            </w:r>
          </w:p>
        </w:tc>
      </w:tr>
      <w:tr w14:paraId="3B203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A3E700">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D20940">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质量标准</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9D0C781">
            <w:pPr>
              <w:spacing w:line="240" w:lineRule="exact"/>
              <w:rPr>
                <w:rFonts w:ascii="Times New Roman" w:hAnsi="Times New Roman" w:eastAsia="宋体" w:cs="Times New Roman"/>
                <w:color w:val="auto"/>
                <w:szCs w:val="21"/>
              </w:rPr>
            </w:pPr>
            <w:r>
              <w:rPr>
                <w:rFonts w:hint="eastAsia" w:ascii="宋体" w:hAnsi="宋体" w:eastAsia="宋体" w:cs="Times New Roman"/>
                <w:color w:val="auto"/>
              </w:rPr>
              <w:t>合同约定，经验收合格</w:t>
            </w:r>
          </w:p>
        </w:tc>
      </w:tr>
      <w:tr w14:paraId="68D45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DEB686">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1</w:t>
            </w: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29B05A">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履约保证金</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AB101B">
            <w:pPr>
              <w:spacing w:line="240" w:lineRule="exact"/>
              <w:rPr>
                <w:rFonts w:hint="eastAsia" w:ascii="宋体" w:hAnsi="宋体" w:eastAsia="宋体" w:cs="Times New Roman"/>
                <w:color w:val="auto"/>
              </w:rPr>
            </w:pPr>
            <w:r>
              <w:rPr>
                <w:rFonts w:hint="eastAsia" w:ascii="宋体" w:hAnsi="宋体" w:eastAsia="宋体" w:cs="Times New Roman"/>
                <w:color w:val="auto"/>
              </w:rPr>
              <w:t>无</w:t>
            </w:r>
          </w:p>
        </w:tc>
      </w:tr>
      <w:tr w14:paraId="546D0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CF9CB3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4164669">
            <w:pPr>
              <w:snapToGrid w:val="0"/>
              <w:spacing w:line="240" w:lineRule="atLeas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6323459A">
            <w:pPr>
              <w:snapToGrid w:val="0"/>
              <w:spacing w:line="240" w:lineRule="atLeast"/>
              <w:jc w:val="center"/>
              <w:rPr>
                <w:rFonts w:ascii="Times New Roman" w:hAnsi="Times New Roman" w:eastAsia="宋体" w:cs="Times New Roman"/>
                <w:b/>
                <w:color w:val="auto"/>
              </w:rPr>
            </w:pPr>
            <w:r>
              <w:rPr>
                <w:rFonts w:hint="eastAsia" w:ascii="Times New Roman" w:hAnsi="Times New Roman" w:eastAsia="宋体" w:cs="Times New Roman"/>
                <w:b/>
                <w:color w:val="auto"/>
              </w:rPr>
              <w:t>组成</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1642C8E">
            <w:pPr>
              <w:snapToGrid w:val="0"/>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投标文件由资格响应文件、商务及技术响应文件、报价文件组成。</w:t>
            </w:r>
          </w:p>
        </w:tc>
      </w:tr>
      <w:tr w14:paraId="2F0C2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AF0A84E">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47C53483">
            <w:pPr>
              <w:snapToGrid w:val="0"/>
              <w:spacing w:line="240" w:lineRule="atLeas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444B2FF1">
            <w:pPr>
              <w:spacing w:line="240" w:lineRule="atLeast"/>
              <w:ind w:firstLine="517" w:firstLineChars="245"/>
              <w:rPr>
                <w:rFonts w:ascii="Times New Roman" w:hAnsi="Times New Roman" w:eastAsia="宋体" w:cs="Times New Roman"/>
                <w:b/>
                <w:color w:val="auto"/>
                <w:szCs w:val="21"/>
                <w:shd w:val="pct10" w:color="auto" w:fill="FFFFFF"/>
              </w:rPr>
            </w:pPr>
            <w:r>
              <w:rPr>
                <w:rFonts w:hint="eastAsia" w:ascii="Times New Roman" w:hAnsi="Times New Roman" w:eastAsia="宋体" w:cs="Times New Roman"/>
                <w:b/>
                <w:color w:val="auto"/>
              </w:rPr>
              <w:t>制作</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2F690D1">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本项目实行电子投标。</w:t>
            </w:r>
          </w:p>
          <w:p w14:paraId="111EE841">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11516546">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p>
          <w:p w14:paraId="0B67E6C0">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29E2525C">
            <w:pPr>
              <w:spacing w:line="240" w:lineRule="atLeas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投标文件均由资格响应文件、商务及技术响应文件、报价文件组成。</w:t>
            </w:r>
          </w:p>
          <w:p w14:paraId="46492608">
            <w:pPr>
              <w:spacing w:line="240" w:lineRule="atLeast"/>
              <w:rPr>
                <w:rFonts w:ascii="Times New Roman" w:hAnsi="Times New Roman" w:eastAsia="宋体" w:cs="Times New Roman"/>
                <w:color w:val="auto"/>
                <w:sz w:val="22"/>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tc>
      </w:tr>
      <w:tr w14:paraId="43316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3A667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772C83">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2DA6AE78">
            <w:pPr>
              <w:jc w:val="center"/>
              <w:rPr>
                <w:rFonts w:ascii="Times New Roman" w:hAnsi="Times New Roman" w:eastAsia="宋体" w:cs="Times New Roman"/>
                <w:b/>
                <w:color w:val="auto"/>
                <w:sz w:val="22"/>
                <w:shd w:val="pct10" w:color="auto" w:fill="FFFFFF"/>
              </w:rPr>
            </w:pPr>
            <w:r>
              <w:rPr>
                <w:rFonts w:hint="eastAsia" w:ascii="Times New Roman" w:hAnsi="Times New Roman" w:eastAsia="宋体" w:cs="Times New Roman"/>
                <w:b/>
                <w:color w:val="auto"/>
              </w:rPr>
              <w:t>组成</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8705EBD">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66DFF1B4">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投标人应当在规定时间前将以介质存储的数据电文形式的备份投标文件寄到或送达采购代理公司：舟山市定海区昌国路</w:t>
            </w:r>
            <w:r>
              <w:rPr>
                <w:rFonts w:ascii="Times New Roman" w:hAnsi="Times New Roman" w:eastAsia="宋体" w:cs="Times New Roman"/>
                <w:color w:val="auto"/>
                <w:sz w:val="22"/>
              </w:rPr>
              <w:t>232</w:t>
            </w:r>
            <w:r>
              <w:rPr>
                <w:rFonts w:hint="eastAsia" w:ascii="Times New Roman" w:hAnsi="Times New Roman" w:eastAsia="宋体" w:cs="Times New Roman"/>
                <w:color w:val="auto"/>
                <w:sz w:val="22"/>
              </w:rPr>
              <w:t>号中楼</w:t>
            </w:r>
            <w:r>
              <w:rPr>
                <w:rFonts w:ascii="Times New Roman" w:hAnsi="Times New Roman" w:eastAsia="宋体" w:cs="Times New Roman"/>
                <w:color w:val="auto"/>
                <w:sz w:val="22"/>
              </w:rPr>
              <w:t>202</w:t>
            </w:r>
            <w:r>
              <w:rPr>
                <w:rFonts w:hint="eastAsia" w:ascii="Times New Roman" w:hAnsi="Times New Roman" w:eastAsia="宋体" w:cs="Times New Roman"/>
                <w:color w:val="auto"/>
                <w:sz w:val="22"/>
              </w:rPr>
              <w:t>。逾期送达或未密封将被拒收。也可现场递交。</w:t>
            </w:r>
          </w:p>
          <w:p w14:paraId="3860BCA2">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投标人递交以介质存储的数据电文形式的备份投标文件时，如出现下列情况之一的，将被拒收：</w:t>
            </w:r>
          </w:p>
          <w:p w14:paraId="534AC47D">
            <w:pPr>
              <w:rPr>
                <w:rFonts w:ascii="Times New Roman" w:hAnsi="Times New Roman" w:eastAsia="宋体" w:cs="Times New Roman"/>
                <w:color w:val="auto"/>
                <w:sz w:val="22"/>
              </w:rPr>
            </w:pPr>
            <w:r>
              <w:rPr>
                <w:rFonts w:ascii="Times New Roman" w:hAnsi="Times New Roman" w:eastAsia="宋体" w:cs="Times New Roman"/>
                <w:color w:val="auto"/>
                <w:sz w:val="22"/>
              </w:rPr>
              <w:t>1.</w:t>
            </w:r>
            <w:r>
              <w:rPr>
                <w:rFonts w:hint="eastAsia" w:ascii="Times New Roman" w:hAnsi="Times New Roman" w:eastAsia="宋体" w:cs="Times New Roman"/>
                <w:color w:val="auto"/>
                <w:sz w:val="22"/>
              </w:rPr>
              <w:t>未按规定密封或标记的投标文件；</w:t>
            </w:r>
          </w:p>
          <w:p w14:paraId="388E2B36">
            <w:pPr>
              <w:rPr>
                <w:rFonts w:ascii="Times New Roman" w:hAnsi="Times New Roman" w:eastAsia="宋体" w:cs="Times New Roman"/>
                <w:color w:val="auto"/>
                <w:sz w:val="22"/>
              </w:rPr>
            </w:pPr>
            <w:r>
              <w:rPr>
                <w:rFonts w:ascii="Times New Roman" w:hAnsi="Times New Roman" w:eastAsia="宋体" w:cs="Times New Roman"/>
                <w:color w:val="auto"/>
                <w:sz w:val="22"/>
              </w:rPr>
              <w:t>2.</w:t>
            </w:r>
            <w:r>
              <w:rPr>
                <w:rFonts w:hint="eastAsia" w:ascii="Times New Roman" w:hAnsi="Times New Roman" w:eastAsia="宋体" w:cs="Times New Roman"/>
                <w:color w:val="auto"/>
                <w:sz w:val="22"/>
              </w:rPr>
              <w:t>由于包装不妥，在送交途中严重破损或失散的；</w:t>
            </w:r>
          </w:p>
          <w:p w14:paraId="34ED561A">
            <w:pPr>
              <w:rPr>
                <w:rFonts w:ascii="Times New Roman" w:hAnsi="Times New Roman" w:eastAsia="宋体" w:cs="Times New Roman"/>
                <w:color w:val="auto"/>
                <w:sz w:val="22"/>
              </w:rPr>
            </w:pPr>
            <w:r>
              <w:rPr>
                <w:rFonts w:ascii="Times New Roman" w:hAnsi="Times New Roman" w:eastAsia="宋体" w:cs="Times New Roman"/>
                <w:color w:val="auto"/>
                <w:sz w:val="22"/>
              </w:rPr>
              <w:t>3.</w:t>
            </w:r>
            <w:r>
              <w:rPr>
                <w:rFonts w:hint="eastAsia" w:ascii="Times New Roman" w:hAnsi="Times New Roman" w:eastAsia="宋体" w:cs="Times New Roman"/>
                <w:color w:val="auto"/>
                <w:sz w:val="22"/>
              </w:rPr>
              <w:t>未成功办理投标人报名手续的；</w:t>
            </w:r>
          </w:p>
          <w:p w14:paraId="63965A0B">
            <w:pPr>
              <w:rPr>
                <w:rFonts w:ascii="Times New Roman" w:hAnsi="Times New Roman" w:eastAsia="宋体" w:cs="Times New Roman"/>
                <w:color w:val="auto"/>
                <w:sz w:val="22"/>
              </w:rPr>
            </w:pPr>
            <w:r>
              <w:rPr>
                <w:rFonts w:ascii="Times New Roman" w:hAnsi="Times New Roman" w:eastAsia="宋体" w:cs="Times New Roman"/>
                <w:color w:val="auto"/>
                <w:sz w:val="22"/>
              </w:rPr>
              <w:t>4.</w:t>
            </w:r>
            <w:r>
              <w:rPr>
                <w:rFonts w:hint="eastAsia" w:ascii="Times New Roman" w:hAnsi="Times New Roman" w:eastAsia="宋体" w:cs="Times New Roman"/>
                <w:color w:val="auto"/>
                <w:sz w:val="22"/>
              </w:rPr>
              <w:t>超过截止时间送达的；</w:t>
            </w:r>
          </w:p>
          <w:p w14:paraId="2B6017DF">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仅提供备份投标文件的，投标无效。</w:t>
            </w:r>
          </w:p>
          <w:p w14:paraId="1A27CD35">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仅提供其中一种形式的备份投标文件，造成项目开评标活动无法进行下去的，投标无效，相关风险由投标人自行承担。</w:t>
            </w:r>
          </w:p>
        </w:tc>
      </w:tr>
      <w:tr w14:paraId="5FC15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8750E3F">
            <w:pPr>
              <w:snapToGrid w:val="0"/>
              <w:jc w:val="center"/>
              <w:rPr>
                <w:rFonts w:ascii="Times New Roman" w:hAnsi="Times New Roman" w:eastAsia="宋体" w:cs="Times New Roman"/>
                <w:b/>
                <w:color w:val="auto"/>
              </w:rPr>
            </w:pPr>
            <w:r>
              <w:rPr>
                <w:rFonts w:ascii="Times New Roman" w:hAnsi="Times New Roman" w:eastAsia="宋体" w:cs="Times New Roman"/>
                <w:b/>
                <w:color w:val="auto"/>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E6BB43E">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投标人注册</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D7E3B19">
            <w:pPr>
              <w:spacing w:before="24" w:beforeLines="10"/>
              <w:jc w:val="left"/>
              <w:rPr>
                <w:rFonts w:ascii="Times New Roman" w:hAnsi="Times New Roman" w:eastAsia="宋体" w:cs="Times New Roman"/>
                <w:bCs/>
                <w:snapToGrid w:val="0"/>
                <w:color w:val="auto"/>
                <w:kern w:val="0"/>
              </w:rPr>
            </w:pPr>
            <w:r>
              <w:rPr>
                <w:rFonts w:hint="eastAsia" w:ascii="Times New Roman" w:hAnsi="Times New Roman" w:eastAsia="宋体" w:cs="Times New Roman"/>
                <w:bCs/>
                <w:snapToGrid w:val="0"/>
                <w:color w:val="auto"/>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color w:val="auto"/>
                <w:kern w:val="0"/>
              </w:rPr>
              <w:t>2010</w:t>
            </w:r>
            <w:r>
              <w:rPr>
                <w:rFonts w:hint="eastAsia" w:ascii="Times New Roman" w:hAnsi="Times New Roman" w:eastAsia="宋体" w:cs="Times New Roman"/>
                <w:bCs/>
                <w:snapToGrid w:val="0"/>
                <w:color w:val="auto"/>
                <w:kern w:val="0"/>
              </w:rPr>
              <w:t>】</w:t>
            </w:r>
            <w:r>
              <w:rPr>
                <w:rFonts w:ascii="Times New Roman" w:hAnsi="Times New Roman" w:eastAsia="宋体" w:cs="Times New Roman"/>
                <w:bCs/>
                <w:snapToGrid w:val="0"/>
                <w:color w:val="auto"/>
                <w:kern w:val="0"/>
              </w:rPr>
              <w:t>8</w:t>
            </w:r>
            <w:r>
              <w:rPr>
                <w:rFonts w:hint="eastAsia" w:ascii="Times New Roman" w:hAnsi="Times New Roman" w:eastAsia="宋体" w:cs="Times New Roman"/>
                <w:bCs/>
                <w:snapToGrid w:val="0"/>
                <w:color w:val="auto"/>
                <w:kern w:val="0"/>
              </w:rPr>
              <w:t>号文）的要求，通过浙江政府采购网申请注册加入政府采购投标人库。以免影响享受相关政策优惠及成交后的款项支付。</w:t>
            </w:r>
          </w:p>
          <w:p w14:paraId="0F185806">
            <w:pPr>
              <w:spacing w:before="24" w:beforeLines="10"/>
              <w:jc w:val="left"/>
              <w:rPr>
                <w:rFonts w:ascii="Times New Roman" w:hAnsi="Times New Roman" w:eastAsia="宋体" w:cs="Times New Roman"/>
                <w:color w:val="auto"/>
                <w:szCs w:val="21"/>
              </w:rPr>
            </w:pPr>
            <w:r>
              <w:rPr>
                <w:rFonts w:hint="eastAsia" w:ascii="Times New Roman" w:hAnsi="Times New Roman" w:eastAsia="宋体" w:cs="Times New Roman"/>
                <w:bCs/>
                <w:snapToGrid w:val="0"/>
                <w:color w:val="auto"/>
                <w:kern w:val="0"/>
              </w:rPr>
              <w:t>投标人在申请注册前，请认真阅读，学习《中华人民共和国政府采购法》和《浙江省政府采购投标人注册及诚信管理暂行办法》等相关法规规定。</w:t>
            </w:r>
          </w:p>
        </w:tc>
      </w:tr>
      <w:tr w14:paraId="55C07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A2317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E9C8FF">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不良信用记录查询</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9FA5340">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根据财库</w:t>
            </w:r>
            <w:r>
              <w:rPr>
                <w:rFonts w:ascii="Times New Roman" w:hAnsi="Times New Roman" w:eastAsia="宋体" w:cs="Times New Roman"/>
                <w:color w:val="auto"/>
                <w:szCs w:val="21"/>
              </w:rPr>
              <w:t>[2016]125</w:t>
            </w:r>
            <w:r>
              <w:rPr>
                <w:rFonts w:hint="eastAsia" w:ascii="Times New Roman" w:hAnsi="Times New Roman" w:eastAsia="宋体" w:cs="Times New Roman"/>
                <w:color w:val="auto"/>
                <w:szCs w:val="21"/>
              </w:rPr>
              <w:t>号文件：</w:t>
            </w:r>
          </w:p>
          <w:p w14:paraId="09C71CE9">
            <w:pPr>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至本项目投标截止前未被列入</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信用中国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网站</w:t>
            </w:r>
            <w:r>
              <w:rPr>
                <w:rFonts w:ascii="Times New Roman" w:hAnsi="Times New Roman" w:eastAsia="宋体" w:cs="Times New Roman"/>
                <w:color w:val="auto"/>
                <w:szCs w:val="21"/>
              </w:rPr>
              <w:t>(www.creditchina.gov.cn)“</w:t>
            </w:r>
            <w:r>
              <w:rPr>
                <w:rFonts w:hint="eastAsia" w:ascii="Times New Roman" w:hAnsi="Times New Roman" w:eastAsia="宋体" w:cs="Times New Roman"/>
                <w:color w:val="auto"/>
                <w:szCs w:val="21"/>
              </w:rPr>
              <w:t>记录失信被执行人或重大税收违法案件当事人名单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记录名单。</w:t>
            </w:r>
          </w:p>
          <w:p w14:paraId="2F8642F0">
            <w:pPr>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至本项目投标截止前不处于中国政府采购网</w:t>
            </w:r>
            <w:r>
              <w:rPr>
                <w:rFonts w:ascii="Times New Roman" w:hAnsi="Times New Roman" w:eastAsia="宋体" w:cs="Times New Roman"/>
                <w:color w:val="auto"/>
                <w:szCs w:val="21"/>
              </w:rPr>
              <w:t>(www.ccgp.gov.cn)“</w:t>
            </w:r>
            <w:r>
              <w:rPr>
                <w:rFonts w:hint="eastAsia" w:ascii="Times New Roman" w:hAnsi="Times New Roman" w:eastAsia="宋体" w:cs="Times New Roman"/>
                <w:color w:val="auto"/>
                <w:szCs w:val="21"/>
              </w:rPr>
              <w:t>政府采购严重违法失信行为信息记录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中的禁止参加政府采购活动期间。</w:t>
            </w:r>
          </w:p>
          <w:p w14:paraId="181C32A0">
            <w:pPr>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b/>
                <w:color w:val="auto"/>
              </w:rPr>
              <w:t>查询截图，（截图查询网站时间须在开标截止前二个星期内）。</w:t>
            </w:r>
            <w:r>
              <w:rPr>
                <w:rFonts w:hint="eastAsia" w:ascii="Times New Roman" w:hAnsi="Times New Roman" w:eastAsia="宋体" w:cs="Times New Roman"/>
                <w:color w:val="auto"/>
                <w:szCs w:val="21"/>
              </w:rPr>
              <w:t>对列入失信被执行人、重大税收违法案件当事人名单、政府采购严重违法失信行为记录名单的供应商，</w:t>
            </w:r>
            <w:r>
              <w:rPr>
                <w:rFonts w:hint="eastAsia" w:ascii="Times New Roman" w:hAnsi="Times New Roman" w:eastAsia="宋体" w:cs="Times New Roman"/>
                <w:b/>
                <w:color w:val="auto"/>
                <w:szCs w:val="21"/>
              </w:rPr>
              <w:t>其投标将作无效标处理</w:t>
            </w:r>
            <w:r>
              <w:rPr>
                <w:rFonts w:hint="eastAsia" w:ascii="Times New Roman" w:hAnsi="Times New Roman" w:eastAsia="宋体" w:cs="Times New Roman"/>
                <w:color w:val="auto"/>
                <w:szCs w:val="21"/>
              </w:rPr>
              <w:t>。</w:t>
            </w:r>
          </w:p>
        </w:tc>
      </w:tr>
      <w:tr w14:paraId="2E777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321CB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4E1C4B">
            <w:pPr>
              <w:spacing w:line="26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中小企业有关政策</w:t>
            </w:r>
          </w:p>
        </w:tc>
        <w:tc>
          <w:tcPr>
            <w:tcW w:w="837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8E57B5E">
            <w:pPr>
              <w:spacing w:line="260" w:lineRule="exact"/>
              <w:rPr>
                <w:rFonts w:hint="eastAsia" w:ascii="宋体" w:hAnsi="宋体" w:eastAsia="宋体" w:cs="宋体"/>
                <w:b/>
                <w:bCs/>
                <w:color w:val="auto"/>
                <w:szCs w:val="21"/>
              </w:rPr>
            </w:pPr>
            <w:r>
              <w:rPr>
                <w:rFonts w:hint="eastAsia" w:ascii="宋体" w:hAnsi="宋体" w:eastAsia="宋体" w:cs="宋体"/>
                <w:color w:val="auto"/>
                <w:szCs w:val="21"/>
              </w:rPr>
              <w:t>（1）中小企业预留份额情况：根据《政府采购促进中小企业发展管理办法》（财库〔2020〕46号），</w:t>
            </w:r>
            <w:r>
              <w:rPr>
                <w:rFonts w:hint="eastAsia" w:ascii="宋体" w:hAnsi="宋体" w:eastAsia="宋体" w:cs="宋体"/>
                <w:b/>
                <w:bCs/>
                <w:color w:val="auto"/>
                <w:szCs w:val="21"/>
              </w:rPr>
              <w:t>标项一、标项三、标项四专门面向中小企业。 本项目对应的中小企业划分标准所属行业：</w:t>
            </w:r>
            <w:r>
              <w:rPr>
                <w:rFonts w:hint="eastAsia" w:ascii="宋体" w:hAnsi="宋体" w:eastAsia="宋体" w:cs="宋体"/>
                <w:b/>
                <w:bCs/>
                <w:color w:val="auto"/>
                <w:szCs w:val="21"/>
                <w:u w:val="single"/>
              </w:rPr>
              <w:t>农、林、牧、渔业。</w:t>
            </w:r>
          </w:p>
          <w:p w14:paraId="40523932">
            <w:pPr>
              <w:spacing w:line="260" w:lineRule="exact"/>
              <w:rPr>
                <w:rFonts w:hint="eastAsia" w:ascii="宋体" w:hAnsi="宋体" w:eastAsia="宋体" w:cs="宋体"/>
                <w:color w:val="auto"/>
                <w:szCs w:val="21"/>
              </w:rPr>
            </w:pPr>
            <w:r>
              <w:rPr>
                <w:rFonts w:hint="eastAsia" w:ascii="宋体" w:hAnsi="宋体" w:eastAsia="宋体" w:cs="宋体"/>
                <w:color w:val="auto"/>
                <w:szCs w:val="21"/>
              </w:rPr>
              <w:t>（2）在政府采购活动中，供应商提供的货物、工程或者服务符合下列情形的，享受本办法规定的中小企业扶持政策：</w:t>
            </w:r>
          </w:p>
          <w:p w14:paraId="64A7BD9F">
            <w:pPr>
              <w:spacing w:line="260" w:lineRule="exact"/>
              <w:rPr>
                <w:rFonts w:hint="eastAsia" w:ascii="宋体" w:hAnsi="宋体" w:eastAsia="宋体" w:cs="宋体"/>
                <w:color w:val="auto"/>
                <w:szCs w:val="21"/>
              </w:rPr>
            </w:pPr>
            <w:r>
              <w:rPr>
                <w:rFonts w:hint="eastAsia" w:ascii="宋体" w:hAnsi="宋体" w:eastAsia="宋体" w:cs="宋体"/>
                <w:color w:val="auto"/>
                <w:szCs w:val="21"/>
              </w:rPr>
              <w:t>（一）在货物采购项目中，货物由中小企业制造，即货物由中小企业生产且使用该中小企业商号或者注册商标；</w:t>
            </w:r>
          </w:p>
          <w:p w14:paraId="69519649">
            <w:pPr>
              <w:spacing w:line="260" w:lineRule="exact"/>
              <w:rPr>
                <w:rFonts w:hint="eastAsia" w:ascii="宋体" w:hAnsi="宋体" w:eastAsia="宋体" w:cs="宋体"/>
                <w:color w:val="auto"/>
                <w:szCs w:val="21"/>
              </w:rPr>
            </w:pPr>
            <w:r>
              <w:rPr>
                <w:rFonts w:hint="eastAsia" w:ascii="宋体" w:hAnsi="宋体" w:eastAsia="宋体" w:cs="宋体"/>
                <w:color w:val="auto"/>
                <w:szCs w:val="21"/>
              </w:rPr>
              <w:t>（二）在工程采购项目中，工程由中小企业承建，即工程施工单位为中小企业；</w:t>
            </w:r>
          </w:p>
          <w:p w14:paraId="768A0AC2">
            <w:pPr>
              <w:spacing w:line="260" w:lineRule="exact"/>
              <w:rPr>
                <w:rFonts w:hint="eastAsia" w:ascii="宋体" w:hAnsi="宋体" w:eastAsia="宋体" w:cs="宋体"/>
                <w:color w:val="auto"/>
                <w:szCs w:val="21"/>
              </w:rPr>
            </w:pPr>
            <w:r>
              <w:rPr>
                <w:rFonts w:hint="eastAsia" w:ascii="宋体" w:hAnsi="宋体" w:eastAsia="宋体" w:cs="宋体"/>
                <w:color w:val="auto"/>
                <w:szCs w:val="21"/>
              </w:rPr>
              <w:t>（三）在服务采购项目中，服务由中小企业承接，即提供服务的人员为中小企业依照《中华人民共和国劳动合同法》订立劳动合同的从业人员。</w:t>
            </w:r>
          </w:p>
          <w:p w14:paraId="7D222F67">
            <w:pPr>
              <w:spacing w:line="260" w:lineRule="exact"/>
              <w:rPr>
                <w:rFonts w:hint="eastAsia" w:ascii="宋体" w:hAnsi="宋体" w:eastAsia="宋体" w:cs="宋体"/>
                <w:color w:val="auto"/>
                <w:szCs w:val="21"/>
              </w:rPr>
            </w:pPr>
            <w:r>
              <w:rPr>
                <w:rFonts w:hint="eastAsia" w:ascii="宋体" w:hAnsi="宋体" w:eastAsia="宋体" w:cs="宋体"/>
                <w:color w:val="auto"/>
                <w:szCs w:val="21"/>
              </w:rPr>
              <w:t>在货物采购项目中，供应商提供的货物既有中小企业制造货物，也有大型企业制造货物的，不享受本办法规定的中小企业扶持政策。</w:t>
            </w:r>
          </w:p>
          <w:p w14:paraId="1FDBFB2F">
            <w:pPr>
              <w:spacing w:line="260" w:lineRule="exact"/>
              <w:rPr>
                <w:rFonts w:hint="eastAsia" w:ascii="宋体" w:hAnsi="宋体" w:eastAsia="宋体" w:cs="宋体"/>
                <w:color w:val="auto"/>
                <w:szCs w:val="21"/>
              </w:rPr>
            </w:pPr>
            <w:r>
              <w:rPr>
                <w:rFonts w:hint="eastAsia" w:ascii="宋体" w:hAnsi="宋体" w:eastAsia="宋体" w:cs="宋体"/>
                <w:color w:val="auto"/>
                <w:szCs w:val="21"/>
              </w:rPr>
              <w:t>以联合体形式参加政府采购活动，联合体各方均为中小企业的，联合体视同中小企业。其中，联合体各方均为小微企业的，联合体视同小微企业。</w:t>
            </w:r>
          </w:p>
          <w:p w14:paraId="7F8E07A2">
            <w:pPr>
              <w:spacing w:line="260" w:lineRule="exact"/>
              <w:rPr>
                <w:rFonts w:hint="eastAsia" w:ascii="宋体" w:hAnsi="宋体" w:eastAsia="宋体" w:cs="宋体"/>
                <w:color w:val="auto"/>
                <w:szCs w:val="21"/>
              </w:rPr>
            </w:pPr>
            <w:r>
              <w:rPr>
                <w:rFonts w:hint="eastAsia" w:ascii="宋体" w:hAnsi="宋体" w:eastAsia="宋体" w:cs="宋体"/>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2C56230F">
            <w:pPr>
              <w:spacing w:line="260" w:lineRule="exact"/>
              <w:rPr>
                <w:rFonts w:hint="eastAsia" w:ascii="宋体" w:hAnsi="宋体" w:eastAsia="宋体" w:cs="宋体"/>
                <w:color w:val="auto"/>
                <w:szCs w:val="21"/>
              </w:rPr>
            </w:pPr>
            <w:r>
              <w:rPr>
                <w:rFonts w:hint="eastAsia" w:ascii="宋体" w:hAnsi="宋体" w:eastAsia="宋体" w:cs="宋体"/>
                <w:color w:val="auto"/>
                <w:szCs w:val="21"/>
              </w:rPr>
              <w:t>（4）投标人符合《三部门联合发布关于促进残疾人就业政府采购政策的通知》（财库〔2017〕141号）文件要求，并提供《残疾人福利性单位声明函》的，则视同小型、微型企业。</w:t>
            </w:r>
          </w:p>
          <w:p w14:paraId="31939319">
            <w:pPr>
              <w:spacing w:line="260" w:lineRule="exact"/>
              <w:rPr>
                <w:rFonts w:hint="eastAsia" w:ascii="宋体" w:hAnsi="宋体" w:eastAsia="宋体" w:cs="宋体"/>
                <w:b/>
                <w:bCs/>
                <w:color w:val="auto"/>
                <w:szCs w:val="21"/>
              </w:rPr>
            </w:pPr>
            <w:r>
              <w:rPr>
                <w:rFonts w:hint="eastAsia" w:ascii="宋体" w:hAnsi="宋体" w:eastAsia="宋体" w:cs="宋体"/>
                <w:b/>
                <w:color w:val="auto"/>
                <w:szCs w:val="21"/>
              </w:rPr>
              <w:t>标项一、标项三、标项四专门面向中小企业采购（参加投标供应商须出具《中小企业声明函》，未提供不认定为中小企业，此次投标无效）。</w:t>
            </w:r>
            <w:r>
              <w:rPr>
                <w:rFonts w:hint="eastAsia" w:ascii="宋体" w:hAnsi="宋体" w:eastAsia="宋体" w:cs="宋体"/>
                <w:b/>
                <w:bCs/>
                <w:color w:val="auto"/>
                <w:kern w:val="0"/>
                <w:szCs w:val="21"/>
              </w:rPr>
              <w:t>其他标项</w:t>
            </w:r>
            <w:r>
              <w:rPr>
                <w:rFonts w:ascii="宋体" w:hAnsi="宋体" w:eastAsia="宋体" w:cs="宋体"/>
                <w:b/>
                <w:bCs/>
                <w:color w:val="auto"/>
                <w:szCs w:val="21"/>
              </w:rPr>
              <w:t>不专门面向中小企业</w:t>
            </w:r>
            <w:r>
              <w:rPr>
                <w:rFonts w:hint="eastAsia" w:ascii="宋体" w:hAnsi="宋体" w:eastAsia="宋体" w:cs="宋体"/>
                <w:b/>
                <w:bCs/>
                <w:color w:val="auto"/>
                <w:kern w:val="0"/>
                <w:szCs w:val="21"/>
              </w:rPr>
              <w:t>：</w:t>
            </w:r>
          </w:p>
          <w:p w14:paraId="25CD5E2F">
            <w:pPr>
              <w:widowControl/>
              <w:snapToGrid w:val="0"/>
              <w:spacing w:line="260" w:lineRule="exact"/>
              <w:rPr>
                <w:rFonts w:hint="eastAsia" w:ascii="宋体" w:hAnsi="宋体" w:eastAsia="宋体" w:cs="宋体"/>
                <w:b/>
                <w:bCs/>
                <w:color w:val="auto"/>
                <w:szCs w:val="21"/>
              </w:rPr>
            </w:pPr>
            <w:r>
              <w:rPr>
                <w:rFonts w:hint="eastAsia" w:ascii="宋体" w:hAnsi="宋体" w:eastAsia="宋体" w:cs="宋体"/>
                <w:bCs/>
                <w:color w:val="auto"/>
                <w:szCs w:val="21"/>
              </w:rPr>
              <w:t>（1）根据财政部财库〔</w:t>
            </w:r>
            <w:r>
              <w:rPr>
                <w:rFonts w:ascii="宋体" w:hAnsi="宋体" w:eastAsia="宋体" w:cs="宋体"/>
                <w:bCs/>
                <w:color w:val="auto"/>
                <w:szCs w:val="21"/>
              </w:rPr>
              <w:t>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w:t>
            </w:r>
            <w:r>
              <w:rPr>
                <w:rFonts w:hint="eastAsia" w:ascii="宋体" w:hAnsi="宋体" w:eastAsia="宋体" w:cs="宋体"/>
                <w:b/>
                <w:bCs/>
                <w:color w:val="auto"/>
                <w:szCs w:val="21"/>
              </w:rPr>
              <w:t>本项目对应的中小企业划分标准所属行业：</w:t>
            </w:r>
            <w:r>
              <w:rPr>
                <w:rFonts w:hint="eastAsia" w:ascii="宋体" w:hAnsi="宋体" w:eastAsia="宋体" w:cs="宋体"/>
                <w:b/>
                <w:bCs/>
                <w:color w:val="auto"/>
                <w:szCs w:val="21"/>
                <w:u w:val="single"/>
              </w:rPr>
              <w:t>农、林、牧、渔业。</w:t>
            </w:r>
          </w:p>
          <w:p w14:paraId="43EBD4D8">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未提供完整证明材料的，投标报价不予扣减。</w:t>
            </w:r>
          </w:p>
          <w:p w14:paraId="0352639D">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（2）根据《关于政府采购支持监狱企业发展有关问题的通知》（财库[2014]68号）的规定，供应商如为监狱企业且所投产品为小型或微型企业生产的，其投标报价扣除10%后参与评审。</w:t>
            </w:r>
          </w:p>
          <w:p w14:paraId="38A7A02F">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投标文件中须同时提供：供应商的省级以上监狱管理局、戒毒管理局（含新疆生产建设兵团）出具的属于监狱企业的证明文件，投标产品制造商的小微企业证明，未提供完整证明材料的，投标报价不予扣减。</w:t>
            </w:r>
          </w:p>
          <w:p w14:paraId="2E8ED920">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019C58F0">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投标文件中须提供：《残疾人福利性单位声明函》，未提供完整证明材料的，投标报价不予扣减。</w:t>
            </w:r>
          </w:p>
          <w:p w14:paraId="06BDA770">
            <w:pPr>
              <w:widowControl/>
              <w:snapToGrid w:val="0"/>
              <w:spacing w:line="260" w:lineRule="exact"/>
              <w:rPr>
                <w:rFonts w:hint="eastAsia" w:ascii="宋体" w:hAnsi="宋体" w:eastAsia="宋体" w:cs="宋体"/>
                <w:color w:val="auto"/>
                <w:szCs w:val="21"/>
              </w:rPr>
            </w:pPr>
            <w:r>
              <w:rPr>
                <w:rFonts w:hint="eastAsia" w:ascii="宋体" w:hAnsi="宋体" w:eastAsia="宋体" w:cs="宋体"/>
                <w:color w:val="auto"/>
                <w:szCs w:val="21"/>
              </w:rPr>
              <w:t>上述（1），（2），（3）政策不重复计算。</w:t>
            </w:r>
          </w:p>
        </w:tc>
      </w:tr>
    </w:tbl>
    <w:p w14:paraId="752B11A0">
      <w:pPr>
        <w:snapToGrid w:val="0"/>
        <w:spacing w:before="120" w:line="312" w:lineRule="auto"/>
        <w:jc w:val="center"/>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一、总则</w:t>
      </w:r>
    </w:p>
    <w:p w14:paraId="2AA2EA4B">
      <w:pPr>
        <w:snapToGrid w:val="0"/>
        <w:spacing w:before="120" w:line="360" w:lineRule="auto"/>
        <w:ind w:right="55" w:rightChars="26"/>
        <w:rPr>
          <w:rFonts w:ascii="Times New Roman" w:hAnsi="Times New Roman" w:eastAsia="宋体" w:cs="Times New Roman"/>
          <w:b/>
          <w:color w:val="auto"/>
        </w:rPr>
      </w:pPr>
    </w:p>
    <w:p w14:paraId="71CC05E2">
      <w:pPr>
        <w:snapToGrid w:val="0"/>
        <w:spacing w:before="120" w:line="360" w:lineRule="auto"/>
        <w:ind w:right="55" w:rightChars="26"/>
        <w:rPr>
          <w:rFonts w:ascii="Times New Roman" w:hAnsi="Times New Roman" w:eastAsia="宋体" w:cs="Times New Roman"/>
          <w:b/>
          <w:color w:val="auto"/>
          <w:sz w:val="28"/>
        </w:rPr>
      </w:pPr>
      <w:r>
        <w:rPr>
          <w:rFonts w:hint="eastAsia" w:ascii="Times New Roman" w:hAnsi="Times New Roman" w:eastAsia="宋体" w:cs="Times New Roman"/>
          <w:b/>
          <w:color w:val="auto"/>
        </w:rPr>
        <w:t>（一）适用范围</w:t>
      </w:r>
    </w:p>
    <w:p w14:paraId="5D4B5680">
      <w:pPr>
        <w:snapToGrid w:val="0"/>
        <w:spacing w:line="360"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本招标文件适用于</w:t>
      </w:r>
      <w:r>
        <w:rPr>
          <w:rFonts w:hint="eastAsia" w:ascii="Times New Roman" w:hAnsi="Times New Roman" w:eastAsia="宋体" w:cs="Times New Roman"/>
          <w:bCs/>
          <w:color w:val="auto"/>
        </w:rPr>
        <w:t>2025年普陀区水生生物增殖放流项目</w:t>
      </w:r>
      <w:r>
        <w:rPr>
          <w:rFonts w:hint="eastAsia" w:ascii="Times New Roman" w:hAnsi="Times New Roman" w:eastAsia="宋体" w:cs="Times New Roman"/>
          <w:color w:val="auto"/>
        </w:rPr>
        <w:t>的招标、投标、评标、定标、验收、合同履约、付款等行为（法律、法规另有规定的，从其规定）。</w:t>
      </w:r>
    </w:p>
    <w:p w14:paraId="50AD7C70">
      <w:pPr>
        <w:snapToGrid w:val="0"/>
        <w:spacing w:line="360"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（二）定义</w:t>
      </w:r>
    </w:p>
    <w:p w14:paraId="007A92E8">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“采购人”系指</w:t>
      </w:r>
      <w:r>
        <w:rPr>
          <w:rFonts w:hint="eastAsia" w:ascii="Times New Roman" w:hAnsi="Times New Roman" w:eastAsia="宋体" w:cs="Times New Roman"/>
          <w:bCs/>
          <w:color w:val="auto"/>
        </w:rPr>
        <w:t>舟山市普陀区海洋经济发展局</w:t>
      </w:r>
      <w:r>
        <w:rPr>
          <w:rFonts w:hint="eastAsia" w:ascii="Times New Roman" w:hAnsi="Times New Roman" w:eastAsia="宋体" w:cs="Times New Roman"/>
          <w:color w:val="auto"/>
        </w:rPr>
        <w:t>。</w:t>
      </w:r>
    </w:p>
    <w:p w14:paraId="12768A7F">
      <w:pPr>
        <w:spacing w:after="120"/>
        <w:ind w:firstLine="420" w:firstLineChars="200"/>
        <w:rPr>
          <w:rFonts w:ascii="Times New Roman" w:hAnsi="Calibri" w:eastAsia="宋体" w:cs="Times New Roman"/>
          <w:color w:val="auto"/>
          <w:kern w:val="0"/>
        </w:rPr>
      </w:pPr>
      <w:r>
        <w:rPr>
          <w:rFonts w:ascii="Times New Roman" w:hAnsi="Calibri" w:eastAsia="宋体" w:cs="Times New Roman"/>
          <w:color w:val="auto"/>
          <w:kern w:val="0"/>
        </w:rPr>
        <w:t>2.</w:t>
      </w:r>
      <w:r>
        <w:rPr>
          <w:rFonts w:hint="eastAsia" w:ascii="Times New Roman" w:hAnsi="Calibri" w:eastAsia="宋体" w:cs="Times New Roman"/>
          <w:color w:val="auto"/>
          <w:kern w:val="0"/>
        </w:rPr>
        <w:t>“采购代理机构”系指组织本次招标的深圳市国信招标有限公司。</w:t>
      </w:r>
    </w:p>
    <w:p w14:paraId="211080CF">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“投标人”系指向采购人提交投标文件的单位或个人。</w:t>
      </w:r>
    </w:p>
    <w:p w14:paraId="05C48B5C">
      <w:pPr>
        <w:snapToGrid w:val="0"/>
        <w:spacing w:line="360" w:lineRule="auto"/>
        <w:ind w:firstLine="420" w:firstLineChars="200"/>
        <w:jc w:val="left"/>
        <w:rPr>
          <w:rFonts w:hint="eastAsia" w:ascii="宋体" w:hAnsi="宋体" w:eastAsia="宋体" w:cs="Times New Roman"/>
          <w:color w:val="auto"/>
        </w:rPr>
      </w:pPr>
      <w:r>
        <w:rPr>
          <w:rFonts w:ascii="宋体" w:hAnsi="宋体" w:eastAsia="宋体" w:cs="Times New Roman"/>
          <w:color w:val="auto"/>
        </w:rPr>
        <w:t>4</w:t>
      </w:r>
      <w:r>
        <w:rPr>
          <w:rFonts w:hint="eastAsia" w:ascii="宋体" w:hAnsi="宋体" w:eastAsia="宋体" w:cs="Times New Roman"/>
          <w:color w:val="auto"/>
        </w:rPr>
        <w:t>.“合同”系指买卖双方签署的规定买卖双方权利与义务的协议，以及所有的附件、附录和招标文件所提到的构成合同的所有文件。</w:t>
      </w:r>
    </w:p>
    <w:p w14:paraId="3E8B7F6F">
      <w:pPr>
        <w:snapToGrid w:val="0"/>
        <w:spacing w:line="360" w:lineRule="auto"/>
        <w:ind w:firstLine="420" w:firstLineChars="200"/>
        <w:jc w:val="left"/>
        <w:rPr>
          <w:rFonts w:hint="eastAsia" w:ascii="宋体" w:hAnsi="宋体" w:eastAsia="宋体" w:cs="Times New Roman"/>
          <w:color w:val="auto"/>
        </w:rPr>
      </w:pPr>
      <w:r>
        <w:rPr>
          <w:rFonts w:ascii="宋体" w:hAnsi="宋体" w:eastAsia="宋体" w:cs="Times New Roman"/>
          <w:color w:val="auto"/>
        </w:rPr>
        <w:t>5</w:t>
      </w:r>
      <w:r>
        <w:rPr>
          <w:rFonts w:hint="eastAsia" w:ascii="宋体" w:hAnsi="宋体" w:eastAsia="宋体" w:cs="Times New Roman"/>
          <w:color w:val="auto"/>
        </w:rPr>
        <w:t>.“货物” 系指卖方按招标文件规定须向买方提供生产的增殖放流种苗和有关放流种苗的技术资料及其他材料。</w:t>
      </w:r>
    </w:p>
    <w:p w14:paraId="1169231D">
      <w:pPr>
        <w:snapToGrid w:val="0"/>
        <w:spacing w:line="360" w:lineRule="auto"/>
        <w:ind w:firstLine="420" w:firstLineChars="200"/>
        <w:jc w:val="left"/>
        <w:rPr>
          <w:rFonts w:hint="eastAsia" w:ascii="宋体" w:hAnsi="宋体" w:eastAsia="宋体" w:cs="Times New Roman"/>
          <w:color w:val="auto"/>
        </w:rPr>
      </w:pPr>
      <w:r>
        <w:rPr>
          <w:rFonts w:ascii="宋体" w:hAnsi="宋体" w:eastAsia="宋体" w:cs="Times New Roman"/>
          <w:color w:val="auto"/>
        </w:rPr>
        <w:t>6</w:t>
      </w:r>
      <w:r>
        <w:rPr>
          <w:rFonts w:hint="eastAsia" w:ascii="宋体" w:hAnsi="宋体" w:eastAsia="宋体" w:cs="Times New Roman"/>
          <w:color w:val="auto"/>
        </w:rPr>
        <w:t>.“服务”系指招标文件规定卖方须承担生产增殖放流种苗、投放、种苗检验检疫、跟踪监测等其他类似的附随义务。</w:t>
      </w:r>
    </w:p>
    <w:p w14:paraId="44E96200">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7</w:t>
      </w:r>
      <w:r>
        <w:rPr>
          <w:rFonts w:hint="eastAsia" w:ascii="宋体" w:hAnsi="宋体" w:eastAsia="宋体" w:cs="Times New Roman"/>
          <w:color w:val="auto"/>
        </w:rPr>
        <w:t xml:space="preserve">.“附随服务”系指根据本合同规定卖方必须承担与货物有关的辅助服务，如免费运输、装卸、宣传增殖放流种苗期间禁止捕鱼以及合同中规定卖方应承担的义务,以及合同中未规定,但依有利于合同履行原则,应当由卖方承担的其它义务。 </w:t>
      </w:r>
    </w:p>
    <w:p w14:paraId="35938791">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8</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书面形式</w:t>
      </w:r>
      <w:r>
        <w:rPr>
          <w:rFonts w:hint="eastAsia" w:ascii="宋体" w:hAnsi="Times New Roman" w:eastAsia="宋体" w:cs="Times New Roman"/>
          <w:color w:val="auto"/>
        </w:rPr>
        <w:t>”</w:t>
      </w:r>
      <w:r>
        <w:rPr>
          <w:rFonts w:hint="eastAsia" w:ascii="宋体" w:hAnsi="宋体" w:eastAsia="宋体" w:cs="Times New Roman"/>
          <w:color w:val="auto"/>
        </w:rPr>
        <w:t>包括信函、传真、邮件、电子文档等。</w:t>
      </w:r>
    </w:p>
    <w:p w14:paraId="0C6BA489">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9</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系指实质性要求条款。</w:t>
      </w:r>
    </w:p>
    <w:p w14:paraId="564F4F73">
      <w:pPr>
        <w:snapToGrid w:val="0"/>
        <w:spacing w:line="312" w:lineRule="auto"/>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（三）招标方式</w:t>
      </w:r>
    </w:p>
    <w:p w14:paraId="3340A4E3">
      <w:pPr>
        <w:snapToGrid w:val="0"/>
        <w:spacing w:line="312" w:lineRule="auto"/>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本次招标采用公开招标方式进行。</w:t>
      </w:r>
    </w:p>
    <w:p w14:paraId="728BC702">
      <w:pPr>
        <w:snapToGrid w:val="0"/>
        <w:spacing w:line="312"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（四）投标费用</w:t>
      </w:r>
    </w:p>
    <w:p w14:paraId="7B38432C">
      <w:pPr>
        <w:snapToGrid w:val="0"/>
        <w:spacing w:line="312"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不论投标结果如何，投标人均应自行承担所有与投标有关的全部费用（招标文件另有规定除外）。</w:t>
      </w:r>
    </w:p>
    <w:p w14:paraId="0C67A9C5">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（五）关于联合体</w:t>
      </w:r>
    </w:p>
    <w:p w14:paraId="7C08EFE0">
      <w:pPr>
        <w:pStyle w:val="26"/>
        <w:ind w:firstLineChars="200"/>
        <w:rPr>
          <w:color w:val="auto"/>
        </w:rPr>
      </w:pPr>
      <w:r>
        <w:rPr>
          <w:rFonts w:hint="eastAsia"/>
          <w:color w:val="auto"/>
        </w:rPr>
        <w:t>本项目不接受联合体</w:t>
      </w:r>
    </w:p>
    <w:p w14:paraId="5A474522">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（六）关于分包和转包</w:t>
      </w:r>
    </w:p>
    <w:p w14:paraId="5BFF6CA9">
      <w:pPr>
        <w:pStyle w:val="26"/>
        <w:ind w:firstLineChars="200"/>
        <w:rPr>
          <w:color w:val="auto"/>
        </w:rPr>
      </w:pPr>
      <w:r>
        <w:rPr>
          <w:rFonts w:hint="eastAsia"/>
          <w:color w:val="auto"/>
        </w:rPr>
        <w:t>本项目不允许分包。</w:t>
      </w:r>
    </w:p>
    <w:p w14:paraId="7F746247">
      <w:pPr>
        <w:snapToGrid w:val="0"/>
        <w:spacing w:line="312" w:lineRule="auto"/>
        <w:ind w:right="55" w:rightChars="26"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本项目不允许转包。</w:t>
      </w:r>
    </w:p>
    <w:p w14:paraId="47F3AEC5">
      <w:pPr>
        <w:snapToGrid w:val="0"/>
        <w:spacing w:line="360" w:lineRule="auto"/>
        <w:rPr>
          <w:rFonts w:ascii="Times New Roman" w:hAnsi="Times New Roman" w:eastAsia="宋体" w:cs="Times New Roman"/>
          <w:b/>
          <w:color w:val="auto"/>
          <w:spacing w:val="-4"/>
          <w:kern w:val="0"/>
          <w:sz w:val="24"/>
          <w:szCs w:val="24"/>
        </w:rPr>
      </w:pPr>
      <w:r>
        <w:rPr>
          <w:rFonts w:hint="eastAsia" w:ascii="Times New Roman" w:hAnsi="Times New Roman" w:eastAsia="宋体" w:cs="Times New Roman"/>
          <w:b/>
          <w:color w:val="auto"/>
          <w:spacing w:val="-4"/>
          <w:kern w:val="0"/>
          <w:sz w:val="24"/>
          <w:szCs w:val="24"/>
        </w:rPr>
        <w:t>（七）特别说明：</w:t>
      </w:r>
    </w:p>
    <w:p w14:paraId="185507D3">
      <w:pPr>
        <w:pStyle w:val="17"/>
        <w:snapToGrid w:val="0"/>
        <w:spacing w:line="360" w:lineRule="auto"/>
        <w:ind w:firstLine="401" w:firstLineChars="199"/>
        <w:rPr>
          <w:rFonts w:ascii="Times New Roman" w:hAnsi="Times New Roman"/>
          <w:bCs/>
          <w:color w:val="auto"/>
          <w:sz w:val="21"/>
        </w:rPr>
      </w:pPr>
      <w:r>
        <w:rPr>
          <w:rFonts w:hint="eastAsia" w:ascii="Times New Roman" w:hAnsi="Times New Roman"/>
          <w:bCs/>
          <w:color w:val="auto"/>
          <w:sz w:val="21"/>
        </w:rPr>
        <w:t>1.</w:t>
      </w:r>
      <w:r>
        <w:rPr>
          <w:rFonts w:ascii="Times New Roman" w:hAnsi="Times New Roman"/>
          <w:bCs/>
          <w:color w:val="auto"/>
          <w:sz w:val="21"/>
        </w:rPr>
        <w:t>投标人投标所使用的资格、信誉、荣誉、业绩与企业认证必须为本法人所拥有。投标人投标所使用的采购项目实施人员必须为本法人员工。</w:t>
      </w:r>
    </w:p>
    <w:p w14:paraId="09F40770">
      <w:pPr>
        <w:pStyle w:val="17"/>
        <w:snapToGrid w:val="0"/>
        <w:spacing w:line="360" w:lineRule="auto"/>
        <w:rPr>
          <w:rFonts w:ascii="Times New Roman" w:hAnsi="Times New Roman"/>
          <w:bCs/>
          <w:color w:val="auto"/>
          <w:sz w:val="21"/>
        </w:rPr>
      </w:pPr>
      <w:r>
        <w:rPr>
          <w:rFonts w:hint="eastAsia" w:ascii="Times New Roman" w:hAnsi="Times New Roman"/>
          <w:bCs/>
          <w:color w:val="auto"/>
          <w:sz w:val="21"/>
        </w:rPr>
        <w:t>2.</w:t>
      </w:r>
      <w:r>
        <w:rPr>
          <w:rFonts w:ascii="Times New Roman" w:hAnsi="Times New Roman"/>
          <w:bCs/>
          <w:color w:val="auto"/>
          <w:sz w:val="21"/>
        </w:rPr>
        <w:t>投标人应仔细阅读招标文件的所有内容，按照招标文件的要求提交投标文件，并对所提供的全部资料的真实性承担法律责任。</w:t>
      </w:r>
    </w:p>
    <w:p w14:paraId="08157E9A">
      <w:pPr>
        <w:snapToGrid w:val="0"/>
        <w:spacing w:line="360" w:lineRule="auto"/>
        <w:outlineLvl w:val="1"/>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（八）质疑</w:t>
      </w:r>
    </w:p>
    <w:p w14:paraId="74768CD0">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投标人应当自知道或者应当知道其合法权益受到损害之日起七个工作日内提出质疑。</w:t>
      </w:r>
    </w:p>
    <w:p w14:paraId="0BB9F29F">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hint="eastAsia" w:ascii="Times New Roman" w:hAnsi="Times New Roman" w:eastAsia="宋体" w:cs="Times New Roman"/>
          <w:bCs/>
          <w:color w:val="auto"/>
          <w:szCs w:val="21"/>
        </w:rPr>
        <w:t>对可以质疑的采购文件提出质疑的，为收到采购文件之日或者采购文件公告期限届满之日；</w:t>
      </w:r>
    </w:p>
    <w:p w14:paraId="5A222F2C">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2.</w:t>
      </w:r>
      <w:r>
        <w:rPr>
          <w:rFonts w:hint="eastAsia" w:ascii="Times New Roman" w:hAnsi="Times New Roman" w:eastAsia="宋体" w:cs="Times New Roman"/>
          <w:bCs/>
          <w:color w:val="auto"/>
          <w:szCs w:val="21"/>
        </w:rPr>
        <w:t>对采购过程提出质疑的，为各采购程序环节结束之日；</w:t>
      </w:r>
    </w:p>
    <w:p w14:paraId="6788D5BC">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对中标或者成交结果提出质疑的，为中标或者成交结果公告期限届满之日。</w:t>
      </w:r>
    </w:p>
    <w:p w14:paraId="5BCA34B9">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4.</w:t>
      </w:r>
      <w:r>
        <w:rPr>
          <w:rFonts w:hint="eastAsia" w:ascii="Times New Roman" w:hAnsi="Times New Roman" w:eastAsia="宋体" w:cs="Times New Roman"/>
          <w:bCs/>
          <w:color w:val="auto"/>
          <w:szCs w:val="21"/>
        </w:rPr>
        <w:t>质疑书应包括下列主要内容：</w:t>
      </w:r>
    </w:p>
    <w:p w14:paraId="77EC1DAF">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①</w:t>
      </w:r>
      <w:r>
        <w:rPr>
          <w:rFonts w:hint="eastAsia" w:ascii="Times New Roman" w:hAnsi="Times New Roman" w:eastAsia="宋体" w:cs="Times New Roman"/>
          <w:bCs/>
          <w:color w:val="auto"/>
          <w:szCs w:val="21"/>
        </w:rPr>
        <w:t>质疑人的名称、地址、邮政编码、联系人、联系电话，以及被质疑人名称及联系方式；</w:t>
      </w:r>
    </w:p>
    <w:p w14:paraId="02EB5101">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②</w:t>
      </w:r>
      <w:r>
        <w:rPr>
          <w:rFonts w:hint="eastAsia" w:ascii="Times New Roman" w:hAnsi="Times New Roman" w:eastAsia="宋体" w:cs="Times New Roman"/>
          <w:bCs/>
          <w:color w:val="auto"/>
          <w:szCs w:val="21"/>
        </w:rPr>
        <w:t>被质疑采购项目名称、编号及采购内容；</w:t>
      </w:r>
    </w:p>
    <w:p w14:paraId="14DA8988">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③</w:t>
      </w:r>
      <w:r>
        <w:rPr>
          <w:rFonts w:hint="eastAsia" w:ascii="Times New Roman" w:hAnsi="Times New Roman" w:eastAsia="宋体" w:cs="Times New Roman"/>
          <w:bCs/>
          <w:color w:val="auto"/>
          <w:szCs w:val="21"/>
        </w:rPr>
        <w:t>具体的质疑事项及事实依据；</w:t>
      </w:r>
    </w:p>
    <w:p w14:paraId="491EA2A1">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④</w:t>
      </w:r>
      <w:r>
        <w:rPr>
          <w:rFonts w:hint="eastAsia" w:ascii="Times New Roman" w:hAnsi="Times New Roman" w:eastAsia="宋体" w:cs="Times New Roman"/>
          <w:bCs/>
          <w:color w:val="auto"/>
          <w:szCs w:val="21"/>
        </w:rPr>
        <w:t>认为自己合法权益受到损害或可能受到损害的相关证据材料；</w:t>
      </w:r>
    </w:p>
    <w:p w14:paraId="13E79519">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⑤</w:t>
      </w:r>
      <w:r>
        <w:rPr>
          <w:rFonts w:hint="eastAsia" w:ascii="Times New Roman" w:hAnsi="Times New Roman" w:eastAsia="宋体" w:cs="Times New Roman"/>
          <w:bCs/>
          <w:color w:val="auto"/>
          <w:szCs w:val="21"/>
        </w:rPr>
        <w:t>提出质疑的日期。</w:t>
      </w:r>
    </w:p>
    <w:p w14:paraId="5ACD6AFD">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供应商为自然人的，应当由本人签字：供应商为法人或者其他组织的，应当由法定代表人、主要负责人，或者其授权代表签字或者盖章，并加盖公章。</w:t>
      </w:r>
    </w:p>
    <w:p w14:paraId="19D1D92C">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供应商在法定质疑期内一次性提出针对同一采购程序环节的质疑。</w:t>
      </w:r>
    </w:p>
    <w:p w14:paraId="1E6423D1">
      <w:pPr>
        <w:snapToGrid w:val="0"/>
        <w:spacing w:before="120" w:line="312" w:lineRule="auto"/>
        <w:ind w:right="-506" w:rightChars="-241" w:firstLine="3795" w:firstLineChars="1350"/>
        <w:rPr>
          <w:rFonts w:ascii="Times New Roman" w:hAnsi="Times New Roman" w:eastAsia="宋体" w:cs="Times New Roman"/>
          <w:b/>
          <w:color w:val="auto"/>
          <w:sz w:val="28"/>
        </w:rPr>
      </w:pPr>
    </w:p>
    <w:p w14:paraId="7B5328D7">
      <w:pPr>
        <w:snapToGrid w:val="0"/>
        <w:spacing w:before="120" w:line="312" w:lineRule="auto"/>
        <w:ind w:right="-506" w:rightChars="-241" w:firstLine="3795" w:firstLineChars="135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二、招标文件</w:t>
      </w:r>
    </w:p>
    <w:p w14:paraId="1E3660AB">
      <w:pPr>
        <w:snapToGrid w:val="0"/>
        <w:spacing w:line="360" w:lineRule="auto"/>
        <w:ind w:right="-341"/>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（一）招标文件的构成。本招标文件由以下部份组成：</w:t>
      </w:r>
    </w:p>
    <w:p w14:paraId="32F29A7B">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招标公告</w:t>
      </w:r>
    </w:p>
    <w:p w14:paraId="6AC024B7">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招标需求</w:t>
      </w:r>
    </w:p>
    <w:p w14:paraId="3DC28C09">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投标人须知</w:t>
      </w:r>
    </w:p>
    <w:p w14:paraId="154C7D29">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lang w:eastAsia="zh-CN"/>
        </w:rPr>
        <w:t>评标方法</w:t>
      </w:r>
      <w:r>
        <w:rPr>
          <w:rFonts w:hint="eastAsia" w:ascii="Times New Roman" w:hAnsi="Times New Roman" w:eastAsia="宋体" w:cs="Times New Roman"/>
          <w:color w:val="auto"/>
        </w:rPr>
        <w:t>及标准</w:t>
      </w:r>
    </w:p>
    <w:p w14:paraId="4DF28C80">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合同主要条款</w:t>
      </w:r>
    </w:p>
    <w:p w14:paraId="0717F440">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投标文件格式</w:t>
      </w:r>
    </w:p>
    <w:p w14:paraId="6A62BAAB">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本项目招标文件的澄清、答复、修改、补充的内容</w:t>
      </w:r>
    </w:p>
    <w:p w14:paraId="441470C5">
      <w:pPr>
        <w:snapToGrid w:val="0"/>
        <w:spacing w:line="360" w:lineRule="auto"/>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（二）投标人的风险</w:t>
      </w:r>
    </w:p>
    <w:p w14:paraId="45EE1C4C">
      <w:pPr>
        <w:spacing w:line="360" w:lineRule="auto"/>
        <w:ind w:firstLine="420"/>
        <w:rPr>
          <w:rFonts w:ascii="Times New Roman" w:hAnsi="Times New Roman" w:eastAsia="宋体" w:cs="Times New Roman"/>
          <w:color w:val="auto"/>
        </w:rPr>
      </w:pPr>
      <w:r>
        <w:rPr>
          <w:rFonts w:hint="eastAsia" w:ascii="Times New Roman" w:hAnsi="Times New Roman" w:eastAsia="宋体" w:cs="Times New Roman"/>
          <w:color w:val="auto"/>
        </w:rPr>
        <w:t>投标人没有按照招标文件要求提供全部资料，或者投标人没有对招标文件在各方面作出实质性响应是投标人的风险，并可能导致其投标被拒绝。</w:t>
      </w:r>
    </w:p>
    <w:p w14:paraId="23016D9E">
      <w:pPr>
        <w:tabs>
          <w:tab w:val="left" w:pos="454"/>
          <w:tab w:val="left" w:pos="720"/>
          <w:tab w:val="left" w:pos="900"/>
        </w:tabs>
        <w:snapToGrid w:val="0"/>
        <w:spacing w:line="360" w:lineRule="auto"/>
        <w:ind w:left="247" w:hanging="247" w:hangingChars="117"/>
        <w:rPr>
          <w:rFonts w:ascii="Times New Roman" w:hAnsi="Times New Roman" w:eastAsia="宋体" w:cs="Times New Roman"/>
          <w:b/>
          <w:color w:val="auto"/>
        </w:rPr>
      </w:pPr>
      <w:r>
        <w:rPr>
          <w:rFonts w:hint="eastAsia" w:ascii="Times New Roman" w:hAnsi="Times New Roman" w:eastAsia="宋体" w:cs="Times New Roman"/>
          <w:b/>
          <w:color w:val="auto"/>
        </w:rPr>
        <w:t>（三）招标文件的澄清与修改</w:t>
      </w:r>
    </w:p>
    <w:p w14:paraId="3DA0ABE7">
      <w:pPr>
        <w:widowControl/>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投标人应认真阅读本招标文件，发现其中有误或有要求不合理的，投标人必须在投标截止前</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天前，在财政部门指定的政府采购信息发布媒体上发布更正公告，并通知所有已报名的潜在投标人。</w:t>
      </w:r>
    </w:p>
    <w:p w14:paraId="190292B1">
      <w:pPr>
        <w:widowControl/>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天的，招标采购单位可视情况推迟投标截止时间和开标时间，按规定在财政部门指定的政府采购信息发布媒体上发布变更公告，并将变更后的时间通知所有已报名的潜在投标人。</w:t>
      </w:r>
    </w:p>
    <w:p w14:paraId="5B880AFB">
      <w:pPr>
        <w:widowControl/>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招标文件澄清、答复、修改、补充的内容为采购文件的组成部分。当招标文件与招标文件的答复、澄清、修改、补充通知就同一内容的表述不一致时，以最后发出的变更公告为准。</w:t>
      </w:r>
    </w:p>
    <w:p w14:paraId="03D74F65">
      <w:pPr>
        <w:snapToGrid w:val="0"/>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招标文件的澄清、答复、修改或补充都应该通过本代理机构以法定形式发布。</w:t>
      </w:r>
    </w:p>
    <w:p w14:paraId="5E31282A">
      <w:pPr>
        <w:snapToGrid w:val="0"/>
        <w:spacing w:before="120" w:line="360" w:lineRule="auto"/>
        <w:ind w:right="-87" w:firstLine="2923" w:firstLineChars="104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三、投标文件的编制</w:t>
      </w:r>
    </w:p>
    <w:p w14:paraId="3266F391">
      <w:pPr>
        <w:spacing w:line="336" w:lineRule="auto"/>
        <w:ind w:firstLine="211" w:firstLineChars="10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（一）投标文件的签署</w:t>
      </w:r>
    </w:p>
    <w:p w14:paraId="779955FC">
      <w:pPr>
        <w:spacing w:line="336" w:lineRule="auto"/>
        <w:ind w:firstLine="42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电子投标文件部分：</w:t>
      </w:r>
    </w:p>
    <w:p w14:paraId="5EF1E763">
      <w:pPr>
        <w:spacing w:line="336" w:lineRule="auto"/>
        <w:ind w:firstLine="42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投标人应根据</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政采云供应商项目采购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及本招标文件规定的格式和顺序编制电子投标文件并进行关联定位。</w:t>
      </w:r>
    </w:p>
    <w:p w14:paraId="385F8467">
      <w:pPr>
        <w:spacing w:line="336" w:lineRule="auto"/>
        <w:ind w:firstLine="42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备份投标文件部分：</w:t>
      </w:r>
    </w:p>
    <w:p w14:paraId="632343F4">
      <w:pPr>
        <w:snapToGrid w:val="0"/>
        <w:spacing w:line="336"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6F69E2C0">
      <w:pPr>
        <w:tabs>
          <w:tab w:val="left" w:pos="0"/>
        </w:tabs>
        <w:spacing w:line="360" w:lineRule="auto"/>
        <w:ind w:firstLine="211" w:firstLineChars="10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（二）投标文件的组成</w:t>
      </w:r>
    </w:p>
    <w:p w14:paraId="23636DE7">
      <w:pPr>
        <w:spacing w:line="360" w:lineRule="auto"/>
        <w:ind w:firstLine="413" w:firstLineChars="196"/>
        <w:rPr>
          <w:rFonts w:ascii="宋体" w:hAnsi="Courier New" w:eastAsia="宋体" w:cs="Times New Roman"/>
          <w:color w:val="auto"/>
          <w:szCs w:val="21"/>
        </w:rPr>
      </w:pPr>
      <w:r>
        <w:rPr>
          <w:rFonts w:hint="eastAsia" w:ascii="宋体" w:hAnsi="Courier New" w:eastAsia="宋体" w:cs="Times New Roman"/>
          <w:b/>
          <w:bCs/>
          <w:color w:val="auto"/>
          <w:szCs w:val="21"/>
        </w:rPr>
        <w:t>投标文件由资格响应文件、商务及技术响应文件、报价文件三部份组成。</w:t>
      </w:r>
      <w:r>
        <w:rPr>
          <w:rFonts w:hint="eastAsia" w:ascii="宋体" w:hAnsi="Courier New" w:eastAsia="宋体" w:cs="Times New Roman"/>
          <w:color w:val="auto"/>
          <w:szCs w:val="21"/>
        </w:rPr>
        <w:t>电子投标文件中所须加盖公章部分均采用CA签章。（以下投标文件的部分格式详见本招标文件第六章，如本招标文件没有提供相应的格式，投标人可自行制表填写）</w:t>
      </w:r>
    </w:p>
    <w:p w14:paraId="67267FE5">
      <w:pPr>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资格响应部份：</w:t>
      </w:r>
    </w:p>
    <w:p w14:paraId="7403ED88">
      <w:pPr>
        <w:spacing w:line="360" w:lineRule="auto"/>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基本资格条件：符合《中华人民共和国政府采购法》第二十二条的规定；</w:t>
      </w:r>
    </w:p>
    <w:p w14:paraId="68771CC1">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（以下</w:t>
      </w:r>
      <w:r>
        <w:rPr>
          <w:rFonts w:ascii="Times New Roman" w:hAnsi="Times New Roman" w:eastAsia="宋体" w:cs="Times New Roman"/>
          <w:color w:val="auto"/>
        </w:rPr>
        <w:t>A~E</w:t>
      </w:r>
      <w:r>
        <w:rPr>
          <w:rFonts w:hint="eastAsia" w:ascii="Times New Roman" w:hAnsi="Times New Roman" w:eastAsia="宋体" w:cs="Times New Roman"/>
          <w:color w:val="auto"/>
        </w:rPr>
        <w:t>项是第二十二条要求及对应证明材料的具体内容，各投标人须在投标文件中出具对应证明材料）</w:t>
      </w:r>
    </w:p>
    <w:p w14:paraId="2E5616E6">
      <w:pPr>
        <w:spacing w:line="360" w:lineRule="auto"/>
        <w:ind w:firstLine="482" w:firstLineChars="200"/>
        <w:rPr>
          <w:rFonts w:ascii="Times New Roman" w:hAnsi="Times New Roman" w:eastAsia="宋体" w:cs="Times New Roman"/>
          <w:b/>
          <w:bCs/>
          <w:color w:val="auto"/>
        </w:rPr>
      </w:pPr>
      <w:r>
        <w:rPr>
          <w:rFonts w:ascii="Times New Roman" w:hAnsi="Times New Roman" w:eastAsia="宋体" w:cs="Times New Roman"/>
          <w:b/>
          <w:bCs/>
          <w:color w:val="auto"/>
          <w:sz w:val="24"/>
        </w:rPr>
        <w:t>A.</w:t>
      </w:r>
      <w:r>
        <w:rPr>
          <w:rFonts w:hint="eastAsia" w:ascii="Times New Roman" w:hAnsi="Times New Roman" w:eastAsia="宋体" w:cs="Times New Roman"/>
          <w:b/>
          <w:bCs/>
          <w:color w:val="auto"/>
        </w:rPr>
        <w:t>具有独立承担民事责任的能力：</w:t>
      </w:r>
    </w:p>
    <w:p w14:paraId="2B6ADBA7">
      <w:pPr>
        <w:spacing w:line="360" w:lineRule="auto"/>
        <w:ind w:firstLine="420" w:firstLineChars="200"/>
        <w:rPr>
          <w:rFonts w:ascii="Times New Roman" w:hAnsi="Times New Roman" w:eastAsia="宋体" w:cs="Times New Roman"/>
          <w:b/>
          <w:bCs/>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（五选一）：</w:t>
      </w:r>
    </w:p>
    <w:p w14:paraId="5AC24ECE">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①如投标人是企业（包括合伙企业），提供在工商部门注册的有效</w:t>
      </w:r>
      <w:r>
        <w:rPr>
          <w:rFonts w:ascii="Times New Roman" w:hAnsi="Times New Roman" w:eastAsia="宋体" w:cs="Times New Roman"/>
          <w:color w:val="auto"/>
        </w:rPr>
        <w:t>“</w:t>
      </w:r>
      <w:r>
        <w:rPr>
          <w:rFonts w:hint="eastAsia" w:ascii="Times New Roman" w:hAnsi="Times New Roman" w:eastAsia="宋体" w:cs="Times New Roman"/>
          <w:color w:val="auto"/>
        </w:rPr>
        <w:t>企业法人营业执照</w:t>
      </w:r>
      <w:r>
        <w:rPr>
          <w:rFonts w:ascii="Times New Roman" w:hAnsi="Times New Roman" w:eastAsia="宋体" w:cs="Times New Roman"/>
          <w:color w:val="auto"/>
        </w:rPr>
        <w:t>”</w:t>
      </w:r>
      <w:r>
        <w:rPr>
          <w:rFonts w:hint="eastAsia" w:ascii="Times New Roman" w:hAnsi="Times New Roman" w:eastAsia="宋体" w:cs="Times New Roman"/>
          <w:color w:val="auto"/>
        </w:rPr>
        <w:t>或</w:t>
      </w:r>
      <w:r>
        <w:rPr>
          <w:rFonts w:ascii="Times New Roman" w:hAnsi="Times New Roman" w:eastAsia="宋体" w:cs="Times New Roman"/>
          <w:color w:val="auto"/>
        </w:rPr>
        <w:t>“</w:t>
      </w:r>
      <w:r>
        <w:rPr>
          <w:rFonts w:hint="eastAsia" w:ascii="Times New Roman" w:hAnsi="Times New Roman" w:eastAsia="宋体" w:cs="Times New Roman"/>
          <w:color w:val="auto"/>
        </w:rPr>
        <w:t>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7DE7C1F5">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②如投标人是事业单位，提供有效的</w:t>
      </w:r>
      <w:r>
        <w:rPr>
          <w:rFonts w:ascii="Times New Roman" w:hAnsi="Times New Roman" w:eastAsia="宋体" w:cs="Times New Roman"/>
          <w:color w:val="auto"/>
        </w:rPr>
        <w:t>“</w:t>
      </w:r>
      <w:r>
        <w:rPr>
          <w:rFonts w:hint="eastAsia" w:ascii="Times New Roman" w:hAnsi="Times New Roman" w:eastAsia="宋体" w:cs="Times New Roman"/>
          <w:color w:val="auto"/>
        </w:rPr>
        <w:t>事业单位法人证书</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3E27DD0D">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③如投标人是非企业专业服务机构的，提供执业许可证等证明文件；</w:t>
      </w:r>
    </w:p>
    <w:p w14:paraId="1C1C9CB8">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④如投标人是个体工商户，提供有效的</w:t>
      </w:r>
      <w:r>
        <w:rPr>
          <w:rFonts w:ascii="Times New Roman" w:hAnsi="Times New Roman" w:eastAsia="宋体" w:cs="Times New Roman"/>
          <w:color w:val="auto"/>
        </w:rPr>
        <w:t>“</w:t>
      </w:r>
      <w:r>
        <w:rPr>
          <w:rFonts w:hint="eastAsia" w:ascii="Times New Roman" w:hAnsi="Times New Roman" w:eastAsia="宋体" w:cs="Times New Roman"/>
          <w:color w:val="auto"/>
        </w:rPr>
        <w:t>个体工商户营业执照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14DF4006">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⑤如投标人是自然人，提供有效的自然人身份证明（居民身份证正反面或公安机关出具的临时居民身份证正反面或港澳台胞证或证照）。</w:t>
      </w:r>
    </w:p>
    <w:p w14:paraId="27C31D2C">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szCs w:val="21"/>
        </w:rPr>
        <w:t>B.</w:t>
      </w:r>
      <w:r>
        <w:rPr>
          <w:rFonts w:hint="eastAsia" w:ascii="Times New Roman" w:hAnsi="Times New Roman" w:eastAsia="宋体" w:cs="Times New Roman"/>
          <w:b/>
          <w:bCs/>
          <w:color w:val="auto"/>
        </w:rPr>
        <w:t>具有良好的商业信誉和健全的财务会计制度：</w:t>
      </w:r>
    </w:p>
    <w:p w14:paraId="23CE8FF3">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①良好的商业信誉：</w:t>
      </w:r>
    </w:p>
    <w:p w14:paraId="21C739DE">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至本项目投标截止时间止未被</w:t>
      </w:r>
      <w:r>
        <w:rPr>
          <w:rFonts w:ascii="Times New Roman" w:hAnsi="Times New Roman" w:eastAsia="宋体" w:cs="Times New Roman"/>
          <w:color w:val="auto"/>
        </w:rPr>
        <w:t>“</w:t>
      </w:r>
      <w:r>
        <w:rPr>
          <w:rFonts w:hint="eastAsia" w:ascii="Times New Roman" w:hAnsi="Times New Roman" w:eastAsia="宋体" w:cs="Times New Roman"/>
          <w:color w:val="auto"/>
        </w:rPr>
        <w:t>信用中国</w:t>
      </w:r>
      <w:r>
        <w:rPr>
          <w:rFonts w:ascii="Times New Roman" w:hAnsi="Times New Roman" w:eastAsia="宋体" w:cs="Times New Roman"/>
          <w:color w:val="auto"/>
        </w:rPr>
        <w:t>”</w:t>
      </w:r>
      <w:r>
        <w:rPr>
          <w:rFonts w:hint="eastAsia" w:ascii="Times New Roman" w:hAnsi="Times New Roman" w:eastAsia="宋体" w:cs="Times New Roman"/>
          <w:color w:val="auto"/>
        </w:rPr>
        <w:t>（</w:t>
      </w:r>
      <w:r>
        <w:rPr>
          <w:rFonts w:ascii="Times New Roman" w:hAnsi="Times New Roman" w:eastAsia="宋体" w:cs="Times New Roman"/>
          <w:color w:val="auto"/>
        </w:rPr>
        <w:t>www.creditchina.gov.cn</w:t>
      </w:r>
      <w:r>
        <w:rPr>
          <w:rFonts w:hint="eastAsia" w:ascii="Times New Roman" w:hAnsi="Times New Roman" w:eastAsia="宋体" w:cs="Times New Roman"/>
          <w:color w:val="auto"/>
        </w:rPr>
        <w:t>）、中国政府采购网（</w:t>
      </w:r>
      <w:r>
        <w:rPr>
          <w:rFonts w:ascii="Times New Roman" w:hAnsi="Times New Roman" w:eastAsia="宋体" w:cs="Times New Roman"/>
          <w:color w:val="auto"/>
        </w:rPr>
        <w:t>www.ccgp.gov.cn</w:t>
      </w:r>
      <w:r>
        <w:rPr>
          <w:rFonts w:hint="eastAsia" w:ascii="Times New Roman" w:hAnsi="Times New Roman" w:eastAsia="宋体" w:cs="Times New Roman"/>
          <w:color w:val="auto"/>
        </w:rPr>
        <w:t>）列入失信被执行人、重大税收违法案件当事人名单、政府采购严重违法失信行为记录名单网页查询记录截图。</w:t>
      </w:r>
    </w:p>
    <w:p w14:paraId="7500F8F8">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color w:val="auto"/>
        </w:rPr>
        <w:t>查询截图，（截图查询网站时间须在开标截止前二个星期内）</w:t>
      </w:r>
    </w:p>
    <w:p w14:paraId="0A5DAE7C">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对</w:t>
      </w:r>
      <w:r>
        <w:rPr>
          <w:rFonts w:hint="eastAsia" w:ascii="Times New Roman" w:hAnsi="Times New Roman" w:eastAsia="宋体" w:cs="Times New Roman"/>
          <w:color w:val="auto"/>
        </w:rPr>
        <w:t>列入失信被执行人、重大税收违法案件当事人名单、政府采购严重违法失信行为记录名单的投标人，其投标将作无效标处理。</w:t>
      </w:r>
    </w:p>
    <w:p w14:paraId="3A1028C5">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健全的财务会计制度：</w:t>
      </w:r>
    </w:p>
    <w:p w14:paraId="619C8E5A">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（三选一）</w:t>
      </w:r>
      <w:r>
        <w:rPr>
          <w:rFonts w:hint="eastAsia" w:ascii="Times New Roman" w:hAnsi="Times New Roman" w:eastAsia="宋体" w:cs="Times New Roman"/>
          <w:color w:val="auto"/>
        </w:rPr>
        <w:t>：</w:t>
      </w:r>
    </w:p>
    <w:p w14:paraId="476E0E08">
      <w:pPr>
        <w:tabs>
          <w:tab w:val="left" w:pos="735"/>
        </w:tabs>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2F27C3AB">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其他组织和自然人如没有经审计的财务报告的，可以提供资产负债表、利润表、现金</w:t>
      </w:r>
    </w:p>
    <w:p w14:paraId="2A0ACE23">
      <w:p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流量表。</w:t>
      </w:r>
    </w:p>
    <w:p w14:paraId="49CA5845">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新成立不足一年的公司须出具情况说明。</w:t>
      </w:r>
    </w:p>
    <w:p w14:paraId="19159E21">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C.</w:t>
      </w:r>
      <w:r>
        <w:rPr>
          <w:rFonts w:hint="eastAsia" w:ascii="Times New Roman" w:hAnsi="Times New Roman" w:eastAsia="宋体" w:cs="Times New Roman"/>
          <w:b/>
          <w:bCs/>
          <w:color w:val="auto"/>
          <w:szCs w:val="21"/>
        </w:rPr>
        <w:t>具有履行合同所必需的设备和专业技术能力：</w:t>
      </w:r>
    </w:p>
    <w:p w14:paraId="73834902">
      <w:pPr>
        <w:spacing w:line="360" w:lineRule="auto"/>
        <w:ind w:left="42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投标人须在投标文件中出具具有履行合同所必需的设备和专业技术能力的《投标函》。</w:t>
      </w:r>
    </w:p>
    <w:p w14:paraId="23F8601B">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D.</w:t>
      </w:r>
      <w:r>
        <w:rPr>
          <w:rFonts w:hint="eastAsia" w:ascii="Times New Roman" w:hAnsi="Times New Roman" w:eastAsia="宋体" w:cs="Times New Roman"/>
          <w:b/>
          <w:bCs/>
          <w:color w:val="auto"/>
          <w:szCs w:val="21"/>
        </w:rPr>
        <w:t>有依法缴纳税收和社会保障资金的良好记录：（如有）</w:t>
      </w:r>
    </w:p>
    <w:p w14:paraId="7199B41B">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投标人须在投标文件中同时出具满足以下要求的证明材料复印件：</w:t>
      </w:r>
    </w:p>
    <w:p w14:paraId="5D82951A">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①投标人须提供由税务部门出具的最近一季度缴纳增值税和企业所得税的纳税证明。</w:t>
      </w:r>
    </w:p>
    <w:p w14:paraId="699C7E9F">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投标人须提供最近三个月内缴纳社会保险的凭据（缴税付款凭证或社会保险缴纳证明）</w:t>
      </w:r>
    </w:p>
    <w:p w14:paraId="619118EF">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依法免税或不需要缴纳社会保障资金的投标人，应提供相应文件证明其依法免税或不需要缴纳社会保障资金。</w:t>
      </w:r>
    </w:p>
    <w:p w14:paraId="356867BE">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rPr>
        <w:t>E.</w:t>
      </w:r>
      <w:r>
        <w:rPr>
          <w:rFonts w:hint="eastAsia" w:ascii="Times New Roman" w:hAnsi="Times New Roman" w:eastAsia="宋体" w:cs="Times New Roman"/>
          <w:b/>
          <w:bCs/>
          <w:color w:val="auto"/>
        </w:rPr>
        <w:t>参加政府采购活动前三年内，在经营活动中没有重大违法记录：</w:t>
      </w:r>
    </w:p>
    <w:p w14:paraId="36720238">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投标人须在投标文件中出具《声明函》、廉政承诺书。（格式见附件）</w:t>
      </w:r>
    </w:p>
    <w:p w14:paraId="28FE6634">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注：证明材料均需加盖签章。</w:t>
      </w:r>
    </w:p>
    <w:p w14:paraId="1ECCBB16">
      <w:pPr>
        <w:tabs>
          <w:tab w:val="left" w:pos="3870"/>
          <w:tab w:val="left" w:pos="4085"/>
        </w:tabs>
        <w:snapToGrid w:val="0"/>
        <w:spacing w:line="336"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中小企业</w:t>
      </w:r>
      <w:r>
        <w:rPr>
          <w:rFonts w:hint="eastAsia" w:ascii="Times New Roman" w:hAnsi="Times New Roman" w:eastAsia="宋体" w:cs="Times New Roman"/>
          <w:color w:val="auto"/>
          <w:szCs w:val="21"/>
        </w:rPr>
        <w:t>声</w:t>
      </w:r>
      <w:r>
        <w:rPr>
          <w:rFonts w:ascii="Times New Roman" w:hAnsi="Times New Roman" w:eastAsia="宋体" w:cs="Times New Roman"/>
          <w:color w:val="auto"/>
          <w:szCs w:val="21"/>
        </w:rPr>
        <w:t>明函；</w:t>
      </w:r>
    </w:p>
    <w:p w14:paraId="0138307A">
      <w:pPr>
        <w:tabs>
          <w:tab w:val="left" w:pos="3870"/>
          <w:tab w:val="left" w:pos="4085"/>
        </w:tabs>
        <w:snapToGrid w:val="0"/>
        <w:spacing w:line="336"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监狱企业声明函；</w:t>
      </w:r>
    </w:p>
    <w:p w14:paraId="3E3A0566">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残疾人福利性单位声明函；</w:t>
      </w:r>
    </w:p>
    <w:p w14:paraId="6F06C3C6">
      <w:pPr>
        <w:snapToGrid w:val="0"/>
        <w:spacing w:line="336" w:lineRule="auto"/>
        <w:rPr>
          <w:rFonts w:hint="eastAsia" w:ascii="宋体" w:hAnsi="宋体" w:eastAsia="宋体" w:cs="Times New Roman"/>
          <w:b/>
          <w:color w:val="auto"/>
          <w:szCs w:val="21"/>
        </w:rPr>
      </w:pPr>
      <w:r>
        <w:rPr>
          <w:rFonts w:hint="eastAsia" w:ascii="宋体" w:hAnsi="宋体" w:eastAsia="宋体" w:cs="Times New Roman"/>
          <w:b/>
          <w:color w:val="auto"/>
          <w:szCs w:val="21"/>
        </w:rPr>
        <w:t>2.商务及技术部分：</w:t>
      </w:r>
    </w:p>
    <w:p w14:paraId="20A413ED">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2.1投标人提供水产种苗许可证资质等级复印件及投标单位资质情况说明；</w:t>
      </w:r>
    </w:p>
    <w:p w14:paraId="05B9DDA5">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2.2投标人同类型业绩证明材料；</w:t>
      </w:r>
    </w:p>
    <w:p w14:paraId="6B49D686">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2.3投标人信誉证明材料；</w:t>
      </w:r>
    </w:p>
    <w:p w14:paraId="14EBB5AF">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2.4投标人必须遵守浙江省制订的相应种类种苗放流技术规范；</w:t>
      </w:r>
    </w:p>
    <w:p w14:paraId="6A66F7AC">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2.5投标人技术力量、实施种苗生产技术标准情况、管理水平、企业规模、是否为原种场、良种场或试验基地（提供相关证明文件）等（自行编写），提供相关证明材料；投标人育苗能力、种质来源、育苗水体大小、本种类亲本数量及实际年生产本种类种苗数量、可实际承担放流任务数量等（自行编写）；</w:t>
      </w:r>
    </w:p>
    <w:p w14:paraId="790CE405">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2.6投标人运输方案（运输距离、运输方式）；投标人运输时间；（自行编写）</w:t>
      </w:r>
    </w:p>
    <w:p w14:paraId="16E5B104">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2.7关于投标种苗及相关事项的声明；</w:t>
      </w:r>
    </w:p>
    <w:p w14:paraId="7CD1D112">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2.8本项目相关人员的联系方式（如投标人法定代表人或授权代表、项目负责人、技术人员、相关负责人等电话等）；</w:t>
      </w:r>
    </w:p>
    <w:p w14:paraId="7C77F156">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2.9评分规则中涉及的所需提交的材料（如有），投标人需要说明的其他文件和说明（如有）。</w:t>
      </w:r>
    </w:p>
    <w:p w14:paraId="0F880C2A">
      <w:pPr>
        <w:snapToGrid w:val="0"/>
        <w:spacing w:line="360" w:lineRule="auto"/>
        <w:ind w:firstLine="413" w:firstLineChars="196"/>
        <w:jc w:val="left"/>
        <w:rPr>
          <w:rFonts w:hint="eastAsia" w:ascii="宋体" w:hAnsi="宋体" w:eastAsia="宋体" w:cs="Times New Roman"/>
          <w:b/>
          <w:color w:val="auto"/>
          <w:szCs w:val="21"/>
        </w:rPr>
      </w:pPr>
      <w:r>
        <w:rPr>
          <w:rFonts w:hint="eastAsia" w:ascii="宋体" w:hAnsi="宋体" w:eastAsia="宋体" w:cs="Times New Roman"/>
          <w:b/>
          <w:color w:val="auto"/>
          <w:szCs w:val="21"/>
        </w:rPr>
        <w:t>3.报价部分：</w:t>
      </w:r>
    </w:p>
    <w:p w14:paraId="035D8AEC">
      <w:pPr>
        <w:snapToGrid w:val="0"/>
        <w:spacing w:line="336" w:lineRule="auto"/>
        <w:ind w:firstLine="420" w:firstLineChars="200"/>
        <w:jc w:val="left"/>
        <w:rPr>
          <w:rFonts w:hint="eastAsia" w:ascii="宋体" w:hAnsi="宋体" w:eastAsia="宋体" w:cs="Times New Roman"/>
          <w:color w:val="auto"/>
          <w:szCs w:val="21"/>
        </w:rPr>
      </w:pPr>
      <w:r>
        <w:rPr>
          <w:rFonts w:hint="eastAsia" w:ascii="宋体" w:hAnsi="宋体" w:eastAsia="宋体" w:cs="Times New Roman"/>
          <w:color w:val="auto"/>
          <w:szCs w:val="21"/>
        </w:rPr>
        <w:t>3.1投标报价一览表；</w:t>
      </w:r>
    </w:p>
    <w:p w14:paraId="3FA32F67">
      <w:pPr>
        <w:snapToGrid w:val="0"/>
        <w:spacing w:line="336" w:lineRule="auto"/>
        <w:ind w:firstLine="420" w:firstLineChars="200"/>
        <w:jc w:val="left"/>
        <w:rPr>
          <w:rFonts w:hint="eastAsia"/>
          <w:color w:val="auto"/>
        </w:rPr>
      </w:pPr>
      <w:r>
        <w:rPr>
          <w:rFonts w:hint="eastAsia" w:ascii="宋体" w:hAnsi="宋体" w:eastAsia="宋体" w:cs="Times New Roman"/>
          <w:color w:val="auto"/>
          <w:szCs w:val="21"/>
        </w:rPr>
        <w:t>3.2投标人针对报价需要说明的其他文件和说明。</w:t>
      </w:r>
    </w:p>
    <w:p w14:paraId="6307728D">
      <w:pPr>
        <w:snapToGrid w:val="0"/>
        <w:spacing w:line="360" w:lineRule="auto"/>
        <w:jc w:val="left"/>
        <w:outlineLvl w:val="0"/>
        <w:rPr>
          <w:rFonts w:ascii="Times New Roman" w:hAnsi="Times New Roman" w:eastAsia="宋体" w:cs="Times New Roman"/>
          <w:b/>
          <w:color w:val="auto"/>
          <w:sz w:val="24"/>
        </w:rPr>
      </w:pPr>
      <w:r>
        <w:rPr>
          <w:rFonts w:hint="eastAsia" w:ascii="Times New Roman" w:hAnsi="Times New Roman" w:eastAsia="宋体" w:cs="Times New Roman"/>
          <w:b/>
          <w:color w:val="auto"/>
          <w:szCs w:val="21"/>
        </w:rPr>
        <w:t>（二）投标文件的语言及计量</w:t>
      </w:r>
    </w:p>
    <w:p w14:paraId="3E9CB48B">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投标文件以及投标人与采购人就有关投标事宜的所有来往函电，均应以中文汉语书写。除签名、盖章、专用名称等特殊情形外，以中文汉语以外的文字表述的投标文件视同未提供。</w:t>
      </w:r>
    </w:p>
    <w:p w14:paraId="2A3A3F32">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投标计量单位，采购文件已有明确规定的，使用采购文件规定的计量单位；采购文件没有规定的，应采用中华人民共和国法定计量单位（货币单位：人民币元），否则视同未响应。</w:t>
      </w:r>
    </w:p>
    <w:p w14:paraId="6ABCC1B1">
      <w:pPr>
        <w:tabs>
          <w:tab w:val="left" w:pos="0"/>
        </w:tabs>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（三）响应报价</w:t>
      </w:r>
    </w:p>
    <w:p w14:paraId="31248743">
      <w:pPr>
        <w:snapToGrid w:val="0"/>
        <w:spacing w:line="360" w:lineRule="auto"/>
        <w:ind w:firstLine="420" w:firstLineChars="200"/>
        <w:rPr>
          <w:rFonts w:ascii="Times New Roman" w:hAnsi="Times New Roman" w:eastAsia="宋体" w:cs="Times New Roman"/>
          <w:b w:val="0"/>
          <w:bCs w:val="0"/>
          <w:color w:val="auto"/>
          <w:szCs w:val="21"/>
        </w:rPr>
      </w:pPr>
      <w:r>
        <w:rPr>
          <w:rFonts w:ascii="Times New Roman" w:hAnsi="Times New Roman" w:eastAsia="宋体" w:cs="Times New Roman"/>
          <w:b w:val="0"/>
          <w:bCs w:val="0"/>
          <w:color w:val="auto"/>
          <w:szCs w:val="21"/>
        </w:rPr>
        <w:t>1.</w:t>
      </w:r>
      <w:r>
        <w:rPr>
          <w:rFonts w:hint="eastAsia" w:ascii="Times New Roman" w:hAnsi="Times New Roman" w:eastAsia="宋体" w:cs="Times New Roman"/>
          <w:b w:val="0"/>
          <w:bCs w:val="0"/>
          <w:color w:val="auto"/>
          <w:szCs w:val="21"/>
        </w:rPr>
        <w:t>投标报价应以人民币报价，投标人报价应是包括为完成本项目服务、设备供应可能发生的全部费用及中标人的利润和应交纳的税金等一切费用。</w:t>
      </w:r>
    </w:p>
    <w:p w14:paraId="05C4F768">
      <w:pPr>
        <w:spacing w:line="360" w:lineRule="auto"/>
        <w:ind w:firstLine="420"/>
        <w:rPr>
          <w:rFonts w:ascii="Times New Roman" w:hAnsi="Times New Roman" w:eastAsia="宋体" w:cs="Times New Roman"/>
          <w:b w:val="0"/>
          <w:bCs w:val="0"/>
          <w:color w:val="auto"/>
        </w:rPr>
      </w:pPr>
      <w:r>
        <w:rPr>
          <w:rFonts w:ascii="Times New Roman" w:hAnsi="Times New Roman" w:eastAsia="宋体" w:cs="Times New Roman"/>
          <w:b w:val="0"/>
          <w:bCs w:val="0"/>
          <w:color w:val="auto"/>
          <w:szCs w:val="21"/>
        </w:rPr>
        <w:t>2.</w:t>
      </w:r>
      <w:r>
        <w:rPr>
          <w:rFonts w:hint="eastAsia" w:ascii="Times New Roman" w:hAnsi="Times New Roman" w:eastAsia="宋体" w:cs="Times New Roman"/>
          <w:b w:val="0"/>
          <w:bCs w:val="0"/>
          <w:color w:val="auto"/>
          <w:szCs w:val="21"/>
        </w:rPr>
        <w:t>投标文件针对同一内容只允许有一个报价，有选择的或有条件的报价将不予接受。</w:t>
      </w:r>
    </w:p>
    <w:p w14:paraId="3C3301EF">
      <w:pPr>
        <w:snapToGrid w:val="0"/>
        <w:spacing w:line="360" w:lineRule="auto"/>
        <w:jc w:val="left"/>
        <w:outlineLvl w:val="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（四）投标文件的有效期</w:t>
      </w:r>
    </w:p>
    <w:p w14:paraId="2C22C22B">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自投标截止日起</w:t>
      </w:r>
      <w:r>
        <w:rPr>
          <w:rFonts w:ascii="Times New Roman" w:hAnsi="Times New Roman" w:eastAsia="宋体" w:cs="Times New Roman"/>
          <w:b/>
          <w:color w:val="auto"/>
          <w:u w:val="single"/>
        </w:rPr>
        <w:t>90</w:t>
      </w:r>
      <w:r>
        <w:rPr>
          <w:rFonts w:hint="eastAsia" w:ascii="Times New Roman" w:hAnsi="Times New Roman" w:eastAsia="宋体" w:cs="Times New Roman"/>
          <w:b/>
          <w:color w:val="auto"/>
        </w:rPr>
        <w:t>天</w:t>
      </w:r>
      <w:r>
        <w:rPr>
          <w:rFonts w:hint="eastAsia" w:ascii="Times New Roman" w:hAnsi="Times New Roman" w:eastAsia="宋体" w:cs="Times New Roman"/>
          <w:color w:val="auto"/>
        </w:rPr>
        <w:t>投标文件应保持有效。有效期不足的投标文件将被拒绝。</w:t>
      </w:r>
    </w:p>
    <w:p w14:paraId="0F277806">
      <w:pPr>
        <w:snapToGrid w:val="0"/>
        <w:spacing w:line="360" w:lineRule="auto"/>
        <w:ind w:right="-86" w:rightChars="-41"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在特殊情况下，采购人可与投标人协商延长投标书的有效期，这种要求和答复均以书面形式进行。</w:t>
      </w:r>
    </w:p>
    <w:p w14:paraId="079E9CA8">
      <w:pPr>
        <w:snapToGrid w:val="0"/>
        <w:spacing w:line="360" w:lineRule="auto"/>
        <w:ind w:right="55"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中标人的投标文件自开标之日起至合同履行完毕止均应保持有效。</w:t>
      </w:r>
    </w:p>
    <w:p w14:paraId="69137F26">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（五）投标文件的包装、递交、修改和撤回</w:t>
      </w:r>
    </w:p>
    <w:p w14:paraId="75480BB9">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73E36F3">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投标人应当在投标截止时间前将以介质存储的数据电文形式的备份投标文件</w:t>
      </w:r>
      <w:r>
        <w:rPr>
          <w:rFonts w:hint="eastAsia" w:ascii="Times New Roman" w:hAnsi="Times New Roman" w:eastAsia="宋体" w:cs="Times New Roman"/>
          <w:color w:val="auto"/>
          <w:szCs w:val="21"/>
        </w:rPr>
        <w:t>寄到或送达采购代理公司。地址：舟山市定海区昌国路</w:t>
      </w:r>
      <w:r>
        <w:rPr>
          <w:rFonts w:ascii="Times New Roman" w:hAnsi="Times New Roman" w:eastAsia="宋体" w:cs="Times New Roman"/>
          <w:color w:val="auto"/>
          <w:szCs w:val="21"/>
        </w:rPr>
        <w:t>232</w:t>
      </w:r>
      <w:r>
        <w:rPr>
          <w:rFonts w:hint="eastAsia" w:ascii="Times New Roman" w:hAnsi="Times New Roman" w:eastAsia="宋体" w:cs="Times New Roman"/>
          <w:color w:val="auto"/>
          <w:szCs w:val="21"/>
        </w:rPr>
        <w:t>号中楼</w:t>
      </w:r>
      <w:r>
        <w:rPr>
          <w:rFonts w:ascii="Times New Roman" w:hAnsi="Times New Roman" w:eastAsia="宋体" w:cs="Times New Roman"/>
          <w:color w:val="auto"/>
          <w:szCs w:val="21"/>
        </w:rPr>
        <w:t>202</w:t>
      </w:r>
      <w:r>
        <w:rPr>
          <w:rFonts w:hint="eastAsia" w:ascii="Times New Roman" w:hAnsi="Times New Roman" w:eastAsia="宋体" w:cs="Times New Roman"/>
          <w:color w:val="auto"/>
          <w:szCs w:val="21"/>
        </w:rPr>
        <w:t>深圳市国信招标有限公司舟山分公司。也可现场递交。</w:t>
      </w:r>
      <w:r>
        <w:rPr>
          <w:rFonts w:hint="eastAsia" w:ascii="Times New Roman" w:hAnsi="Times New Roman" w:eastAsia="宋体" w:cs="Times New Roman"/>
          <w:color w:val="auto"/>
        </w:rPr>
        <w:t>逾期送达或未密封将被拒收。</w:t>
      </w:r>
    </w:p>
    <w:p w14:paraId="7B02A65C">
      <w:pPr>
        <w:snapToGrid w:val="0"/>
        <w:spacing w:line="360" w:lineRule="auto"/>
        <w:ind w:right="-86" w:rightChars="-41" w:firstLine="422" w:firstLineChars="200"/>
        <w:jc w:val="left"/>
        <w:rPr>
          <w:rFonts w:ascii="Times New Roman" w:hAnsi="Times New Roman" w:eastAsia="宋体" w:cs="Times New Roman"/>
          <w:color w:val="auto"/>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p w14:paraId="334CDB66">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投标人递交以介质存储的数据电文形式的备份投标文件时，如出现下列情况之一的，将被拒收：</w:t>
      </w:r>
    </w:p>
    <w:p w14:paraId="7BE6F2D9">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1</w:t>
      </w:r>
      <w:r>
        <w:rPr>
          <w:rFonts w:hint="eastAsia" w:ascii="Times New Roman" w:hAnsi="Times New Roman" w:eastAsia="宋体" w:cs="Times New Roman"/>
          <w:color w:val="auto"/>
        </w:rPr>
        <w:t>）未按规定密封或标记的投标文件；</w:t>
      </w:r>
    </w:p>
    <w:p w14:paraId="4B34AEB1">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2</w:t>
      </w:r>
      <w:r>
        <w:rPr>
          <w:rFonts w:hint="eastAsia" w:ascii="Times New Roman" w:hAnsi="Times New Roman" w:eastAsia="宋体" w:cs="Times New Roman"/>
          <w:color w:val="auto"/>
        </w:rPr>
        <w:t>）由于包装不妥，在送交途中严重破损或失散的；</w:t>
      </w:r>
    </w:p>
    <w:p w14:paraId="69D74170">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3</w:t>
      </w:r>
      <w:r>
        <w:rPr>
          <w:rFonts w:hint="eastAsia" w:ascii="Times New Roman" w:hAnsi="Times New Roman" w:eastAsia="宋体" w:cs="Times New Roman"/>
          <w:color w:val="auto"/>
        </w:rPr>
        <w:t>）未成功办理投标人报名手续的；</w:t>
      </w:r>
    </w:p>
    <w:p w14:paraId="2EC3331E">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4</w:t>
      </w:r>
      <w:r>
        <w:rPr>
          <w:rFonts w:hint="eastAsia" w:ascii="Times New Roman" w:hAnsi="Times New Roman" w:eastAsia="宋体" w:cs="Times New Roman"/>
          <w:color w:val="auto"/>
        </w:rPr>
        <w:t>）超过投标截止时间送达的；</w:t>
      </w:r>
    </w:p>
    <w:p w14:paraId="4BA382BE">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仅提供备份投标文件的，投标无效。</w:t>
      </w:r>
    </w:p>
    <w:p w14:paraId="24D02DAB">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仅提供其中一种形式的备份投标文件，造成项目开评标活动无法进行下去的，投标无效，相关风险由投标人自行承担。</w:t>
      </w:r>
    </w:p>
    <w:p w14:paraId="3247744A">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投标、响应文件未按时解密，供应商提供了备份投标、响应文件的，以备份投标、响应文件作为依据，否则视为投标、响应文件撤回。投标、响应文件已按时解密的，备份投标、响应文件自动失效。</w:t>
      </w:r>
    </w:p>
    <w:p w14:paraId="02A20C48">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备份投标文件须密封封装。包装封面上应注明投标人名称，封口处加盖投标人公章。</w:t>
      </w:r>
    </w:p>
    <w:p w14:paraId="4D67C29F">
      <w:pPr>
        <w:spacing w:line="360" w:lineRule="auto"/>
        <w:rPr>
          <w:rFonts w:ascii="Times New Roman" w:hAnsi="Times New Roman" w:eastAsia="宋体" w:cs="Times New Roman"/>
          <w:color w:val="auto"/>
        </w:rPr>
      </w:pPr>
      <w:r>
        <w:rPr>
          <w:rFonts w:hint="eastAsia" w:ascii="Times New Roman" w:hAnsi="Times New Roman" w:eastAsia="宋体" w:cs="Times New Roman"/>
          <w:b/>
          <w:color w:val="auto"/>
          <w:szCs w:val="21"/>
        </w:rPr>
        <w:t>（六）投标无效的情形</w:t>
      </w:r>
    </w:p>
    <w:p w14:paraId="71871177">
      <w:pPr>
        <w:snapToGrid w:val="0"/>
        <w:spacing w:before="120" w:beforeLines="50" w:after="120" w:afterLines="50" w:line="360" w:lineRule="auto"/>
        <w:ind w:right="-86" w:rightChars="-41"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373EA49E">
      <w:pPr>
        <w:snapToGrid w:val="0"/>
        <w:spacing w:before="120" w:beforeLines="50" w:after="120" w:afterLines="50" w:line="360" w:lineRule="auto"/>
        <w:ind w:firstLine="417" w:firstLineChars="198"/>
        <w:rPr>
          <w:rFonts w:ascii="Times New Roman" w:hAnsi="Times New Roman" w:eastAsia="宋体" w:cs="Times New Roman"/>
          <w:color w:val="auto"/>
          <w:szCs w:val="21"/>
        </w:rPr>
      </w:pPr>
      <w:r>
        <w:rPr>
          <w:rFonts w:ascii="Times New Roman" w:hAnsi="Times New Roman" w:eastAsia="宋体" w:cs="Times New Roman"/>
          <w:b/>
          <w:bCs/>
          <w:color w:val="auto"/>
          <w:szCs w:val="21"/>
        </w:rPr>
        <w:t>1.</w:t>
      </w:r>
      <w:r>
        <w:rPr>
          <w:rFonts w:hint="eastAsia" w:ascii="宋体" w:hAnsi="宋体" w:eastAsia="宋体"/>
          <w:b/>
          <w:bCs/>
          <w:color w:val="auto"/>
          <w:szCs w:val="21"/>
        </w:rPr>
        <w:t>在符合性审查和商务评审时，如发现下列情形之一且无法作出合理解释的，投标文件将被视为无效投标</w:t>
      </w:r>
      <w:r>
        <w:rPr>
          <w:rFonts w:hint="eastAsia" w:ascii="Times New Roman" w:hAnsi="Times New Roman" w:eastAsia="宋体" w:cs="Times New Roman"/>
          <w:b/>
          <w:bCs/>
          <w:color w:val="auto"/>
          <w:szCs w:val="21"/>
        </w:rPr>
        <w:t>：</w:t>
      </w:r>
    </w:p>
    <w:p w14:paraId="298B92C7">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1.1</w:t>
      </w:r>
      <w:r>
        <w:rPr>
          <w:rFonts w:hint="eastAsia" w:ascii="Times New Roman" w:hAnsi="Times New Roman" w:eastAsia="宋体" w:cs="Times New Roman"/>
          <w:color w:val="auto"/>
          <w:szCs w:val="21"/>
        </w:rPr>
        <w:t>资格证明文件不全的，或者不符合采购文件标明的资格要求的</w:t>
      </w:r>
      <w:r>
        <w:rPr>
          <w:rFonts w:hint="eastAsia" w:ascii="Times New Roman" w:hAnsi="Times New Roman" w:eastAsia="宋体" w:cs="Times New Roman"/>
          <w:bCs/>
          <w:color w:val="auto"/>
          <w:szCs w:val="21"/>
        </w:rPr>
        <w:t>；</w:t>
      </w:r>
    </w:p>
    <w:p w14:paraId="414B4DFC">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投标文件组成不全的；</w:t>
      </w:r>
    </w:p>
    <w:p w14:paraId="2294A791">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1.3</w:t>
      </w:r>
      <w:r>
        <w:rPr>
          <w:rFonts w:hint="eastAsia" w:ascii="Times New Roman" w:hAnsi="Times New Roman" w:eastAsia="宋体" w:cs="Times New Roman"/>
          <w:bCs/>
          <w:color w:val="auto"/>
          <w:szCs w:val="21"/>
        </w:rPr>
        <w:t>投标文件的实质性内容未使用中文表述、意思表述不明确、前后矛盾或者使用计量单位不符合采购文件要求的；（</w:t>
      </w:r>
      <w:r>
        <w:rPr>
          <w:rFonts w:hint="eastAsia" w:ascii="Times New Roman" w:hAnsi="Times New Roman" w:eastAsia="宋体" w:cs="Times New Roman"/>
          <w:color w:val="auto"/>
          <w:szCs w:val="21"/>
        </w:rPr>
        <w:t>经评审小组认定允许其在线更正的笔误除外</w:t>
      </w:r>
      <w:r>
        <w:rPr>
          <w:rFonts w:hint="eastAsia" w:ascii="Times New Roman" w:hAnsi="Times New Roman" w:eastAsia="宋体" w:cs="Times New Roman"/>
          <w:bCs/>
          <w:color w:val="auto"/>
          <w:szCs w:val="21"/>
        </w:rPr>
        <w:t>）</w:t>
      </w:r>
    </w:p>
    <w:p w14:paraId="40214612">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1.4</w:t>
      </w:r>
      <w:r>
        <w:rPr>
          <w:rFonts w:hint="eastAsia" w:ascii="Times New Roman" w:hAnsi="Times New Roman" w:eastAsia="宋体" w:cs="Times New Roman"/>
          <w:bCs/>
          <w:color w:val="auto"/>
          <w:szCs w:val="21"/>
        </w:rPr>
        <w:t>投标文件的关键内容字迹模糊、无法辨认的，或者投标文件中经修正的内容字迹模糊难以辩认或者修改处未按规定签名盖章的；</w:t>
      </w:r>
    </w:p>
    <w:p w14:paraId="140AA7FA">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1.5</w:t>
      </w:r>
      <w:r>
        <w:rPr>
          <w:rFonts w:hint="eastAsia" w:ascii="Times New Roman" w:hAnsi="Times New Roman" w:eastAsia="宋体" w:cs="Times New Roman"/>
          <w:bCs/>
          <w:color w:val="auto"/>
          <w:szCs w:val="21"/>
        </w:rPr>
        <w:t>投标有效期、交货时间、质保期等商务条款不能满足采购文件要求的；</w:t>
      </w:r>
    </w:p>
    <w:p w14:paraId="2440F40F">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1.6</w:t>
      </w:r>
      <w:r>
        <w:rPr>
          <w:rFonts w:hint="eastAsia" w:ascii="Times New Roman" w:hAnsi="Times New Roman" w:eastAsia="宋体" w:cs="Times New Roman"/>
          <w:bCs/>
          <w:color w:val="auto"/>
          <w:szCs w:val="21"/>
        </w:rPr>
        <w:t>未响应采购文件实质性要求或者投标文件有采购人不能接受的附加条件的；</w:t>
      </w:r>
    </w:p>
    <w:p w14:paraId="4AFDDE92">
      <w:pPr>
        <w:snapToGrid w:val="0"/>
        <w:spacing w:line="360" w:lineRule="auto"/>
        <w:ind w:firstLine="438" w:firstLineChars="209"/>
        <w:rPr>
          <w:rFonts w:ascii="Times New Roman" w:hAnsi="Times New Roman" w:eastAsia="宋体" w:cs="Times New Roman"/>
          <w:bCs/>
          <w:color w:val="auto"/>
          <w:szCs w:val="21"/>
        </w:rPr>
      </w:pPr>
      <w:r>
        <w:rPr>
          <w:rFonts w:ascii="Times New Roman" w:hAnsi="Times New Roman" w:eastAsia="宋体" w:cs="Times New Roman"/>
          <w:bCs/>
          <w:color w:val="auto"/>
          <w:szCs w:val="21"/>
        </w:rPr>
        <w:t>1.7</w:t>
      </w:r>
      <w:r>
        <w:rPr>
          <w:rFonts w:hint="eastAsia" w:ascii="Times New Roman" w:hAnsi="Times New Roman" w:eastAsia="宋体" w:cs="Times New Roman"/>
          <w:bCs/>
          <w:color w:val="auto"/>
          <w:szCs w:val="21"/>
        </w:rPr>
        <w:t>投标文件没有按采购文件要求响应有标</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的条款的资料和材料的；</w:t>
      </w:r>
    </w:p>
    <w:p w14:paraId="116EBFFB">
      <w:pPr>
        <w:snapToGrid w:val="0"/>
        <w:spacing w:line="360" w:lineRule="auto"/>
        <w:ind w:firstLine="415" w:firstLineChars="198"/>
        <w:rPr>
          <w:rFonts w:ascii="Times New Roman" w:hAnsi="Times New Roman" w:eastAsia="宋体" w:cs="Times New Roman"/>
          <w:b w:val="0"/>
          <w:bCs/>
          <w:color w:val="auto"/>
          <w:szCs w:val="21"/>
        </w:rPr>
      </w:pPr>
      <w:r>
        <w:rPr>
          <w:rFonts w:hint="eastAsia" w:ascii="Times New Roman" w:hAnsi="Times New Roman" w:eastAsia="宋体" w:cs="Times New Roman"/>
          <w:b w:val="0"/>
          <w:bCs/>
          <w:color w:val="auto"/>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7AEF51C0">
      <w:pPr>
        <w:snapToGrid w:val="0"/>
        <w:spacing w:line="360" w:lineRule="auto"/>
        <w:ind w:firstLine="415" w:firstLineChars="198"/>
        <w:rPr>
          <w:rFonts w:ascii="Times New Roman" w:hAnsi="Times New Roman" w:eastAsia="宋体" w:cs="Times New Roman"/>
          <w:b w:val="0"/>
          <w:bCs/>
          <w:color w:val="auto"/>
          <w:szCs w:val="21"/>
        </w:rPr>
      </w:pPr>
      <w:r>
        <w:rPr>
          <w:rFonts w:hint="eastAsia" w:ascii="Times New Roman" w:hAnsi="Times New Roman" w:eastAsia="宋体" w:cs="Times New Roman"/>
          <w:b w:val="0"/>
          <w:bCs/>
          <w:color w:val="auto"/>
          <w:szCs w:val="21"/>
        </w:rPr>
        <w:t>1.9上传的电子投标（响应）文件若出现使用本项目其他投标（响应）供应商的数字证书加密的，或者加盖本项目其他投标（响应）供应商的电子印章的；</w:t>
      </w:r>
    </w:p>
    <w:p w14:paraId="341A5C97">
      <w:pPr>
        <w:snapToGrid w:val="0"/>
        <w:spacing w:line="360" w:lineRule="auto"/>
        <w:ind w:firstLine="415" w:firstLineChars="198"/>
        <w:rPr>
          <w:rFonts w:ascii="Times New Roman" w:hAnsi="Times New Roman" w:eastAsia="宋体" w:cs="Times New Roman"/>
          <w:b/>
          <w:color w:val="auto"/>
          <w:szCs w:val="21"/>
        </w:rPr>
      </w:pPr>
      <w:r>
        <w:rPr>
          <w:rFonts w:hint="eastAsia" w:ascii="Times New Roman" w:hAnsi="Times New Roman" w:eastAsia="宋体" w:cs="Times New Roman"/>
          <w:b w:val="0"/>
          <w:bCs/>
          <w:color w:val="auto"/>
          <w:szCs w:val="21"/>
        </w:rPr>
        <w:t>1.10不同供应商的投标（响应）文件的内容存在三处（含）以上错</w:t>
      </w:r>
      <w:r>
        <w:rPr>
          <w:rFonts w:hint="eastAsia" w:ascii="Times New Roman" w:hAnsi="Times New Roman" w:eastAsia="宋体" w:cs="Times New Roman"/>
          <w:b/>
          <w:color w:val="auto"/>
          <w:szCs w:val="21"/>
        </w:rPr>
        <w:t>误一致的；</w:t>
      </w:r>
    </w:p>
    <w:p w14:paraId="50DB8823">
      <w:pPr>
        <w:snapToGrid w:val="0"/>
        <w:spacing w:line="360" w:lineRule="auto"/>
        <w:ind w:firstLine="417" w:firstLineChars="198"/>
        <w:rPr>
          <w:rFonts w:ascii="Times New Roman" w:hAnsi="Times New Roman" w:eastAsia="宋体" w:cs="Times New Roman"/>
          <w:bCs/>
          <w:color w:val="auto"/>
          <w:szCs w:val="21"/>
        </w:rPr>
      </w:pPr>
      <w:r>
        <w:rPr>
          <w:rFonts w:hint="eastAsia" w:ascii="Times New Roman" w:hAnsi="Times New Roman" w:eastAsia="宋体" w:cs="Times New Roman"/>
          <w:b/>
          <w:color w:val="auto"/>
          <w:szCs w:val="21"/>
        </w:rPr>
        <w:t>1.11不同供应商联系人为同一人或不同联系人的联系电话一致的</w:t>
      </w:r>
      <w:r>
        <w:rPr>
          <w:rFonts w:hint="eastAsia" w:ascii="Times New Roman" w:hAnsi="Times New Roman" w:eastAsia="宋体" w:cs="Times New Roman"/>
          <w:bCs/>
          <w:color w:val="auto"/>
          <w:szCs w:val="21"/>
        </w:rPr>
        <w:t>；</w:t>
      </w:r>
    </w:p>
    <w:p w14:paraId="19D16B51">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2.</w:t>
      </w:r>
      <w:r>
        <w:rPr>
          <w:rFonts w:hint="eastAsia" w:ascii="Times New Roman" w:hAnsi="Times New Roman" w:eastAsia="宋体" w:cs="Times New Roman"/>
          <w:b/>
          <w:bCs/>
          <w:color w:val="auto"/>
        </w:rPr>
        <w:t>在技术评审时，如发现下列情形之一的，投标文件将被视为无效响应：</w:t>
      </w:r>
    </w:p>
    <w:p w14:paraId="31F1D9DB">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投标文件标明的响应或偏离与事实不符或虚假投标的；</w:t>
      </w:r>
    </w:p>
    <w:p w14:paraId="66853C4D">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bCs/>
          <w:color w:val="auto"/>
          <w:szCs w:val="21"/>
        </w:rPr>
        <w:t>2.2</w:t>
      </w:r>
      <w:r>
        <w:rPr>
          <w:rFonts w:hint="eastAsia" w:ascii="Times New Roman" w:hAnsi="Times New Roman" w:eastAsia="宋体" w:cs="Times New Roman"/>
          <w:bCs/>
          <w:color w:val="auto"/>
          <w:szCs w:val="21"/>
        </w:rPr>
        <w:t>明显不符合采购文件标明的质量标准，或者采购文件中标</w:t>
      </w:r>
      <w:r>
        <w:rPr>
          <w:rFonts w:ascii="Times New Roman" w:hAnsi="Times New Roman" w:eastAsia="宋体" w:cs="Times New Roman"/>
          <w:bCs/>
          <w:color w:val="auto"/>
          <w:szCs w:val="21"/>
        </w:rPr>
        <w:t>“</w:t>
      </w:r>
      <w:r>
        <w:rPr>
          <w:rFonts w:hint="eastAsia" w:ascii="Times New Roman" w:hAnsi="Times New Roman" w:eastAsia="宋体" w:cs="Times New Roman"/>
          <w:b/>
          <w:color w:val="auto"/>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的技术参数、条款（如有）发生实质性偏离的；</w:t>
      </w:r>
    </w:p>
    <w:p w14:paraId="6AAC0184">
      <w:pPr>
        <w:spacing w:line="360" w:lineRule="auto"/>
        <w:ind w:firstLine="420"/>
        <w:rPr>
          <w:rFonts w:ascii="Times New Roman" w:hAnsi="Times New Roman" w:eastAsia="宋体" w:cs="Times New Roman"/>
          <w:color w:val="auto"/>
        </w:rPr>
      </w:pPr>
      <w:r>
        <w:rPr>
          <w:rFonts w:ascii="Times New Roman" w:hAnsi="Times New Roman" w:eastAsia="宋体" w:cs="Times New Roman"/>
          <w:color w:val="auto"/>
          <w:szCs w:val="21"/>
        </w:rPr>
        <w:t>2.3</w:t>
      </w:r>
      <w:r>
        <w:rPr>
          <w:rFonts w:hint="eastAsia" w:ascii="Times New Roman" w:hAnsi="Times New Roman" w:eastAsia="宋体" w:cs="Times New Roman"/>
          <w:color w:val="auto"/>
          <w:szCs w:val="21"/>
        </w:rPr>
        <w:t>投标技术方案不明确，存在一个或一个以上备选（替代）投标方案的；</w:t>
      </w:r>
    </w:p>
    <w:p w14:paraId="343D41C7">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3.</w:t>
      </w:r>
      <w:r>
        <w:rPr>
          <w:rFonts w:hint="eastAsia" w:ascii="Times New Roman" w:hAnsi="Times New Roman" w:eastAsia="宋体" w:cs="Times New Roman"/>
          <w:b/>
          <w:color w:val="auto"/>
          <w:szCs w:val="21"/>
        </w:rPr>
        <w:t>在投标报价文件评审时</w:t>
      </w:r>
      <w:r>
        <w:rPr>
          <w:rFonts w:hint="eastAsia" w:ascii="Times New Roman" w:hAnsi="Times New Roman" w:eastAsia="宋体" w:cs="Times New Roman"/>
          <w:b/>
          <w:bCs/>
          <w:color w:val="auto"/>
        </w:rPr>
        <w:t>，如发现下列情形之一的，投标文件将被视为无效响应：</w:t>
      </w:r>
    </w:p>
    <w:p w14:paraId="66B0FF57">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3.1</w:t>
      </w:r>
      <w:r>
        <w:rPr>
          <w:rFonts w:hint="eastAsia" w:ascii="Times New Roman" w:hAnsi="Times New Roman" w:eastAsia="宋体" w:cs="Times New Roman"/>
          <w:color w:val="auto"/>
          <w:szCs w:val="20"/>
        </w:rPr>
        <w:t>未采用人民币报价或者未按照采购文件标明的币种报价的；</w:t>
      </w:r>
    </w:p>
    <w:p w14:paraId="7F43422D">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3.2</w:t>
      </w:r>
      <w:r>
        <w:rPr>
          <w:rFonts w:hint="eastAsia" w:ascii="Times New Roman" w:hAnsi="Times New Roman" w:eastAsia="宋体" w:cs="Times New Roman"/>
          <w:color w:val="auto"/>
          <w:szCs w:val="20"/>
        </w:rPr>
        <w:t>报价超出最高限价，或者超出采购预算金额，采购人不能支付的；</w:t>
      </w:r>
    </w:p>
    <w:p w14:paraId="3B5CD6AC">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3.3</w:t>
      </w:r>
      <w:r>
        <w:rPr>
          <w:rFonts w:hint="eastAsia" w:ascii="Times New Roman" w:hAnsi="Times New Roman" w:eastAsia="宋体" w:cs="Times New Roman"/>
          <w:color w:val="auto"/>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BC89CD0">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3.4</w:t>
      </w:r>
      <w:r>
        <w:rPr>
          <w:rFonts w:hint="eastAsia" w:ascii="Times New Roman" w:hAnsi="Times New Roman" w:eastAsia="宋体" w:cs="Times New Roman"/>
          <w:color w:val="auto"/>
          <w:szCs w:val="20"/>
        </w:rPr>
        <w:t>投标报价具有选择性，或者开标价格与投标文件承诺的优惠（折扣）价格不一致的；</w:t>
      </w:r>
    </w:p>
    <w:p w14:paraId="6F6784E5">
      <w:pPr>
        <w:snapToGrid w:val="0"/>
        <w:spacing w:line="360" w:lineRule="auto"/>
        <w:ind w:right="-86" w:rightChars="-41" w:firstLine="441" w:firstLineChars="209"/>
        <w:rPr>
          <w:rFonts w:ascii="Times New Roman" w:hAnsi="Times New Roman" w:eastAsia="宋体" w:cs="Times New Roman"/>
          <w:b/>
          <w:bCs/>
          <w:color w:val="auto"/>
          <w:szCs w:val="20"/>
        </w:rPr>
      </w:pPr>
      <w:r>
        <w:rPr>
          <w:rFonts w:ascii="Times New Roman" w:hAnsi="Times New Roman" w:eastAsia="宋体" w:cs="Times New Roman"/>
          <w:b/>
          <w:bCs/>
          <w:color w:val="auto"/>
          <w:szCs w:val="20"/>
        </w:rPr>
        <w:t>4.</w:t>
      </w:r>
      <w:r>
        <w:rPr>
          <w:rFonts w:hint="eastAsia" w:ascii="Times New Roman" w:hAnsi="Times New Roman" w:eastAsia="宋体" w:cs="Times New Roman"/>
          <w:b/>
          <w:bCs/>
          <w:color w:val="auto"/>
          <w:szCs w:val="20"/>
        </w:rPr>
        <w:t>法律、法规和采购文件规定的其他无效情形。</w:t>
      </w:r>
    </w:p>
    <w:p w14:paraId="43079FBD">
      <w:pPr>
        <w:snapToGrid w:val="0"/>
        <w:spacing w:line="360" w:lineRule="auto"/>
        <w:ind w:right="-86" w:rightChars="-41"/>
        <w:rPr>
          <w:rFonts w:ascii="Times New Roman" w:hAnsi="Times New Roman" w:eastAsia="宋体" w:cs="Times New Roman"/>
          <w:color w:val="auto"/>
          <w:szCs w:val="20"/>
        </w:rPr>
      </w:pPr>
      <w:r>
        <w:rPr>
          <w:rFonts w:hint="eastAsia" w:ascii="Times New Roman" w:hAnsi="Times New Roman" w:eastAsia="宋体" w:cs="Times New Roman"/>
          <w:b/>
          <w:color w:val="auto"/>
          <w:szCs w:val="21"/>
        </w:rPr>
        <w:t>（七）</w:t>
      </w:r>
      <w:r>
        <w:rPr>
          <w:rFonts w:hint="eastAsia" w:ascii="Times New Roman" w:hAnsi="Times New Roman" w:eastAsia="宋体" w:cs="Times New Roman"/>
          <w:b/>
          <w:color w:val="auto"/>
          <w:szCs w:val="20"/>
        </w:rPr>
        <w:t>出现以下情形，导致电子交易平台无法正常运行，或者无法保证电子交易的公平、公正和安全时，中止电子交易活动：</w:t>
      </w:r>
    </w:p>
    <w:p w14:paraId="2F767498">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（一）电子交易平台发生故障而无法登录访问的；</w:t>
      </w:r>
    </w:p>
    <w:p w14:paraId="56A7CA9F">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（二）电子交易平台应用或数据库出现错误，不能进行正常操作的；</w:t>
      </w:r>
    </w:p>
    <w:p w14:paraId="744F62ED">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（三）电子交易平台发现严重安全漏洞，有潜在泄密危险的；</w:t>
      </w:r>
    </w:p>
    <w:p w14:paraId="59CEA7C7">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（四）病毒发作导致不能进行正常操作的；</w:t>
      </w:r>
    </w:p>
    <w:p w14:paraId="50BF6547">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（五）其他无法保证电子交易的公平、公正和安全的情况。</w:t>
      </w:r>
    </w:p>
    <w:p w14:paraId="7CBFCED9">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出现前款规定情形，不影响采购公平、公正性的，代理机构可以待上述情形消除后继续组织电子交易活动，也可以决定某些环节以纸质形式进行；影响或可能影响采购公平、公正性的，重新采购。</w:t>
      </w:r>
    </w:p>
    <w:p w14:paraId="6ADFE583">
      <w:pPr>
        <w:widowControl/>
        <w:snapToGrid w:val="0"/>
        <w:spacing w:line="360" w:lineRule="auto"/>
        <w:ind w:right="55"/>
        <w:rPr>
          <w:rFonts w:ascii="Times New Roman" w:hAnsi="Times New Roman" w:eastAsia="宋体" w:cs="Times New Roman"/>
          <w:b/>
          <w:bCs/>
          <w:color w:val="auto"/>
          <w:spacing w:val="-4"/>
          <w:kern w:val="0"/>
          <w:szCs w:val="21"/>
        </w:rPr>
      </w:pPr>
      <w:r>
        <w:rPr>
          <w:rFonts w:hint="eastAsia" w:ascii="Times New Roman" w:hAnsi="Times New Roman" w:eastAsia="宋体" w:cs="Times New Roman"/>
          <w:b/>
          <w:bCs/>
          <w:color w:val="auto"/>
          <w:spacing w:val="-4"/>
          <w:kern w:val="0"/>
          <w:szCs w:val="21"/>
        </w:rPr>
        <w:t>（八）报名不足三家的处理方式</w:t>
      </w:r>
    </w:p>
    <w:p w14:paraId="47D366B2">
      <w:pPr>
        <w:widowControl/>
        <w:snapToGrid w:val="0"/>
        <w:spacing w:line="360" w:lineRule="auto"/>
        <w:ind w:right="55" w:firstLine="470"/>
        <w:rPr>
          <w:rFonts w:ascii="Times New Roman" w:hAnsi="Times New Roman" w:eastAsia="宋体" w:cs="Times New Roman"/>
          <w:bCs/>
          <w:color w:val="auto"/>
          <w:spacing w:val="-4"/>
          <w:kern w:val="0"/>
          <w:szCs w:val="21"/>
        </w:rPr>
      </w:pPr>
      <w:r>
        <w:rPr>
          <w:rFonts w:hint="eastAsia" w:ascii="Times New Roman" w:hAnsi="Times New Roman" w:eastAsia="宋体" w:cs="Times New Roman"/>
          <w:bCs/>
          <w:color w:val="auto"/>
          <w:spacing w:val="-4"/>
          <w:kern w:val="0"/>
          <w:szCs w:val="21"/>
        </w:rPr>
        <w:t>报名时间截止后，在开标时间前获取招标文件的潜在投标人不足三家的，代理机构可以顺延提供期限，并予公告。</w:t>
      </w:r>
    </w:p>
    <w:p w14:paraId="06E58186">
      <w:pPr>
        <w:widowControl/>
        <w:snapToGrid w:val="0"/>
        <w:spacing w:line="360" w:lineRule="auto"/>
        <w:ind w:right="55"/>
        <w:jc w:val="left"/>
        <w:rPr>
          <w:rFonts w:ascii="Times New Roman" w:hAnsi="Times New Roman" w:eastAsia="宋体" w:cs="Times New Roman"/>
          <w:b/>
          <w:color w:val="auto"/>
          <w:spacing w:val="-4"/>
          <w:kern w:val="0"/>
          <w:szCs w:val="21"/>
        </w:rPr>
      </w:pPr>
      <w:r>
        <w:rPr>
          <w:rFonts w:hint="eastAsia" w:ascii="Times New Roman" w:hAnsi="Times New Roman" w:eastAsia="宋体" w:cs="Times New Roman"/>
          <w:b/>
          <w:color w:val="auto"/>
          <w:spacing w:val="-4"/>
          <w:kern w:val="0"/>
          <w:szCs w:val="21"/>
        </w:rPr>
        <w:t>（九）被拒绝的投标文件为无效。</w:t>
      </w:r>
    </w:p>
    <w:p w14:paraId="27D5041D">
      <w:pPr>
        <w:widowControl/>
        <w:snapToGrid w:val="0"/>
        <w:spacing w:line="360" w:lineRule="auto"/>
        <w:ind w:right="55"/>
        <w:rPr>
          <w:rFonts w:ascii="Times New Roman" w:hAnsi="Times New Roman" w:eastAsia="宋体" w:cs="Times New Roman"/>
          <w:b/>
          <w:color w:val="auto"/>
          <w:spacing w:val="-4"/>
          <w:kern w:val="0"/>
          <w:sz w:val="28"/>
          <w:szCs w:val="28"/>
        </w:rPr>
      </w:pPr>
    </w:p>
    <w:p w14:paraId="6132016C">
      <w:pPr>
        <w:widowControl/>
        <w:snapToGrid w:val="0"/>
        <w:spacing w:line="360" w:lineRule="auto"/>
        <w:ind w:right="55" w:firstLine="3591" w:firstLineChars="1315"/>
        <w:rPr>
          <w:rFonts w:ascii="Times New Roman" w:hAnsi="Times New Roman" w:eastAsia="宋体" w:cs="Times New Roman"/>
          <w:b/>
          <w:color w:val="auto"/>
          <w:spacing w:val="-4"/>
          <w:kern w:val="0"/>
          <w:sz w:val="28"/>
          <w:szCs w:val="28"/>
        </w:rPr>
      </w:pPr>
      <w:r>
        <w:rPr>
          <w:rFonts w:hint="eastAsia" w:ascii="Times New Roman" w:hAnsi="Times New Roman" w:eastAsia="宋体" w:cs="Times New Roman"/>
          <w:b/>
          <w:color w:val="auto"/>
          <w:spacing w:val="-4"/>
          <w:kern w:val="0"/>
          <w:sz w:val="28"/>
          <w:szCs w:val="28"/>
        </w:rPr>
        <w:t>四、开标</w:t>
      </w:r>
    </w:p>
    <w:p w14:paraId="3AF83430">
      <w:pPr>
        <w:spacing w:after="120" w:line="360" w:lineRule="auto"/>
        <w:ind w:firstLine="422" w:firstLineChars="200"/>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电子招投标开标及评审程序</w:t>
      </w:r>
    </w:p>
    <w:p w14:paraId="6519CDB6">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采购组织机构按照规定的时间通过政采云系统组织开标、开启响应文件，所有投标人均应当准时在线参加。</w:t>
      </w:r>
    </w:p>
    <w:p w14:paraId="464A6C55">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投标截止时间后，投标人登录政采云平台，用</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开标评标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功能对电子投标文件进行</w:t>
      </w:r>
      <w:r>
        <w:rPr>
          <w:rFonts w:hint="eastAsia" w:ascii="Times New Roman" w:hAnsi="Times New Roman" w:eastAsia="宋体" w:cs="Times New Roman"/>
          <w:b/>
          <w:bCs/>
          <w:color w:val="auto"/>
          <w:szCs w:val="21"/>
        </w:rPr>
        <w:t>在线解密。</w:t>
      </w:r>
      <w:r>
        <w:rPr>
          <w:rFonts w:hint="eastAsia" w:ascii="Times New Roman" w:hAnsi="Times New Roman" w:eastAsia="宋体" w:cs="Times New Roman"/>
          <w:color w:val="auto"/>
          <w:szCs w:val="21"/>
        </w:rPr>
        <w:t>在线解密电子投标文件时间</w:t>
      </w:r>
      <w:r>
        <w:rPr>
          <w:rFonts w:hint="eastAsia" w:ascii="Times New Roman" w:hAnsi="Times New Roman" w:eastAsia="宋体" w:cs="Times New Roman"/>
          <w:b/>
          <w:bCs/>
          <w:color w:val="auto"/>
          <w:szCs w:val="21"/>
        </w:rPr>
        <w:t>为开标时间起半个小时内；</w:t>
      </w:r>
    </w:p>
    <w:p w14:paraId="4DF54FCE">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采购人或代理机构对资格文件进行评审，评标委员会对商务技术响应文件进行评审。</w:t>
      </w:r>
    </w:p>
    <w:p w14:paraId="779613E1">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在系统上公开资格和商务技术评审结果；</w:t>
      </w:r>
    </w:p>
    <w:p w14:paraId="4BB95D2F">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在系统上公开报价开标情况；</w:t>
      </w:r>
    </w:p>
    <w:p w14:paraId="455A4321">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6.</w:t>
      </w:r>
      <w:r>
        <w:rPr>
          <w:rFonts w:hint="eastAsia" w:ascii="Times New Roman" w:hAnsi="Times New Roman" w:eastAsia="宋体" w:cs="Times New Roman"/>
          <w:color w:val="auto"/>
          <w:szCs w:val="21"/>
        </w:rPr>
        <w:t>评标委员会对报价情况进行评审；</w:t>
      </w:r>
    </w:p>
    <w:p w14:paraId="72C28195">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7.</w:t>
      </w:r>
      <w:r>
        <w:rPr>
          <w:rFonts w:hint="eastAsia" w:ascii="Times New Roman" w:hAnsi="Times New Roman" w:eastAsia="宋体" w:cs="Times New Roman"/>
          <w:color w:val="auto"/>
          <w:szCs w:val="21"/>
        </w:rPr>
        <w:t>在系统上公布评审结果。</w:t>
      </w:r>
    </w:p>
    <w:p w14:paraId="1BBB259E">
      <w:pPr>
        <w:adjustRightInd w:val="0"/>
        <w:snapToGrid w:val="0"/>
        <w:spacing w:line="360" w:lineRule="auto"/>
        <w:ind w:firstLine="420" w:firstLineChars="200"/>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特别说明：政采云公司如对电子化开标及评审程序有调整的，按调整后的程序操作。</w:t>
      </w:r>
    </w:p>
    <w:p w14:paraId="0C54DC46">
      <w:pPr>
        <w:ind w:firstLine="420" w:firstLineChars="200"/>
        <w:rPr>
          <w:rFonts w:ascii="Times New Roman" w:hAnsi="Times New Roman" w:eastAsia="宋体" w:cs="Times New Roman"/>
          <w:color w:val="auto"/>
          <w:szCs w:val="20"/>
        </w:rPr>
      </w:pPr>
    </w:p>
    <w:p w14:paraId="3B23F569">
      <w:pPr>
        <w:snapToGrid w:val="0"/>
        <w:spacing w:before="120" w:line="360" w:lineRule="auto"/>
        <w:ind w:right="-87" w:firstLine="3654" w:firstLineChars="130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五、评标</w:t>
      </w:r>
    </w:p>
    <w:p w14:paraId="65459B8D">
      <w:pPr>
        <w:snapToGrid w:val="0"/>
        <w:spacing w:before="120" w:line="360" w:lineRule="auto"/>
        <w:ind w:right="-87"/>
        <w:rPr>
          <w:rFonts w:ascii="Times New Roman" w:hAnsi="Times New Roman" w:eastAsia="宋体" w:cs="Times New Roman"/>
          <w:b/>
          <w:color w:val="auto"/>
        </w:rPr>
      </w:pPr>
      <w:r>
        <w:rPr>
          <w:rFonts w:hint="eastAsia" w:ascii="Times New Roman" w:hAnsi="Times New Roman" w:eastAsia="宋体" w:cs="Times New Roman"/>
          <w:b/>
          <w:color w:val="auto"/>
        </w:rPr>
        <w:t>（一）组建评标委员会</w:t>
      </w:r>
    </w:p>
    <w:p w14:paraId="0D37D08F">
      <w:pPr>
        <w:snapToGrid w:val="0"/>
        <w:spacing w:before="120" w:line="360" w:lineRule="auto"/>
        <w:ind w:right="-87"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评标委员会由采购人代表和评审专家组成，成员人数为5人（含）以上单数，其中评审专家不得少于成员总数的三分之二。</w:t>
      </w:r>
    </w:p>
    <w:p w14:paraId="7CFBF521">
      <w:pPr>
        <w:snapToGrid w:val="0"/>
        <w:spacing w:before="120" w:line="360" w:lineRule="auto"/>
        <w:ind w:right="-87"/>
        <w:rPr>
          <w:rFonts w:ascii="Times New Roman" w:hAnsi="Times New Roman" w:eastAsia="宋体" w:cs="Times New Roman"/>
          <w:b/>
          <w:color w:val="auto"/>
        </w:rPr>
      </w:pPr>
      <w:r>
        <w:rPr>
          <w:rFonts w:hint="eastAsia" w:ascii="Times New Roman" w:hAnsi="Times New Roman" w:eastAsia="宋体" w:cs="Times New Roman"/>
          <w:b/>
          <w:color w:val="auto"/>
        </w:rPr>
        <w:t>（二）评标程序</w:t>
      </w:r>
    </w:p>
    <w:p w14:paraId="0C15EE40">
      <w:pPr>
        <w:snapToGrid w:val="0"/>
        <w:spacing w:line="360" w:lineRule="auto"/>
        <w:ind w:right="-87"/>
        <w:rPr>
          <w:rFonts w:ascii="Times New Roman" w:hAnsi="Times New Roman" w:eastAsia="宋体" w:cs="Times New Roman"/>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投标文件初审。</w:t>
      </w:r>
    </w:p>
    <w:p w14:paraId="0CD9749B">
      <w:pPr>
        <w:snapToGrid w:val="0"/>
        <w:spacing w:line="360" w:lineRule="auto"/>
        <w:ind w:right="-87"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初审分为资格性检查和符合性检查。</w:t>
      </w:r>
    </w:p>
    <w:p w14:paraId="730124A4">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1.1</w:t>
      </w:r>
      <w:r>
        <w:rPr>
          <w:rFonts w:hint="eastAsia" w:ascii="Times New Roman" w:hAnsi="Times New Roman" w:eastAsia="宋体" w:cs="Times New Roman"/>
          <w:color w:val="auto"/>
          <w:szCs w:val="21"/>
        </w:rPr>
        <w:t>资格性检查。依据法律法规和采购文件的规定，对投标文件中的资格证明等进行审查，以确定投标投标人是否具备投标资格。</w:t>
      </w:r>
    </w:p>
    <w:p w14:paraId="7427DCD5">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1.2</w:t>
      </w:r>
      <w:r>
        <w:rPr>
          <w:rFonts w:hint="eastAsia" w:ascii="Times New Roman" w:hAnsi="Times New Roman" w:eastAsia="宋体" w:cs="Times New Roman"/>
          <w:color w:val="auto"/>
          <w:szCs w:val="21"/>
        </w:rPr>
        <w:t>符合性检查。依据采购文件的规定，从投标文件的有效性、完整性和对采购文件的响应程度进行审查，以确定是否对采购文件的实质性要求作出响应。</w:t>
      </w:r>
    </w:p>
    <w:p w14:paraId="74D474D8">
      <w:pPr>
        <w:snapToGrid w:val="0"/>
        <w:spacing w:line="360" w:lineRule="auto"/>
        <w:ind w:right="-87"/>
        <w:rPr>
          <w:rFonts w:ascii="Times New Roman" w:hAnsi="Times New Roman" w:eastAsia="宋体" w:cs="Times New Roman"/>
          <w:b/>
          <w:color w:val="auto"/>
          <w:sz w:val="24"/>
        </w:rPr>
      </w:pPr>
      <w:r>
        <w:rPr>
          <w:rFonts w:ascii="Times New Roman" w:hAnsi="Times New Roman" w:eastAsia="宋体" w:cs="Times New Roman"/>
          <w:b/>
          <w:color w:val="auto"/>
          <w:sz w:val="24"/>
        </w:rPr>
        <w:t>2.</w:t>
      </w:r>
      <w:r>
        <w:rPr>
          <w:rFonts w:hint="eastAsia" w:ascii="Times New Roman" w:hAnsi="Times New Roman" w:eastAsia="宋体" w:cs="Times New Roman"/>
          <w:b/>
          <w:color w:val="auto"/>
          <w:szCs w:val="21"/>
        </w:rPr>
        <w:t>实质审查</w:t>
      </w:r>
    </w:p>
    <w:p w14:paraId="52D7F2A8">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1</w:t>
      </w:r>
      <w:r>
        <w:rPr>
          <w:rFonts w:hint="eastAsia" w:ascii="Times New Roman" w:hAnsi="Times New Roman" w:eastAsia="宋体" w:cs="Times New Roman"/>
          <w:color w:val="auto"/>
          <w:kern w:val="0"/>
          <w:szCs w:val="21"/>
        </w:rPr>
        <w:t>）评标委员会审查投标文件的实质性内容是否符合采购文件的实质性要求。</w:t>
      </w:r>
    </w:p>
    <w:p w14:paraId="144A54DA">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4DB668FB">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w:t>
      </w:r>
      <w:r>
        <w:rPr>
          <w:rFonts w:hint="eastAsia" w:ascii="Times New Roman" w:hAnsi="Times New Roman" w:eastAsia="宋体" w:cs="Times New Roman"/>
          <w:color w:val="auto"/>
          <w:kern w:val="0"/>
          <w:szCs w:val="21"/>
        </w:rPr>
        <w:t>）评审小组商务、技术方案响应性评定；</w:t>
      </w:r>
    </w:p>
    <w:p w14:paraId="7152EF3D">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4</w:t>
      </w:r>
      <w:r>
        <w:rPr>
          <w:rFonts w:hint="eastAsia" w:ascii="Times New Roman" w:hAnsi="Times New Roman" w:eastAsia="宋体" w:cs="Times New Roman"/>
          <w:color w:val="auto"/>
          <w:kern w:val="0"/>
          <w:szCs w:val="21"/>
        </w:rPr>
        <w:t>）各投标人的技术得分为所有评委的有效评分的算术平均数，由指定专人进行计算复核。</w:t>
      </w:r>
    </w:p>
    <w:p w14:paraId="19D4C514">
      <w:pPr>
        <w:spacing w:line="360" w:lineRule="auto"/>
        <w:ind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5</w:t>
      </w:r>
      <w:r>
        <w:rPr>
          <w:rFonts w:hint="eastAsia" w:ascii="Times New Roman" w:hAnsi="Times New Roman" w:eastAsia="宋体" w:cs="Times New Roman"/>
          <w:color w:val="auto"/>
          <w:kern w:val="0"/>
          <w:szCs w:val="21"/>
        </w:rPr>
        <w:t>）评标委员会完成评标后，评委对各部分得分汇总，计算出本项目综合评估分。评标委员会按评标原则通过电子系统向采购人及采购代理机构提交评审报告。</w:t>
      </w:r>
    </w:p>
    <w:p w14:paraId="09184DFA">
      <w:pPr>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（三）澄清问题的形式</w:t>
      </w:r>
    </w:p>
    <w:p w14:paraId="632BCB02">
      <w:pPr>
        <w:snapToGrid w:val="0"/>
        <w:spacing w:line="360" w:lineRule="auto"/>
        <w:ind w:left="228" w:right="-87"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color w:val="auto"/>
          <w:szCs w:val="21"/>
        </w:rPr>
        <w:t>通过电子交易平台交换数据电文的形式进行</w:t>
      </w:r>
      <w:r>
        <w:rPr>
          <w:rFonts w:hint="eastAsia" w:ascii="Times New Roman" w:hAnsi="Times New Roman" w:eastAsia="宋体" w:cs="Times New Roman"/>
          <w:color w:val="auto"/>
        </w:rPr>
        <w:t>，给予投标人提交澄清说明或补正的时间不少于半个小时，投标人已经明确表示澄清说明或补正完毕的除外。不得超出投标文件的范围或者改变投标文件的实质性内容。</w:t>
      </w:r>
    </w:p>
    <w:p w14:paraId="247B1925">
      <w:pPr>
        <w:snapToGrid w:val="0"/>
        <w:spacing w:before="120" w:beforeLines="50" w:after="120" w:afterLines="50"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（四）错误修正</w:t>
      </w:r>
    </w:p>
    <w:p w14:paraId="44C1603C">
      <w:pPr>
        <w:snapToGrid w:val="0"/>
        <w:spacing w:before="120" w:beforeLines="50"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投标文件如果出现计算或表达上的错误，修正错误的原则如下：</w:t>
      </w:r>
    </w:p>
    <w:p w14:paraId="50E14B20">
      <w:pPr>
        <w:snapToGrid w:val="0"/>
        <w:spacing w:before="120" w:beforeLines="50" w:line="360"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1.投标文件中开标一览表（报价表）内容与投标文件中相应内容不一致的，以开标一览表（报价表）为准；</w:t>
      </w:r>
    </w:p>
    <w:p w14:paraId="49328E90">
      <w:pPr>
        <w:snapToGrid w:val="0"/>
        <w:spacing w:before="120" w:beforeLines="50"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2.大写金额和小写金额不一致的，以大写金额为准；</w:t>
      </w:r>
    </w:p>
    <w:p w14:paraId="74D935F9">
      <w:pPr>
        <w:snapToGrid w:val="0"/>
        <w:spacing w:before="120" w:beforeLines="50"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3.单价金额小数点或者百分比有明显错位的，以开标一览表的总价为准，并修改单价；</w:t>
      </w:r>
    </w:p>
    <w:p w14:paraId="5BF97BA2">
      <w:pPr>
        <w:snapToGrid w:val="0"/>
        <w:spacing w:before="120" w:beforeLines="50"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4.总价金额与按单价汇总金额不一致的，以单价金额计算结果为准。</w:t>
      </w:r>
    </w:p>
    <w:p w14:paraId="488C35FC">
      <w:pPr>
        <w:snapToGrid w:val="0"/>
        <w:spacing w:before="120" w:beforeLines="50" w:line="360" w:lineRule="auto"/>
        <w:ind w:firstLine="417" w:firstLineChars="198"/>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同时出现两种以上不一致的，按照前款规定的顺序修正。</w:t>
      </w:r>
    </w:p>
    <w:p w14:paraId="08AA209F">
      <w:pPr>
        <w:snapToGrid w:val="0"/>
        <w:spacing w:before="120" w:beforeLines="50" w:line="360" w:lineRule="auto"/>
        <w:ind w:firstLine="417" w:firstLineChars="198"/>
        <w:rPr>
          <w:rFonts w:ascii="Times New Roman" w:hAnsi="Times New Roman" w:eastAsia="宋体" w:cs="Times New Roman"/>
          <w:color w:val="auto"/>
          <w:szCs w:val="21"/>
        </w:rPr>
      </w:pPr>
      <w:r>
        <w:rPr>
          <w:rFonts w:ascii="Times New Roman" w:hAnsi="Times New Roman" w:eastAsia="宋体" w:cs="Times New Roman"/>
          <w:b/>
          <w:color w:val="auto"/>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1D0D2E1B">
      <w:pPr>
        <w:snapToGrid w:val="0"/>
        <w:spacing w:before="120" w:beforeLines="50" w:after="120" w:afterLines="50" w:line="360" w:lineRule="auto"/>
        <w:jc w:val="left"/>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rPr>
        <w:t>（五）评标原则和</w:t>
      </w:r>
      <w:r>
        <w:rPr>
          <w:rFonts w:hint="eastAsia" w:ascii="Times New Roman" w:hAnsi="Times New Roman" w:eastAsia="宋体" w:cs="Times New Roman"/>
          <w:b/>
          <w:color w:val="auto"/>
          <w:szCs w:val="21"/>
          <w:lang w:eastAsia="zh-CN"/>
        </w:rPr>
        <w:t>评标方法</w:t>
      </w:r>
    </w:p>
    <w:p w14:paraId="37C3B037">
      <w:pPr>
        <w:snapToGrid w:val="0"/>
        <w:spacing w:before="120" w:beforeLines="50"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4BA3B089">
      <w:pPr>
        <w:snapToGrid w:val="0"/>
        <w:spacing w:before="120" w:beforeLines="50" w:line="360" w:lineRule="auto"/>
        <w:ind w:firstLine="420" w:firstLineChars="200"/>
        <w:rPr>
          <w:rFonts w:ascii="Times New Roman" w:hAnsi="Times New Roman" w:eastAsia="宋体" w:cs="Times New Roman"/>
          <w:color w:val="auto"/>
          <w:sz w:val="24"/>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。本项目</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是</w:t>
      </w:r>
      <w:r>
        <w:rPr>
          <w:rFonts w:hint="eastAsia" w:ascii="Times New Roman" w:hAnsi="Times New Roman" w:eastAsia="宋体" w:cs="Times New Roman"/>
          <w:color w:val="auto"/>
          <w:szCs w:val="21"/>
          <w:u w:val="single"/>
        </w:rPr>
        <w:t>综合评分法</w:t>
      </w:r>
      <w:r>
        <w:rPr>
          <w:rFonts w:hint="eastAsia" w:ascii="Times New Roman" w:hAnsi="Times New Roman" w:eastAsia="宋体" w:cs="Times New Roman"/>
          <w:color w:val="auto"/>
          <w:szCs w:val="21"/>
        </w:rPr>
        <w:t>，具体评标内容及评分标准等详见《第四章：</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及评分标准》。</w:t>
      </w:r>
    </w:p>
    <w:p w14:paraId="6528F3F6">
      <w:pPr>
        <w:widowControl/>
        <w:snapToGrid w:val="0"/>
        <w:spacing w:line="360" w:lineRule="auto"/>
        <w:ind w:right="-87"/>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（六）评标过程的监控</w:t>
      </w:r>
    </w:p>
    <w:p w14:paraId="74CC5329">
      <w:pPr>
        <w:snapToGrid w:val="0"/>
        <w:spacing w:before="120" w:beforeLines="50" w:after="120" w:afterLines="50" w:line="360" w:lineRule="auto"/>
        <w:ind w:firstLine="420" w:firstLineChars="200"/>
        <w:rPr>
          <w:rFonts w:ascii="Times New Roman" w:hAnsi="Times New Roman" w:eastAsia="宋体" w:cs="Times New Roman"/>
          <w:b/>
          <w:color w:val="auto"/>
          <w:sz w:val="28"/>
          <w:szCs w:val="24"/>
        </w:rPr>
      </w:pPr>
      <w:r>
        <w:rPr>
          <w:rFonts w:hint="eastAsia" w:ascii="Times New Roman" w:hAnsi="Times New Roman" w:eastAsia="宋体" w:cs="Times New Roman"/>
          <w:color w:val="auto"/>
          <w:szCs w:val="24"/>
        </w:rPr>
        <w:t>本项目评标过程实行全程录音、录像监控。</w:t>
      </w:r>
    </w:p>
    <w:p w14:paraId="30BCAE97">
      <w:pPr>
        <w:ind w:firstLine="420" w:firstLineChars="200"/>
        <w:rPr>
          <w:rFonts w:ascii="Times New Roman" w:hAnsi="Times New Roman" w:eastAsia="宋体" w:cs="Times New Roman"/>
          <w:color w:val="auto"/>
          <w:szCs w:val="20"/>
        </w:rPr>
      </w:pPr>
    </w:p>
    <w:p w14:paraId="16EE8436">
      <w:pPr>
        <w:snapToGrid w:val="0"/>
        <w:spacing w:before="120" w:line="360" w:lineRule="auto"/>
        <w:ind w:right="-87"/>
        <w:jc w:val="center"/>
        <w:outlineLvl w:val="1"/>
        <w:rPr>
          <w:rFonts w:ascii="Times New Roman" w:hAnsi="Times New Roman" w:eastAsia="宋体" w:cs="Times New Roman"/>
          <w:b/>
          <w:color w:val="auto"/>
          <w:sz w:val="28"/>
        </w:rPr>
      </w:pPr>
    </w:p>
    <w:p w14:paraId="4FE1251E">
      <w:pPr>
        <w:snapToGrid w:val="0"/>
        <w:spacing w:before="120" w:line="360" w:lineRule="auto"/>
        <w:ind w:right="-87"/>
        <w:jc w:val="center"/>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六、定标</w:t>
      </w:r>
    </w:p>
    <w:p w14:paraId="24BCE7C7">
      <w:pPr>
        <w:snapToGrid w:val="0"/>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（一）确定中标人。</w:t>
      </w:r>
    </w:p>
    <w:p w14:paraId="2BF1827A">
      <w:pPr>
        <w:snapToGrid w:val="0"/>
        <w:spacing w:line="360" w:lineRule="auto"/>
        <w:ind w:firstLine="415" w:firstLineChars="198"/>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本项目由采购人事先授权评审小组确定候选中标人。经采购人确认后，确定项目中标人，同时发布采购结果公告</w:t>
      </w:r>
      <w:r>
        <w:rPr>
          <w:rFonts w:hint="eastAsia" w:ascii="Times New Roman" w:hAnsi="Times New Roman" w:eastAsia="宋体" w:cs="Times New Roman"/>
          <w:b/>
          <w:color w:val="auto"/>
          <w:szCs w:val="21"/>
        </w:rPr>
        <w:t>（中标人通过政采云系统领取中标通知书）。</w:t>
      </w:r>
    </w:p>
    <w:tbl>
      <w:tblPr>
        <w:tblStyle w:val="60"/>
        <w:tblW w:w="5812" w:type="dxa"/>
        <w:tblInd w:w="675" w:type="dxa"/>
        <w:tblLayout w:type="fixed"/>
        <w:tblCellMar>
          <w:top w:w="0" w:type="dxa"/>
          <w:left w:w="108" w:type="dxa"/>
          <w:bottom w:w="0" w:type="dxa"/>
          <w:right w:w="108" w:type="dxa"/>
        </w:tblCellMar>
      </w:tblPr>
      <w:tblGrid>
        <w:gridCol w:w="1134"/>
        <w:gridCol w:w="2127"/>
        <w:gridCol w:w="2551"/>
      </w:tblGrid>
      <w:tr w14:paraId="56895D42">
        <w:tblPrEx>
          <w:tblCellMar>
            <w:top w:w="0" w:type="dxa"/>
            <w:left w:w="108" w:type="dxa"/>
            <w:bottom w:w="0" w:type="dxa"/>
            <w:right w:w="108" w:type="dxa"/>
          </w:tblCellMar>
        </w:tblPrEx>
        <w:trPr>
          <w:trHeight w:val="272" w:hRule="atLeast"/>
        </w:trPr>
        <w:tc>
          <w:tcPr>
            <w:tcW w:w="1134" w:type="dxa"/>
            <w:vMerge w:val="restart"/>
            <w:tcBorders>
              <w:top w:val="single" w:color="auto" w:sz="4" w:space="0"/>
              <w:left w:val="single" w:color="auto" w:sz="4" w:space="0"/>
              <w:bottom w:val="single" w:color="auto" w:sz="4" w:space="0"/>
              <w:right w:val="single" w:color="auto" w:sz="4" w:space="0"/>
            </w:tcBorders>
            <w:vAlign w:val="center"/>
          </w:tcPr>
          <w:p w14:paraId="37DE83AF">
            <w:pPr>
              <w:widowControl/>
              <w:spacing w:line="240" w:lineRule="atLeast"/>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2127" w:type="dxa"/>
            <w:vMerge w:val="restart"/>
            <w:tcBorders>
              <w:top w:val="single" w:color="auto" w:sz="4" w:space="0"/>
              <w:left w:val="single" w:color="auto" w:sz="4" w:space="0"/>
              <w:bottom w:val="single" w:color="auto" w:sz="4" w:space="0"/>
              <w:right w:val="single" w:color="auto" w:sz="4" w:space="0"/>
            </w:tcBorders>
            <w:vAlign w:val="center"/>
          </w:tcPr>
          <w:p w14:paraId="36FF1E6B">
            <w:pPr>
              <w:widowControl/>
              <w:spacing w:line="240" w:lineRule="atLeast"/>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2551" w:type="dxa"/>
            <w:vMerge w:val="restart"/>
            <w:tcBorders>
              <w:top w:val="single" w:color="auto" w:sz="4" w:space="0"/>
              <w:left w:val="single" w:color="auto" w:sz="4" w:space="0"/>
              <w:bottom w:val="single" w:color="auto" w:sz="4" w:space="0"/>
              <w:right w:val="single" w:color="auto" w:sz="4" w:space="0"/>
            </w:tcBorders>
            <w:vAlign w:val="center"/>
          </w:tcPr>
          <w:p w14:paraId="6ABCA037">
            <w:pPr>
              <w:widowControl/>
              <w:spacing w:line="240" w:lineRule="atLeast"/>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r>
      <w:tr w14:paraId="1C640AEA">
        <w:tblPrEx>
          <w:tblCellMar>
            <w:top w:w="0" w:type="dxa"/>
            <w:left w:w="108" w:type="dxa"/>
            <w:bottom w:w="0" w:type="dxa"/>
            <w:right w:w="108" w:type="dxa"/>
          </w:tblCellMar>
        </w:tblPrEx>
        <w:trPr>
          <w:trHeight w:val="312" w:hRule="atLeast"/>
        </w:trPr>
        <w:tc>
          <w:tcPr>
            <w:tcW w:w="1134" w:type="dxa"/>
            <w:vMerge w:val="continue"/>
            <w:tcBorders>
              <w:top w:val="single" w:color="auto" w:sz="4" w:space="0"/>
              <w:left w:val="single" w:color="auto" w:sz="4" w:space="0"/>
              <w:bottom w:val="single" w:color="auto" w:sz="4" w:space="0"/>
              <w:right w:val="single" w:color="auto" w:sz="4" w:space="0"/>
            </w:tcBorders>
            <w:vAlign w:val="center"/>
          </w:tcPr>
          <w:p w14:paraId="35AAE5B5">
            <w:pPr>
              <w:widowControl/>
              <w:jc w:val="left"/>
              <w:rPr>
                <w:rFonts w:hint="eastAsia" w:ascii="宋体" w:hAnsi="宋体" w:eastAsia="宋体" w:cs="宋体"/>
                <w:b/>
                <w:bCs/>
                <w:color w:val="auto"/>
                <w:kern w:val="0"/>
                <w:szCs w:val="21"/>
              </w:rPr>
            </w:pPr>
          </w:p>
        </w:tc>
        <w:tc>
          <w:tcPr>
            <w:tcW w:w="2127" w:type="dxa"/>
            <w:vMerge w:val="continue"/>
            <w:tcBorders>
              <w:top w:val="single" w:color="auto" w:sz="4" w:space="0"/>
              <w:left w:val="single" w:color="auto" w:sz="4" w:space="0"/>
              <w:bottom w:val="single" w:color="auto" w:sz="4" w:space="0"/>
              <w:right w:val="single" w:color="auto" w:sz="4" w:space="0"/>
            </w:tcBorders>
            <w:vAlign w:val="center"/>
          </w:tcPr>
          <w:p w14:paraId="0E84BE32">
            <w:pPr>
              <w:widowControl/>
              <w:jc w:val="left"/>
              <w:rPr>
                <w:rFonts w:hint="eastAsia" w:ascii="宋体" w:hAnsi="宋体" w:eastAsia="宋体" w:cs="宋体"/>
                <w:b/>
                <w:bCs/>
                <w:color w:val="auto"/>
                <w:kern w:val="0"/>
                <w:szCs w:val="21"/>
              </w:rPr>
            </w:pPr>
          </w:p>
        </w:tc>
        <w:tc>
          <w:tcPr>
            <w:tcW w:w="2551" w:type="dxa"/>
            <w:vMerge w:val="continue"/>
            <w:tcBorders>
              <w:top w:val="single" w:color="auto" w:sz="4" w:space="0"/>
              <w:left w:val="single" w:color="auto" w:sz="4" w:space="0"/>
              <w:bottom w:val="single" w:color="auto" w:sz="4" w:space="0"/>
              <w:right w:val="single" w:color="auto" w:sz="4" w:space="0"/>
            </w:tcBorders>
            <w:vAlign w:val="center"/>
          </w:tcPr>
          <w:p w14:paraId="1D5E8A35">
            <w:pPr>
              <w:widowControl/>
              <w:jc w:val="left"/>
              <w:rPr>
                <w:rFonts w:hint="eastAsia" w:ascii="宋体" w:hAnsi="宋体" w:eastAsia="宋体" w:cs="宋体"/>
                <w:b/>
                <w:bCs/>
                <w:color w:val="auto"/>
                <w:kern w:val="0"/>
                <w:szCs w:val="21"/>
              </w:rPr>
            </w:pPr>
          </w:p>
        </w:tc>
      </w:tr>
      <w:tr w14:paraId="631A2DBA">
        <w:tblPrEx>
          <w:tblCellMar>
            <w:top w:w="0" w:type="dxa"/>
            <w:left w:w="108" w:type="dxa"/>
            <w:bottom w:w="0" w:type="dxa"/>
            <w:right w:w="108" w:type="dxa"/>
          </w:tblCellMar>
        </w:tblPrEx>
        <w:trPr>
          <w:trHeight w:val="224" w:hRule="atLeast"/>
        </w:trPr>
        <w:tc>
          <w:tcPr>
            <w:tcW w:w="1134" w:type="dxa"/>
            <w:tcBorders>
              <w:top w:val="nil"/>
              <w:left w:val="single" w:color="auto" w:sz="4" w:space="0"/>
              <w:bottom w:val="single" w:color="auto" w:sz="4" w:space="0"/>
              <w:right w:val="single" w:color="auto" w:sz="4" w:space="0"/>
            </w:tcBorders>
            <w:vAlign w:val="center"/>
          </w:tcPr>
          <w:p w14:paraId="6E99E94A">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2127" w:type="dxa"/>
            <w:tcBorders>
              <w:top w:val="nil"/>
              <w:left w:val="nil"/>
              <w:bottom w:val="single" w:color="auto" w:sz="4" w:space="0"/>
              <w:right w:val="single" w:color="auto" w:sz="4" w:space="0"/>
            </w:tcBorders>
            <w:vAlign w:val="center"/>
          </w:tcPr>
          <w:p w14:paraId="77750099">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rPr>
              <w:t>大黄鱼</w:t>
            </w:r>
          </w:p>
        </w:tc>
        <w:tc>
          <w:tcPr>
            <w:tcW w:w="2551" w:type="dxa"/>
            <w:tcBorders>
              <w:top w:val="nil"/>
              <w:left w:val="nil"/>
              <w:bottom w:val="single" w:color="auto" w:sz="4" w:space="0"/>
              <w:right w:val="single" w:color="auto" w:sz="4" w:space="0"/>
            </w:tcBorders>
            <w:vAlign w:val="center"/>
          </w:tcPr>
          <w:p w14:paraId="7F1EB378">
            <w:pPr>
              <w:widowControl/>
              <w:jc w:val="center"/>
              <w:rPr>
                <w:rFonts w:hint="eastAsia" w:ascii="宋体" w:hAnsi="宋体" w:eastAsia="宋体" w:cs="宋体"/>
                <w:bCs/>
                <w:color w:val="auto"/>
                <w:kern w:val="0"/>
                <w:szCs w:val="21"/>
              </w:rPr>
            </w:pPr>
            <w:r>
              <w:rPr>
                <w:rFonts w:hint="eastAsia" w:ascii="宋体" w:hAnsi="宋体" w:cs="宋体"/>
                <w:color w:val="auto"/>
                <w:kern w:val="0"/>
                <w:sz w:val="24"/>
                <w:lang w:val="en-US" w:eastAsia="zh-CN"/>
              </w:rPr>
              <w:t>2</w:t>
            </w:r>
          </w:p>
        </w:tc>
      </w:tr>
      <w:tr w14:paraId="48ABD552">
        <w:tblPrEx>
          <w:tblCellMar>
            <w:top w:w="0" w:type="dxa"/>
            <w:left w:w="108" w:type="dxa"/>
            <w:bottom w:w="0" w:type="dxa"/>
            <w:right w:w="108" w:type="dxa"/>
          </w:tblCellMar>
        </w:tblPrEx>
        <w:trPr>
          <w:trHeight w:val="217" w:hRule="atLeast"/>
        </w:trPr>
        <w:tc>
          <w:tcPr>
            <w:tcW w:w="1134" w:type="dxa"/>
            <w:tcBorders>
              <w:top w:val="nil"/>
              <w:left w:val="single" w:color="auto" w:sz="4" w:space="0"/>
              <w:bottom w:val="single" w:color="auto" w:sz="4" w:space="0"/>
              <w:right w:val="single" w:color="auto" w:sz="4" w:space="0"/>
            </w:tcBorders>
            <w:vAlign w:val="center"/>
          </w:tcPr>
          <w:p w14:paraId="6E4C107E">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2127" w:type="dxa"/>
            <w:tcBorders>
              <w:top w:val="nil"/>
              <w:left w:val="nil"/>
              <w:bottom w:val="single" w:color="auto" w:sz="4" w:space="0"/>
              <w:right w:val="single" w:color="auto" w:sz="4" w:space="0"/>
            </w:tcBorders>
            <w:vAlign w:val="center"/>
          </w:tcPr>
          <w:p w14:paraId="4F430937">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rPr>
              <w:t>曼氏无针乌贼</w:t>
            </w:r>
          </w:p>
        </w:tc>
        <w:tc>
          <w:tcPr>
            <w:tcW w:w="2551" w:type="dxa"/>
            <w:tcBorders>
              <w:top w:val="nil"/>
              <w:left w:val="nil"/>
              <w:bottom w:val="single" w:color="auto" w:sz="4" w:space="0"/>
              <w:right w:val="single" w:color="auto" w:sz="4" w:space="0"/>
            </w:tcBorders>
            <w:vAlign w:val="center"/>
          </w:tcPr>
          <w:p w14:paraId="2ABBA71A">
            <w:pPr>
              <w:widowControl/>
              <w:jc w:val="center"/>
              <w:rPr>
                <w:rFonts w:hint="eastAsia" w:ascii="宋体" w:hAnsi="宋体" w:eastAsia="宋体" w:cs="宋体"/>
                <w:bCs/>
                <w:color w:val="auto"/>
                <w:kern w:val="0"/>
                <w:szCs w:val="21"/>
              </w:rPr>
            </w:pPr>
            <w:r>
              <w:rPr>
                <w:rFonts w:hint="eastAsia" w:ascii="宋体" w:hAnsi="宋体" w:cs="宋体"/>
                <w:color w:val="auto"/>
                <w:kern w:val="0"/>
                <w:sz w:val="24"/>
              </w:rPr>
              <w:t>1</w:t>
            </w:r>
          </w:p>
        </w:tc>
      </w:tr>
      <w:tr w14:paraId="4C3CF673">
        <w:tblPrEx>
          <w:tblCellMar>
            <w:top w:w="0" w:type="dxa"/>
            <w:left w:w="108" w:type="dxa"/>
            <w:bottom w:w="0" w:type="dxa"/>
            <w:right w:w="108" w:type="dxa"/>
          </w:tblCellMar>
        </w:tblPrEx>
        <w:trPr>
          <w:trHeight w:val="90" w:hRule="atLeast"/>
        </w:trPr>
        <w:tc>
          <w:tcPr>
            <w:tcW w:w="1134" w:type="dxa"/>
            <w:tcBorders>
              <w:top w:val="nil"/>
              <w:left w:val="single" w:color="auto" w:sz="4" w:space="0"/>
              <w:bottom w:val="single" w:color="auto" w:sz="4" w:space="0"/>
              <w:right w:val="single" w:color="auto" w:sz="4" w:space="0"/>
            </w:tcBorders>
            <w:vAlign w:val="center"/>
          </w:tcPr>
          <w:p w14:paraId="28DC81B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2127" w:type="dxa"/>
            <w:tcBorders>
              <w:top w:val="nil"/>
              <w:left w:val="nil"/>
              <w:bottom w:val="single" w:color="auto" w:sz="4" w:space="0"/>
              <w:right w:val="single" w:color="auto" w:sz="4" w:space="0"/>
            </w:tcBorders>
            <w:vAlign w:val="center"/>
          </w:tcPr>
          <w:p w14:paraId="3D7F74BA">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rPr>
              <w:t>海蜇</w:t>
            </w:r>
          </w:p>
        </w:tc>
        <w:tc>
          <w:tcPr>
            <w:tcW w:w="2551" w:type="dxa"/>
            <w:tcBorders>
              <w:top w:val="nil"/>
              <w:left w:val="nil"/>
              <w:bottom w:val="single" w:color="auto" w:sz="4" w:space="0"/>
              <w:right w:val="single" w:color="auto" w:sz="4" w:space="0"/>
            </w:tcBorders>
            <w:vAlign w:val="center"/>
          </w:tcPr>
          <w:p w14:paraId="54A586E6">
            <w:pPr>
              <w:widowControl/>
              <w:jc w:val="center"/>
              <w:rPr>
                <w:rFonts w:hint="eastAsia" w:ascii="宋体" w:hAnsi="宋体" w:eastAsia="宋体" w:cs="宋体"/>
                <w:bCs/>
                <w:color w:val="auto"/>
                <w:kern w:val="0"/>
                <w:szCs w:val="21"/>
              </w:rPr>
            </w:pPr>
            <w:r>
              <w:rPr>
                <w:rFonts w:hint="eastAsia" w:ascii="宋体" w:hAnsi="宋体" w:cs="宋体"/>
                <w:color w:val="auto"/>
                <w:kern w:val="0"/>
                <w:sz w:val="24"/>
                <w:highlight w:val="none"/>
                <w:lang w:val="en-US" w:eastAsia="zh-CN"/>
              </w:rPr>
              <w:t>2</w:t>
            </w:r>
          </w:p>
        </w:tc>
      </w:tr>
      <w:tr w14:paraId="4F4E17ED">
        <w:tblPrEx>
          <w:tblCellMar>
            <w:top w:w="0" w:type="dxa"/>
            <w:left w:w="108" w:type="dxa"/>
            <w:bottom w:w="0" w:type="dxa"/>
            <w:right w:w="108" w:type="dxa"/>
          </w:tblCellMar>
        </w:tblPrEx>
        <w:trPr>
          <w:trHeight w:val="239" w:hRule="atLeast"/>
        </w:trPr>
        <w:tc>
          <w:tcPr>
            <w:tcW w:w="1134" w:type="dxa"/>
            <w:tcBorders>
              <w:top w:val="nil"/>
              <w:left w:val="single" w:color="auto" w:sz="4" w:space="0"/>
              <w:bottom w:val="single" w:color="auto" w:sz="4" w:space="0"/>
              <w:right w:val="single" w:color="auto" w:sz="4" w:space="0"/>
            </w:tcBorders>
            <w:vAlign w:val="center"/>
          </w:tcPr>
          <w:p w14:paraId="326D7FAA">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2127" w:type="dxa"/>
            <w:tcBorders>
              <w:top w:val="nil"/>
              <w:left w:val="nil"/>
              <w:bottom w:val="single" w:color="auto" w:sz="4" w:space="0"/>
              <w:right w:val="single" w:color="auto" w:sz="4" w:space="0"/>
            </w:tcBorders>
            <w:vAlign w:val="center"/>
          </w:tcPr>
          <w:p w14:paraId="28F20FB3">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rPr>
              <w:t>黑鲷</w:t>
            </w:r>
          </w:p>
        </w:tc>
        <w:tc>
          <w:tcPr>
            <w:tcW w:w="2551" w:type="dxa"/>
            <w:tcBorders>
              <w:top w:val="nil"/>
              <w:left w:val="nil"/>
              <w:bottom w:val="single" w:color="auto" w:sz="4" w:space="0"/>
              <w:right w:val="single" w:color="auto" w:sz="4" w:space="0"/>
            </w:tcBorders>
            <w:vAlign w:val="center"/>
          </w:tcPr>
          <w:p w14:paraId="290FAE54">
            <w:pPr>
              <w:widowControl/>
              <w:jc w:val="center"/>
              <w:rPr>
                <w:rFonts w:hint="eastAsia" w:ascii="宋体" w:hAnsi="宋体" w:eastAsia="宋体" w:cs="宋体"/>
                <w:bCs/>
                <w:color w:val="auto"/>
                <w:kern w:val="0"/>
                <w:szCs w:val="21"/>
              </w:rPr>
            </w:pPr>
            <w:r>
              <w:rPr>
                <w:rFonts w:hint="eastAsia" w:ascii="宋体" w:hAnsi="宋体" w:eastAsia="宋体" w:cs="宋体"/>
                <w:color w:val="auto"/>
                <w:kern w:val="0"/>
                <w:sz w:val="24"/>
                <w:highlight w:val="none"/>
                <w:lang w:val="en-US" w:eastAsia="zh-CN"/>
              </w:rPr>
              <w:t>2</w:t>
            </w:r>
          </w:p>
        </w:tc>
      </w:tr>
      <w:tr w14:paraId="48EAD6A8">
        <w:tblPrEx>
          <w:tblCellMar>
            <w:top w:w="0" w:type="dxa"/>
            <w:left w:w="108" w:type="dxa"/>
            <w:bottom w:w="0" w:type="dxa"/>
            <w:right w:w="108" w:type="dxa"/>
          </w:tblCellMar>
        </w:tblPrEx>
        <w:trPr>
          <w:trHeight w:val="284" w:hRule="atLeast"/>
        </w:trPr>
        <w:tc>
          <w:tcPr>
            <w:tcW w:w="1134" w:type="dxa"/>
            <w:tcBorders>
              <w:top w:val="nil"/>
              <w:left w:val="single" w:color="auto" w:sz="4" w:space="0"/>
              <w:bottom w:val="single" w:color="auto" w:sz="4" w:space="0"/>
              <w:right w:val="single" w:color="auto" w:sz="4" w:space="0"/>
            </w:tcBorders>
            <w:vAlign w:val="center"/>
          </w:tcPr>
          <w:p w14:paraId="411B747D">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2127" w:type="dxa"/>
            <w:tcBorders>
              <w:top w:val="nil"/>
              <w:left w:val="nil"/>
              <w:bottom w:val="single" w:color="auto" w:sz="4" w:space="0"/>
              <w:right w:val="single" w:color="auto" w:sz="4" w:space="0"/>
            </w:tcBorders>
            <w:vAlign w:val="center"/>
          </w:tcPr>
          <w:p w14:paraId="7E2CA01A">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rPr>
              <w:t>黄姑鱼</w:t>
            </w:r>
          </w:p>
        </w:tc>
        <w:tc>
          <w:tcPr>
            <w:tcW w:w="2551" w:type="dxa"/>
            <w:tcBorders>
              <w:top w:val="nil"/>
              <w:left w:val="nil"/>
              <w:bottom w:val="single" w:color="auto" w:sz="4" w:space="0"/>
              <w:right w:val="single" w:color="auto" w:sz="4" w:space="0"/>
            </w:tcBorders>
            <w:vAlign w:val="center"/>
          </w:tcPr>
          <w:p w14:paraId="6A3A399D">
            <w:pPr>
              <w:widowControl/>
              <w:jc w:val="center"/>
              <w:rPr>
                <w:rFonts w:hint="eastAsia" w:ascii="宋体" w:hAnsi="宋体" w:eastAsia="宋体" w:cs="宋体"/>
                <w:bCs/>
                <w:color w:val="auto"/>
                <w:kern w:val="0"/>
                <w:szCs w:val="21"/>
              </w:rPr>
            </w:pPr>
            <w:r>
              <w:rPr>
                <w:rFonts w:hint="eastAsia" w:ascii="宋体" w:hAnsi="宋体" w:cs="宋体"/>
                <w:color w:val="auto"/>
                <w:kern w:val="0"/>
                <w:sz w:val="24"/>
                <w:highlight w:val="none"/>
                <w:lang w:val="en-US" w:eastAsia="zh-CN"/>
              </w:rPr>
              <w:t>1</w:t>
            </w:r>
          </w:p>
        </w:tc>
      </w:tr>
      <w:tr w14:paraId="6C8DF046">
        <w:tblPrEx>
          <w:tblCellMar>
            <w:top w:w="0" w:type="dxa"/>
            <w:left w:w="108" w:type="dxa"/>
            <w:bottom w:w="0" w:type="dxa"/>
            <w:right w:w="108" w:type="dxa"/>
          </w:tblCellMar>
        </w:tblPrEx>
        <w:trPr>
          <w:trHeight w:val="279" w:hRule="atLeast"/>
        </w:trPr>
        <w:tc>
          <w:tcPr>
            <w:tcW w:w="1134" w:type="dxa"/>
            <w:tcBorders>
              <w:top w:val="nil"/>
              <w:left w:val="single" w:color="auto" w:sz="4" w:space="0"/>
              <w:bottom w:val="single" w:color="auto" w:sz="4" w:space="0"/>
              <w:right w:val="single" w:color="auto" w:sz="4" w:space="0"/>
            </w:tcBorders>
            <w:vAlign w:val="center"/>
          </w:tcPr>
          <w:p w14:paraId="0E3908EF">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2127" w:type="dxa"/>
            <w:tcBorders>
              <w:top w:val="nil"/>
              <w:left w:val="nil"/>
              <w:bottom w:val="single" w:color="auto" w:sz="4" w:space="0"/>
              <w:right w:val="single" w:color="auto" w:sz="4" w:space="0"/>
            </w:tcBorders>
            <w:vAlign w:val="center"/>
          </w:tcPr>
          <w:p w14:paraId="46DC54AD">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rPr>
              <w:t>三疣梭子蟹</w:t>
            </w:r>
          </w:p>
        </w:tc>
        <w:tc>
          <w:tcPr>
            <w:tcW w:w="2551" w:type="dxa"/>
            <w:tcBorders>
              <w:top w:val="nil"/>
              <w:left w:val="nil"/>
              <w:bottom w:val="single" w:color="auto" w:sz="4" w:space="0"/>
              <w:right w:val="single" w:color="auto" w:sz="4" w:space="0"/>
            </w:tcBorders>
            <w:vAlign w:val="center"/>
          </w:tcPr>
          <w:p w14:paraId="217C960B">
            <w:pPr>
              <w:widowControl/>
              <w:jc w:val="center"/>
              <w:rPr>
                <w:rFonts w:hint="eastAsia" w:ascii="宋体" w:hAnsi="宋体" w:eastAsia="宋体" w:cs="宋体"/>
                <w:bCs/>
                <w:color w:val="auto"/>
                <w:kern w:val="0"/>
                <w:szCs w:val="21"/>
              </w:rPr>
            </w:pPr>
            <w:r>
              <w:rPr>
                <w:rFonts w:hint="eastAsia" w:ascii="宋体" w:hAnsi="宋体" w:cs="宋体"/>
                <w:color w:val="auto"/>
                <w:kern w:val="0"/>
                <w:sz w:val="24"/>
                <w:highlight w:val="none"/>
                <w:lang w:val="en-US" w:eastAsia="zh-CN"/>
              </w:rPr>
              <w:t>2</w:t>
            </w:r>
          </w:p>
        </w:tc>
      </w:tr>
      <w:tr w14:paraId="07B1B372">
        <w:tblPrEx>
          <w:tblCellMar>
            <w:top w:w="0" w:type="dxa"/>
            <w:left w:w="108" w:type="dxa"/>
            <w:bottom w:w="0" w:type="dxa"/>
            <w:right w:w="108" w:type="dxa"/>
          </w:tblCellMar>
        </w:tblPrEx>
        <w:trPr>
          <w:trHeight w:val="317" w:hRule="atLeast"/>
        </w:trPr>
        <w:tc>
          <w:tcPr>
            <w:tcW w:w="1134" w:type="dxa"/>
            <w:tcBorders>
              <w:top w:val="nil"/>
              <w:left w:val="single" w:color="auto" w:sz="4" w:space="0"/>
              <w:bottom w:val="single" w:color="auto" w:sz="4" w:space="0"/>
              <w:right w:val="single" w:color="auto" w:sz="4" w:space="0"/>
            </w:tcBorders>
            <w:vAlign w:val="center"/>
          </w:tcPr>
          <w:p w14:paraId="723B7A6F">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2127" w:type="dxa"/>
            <w:tcBorders>
              <w:top w:val="nil"/>
              <w:left w:val="nil"/>
              <w:bottom w:val="single" w:color="auto" w:sz="4" w:space="0"/>
              <w:right w:val="single" w:color="auto" w:sz="4" w:space="0"/>
            </w:tcBorders>
            <w:vAlign w:val="center"/>
          </w:tcPr>
          <w:p w14:paraId="4B00DE61">
            <w:pPr>
              <w:widowControl/>
              <w:jc w:val="center"/>
              <w:rPr>
                <w:rFonts w:hint="eastAsia" w:ascii="宋体" w:hAnsi="宋体" w:eastAsia="宋体" w:cs="宋体"/>
                <w:bCs/>
                <w:color w:val="auto"/>
                <w:kern w:val="0"/>
                <w:szCs w:val="21"/>
              </w:rPr>
            </w:pPr>
            <w:r>
              <w:rPr>
                <w:rFonts w:hint="eastAsia" w:ascii="仿宋_GB2312" w:hAnsi="宋体" w:eastAsia="仿宋_GB2312" w:cs="宋体"/>
                <w:color w:val="auto"/>
                <w:kern w:val="0"/>
                <w:sz w:val="24"/>
                <w:highlight w:val="none"/>
                <w:lang w:eastAsia="zh-CN"/>
              </w:rPr>
              <w:t>褐菖鲉</w:t>
            </w:r>
          </w:p>
        </w:tc>
        <w:tc>
          <w:tcPr>
            <w:tcW w:w="2551" w:type="dxa"/>
            <w:tcBorders>
              <w:top w:val="nil"/>
              <w:left w:val="nil"/>
              <w:bottom w:val="single" w:color="auto" w:sz="4" w:space="0"/>
              <w:right w:val="single" w:color="auto" w:sz="4" w:space="0"/>
            </w:tcBorders>
            <w:vAlign w:val="center"/>
          </w:tcPr>
          <w:p w14:paraId="29D968E3">
            <w:pPr>
              <w:widowControl/>
              <w:jc w:val="center"/>
              <w:rPr>
                <w:rFonts w:hint="eastAsia" w:ascii="宋体" w:hAnsi="宋体" w:eastAsia="宋体" w:cs="宋体"/>
                <w:bCs/>
                <w:color w:val="auto"/>
                <w:kern w:val="0"/>
                <w:szCs w:val="21"/>
              </w:rPr>
            </w:pPr>
            <w:r>
              <w:rPr>
                <w:rFonts w:hint="eastAsia" w:ascii="宋体" w:hAnsi="宋体" w:cs="宋体"/>
                <w:color w:val="auto"/>
                <w:kern w:val="0"/>
                <w:sz w:val="24"/>
                <w:highlight w:val="none"/>
                <w:lang w:val="en-US" w:eastAsia="zh-CN"/>
              </w:rPr>
              <w:t>1</w:t>
            </w:r>
          </w:p>
        </w:tc>
      </w:tr>
    </w:tbl>
    <w:p w14:paraId="472DA3C3">
      <w:pPr>
        <w:pStyle w:val="26"/>
        <w:spacing w:after="0"/>
        <w:ind w:firstLine="210"/>
        <w:rPr>
          <w:color w:val="auto"/>
        </w:rPr>
      </w:pPr>
    </w:p>
    <w:p w14:paraId="7EC1A0F6">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采购代理机构在评标结束后在</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个工作日内将评审报告交采购人确认。</w:t>
      </w:r>
    </w:p>
    <w:p w14:paraId="2A8E40E6">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投标人对评审结果无异议的，采购人应在收到评审报告后</w:t>
      </w: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个工作日内对评审结果进行确认。如有投标人对评审结果提出质疑的，采购人可在质疑处理完毕后确定中标人。</w:t>
      </w:r>
    </w:p>
    <w:p w14:paraId="283CCCBC">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采购人依法确定中标人后</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个工作日内，采购代理机构发出《中标通知书》</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并同时在相关网站上发布中标公告。</w:t>
      </w:r>
    </w:p>
    <w:p w14:paraId="34B0A676">
      <w:pPr>
        <w:spacing w:line="380" w:lineRule="exact"/>
        <w:rPr>
          <w:rFonts w:ascii="Times New Roman" w:hAnsi="Times New Roman" w:eastAsia="宋体" w:cs="Times New Roman"/>
          <w:b/>
          <w:color w:val="auto"/>
          <w:sz w:val="28"/>
        </w:rPr>
      </w:pPr>
      <w:r>
        <w:rPr>
          <w:rFonts w:hint="eastAsia" w:ascii="Times New Roman" w:hAnsi="Times New Roman" w:eastAsia="宋体" w:cs="Times New Roman"/>
          <w:color w:val="auto"/>
          <w:szCs w:val="21"/>
        </w:rPr>
        <w:t>（二）</w:t>
      </w:r>
      <w:r>
        <w:rPr>
          <w:rFonts w:hint="eastAsia" w:ascii="Times New Roman" w:hAnsi="Times New Roman" w:eastAsia="宋体" w:cs="Times New Roman"/>
          <w:color w:val="auto"/>
        </w:rPr>
        <w:t>根据《中华人民共和国招标投标法实施条例》（国务院第</w:t>
      </w:r>
      <w:r>
        <w:rPr>
          <w:rFonts w:ascii="Times New Roman" w:hAnsi="Times New Roman" w:eastAsia="宋体" w:cs="Times New Roman"/>
          <w:color w:val="auto"/>
        </w:rPr>
        <w:t>613</w:t>
      </w:r>
      <w:r>
        <w:rPr>
          <w:rFonts w:hint="eastAsia" w:ascii="Times New Roman" w:hAnsi="Times New Roman" w:eastAsia="宋体" w:cs="Times New Roman"/>
          <w:color w:val="auto"/>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3686EE17">
      <w:pPr>
        <w:snapToGrid w:val="0"/>
        <w:spacing w:line="360" w:lineRule="auto"/>
        <w:ind w:firstLine="3345" w:firstLineChars="119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七、合同授予</w:t>
      </w:r>
    </w:p>
    <w:p w14:paraId="5BDDD3E8">
      <w:pPr>
        <w:widowControl/>
        <w:overflowPunct w:val="0"/>
        <w:autoSpaceDE w:val="0"/>
        <w:autoSpaceDN w:val="0"/>
        <w:adjustRightInd w:val="0"/>
        <w:snapToGrid w:val="0"/>
        <w:spacing w:line="336" w:lineRule="auto"/>
        <w:ind w:left="-735" w:firstLine="723" w:firstLineChars="300"/>
        <w:jc w:val="left"/>
        <w:textAlignment w:val="baseline"/>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（一）签订合同</w:t>
      </w:r>
    </w:p>
    <w:p w14:paraId="124EDC94">
      <w:pPr>
        <w:snapToGrid w:val="0"/>
        <w:spacing w:line="336" w:lineRule="auto"/>
        <w:ind w:firstLine="424" w:firstLineChars="202"/>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采购人与中标人应当在《中标通知书》发出之日起</w:t>
      </w:r>
      <w:r>
        <w:rPr>
          <w:rFonts w:ascii="Times New Roman" w:hAnsi="Times New Roman" w:eastAsia="宋体" w:cs="Times New Roman"/>
          <w:color w:val="auto"/>
        </w:rPr>
        <w:t>30</w:t>
      </w:r>
      <w:r>
        <w:rPr>
          <w:rFonts w:hint="eastAsia" w:ascii="Times New Roman" w:hAnsi="Times New Roman" w:eastAsia="宋体" w:cs="Times New Roman"/>
          <w:color w:val="auto"/>
        </w:rPr>
        <w:t>日内签订政府采购合同。同时，采购代理机构对合同内容进行审查，如发现与采购结果和投标承诺内容不一致的，应予以纠正。</w:t>
      </w:r>
    </w:p>
    <w:p w14:paraId="2FE0E821">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中标人拖延、拒签合同的，将上报监管部门并取消中标资格。</w:t>
      </w:r>
    </w:p>
    <w:p w14:paraId="149AF083">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中标人和采购人签订合同，按合同规定的供货时间供货并安装调试完毕。</w:t>
      </w:r>
    </w:p>
    <w:p w14:paraId="7D1FBED3">
      <w:pPr>
        <w:snapToGrid w:val="0"/>
        <w:spacing w:line="336" w:lineRule="auto"/>
        <w:ind w:firstLine="415" w:firstLineChars="198"/>
        <w:rPr>
          <w:rFonts w:ascii="Times New Roman" w:hAnsi="Times New Roman" w:eastAsia="宋体" w:cs="Times New Roman"/>
          <w:b/>
          <w:bCs/>
          <w:color w:val="auto"/>
          <w:sz w:val="24"/>
          <w:szCs w:val="24"/>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77A68BF1">
      <w:pPr>
        <w:snapToGrid w:val="0"/>
        <w:spacing w:line="336" w:lineRule="auto"/>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（二）合同公告</w:t>
      </w:r>
    </w:p>
    <w:p w14:paraId="154112F6">
      <w:pPr>
        <w:snapToGrid w:val="0"/>
        <w:spacing w:line="336" w:lineRule="auto"/>
        <w:ind w:firstLine="415" w:firstLineChars="198"/>
        <w:rPr>
          <w:rFonts w:ascii="Times New Roman" w:hAnsi="Times New Roman" w:eastAsia="宋体" w:cs="Times New Roman"/>
          <w:color w:val="auto"/>
          <w:sz w:val="30"/>
        </w:rPr>
      </w:pPr>
      <w:r>
        <w:rPr>
          <w:rFonts w:hint="eastAsia" w:ascii="Times New Roman" w:hAnsi="Times New Roman" w:eastAsia="宋体" w:cs="Times New Roman"/>
          <w:color w:val="auto"/>
          <w:szCs w:val="21"/>
        </w:rPr>
        <w:t>采购人应当自政府采购合同签订之日起</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个工作日内，将政府采购合同在省级以上人民政府财政部门指定的媒体上公告，但政府采购合同中涉及国家秘密、商业秘密的内容除外。</w:t>
      </w:r>
    </w:p>
    <w:p w14:paraId="0961B793">
      <w:pPr>
        <w:snapToGrid w:val="0"/>
        <w:spacing w:before="120" w:line="360" w:lineRule="auto"/>
        <w:ind w:right="-87"/>
        <w:jc w:val="center"/>
        <w:rPr>
          <w:rFonts w:hint="eastAsia" w:ascii="Times New Roman" w:hAnsi="Times New Roman" w:eastAsia="黑体" w:cs="Times New Roman"/>
          <w:color w:val="auto"/>
          <w:sz w:val="30"/>
        </w:rPr>
      </w:pPr>
    </w:p>
    <w:p w14:paraId="1D924694">
      <w:pPr>
        <w:snapToGrid w:val="0"/>
        <w:spacing w:before="120" w:line="360" w:lineRule="auto"/>
        <w:ind w:right="-87"/>
        <w:jc w:val="center"/>
        <w:rPr>
          <w:rFonts w:hint="eastAsia" w:ascii="Times New Roman" w:hAnsi="Times New Roman" w:eastAsia="黑体" w:cs="Times New Roman"/>
          <w:color w:val="auto"/>
          <w:sz w:val="30"/>
        </w:rPr>
      </w:pPr>
    </w:p>
    <w:p w14:paraId="70DADF50">
      <w:pPr>
        <w:snapToGrid w:val="0"/>
        <w:spacing w:before="120" w:line="360"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第四章</w:t>
      </w:r>
      <w:r>
        <w:rPr>
          <w:rFonts w:hint="eastAsia" w:ascii="Times New Roman" w:hAnsi="Times New Roman" w:eastAsia="黑体" w:cs="Times New Roman"/>
          <w:color w:val="auto"/>
          <w:sz w:val="30"/>
          <w:lang w:eastAsia="zh-CN"/>
        </w:rPr>
        <w:t>评标方法</w:t>
      </w:r>
      <w:r>
        <w:rPr>
          <w:rFonts w:hint="eastAsia" w:ascii="Times New Roman" w:hAnsi="Times New Roman" w:eastAsia="黑体" w:cs="Times New Roman"/>
          <w:color w:val="auto"/>
          <w:sz w:val="30"/>
        </w:rPr>
        <w:t>及评分标准</w:t>
      </w:r>
    </w:p>
    <w:p w14:paraId="5B3479E1">
      <w:pPr>
        <w:snapToGrid w:val="0"/>
        <w:spacing w:before="120" w:line="336" w:lineRule="auto"/>
        <w:ind w:right="-87" w:firstLine="103" w:firstLineChars="49"/>
        <w:outlineLvl w:val="0"/>
        <w:rPr>
          <w:rFonts w:ascii="Times New Roman" w:hAnsi="Times New Roman" w:eastAsia="宋体" w:cs="Times New Roman"/>
          <w:color w:val="auto"/>
        </w:rPr>
      </w:pPr>
      <w:r>
        <w:rPr>
          <w:rFonts w:hint="eastAsia" w:ascii="Times New Roman" w:hAnsi="Times New Roman" w:eastAsia="宋体" w:cs="Times New Roman"/>
          <w:b/>
          <w:color w:val="auto"/>
        </w:rPr>
        <w:t>综合评分法</w:t>
      </w:r>
    </w:p>
    <w:p w14:paraId="5A57A0A3">
      <w:pPr>
        <w:snapToGrid w:val="0"/>
        <w:spacing w:line="336" w:lineRule="auto"/>
        <w:ind w:right="-87" w:firstLine="1687" w:firstLineChars="700"/>
        <w:rPr>
          <w:rFonts w:hint="eastAsia" w:ascii="Times New Roman" w:hAnsi="Times New Roman" w:eastAsia="宋体" w:cs="Times New Roman"/>
          <w:b/>
          <w:color w:val="auto"/>
          <w:sz w:val="24"/>
          <w:szCs w:val="24"/>
          <w:lang w:eastAsia="zh-CN"/>
        </w:rPr>
      </w:pPr>
      <w:r>
        <w:rPr>
          <w:rFonts w:hint="eastAsia" w:ascii="Times New Roman" w:hAnsi="Times New Roman" w:eastAsia="宋体" w:cs="Times New Roman"/>
          <w:b/>
          <w:color w:val="auto"/>
          <w:sz w:val="24"/>
          <w:szCs w:val="24"/>
        </w:rPr>
        <w:t>2025年普陀区水生生物增殖放流项目</w:t>
      </w:r>
      <w:r>
        <w:rPr>
          <w:rFonts w:hint="eastAsia" w:ascii="Times New Roman" w:hAnsi="Times New Roman" w:eastAsia="宋体" w:cs="Times New Roman"/>
          <w:b/>
          <w:color w:val="auto"/>
          <w:sz w:val="24"/>
          <w:szCs w:val="24"/>
          <w:lang w:eastAsia="zh-CN"/>
        </w:rPr>
        <w:t>评标方法</w:t>
      </w:r>
    </w:p>
    <w:p w14:paraId="4414555E">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rPr>
        <w:t>为公正、公平、科学地选择中标人，根据《中华人民共和国政府采购法》等有关法律法规的规定，并结合本项目的实际，制定本办法。</w:t>
      </w:r>
    </w:p>
    <w:p w14:paraId="14E04BD6">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szCs w:val="21"/>
        </w:rPr>
        <w:t>本办法适用于2025年普陀区水生生物增殖放流项目的评标。</w:t>
      </w:r>
    </w:p>
    <w:p w14:paraId="10267665">
      <w:pPr>
        <w:snapToGrid w:val="0"/>
        <w:spacing w:line="336" w:lineRule="auto"/>
        <w:ind w:left="756" w:leftChars="114" w:hanging="517" w:hangingChars="245"/>
        <w:rPr>
          <w:rFonts w:hint="eastAsia" w:ascii="宋体" w:hAnsi="宋体" w:eastAsia="宋体" w:cs="Times New Roman"/>
          <w:color w:val="auto"/>
        </w:rPr>
      </w:pPr>
      <w:r>
        <w:rPr>
          <w:rFonts w:hint="eastAsia" w:ascii="Times New Roman" w:hAnsi="Times New Roman" w:eastAsia="宋体" w:cs="Times New Roman"/>
          <w:b/>
          <w:color w:val="auto"/>
        </w:rPr>
        <w:t>中标依据：</w:t>
      </w:r>
      <w:r>
        <w:rPr>
          <w:rFonts w:hint="eastAsia" w:ascii="宋体" w:hAnsi="宋体" w:eastAsia="宋体" w:cs="Times New Roman"/>
          <w:color w:val="auto"/>
        </w:rPr>
        <w:t>在不高于</w:t>
      </w:r>
      <w:r>
        <w:rPr>
          <w:rFonts w:hint="eastAsia" w:ascii="宋体" w:hAnsi="宋体" w:eastAsia="宋体" w:cs="Times New Roman"/>
          <w:color w:val="auto"/>
          <w:u w:val="single" w:color="000000"/>
        </w:rPr>
        <w:t>最高限价</w:t>
      </w:r>
      <w:r>
        <w:rPr>
          <w:rFonts w:hint="eastAsia" w:ascii="宋体" w:hAnsi="宋体" w:eastAsia="宋体" w:cs="Times New Roman"/>
          <w:color w:val="auto"/>
        </w:rPr>
        <w:t>的前提下，</w:t>
      </w:r>
      <w:r>
        <w:rPr>
          <w:rFonts w:hint="eastAsia" w:ascii="宋体" w:hAnsi="宋体" w:eastAsia="宋体" w:cs="Times New Roman"/>
          <w:color w:val="auto"/>
          <w:u w:val="single" w:color="000000"/>
        </w:rPr>
        <w:t>综合评估分</w:t>
      </w:r>
      <w:r>
        <w:rPr>
          <w:rFonts w:hint="eastAsia" w:ascii="宋体" w:hAnsi="宋体" w:eastAsia="宋体" w:cs="Times New Roman"/>
          <w:color w:val="auto"/>
        </w:rPr>
        <w:t>最高者为中标候选人。</w:t>
      </w:r>
    </w:p>
    <w:p w14:paraId="31A9CA9B">
      <w:pPr>
        <w:snapToGrid w:val="0"/>
        <w:spacing w:line="336" w:lineRule="auto"/>
        <w:ind w:left="756" w:leftChars="114" w:hanging="517" w:hangingChars="245"/>
        <w:rPr>
          <w:rFonts w:hint="eastAsia" w:ascii="宋体" w:hAnsi="宋体" w:eastAsia="宋体" w:cs="Times New Roman"/>
          <w:b/>
          <w:color w:val="auto"/>
          <w:u w:val="single"/>
        </w:rPr>
      </w:pPr>
      <w:r>
        <w:rPr>
          <w:rFonts w:hint="eastAsia" w:ascii="宋体" w:hAnsi="宋体" w:eastAsia="宋体" w:cs="Times New Roman"/>
          <w:b/>
          <w:color w:val="auto"/>
          <w:u w:val="single"/>
        </w:rPr>
        <w:t>最高限价：预算金额。</w:t>
      </w:r>
    </w:p>
    <w:p w14:paraId="47A7F1F8">
      <w:pPr>
        <w:snapToGrid w:val="0"/>
        <w:spacing w:line="336" w:lineRule="auto"/>
        <w:ind w:left="756" w:leftChars="114" w:hanging="517" w:hangingChars="245"/>
        <w:rPr>
          <w:rFonts w:ascii="Times New Roman" w:hAnsi="Times New Roman" w:eastAsia="宋体" w:cs="Times New Roman"/>
          <w:b/>
          <w:color w:val="auto"/>
        </w:rPr>
      </w:pPr>
      <w:r>
        <w:rPr>
          <w:rFonts w:hint="eastAsia" w:ascii="Times New Roman" w:hAnsi="Times New Roman" w:eastAsia="宋体" w:cs="Times New Roman"/>
          <w:b/>
          <w:color w:val="auto"/>
        </w:rPr>
        <w:t>报价的计分方法：按单价进行报价。</w:t>
      </w:r>
    </w:p>
    <w:p w14:paraId="09C42E57">
      <w:pPr>
        <w:autoSpaceDE w:val="0"/>
        <w:autoSpaceDN w:val="0"/>
        <w:adjustRightInd w:val="0"/>
        <w:snapToGrid w:val="0"/>
        <w:spacing w:line="336" w:lineRule="auto"/>
        <w:ind w:right="-87" w:firstLine="411" w:firstLineChars="196"/>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满足投标文件要求</w:t>
      </w:r>
      <w:r>
        <w:rPr>
          <w:rFonts w:hint="eastAsia" w:ascii="宋体" w:hAnsi="宋体" w:eastAsia="宋体" w:cs="宋体"/>
          <w:color w:val="auto"/>
          <w:kern w:val="0"/>
          <w:szCs w:val="21"/>
        </w:rPr>
        <w:t>且投</w:t>
      </w:r>
      <w:r>
        <w:rPr>
          <w:rFonts w:hint="eastAsia" w:ascii="Times New Roman" w:hAnsi="Times New Roman" w:eastAsia="宋体" w:cs="Times New Roman"/>
          <w:color w:val="auto"/>
          <w:szCs w:val="21"/>
          <w:lang w:val="zh-CN"/>
        </w:rPr>
        <w:t>标报价最低的为评标基准价，其价格分为满分，其他投标人的价格分按下列公式计算：（按各标项单价作为投标报价）</w:t>
      </w:r>
    </w:p>
    <w:p w14:paraId="584B67EC">
      <w:pPr>
        <w:autoSpaceDE w:val="0"/>
        <w:autoSpaceDN w:val="0"/>
        <w:adjustRightInd w:val="0"/>
        <w:snapToGrid w:val="0"/>
        <w:spacing w:line="336" w:lineRule="auto"/>
        <w:ind w:right="-87" w:firstLine="550" w:firstLineChars="262"/>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价格得分＝（评标基准价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投标报价）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价格权重</w:t>
      </w:r>
      <w:r>
        <w:rPr>
          <w:rFonts w:ascii="Times New Roman" w:hAnsi="Times New Roman" w:eastAsia="宋体" w:cs="Times New Roman"/>
          <w:color w:val="auto"/>
          <w:szCs w:val="21"/>
          <w:lang w:val="zh-CN"/>
        </w:rPr>
        <w:t>×100</w:t>
      </w:r>
      <w:r>
        <w:rPr>
          <w:rFonts w:hint="eastAsia" w:ascii="Times New Roman" w:hAnsi="Times New Roman" w:eastAsia="宋体" w:cs="Times New Roman"/>
          <w:color w:val="auto"/>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11206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2DAD7757">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zh-CN"/>
              </w:rPr>
              <w:t>评价指标和各评价权重指标：</w:t>
            </w:r>
            <w:r>
              <w:rPr>
                <w:rFonts w:hint="eastAsia" w:ascii="Times New Roman" w:hAnsi="Times New Roman" w:eastAsia="宋体" w:cs="Times New Roman"/>
                <w:color w:val="auto"/>
                <w:szCs w:val="21"/>
              </w:rPr>
              <w:t>评标指标</w:t>
            </w:r>
          </w:p>
        </w:tc>
        <w:tc>
          <w:tcPr>
            <w:tcW w:w="2700" w:type="dxa"/>
            <w:vAlign w:val="center"/>
          </w:tcPr>
          <w:p w14:paraId="24B50811">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权重（％）</w:t>
            </w:r>
          </w:p>
        </w:tc>
      </w:tr>
      <w:tr w14:paraId="507CB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03D37BF5">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商务、技术部分</w:t>
            </w:r>
          </w:p>
        </w:tc>
        <w:tc>
          <w:tcPr>
            <w:tcW w:w="2700" w:type="dxa"/>
            <w:vAlign w:val="center"/>
          </w:tcPr>
          <w:p w14:paraId="773D32C5">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70</w:t>
            </w:r>
          </w:p>
        </w:tc>
      </w:tr>
      <w:tr w14:paraId="6C47F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7B2BCEDA">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投标报价</w:t>
            </w:r>
          </w:p>
        </w:tc>
        <w:tc>
          <w:tcPr>
            <w:tcW w:w="2700" w:type="dxa"/>
            <w:vAlign w:val="center"/>
          </w:tcPr>
          <w:p w14:paraId="58E3983D">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30</w:t>
            </w:r>
          </w:p>
        </w:tc>
      </w:tr>
      <w:tr w14:paraId="77DB4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020A6B5F">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合计</w:t>
            </w:r>
          </w:p>
        </w:tc>
        <w:tc>
          <w:tcPr>
            <w:tcW w:w="2700" w:type="dxa"/>
            <w:vAlign w:val="center"/>
          </w:tcPr>
          <w:p w14:paraId="1F1A0705">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100</w:t>
            </w:r>
          </w:p>
        </w:tc>
      </w:tr>
    </w:tbl>
    <w:p w14:paraId="70186A3E">
      <w:pPr>
        <w:autoSpaceDE w:val="0"/>
        <w:autoSpaceDN w:val="0"/>
        <w:adjustRightInd w:val="0"/>
        <w:spacing w:line="336" w:lineRule="auto"/>
        <w:ind w:right="-341" w:firstLine="424" w:firstLineChars="202"/>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综合评估分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商务技术得分＋价格得分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评分过程中采用四舍五入法，并保留小数</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位</w:t>
      </w:r>
      <w:r>
        <w:rPr>
          <w:rFonts w:ascii="Times New Roman" w:hAnsi="Times New Roman" w:eastAsia="宋体" w:cs="Times New Roman"/>
          <w:color w:val="auto"/>
          <w:szCs w:val="21"/>
        </w:rPr>
        <w:t>)</w:t>
      </w:r>
    </w:p>
    <w:p w14:paraId="5CA790FD">
      <w:pPr>
        <w:pStyle w:val="161"/>
        <w:snapToGrid w:val="0"/>
        <w:spacing w:beforeLines="0" w:line="360" w:lineRule="auto"/>
        <w:ind w:firstLine="420" w:firstLineChars="200"/>
        <w:rPr>
          <w:rFonts w:ascii="Times New Roman" w:hAnsi="Times New Roman" w:eastAsia="宋体"/>
          <w:color w:val="auto"/>
          <w:sz w:val="21"/>
          <w:szCs w:val="21"/>
        </w:rPr>
      </w:pPr>
      <w:r>
        <w:rPr>
          <w:rFonts w:hint="eastAsia" w:ascii="Times New Roman" w:hAnsi="Times New Roman" w:eastAsia="宋体"/>
          <w:color w:val="auto"/>
          <w:sz w:val="21"/>
          <w:szCs w:val="21"/>
        </w:rPr>
        <w:t>将综合评估分从高到低排序，得出参投标人名次。得分相同时，按投标报价由低到高顺序排列，得分且投标报价相同的，按技术指标优劣顺序排列。</w:t>
      </w:r>
    </w:p>
    <w:p w14:paraId="3C8916A2">
      <w:pPr>
        <w:spacing w:line="336" w:lineRule="auto"/>
        <w:ind w:right="-341"/>
        <w:rPr>
          <w:rFonts w:hint="eastAsia" w:ascii="宋体" w:hAnsi="宋体" w:eastAsia="宋体" w:cs="Times New Roman"/>
          <w:b/>
          <w:color w:val="auto"/>
        </w:rPr>
      </w:pPr>
      <w:r>
        <w:rPr>
          <w:rFonts w:hint="eastAsia" w:ascii="宋体" w:hAnsi="宋体" w:eastAsia="宋体" w:cs="Times New Roman"/>
          <w:b/>
          <w:color w:val="auto"/>
        </w:rPr>
        <w:t>中标分担原则</w:t>
      </w:r>
    </w:p>
    <w:tbl>
      <w:tblPr>
        <w:tblStyle w:val="60"/>
        <w:tblW w:w="7896" w:type="dxa"/>
        <w:tblInd w:w="175" w:type="dxa"/>
        <w:tblLayout w:type="fixed"/>
        <w:tblCellMar>
          <w:top w:w="0" w:type="dxa"/>
          <w:left w:w="108" w:type="dxa"/>
          <w:bottom w:w="0" w:type="dxa"/>
          <w:right w:w="108" w:type="dxa"/>
        </w:tblCellMar>
      </w:tblPr>
      <w:tblGrid>
        <w:gridCol w:w="804"/>
        <w:gridCol w:w="1664"/>
        <w:gridCol w:w="1059"/>
        <w:gridCol w:w="1191"/>
        <w:gridCol w:w="1589"/>
        <w:gridCol w:w="1589"/>
      </w:tblGrid>
      <w:tr w14:paraId="26FE3AF4">
        <w:tblPrEx>
          <w:tblCellMar>
            <w:top w:w="0" w:type="dxa"/>
            <w:left w:w="108" w:type="dxa"/>
            <w:bottom w:w="0" w:type="dxa"/>
            <w:right w:w="108" w:type="dxa"/>
          </w:tblCellMar>
        </w:tblPrEx>
        <w:trPr>
          <w:trHeight w:val="90" w:hRule="atLeast"/>
        </w:trPr>
        <w:tc>
          <w:tcPr>
            <w:tcW w:w="804" w:type="dxa"/>
            <w:vMerge w:val="restart"/>
            <w:tcBorders>
              <w:top w:val="single" w:color="auto" w:sz="4" w:space="0"/>
              <w:left w:val="single" w:color="auto" w:sz="4" w:space="0"/>
              <w:bottom w:val="single" w:color="auto" w:sz="4" w:space="0"/>
              <w:right w:val="single" w:color="auto" w:sz="4" w:space="0"/>
            </w:tcBorders>
            <w:vAlign w:val="center"/>
          </w:tcPr>
          <w:p w14:paraId="53B3E234">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标项</w:t>
            </w:r>
          </w:p>
        </w:tc>
        <w:tc>
          <w:tcPr>
            <w:tcW w:w="1664" w:type="dxa"/>
            <w:vMerge w:val="restart"/>
            <w:tcBorders>
              <w:top w:val="single" w:color="auto" w:sz="4" w:space="0"/>
              <w:left w:val="single" w:color="auto" w:sz="4" w:space="0"/>
              <w:bottom w:val="single" w:color="auto" w:sz="4" w:space="0"/>
              <w:right w:val="single" w:color="auto" w:sz="4" w:space="0"/>
            </w:tcBorders>
            <w:vAlign w:val="center"/>
          </w:tcPr>
          <w:p w14:paraId="7B2A9B85">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种类</w:t>
            </w: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04C2AF29">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种苗费(万元)</w:t>
            </w:r>
          </w:p>
        </w:tc>
        <w:tc>
          <w:tcPr>
            <w:tcW w:w="1191" w:type="dxa"/>
            <w:vMerge w:val="restart"/>
            <w:tcBorders>
              <w:top w:val="single" w:color="auto" w:sz="4" w:space="0"/>
              <w:left w:val="single" w:color="auto" w:sz="4" w:space="0"/>
              <w:bottom w:val="single" w:color="auto" w:sz="4" w:space="0"/>
              <w:right w:val="single" w:color="auto" w:sz="4" w:space="0"/>
            </w:tcBorders>
            <w:vAlign w:val="center"/>
          </w:tcPr>
          <w:p w14:paraId="1563612B">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拟中标单位(家)</w:t>
            </w:r>
          </w:p>
        </w:tc>
        <w:tc>
          <w:tcPr>
            <w:tcW w:w="3178" w:type="dxa"/>
            <w:gridSpan w:val="2"/>
            <w:tcBorders>
              <w:top w:val="single" w:color="auto" w:sz="4" w:space="0"/>
              <w:left w:val="nil"/>
              <w:bottom w:val="single" w:color="auto" w:sz="4" w:space="0"/>
              <w:right w:val="single" w:color="000000" w:sz="4" w:space="0"/>
            </w:tcBorders>
            <w:vAlign w:val="center"/>
          </w:tcPr>
          <w:p w14:paraId="02A3572F">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中标单位种苗费分配(万元)</w:t>
            </w:r>
          </w:p>
        </w:tc>
      </w:tr>
      <w:tr w14:paraId="677DA936">
        <w:tblPrEx>
          <w:tblCellMar>
            <w:top w:w="0" w:type="dxa"/>
            <w:left w:w="108" w:type="dxa"/>
            <w:bottom w:w="0" w:type="dxa"/>
            <w:right w:w="108" w:type="dxa"/>
          </w:tblCellMar>
        </w:tblPrEx>
        <w:trPr>
          <w:trHeight w:val="274" w:hRule="atLeast"/>
        </w:trPr>
        <w:tc>
          <w:tcPr>
            <w:tcW w:w="804" w:type="dxa"/>
            <w:vMerge w:val="continue"/>
            <w:tcBorders>
              <w:top w:val="single" w:color="auto" w:sz="4" w:space="0"/>
              <w:left w:val="single" w:color="auto" w:sz="4" w:space="0"/>
              <w:bottom w:val="single" w:color="auto" w:sz="4" w:space="0"/>
              <w:right w:val="single" w:color="auto" w:sz="4" w:space="0"/>
            </w:tcBorders>
            <w:vAlign w:val="center"/>
          </w:tcPr>
          <w:p w14:paraId="67FDC922">
            <w:pPr>
              <w:widowControl/>
              <w:spacing w:line="240" w:lineRule="exact"/>
              <w:jc w:val="left"/>
              <w:rPr>
                <w:rFonts w:hint="eastAsia" w:ascii="宋体" w:hAnsi="宋体" w:eastAsia="宋体" w:cs="宋体"/>
                <w:b/>
                <w:bCs/>
                <w:color w:val="auto"/>
                <w:kern w:val="0"/>
                <w:sz w:val="21"/>
                <w:szCs w:val="21"/>
              </w:rPr>
            </w:pPr>
          </w:p>
        </w:tc>
        <w:tc>
          <w:tcPr>
            <w:tcW w:w="1664" w:type="dxa"/>
            <w:vMerge w:val="continue"/>
            <w:tcBorders>
              <w:top w:val="single" w:color="auto" w:sz="4" w:space="0"/>
              <w:left w:val="single" w:color="auto" w:sz="4" w:space="0"/>
              <w:bottom w:val="single" w:color="auto" w:sz="4" w:space="0"/>
              <w:right w:val="single" w:color="auto" w:sz="4" w:space="0"/>
            </w:tcBorders>
            <w:vAlign w:val="center"/>
          </w:tcPr>
          <w:p w14:paraId="6DC595F6">
            <w:pPr>
              <w:widowControl/>
              <w:spacing w:line="240" w:lineRule="exact"/>
              <w:jc w:val="left"/>
              <w:rPr>
                <w:rFonts w:hint="eastAsia" w:ascii="宋体" w:hAnsi="宋体" w:eastAsia="宋体" w:cs="宋体"/>
                <w:b/>
                <w:bCs/>
                <w:color w:val="auto"/>
                <w:kern w:val="0"/>
                <w:sz w:val="21"/>
                <w:szCs w:val="21"/>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6AE774D4">
            <w:pPr>
              <w:widowControl/>
              <w:spacing w:line="240" w:lineRule="exact"/>
              <w:jc w:val="left"/>
              <w:rPr>
                <w:rFonts w:hint="eastAsia" w:ascii="宋体" w:hAnsi="宋体" w:eastAsia="宋体" w:cs="宋体"/>
                <w:b/>
                <w:bCs/>
                <w:color w:val="auto"/>
                <w:kern w:val="0"/>
                <w:sz w:val="21"/>
                <w:szCs w:val="21"/>
              </w:rPr>
            </w:pPr>
          </w:p>
        </w:tc>
        <w:tc>
          <w:tcPr>
            <w:tcW w:w="1191" w:type="dxa"/>
            <w:vMerge w:val="continue"/>
            <w:tcBorders>
              <w:top w:val="single" w:color="auto" w:sz="4" w:space="0"/>
              <w:left w:val="single" w:color="auto" w:sz="4" w:space="0"/>
              <w:bottom w:val="single" w:color="auto" w:sz="4" w:space="0"/>
              <w:right w:val="single" w:color="auto" w:sz="4" w:space="0"/>
            </w:tcBorders>
            <w:vAlign w:val="center"/>
          </w:tcPr>
          <w:p w14:paraId="70137BAC">
            <w:pPr>
              <w:widowControl/>
              <w:spacing w:line="240" w:lineRule="exact"/>
              <w:jc w:val="left"/>
              <w:rPr>
                <w:rFonts w:hint="eastAsia" w:ascii="宋体" w:hAnsi="宋体" w:eastAsia="宋体" w:cs="宋体"/>
                <w:b/>
                <w:bCs/>
                <w:color w:val="auto"/>
                <w:kern w:val="0"/>
                <w:sz w:val="21"/>
                <w:szCs w:val="21"/>
              </w:rPr>
            </w:pPr>
          </w:p>
        </w:tc>
        <w:tc>
          <w:tcPr>
            <w:tcW w:w="1589" w:type="dxa"/>
            <w:tcBorders>
              <w:top w:val="nil"/>
              <w:left w:val="nil"/>
              <w:bottom w:val="single" w:color="auto" w:sz="4" w:space="0"/>
              <w:right w:val="single" w:color="auto" w:sz="4" w:space="0"/>
            </w:tcBorders>
            <w:vAlign w:val="center"/>
          </w:tcPr>
          <w:p w14:paraId="20716DEA">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1</w:t>
            </w:r>
          </w:p>
        </w:tc>
        <w:tc>
          <w:tcPr>
            <w:tcW w:w="1589" w:type="dxa"/>
            <w:tcBorders>
              <w:top w:val="nil"/>
              <w:left w:val="nil"/>
              <w:bottom w:val="single" w:color="auto" w:sz="4" w:space="0"/>
              <w:right w:val="single" w:color="auto" w:sz="4" w:space="0"/>
            </w:tcBorders>
            <w:vAlign w:val="center"/>
          </w:tcPr>
          <w:p w14:paraId="154D90A3">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2</w:t>
            </w:r>
          </w:p>
        </w:tc>
      </w:tr>
      <w:tr w14:paraId="504CC492">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0DCFCFC6">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一</w:t>
            </w:r>
          </w:p>
        </w:tc>
        <w:tc>
          <w:tcPr>
            <w:tcW w:w="1664" w:type="dxa"/>
            <w:tcBorders>
              <w:top w:val="nil"/>
              <w:left w:val="nil"/>
              <w:bottom w:val="single" w:color="auto" w:sz="4" w:space="0"/>
              <w:right w:val="single" w:color="auto" w:sz="4" w:space="0"/>
            </w:tcBorders>
            <w:vAlign w:val="center"/>
          </w:tcPr>
          <w:p w14:paraId="6D6895D3">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大黄鱼</w:t>
            </w:r>
          </w:p>
        </w:tc>
        <w:tc>
          <w:tcPr>
            <w:tcW w:w="1059" w:type="dxa"/>
            <w:tcBorders>
              <w:top w:val="nil"/>
              <w:left w:val="nil"/>
              <w:bottom w:val="single" w:color="auto" w:sz="4" w:space="0"/>
              <w:right w:val="single" w:color="auto" w:sz="4" w:space="0"/>
            </w:tcBorders>
            <w:vAlign w:val="center"/>
          </w:tcPr>
          <w:p w14:paraId="1C558786">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160</w:t>
            </w:r>
          </w:p>
        </w:tc>
        <w:tc>
          <w:tcPr>
            <w:tcW w:w="1191" w:type="dxa"/>
            <w:tcBorders>
              <w:top w:val="nil"/>
              <w:left w:val="nil"/>
              <w:bottom w:val="single" w:color="auto" w:sz="4" w:space="0"/>
              <w:right w:val="single" w:color="auto" w:sz="4" w:space="0"/>
            </w:tcBorders>
            <w:vAlign w:val="center"/>
          </w:tcPr>
          <w:p w14:paraId="64A7C1B1">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2</w:t>
            </w:r>
          </w:p>
        </w:tc>
        <w:tc>
          <w:tcPr>
            <w:tcW w:w="1589" w:type="dxa"/>
            <w:tcBorders>
              <w:top w:val="nil"/>
              <w:left w:val="nil"/>
              <w:bottom w:val="single" w:color="auto" w:sz="4" w:space="0"/>
              <w:right w:val="single" w:color="auto" w:sz="4" w:space="0"/>
            </w:tcBorders>
            <w:vAlign w:val="center"/>
          </w:tcPr>
          <w:p w14:paraId="594D9A01">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85</w:t>
            </w:r>
          </w:p>
        </w:tc>
        <w:tc>
          <w:tcPr>
            <w:tcW w:w="1589" w:type="dxa"/>
            <w:tcBorders>
              <w:top w:val="nil"/>
              <w:left w:val="nil"/>
              <w:bottom w:val="single" w:color="auto" w:sz="4" w:space="0"/>
              <w:right w:val="single" w:color="auto" w:sz="4" w:space="0"/>
            </w:tcBorders>
            <w:vAlign w:val="center"/>
          </w:tcPr>
          <w:p w14:paraId="5DFA371F">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lang w:val="en-US" w:eastAsia="zh-CN"/>
              </w:rPr>
              <w:t>75</w:t>
            </w:r>
          </w:p>
        </w:tc>
      </w:tr>
      <w:tr w14:paraId="6459CDCB">
        <w:tblPrEx>
          <w:tblCellMar>
            <w:top w:w="0" w:type="dxa"/>
            <w:left w:w="108" w:type="dxa"/>
            <w:bottom w:w="0" w:type="dxa"/>
            <w:right w:w="108" w:type="dxa"/>
          </w:tblCellMar>
        </w:tblPrEx>
        <w:trPr>
          <w:trHeight w:val="373" w:hRule="atLeast"/>
        </w:trPr>
        <w:tc>
          <w:tcPr>
            <w:tcW w:w="804" w:type="dxa"/>
            <w:tcBorders>
              <w:top w:val="nil"/>
              <w:left w:val="single" w:color="auto" w:sz="4" w:space="0"/>
              <w:bottom w:val="single" w:color="auto" w:sz="4" w:space="0"/>
              <w:right w:val="single" w:color="auto" w:sz="4" w:space="0"/>
            </w:tcBorders>
            <w:vAlign w:val="center"/>
          </w:tcPr>
          <w:p w14:paraId="5E1E79AD">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二</w:t>
            </w:r>
          </w:p>
        </w:tc>
        <w:tc>
          <w:tcPr>
            <w:tcW w:w="1664" w:type="dxa"/>
            <w:tcBorders>
              <w:top w:val="nil"/>
              <w:left w:val="nil"/>
              <w:bottom w:val="single" w:color="auto" w:sz="4" w:space="0"/>
              <w:right w:val="single" w:color="auto" w:sz="4" w:space="0"/>
            </w:tcBorders>
            <w:vAlign w:val="center"/>
          </w:tcPr>
          <w:p w14:paraId="39926243">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曼氏无针乌贼</w:t>
            </w:r>
          </w:p>
        </w:tc>
        <w:tc>
          <w:tcPr>
            <w:tcW w:w="1059" w:type="dxa"/>
            <w:tcBorders>
              <w:top w:val="nil"/>
              <w:left w:val="nil"/>
              <w:bottom w:val="single" w:color="auto" w:sz="4" w:space="0"/>
              <w:right w:val="single" w:color="auto" w:sz="4" w:space="0"/>
            </w:tcBorders>
            <w:vAlign w:val="center"/>
          </w:tcPr>
          <w:p w14:paraId="0C25131D">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100</w:t>
            </w:r>
          </w:p>
        </w:tc>
        <w:tc>
          <w:tcPr>
            <w:tcW w:w="1191" w:type="dxa"/>
            <w:tcBorders>
              <w:top w:val="nil"/>
              <w:left w:val="nil"/>
              <w:bottom w:val="single" w:color="auto" w:sz="4" w:space="0"/>
              <w:right w:val="single" w:color="auto" w:sz="4" w:space="0"/>
            </w:tcBorders>
            <w:vAlign w:val="center"/>
          </w:tcPr>
          <w:p w14:paraId="0B8B7B4D">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rPr>
              <w:t>1</w:t>
            </w:r>
          </w:p>
        </w:tc>
        <w:tc>
          <w:tcPr>
            <w:tcW w:w="1589" w:type="dxa"/>
            <w:tcBorders>
              <w:top w:val="nil"/>
              <w:left w:val="nil"/>
              <w:bottom w:val="single" w:color="auto" w:sz="4" w:space="0"/>
              <w:right w:val="single" w:color="auto" w:sz="4" w:space="0"/>
            </w:tcBorders>
            <w:vAlign w:val="center"/>
          </w:tcPr>
          <w:p w14:paraId="2DAEACAB">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100</w:t>
            </w:r>
          </w:p>
        </w:tc>
        <w:tc>
          <w:tcPr>
            <w:tcW w:w="1589" w:type="dxa"/>
            <w:tcBorders>
              <w:top w:val="nil"/>
              <w:left w:val="nil"/>
              <w:bottom w:val="single" w:color="auto" w:sz="4" w:space="0"/>
              <w:right w:val="single" w:color="auto" w:sz="4" w:space="0"/>
            </w:tcBorders>
            <w:vAlign w:val="center"/>
          </w:tcPr>
          <w:p w14:paraId="04C62F9D">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lang w:val="en-US" w:eastAsia="zh-CN"/>
              </w:rPr>
              <w:t>-</w:t>
            </w:r>
            <w:r>
              <w:rPr>
                <w:rFonts w:hint="eastAsia" w:ascii="宋体" w:hAnsi="宋体" w:cs="宋体"/>
                <w:color w:val="auto"/>
                <w:kern w:val="0"/>
                <w:sz w:val="21"/>
                <w:szCs w:val="21"/>
              </w:rPr>
              <w:t>　</w:t>
            </w:r>
          </w:p>
        </w:tc>
      </w:tr>
      <w:tr w14:paraId="050CC9BA">
        <w:tblPrEx>
          <w:tblCellMar>
            <w:top w:w="0" w:type="dxa"/>
            <w:left w:w="108" w:type="dxa"/>
            <w:bottom w:w="0" w:type="dxa"/>
            <w:right w:w="108" w:type="dxa"/>
          </w:tblCellMar>
        </w:tblPrEx>
        <w:trPr>
          <w:trHeight w:val="281" w:hRule="atLeast"/>
        </w:trPr>
        <w:tc>
          <w:tcPr>
            <w:tcW w:w="804" w:type="dxa"/>
            <w:tcBorders>
              <w:top w:val="nil"/>
              <w:left w:val="single" w:color="auto" w:sz="4" w:space="0"/>
              <w:bottom w:val="single" w:color="auto" w:sz="4" w:space="0"/>
              <w:right w:val="single" w:color="auto" w:sz="4" w:space="0"/>
            </w:tcBorders>
            <w:vAlign w:val="center"/>
          </w:tcPr>
          <w:p w14:paraId="13008223">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三</w:t>
            </w:r>
          </w:p>
        </w:tc>
        <w:tc>
          <w:tcPr>
            <w:tcW w:w="1664" w:type="dxa"/>
            <w:tcBorders>
              <w:top w:val="nil"/>
              <w:left w:val="nil"/>
              <w:bottom w:val="single" w:color="auto" w:sz="4" w:space="0"/>
              <w:right w:val="single" w:color="auto" w:sz="4" w:space="0"/>
            </w:tcBorders>
            <w:vAlign w:val="center"/>
          </w:tcPr>
          <w:p w14:paraId="785CD8A9">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海蜇</w:t>
            </w:r>
          </w:p>
        </w:tc>
        <w:tc>
          <w:tcPr>
            <w:tcW w:w="1059" w:type="dxa"/>
            <w:tcBorders>
              <w:top w:val="nil"/>
              <w:left w:val="nil"/>
              <w:bottom w:val="single" w:color="auto" w:sz="4" w:space="0"/>
              <w:right w:val="single" w:color="auto" w:sz="4" w:space="0"/>
            </w:tcBorders>
            <w:vAlign w:val="center"/>
          </w:tcPr>
          <w:p w14:paraId="3A072B05">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54</w:t>
            </w:r>
          </w:p>
        </w:tc>
        <w:tc>
          <w:tcPr>
            <w:tcW w:w="1191" w:type="dxa"/>
            <w:tcBorders>
              <w:top w:val="nil"/>
              <w:left w:val="nil"/>
              <w:bottom w:val="single" w:color="auto" w:sz="4" w:space="0"/>
              <w:right w:val="single" w:color="auto" w:sz="4" w:space="0"/>
            </w:tcBorders>
            <w:vAlign w:val="center"/>
          </w:tcPr>
          <w:p w14:paraId="415A6A19">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5E8A1081">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30</w:t>
            </w:r>
          </w:p>
        </w:tc>
        <w:tc>
          <w:tcPr>
            <w:tcW w:w="1589" w:type="dxa"/>
            <w:tcBorders>
              <w:top w:val="nil"/>
              <w:left w:val="nil"/>
              <w:bottom w:val="single" w:color="auto" w:sz="4" w:space="0"/>
              <w:right w:val="single" w:color="auto" w:sz="4" w:space="0"/>
            </w:tcBorders>
            <w:vAlign w:val="center"/>
          </w:tcPr>
          <w:p w14:paraId="2FD2AD11">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24</w:t>
            </w:r>
          </w:p>
        </w:tc>
      </w:tr>
      <w:tr w14:paraId="30529D06">
        <w:tblPrEx>
          <w:tblCellMar>
            <w:top w:w="0" w:type="dxa"/>
            <w:left w:w="108" w:type="dxa"/>
            <w:bottom w:w="0" w:type="dxa"/>
            <w:right w:w="108" w:type="dxa"/>
          </w:tblCellMar>
        </w:tblPrEx>
        <w:trPr>
          <w:trHeight w:val="341" w:hRule="atLeast"/>
        </w:trPr>
        <w:tc>
          <w:tcPr>
            <w:tcW w:w="804" w:type="dxa"/>
            <w:tcBorders>
              <w:top w:val="nil"/>
              <w:left w:val="single" w:color="auto" w:sz="4" w:space="0"/>
              <w:bottom w:val="single" w:color="auto" w:sz="4" w:space="0"/>
              <w:right w:val="single" w:color="auto" w:sz="4" w:space="0"/>
            </w:tcBorders>
            <w:vAlign w:val="center"/>
          </w:tcPr>
          <w:p w14:paraId="386008F7">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四</w:t>
            </w:r>
          </w:p>
        </w:tc>
        <w:tc>
          <w:tcPr>
            <w:tcW w:w="1664" w:type="dxa"/>
            <w:tcBorders>
              <w:top w:val="nil"/>
              <w:left w:val="nil"/>
              <w:bottom w:val="single" w:color="auto" w:sz="4" w:space="0"/>
              <w:right w:val="single" w:color="auto" w:sz="4" w:space="0"/>
            </w:tcBorders>
            <w:vAlign w:val="center"/>
          </w:tcPr>
          <w:p w14:paraId="039C4A99">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黑鲷</w:t>
            </w:r>
          </w:p>
        </w:tc>
        <w:tc>
          <w:tcPr>
            <w:tcW w:w="1059" w:type="dxa"/>
            <w:tcBorders>
              <w:top w:val="nil"/>
              <w:left w:val="nil"/>
              <w:bottom w:val="single" w:color="auto" w:sz="4" w:space="0"/>
              <w:right w:val="single" w:color="auto" w:sz="4" w:space="0"/>
            </w:tcBorders>
            <w:vAlign w:val="center"/>
          </w:tcPr>
          <w:p w14:paraId="3D5CC145">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125</w:t>
            </w:r>
          </w:p>
        </w:tc>
        <w:tc>
          <w:tcPr>
            <w:tcW w:w="1191" w:type="dxa"/>
            <w:tcBorders>
              <w:top w:val="nil"/>
              <w:left w:val="nil"/>
              <w:bottom w:val="single" w:color="auto" w:sz="4" w:space="0"/>
              <w:right w:val="single" w:color="auto" w:sz="4" w:space="0"/>
            </w:tcBorders>
            <w:vAlign w:val="center"/>
          </w:tcPr>
          <w:p w14:paraId="27D28159">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7522F73C">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65</w:t>
            </w:r>
          </w:p>
        </w:tc>
        <w:tc>
          <w:tcPr>
            <w:tcW w:w="1589" w:type="dxa"/>
            <w:tcBorders>
              <w:top w:val="nil"/>
              <w:left w:val="nil"/>
              <w:bottom w:val="single" w:color="auto" w:sz="4" w:space="0"/>
              <w:right w:val="single" w:color="auto" w:sz="4" w:space="0"/>
            </w:tcBorders>
            <w:vAlign w:val="center"/>
          </w:tcPr>
          <w:p w14:paraId="14189AF5">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60</w:t>
            </w:r>
          </w:p>
        </w:tc>
      </w:tr>
      <w:tr w14:paraId="652F06FB">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4D07D752">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五</w:t>
            </w:r>
          </w:p>
        </w:tc>
        <w:tc>
          <w:tcPr>
            <w:tcW w:w="1664" w:type="dxa"/>
            <w:tcBorders>
              <w:top w:val="nil"/>
              <w:left w:val="nil"/>
              <w:bottom w:val="single" w:color="auto" w:sz="4" w:space="0"/>
              <w:right w:val="single" w:color="auto" w:sz="4" w:space="0"/>
            </w:tcBorders>
            <w:vAlign w:val="center"/>
          </w:tcPr>
          <w:p w14:paraId="3CB456D6">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黄姑鱼</w:t>
            </w:r>
          </w:p>
        </w:tc>
        <w:tc>
          <w:tcPr>
            <w:tcW w:w="1059" w:type="dxa"/>
            <w:tcBorders>
              <w:top w:val="nil"/>
              <w:left w:val="nil"/>
              <w:bottom w:val="single" w:color="auto" w:sz="4" w:space="0"/>
              <w:right w:val="single" w:color="auto" w:sz="4" w:space="0"/>
            </w:tcBorders>
            <w:vAlign w:val="center"/>
          </w:tcPr>
          <w:p w14:paraId="1105DBDB">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32</w:t>
            </w:r>
          </w:p>
        </w:tc>
        <w:tc>
          <w:tcPr>
            <w:tcW w:w="1191" w:type="dxa"/>
            <w:tcBorders>
              <w:top w:val="nil"/>
              <w:left w:val="nil"/>
              <w:bottom w:val="single" w:color="auto" w:sz="4" w:space="0"/>
              <w:right w:val="single" w:color="auto" w:sz="4" w:space="0"/>
            </w:tcBorders>
            <w:vAlign w:val="center"/>
          </w:tcPr>
          <w:p w14:paraId="7F367473">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1</w:t>
            </w:r>
          </w:p>
        </w:tc>
        <w:tc>
          <w:tcPr>
            <w:tcW w:w="1589" w:type="dxa"/>
            <w:tcBorders>
              <w:top w:val="nil"/>
              <w:left w:val="nil"/>
              <w:bottom w:val="single" w:color="auto" w:sz="4" w:space="0"/>
              <w:right w:val="single" w:color="auto" w:sz="4" w:space="0"/>
            </w:tcBorders>
            <w:vAlign w:val="center"/>
          </w:tcPr>
          <w:p w14:paraId="29239D06">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32</w:t>
            </w:r>
          </w:p>
        </w:tc>
        <w:tc>
          <w:tcPr>
            <w:tcW w:w="1589" w:type="dxa"/>
            <w:tcBorders>
              <w:top w:val="nil"/>
              <w:left w:val="nil"/>
              <w:bottom w:val="single" w:color="auto" w:sz="4" w:space="0"/>
              <w:right w:val="single" w:color="auto" w:sz="4" w:space="0"/>
            </w:tcBorders>
            <w:vAlign w:val="center"/>
          </w:tcPr>
          <w:p w14:paraId="1DB7BB18">
            <w:pPr>
              <w:widowControl/>
              <w:jc w:val="left"/>
              <w:rPr>
                <w:rFonts w:hint="default"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en-US" w:eastAsia="zh-CN"/>
              </w:rPr>
              <w:t xml:space="preserve">      -</w:t>
            </w:r>
          </w:p>
        </w:tc>
      </w:tr>
      <w:tr w14:paraId="5CBFB53E">
        <w:tblPrEx>
          <w:tblCellMar>
            <w:top w:w="0" w:type="dxa"/>
            <w:left w:w="108" w:type="dxa"/>
            <w:bottom w:w="0" w:type="dxa"/>
            <w:right w:w="108" w:type="dxa"/>
          </w:tblCellMar>
        </w:tblPrEx>
        <w:trPr>
          <w:trHeight w:val="311" w:hRule="atLeast"/>
        </w:trPr>
        <w:tc>
          <w:tcPr>
            <w:tcW w:w="804" w:type="dxa"/>
            <w:tcBorders>
              <w:top w:val="nil"/>
              <w:left w:val="single" w:color="auto" w:sz="4" w:space="0"/>
              <w:bottom w:val="single" w:color="auto" w:sz="4" w:space="0"/>
              <w:right w:val="single" w:color="auto" w:sz="4" w:space="0"/>
            </w:tcBorders>
            <w:vAlign w:val="center"/>
          </w:tcPr>
          <w:p w14:paraId="33178E8A">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六</w:t>
            </w:r>
          </w:p>
        </w:tc>
        <w:tc>
          <w:tcPr>
            <w:tcW w:w="1664" w:type="dxa"/>
            <w:tcBorders>
              <w:top w:val="nil"/>
              <w:left w:val="nil"/>
              <w:bottom w:val="single" w:color="auto" w:sz="4" w:space="0"/>
              <w:right w:val="single" w:color="auto" w:sz="4" w:space="0"/>
            </w:tcBorders>
            <w:vAlign w:val="center"/>
          </w:tcPr>
          <w:p w14:paraId="49095553">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三疣梭子蟹</w:t>
            </w:r>
          </w:p>
        </w:tc>
        <w:tc>
          <w:tcPr>
            <w:tcW w:w="1059" w:type="dxa"/>
            <w:tcBorders>
              <w:top w:val="nil"/>
              <w:left w:val="nil"/>
              <w:bottom w:val="single" w:color="auto" w:sz="4" w:space="0"/>
              <w:right w:val="single" w:color="auto" w:sz="4" w:space="0"/>
            </w:tcBorders>
            <w:vAlign w:val="center"/>
          </w:tcPr>
          <w:p w14:paraId="79779CCF">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51</w:t>
            </w:r>
          </w:p>
        </w:tc>
        <w:tc>
          <w:tcPr>
            <w:tcW w:w="1191" w:type="dxa"/>
            <w:tcBorders>
              <w:top w:val="nil"/>
              <w:left w:val="nil"/>
              <w:bottom w:val="single" w:color="auto" w:sz="4" w:space="0"/>
              <w:right w:val="single" w:color="auto" w:sz="4" w:space="0"/>
            </w:tcBorders>
            <w:vAlign w:val="center"/>
          </w:tcPr>
          <w:p w14:paraId="32F51C50">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2</w:t>
            </w:r>
          </w:p>
        </w:tc>
        <w:tc>
          <w:tcPr>
            <w:tcW w:w="1589" w:type="dxa"/>
            <w:tcBorders>
              <w:top w:val="nil"/>
              <w:left w:val="nil"/>
              <w:bottom w:val="single" w:color="auto" w:sz="4" w:space="0"/>
              <w:right w:val="single" w:color="auto" w:sz="4" w:space="0"/>
            </w:tcBorders>
            <w:vAlign w:val="center"/>
          </w:tcPr>
          <w:p w14:paraId="2BA2B4C7">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28</w:t>
            </w:r>
          </w:p>
        </w:tc>
        <w:tc>
          <w:tcPr>
            <w:tcW w:w="1589" w:type="dxa"/>
            <w:tcBorders>
              <w:top w:val="nil"/>
              <w:left w:val="nil"/>
              <w:bottom w:val="single" w:color="auto" w:sz="4" w:space="0"/>
              <w:right w:val="single" w:color="auto" w:sz="4" w:space="0"/>
            </w:tcBorders>
            <w:vAlign w:val="center"/>
          </w:tcPr>
          <w:p w14:paraId="308CB703">
            <w:pPr>
              <w:widowControl/>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highlight w:val="none"/>
                <w:lang w:val="en-US" w:eastAsia="zh-CN"/>
              </w:rPr>
              <w:t>23</w:t>
            </w:r>
          </w:p>
        </w:tc>
      </w:tr>
      <w:tr w14:paraId="2106161F">
        <w:tblPrEx>
          <w:tblCellMar>
            <w:top w:w="0" w:type="dxa"/>
            <w:left w:w="108" w:type="dxa"/>
            <w:bottom w:w="0" w:type="dxa"/>
            <w:right w:w="108" w:type="dxa"/>
          </w:tblCellMar>
        </w:tblPrEx>
        <w:trPr>
          <w:trHeight w:val="352" w:hRule="atLeast"/>
        </w:trPr>
        <w:tc>
          <w:tcPr>
            <w:tcW w:w="804" w:type="dxa"/>
            <w:tcBorders>
              <w:top w:val="nil"/>
              <w:left w:val="single" w:color="auto" w:sz="4" w:space="0"/>
              <w:bottom w:val="single" w:color="auto" w:sz="4" w:space="0"/>
              <w:right w:val="single" w:color="auto" w:sz="4" w:space="0"/>
            </w:tcBorders>
            <w:vAlign w:val="center"/>
          </w:tcPr>
          <w:p w14:paraId="6CF09E98">
            <w:pPr>
              <w:widowControl/>
              <w:spacing w:line="240" w:lineRule="exact"/>
              <w:jc w:val="center"/>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七</w:t>
            </w:r>
          </w:p>
        </w:tc>
        <w:tc>
          <w:tcPr>
            <w:tcW w:w="1664" w:type="dxa"/>
            <w:tcBorders>
              <w:top w:val="nil"/>
              <w:left w:val="nil"/>
              <w:bottom w:val="single" w:color="auto" w:sz="4" w:space="0"/>
              <w:right w:val="single" w:color="auto" w:sz="4" w:space="0"/>
            </w:tcBorders>
            <w:vAlign w:val="center"/>
          </w:tcPr>
          <w:p w14:paraId="6AAF9D50">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褐菖鲉</w:t>
            </w:r>
          </w:p>
        </w:tc>
        <w:tc>
          <w:tcPr>
            <w:tcW w:w="1059" w:type="dxa"/>
            <w:tcBorders>
              <w:top w:val="nil"/>
              <w:left w:val="nil"/>
              <w:bottom w:val="single" w:color="auto" w:sz="4" w:space="0"/>
              <w:right w:val="single" w:color="auto" w:sz="4" w:space="0"/>
            </w:tcBorders>
            <w:vAlign w:val="center"/>
          </w:tcPr>
          <w:p w14:paraId="5F061D14">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40</w:t>
            </w:r>
          </w:p>
        </w:tc>
        <w:tc>
          <w:tcPr>
            <w:tcW w:w="1191" w:type="dxa"/>
            <w:tcBorders>
              <w:top w:val="nil"/>
              <w:left w:val="nil"/>
              <w:bottom w:val="single" w:color="auto" w:sz="4" w:space="0"/>
              <w:right w:val="single" w:color="auto" w:sz="4" w:space="0"/>
            </w:tcBorders>
            <w:vAlign w:val="center"/>
          </w:tcPr>
          <w:p w14:paraId="659DF2BB">
            <w:pPr>
              <w:widowControl/>
              <w:spacing w:line="240" w:lineRule="exact"/>
              <w:jc w:val="center"/>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1</w:t>
            </w:r>
          </w:p>
        </w:tc>
        <w:tc>
          <w:tcPr>
            <w:tcW w:w="1589" w:type="dxa"/>
            <w:tcBorders>
              <w:top w:val="nil"/>
              <w:left w:val="nil"/>
              <w:bottom w:val="single" w:color="auto" w:sz="4" w:space="0"/>
              <w:right w:val="single" w:color="auto" w:sz="4" w:space="0"/>
            </w:tcBorders>
            <w:vAlign w:val="center"/>
          </w:tcPr>
          <w:p w14:paraId="414F1D50">
            <w:pPr>
              <w:widowControl/>
              <w:jc w:val="center"/>
              <w:rPr>
                <w:rFonts w:hint="eastAsia" w:ascii="宋体" w:hAnsi="宋体" w:eastAsia="宋体" w:cs="宋体"/>
                <w:bCs/>
                <w:color w:val="auto"/>
                <w:kern w:val="0"/>
                <w:sz w:val="21"/>
                <w:szCs w:val="21"/>
              </w:rPr>
            </w:pPr>
            <w:r>
              <w:rPr>
                <w:rFonts w:hint="eastAsia" w:ascii="宋体" w:hAnsi="宋体" w:cs="宋体"/>
                <w:color w:val="auto"/>
                <w:kern w:val="0"/>
                <w:sz w:val="21"/>
                <w:szCs w:val="21"/>
                <w:highlight w:val="none"/>
                <w:lang w:val="en-US" w:eastAsia="zh-CN"/>
              </w:rPr>
              <w:t>40</w:t>
            </w:r>
          </w:p>
        </w:tc>
        <w:tc>
          <w:tcPr>
            <w:tcW w:w="1589" w:type="dxa"/>
            <w:tcBorders>
              <w:top w:val="nil"/>
              <w:left w:val="nil"/>
              <w:bottom w:val="single" w:color="auto" w:sz="4" w:space="0"/>
              <w:right w:val="single" w:color="auto" w:sz="4" w:space="0"/>
            </w:tcBorders>
            <w:vAlign w:val="center"/>
          </w:tcPr>
          <w:p w14:paraId="0120F9BC">
            <w:pPr>
              <w:widowControl/>
              <w:jc w:val="center"/>
              <w:rPr>
                <w:rFonts w:hint="eastAsia" w:ascii="宋体" w:hAnsi="宋体" w:eastAsia="宋体" w:cs="宋体"/>
                <w:bCs/>
                <w:color w:val="auto"/>
                <w:kern w:val="0"/>
                <w:sz w:val="21"/>
                <w:szCs w:val="21"/>
                <w:lang w:val="en-US" w:eastAsia="zh-CN"/>
              </w:rPr>
            </w:pPr>
            <w:r>
              <w:rPr>
                <w:rFonts w:hint="eastAsia" w:ascii="宋体" w:hAnsi="宋体" w:eastAsia="宋体" w:cs="宋体"/>
                <w:bCs/>
                <w:color w:val="auto"/>
                <w:kern w:val="0"/>
                <w:sz w:val="21"/>
                <w:szCs w:val="21"/>
                <w:lang w:val="en-US" w:eastAsia="zh-CN"/>
              </w:rPr>
              <w:t>-</w:t>
            </w:r>
          </w:p>
        </w:tc>
      </w:tr>
    </w:tbl>
    <w:p w14:paraId="004D687A">
      <w:pPr>
        <w:spacing w:line="288" w:lineRule="auto"/>
        <w:ind w:right="-341"/>
        <w:jc w:val="center"/>
        <w:rPr>
          <w:rFonts w:hint="eastAsia"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2025年普陀区水生生物增殖放流项目评分表</w:t>
      </w:r>
    </w:p>
    <w:p w14:paraId="074411C3">
      <w:pPr>
        <w:spacing w:line="288" w:lineRule="auto"/>
        <w:ind w:right="-341"/>
        <w:jc w:val="center"/>
        <w:rPr>
          <w:rFonts w:hint="eastAsia" w:ascii="Times New Roman" w:hAnsi="Times New Roman" w:eastAsia="宋体" w:cs="Times New Roman"/>
          <w:b/>
          <w:color w:val="auto"/>
          <w:sz w:val="24"/>
          <w:szCs w:val="24"/>
        </w:rPr>
      </w:pPr>
    </w:p>
    <w:p w14:paraId="5CD3E7C8">
      <w:pPr>
        <w:spacing w:line="288" w:lineRule="auto"/>
        <w:ind w:right="-341"/>
        <w:jc w:val="center"/>
        <w:rPr>
          <w:rFonts w:hint="eastAsia" w:ascii="Times New Roman" w:hAnsi="Times New Roman" w:eastAsia="宋体" w:cs="Times New Roman"/>
          <w:b/>
          <w:color w:val="auto"/>
          <w:sz w:val="24"/>
          <w:szCs w:val="24"/>
        </w:rPr>
      </w:pPr>
    </w:p>
    <w:tbl>
      <w:tblPr>
        <w:tblStyle w:val="60"/>
        <w:tblW w:w="10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3"/>
        <w:gridCol w:w="1470"/>
        <w:gridCol w:w="7152"/>
        <w:gridCol w:w="672"/>
      </w:tblGrid>
      <w:tr w14:paraId="294E8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1303" w:type="dxa"/>
            <w:vAlign w:val="center"/>
          </w:tcPr>
          <w:p w14:paraId="7B985B53">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宋体" w:eastAsia="宋体" w:cs="Times New Roman"/>
                <w:color w:val="auto"/>
              </w:rPr>
              <w:t>评审项目</w:t>
            </w:r>
          </w:p>
        </w:tc>
        <w:tc>
          <w:tcPr>
            <w:tcW w:w="1470" w:type="dxa"/>
            <w:vAlign w:val="center"/>
          </w:tcPr>
          <w:p w14:paraId="42EEE26E">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宋体" w:eastAsia="宋体" w:cs="Times New Roman"/>
                <w:color w:val="auto"/>
              </w:rPr>
              <w:t>评审内容</w:t>
            </w:r>
          </w:p>
        </w:tc>
        <w:tc>
          <w:tcPr>
            <w:tcW w:w="7152" w:type="dxa"/>
            <w:vAlign w:val="center"/>
          </w:tcPr>
          <w:p w14:paraId="1C6E526D">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宋体" w:eastAsia="宋体" w:cs="Times New Roman"/>
                <w:color w:val="auto"/>
              </w:rPr>
              <w:t>评分标准</w:t>
            </w:r>
          </w:p>
        </w:tc>
        <w:tc>
          <w:tcPr>
            <w:tcW w:w="672" w:type="dxa"/>
            <w:vAlign w:val="center"/>
          </w:tcPr>
          <w:p w14:paraId="68D91174">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宋体" w:eastAsia="宋体" w:cs="Times New Roman"/>
                <w:color w:val="auto"/>
              </w:rPr>
              <w:t>得分</w:t>
            </w:r>
          </w:p>
        </w:tc>
      </w:tr>
      <w:tr w14:paraId="548B0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303" w:type="dxa"/>
            <w:vMerge w:val="restart"/>
            <w:vAlign w:val="center"/>
          </w:tcPr>
          <w:p w14:paraId="1EC9CEA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Times New Roman" w:eastAsia="宋体" w:cs="Times New Roman"/>
                <w:color w:val="auto"/>
              </w:rPr>
              <w:t>商务技术得分</w:t>
            </w:r>
          </w:p>
          <w:p w14:paraId="6C99A9B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hint="eastAsia" w:ascii="宋体" w:hAnsi="Times New Roman" w:eastAsia="宋体" w:cs="Times New Roman"/>
                <w:color w:val="auto"/>
              </w:rPr>
              <w:t>（6</w:t>
            </w:r>
            <w:r>
              <w:rPr>
                <w:rFonts w:ascii="宋体" w:hAnsi="Times New Roman" w:eastAsia="宋体" w:cs="Times New Roman"/>
                <w:color w:val="auto"/>
              </w:rPr>
              <w:t>5</w:t>
            </w:r>
            <w:r>
              <w:rPr>
                <w:rFonts w:hint="eastAsia" w:ascii="宋体" w:hAnsi="Times New Roman" w:eastAsia="宋体" w:cs="Times New Roman"/>
                <w:color w:val="auto"/>
              </w:rPr>
              <w:t>分）</w:t>
            </w:r>
          </w:p>
        </w:tc>
        <w:tc>
          <w:tcPr>
            <w:tcW w:w="1470" w:type="dxa"/>
            <w:vAlign w:val="center"/>
          </w:tcPr>
          <w:p w14:paraId="368FF56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szCs w:val="21"/>
              </w:rPr>
              <w:t>同类型项目业绩</w:t>
            </w:r>
          </w:p>
          <w:p w14:paraId="7C83BD0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szCs w:val="21"/>
              </w:rPr>
              <w:t>（3分）</w:t>
            </w:r>
          </w:p>
        </w:tc>
        <w:tc>
          <w:tcPr>
            <w:tcW w:w="7152" w:type="dxa"/>
            <w:vAlign w:val="center"/>
          </w:tcPr>
          <w:p w14:paraId="66C11CB8">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仿宋"/>
                <w:color w:val="auto"/>
                <w:szCs w:val="21"/>
              </w:rPr>
            </w:pPr>
            <w:r>
              <w:rPr>
                <w:rFonts w:hint="eastAsia" w:ascii="宋体" w:hAnsi="宋体" w:eastAsia="宋体" w:cs="仿宋"/>
                <w:color w:val="auto"/>
                <w:szCs w:val="21"/>
              </w:rPr>
              <w:t>提供20</w:t>
            </w:r>
            <w:r>
              <w:rPr>
                <w:rFonts w:ascii="宋体" w:hAnsi="宋体" w:eastAsia="宋体" w:cs="仿宋"/>
                <w:color w:val="auto"/>
                <w:szCs w:val="21"/>
              </w:rPr>
              <w:t>2</w:t>
            </w:r>
            <w:r>
              <w:rPr>
                <w:rFonts w:hint="eastAsia" w:ascii="宋体" w:hAnsi="宋体" w:eastAsia="宋体" w:cs="仿宋"/>
                <w:color w:val="auto"/>
                <w:szCs w:val="21"/>
              </w:rPr>
              <w:t>2年1月以来完成增殖放流同种苗业绩，每提供1个合同得</w:t>
            </w:r>
            <w:r>
              <w:rPr>
                <w:rFonts w:ascii="宋体" w:hAnsi="宋体" w:eastAsia="宋体" w:cs="仿宋"/>
                <w:color w:val="auto"/>
                <w:szCs w:val="21"/>
              </w:rPr>
              <w:t>1</w:t>
            </w:r>
            <w:r>
              <w:rPr>
                <w:rFonts w:hint="eastAsia" w:ascii="宋体" w:hAnsi="宋体" w:eastAsia="宋体" w:cs="仿宋"/>
                <w:color w:val="auto"/>
                <w:szCs w:val="21"/>
              </w:rPr>
              <w:t>.5分，最多得3分。（须提供合同及放流证明复印件加盖公章</w:t>
            </w:r>
            <w:r>
              <w:rPr>
                <w:rFonts w:ascii="宋体" w:hAnsi="宋体" w:eastAsia="宋体" w:cs="仿宋"/>
                <w:color w:val="auto"/>
                <w:szCs w:val="21"/>
              </w:rPr>
              <w:t>,否则不得分。）</w:t>
            </w:r>
          </w:p>
        </w:tc>
        <w:tc>
          <w:tcPr>
            <w:tcW w:w="672" w:type="dxa"/>
            <w:vAlign w:val="center"/>
          </w:tcPr>
          <w:p w14:paraId="5E1CE83F">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hint="eastAsia" w:ascii="宋体" w:hAnsi="Times New Roman" w:eastAsia="宋体" w:cs="Times New Roman"/>
                <w:color w:val="auto"/>
                <w:lang w:val="en-US" w:eastAsia="zh-CN"/>
              </w:rPr>
            </w:pPr>
            <w:r>
              <w:rPr>
                <w:rFonts w:hint="eastAsia" w:ascii="宋体" w:hAnsi="Times New Roman" w:eastAsia="宋体" w:cs="Times New Roman"/>
                <w:color w:val="auto"/>
                <w:lang w:val="en-US" w:eastAsia="zh-CN"/>
              </w:rPr>
              <w:t xml:space="preserve"> </w:t>
            </w:r>
          </w:p>
        </w:tc>
      </w:tr>
      <w:tr w14:paraId="7E381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303" w:type="dxa"/>
            <w:vMerge w:val="continue"/>
            <w:vAlign w:val="center"/>
          </w:tcPr>
          <w:p w14:paraId="67440BC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p>
        </w:tc>
        <w:tc>
          <w:tcPr>
            <w:tcW w:w="1470" w:type="dxa"/>
            <w:vAlign w:val="center"/>
          </w:tcPr>
          <w:p w14:paraId="7C34DF80">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s="仿宋"/>
                <w:color w:val="auto"/>
                <w:szCs w:val="21"/>
              </w:rPr>
            </w:pPr>
            <w:r>
              <w:rPr>
                <w:rFonts w:hint="eastAsia" w:ascii="宋体" w:hAnsi="宋体" w:eastAsia="宋体" w:cs="仿宋"/>
                <w:color w:val="auto"/>
                <w:szCs w:val="21"/>
              </w:rPr>
              <w:t>放流服务能力（</w:t>
            </w:r>
            <w:r>
              <w:rPr>
                <w:rFonts w:ascii="宋体" w:hAnsi="宋体" w:eastAsia="宋体" w:cs="仿宋"/>
                <w:color w:val="auto"/>
                <w:szCs w:val="21"/>
              </w:rPr>
              <w:t>1</w:t>
            </w:r>
            <w:r>
              <w:rPr>
                <w:rFonts w:hint="eastAsia" w:ascii="宋体" w:hAnsi="宋体" w:eastAsia="宋体" w:cs="仿宋"/>
                <w:color w:val="auto"/>
                <w:szCs w:val="21"/>
              </w:rPr>
              <w:t>2分）</w:t>
            </w:r>
          </w:p>
        </w:tc>
        <w:tc>
          <w:tcPr>
            <w:tcW w:w="7152" w:type="dxa"/>
            <w:vAlign w:val="center"/>
          </w:tcPr>
          <w:p w14:paraId="1F343EF9">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仿宋"/>
                <w:color w:val="auto"/>
                <w:szCs w:val="21"/>
              </w:rPr>
            </w:pPr>
            <w:r>
              <w:rPr>
                <w:rFonts w:hint="eastAsia" w:ascii="宋体" w:hAnsi="宋体" w:eastAsia="宋体" w:cs="仿宋"/>
                <w:color w:val="auto"/>
                <w:szCs w:val="21"/>
              </w:rPr>
              <w:t>从供货单位的生产种苗基地到规定放流海域之间的种苗运输时间：</w:t>
            </w:r>
            <w:r>
              <w:rPr>
                <w:rFonts w:ascii="宋体" w:hAnsi="宋体" w:eastAsia="宋体" w:cs="仿宋"/>
                <w:color w:val="auto"/>
                <w:szCs w:val="21"/>
              </w:rPr>
              <w:t>2</w:t>
            </w:r>
            <w:r>
              <w:rPr>
                <w:rFonts w:hint="eastAsia" w:ascii="宋体" w:hAnsi="宋体" w:eastAsia="宋体" w:cs="仿宋"/>
                <w:color w:val="auto"/>
                <w:szCs w:val="21"/>
              </w:rPr>
              <w:t>小时内（含）能到达的得12分，每增加半个小时（含）扣1分，扣完为止。</w:t>
            </w:r>
          </w:p>
          <w:p w14:paraId="5321C516">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仿宋"/>
                <w:color w:val="auto"/>
                <w:szCs w:val="21"/>
              </w:rPr>
            </w:pPr>
            <w:r>
              <w:rPr>
                <w:rFonts w:hint="eastAsia" w:ascii="宋体" w:hAnsi="宋体" w:eastAsia="宋体" w:cs="仿宋"/>
                <w:b/>
                <w:color w:val="auto"/>
                <w:szCs w:val="21"/>
              </w:rPr>
              <w:t>（须承诺且提供相关证明文件，无承诺或未提供相关证明文件都不得分。</w:t>
            </w:r>
            <w:r>
              <w:rPr>
                <w:rFonts w:hint="eastAsia" w:ascii="宋体" w:hAnsi="宋体" w:eastAsia="宋体" w:cs="Times New Roman"/>
                <w:b/>
                <w:color w:val="auto"/>
              </w:rPr>
              <w:t>虚假承诺者做无效标处理，并承担相关责任且不能参与本单位下一年度投标。</w:t>
            </w:r>
            <w:r>
              <w:rPr>
                <w:rFonts w:hint="eastAsia" w:ascii="宋体" w:hAnsi="宋体" w:eastAsia="宋体" w:cs="仿宋"/>
                <w:b/>
                <w:color w:val="auto"/>
                <w:szCs w:val="21"/>
              </w:rPr>
              <w:t>）</w:t>
            </w:r>
          </w:p>
        </w:tc>
        <w:tc>
          <w:tcPr>
            <w:tcW w:w="672" w:type="dxa"/>
            <w:vAlign w:val="center"/>
          </w:tcPr>
          <w:p w14:paraId="37A6D56D">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r>
              <w:rPr>
                <w:rFonts w:hint="eastAsia" w:ascii="宋体" w:hAnsi="Times New Roman" w:eastAsia="宋体" w:cs="Times New Roman"/>
                <w:color w:val="auto"/>
                <w:lang w:val="en-US" w:eastAsia="zh-CN"/>
              </w:rPr>
              <w:t xml:space="preserve"> </w:t>
            </w:r>
          </w:p>
        </w:tc>
      </w:tr>
      <w:tr w14:paraId="7959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303" w:type="dxa"/>
            <w:vMerge w:val="continue"/>
            <w:vAlign w:val="center"/>
          </w:tcPr>
          <w:p w14:paraId="0214D8E1">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Times New Roman"/>
                <w:color w:val="auto"/>
              </w:rPr>
            </w:pPr>
          </w:p>
        </w:tc>
        <w:tc>
          <w:tcPr>
            <w:tcW w:w="1470" w:type="dxa"/>
            <w:vAlign w:val="center"/>
          </w:tcPr>
          <w:p w14:paraId="704579C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kern w:val="0"/>
                <w:szCs w:val="21"/>
              </w:rPr>
              <w:t>苗种运输及放流组织方案（6分）</w:t>
            </w:r>
          </w:p>
        </w:tc>
        <w:tc>
          <w:tcPr>
            <w:tcW w:w="7152" w:type="dxa"/>
            <w:vAlign w:val="center"/>
          </w:tcPr>
          <w:p w14:paraId="71A32A83">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方案完整合理的，得6分；</w:t>
            </w:r>
          </w:p>
          <w:p w14:paraId="3DA0BDBA">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方案基本合理的，得4分；</w:t>
            </w:r>
          </w:p>
          <w:p w14:paraId="5B41B4C3">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仿宋"/>
                <w:b/>
                <w:color w:val="auto"/>
                <w:szCs w:val="21"/>
              </w:rPr>
            </w:pPr>
            <w:r>
              <w:rPr>
                <w:rFonts w:hint="eastAsia" w:ascii="宋体" w:hAnsi="宋体" w:eastAsia="宋体" w:cs="仿宋"/>
                <w:color w:val="auto"/>
                <w:kern w:val="0"/>
                <w:szCs w:val="21"/>
              </w:rPr>
              <w:t>方案不够合理的，得2分；方案不合理的不得分。</w:t>
            </w:r>
          </w:p>
        </w:tc>
        <w:tc>
          <w:tcPr>
            <w:tcW w:w="672" w:type="dxa"/>
            <w:vAlign w:val="center"/>
          </w:tcPr>
          <w:p w14:paraId="2CC8E6F2">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72D5B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303" w:type="dxa"/>
            <w:vMerge w:val="continue"/>
            <w:vAlign w:val="center"/>
          </w:tcPr>
          <w:p w14:paraId="795C48D3">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Times New Roman"/>
                <w:color w:val="auto"/>
              </w:rPr>
            </w:pPr>
          </w:p>
        </w:tc>
        <w:tc>
          <w:tcPr>
            <w:tcW w:w="1470" w:type="dxa"/>
            <w:vAlign w:val="center"/>
          </w:tcPr>
          <w:p w14:paraId="6B4042AB">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szCs w:val="21"/>
              </w:rPr>
              <w:t>合同履约情况，技术支撑情况，放流沟通、海域熟悉情况（11分）</w:t>
            </w:r>
          </w:p>
        </w:tc>
        <w:tc>
          <w:tcPr>
            <w:tcW w:w="7152" w:type="dxa"/>
            <w:vAlign w:val="center"/>
          </w:tcPr>
          <w:p w14:paraId="0F6E8E14">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仿宋"/>
                <w:color w:val="auto"/>
                <w:kern w:val="0"/>
                <w:szCs w:val="21"/>
              </w:rPr>
            </w:pPr>
            <w:r>
              <w:rPr>
                <w:rFonts w:hint="eastAsia" w:ascii="宋体" w:hAnsi="宋体" w:eastAsia="宋体" w:cs="仿宋"/>
                <w:color w:val="auto"/>
                <w:szCs w:val="21"/>
              </w:rPr>
              <w:t>合同履约及放流沟通情况能完全满足放流要求，对相关放流海域熟悉的，得11分；合同履约及放流沟通情况能基本满足放流要求，对相关放流海域熟悉的，得</w:t>
            </w:r>
            <w:r>
              <w:rPr>
                <w:rFonts w:ascii="宋体" w:hAnsi="宋体" w:eastAsia="宋体" w:cs="仿宋"/>
                <w:color w:val="auto"/>
                <w:szCs w:val="21"/>
              </w:rPr>
              <w:t>6</w:t>
            </w:r>
            <w:r>
              <w:rPr>
                <w:rFonts w:hint="eastAsia" w:ascii="宋体" w:hAnsi="宋体" w:eastAsia="宋体" w:cs="仿宋"/>
                <w:color w:val="auto"/>
                <w:szCs w:val="21"/>
              </w:rPr>
              <w:t>分；合同履约及放流沟通情况仅能基本满足放流要求，对相关放流海域不够熟悉的；得</w:t>
            </w:r>
            <w:r>
              <w:rPr>
                <w:rFonts w:ascii="宋体" w:hAnsi="宋体" w:eastAsia="宋体" w:cs="仿宋"/>
                <w:color w:val="auto"/>
                <w:szCs w:val="21"/>
              </w:rPr>
              <w:t>2</w:t>
            </w:r>
            <w:r>
              <w:rPr>
                <w:rFonts w:hint="eastAsia" w:ascii="宋体" w:hAnsi="宋体" w:eastAsia="宋体" w:cs="仿宋"/>
                <w:color w:val="auto"/>
                <w:szCs w:val="21"/>
              </w:rPr>
              <w:t>分；无法履行合同要求，对放流海域不熟悉，无法满足放流要求的不得分。</w:t>
            </w:r>
            <w:r>
              <w:rPr>
                <w:rFonts w:hint="eastAsia" w:ascii="宋体" w:hAnsi="宋体" w:eastAsia="宋体" w:cs="仿宋"/>
                <w:b/>
                <w:bCs/>
                <w:color w:val="auto"/>
                <w:szCs w:val="21"/>
              </w:rPr>
              <w:t>（提供合同履约相关证明文件，复印件加盖公章。）</w:t>
            </w:r>
          </w:p>
        </w:tc>
        <w:tc>
          <w:tcPr>
            <w:tcW w:w="672" w:type="dxa"/>
            <w:vAlign w:val="center"/>
          </w:tcPr>
          <w:p w14:paraId="7E6AAB88">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23AE2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3" w:hRule="atLeast"/>
          <w:jc w:val="center"/>
        </w:trPr>
        <w:tc>
          <w:tcPr>
            <w:tcW w:w="1303" w:type="dxa"/>
            <w:vMerge w:val="continue"/>
            <w:vAlign w:val="center"/>
          </w:tcPr>
          <w:p w14:paraId="30263FF9">
            <w:pPr>
              <w:keepNext w:val="0"/>
              <w:keepLines w:val="0"/>
              <w:pageBreakBefore w:val="0"/>
              <w:kinsoku/>
              <w:wordWrap/>
              <w:overflowPunct/>
              <w:topLinePunct w:val="0"/>
              <w:autoSpaceDE/>
              <w:autoSpaceDN/>
              <w:bidi w:val="0"/>
              <w:adjustRightInd/>
              <w:snapToGrid/>
              <w:spacing w:line="240" w:lineRule="exact"/>
              <w:textAlignment w:val="auto"/>
              <w:rPr>
                <w:rFonts w:ascii="宋体" w:hAnsi="Times New Roman" w:eastAsia="宋体" w:cs="Times New Roman"/>
                <w:color w:val="auto"/>
              </w:rPr>
            </w:pPr>
          </w:p>
        </w:tc>
        <w:tc>
          <w:tcPr>
            <w:tcW w:w="1470" w:type="dxa"/>
            <w:vAlign w:val="center"/>
          </w:tcPr>
          <w:p w14:paraId="4AA6A1E8">
            <w:pPr>
              <w:keepNext w:val="0"/>
              <w:keepLines w:val="0"/>
              <w:pageBreakBefore w:val="0"/>
              <w:tabs>
                <w:tab w:val="left" w:pos="1080"/>
              </w:tabs>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技术力量</w:t>
            </w:r>
          </w:p>
          <w:p w14:paraId="2B5D02A4">
            <w:pPr>
              <w:keepNext w:val="0"/>
              <w:keepLines w:val="0"/>
              <w:pageBreakBefore w:val="0"/>
              <w:tabs>
                <w:tab w:val="left" w:pos="1080"/>
              </w:tabs>
              <w:kinsoku/>
              <w:wordWrap/>
              <w:overflowPunct/>
              <w:topLinePunct w:val="0"/>
              <w:autoSpaceDE/>
              <w:autoSpaceDN/>
              <w:bidi w:val="0"/>
              <w:adjustRightInd/>
              <w:snapToGrid/>
              <w:spacing w:line="240" w:lineRule="exact"/>
              <w:jc w:val="center"/>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（8分）</w:t>
            </w:r>
          </w:p>
        </w:tc>
        <w:tc>
          <w:tcPr>
            <w:tcW w:w="7152" w:type="dxa"/>
            <w:vAlign w:val="center"/>
          </w:tcPr>
          <w:p w14:paraId="6B49A5CC">
            <w:pPr>
              <w:keepNext w:val="0"/>
              <w:keepLines w:val="0"/>
              <w:pageBreakBefore w:val="0"/>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宋体"/>
                <w:color w:val="auto"/>
              </w:rPr>
            </w:pPr>
            <w:r>
              <w:rPr>
                <w:rFonts w:hint="eastAsia" w:ascii="宋体" w:hAnsi="宋体" w:eastAsia="宋体" w:cs="宋体"/>
                <w:color w:val="auto"/>
              </w:rPr>
              <w:t>1.水产类相关专业副高以上技术人员情况，有一人得2分，最多得4分；</w:t>
            </w:r>
          </w:p>
          <w:p w14:paraId="56554051">
            <w:pPr>
              <w:keepNext w:val="0"/>
              <w:keepLines w:val="0"/>
              <w:pageBreakBefore w:val="0"/>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宋体"/>
                <w:b/>
                <w:bCs/>
                <w:color w:val="auto"/>
              </w:rPr>
            </w:pPr>
            <w:r>
              <w:rPr>
                <w:rFonts w:hint="eastAsia" w:ascii="宋体" w:hAnsi="宋体" w:eastAsia="宋体" w:cs="宋体"/>
                <w:b/>
                <w:bCs/>
                <w:color w:val="auto"/>
              </w:rPr>
              <w:t>（提供技术人员职称证书、职业资格证书复印件加盖公章。本单位人员须提供开标前三个月（24年11月、12月、25年1月）任意一个月的社保证明及工资支付证明，对外聘用人员提供聘用合同及工资支付证明，复印件加盖公章，不提供不得分）</w:t>
            </w:r>
          </w:p>
          <w:p w14:paraId="5103995D">
            <w:pPr>
              <w:keepNext w:val="0"/>
              <w:keepLines w:val="0"/>
              <w:pageBreakBefore w:val="0"/>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宋体"/>
                <w:color w:val="auto"/>
              </w:rPr>
            </w:pPr>
            <w:r>
              <w:rPr>
                <w:rFonts w:hint="eastAsia" w:ascii="宋体" w:hAnsi="宋体" w:eastAsia="宋体" w:cs="宋体"/>
                <w:color w:val="auto"/>
              </w:rPr>
              <w:t>2.水产类相关专业、有证书的技术工人情况，有一人得2分，最多得4分；</w:t>
            </w:r>
          </w:p>
          <w:p w14:paraId="2F5C9AA2">
            <w:pPr>
              <w:keepNext w:val="0"/>
              <w:keepLines w:val="0"/>
              <w:pageBreakBefore w:val="0"/>
              <w:tabs>
                <w:tab w:val="left" w:pos="0"/>
              </w:tabs>
              <w:kinsoku/>
              <w:wordWrap/>
              <w:overflowPunct/>
              <w:topLinePunct w:val="0"/>
              <w:autoSpaceDE/>
              <w:autoSpaceDN/>
              <w:bidi w:val="0"/>
              <w:adjustRightInd/>
              <w:snapToGrid/>
              <w:spacing w:line="240" w:lineRule="exact"/>
              <w:textAlignment w:val="auto"/>
              <w:rPr>
                <w:rFonts w:hint="eastAsia" w:ascii="宋体" w:hAnsi="宋体" w:cs="宋体"/>
                <w:color w:val="auto"/>
              </w:rPr>
            </w:pPr>
            <w:r>
              <w:rPr>
                <w:rFonts w:hint="eastAsia" w:ascii="宋体" w:hAnsi="宋体" w:eastAsia="宋体" w:cs="宋体"/>
                <w:b/>
                <w:bCs/>
                <w:color w:val="auto"/>
              </w:rPr>
              <w:t>（提供技术人员职称证书、职业资格证书复印件加盖公章。本单位人员须提供开标前三个月（24年11月、12月、25年1月）任意一个月的社保证明及工资支付证明，对外聘用人员提供聘用合同及工资支付证明，复印件加盖公章，不提供不得分）</w:t>
            </w:r>
            <w:r>
              <w:rPr>
                <w:rFonts w:hint="eastAsia" w:ascii="宋体" w:hAnsi="宋体" w:eastAsia="宋体" w:cs="仿宋"/>
                <w:b/>
                <w:bCs/>
                <w:color w:val="auto"/>
                <w:kern w:val="0"/>
                <w:szCs w:val="21"/>
              </w:rPr>
              <w:t>注：以上两点不重复得分。</w:t>
            </w:r>
          </w:p>
        </w:tc>
        <w:tc>
          <w:tcPr>
            <w:tcW w:w="672" w:type="dxa"/>
            <w:vAlign w:val="center"/>
          </w:tcPr>
          <w:p w14:paraId="11855404">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r>
              <w:rPr>
                <w:rFonts w:hint="eastAsia" w:ascii="宋体" w:hAnsi="Times New Roman" w:eastAsia="宋体" w:cs="Times New Roman"/>
                <w:color w:val="auto"/>
                <w:lang w:val="en-US" w:eastAsia="zh-CN"/>
              </w:rPr>
              <w:t xml:space="preserve"> </w:t>
            </w:r>
          </w:p>
        </w:tc>
      </w:tr>
      <w:tr w14:paraId="0ED4A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303" w:type="dxa"/>
            <w:vMerge w:val="continue"/>
            <w:vAlign w:val="center"/>
          </w:tcPr>
          <w:p w14:paraId="2C75D136">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c>
          <w:tcPr>
            <w:tcW w:w="1470" w:type="dxa"/>
            <w:vMerge w:val="restart"/>
            <w:vAlign w:val="center"/>
          </w:tcPr>
          <w:p w14:paraId="3D71C2A2">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kern w:val="0"/>
                <w:szCs w:val="21"/>
              </w:rPr>
            </w:pPr>
            <w:r>
              <w:rPr>
                <w:rFonts w:hint="eastAsia" w:ascii="宋体" w:hAnsi="宋体" w:eastAsia="宋体" w:cs="仿宋"/>
                <w:color w:val="auto"/>
                <w:kern w:val="0"/>
                <w:szCs w:val="21"/>
              </w:rPr>
              <w:t>育苗能力</w:t>
            </w:r>
          </w:p>
          <w:p w14:paraId="4036012F">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3分）</w:t>
            </w:r>
          </w:p>
        </w:tc>
        <w:tc>
          <w:tcPr>
            <w:tcW w:w="7152" w:type="dxa"/>
            <w:vAlign w:val="center"/>
          </w:tcPr>
          <w:p w14:paraId="2FB1FBE0">
            <w:pPr>
              <w:keepNext w:val="0"/>
              <w:keepLines w:val="0"/>
              <w:pageBreakBefore w:val="0"/>
              <w:widowControl/>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种质来源情况：来源为野生种得5分，其他得2分。</w:t>
            </w:r>
            <w:r>
              <w:rPr>
                <w:rFonts w:hint="eastAsia" w:ascii="宋体" w:hAnsi="宋体" w:eastAsia="宋体" w:cs="仿宋"/>
                <w:b/>
                <w:bCs/>
                <w:color w:val="auto"/>
                <w:kern w:val="0"/>
                <w:szCs w:val="21"/>
              </w:rPr>
              <w:t>（须提供相关证明材料）</w:t>
            </w:r>
          </w:p>
        </w:tc>
        <w:tc>
          <w:tcPr>
            <w:tcW w:w="672" w:type="dxa"/>
            <w:vAlign w:val="center"/>
          </w:tcPr>
          <w:p w14:paraId="6EEC4D96">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r>
              <w:rPr>
                <w:rFonts w:hint="eastAsia" w:ascii="宋体" w:hAnsi="Times New Roman" w:eastAsia="宋体" w:cs="Times New Roman"/>
                <w:color w:val="auto"/>
                <w:lang w:val="en-US" w:eastAsia="zh-CN"/>
              </w:rPr>
              <w:t xml:space="preserve"> </w:t>
            </w:r>
          </w:p>
        </w:tc>
      </w:tr>
      <w:tr w14:paraId="4E404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jc w:val="center"/>
        </w:trPr>
        <w:tc>
          <w:tcPr>
            <w:tcW w:w="1303" w:type="dxa"/>
            <w:vMerge w:val="continue"/>
            <w:vAlign w:val="center"/>
          </w:tcPr>
          <w:p w14:paraId="3152BD03">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c>
          <w:tcPr>
            <w:tcW w:w="1470" w:type="dxa"/>
            <w:vMerge w:val="continue"/>
            <w:vAlign w:val="center"/>
          </w:tcPr>
          <w:p w14:paraId="5D7921EC">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hint="eastAsia" w:ascii="宋体" w:hAnsi="宋体" w:eastAsia="宋体" w:cs="仿宋"/>
                <w:color w:val="auto"/>
                <w:kern w:val="0"/>
                <w:szCs w:val="21"/>
              </w:rPr>
            </w:pPr>
          </w:p>
        </w:tc>
        <w:tc>
          <w:tcPr>
            <w:tcW w:w="7152" w:type="dxa"/>
            <w:vAlign w:val="center"/>
          </w:tcPr>
          <w:p w14:paraId="5186D0B2">
            <w:pPr>
              <w:keepNext w:val="0"/>
              <w:keepLines w:val="0"/>
              <w:pageBreakBefore w:val="0"/>
              <w:widowControl/>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本种类亲本数量及年生产本种类种苗数量等情况：满足种苗生产需要及放流要求的得3分，否则不得分。</w:t>
            </w:r>
            <w:r>
              <w:rPr>
                <w:rFonts w:hint="eastAsia" w:ascii="宋体" w:hAnsi="宋体" w:eastAsia="宋体" w:cs="仿宋"/>
                <w:b/>
                <w:bCs/>
                <w:color w:val="auto"/>
                <w:kern w:val="0"/>
                <w:szCs w:val="21"/>
              </w:rPr>
              <w:t>（须提供相关</w:t>
            </w:r>
            <w:r>
              <w:rPr>
                <w:rFonts w:hint="eastAsia" w:ascii="宋体" w:hAnsi="宋体" w:eastAsia="宋体" w:cs="宋体"/>
                <w:b/>
                <w:color w:val="auto"/>
                <w:szCs w:val="21"/>
                <w:lang w:val="en-US" w:eastAsia="zh-CN"/>
              </w:rPr>
              <w:t>增殖放流苗种供应体系</w:t>
            </w:r>
            <w:r>
              <w:rPr>
                <w:rFonts w:hint="eastAsia" w:ascii="宋体" w:hAnsi="宋体" w:eastAsia="宋体" w:cs="仿宋"/>
                <w:b/>
                <w:bCs/>
                <w:color w:val="auto"/>
                <w:kern w:val="0"/>
                <w:szCs w:val="21"/>
              </w:rPr>
              <w:t>证明材料</w:t>
            </w:r>
            <w:r>
              <w:rPr>
                <w:rFonts w:hint="eastAsia" w:ascii="宋体" w:hAnsi="宋体" w:eastAsia="宋体" w:cs="仿宋"/>
                <w:b/>
                <w:bCs/>
                <w:color w:val="auto"/>
                <w:kern w:val="0"/>
                <w:szCs w:val="21"/>
                <w:lang w:eastAsia="zh-CN"/>
              </w:rPr>
              <w:t>（</w:t>
            </w:r>
            <w:r>
              <w:rPr>
                <w:rFonts w:hint="eastAsia" w:ascii="宋体" w:hAnsi="宋体" w:eastAsia="宋体" w:cs="仿宋"/>
                <w:b/>
                <w:bCs/>
                <w:color w:val="auto"/>
                <w:kern w:val="0"/>
                <w:szCs w:val="21"/>
                <w:lang w:val="en-US" w:eastAsia="zh-CN"/>
              </w:rPr>
              <w:t>系统截图</w:t>
            </w:r>
            <w:r>
              <w:rPr>
                <w:rFonts w:hint="eastAsia" w:ascii="宋体" w:hAnsi="宋体" w:eastAsia="宋体" w:cs="仿宋"/>
                <w:b/>
                <w:bCs/>
                <w:color w:val="auto"/>
                <w:kern w:val="0"/>
                <w:szCs w:val="21"/>
                <w:lang w:eastAsia="zh-CN"/>
              </w:rPr>
              <w:t>）</w:t>
            </w:r>
            <w:r>
              <w:rPr>
                <w:rFonts w:hint="eastAsia" w:ascii="宋体" w:hAnsi="宋体" w:eastAsia="宋体" w:cs="仿宋"/>
                <w:b/>
                <w:bCs/>
                <w:color w:val="auto"/>
                <w:kern w:val="0"/>
                <w:szCs w:val="21"/>
              </w:rPr>
              <w:t>）</w:t>
            </w:r>
          </w:p>
        </w:tc>
        <w:tc>
          <w:tcPr>
            <w:tcW w:w="672" w:type="dxa"/>
            <w:vAlign w:val="center"/>
          </w:tcPr>
          <w:p w14:paraId="7B193BF3">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3D9F6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303" w:type="dxa"/>
            <w:vMerge w:val="continue"/>
            <w:vAlign w:val="center"/>
          </w:tcPr>
          <w:p w14:paraId="2F1921B2">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c>
          <w:tcPr>
            <w:tcW w:w="1470" w:type="dxa"/>
            <w:vMerge w:val="continue"/>
            <w:vAlign w:val="center"/>
          </w:tcPr>
          <w:p w14:paraId="17B6B8B2">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hint="eastAsia" w:ascii="宋体" w:hAnsi="宋体" w:eastAsia="宋体" w:cs="仿宋"/>
                <w:color w:val="auto"/>
                <w:kern w:val="0"/>
                <w:szCs w:val="21"/>
              </w:rPr>
            </w:pPr>
          </w:p>
        </w:tc>
        <w:tc>
          <w:tcPr>
            <w:tcW w:w="7152" w:type="dxa"/>
            <w:vAlign w:val="center"/>
          </w:tcPr>
          <w:p w14:paraId="75B73637">
            <w:pPr>
              <w:keepNext w:val="0"/>
              <w:keepLines w:val="0"/>
              <w:pageBreakBefore w:val="0"/>
              <w:widowControl/>
              <w:tabs>
                <w:tab w:val="left" w:pos="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育苗水体情况：育苗水体3000m³（含）以上的得5分，1500（含）-3000m³的得3分，1500m³以下的得1分。</w:t>
            </w:r>
            <w:bookmarkStart w:id="8" w:name="_GoBack"/>
            <w:bookmarkEnd w:id="8"/>
          </w:p>
          <w:p w14:paraId="78AF4896">
            <w:pPr>
              <w:keepNext w:val="0"/>
              <w:keepLines w:val="0"/>
              <w:pageBreakBefore w:val="0"/>
              <w:widowControl/>
              <w:tabs>
                <w:tab w:val="left" w:pos="0"/>
              </w:tabs>
              <w:kinsoku/>
              <w:wordWrap/>
              <w:overflowPunct/>
              <w:topLinePunct w:val="0"/>
              <w:autoSpaceDE/>
              <w:autoSpaceDN/>
              <w:bidi w:val="0"/>
              <w:adjustRightInd/>
              <w:snapToGrid/>
              <w:spacing w:line="240" w:lineRule="exact"/>
              <w:textAlignment w:val="auto"/>
              <w:rPr>
                <w:rFonts w:ascii="Times New Roman" w:hAnsi="Times New Roman" w:eastAsia="宋体" w:cs="Times New Roman"/>
                <w:color w:val="auto"/>
                <w:szCs w:val="21"/>
              </w:rPr>
            </w:pPr>
            <w:r>
              <w:rPr>
                <w:rFonts w:hint="eastAsia" w:ascii="Times New Roman" w:hAnsi="Times New Roman" w:eastAsia="宋体" w:cs="Times New Roman"/>
                <w:b/>
                <w:bCs/>
                <w:color w:val="auto"/>
                <w:szCs w:val="21"/>
              </w:rPr>
              <w:t>（</w:t>
            </w:r>
            <w:r>
              <w:rPr>
                <w:rFonts w:hint="eastAsia" w:ascii="宋体" w:hAnsi="宋体" w:eastAsia="宋体" w:cs="仿宋"/>
                <w:b/>
                <w:bCs/>
                <w:color w:val="auto"/>
                <w:kern w:val="0"/>
                <w:szCs w:val="21"/>
              </w:rPr>
              <w:t>须提供当地渔业主管部门出具的相关证明材料</w:t>
            </w:r>
            <w:r>
              <w:rPr>
                <w:rFonts w:hint="eastAsia" w:ascii="Times New Roman" w:hAnsi="Times New Roman" w:eastAsia="宋体" w:cs="Times New Roman"/>
                <w:b/>
                <w:bCs/>
                <w:color w:val="auto"/>
                <w:szCs w:val="21"/>
              </w:rPr>
              <w:t>）</w:t>
            </w:r>
          </w:p>
        </w:tc>
        <w:tc>
          <w:tcPr>
            <w:tcW w:w="672" w:type="dxa"/>
            <w:vAlign w:val="center"/>
          </w:tcPr>
          <w:p w14:paraId="785A7056">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48D5F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303" w:type="dxa"/>
            <w:vMerge w:val="continue"/>
            <w:vAlign w:val="center"/>
          </w:tcPr>
          <w:p w14:paraId="66943D98">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c>
          <w:tcPr>
            <w:tcW w:w="1470" w:type="dxa"/>
            <w:vAlign w:val="center"/>
          </w:tcPr>
          <w:p w14:paraId="6BCA484D">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kern w:val="0"/>
                <w:szCs w:val="21"/>
              </w:rPr>
            </w:pPr>
            <w:r>
              <w:rPr>
                <w:rFonts w:hint="eastAsia" w:ascii="宋体" w:hAnsi="宋体" w:eastAsia="宋体" w:cs="仿宋"/>
                <w:color w:val="auto"/>
                <w:kern w:val="0"/>
                <w:szCs w:val="21"/>
              </w:rPr>
              <w:t>企业信誉</w:t>
            </w:r>
          </w:p>
          <w:p w14:paraId="49061C19">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2分）</w:t>
            </w:r>
          </w:p>
        </w:tc>
        <w:tc>
          <w:tcPr>
            <w:tcW w:w="7152" w:type="dxa"/>
            <w:vAlign w:val="center"/>
          </w:tcPr>
          <w:p w14:paraId="7697A61E">
            <w:pPr>
              <w:keepNext w:val="0"/>
              <w:keepLines w:val="0"/>
              <w:pageBreakBefore w:val="0"/>
              <w:tabs>
                <w:tab w:val="left" w:pos="108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20</w:t>
            </w:r>
            <w:r>
              <w:rPr>
                <w:rFonts w:ascii="宋体" w:hAnsi="宋体" w:eastAsia="宋体" w:cs="仿宋"/>
                <w:color w:val="auto"/>
                <w:kern w:val="0"/>
                <w:szCs w:val="21"/>
              </w:rPr>
              <w:t>2</w:t>
            </w:r>
            <w:r>
              <w:rPr>
                <w:rFonts w:hint="eastAsia" w:ascii="宋体" w:hAnsi="宋体" w:eastAsia="宋体" w:cs="仿宋"/>
                <w:color w:val="auto"/>
                <w:kern w:val="0"/>
                <w:szCs w:val="21"/>
              </w:rPr>
              <w:t>1年1月以来，曾出现过重大质量问题或有合同执行不到位的地方（包括但不限于本物种）。非本物种的每次扣2分，本物种的每次扣3分。最多扣6分。</w:t>
            </w:r>
            <w:r>
              <w:rPr>
                <w:rFonts w:hint="eastAsia" w:ascii="宋体" w:hAnsi="宋体" w:eastAsia="宋体" w:cs="仿宋"/>
                <w:b/>
                <w:bCs/>
                <w:color w:val="auto"/>
                <w:kern w:val="0"/>
                <w:szCs w:val="21"/>
              </w:rPr>
              <w:t>（由采购单位提供相关证明）</w:t>
            </w:r>
          </w:p>
          <w:p w14:paraId="7649DA27">
            <w:pPr>
              <w:keepNext w:val="0"/>
              <w:keepLines w:val="0"/>
              <w:pageBreakBefore w:val="0"/>
              <w:tabs>
                <w:tab w:val="left" w:pos="1080"/>
              </w:tabs>
              <w:kinsoku/>
              <w:wordWrap/>
              <w:overflowPunct/>
              <w:topLinePunct w:val="0"/>
              <w:autoSpaceDE/>
              <w:autoSpaceDN/>
              <w:bidi w:val="0"/>
              <w:adjustRightInd/>
              <w:snapToGrid/>
              <w:spacing w:line="240" w:lineRule="exact"/>
              <w:textAlignment w:val="auto"/>
              <w:rPr>
                <w:rFonts w:hint="eastAsia" w:ascii="宋体" w:hAnsi="宋体" w:eastAsia="宋体" w:cs="仿宋"/>
                <w:color w:val="auto"/>
                <w:kern w:val="0"/>
                <w:szCs w:val="21"/>
              </w:rPr>
            </w:pPr>
            <w:r>
              <w:rPr>
                <w:rFonts w:hint="eastAsia" w:ascii="宋体" w:hAnsi="宋体" w:eastAsia="宋体" w:cs="仿宋"/>
                <w:color w:val="auto"/>
                <w:kern w:val="0"/>
                <w:szCs w:val="21"/>
              </w:rPr>
              <w:t>20</w:t>
            </w:r>
            <w:r>
              <w:rPr>
                <w:rFonts w:ascii="宋体" w:hAnsi="宋体" w:eastAsia="宋体" w:cs="仿宋"/>
                <w:color w:val="auto"/>
                <w:kern w:val="0"/>
                <w:szCs w:val="21"/>
              </w:rPr>
              <w:t>2</w:t>
            </w:r>
            <w:r>
              <w:rPr>
                <w:rFonts w:hint="eastAsia" w:ascii="宋体" w:hAnsi="宋体" w:eastAsia="宋体" w:cs="仿宋"/>
                <w:color w:val="auto"/>
                <w:kern w:val="0"/>
                <w:szCs w:val="21"/>
              </w:rPr>
              <w:t>1年1月以来，苗种产区为非疫病区，是否被查到有滥用药物等不良信用记录。每次扣2 分，最多扣6分。</w:t>
            </w:r>
          </w:p>
          <w:p w14:paraId="49784869">
            <w:pPr>
              <w:keepNext w:val="0"/>
              <w:keepLines w:val="0"/>
              <w:pageBreakBefore w:val="0"/>
              <w:tabs>
                <w:tab w:val="left" w:pos="1080"/>
              </w:tabs>
              <w:kinsoku/>
              <w:wordWrap/>
              <w:overflowPunct/>
              <w:topLinePunct w:val="0"/>
              <w:autoSpaceDE/>
              <w:autoSpaceDN/>
              <w:bidi w:val="0"/>
              <w:adjustRightInd/>
              <w:snapToGrid/>
              <w:spacing w:line="240" w:lineRule="exact"/>
              <w:textAlignment w:val="auto"/>
              <w:rPr>
                <w:rFonts w:ascii="宋体" w:hAnsi="Times New Roman" w:eastAsia="宋体" w:cs="仿宋"/>
                <w:color w:val="auto"/>
                <w:szCs w:val="21"/>
              </w:rPr>
            </w:pPr>
            <w:r>
              <w:rPr>
                <w:rFonts w:hint="eastAsia" w:ascii="宋体" w:hAnsi="宋体" w:eastAsia="宋体" w:cs="仿宋"/>
                <w:b/>
                <w:bCs/>
                <w:color w:val="auto"/>
                <w:kern w:val="0"/>
                <w:szCs w:val="21"/>
              </w:rPr>
              <w:t>（须提供当地渔业主管部门出具的相关证明材料，未提供证明的扣3分)</w:t>
            </w:r>
          </w:p>
        </w:tc>
        <w:tc>
          <w:tcPr>
            <w:tcW w:w="672" w:type="dxa"/>
            <w:vAlign w:val="center"/>
          </w:tcPr>
          <w:p w14:paraId="7F517F0A">
            <w:pPr>
              <w:keepNext w:val="0"/>
              <w:keepLines w:val="0"/>
              <w:pageBreakBefore w:val="0"/>
              <w:kinsoku/>
              <w:wordWrap/>
              <w:overflowPunct/>
              <w:topLinePunct w:val="0"/>
              <w:autoSpaceDE/>
              <w:autoSpaceDN/>
              <w:bidi w:val="0"/>
              <w:adjustRightInd/>
              <w:snapToGrid/>
              <w:spacing w:line="240" w:lineRule="exact"/>
              <w:ind w:firstLine="210" w:firstLineChars="100"/>
              <w:textAlignment w:val="auto"/>
              <w:rPr>
                <w:rFonts w:ascii="宋体" w:hAnsi="Times New Roman" w:eastAsia="宋体" w:cs="Times New Roman"/>
                <w:color w:val="auto"/>
              </w:rPr>
            </w:pPr>
          </w:p>
        </w:tc>
      </w:tr>
      <w:tr w14:paraId="53FF7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9" w:hRule="atLeast"/>
          <w:jc w:val="center"/>
        </w:trPr>
        <w:tc>
          <w:tcPr>
            <w:tcW w:w="1303" w:type="dxa"/>
            <w:vAlign w:val="center"/>
          </w:tcPr>
          <w:p w14:paraId="00F17E2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rPr>
            </w:pPr>
            <w:r>
              <w:rPr>
                <w:rFonts w:ascii="宋体" w:hAnsi="Times New Roman" w:eastAsia="宋体" w:cs="Times New Roman"/>
                <w:color w:val="auto"/>
                <w:szCs w:val="21"/>
              </w:rPr>
              <w:t>投标文件响应</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1470" w:type="dxa"/>
            <w:vAlign w:val="center"/>
          </w:tcPr>
          <w:p w14:paraId="5869D22A">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hint="eastAsia" w:ascii="宋体" w:hAnsi="宋体" w:eastAsia="宋体" w:cs="仿宋"/>
                <w:color w:val="auto"/>
                <w:kern w:val="0"/>
                <w:szCs w:val="21"/>
              </w:rPr>
            </w:pPr>
            <w:r>
              <w:rPr>
                <w:rFonts w:ascii="宋体" w:hAnsi="Times New Roman" w:eastAsia="宋体" w:cs="Times New Roman"/>
                <w:color w:val="auto"/>
                <w:szCs w:val="21"/>
              </w:rPr>
              <w:t>对招标文件的响应程度</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7152" w:type="dxa"/>
            <w:vAlign w:val="center"/>
          </w:tcPr>
          <w:p w14:paraId="0ED2CCA7">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hint="eastAsia" w:ascii="宋体" w:hAnsi="宋体" w:eastAsia="宋体" w:cs="仿宋"/>
                <w:color w:val="auto"/>
                <w:kern w:val="0"/>
                <w:szCs w:val="21"/>
              </w:rPr>
            </w:pPr>
            <w:r>
              <w:rPr>
                <w:rFonts w:hint="eastAsia" w:ascii="宋体" w:hAnsi="Times New Roman" w:eastAsia="宋体" w:cs="Times New Roman"/>
                <w:color w:val="auto"/>
                <w:szCs w:val="21"/>
              </w:rPr>
              <w:t>对本项目要求的响应程度：完全满足招标文件要求的：5分，基本满足招标文件要求的：2分；不满足招标文件要求的不得分。</w:t>
            </w:r>
          </w:p>
        </w:tc>
        <w:tc>
          <w:tcPr>
            <w:tcW w:w="672" w:type="dxa"/>
            <w:vAlign w:val="center"/>
          </w:tcPr>
          <w:p w14:paraId="544312BB">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r>
      <w:tr w14:paraId="6DE3B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303" w:type="dxa"/>
            <w:vAlign w:val="center"/>
          </w:tcPr>
          <w:p w14:paraId="464C3AE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szCs w:val="21"/>
              </w:rPr>
            </w:pPr>
            <w:r>
              <w:rPr>
                <w:rFonts w:hint="eastAsia" w:ascii="宋体" w:hAnsi="宋体" w:eastAsia="宋体" w:cs="Times New Roman"/>
                <w:color w:val="auto"/>
              </w:rPr>
              <w:t>报价部分</w:t>
            </w:r>
            <w:r>
              <w:rPr>
                <w:rFonts w:ascii="宋体" w:hAnsi="宋体" w:eastAsia="宋体" w:cs="Times New Roman"/>
                <w:color w:val="auto"/>
              </w:rPr>
              <w:t>(30</w:t>
            </w:r>
            <w:r>
              <w:rPr>
                <w:rFonts w:hint="eastAsia" w:ascii="宋体" w:hAnsi="宋体" w:eastAsia="宋体" w:cs="Times New Roman"/>
                <w:color w:val="auto"/>
              </w:rPr>
              <w:t>分</w:t>
            </w:r>
            <w:r>
              <w:rPr>
                <w:rFonts w:ascii="宋体" w:hAnsi="宋体" w:eastAsia="宋体" w:cs="Times New Roman"/>
                <w:color w:val="auto"/>
              </w:rPr>
              <w:t>)</w:t>
            </w:r>
          </w:p>
        </w:tc>
        <w:tc>
          <w:tcPr>
            <w:tcW w:w="1470" w:type="dxa"/>
            <w:vAlign w:val="center"/>
          </w:tcPr>
          <w:p w14:paraId="35360BF6">
            <w:pPr>
              <w:keepNext w:val="0"/>
              <w:keepLines w:val="0"/>
              <w:pageBreakBefore w:val="0"/>
              <w:widowControl/>
              <w:tabs>
                <w:tab w:val="left" w:pos="0"/>
              </w:tabs>
              <w:kinsoku/>
              <w:wordWrap/>
              <w:overflowPunct/>
              <w:topLinePunct w:val="0"/>
              <w:autoSpaceDE/>
              <w:autoSpaceDN/>
              <w:bidi w:val="0"/>
              <w:adjustRightInd/>
              <w:snapToGrid/>
              <w:spacing w:line="240" w:lineRule="exact"/>
              <w:jc w:val="center"/>
              <w:textAlignment w:val="auto"/>
              <w:rPr>
                <w:rFonts w:ascii="宋体" w:hAnsi="Times New Roman" w:eastAsia="宋体" w:cs="Times New Roman"/>
                <w:color w:val="auto"/>
                <w:szCs w:val="21"/>
              </w:rPr>
            </w:pPr>
            <w:r>
              <w:rPr>
                <w:rFonts w:hint="eastAsia" w:ascii="Times New Roman" w:hAnsi="宋体" w:eastAsia="宋体" w:cs="Times New Roman"/>
                <w:color w:val="auto"/>
              </w:rPr>
              <w:t>投标报价</w:t>
            </w:r>
          </w:p>
        </w:tc>
        <w:tc>
          <w:tcPr>
            <w:tcW w:w="7152" w:type="dxa"/>
            <w:vAlign w:val="center"/>
          </w:tcPr>
          <w:p w14:paraId="0EC478E0">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szCs w:val="21"/>
              </w:rPr>
            </w:pPr>
            <w:r>
              <w:rPr>
                <w:rFonts w:hint="eastAsia" w:ascii="宋体" w:hAnsi="宋体" w:eastAsia="宋体" w:cs="宋体"/>
                <w:color w:val="auto"/>
                <w:kern w:val="0"/>
                <w:szCs w:val="21"/>
              </w:rPr>
              <w:t>满足招标文件要求且有效投标价格最低的投标报价作为评标基准价，其价格分为满分；其他投标人的价格分按以下公式计算：（按各标项单价作为投标报价）：投标报价得分＝（评标基准价</w:t>
            </w:r>
            <w:r>
              <w:rPr>
                <w:rFonts w:ascii="宋体" w:hAnsi="宋体" w:eastAsia="宋体" w:cs="宋体"/>
                <w:color w:val="auto"/>
                <w:kern w:val="0"/>
                <w:szCs w:val="21"/>
              </w:rPr>
              <w:t>/投标报价）×价格权重 ×100%</w:t>
            </w:r>
          </w:p>
        </w:tc>
        <w:tc>
          <w:tcPr>
            <w:tcW w:w="672" w:type="dxa"/>
            <w:vAlign w:val="center"/>
          </w:tcPr>
          <w:p w14:paraId="0ED4264E">
            <w:pPr>
              <w:keepNext w:val="0"/>
              <w:keepLines w:val="0"/>
              <w:pageBreakBefore w:val="0"/>
              <w:widowControl/>
              <w:kinsoku/>
              <w:wordWrap/>
              <w:overflowPunct/>
              <w:topLinePunct w:val="0"/>
              <w:autoSpaceDE/>
              <w:autoSpaceDN/>
              <w:bidi w:val="0"/>
              <w:adjustRightInd/>
              <w:snapToGrid/>
              <w:spacing w:line="240" w:lineRule="exact"/>
              <w:jc w:val="left"/>
              <w:textAlignment w:val="auto"/>
              <w:rPr>
                <w:rFonts w:ascii="宋体" w:hAnsi="Times New Roman" w:eastAsia="宋体" w:cs="Times New Roman"/>
                <w:color w:val="auto"/>
              </w:rPr>
            </w:pPr>
          </w:p>
        </w:tc>
      </w:tr>
      <w:bookmarkEnd w:id="0"/>
    </w:tbl>
    <w:p w14:paraId="1DB74E05">
      <w:pPr>
        <w:spacing w:line="360" w:lineRule="auto"/>
        <w:ind w:right="-341"/>
        <w:jc w:val="center"/>
        <w:rPr>
          <w:rFonts w:ascii="Times New Roman" w:hAnsi="Times New Roman" w:eastAsia="黑体" w:cs="Times New Roman"/>
          <w:color w:val="auto"/>
          <w:sz w:val="30"/>
        </w:rPr>
      </w:pPr>
    </w:p>
    <w:p w14:paraId="1C47718F">
      <w:pPr>
        <w:spacing w:line="360" w:lineRule="auto"/>
        <w:ind w:right="-341"/>
        <w:jc w:val="center"/>
        <w:rPr>
          <w:rFonts w:ascii="Times New Roman" w:hAnsi="Times New Roman" w:eastAsia="黑体" w:cs="Times New Roman"/>
          <w:color w:val="auto"/>
          <w:sz w:val="30"/>
        </w:rPr>
      </w:pPr>
    </w:p>
    <w:p w14:paraId="5FE05BD3">
      <w:pPr>
        <w:spacing w:line="360" w:lineRule="auto"/>
        <w:ind w:right="-341"/>
        <w:jc w:val="center"/>
        <w:rPr>
          <w:rFonts w:ascii="Times New Roman" w:hAnsi="Times New Roman" w:eastAsia="黑体" w:cs="Times New Roman"/>
          <w:color w:val="auto"/>
          <w:sz w:val="30"/>
        </w:rPr>
      </w:pPr>
    </w:p>
    <w:p w14:paraId="514B247E">
      <w:pPr>
        <w:spacing w:line="360" w:lineRule="auto"/>
        <w:ind w:right="-341"/>
        <w:jc w:val="center"/>
        <w:rPr>
          <w:rFonts w:ascii="Times New Roman" w:hAnsi="Times New Roman" w:eastAsia="黑体" w:cs="Times New Roman"/>
          <w:color w:val="auto"/>
          <w:sz w:val="30"/>
        </w:rPr>
      </w:pPr>
      <w:r>
        <w:rPr>
          <w:rFonts w:ascii="Times New Roman" w:hAnsi="Times New Roman" w:eastAsia="黑体" w:cs="Times New Roman"/>
          <w:color w:val="auto"/>
          <w:sz w:val="30"/>
        </w:rPr>
        <w:t>第五章合同主要条款</w:t>
      </w:r>
    </w:p>
    <w:p w14:paraId="6F75FD4F">
      <w:pPr>
        <w:snapToGrid w:val="0"/>
        <w:spacing w:before="120" w:beforeLines="50" w:after="120" w:afterLines="50"/>
        <w:jc w:val="center"/>
        <w:rPr>
          <w:rFonts w:ascii="宋体" w:hAnsi="Times New Roman" w:eastAsia="宋体" w:cs="Times New Roman"/>
          <w:b/>
          <w:color w:val="auto"/>
          <w:sz w:val="28"/>
          <w:szCs w:val="28"/>
        </w:rPr>
      </w:pPr>
      <w:r>
        <w:rPr>
          <w:rFonts w:hint="eastAsia" w:ascii="宋体" w:hAnsi="宋体" w:eastAsia="宋体" w:cs="Times New Roman"/>
          <w:b/>
          <w:color w:val="auto"/>
          <w:sz w:val="28"/>
          <w:szCs w:val="28"/>
        </w:rPr>
        <w:t>（具体条款以甲方为主协商确定）</w:t>
      </w:r>
    </w:p>
    <w:p w14:paraId="43F3BFE5">
      <w:pPr>
        <w:snapToGrid w:val="0"/>
        <w:spacing w:before="120" w:beforeLines="50" w:after="120" w:afterLines="50"/>
        <w:jc w:val="center"/>
        <w:rPr>
          <w:rFonts w:hint="eastAsia" w:ascii="宋体" w:hAnsi="宋体" w:eastAsia="宋体" w:cs="Times New Roman"/>
          <w:b/>
          <w:color w:val="auto"/>
          <w:sz w:val="28"/>
          <w:szCs w:val="28"/>
        </w:rPr>
      </w:pPr>
      <w:r>
        <w:rPr>
          <w:rFonts w:hint="eastAsia" w:ascii="宋体" w:hAnsi="宋体" w:eastAsia="宋体" w:cs="Times New Roman"/>
          <w:b/>
          <w:color w:val="auto"/>
          <w:sz w:val="28"/>
          <w:szCs w:val="28"/>
        </w:rPr>
        <w:t>2025年普陀区水生生物增殖放流项目采购合同</w:t>
      </w:r>
    </w:p>
    <w:p w14:paraId="1123D9CF">
      <w:pPr>
        <w:snapToGrid w:val="0"/>
        <w:spacing w:before="240" w:beforeLines="100" w:line="288" w:lineRule="auto"/>
        <w:rPr>
          <w:rFonts w:hint="eastAsia" w:ascii="宋体" w:hAnsi="宋体" w:eastAsia="宋体" w:cs="Times New Roman"/>
          <w:b/>
          <w:color w:val="auto"/>
          <w:sz w:val="30"/>
          <w:szCs w:val="30"/>
        </w:rPr>
      </w:pPr>
      <w:r>
        <w:rPr>
          <w:rFonts w:hint="eastAsia" w:ascii="宋体" w:hAnsi="宋体" w:eastAsia="宋体" w:cs="Times New Roman"/>
          <w:color w:val="auto"/>
        </w:rPr>
        <w:t>项目名称：</w:t>
      </w:r>
    </w:p>
    <w:p w14:paraId="3D9CD9B3">
      <w:pPr>
        <w:spacing w:line="288" w:lineRule="auto"/>
        <w:jc w:val="left"/>
        <w:rPr>
          <w:rFonts w:hint="eastAsia" w:ascii="宋体" w:hAnsi="宋体" w:eastAsia="宋体" w:cs="Times New Roman"/>
          <w:color w:val="auto"/>
        </w:rPr>
      </w:pPr>
      <w:r>
        <w:rPr>
          <w:rFonts w:hint="eastAsia" w:ascii="宋体" w:hAnsi="宋体" w:eastAsia="宋体" w:cs="Times New Roman"/>
          <w:color w:val="auto"/>
        </w:rPr>
        <w:t>项目编号：</w:t>
      </w:r>
    </w:p>
    <w:p w14:paraId="68F306E9">
      <w:pPr>
        <w:spacing w:before="120" w:beforeLines="50" w:line="288" w:lineRule="auto"/>
        <w:rPr>
          <w:rFonts w:hint="eastAsia" w:ascii="宋体" w:hAnsi="宋体" w:eastAsia="宋体" w:cs="Times New Roman"/>
          <w:color w:val="auto"/>
        </w:rPr>
      </w:pPr>
      <w:r>
        <w:rPr>
          <w:rFonts w:hint="eastAsia" w:ascii="宋体" w:hAnsi="宋体" w:eastAsia="宋体" w:cs="Times New Roman"/>
          <w:b/>
          <w:bCs/>
          <w:color w:val="auto"/>
        </w:rPr>
        <w:t>甲方（买方）：</w:t>
      </w:r>
      <w:r>
        <w:rPr>
          <w:rFonts w:hint="eastAsia" w:ascii="宋体" w:hAnsi="宋体" w:eastAsia="宋体" w:cs="Times New Roman"/>
          <w:color w:val="auto"/>
        </w:rPr>
        <w:t>舟山市普陀区海洋经济发展局</w:t>
      </w:r>
    </w:p>
    <w:p w14:paraId="6311248B">
      <w:pPr>
        <w:spacing w:line="288" w:lineRule="auto"/>
        <w:rPr>
          <w:rFonts w:hint="eastAsia" w:ascii="宋体" w:hAnsi="宋体" w:eastAsia="宋体" w:cs="Times New Roman"/>
          <w:color w:val="auto"/>
        </w:rPr>
      </w:pPr>
      <w:r>
        <w:rPr>
          <w:rFonts w:hint="eastAsia" w:ascii="宋体" w:hAnsi="宋体" w:eastAsia="宋体" w:cs="Times New Roman"/>
          <w:b/>
          <w:bCs/>
          <w:color w:val="auto"/>
        </w:rPr>
        <w:t>乙方（卖方）：</w:t>
      </w:r>
    </w:p>
    <w:p w14:paraId="39D288D8">
      <w:pPr>
        <w:spacing w:before="120" w:beforeLines="50" w:line="288"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根据深圳市国信招标有限公司关于《2025年普陀区水生生物增殖放流项目》公开招标结果，甲、乙双方经协商签署本合同。</w:t>
      </w:r>
    </w:p>
    <w:p w14:paraId="09C2930F">
      <w:pPr>
        <w:spacing w:before="170" w:after="170"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一、采购标的</w:t>
      </w:r>
    </w:p>
    <w:tbl>
      <w:tblPr>
        <w:tblStyle w:val="60"/>
        <w:tblW w:w="8943" w:type="dxa"/>
        <w:tblInd w:w="0" w:type="dxa"/>
        <w:tblLayout w:type="fixed"/>
        <w:tblCellMar>
          <w:top w:w="15" w:type="dxa"/>
          <w:left w:w="15" w:type="dxa"/>
          <w:bottom w:w="15" w:type="dxa"/>
          <w:right w:w="15" w:type="dxa"/>
        </w:tblCellMar>
      </w:tblPr>
      <w:tblGrid>
        <w:gridCol w:w="1045"/>
        <w:gridCol w:w="930"/>
        <w:gridCol w:w="1395"/>
        <w:gridCol w:w="1316"/>
        <w:gridCol w:w="1257"/>
        <w:gridCol w:w="1656"/>
        <w:gridCol w:w="1344"/>
      </w:tblGrid>
      <w:tr w14:paraId="19040EDC">
        <w:tblPrEx>
          <w:tblCellMar>
            <w:top w:w="15" w:type="dxa"/>
            <w:left w:w="15" w:type="dxa"/>
            <w:bottom w:w="15" w:type="dxa"/>
            <w:right w:w="15" w:type="dxa"/>
          </w:tblCellMar>
        </w:tblPrEx>
        <w:trPr>
          <w:trHeight w:val="720"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62257">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种苗名称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9C58C">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规格(≥)</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6FC6B">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数量(万只)</w:t>
            </w: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45BD2">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单价(元/只)</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5B69B">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金额(万元)</w:t>
            </w:r>
          </w:p>
        </w:tc>
        <w:tc>
          <w:tcPr>
            <w:tcW w:w="1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0871A">
            <w:pPr>
              <w:widowControl/>
              <w:spacing w:line="288" w:lineRule="auto"/>
              <w:jc w:val="center"/>
              <w:textAlignment w:val="center"/>
              <w:rPr>
                <w:rFonts w:hint="eastAsia" w:ascii="宋体" w:hAnsi="宋体" w:eastAsia="宋体" w:cs="宋体"/>
                <w:b/>
                <w:color w:val="auto"/>
                <w:kern w:val="0"/>
                <w:sz w:val="20"/>
              </w:rPr>
            </w:pPr>
            <w:r>
              <w:rPr>
                <w:rFonts w:hint="eastAsia" w:ascii="宋体" w:hAnsi="宋体" w:eastAsia="宋体" w:cs="宋体"/>
                <w:b/>
                <w:color w:val="auto"/>
                <w:kern w:val="0"/>
                <w:sz w:val="20"/>
              </w:rPr>
              <w:t>放流时间</w:t>
            </w:r>
          </w:p>
          <w:p w14:paraId="37226318">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202</w:t>
            </w:r>
            <w:r>
              <w:rPr>
                <w:rFonts w:hint="eastAsia" w:ascii="宋体" w:hAnsi="宋体" w:eastAsia="宋体" w:cs="宋体"/>
                <w:b/>
                <w:color w:val="auto"/>
                <w:kern w:val="0"/>
                <w:sz w:val="20"/>
                <w:lang w:val="en-US" w:eastAsia="zh-CN"/>
              </w:rPr>
              <w:t>5</w:t>
            </w:r>
            <w:r>
              <w:rPr>
                <w:rFonts w:hint="eastAsia" w:ascii="宋体" w:hAnsi="宋体" w:eastAsia="宋体" w:cs="宋体"/>
                <w:b/>
                <w:color w:val="auto"/>
                <w:kern w:val="0"/>
                <w:sz w:val="20"/>
              </w:rPr>
              <w:t>年(月)</w:t>
            </w:r>
          </w:p>
        </w:tc>
        <w:tc>
          <w:tcPr>
            <w:tcW w:w="13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5FF20">
            <w:pPr>
              <w:widowControl/>
              <w:spacing w:line="288" w:lineRule="auto"/>
              <w:jc w:val="center"/>
              <w:textAlignment w:val="center"/>
              <w:rPr>
                <w:rFonts w:hint="eastAsia" w:ascii="宋体" w:hAnsi="宋体" w:eastAsia="宋体" w:cs="宋体"/>
                <w:b/>
                <w:color w:val="auto"/>
                <w:sz w:val="20"/>
              </w:rPr>
            </w:pPr>
            <w:r>
              <w:rPr>
                <w:rFonts w:hint="eastAsia" w:ascii="宋体" w:hAnsi="宋体" w:eastAsia="宋体" w:cs="宋体"/>
                <w:b/>
                <w:color w:val="auto"/>
                <w:kern w:val="0"/>
                <w:sz w:val="20"/>
              </w:rPr>
              <w:t>放流海域</w:t>
            </w:r>
          </w:p>
        </w:tc>
      </w:tr>
      <w:tr w14:paraId="267E05FC">
        <w:tblPrEx>
          <w:tblCellMar>
            <w:top w:w="15" w:type="dxa"/>
            <w:left w:w="15" w:type="dxa"/>
            <w:bottom w:w="15" w:type="dxa"/>
            <w:right w:w="15" w:type="dxa"/>
          </w:tblCellMar>
        </w:tblPrEx>
        <w:trPr>
          <w:trHeight w:val="495"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4ACDC">
            <w:pPr>
              <w:widowControl/>
              <w:spacing w:line="288" w:lineRule="auto"/>
              <w:jc w:val="center"/>
              <w:textAlignment w:val="center"/>
              <w:rPr>
                <w:rFonts w:hint="eastAsia" w:ascii="宋体" w:hAnsi="宋体" w:eastAsia="宋体" w:cs="宋体"/>
                <w:color w:val="auto"/>
                <w:sz w:val="20"/>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DDD07">
            <w:pPr>
              <w:widowControl/>
              <w:spacing w:line="288" w:lineRule="auto"/>
              <w:jc w:val="center"/>
              <w:textAlignment w:val="center"/>
              <w:rPr>
                <w:rFonts w:hint="eastAsia" w:ascii="宋体" w:hAnsi="宋体" w:eastAsia="宋体" w:cs="宋体"/>
                <w:color w:val="auto"/>
                <w:sz w:val="20"/>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BB88D">
            <w:pPr>
              <w:widowControl/>
              <w:spacing w:line="288" w:lineRule="auto"/>
              <w:jc w:val="center"/>
              <w:textAlignment w:val="center"/>
              <w:rPr>
                <w:rFonts w:hint="eastAsia" w:ascii="宋体" w:hAnsi="宋体" w:eastAsia="宋体" w:cs="宋体"/>
                <w:color w:val="auto"/>
                <w:sz w:val="20"/>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2B4E1">
            <w:pPr>
              <w:widowControl/>
              <w:spacing w:line="288" w:lineRule="auto"/>
              <w:jc w:val="center"/>
              <w:textAlignment w:val="center"/>
              <w:rPr>
                <w:rFonts w:hint="eastAsia" w:ascii="宋体" w:hAnsi="宋体" w:eastAsia="宋体" w:cs="宋体"/>
                <w:color w:val="auto"/>
                <w:sz w:val="20"/>
              </w:rPr>
            </w:pP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8FA8B">
            <w:pPr>
              <w:widowControl/>
              <w:spacing w:line="288" w:lineRule="auto"/>
              <w:jc w:val="center"/>
              <w:textAlignment w:val="center"/>
              <w:rPr>
                <w:rFonts w:hint="eastAsia" w:ascii="宋体" w:hAnsi="宋体" w:eastAsia="宋体" w:cs="宋体"/>
                <w:color w:val="auto"/>
                <w:sz w:val="20"/>
              </w:rPr>
            </w:pPr>
          </w:p>
        </w:tc>
        <w:tc>
          <w:tcPr>
            <w:tcW w:w="1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92CCD">
            <w:pPr>
              <w:widowControl/>
              <w:spacing w:line="288" w:lineRule="auto"/>
              <w:jc w:val="center"/>
              <w:textAlignment w:val="center"/>
              <w:rPr>
                <w:rFonts w:hint="eastAsia" w:ascii="宋体" w:hAnsi="宋体" w:eastAsia="宋体" w:cs="宋体"/>
                <w:color w:val="auto"/>
                <w:sz w:val="20"/>
              </w:rPr>
            </w:pPr>
          </w:p>
        </w:tc>
        <w:tc>
          <w:tcPr>
            <w:tcW w:w="13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6E34F">
            <w:pPr>
              <w:widowControl/>
              <w:spacing w:line="288" w:lineRule="auto"/>
              <w:jc w:val="center"/>
              <w:textAlignment w:val="center"/>
              <w:rPr>
                <w:rFonts w:hint="eastAsia" w:ascii="宋体" w:hAnsi="宋体" w:eastAsia="宋体" w:cs="宋体"/>
                <w:color w:val="auto"/>
                <w:sz w:val="20"/>
              </w:rPr>
            </w:pPr>
          </w:p>
        </w:tc>
      </w:tr>
    </w:tbl>
    <w:p w14:paraId="3E086028">
      <w:pPr>
        <w:spacing w:before="170" w:after="170"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二、合同金额</w:t>
      </w:r>
    </w:p>
    <w:p w14:paraId="6A37E49C">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本合同金额为（大写）：人民币</w:t>
      </w:r>
      <w:r>
        <w:rPr>
          <w:rFonts w:hint="eastAsia" w:ascii="宋体" w:hAnsi="宋体" w:eastAsia="宋体" w:cs="Times New Roman"/>
          <w:color w:val="auto"/>
          <w:u w:val="single"/>
        </w:rPr>
        <w:t xml:space="preserve">    </w:t>
      </w:r>
      <w:r>
        <w:rPr>
          <w:rFonts w:hint="eastAsia" w:ascii="宋体" w:hAnsi="宋体" w:eastAsia="宋体" w:cs="Times New Roman"/>
          <w:color w:val="auto"/>
        </w:rPr>
        <w:t xml:space="preserve"> </w:t>
      </w:r>
      <w:r>
        <w:rPr>
          <w:rFonts w:hint="eastAsia" w:ascii="宋体" w:hAnsi="宋体" w:eastAsia="宋体" w:cs="Times New Roman"/>
          <w:color w:val="auto"/>
          <w:lang w:val="en-US" w:eastAsia="zh-CN"/>
        </w:rPr>
        <w:t>元整</w:t>
      </w:r>
      <w:r>
        <w:rPr>
          <w:rFonts w:hint="eastAsia" w:ascii="宋体" w:hAnsi="宋体" w:eastAsia="宋体" w:cs="Times New Roman"/>
          <w:color w:val="auto"/>
        </w:rPr>
        <w:t>（</w:t>
      </w:r>
      <w:r>
        <w:rPr>
          <w:rFonts w:ascii="Arial" w:hAnsi="Arial" w:eastAsia="宋体" w:cs="Arial"/>
          <w:color w:val="auto"/>
        </w:rPr>
        <w:t>¥</w:t>
      </w:r>
      <w:r>
        <w:rPr>
          <w:rFonts w:hint="eastAsia" w:ascii="宋体" w:hAnsi="宋体" w:eastAsia="宋体" w:cs="Times New Roman"/>
          <w:color w:val="auto"/>
        </w:rPr>
        <w:t xml:space="preserve"> </w:t>
      </w:r>
      <w:r>
        <w:rPr>
          <w:rFonts w:hint="eastAsia" w:ascii="宋体" w:hAnsi="宋体" w:eastAsia="宋体" w:cs="Times New Roman"/>
          <w:color w:val="auto"/>
          <w:u w:val="single"/>
        </w:rPr>
        <w:t xml:space="preserve">   </w:t>
      </w:r>
      <w:r>
        <w:rPr>
          <w:rFonts w:hint="eastAsia" w:ascii="宋体" w:hAnsi="宋体" w:eastAsia="宋体" w:cs="Times New Roman"/>
          <w:color w:val="auto"/>
        </w:rPr>
        <w:t>），已包含种苗、培育繁殖、检验检测、放流以及税金等全部费用。</w:t>
      </w:r>
    </w:p>
    <w:p w14:paraId="0498EDB4">
      <w:pPr>
        <w:spacing w:before="170" w:after="170"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三、甲方的权利和义务</w:t>
      </w:r>
    </w:p>
    <w:p w14:paraId="21A0B2CF">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1.随时派遣监督人员、技术人员对乙方培育种苗场所及培育苗种进行实地查看，及时了解掌握乙方的种苗培育情况。</w:t>
      </w:r>
    </w:p>
    <w:p w14:paraId="76B74BF1">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2.派遣监督人员和技术人员对乙方的增殖放流用种苗的规格、数量和质量等进行现场验收，具体验收方案，由监督人员和技术人员根据验收现场实际情况确定。放流实施全过程监管，并填写《浙江省水生生物增殖放流工作监督表》确认最终放流结果。</w:t>
      </w:r>
    </w:p>
    <w:p w14:paraId="0672F29A">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3.根据乙方的投标承诺和种苗培育情况，负责拟定具体放流时间、地点、运输方式等放流实施计划。</w:t>
      </w:r>
    </w:p>
    <w:p w14:paraId="60AADFAD">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4.甲方有权对乙方提供的种苗和相关技术方案进行必要的检查和审阅，有权对乙方提供的种苗进行</w:t>
      </w:r>
      <w:r>
        <w:rPr>
          <w:rFonts w:hint="eastAsia" w:ascii="宋体" w:hAnsi="宋体" w:eastAsia="宋体" w:cs="宋体"/>
          <w:color w:val="auto"/>
          <w:kern w:val="0"/>
          <w:szCs w:val="21"/>
        </w:rPr>
        <w:t>检测</w:t>
      </w:r>
      <w:r>
        <w:rPr>
          <w:rFonts w:hint="eastAsia" w:ascii="宋体" w:hAnsi="宋体" w:eastAsia="宋体" w:cs="Times New Roman"/>
          <w:color w:val="auto"/>
          <w:szCs w:val="21"/>
        </w:rPr>
        <w:t>复检，确保放流种苗的安全性。</w:t>
      </w:r>
    </w:p>
    <w:p w14:paraId="20F56334">
      <w:pPr>
        <w:spacing w:line="288" w:lineRule="auto"/>
        <w:rPr>
          <w:rFonts w:hint="eastAsia" w:ascii="宋体" w:hAnsi="宋体" w:eastAsia="宋体" w:cs="Times New Roman"/>
          <w:color w:val="auto"/>
          <w:szCs w:val="21"/>
        </w:rPr>
      </w:pPr>
      <w:r>
        <w:rPr>
          <w:rFonts w:hint="eastAsia" w:ascii="宋体" w:hAnsi="宋体" w:eastAsia="宋体" w:cs="Times New Roman"/>
          <w:color w:val="auto"/>
          <w:spacing w:val="-4"/>
          <w:szCs w:val="21"/>
        </w:rPr>
        <w:t xml:space="preserve">    5.乙方提供的</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规格若未达到合同要求，甲方可以要求乙方延期放流；延期后超出合同放流时间的，不予放流，乙方应根据合同第八条承担</w:t>
      </w:r>
      <w:r>
        <w:rPr>
          <w:rFonts w:hint="eastAsia" w:ascii="宋体" w:hAnsi="宋体" w:eastAsia="宋体" w:cs="Times New Roman"/>
          <w:color w:val="auto"/>
        </w:rPr>
        <w:t>违约责任。</w:t>
      </w:r>
    </w:p>
    <w:p w14:paraId="23E1A1C9">
      <w:pPr>
        <w:spacing w:line="288" w:lineRule="auto"/>
        <w:rPr>
          <w:rFonts w:hint="eastAsia" w:ascii="宋体" w:hAnsi="宋体" w:eastAsia="宋体" w:cs="Times New Roman"/>
          <w:color w:val="auto"/>
          <w:szCs w:val="21"/>
        </w:rPr>
      </w:pPr>
      <w:r>
        <w:rPr>
          <w:rFonts w:hint="eastAsia" w:ascii="宋体" w:hAnsi="宋体" w:eastAsia="宋体" w:cs="Times New Roman"/>
          <w:color w:val="auto"/>
        </w:rPr>
        <w:t xml:space="preserve">    6.放流过程中若遇到技术和操作上的难题，由双方共同商定后实施。因克服难题所需费用全部由乙方承担。</w:t>
      </w:r>
    </w:p>
    <w:p w14:paraId="0539E126">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7.按本合同第六条约定支付款项。</w:t>
      </w:r>
    </w:p>
    <w:p w14:paraId="67619C24">
      <w:pPr>
        <w:spacing w:line="288" w:lineRule="auto"/>
        <w:rPr>
          <w:rFonts w:hint="eastAsia" w:ascii="宋体" w:hAnsi="宋体" w:eastAsia="宋体" w:cs="Times New Roman"/>
          <w:b/>
          <w:bCs/>
          <w:color w:val="auto"/>
          <w:szCs w:val="21"/>
        </w:rPr>
      </w:pPr>
    </w:p>
    <w:p w14:paraId="2A52D2C7">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四、乙方的权利和义务：</w:t>
      </w:r>
    </w:p>
    <w:p w14:paraId="099E8789">
      <w:pPr>
        <w:spacing w:line="288" w:lineRule="auto"/>
        <w:ind w:firstLine="432"/>
        <w:rPr>
          <w:rFonts w:hint="eastAsia" w:ascii="宋体" w:hAnsi="宋体" w:eastAsia="宋体" w:cs="Times New Roman"/>
          <w:color w:val="auto"/>
        </w:rPr>
      </w:pPr>
      <w:r>
        <w:rPr>
          <w:rFonts w:hint="eastAsia" w:ascii="宋体" w:hAnsi="宋体" w:eastAsia="宋体" w:cs="Times New Roman"/>
          <w:color w:val="auto"/>
        </w:rPr>
        <w:t>1.乙方按照有关种苗繁育技术规范进行种苗繁育，认真填写育苗日志，记录种苗繁育的关键环节。</w:t>
      </w:r>
    </w:p>
    <w:p w14:paraId="0EAEC220">
      <w:pPr>
        <w:spacing w:line="288" w:lineRule="auto"/>
        <w:ind w:firstLine="420" w:firstLineChars="200"/>
        <w:rPr>
          <w:rFonts w:hint="eastAsia" w:ascii="宋体" w:hAnsi="宋体" w:eastAsia="宋体" w:cs="Times New Roman"/>
          <w:color w:val="auto"/>
          <w:szCs w:val="21"/>
        </w:rPr>
      </w:pPr>
      <w:bookmarkStart w:id="6" w:name="_Hlk160185483"/>
      <w:r>
        <w:rPr>
          <w:rFonts w:hint="eastAsia" w:ascii="宋体" w:hAnsi="宋体" w:eastAsia="宋体" w:cs="Times New Roman"/>
          <w:color w:val="auto"/>
          <w:szCs w:val="21"/>
        </w:rPr>
        <w:t>2.乙方应有用于繁育增殖放流苗种的亲本，亲本数量要满足放流苗种生产需要；亲本应当来自该物种原产地天然水域、水产种质资源保护区或省级及以上原种场保育的原种，且来源、培育、更新记录清楚完整；对种类特征明显异常且无符合规定的亲本来源证明的，未经种质鉴定不得放流。</w:t>
      </w:r>
    </w:p>
    <w:bookmarkEnd w:id="6"/>
    <w:p w14:paraId="736A0FE0">
      <w:pPr>
        <w:spacing w:line="288" w:lineRule="auto"/>
        <w:ind w:firstLine="420" w:firstLineChars="200"/>
        <w:jc w:val="left"/>
        <w:rPr>
          <w:rFonts w:hint="eastAsia" w:ascii="Times New Roman" w:hAnsi="宋体" w:eastAsia="宋体" w:cs="Times New Roman"/>
          <w:color w:val="auto"/>
          <w:szCs w:val="21"/>
        </w:rPr>
      </w:pPr>
      <w:r>
        <w:rPr>
          <w:rFonts w:ascii="宋体" w:hAnsi="宋体" w:eastAsia="宋体" w:cs="Times New Roman"/>
          <w:color w:val="auto"/>
          <w:szCs w:val="21"/>
        </w:rPr>
        <w:t>3</w:t>
      </w:r>
      <w:r>
        <w:rPr>
          <w:rFonts w:hint="eastAsia" w:ascii="宋体" w:hAnsi="宋体" w:eastAsia="宋体" w:cs="Times New Roman"/>
          <w:color w:val="auto"/>
          <w:szCs w:val="21"/>
        </w:rPr>
        <w:t>.乙方在以下放流种类所表示的种苗培育阶段内,应提前一周告知甲方进行前期验收；超出以下种类所表示的种苗培育阶段的种苗不予验收。鱼类：鱼花</w:t>
      </w:r>
      <w:r>
        <w:rPr>
          <w:rFonts w:ascii="宋体" w:hAnsi="宋体" w:eastAsia="宋体" w:cs="Times New Roman"/>
          <w:color w:val="auto"/>
          <w:szCs w:val="21"/>
        </w:rPr>
        <w:t>—</w:t>
      </w:r>
      <w:r>
        <w:rPr>
          <w:rFonts w:hint="eastAsia" w:ascii="宋体" w:hAnsi="宋体" w:eastAsia="宋体" w:cs="Times New Roman"/>
          <w:color w:val="auto"/>
          <w:szCs w:val="21"/>
        </w:rPr>
        <w:t>仔稚鱼期间；贝类：亲体</w:t>
      </w:r>
      <w:r>
        <w:rPr>
          <w:rFonts w:ascii="宋体" w:hAnsi="宋体" w:eastAsia="宋体" w:cs="Times New Roman"/>
          <w:color w:val="auto"/>
          <w:szCs w:val="21"/>
        </w:rPr>
        <w:t>—</w:t>
      </w:r>
      <w:r>
        <w:rPr>
          <w:rFonts w:hint="eastAsia" w:ascii="宋体" w:hAnsi="宋体" w:eastAsia="宋体" w:cs="Times New Roman"/>
          <w:color w:val="auto"/>
          <w:szCs w:val="21"/>
        </w:rPr>
        <w:t>眼点幼体期间；虾类：无节幼体</w:t>
      </w:r>
      <w:r>
        <w:rPr>
          <w:rFonts w:ascii="宋体" w:hAnsi="宋体" w:eastAsia="宋体" w:cs="Times New Roman"/>
          <w:color w:val="auto"/>
          <w:szCs w:val="21"/>
        </w:rPr>
        <w:t>—</w:t>
      </w:r>
      <w:r>
        <w:rPr>
          <w:rFonts w:hint="eastAsia" w:ascii="宋体" w:hAnsi="宋体" w:eastAsia="宋体" w:cs="Times New Roman"/>
          <w:color w:val="auto"/>
          <w:szCs w:val="21"/>
        </w:rPr>
        <w:t>糠虾期间；乌贼：亲体;</w:t>
      </w:r>
      <w:r>
        <w:rPr>
          <w:rFonts w:hint="eastAsia" w:ascii="Times New Roman" w:hAnsi="宋体" w:eastAsia="宋体" w:cs="Times New Roman"/>
          <w:color w:val="auto"/>
          <w:szCs w:val="21"/>
        </w:rPr>
        <w:t>海蜇：螅状体—蝶状体期间；</w:t>
      </w:r>
      <w:r>
        <w:rPr>
          <w:rFonts w:hint="eastAsia" w:ascii="宋体" w:hAnsi="宋体" w:eastAsia="宋体" w:cs="Times New Roman"/>
          <w:color w:val="auto"/>
          <w:szCs w:val="21"/>
        </w:rPr>
        <w:t>三疣梭子蟹：蚤状幼体—大眼幼体期间。未经甲方前期验收和确认的种苗不予放流。</w:t>
      </w:r>
    </w:p>
    <w:p w14:paraId="2B5E3CE1">
      <w:pPr>
        <w:spacing w:line="288" w:lineRule="auto"/>
        <w:ind w:firstLine="420" w:firstLineChars="200"/>
        <w:rPr>
          <w:rFonts w:hint="eastAsia" w:ascii="宋体" w:hAnsi="宋体" w:eastAsia="宋体" w:cs="宋体"/>
          <w:color w:val="auto"/>
          <w:szCs w:val="21"/>
        </w:rPr>
      </w:pPr>
      <w:r>
        <w:rPr>
          <w:rFonts w:ascii="宋体" w:hAnsi="宋体" w:eastAsia="宋体" w:cs="Times New Roman"/>
          <w:color w:val="auto"/>
          <w:szCs w:val="21"/>
        </w:rPr>
        <w:t>4</w:t>
      </w:r>
      <w:r>
        <w:rPr>
          <w:rFonts w:hint="eastAsia" w:ascii="宋体" w:hAnsi="宋体" w:eastAsia="宋体" w:cs="Times New Roman"/>
          <w:color w:val="auto"/>
          <w:szCs w:val="21"/>
        </w:rPr>
        <w:t>.</w:t>
      </w:r>
      <w:r>
        <w:rPr>
          <w:rFonts w:hint="eastAsia" w:ascii="宋体" w:hAnsi="宋体" w:eastAsia="宋体" w:cs="宋体"/>
          <w:color w:val="auto"/>
          <w:szCs w:val="21"/>
        </w:rPr>
        <w:t>乙方在放流前必须</w:t>
      </w:r>
      <w:r>
        <w:rPr>
          <w:rFonts w:hint="eastAsia" w:ascii="宋体" w:hAnsi="宋体" w:eastAsia="宋体" w:cs="宋体"/>
          <w:color w:val="auto"/>
          <w:kern w:val="0"/>
          <w:szCs w:val="21"/>
        </w:rPr>
        <w:t>委托有资质的机构</w:t>
      </w:r>
      <w:r>
        <w:rPr>
          <w:rFonts w:hint="eastAsia" w:ascii="宋体" w:hAnsi="宋体" w:eastAsia="宋体" w:cs="宋体"/>
          <w:color w:val="auto"/>
          <w:szCs w:val="21"/>
        </w:rPr>
        <w:t>（单位）</w:t>
      </w:r>
      <w:r>
        <w:rPr>
          <w:rFonts w:hint="eastAsia" w:ascii="宋体" w:hAnsi="宋体" w:eastAsia="宋体" w:cs="宋体"/>
          <w:color w:val="auto"/>
          <w:kern w:val="0"/>
          <w:szCs w:val="21"/>
        </w:rPr>
        <w:t>,对该批次</w:t>
      </w:r>
      <w:r>
        <w:rPr>
          <w:rFonts w:hint="eastAsia" w:ascii="宋体" w:hAnsi="宋体" w:eastAsia="宋体" w:cs="宋体"/>
          <w:color w:val="auto"/>
          <w:szCs w:val="21"/>
        </w:rPr>
        <w:t>放流种苗进行药残检验</w:t>
      </w:r>
      <w:r>
        <w:rPr>
          <w:rFonts w:hint="eastAsia" w:ascii="宋体" w:hAnsi="宋体" w:eastAsia="宋体" w:cs="宋体"/>
          <w:bCs/>
          <w:color w:val="auto"/>
          <w:szCs w:val="21"/>
        </w:rPr>
        <w:t>,</w:t>
      </w:r>
      <w:r>
        <w:rPr>
          <w:rFonts w:hint="eastAsia" w:ascii="宋体" w:hAnsi="宋体" w:eastAsia="宋体" w:cs="宋体"/>
          <w:color w:val="auto"/>
          <w:szCs w:val="21"/>
        </w:rPr>
        <w:t>并向当地水产技术推广机构（或委托有能力的科研机构）申请疫病检测。增殖放流种苗药残检验按《农业部办公厅关于开展增殖放流经济水产苗种质量安全检验的通知》（农办渔〔2009〕52号）执行；种苗疫病检测参照《农业部关于印发&lt;鱼类产地检疫规程（试行）&gt;等3个规程的通知》(农渔发〔2011〕6号)执行，经检验含有药残或不符合疫病检测合格标准的水产苗种，不得用于增殖放流。乙方在放流前必须提供检验检测报告原件，</w:t>
      </w:r>
      <w:r>
        <w:rPr>
          <w:rFonts w:hint="eastAsia" w:ascii="宋体" w:hAnsi="宋体" w:eastAsia="宋体" w:cs="Times New Roman"/>
          <w:color w:val="auto"/>
          <w:szCs w:val="21"/>
        </w:rPr>
        <w:t>否则不予放流。</w:t>
      </w:r>
    </w:p>
    <w:p w14:paraId="02D39A0C">
      <w:pPr>
        <w:spacing w:line="288"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说明：①药残检验指标为硝基呋喃类代谢物、孔雀石绿和氯霉素。</w:t>
      </w:r>
    </w:p>
    <w:p w14:paraId="00D58EFC">
      <w:pPr>
        <w:widowControl/>
        <w:adjustRightInd w:val="0"/>
        <w:snapToGrid w:val="0"/>
        <w:spacing w:line="288" w:lineRule="auto"/>
        <w:ind w:firstLine="1050" w:firstLineChars="500"/>
        <w:rPr>
          <w:rFonts w:hint="eastAsia" w:ascii="宋体" w:hAnsi="宋体" w:eastAsia="宋体" w:cs="宋体"/>
          <w:color w:val="auto"/>
          <w:szCs w:val="21"/>
        </w:rPr>
      </w:pPr>
      <w:r>
        <w:rPr>
          <w:rFonts w:hint="eastAsia" w:ascii="宋体" w:hAnsi="宋体" w:eastAsia="宋体" w:cs="宋体"/>
          <w:color w:val="auto"/>
          <w:szCs w:val="21"/>
        </w:rPr>
        <w:t>②疫病检测范围及对象：海水鱼类为刺激隐核虫病；对虾为白斑综合征、桃拉综合征和传染性肌肉坏死病。</w:t>
      </w:r>
    </w:p>
    <w:p w14:paraId="20EA04C5">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szCs w:val="21"/>
        </w:rPr>
        <w:t>5</w:t>
      </w:r>
      <w:r>
        <w:rPr>
          <w:rFonts w:hint="eastAsia" w:ascii="宋体" w:hAnsi="宋体" w:eastAsia="宋体" w:cs="Times New Roman"/>
          <w:color w:val="auto"/>
          <w:szCs w:val="21"/>
        </w:rPr>
        <w:t>.鱼类</w:t>
      </w:r>
      <w:r>
        <w:rPr>
          <w:rFonts w:hint="eastAsia" w:ascii="Times New Roman" w:hAnsi="Times New Roman" w:eastAsia="宋体" w:cs="Times New Roman"/>
          <w:color w:val="auto"/>
          <w:szCs w:val="21"/>
        </w:rPr>
        <w:t>种苗放流前还必须经网箱暂养或拉网锻炼(网箱暂养时间原则上不少于一个月，拉网锻炼时间不少于一周)</w:t>
      </w:r>
      <w:r>
        <w:rPr>
          <w:rFonts w:hint="eastAsia" w:ascii="宋体" w:hAnsi="宋体" w:eastAsia="宋体" w:cs="Times New Roman"/>
          <w:color w:val="auto"/>
          <w:szCs w:val="21"/>
        </w:rPr>
        <w:t>。</w:t>
      </w:r>
    </w:p>
    <w:p w14:paraId="0DBF64E7">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rPr>
        <w:t>6</w:t>
      </w:r>
      <w:r>
        <w:rPr>
          <w:rFonts w:hint="eastAsia" w:ascii="宋体" w:hAnsi="宋体" w:eastAsia="宋体" w:cs="Times New Roman"/>
          <w:color w:val="auto"/>
        </w:rPr>
        <w:t>.乙方</w:t>
      </w:r>
      <w:r>
        <w:rPr>
          <w:rFonts w:hint="eastAsia" w:ascii="宋体" w:hAnsi="宋体" w:eastAsia="宋体" w:cs="Times New Roman"/>
          <w:color w:val="auto"/>
          <w:szCs w:val="21"/>
        </w:rPr>
        <w:t>负责提出种苗放流的相关方案,经甲方确认后方能实施；每次放流实施应提前十天书面通知甲方。</w:t>
      </w:r>
    </w:p>
    <w:p w14:paraId="7AA1C945">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szCs w:val="21"/>
        </w:rPr>
        <w:t>7</w:t>
      </w:r>
      <w:r>
        <w:rPr>
          <w:rFonts w:hint="eastAsia" w:ascii="宋体" w:hAnsi="宋体" w:eastAsia="宋体" w:cs="Times New Roman"/>
          <w:color w:val="auto"/>
          <w:szCs w:val="21"/>
        </w:rPr>
        <w:t>.乙方要严格按照甲方要求，做好种苗的抽样、计数、测量、运输等相关工作。</w:t>
      </w:r>
    </w:p>
    <w:p w14:paraId="75B07E27">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szCs w:val="21"/>
        </w:rPr>
        <w:t>8</w:t>
      </w:r>
      <w:r>
        <w:rPr>
          <w:rFonts w:hint="eastAsia" w:ascii="宋体" w:hAnsi="宋体" w:eastAsia="宋体" w:cs="Times New Roman"/>
          <w:color w:val="auto"/>
          <w:szCs w:val="21"/>
        </w:rPr>
        <w:t>.提供与放流相关的服务，按甲方放流计划要求，准时将种苗运抵甲方指定的放流地点，并确保运输环节放流种苗的安全、健康。</w:t>
      </w:r>
    </w:p>
    <w:p w14:paraId="588409FD">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szCs w:val="21"/>
        </w:rPr>
        <w:t>9</w:t>
      </w:r>
      <w:r>
        <w:rPr>
          <w:rFonts w:hint="eastAsia" w:ascii="宋体" w:hAnsi="宋体" w:eastAsia="宋体" w:cs="Times New Roman"/>
          <w:color w:val="auto"/>
          <w:szCs w:val="21"/>
        </w:rPr>
        <w:t>.对于室内(含大棚)培育的种苗，要求放流前池内水温和当时放流海域的平均水温之差原则上不得大于±3℃。</w:t>
      </w:r>
    </w:p>
    <w:p w14:paraId="3F1DB70C">
      <w:pPr>
        <w:spacing w:line="288" w:lineRule="auto"/>
        <w:ind w:firstLine="420" w:firstLineChars="200"/>
        <w:rPr>
          <w:rFonts w:hint="eastAsia" w:ascii="宋体" w:hAnsi="宋体" w:eastAsia="宋体" w:cs="Times New Roman"/>
          <w:color w:val="auto"/>
          <w:szCs w:val="21"/>
        </w:rPr>
      </w:pPr>
      <w:r>
        <w:rPr>
          <w:rFonts w:ascii="宋体" w:hAnsi="宋体" w:eastAsia="宋体" w:cs="Times New Roman"/>
          <w:color w:val="auto"/>
        </w:rPr>
        <w:t>10</w:t>
      </w:r>
      <w:r>
        <w:rPr>
          <w:rFonts w:hint="eastAsia" w:ascii="宋体" w:hAnsi="宋体" w:eastAsia="宋体" w:cs="Times New Roman"/>
          <w:color w:val="auto"/>
        </w:rPr>
        <w:t>.放流过程中若遇到技术和操作上的难题，由双方共同商定后实施。因克服难题所需费用全部由乙方承担。</w:t>
      </w:r>
    </w:p>
    <w:p w14:paraId="0CDE77F3">
      <w:pPr>
        <w:spacing w:line="288" w:lineRule="auto"/>
        <w:rPr>
          <w:rFonts w:hint="eastAsia" w:ascii="宋体" w:hAnsi="宋体" w:eastAsia="宋体" w:cs="Times New Roman"/>
          <w:color w:val="auto"/>
          <w:szCs w:val="21"/>
        </w:rPr>
      </w:pPr>
      <w:r>
        <w:rPr>
          <w:rFonts w:hint="eastAsia" w:ascii="宋体" w:hAnsi="宋体" w:eastAsia="宋体" w:cs="Times New Roman"/>
          <w:color w:val="auto"/>
          <w:szCs w:val="21"/>
        </w:rPr>
        <w:t xml:space="preserve">    1</w:t>
      </w:r>
      <w:r>
        <w:rPr>
          <w:rFonts w:ascii="宋体" w:hAnsi="宋体" w:eastAsia="宋体" w:cs="Times New Roman"/>
          <w:color w:val="auto"/>
          <w:szCs w:val="21"/>
        </w:rPr>
        <w:t>1</w:t>
      </w:r>
      <w:r>
        <w:rPr>
          <w:rFonts w:hint="eastAsia" w:ascii="宋体" w:hAnsi="宋体" w:eastAsia="宋体" w:cs="Times New Roman"/>
          <w:color w:val="auto"/>
          <w:szCs w:val="21"/>
        </w:rPr>
        <w:t>.在甲方付款前向甲方出具等额有效的发票。</w:t>
      </w:r>
    </w:p>
    <w:p w14:paraId="701C37CD">
      <w:pPr>
        <w:spacing w:line="288" w:lineRule="auto"/>
        <w:rPr>
          <w:rFonts w:hint="eastAsia" w:ascii="宋体" w:hAnsi="宋体" w:eastAsia="宋体" w:cs="Times New Roman"/>
          <w:color w:val="auto"/>
          <w:spacing w:val="-4"/>
          <w:szCs w:val="21"/>
        </w:rPr>
      </w:pPr>
      <w:r>
        <w:rPr>
          <w:rFonts w:hint="eastAsia" w:ascii="宋体" w:hAnsi="宋体" w:eastAsia="宋体" w:cs="Times New Roman"/>
          <w:color w:val="auto"/>
          <w:spacing w:val="-4"/>
          <w:szCs w:val="21"/>
        </w:rPr>
        <w:t xml:space="preserve">    1</w:t>
      </w:r>
      <w:r>
        <w:rPr>
          <w:rFonts w:ascii="宋体" w:hAnsi="宋体" w:eastAsia="宋体" w:cs="Times New Roman"/>
          <w:color w:val="auto"/>
          <w:spacing w:val="-4"/>
          <w:szCs w:val="21"/>
        </w:rPr>
        <w:t>2</w:t>
      </w:r>
      <w:r>
        <w:rPr>
          <w:rFonts w:hint="eastAsia" w:ascii="宋体" w:hAnsi="宋体" w:eastAsia="宋体" w:cs="Times New Roman"/>
          <w:color w:val="auto"/>
          <w:spacing w:val="-4"/>
          <w:szCs w:val="21"/>
        </w:rPr>
        <w:t>.放流工作结束后，乙方有权按本合同约定要求甲方及时支付</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款项。</w:t>
      </w:r>
    </w:p>
    <w:p w14:paraId="335D575D">
      <w:pPr>
        <w:spacing w:line="288" w:lineRule="auto"/>
        <w:rPr>
          <w:rFonts w:hint="eastAsia" w:ascii="宋体" w:hAnsi="宋体" w:eastAsia="宋体" w:cs="Times New Roman"/>
          <w:b/>
          <w:bCs/>
          <w:color w:val="auto"/>
          <w:szCs w:val="21"/>
        </w:rPr>
      </w:pPr>
    </w:p>
    <w:p w14:paraId="1EB66D80">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五、转包或分包</w:t>
      </w:r>
    </w:p>
    <w:p w14:paraId="392597E2">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.本合同范围内的种苗，应由</w:t>
      </w:r>
      <w:r>
        <w:rPr>
          <w:rFonts w:hint="eastAsia" w:ascii="宋体" w:hAnsi="宋体" w:eastAsia="宋体" w:cs="Times New Roman"/>
          <w:color w:val="auto"/>
          <w:szCs w:val="21"/>
        </w:rPr>
        <w:t>乙</w:t>
      </w:r>
      <w:r>
        <w:rPr>
          <w:rFonts w:hint="eastAsia" w:ascii="宋体" w:hAnsi="宋体" w:eastAsia="宋体" w:cs="Times New Roman"/>
          <w:color w:val="auto"/>
        </w:rPr>
        <w:t>方直接供应，不得转让他人供应。</w:t>
      </w:r>
    </w:p>
    <w:p w14:paraId="6E83DDC3">
      <w:pPr>
        <w:spacing w:line="288" w:lineRule="auto"/>
        <w:rPr>
          <w:rFonts w:hint="eastAsia" w:ascii="宋体" w:hAnsi="宋体" w:eastAsia="宋体" w:cs="Times New Roman"/>
          <w:b/>
          <w:bCs/>
          <w:color w:val="auto"/>
          <w:szCs w:val="21"/>
        </w:rPr>
      </w:pPr>
    </w:p>
    <w:p w14:paraId="5F9D9467">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六、结算及付款方式</w:t>
      </w:r>
    </w:p>
    <w:p w14:paraId="6C6DF27B">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1.增殖放流全部结束后，根据甲方进行现场验收确认书确定的放流种苗总数量结算款项。实际放流种苗数量以到达放流点成活的苗种数量为准，由甲方监督小组及技术小组人员验收确认并提供《浙江省水生生物增殖放流工作监督表》。</w:t>
      </w:r>
    </w:p>
    <w:p w14:paraId="5DEF7396">
      <w:pPr>
        <w:widowControl/>
        <w:autoSpaceDE w:val="0"/>
        <w:autoSpaceDN w:val="0"/>
        <w:spacing w:line="288" w:lineRule="auto"/>
        <w:ind w:firstLine="420" w:firstLineChars="200"/>
        <w:textAlignment w:val="bottom"/>
        <w:rPr>
          <w:rFonts w:hint="eastAsia" w:ascii="宋体" w:hAnsi="宋体" w:eastAsia="宋体" w:cs="宋体"/>
          <w:bCs/>
          <w:color w:val="auto"/>
          <w:szCs w:val="21"/>
        </w:rPr>
      </w:pPr>
      <w:r>
        <w:rPr>
          <w:rFonts w:hint="eastAsia" w:ascii="宋体" w:hAnsi="宋体" w:eastAsia="宋体" w:cs="Times New Roman"/>
          <w:color w:val="auto"/>
        </w:rPr>
        <w:t>2.</w:t>
      </w:r>
      <w:bookmarkStart w:id="7" w:name="_Hlk160185627"/>
      <w:r>
        <w:rPr>
          <w:rFonts w:hint="eastAsia" w:ascii="Times New Roman" w:hAnsi="Times New Roman" w:eastAsia="宋体" w:cs="Times New Roman"/>
          <w:color w:val="auto"/>
          <w:szCs w:val="21"/>
        </w:rPr>
        <w:t>合同生效以及具备实施条件后</w:t>
      </w:r>
      <w:r>
        <w:rPr>
          <w:rFonts w:ascii="Times New Roman" w:hAnsi="Times New Roman" w:eastAsia="宋体" w:cs="Times New Roman"/>
          <w:color w:val="auto"/>
          <w:szCs w:val="21"/>
        </w:rPr>
        <w:t>7个工作日内，</w:t>
      </w:r>
      <w:r>
        <w:rPr>
          <w:rFonts w:hint="eastAsia" w:ascii="Times New Roman" w:hAnsi="Times New Roman" w:eastAsia="宋体" w:cs="Times New Roman"/>
          <w:color w:val="auto"/>
          <w:szCs w:val="21"/>
        </w:rPr>
        <w:t>乙方先出具预付款保函（由业主确定），在收到合法票据后甲方支付40%的预付款。</w:t>
      </w:r>
      <w:bookmarkEnd w:id="7"/>
      <w:r>
        <w:rPr>
          <w:rFonts w:hint="eastAsia" w:ascii="宋体" w:hAnsi="宋体" w:eastAsia="宋体" w:cs="宋体"/>
          <w:bCs/>
          <w:color w:val="auto"/>
          <w:szCs w:val="21"/>
        </w:rPr>
        <w:t>待通过甲方验收且乙方完成全部放流任务后再支付剩余款项。</w:t>
      </w:r>
    </w:p>
    <w:p w14:paraId="7AEEB81C">
      <w:pPr>
        <w:widowControl/>
        <w:autoSpaceDE w:val="0"/>
        <w:autoSpaceDN w:val="0"/>
        <w:spacing w:line="288" w:lineRule="auto"/>
        <w:ind w:right="-53" w:rightChars="-25"/>
        <w:textAlignment w:val="bottom"/>
        <w:rPr>
          <w:rFonts w:hint="eastAsia" w:ascii="宋体" w:hAnsi="宋体" w:eastAsia="宋体" w:cs="Times New Roman"/>
          <w:b/>
          <w:bCs/>
          <w:color w:val="auto"/>
          <w:szCs w:val="21"/>
        </w:rPr>
      </w:pPr>
      <w:r>
        <w:rPr>
          <w:rFonts w:hint="eastAsia" w:ascii="宋体" w:hAnsi="宋体" w:eastAsia="宋体" w:cs="Times New Roman"/>
          <w:b/>
          <w:bCs/>
          <w:color w:val="auto"/>
          <w:szCs w:val="21"/>
        </w:rPr>
        <w:t xml:space="preserve">七、税  </w:t>
      </w:r>
    </w:p>
    <w:p w14:paraId="5F47C008">
      <w:pPr>
        <w:spacing w:line="288" w:lineRule="auto"/>
        <w:rPr>
          <w:rFonts w:hint="eastAsia" w:ascii="宋体" w:hAnsi="宋体" w:eastAsia="宋体" w:cs="Times New Roman"/>
          <w:b/>
          <w:bCs/>
          <w:color w:val="auto"/>
          <w:szCs w:val="21"/>
        </w:rPr>
      </w:pPr>
      <w:r>
        <w:rPr>
          <w:rFonts w:hint="eastAsia" w:ascii="宋体" w:hAnsi="宋体" w:eastAsia="宋体" w:cs="Times New Roman"/>
          <w:color w:val="auto"/>
        </w:rPr>
        <w:t xml:space="preserve">    本合同执行中相关的一切税费均由乙方负担。</w:t>
      </w:r>
    </w:p>
    <w:p w14:paraId="181F2192">
      <w:pPr>
        <w:spacing w:line="288" w:lineRule="auto"/>
        <w:rPr>
          <w:rFonts w:hint="eastAsia" w:ascii="宋体" w:hAnsi="宋体" w:eastAsia="宋体" w:cs="Times New Roman"/>
          <w:b/>
          <w:bCs/>
          <w:color w:val="auto"/>
          <w:szCs w:val="21"/>
        </w:rPr>
      </w:pPr>
    </w:p>
    <w:p w14:paraId="26A55EC0">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八、违约责任</w:t>
      </w:r>
    </w:p>
    <w:p w14:paraId="2B579EEC">
      <w:pPr>
        <w:spacing w:line="288" w:lineRule="auto"/>
        <w:ind w:firstLine="420" w:firstLineChars="200"/>
        <w:rPr>
          <w:rFonts w:ascii="宋体" w:hAnsi="Times New Roman"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.若乙方运抵放流点的种苗其游泳能力及健康状况未能达到放流要求，甲方可拒绝验收及放流。</w:t>
      </w:r>
    </w:p>
    <w:p w14:paraId="5F2F9EEE">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.乙方未能按本合同要求提供增殖放流用种苗或者部分提供放流种苗的，甲方有权解除本合同，且乙方须按未完成部分的合同金额的8％向甲方支付违约金。</w:t>
      </w:r>
    </w:p>
    <w:p w14:paraId="07469894">
      <w:pPr>
        <w:spacing w:line="288" w:lineRule="auto"/>
        <w:ind w:firstLine="420"/>
        <w:rPr>
          <w:rFonts w:hint="eastAsia" w:ascii="宋体" w:hAnsi="宋体" w:eastAsia="宋体" w:cs="Times New Roman"/>
          <w:color w:val="auto"/>
        </w:rPr>
      </w:pPr>
      <w:r>
        <w:rPr>
          <w:rFonts w:hint="eastAsia" w:ascii="宋体" w:hAnsi="宋体" w:eastAsia="宋体" w:cs="Times New Roman"/>
          <w:color w:val="auto"/>
        </w:rPr>
        <w:t>3.若乙方在招投标中存在虚假承诺等情形的，甲方有权解除本合同，</w:t>
      </w:r>
      <w:r>
        <w:rPr>
          <w:rFonts w:hint="eastAsia" w:ascii="宋体" w:hAnsi="宋体" w:eastAsia="宋体" w:cs="仿宋"/>
          <w:color w:val="auto"/>
          <w:szCs w:val="21"/>
        </w:rPr>
        <w:t>并要求乙方退还预付款，乙方向甲方支付合同金额8%的违约金。</w:t>
      </w:r>
    </w:p>
    <w:p w14:paraId="208ED6DC">
      <w:pPr>
        <w:spacing w:line="288" w:lineRule="auto"/>
        <w:ind w:firstLine="420"/>
        <w:rPr>
          <w:rFonts w:hint="eastAsia" w:ascii="宋体" w:hAnsi="宋体" w:eastAsia="宋体" w:cs="Times New Roman"/>
          <w:color w:val="auto"/>
        </w:rPr>
      </w:pPr>
      <w:r>
        <w:rPr>
          <w:rFonts w:hint="eastAsia" w:ascii="宋体" w:hAnsi="宋体" w:eastAsia="宋体" w:cs="Times New Roman"/>
          <w:color w:val="auto"/>
        </w:rPr>
        <w:t>4.甲方未能如期支付采购种苗款项，则按逾期款项的每日万分之四向乙方支付违约金。</w:t>
      </w:r>
    </w:p>
    <w:p w14:paraId="62C74B50">
      <w:pPr>
        <w:spacing w:line="288" w:lineRule="auto"/>
        <w:rPr>
          <w:rFonts w:hint="eastAsia" w:ascii="宋体" w:hAnsi="宋体" w:eastAsia="宋体" w:cs="Times New Roman"/>
          <w:b/>
          <w:bCs/>
          <w:color w:val="auto"/>
          <w:szCs w:val="21"/>
        </w:rPr>
      </w:pPr>
    </w:p>
    <w:p w14:paraId="51072D80">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九、不可抗力事件处理</w:t>
      </w:r>
    </w:p>
    <w:p w14:paraId="026DCEC4">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.在合同有效期内，任何一方因不可抗力事件导致不能履行合同，原则上不可以顺延，经双方共同协商确定后，合同履行期方可延长，其延长期与不可抗力影响期相同。</w:t>
      </w:r>
    </w:p>
    <w:p w14:paraId="4F7650FA">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.不可抗力事件发生后，应立即通知对方，并寄送有关权威机构出具的证明。</w:t>
      </w:r>
    </w:p>
    <w:p w14:paraId="2036A530">
      <w:pPr>
        <w:spacing w:line="288" w:lineRule="auto"/>
        <w:ind w:firstLine="420" w:firstLineChars="200"/>
        <w:rPr>
          <w:rFonts w:hint="eastAsia" w:ascii="宋体" w:hAnsi="宋体" w:eastAsia="宋体" w:cs="Times New Roman"/>
          <w:color w:val="auto"/>
        </w:rPr>
      </w:pPr>
      <w:r>
        <w:rPr>
          <w:rFonts w:ascii="宋体" w:hAnsi="宋体" w:eastAsia="宋体" w:cs="Times New Roman"/>
          <w:color w:val="auto"/>
        </w:rPr>
        <w:t>3</w:t>
      </w:r>
      <w:r>
        <w:rPr>
          <w:rFonts w:hint="eastAsia" w:ascii="宋体" w:hAnsi="宋体" w:eastAsia="宋体" w:cs="Times New Roman"/>
          <w:color w:val="auto"/>
        </w:rPr>
        <w:t>.不可抗力事件延续6</w:t>
      </w:r>
      <w:r>
        <w:rPr>
          <w:rFonts w:ascii="宋体" w:hAnsi="宋体" w:eastAsia="宋体" w:cs="Times New Roman"/>
          <w:color w:val="auto"/>
        </w:rPr>
        <w:t>0</w:t>
      </w:r>
      <w:r>
        <w:rPr>
          <w:rFonts w:hint="eastAsia" w:ascii="宋体" w:hAnsi="宋体" w:eastAsia="宋体" w:cs="Times New Roman"/>
          <w:color w:val="auto"/>
        </w:rPr>
        <w:t>天以上，双方应通过友好协商，确定是否继续履行合同。</w:t>
      </w:r>
    </w:p>
    <w:p w14:paraId="7A574CC8">
      <w:pPr>
        <w:spacing w:line="288" w:lineRule="auto"/>
        <w:rPr>
          <w:rFonts w:hint="eastAsia" w:ascii="宋体" w:hAnsi="宋体" w:eastAsia="宋体" w:cs="Times New Roman"/>
          <w:b/>
          <w:bCs/>
          <w:color w:val="auto"/>
          <w:szCs w:val="21"/>
        </w:rPr>
      </w:pPr>
    </w:p>
    <w:p w14:paraId="758B543C">
      <w:pPr>
        <w:spacing w:line="288" w:lineRule="auto"/>
        <w:rPr>
          <w:rFonts w:hint="eastAsia" w:ascii="宋体" w:hAnsi="宋体" w:eastAsia="宋体" w:cs="Times New Roman"/>
          <w:b/>
          <w:color w:val="auto"/>
        </w:rPr>
      </w:pPr>
      <w:r>
        <w:rPr>
          <w:rFonts w:hint="eastAsia" w:ascii="宋体" w:hAnsi="宋体" w:eastAsia="宋体" w:cs="Times New Roman"/>
          <w:b/>
          <w:bCs/>
          <w:color w:val="auto"/>
          <w:szCs w:val="21"/>
        </w:rPr>
        <w:t>十、争议解决</w:t>
      </w:r>
    </w:p>
    <w:p w14:paraId="26D60627">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双方在执行合同中所发生的一切争议，应通过协商解决。如协商不成，可向甲方所在地人民法院起诉。</w:t>
      </w:r>
    </w:p>
    <w:p w14:paraId="7ECD64DF">
      <w:pPr>
        <w:spacing w:line="288" w:lineRule="auto"/>
        <w:rPr>
          <w:rFonts w:hint="eastAsia" w:ascii="宋体" w:hAnsi="宋体" w:eastAsia="宋体" w:cs="Times New Roman"/>
          <w:b/>
          <w:bCs/>
          <w:color w:val="auto"/>
          <w:szCs w:val="21"/>
        </w:rPr>
      </w:pPr>
    </w:p>
    <w:p w14:paraId="5919D97A">
      <w:pPr>
        <w:spacing w:line="288" w:lineRule="auto"/>
        <w:rPr>
          <w:rFonts w:hint="eastAsia" w:ascii="宋体" w:hAnsi="宋体" w:eastAsia="宋体" w:cs="Times New Roman"/>
          <w:b/>
          <w:bCs/>
          <w:color w:val="auto"/>
          <w:szCs w:val="21"/>
        </w:rPr>
      </w:pPr>
      <w:r>
        <w:rPr>
          <w:rFonts w:hint="eastAsia" w:ascii="宋体" w:hAnsi="宋体" w:eastAsia="宋体" w:cs="Times New Roman"/>
          <w:b/>
          <w:bCs/>
          <w:color w:val="auto"/>
          <w:szCs w:val="21"/>
        </w:rPr>
        <w:t>十一、合同生效及其它</w:t>
      </w:r>
    </w:p>
    <w:p w14:paraId="7116A0AC">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1.本次项目的采购文件、乙方的投标文件以及乙方其他投标时承诺等文件均为本合同的组成部分。</w:t>
      </w:r>
    </w:p>
    <w:p w14:paraId="736DD954">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2.本合同经双方加盖单位公章后生效。</w:t>
      </w:r>
    </w:p>
    <w:p w14:paraId="646D36C8">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3.合同执行中涉及采购资金和采购内容修改或补充的，须经舟山市财政局政府采购监管处审批，并签书面补充协议报舟山市政府采购监督管理部门备案，方可作为主合同不可分割的一部分。</w:t>
      </w:r>
    </w:p>
    <w:p w14:paraId="0C032D76">
      <w:pPr>
        <w:spacing w:line="288" w:lineRule="auto"/>
        <w:rPr>
          <w:rFonts w:hint="eastAsia" w:ascii="宋体" w:hAnsi="宋体" w:eastAsia="宋体" w:cs="Times New Roman"/>
          <w:color w:val="auto"/>
        </w:rPr>
      </w:pPr>
      <w:r>
        <w:rPr>
          <w:rFonts w:hint="eastAsia" w:ascii="宋体" w:hAnsi="宋体" w:eastAsia="宋体" w:cs="Times New Roman"/>
          <w:color w:val="auto"/>
        </w:rPr>
        <w:t xml:space="preserve">    4.本合同未尽事宜，遵照《</w:t>
      </w:r>
      <w:r>
        <w:rPr>
          <w:rFonts w:hint="eastAsia" w:ascii="宋体" w:hAnsi="宋体" w:eastAsia="宋体" w:cs="Times New Roman"/>
          <w:bCs/>
          <w:color w:val="auto"/>
        </w:rPr>
        <w:t>中华人民共和国民法典</w:t>
      </w:r>
      <w:r>
        <w:rPr>
          <w:rFonts w:hint="eastAsia" w:ascii="宋体" w:hAnsi="宋体" w:eastAsia="宋体" w:cs="Times New Roman"/>
          <w:color w:val="auto"/>
        </w:rPr>
        <w:t>》有关条文执行。</w:t>
      </w:r>
    </w:p>
    <w:p w14:paraId="2614C2B8">
      <w:pPr>
        <w:spacing w:line="288" w:lineRule="auto"/>
        <w:ind w:firstLine="420" w:firstLineChars="200"/>
        <w:rPr>
          <w:rFonts w:hint="eastAsia" w:ascii="宋体" w:hAnsi="宋体" w:eastAsia="宋体" w:cs="Times New Roman"/>
          <w:color w:val="auto"/>
          <w:szCs w:val="21"/>
        </w:rPr>
      </w:pPr>
      <w:r>
        <w:rPr>
          <w:rFonts w:hint="eastAsia" w:ascii="宋体" w:hAnsi="宋体" w:eastAsia="宋体" w:cs="Times New Roman"/>
          <w:color w:val="auto"/>
        </w:rPr>
        <w:t>5.</w:t>
      </w:r>
      <w:r>
        <w:rPr>
          <w:rFonts w:hint="eastAsia" w:ascii="宋体" w:hAnsi="宋体" w:eastAsia="宋体"/>
          <w:color w:val="auto"/>
        </w:rPr>
        <w:t>本合同壹式叁份，甲、乙双方及代理机构各执壹份，具有同等的法律效力。</w:t>
      </w:r>
    </w:p>
    <w:p w14:paraId="20931536">
      <w:pPr>
        <w:spacing w:line="288" w:lineRule="auto"/>
        <w:ind w:firstLine="420" w:firstLineChars="200"/>
        <w:rPr>
          <w:rFonts w:hint="eastAsia" w:ascii="宋体" w:hAnsi="宋体" w:eastAsia="宋体" w:cs="Times New Roman"/>
          <w:color w:val="auto"/>
          <w:szCs w:val="21"/>
        </w:rPr>
      </w:pPr>
    </w:p>
    <w:p w14:paraId="75F32BC4">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甲方：                                   乙方：</w:t>
      </w:r>
    </w:p>
    <w:p w14:paraId="792F94D2">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地址：                                   地址：</w:t>
      </w:r>
    </w:p>
    <w:p w14:paraId="2195B23F">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法定代表人或授权代表：                   法定代表人或授权代表：</w:t>
      </w:r>
    </w:p>
    <w:p w14:paraId="1FD60CAF">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电话：                                   电话：</w:t>
      </w:r>
    </w:p>
    <w:p w14:paraId="37560020">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电传：                                   电传：</w:t>
      </w:r>
    </w:p>
    <w:p w14:paraId="5E3BE8E6">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邮政编码：                               邮政编码：</w:t>
      </w:r>
    </w:p>
    <w:p w14:paraId="090B2C3B">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开户银行：                               开户银行：</w:t>
      </w:r>
    </w:p>
    <w:p w14:paraId="588C3575">
      <w:pPr>
        <w:tabs>
          <w:tab w:val="left" w:pos="2472"/>
        </w:tabs>
        <w:snapToGrid w:val="0"/>
        <w:spacing w:line="288" w:lineRule="auto"/>
        <w:ind w:firstLine="420" w:firstLineChars="200"/>
        <w:rPr>
          <w:rFonts w:hint="eastAsia" w:ascii="宋体" w:hAnsi="宋体" w:eastAsia="宋体" w:cs="Courier New"/>
          <w:color w:val="auto"/>
          <w:szCs w:val="21"/>
        </w:rPr>
      </w:pPr>
      <w:r>
        <w:rPr>
          <w:rFonts w:hint="eastAsia" w:ascii="宋体" w:hAnsi="宋体" w:eastAsia="宋体" w:cs="Courier New"/>
          <w:color w:val="auto"/>
          <w:szCs w:val="21"/>
        </w:rPr>
        <w:t>账号：                                   账号：</w:t>
      </w:r>
    </w:p>
    <w:p w14:paraId="1033811A">
      <w:pPr>
        <w:spacing w:line="312" w:lineRule="auto"/>
        <w:ind w:firstLine="420" w:firstLineChars="200"/>
        <w:rPr>
          <w:rFonts w:hint="eastAsia" w:ascii="宋体" w:hAnsi="宋体" w:eastAsia="宋体" w:cs="Times New Roman"/>
          <w:color w:val="auto"/>
        </w:rPr>
      </w:pPr>
      <w:r>
        <w:rPr>
          <w:rFonts w:hint="eastAsia" w:ascii="宋体" w:hAnsi="宋体" w:eastAsia="宋体" w:cs="Courier New"/>
          <w:color w:val="auto"/>
          <w:szCs w:val="21"/>
        </w:rPr>
        <w:t>日期：                                   日期：</w:t>
      </w:r>
    </w:p>
    <w:p w14:paraId="74603CA3">
      <w:pPr>
        <w:snapToGrid w:val="0"/>
        <w:spacing w:line="260" w:lineRule="exact"/>
        <w:rPr>
          <w:rFonts w:hint="eastAsia" w:ascii="宋体" w:hAnsi="宋体" w:eastAsia="宋体" w:cs="Times New Roman"/>
          <w:color w:val="auto"/>
          <w:szCs w:val="21"/>
        </w:rPr>
      </w:pPr>
    </w:p>
    <w:p w14:paraId="1ABB0657">
      <w:pPr>
        <w:snapToGrid w:val="0"/>
        <w:spacing w:line="260" w:lineRule="exact"/>
        <w:rPr>
          <w:rFonts w:ascii="宋体" w:hAnsi="宋体" w:eastAsia="宋体" w:cs="Times New Roman"/>
          <w:color w:val="auto"/>
          <w:szCs w:val="21"/>
        </w:rPr>
      </w:pPr>
    </w:p>
    <w:p w14:paraId="19D32FE9">
      <w:pPr>
        <w:snapToGrid w:val="0"/>
        <w:spacing w:line="260" w:lineRule="exact"/>
        <w:rPr>
          <w:rFonts w:hint="eastAsia" w:ascii="宋体" w:hAnsi="宋体" w:eastAsia="宋体" w:cs="Times New Roman"/>
          <w:color w:val="auto"/>
          <w:szCs w:val="21"/>
        </w:rPr>
      </w:pPr>
      <w:r>
        <w:rPr>
          <w:rFonts w:ascii="宋体" w:hAnsi="宋体" w:eastAsia="宋体" w:cs="Times New Roman"/>
          <w:color w:val="auto"/>
          <w:szCs w:val="21"/>
        </w:rPr>
        <w:t>信贷政策</w:t>
      </w:r>
    </w:p>
    <w:p w14:paraId="5C885916">
      <w:pPr>
        <w:spacing w:line="260" w:lineRule="exact"/>
        <w:ind w:firstLine="420" w:firstLineChars="200"/>
        <w:rPr>
          <w:rFonts w:hint="eastAsia" w:ascii="宋体" w:hAnsi="宋体" w:eastAsia="宋体" w:cs="Times New Roman"/>
          <w:color w:val="auto"/>
          <w:szCs w:val="21"/>
        </w:rPr>
      </w:pPr>
      <w:r>
        <w:rPr>
          <w:rFonts w:ascii="宋体" w:hAnsi="宋体" w:eastAsia="宋体" w:cs="Times New Roman"/>
          <w:color w:val="auto"/>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1AF41957">
      <w:pPr>
        <w:spacing w:line="240" w:lineRule="exact"/>
        <w:contextualSpacing/>
        <w:rPr>
          <w:rFonts w:hint="eastAsia" w:ascii="宋体" w:hAnsi="宋体" w:eastAsia="宋体" w:cs="Times New Roman"/>
          <w:color w:val="auto"/>
          <w:sz w:val="24"/>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320AE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51EC4BE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舟山市政府采购信用融资合作银行</w:t>
            </w:r>
          </w:p>
        </w:tc>
      </w:tr>
      <w:tr w14:paraId="6678B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49B72695">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银行名称</w:t>
            </w:r>
          </w:p>
        </w:tc>
        <w:tc>
          <w:tcPr>
            <w:tcW w:w="3975" w:type="dxa"/>
            <w:vAlign w:val="center"/>
          </w:tcPr>
          <w:p w14:paraId="554B64D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各银行介绍的产品特点</w:t>
            </w:r>
          </w:p>
        </w:tc>
        <w:tc>
          <w:tcPr>
            <w:tcW w:w="2220" w:type="dxa"/>
            <w:vAlign w:val="center"/>
          </w:tcPr>
          <w:p w14:paraId="726F7F51">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经办人</w:t>
            </w:r>
          </w:p>
        </w:tc>
        <w:tc>
          <w:tcPr>
            <w:tcW w:w="1908" w:type="dxa"/>
            <w:vAlign w:val="center"/>
          </w:tcPr>
          <w:p w14:paraId="0317E5D7">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联系方式</w:t>
            </w:r>
          </w:p>
        </w:tc>
      </w:tr>
      <w:tr w14:paraId="4ADA9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6FB296F2">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中国工商银行股份有限公司舟山分行</w:t>
            </w:r>
          </w:p>
        </w:tc>
        <w:tc>
          <w:tcPr>
            <w:tcW w:w="3975" w:type="dxa"/>
          </w:tcPr>
          <w:p w14:paraId="3AA2DB71">
            <w:pPr>
              <w:numPr>
                <w:ilvl w:val="0"/>
                <w:numId w:val="10"/>
              </w:numPr>
              <w:spacing w:line="240" w:lineRule="exact"/>
              <w:contextualSpacing/>
              <w:rPr>
                <w:rFonts w:hint="eastAsia" w:ascii="宋体" w:hAnsi="宋体" w:eastAsia="宋体" w:cs="仿宋_GB2312"/>
                <w:color w:val="auto"/>
                <w:szCs w:val="21"/>
              </w:rPr>
            </w:pPr>
            <w:r>
              <w:rPr>
                <w:rFonts w:hint="eastAsia" w:ascii="宋体" w:hAnsi="宋体" w:eastAsia="宋体" w:cs="仿宋_GB2312"/>
                <w:color w:val="auto"/>
                <w:szCs w:val="21"/>
              </w:rPr>
              <w:t>融资额度高，融资金额最高可至订单金额70%，线上申请，随借随还。2.融资利率低，最低可至当期LPR利率。</w:t>
            </w:r>
          </w:p>
          <w:p w14:paraId="32E2D845">
            <w:pPr>
              <w:spacing w:line="240" w:lineRule="exact"/>
              <w:contextualSpacing/>
              <w:rPr>
                <w:rFonts w:hint="eastAsia" w:ascii="宋体" w:hAnsi="宋体" w:eastAsia="宋体" w:cs="Times New Roman"/>
                <w:color w:val="auto"/>
                <w:szCs w:val="21"/>
              </w:rPr>
            </w:pPr>
            <w:r>
              <w:rPr>
                <w:rFonts w:hint="eastAsia" w:ascii="宋体" w:hAnsi="宋体" w:eastAsia="宋体" w:cs="仿宋_GB2312"/>
                <w:color w:val="auto"/>
                <w:szCs w:val="21"/>
              </w:rPr>
              <w:t>3.担保方式灵活，以政府采购合同进行融资，无需另外抵押。</w:t>
            </w:r>
          </w:p>
        </w:tc>
        <w:tc>
          <w:tcPr>
            <w:tcW w:w="2220" w:type="dxa"/>
            <w:vAlign w:val="center"/>
          </w:tcPr>
          <w:p w14:paraId="5D0FFEED">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柳超颖</w:t>
            </w:r>
          </w:p>
        </w:tc>
        <w:tc>
          <w:tcPr>
            <w:tcW w:w="1908" w:type="dxa"/>
            <w:vAlign w:val="center"/>
          </w:tcPr>
          <w:p w14:paraId="619910FB">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0580-2166242, 15858076468</w:t>
            </w:r>
          </w:p>
        </w:tc>
      </w:tr>
      <w:tr w14:paraId="70579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44BCA7A4">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中国建设银行股份有限公司舟山分行</w:t>
            </w:r>
          </w:p>
        </w:tc>
        <w:tc>
          <w:tcPr>
            <w:tcW w:w="3975" w:type="dxa"/>
          </w:tcPr>
          <w:p w14:paraId="7F8F96A6">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快速便捷：全流程线上操作，通过浙江省政府采购网数据审核信用额度，建行供应链平台快速放款。</w:t>
            </w:r>
          </w:p>
          <w:p w14:paraId="0F992E52">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申请额度高：单笔融资额度最高可达政府采购合同金额的90%，单户额度最高可达3000万。</w:t>
            </w:r>
          </w:p>
          <w:p w14:paraId="6D154C4D">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无需额外抵押：以浙江省政府采购网备案公示的政府采购合同进行融资，无需额外抵押担保。</w:t>
            </w:r>
          </w:p>
          <w:p w14:paraId="5FC693AC">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利率优惠：给予流动资金贷款最优惠利率。</w:t>
            </w:r>
          </w:p>
        </w:tc>
        <w:tc>
          <w:tcPr>
            <w:tcW w:w="2220" w:type="dxa"/>
            <w:vAlign w:val="center"/>
          </w:tcPr>
          <w:p w14:paraId="506416E3">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普陀片区：蔡妮妮</w:t>
            </w:r>
          </w:p>
          <w:p w14:paraId="747230D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定海片区：杨莹</w:t>
            </w:r>
          </w:p>
          <w:p w14:paraId="2FBB7785">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自贸区片区：方晓</w:t>
            </w:r>
          </w:p>
        </w:tc>
        <w:tc>
          <w:tcPr>
            <w:tcW w:w="1908" w:type="dxa"/>
            <w:vAlign w:val="center"/>
          </w:tcPr>
          <w:p w14:paraId="6A6373A6">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普陀片区：13957201791</w:t>
            </w:r>
          </w:p>
          <w:p w14:paraId="1E2E68C6">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定海片区：13655803997</w:t>
            </w:r>
          </w:p>
          <w:p w14:paraId="27D34978">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自贸区片区：13587086324</w:t>
            </w:r>
          </w:p>
        </w:tc>
      </w:tr>
      <w:tr w14:paraId="608D1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2C68590">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杭州银行股份有限公司舟山市分行</w:t>
            </w:r>
          </w:p>
        </w:tc>
        <w:tc>
          <w:tcPr>
            <w:tcW w:w="3975" w:type="dxa"/>
          </w:tcPr>
          <w:p w14:paraId="095EFC7E">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3257394D">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方经理</w:t>
            </w:r>
          </w:p>
        </w:tc>
        <w:tc>
          <w:tcPr>
            <w:tcW w:w="1908" w:type="dxa"/>
            <w:vAlign w:val="center"/>
          </w:tcPr>
          <w:p w14:paraId="31BFB47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0580-2185201，18205800451</w:t>
            </w:r>
          </w:p>
        </w:tc>
      </w:tr>
      <w:tr w14:paraId="0872E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477B9A1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招商银行股份有限公司浙江自贸试验区舟山分行</w:t>
            </w:r>
          </w:p>
        </w:tc>
        <w:tc>
          <w:tcPr>
            <w:tcW w:w="3975" w:type="dxa"/>
          </w:tcPr>
          <w:p w14:paraId="52E31286">
            <w:pPr>
              <w:spacing w:line="240" w:lineRule="exact"/>
              <w:rPr>
                <w:rFonts w:hint="eastAsia" w:ascii="宋体" w:hAnsi="宋体" w:eastAsia="宋体" w:cs="Times New Roman"/>
                <w:color w:val="auto"/>
                <w:szCs w:val="21"/>
              </w:rPr>
            </w:pPr>
            <w:r>
              <w:rPr>
                <w:rFonts w:hint="eastAsia" w:ascii="宋体" w:hAnsi="宋体" w:eastAsia="宋体" w:cs="仿宋_GB2312"/>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639C817E">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李玲</w:t>
            </w:r>
          </w:p>
        </w:tc>
        <w:tc>
          <w:tcPr>
            <w:tcW w:w="1908" w:type="dxa"/>
            <w:vAlign w:val="center"/>
          </w:tcPr>
          <w:p w14:paraId="12FAB353">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0580-2061710，13957227971</w:t>
            </w:r>
          </w:p>
        </w:tc>
      </w:tr>
      <w:tr w14:paraId="5594A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2FF6F591">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温州银行股份有限公司舟山市分行</w:t>
            </w:r>
          </w:p>
        </w:tc>
        <w:tc>
          <w:tcPr>
            <w:tcW w:w="3975" w:type="dxa"/>
          </w:tcPr>
          <w:p w14:paraId="0C0C864C">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单户授信敞口最高不超过1000万元，且最高额度核定一般不超过借款人（含实际控制人控制的其他经营实体）最近13个月合计有效中标合同金额的70%。</w:t>
            </w:r>
          </w:p>
          <w:p w14:paraId="7B4B705C">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CC5DB40">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借款人中标采购人自行采购项目并向我行发起授信申请的，单笔业务授信敞口不超500万元，且不超过借款人中标通知书承载的中标金额或本次申请授信提供的采购合同的80%。</w:t>
            </w:r>
          </w:p>
          <w:p w14:paraId="6B757377">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符合我行采购人资质的，且负债率不超75%，配合应收账款质押登记确认的，并可出具确认函，单笔借款额度可按不超过采购合同的90%办理。</w:t>
            </w:r>
          </w:p>
        </w:tc>
        <w:tc>
          <w:tcPr>
            <w:tcW w:w="2220" w:type="dxa"/>
            <w:vAlign w:val="center"/>
          </w:tcPr>
          <w:p w14:paraId="1E87D6A9">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郑贤栋</w:t>
            </w:r>
          </w:p>
        </w:tc>
        <w:tc>
          <w:tcPr>
            <w:tcW w:w="1908" w:type="dxa"/>
            <w:vAlign w:val="center"/>
          </w:tcPr>
          <w:p w14:paraId="2FA936D5">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058—8866086</w:t>
            </w:r>
          </w:p>
        </w:tc>
      </w:tr>
      <w:tr w14:paraId="41279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F5783F9">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交通银行股份有限公司舟山分行</w:t>
            </w:r>
          </w:p>
        </w:tc>
        <w:tc>
          <w:tcPr>
            <w:tcW w:w="3975" w:type="dxa"/>
          </w:tcPr>
          <w:p w14:paraId="486DC67C">
            <w:pPr>
              <w:spacing w:line="240" w:lineRule="exact"/>
              <w:contextualSpacing/>
              <w:rPr>
                <w:rFonts w:hint="eastAsia" w:ascii="宋体" w:hAnsi="宋体" w:eastAsia="宋体" w:cs="Times New Roman"/>
                <w:color w:val="auto"/>
                <w:szCs w:val="21"/>
              </w:rPr>
            </w:pPr>
            <w:r>
              <w:rPr>
                <w:rFonts w:hint="eastAsia" w:ascii="宋体" w:hAnsi="宋体" w:eastAsia="宋体" w:cs="仿宋_GB2312"/>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color w:val="auto"/>
                <w:szCs w:val="21"/>
              </w:rPr>
              <w:t>PR</w:t>
            </w:r>
            <w:r>
              <w:rPr>
                <w:rFonts w:ascii="宋体" w:hAnsi="宋体" w:eastAsia="宋体" w:cs="Times New Roman"/>
                <w:color w:val="auto"/>
                <w:szCs w:val="21"/>
              </w:rPr>
              <w:t>。</w:t>
            </w:r>
          </w:p>
        </w:tc>
        <w:tc>
          <w:tcPr>
            <w:tcW w:w="2220" w:type="dxa"/>
            <w:vAlign w:val="center"/>
          </w:tcPr>
          <w:p w14:paraId="6491BA38">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赵争艳</w:t>
            </w:r>
          </w:p>
        </w:tc>
        <w:tc>
          <w:tcPr>
            <w:tcW w:w="1908" w:type="dxa"/>
            <w:vAlign w:val="center"/>
          </w:tcPr>
          <w:p w14:paraId="1605A00B">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0580-2260728</w:t>
            </w:r>
          </w:p>
          <w:p w14:paraId="575FD1B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13758007280</w:t>
            </w:r>
          </w:p>
        </w:tc>
      </w:tr>
      <w:tr w14:paraId="18430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0117F07F">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中信银行股份有限公司舟山分行</w:t>
            </w:r>
          </w:p>
        </w:tc>
        <w:tc>
          <w:tcPr>
            <w:tcW w:w="3975" w:type="dxa"/>
          </w:tcPr>
          <w:p w14:paraId="0F0ACD5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2245F0B2">
            <w:pPr>
              <w:spacing w:line="240" w:lineRule="exact"/>
              <w:contextualSpacing/>
              <w:jc w:val="center"/>
              <w:rPr>
                <w:rFonts w:hint="eastAsia" w:ascii="宋体" w:hAnsi="宋体" w:eastAsia="宋体" w:cs="Times New Roman"/>
                <w:color w:val="auto"/>
                <w:szCs w:val="21"/>
              </w:rPr>
            </w:pPr>
            <w:r>
              <w:rPr>
                <w:rFonts w:ascii="宋体" w:hAnsi="宋体" w:eastAsia="宋体" w:cs="Times New Roman"/>
                <w:color w:val="auto"/>
                <w:szCs w:val="21"/>
              </w:rPr>
              <w:t>黄丽</w:t>
            </w:r>
          </w:p>
        </w:tc>
        <w:tc>
          <w:tcPr>
            <w:tcW w:w="1908" w:type="dxa"/>
            <w:vAlign w:val="center"/>
          </w:tcPr>
          <w:p w14:paraId="723BB798">
            <w:pPr>
              <w:spacing w:line="240" w:lineRule="exact"/>
              <w:contextualSpacing/>
              <w:rPr>
                <w:rFonts w:hint="eastAsia" w:ascii="宋体" w:hAnsi="宋体" w:eastAsia="宋体" w:cs="Times New Roman"/>
                <w:color w:val="auto"/>
                <w:szCs w:val="21"/>
              </w:rPr>
            </w:pPr>
            <w:r>
              <w:rPr>
                <w:rFonts w:ascii="宋体" w:hAnsi="宋体" w:eastAsia="宋体" w:cs="Times New Roman"/>
                <w:color w:val="auto"/>
                <w:szCs w:val="21"/>
              </w:rPr>
              <w:t>13905808032</w:t>
            </w:r>
          </w:p>
        </w:tc>
      </w:tr>
      <w:tr w14:paraId="6A576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0F260E2">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泰隆银行舟山市分行</w:t>
            </w:r>
          </w:p>
        </w:tc>
        <w:tc>
          <w:tcPr>
            <w:tcW w:w="3975" w:type="dxa"/>
          </w:tcPr>
          <w:p w14:paraId="5AA541D8">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6AEA039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胡亢宇</w:t>
            </w:r>
          </w:p>
        </w:tc>
        <w:tc>
          <w:tcPr>
            <w:tcW w:w="1908" w:type="dxa"/>
            <w:vAlign w:val="center"/>
          </w:tcPr>
          <w:p w14:paraId="3DAE07D5">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17605868703</w:t>
            </w:r>
          </w:p>
        </w:tc>
      </w:tr>
      <w:tr w14:paraId="30B25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AA5ED62">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中国农业银行股份有限公司舟山分行</w:t>
            </w:r>
          </w:p>
        </w:tc>
        <w:tc>
          <w:tcPr>
            <w:tcW w:w="3975" w:type="dxa"/>
          </w:tcPr>
          <w:p w14:paraId="665BB65D">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04B8F9E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苏华瞻</w:t>
            </w:r>
          </w:p>
        </w:tc>
        <w:tc>
          <w:tcPr>
            <w:tcW w:w="1908" w:type="dxa"/>
            <w:vAlign w:val="center"/>
          </w:tcPr>
          <w:p w14:paraId="37AA17AE">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13967228926</w:t>
            </w:r>
          </w:p>
        </w:tc>
      </w:tr>
      <w:tr w14:paraId="271C6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D2581C7">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中国邮政储蓄银行股份有限公司舟山市分行</w:t>
            </w:r>
          </w:p>
        </w:tc>
        <w:tc>
          <w:tcPr>
            <w:tcW w:w="3975" w:type="dxa"/>
          </w:tcPr>
          <w:p w14:paraId="0E61E851">
            <w:pPr>
              <w:tabs>
                <w:tab w:val="left" w:pos="0"/>
              </w:tabs>
              <w:spacing w:line="240" w:lineRule="exact"/>
              <w:rPr>
                <w:rFonts w:hint="eastAsia" w:ascii="宋体" w:hAnsi="宋体" w:eastAsia="宋体" w:cs="Times New Roman"/>
                <w:color w:val="auto"/>
                <w:szCs w:val="21"/>
              </w:rPr>
            </w:pPr>
            <w:r>
              <w:rPr>
                <w:rFonts w:hint="eastAsia" w:ascii="宋体" w:hAnsi="宋体" w:eastAsia="宋体" w:cs="Times New Roman"/>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30B51FAF">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蒋志燕</w:t>
            </w:r>
          </w:p>
        </w:tc>
        <w:tc>
          <w:tcPr>
            <w:tcW w:w="1908" w:type="dxa"/>
            <w:vAlign w:val="center"/>
          </w:tcPr>
          <w:p w14:paraId="005F787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13732527321</w:t>
            </w:r>
          </w:p>
        </w:tc>
      </w:tr>
    </w:tbl>
    <w:p w14:paraId="57D1F42C">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2.一般步骤</w:t>
      </w:r>
    </w:p>
    <w:p w14:paraId="38BDEF25">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（1）供应商先与银行对接，办理融资前期手续；</w:t>
      </w:r>
    </w:p>
    <w:p w14:paraId="09B35517">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（2）供应商中标后，凭中标通知书等材料，向相关合作银行发出融资申请；</w:t>
      </w:r>
    </w:p>
    <w:p w14:paraId="319B4812">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（3）银行、供应商线</w:t>
      </w:r>
      <w:r>
        <w:rPr>
          <w:rFonts w:hint="eastAsia" w:ascii="宋体" w:hAnsi="宋体" w:eastAsia="宋体" w:cs="Times New Roman"/>
          <w:color w:val="auto"/>
          <w:szCs w:val="21"/>
        </w:rPr>
        <w:t>上</w:t>
      </w:r>
      <w:r>
        <w:rPr>
          <w:rFonts w:ascii="宋体" w:hAnsi="宋体" w:eastAsia="宋体" w:cs="Times New Roman"/>
          <w:color w:val="auto"/>
          <w:szCs w:val="21"/>
        </w:rPr>
        <w:t>办理审批、放贷事宜。</w:t>
      </w:r>
    </w:p>
    <w:p w14:paraId="107EB460">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3.注意事项</w:t>
      </w:r>
    </w:p>
    <w:p w14:paraId="7E9091F1">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（1）</w:t>
      </w:r>
      <w:r>
        <w:rPr>
          <w:rFonts w:hint="eastAsia" w:ascii="宋体" w:hAnsi="宋体" w:eastAsia="宋体" w:cs="Times New Roman"/>
          <w:color w:val="auto"/>
          <w:szCs w:val="21"/>
        </w:rPr>
        <w:t>中标人</w:t>
      </w:r>
      <w:r>
        <w:rPr>
          <w:rFonts w:ascii="宋体" w:hAnsi="宋体" w:eastAsia="宋体" w:cs="Times New Roman"/>
          <w:color w:val="auto"/>
          <w:szCs w:val="21"/>
        </w:rPr>
        <w:t>需确保政府采购合同的收款账户与融资银行开户账户一致。</w:t>
      </w:r>
    </w:p>
    <w:p w14:paraId="079F3072">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（2）用于政府采购信用融资的政府采购合同，应当包含如下条款：“第条：政府采购合同贷款</w:t>
      </w:r>
    </w:p>
    <w:p w14:paraId="2F59B079">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本合同同时用于乙方向银行（金融机构）申请政府采购信用贷款。</w:t>
      </w:r>
    </w:p>
    <w:p w14:paraId="43AA6679">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本合同一经签订，原则上不得更改乙方收款账户信息。确须更改的，乙方应取得原合同收款账户开户银行书面同意，否则修改后的合同不予备案，采购资金不予支付。”</w:t>
      </w:r>
    </w:p>
    <w:p w14:paraId="626F837A">
      <w:pPr>
        <w:tabs>
          <w:tab w:val="left" w:pos="2472"/>
        </w:tabs>
        <w:snapToGrid w:val="0"/>
        <w:spacing w:before="120" w:line="312" w:lineRule="auto"/>
        <w:ind w:right="-87"/>
        <w:rPr>
          <w:rFonts w:ascii="Times New Roman" w:hAnsi="Times New Roman" w:eastAsia="黑体" w:cs="Times New Roman"/>
          <w:color w:val="auto"/>
          <w:sz w:val="30"/>
        </w:rPr>
      </w:pPr>
    </w:p>
    <w:p w14:paraId="74BC2A26">
      <w:pPr>
        <w:tabs>
          <w:tab w:val="left" w:pos="2472"/>
        </w:tabs>
        <w:snapToGrid w:val="0"/>
        <w:spacing w:before="120" w:line="312" w:lineRule="auto"/>
        <w:ind w:right="-87"/>
        <w:jc w:val="center"/>
        <w:rPr>
          <w:rFonts w:ascii="Times New Roman" w:hAnsi="Times New Roman" w:eastAsia="黑体" w:cs="Times New Roman"/>
          <w:color w:val="auto"/>
          <w:sz w:val="30"/>
        </w:rPr>
      </w:pPr>
    </w:p>
    <w:p w14:paraId="1B1C1489">
      <w:pPr>
        <w:tabs>
          <w:tab w:val="left" w:pos="2472"/>
        </w:tabs>
        <w:snapToGrid w:val="0"/>
        <w:spacing w:before="120" w:line="312"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第六章　投标文件格式</w:t>
      </w:r>
    </w:p>
    <w:p w14:paraId="126E88B3">
      <w:pPr>
        <w:tabs>
          <w:tab w:val="left" w:pos="2472"/>
        </w:tabs>
        <w:snapToGrid w:val="0"/>
        <w:spacing w:before="120" w:line="312" w:lineRule="auto"/>
        <w:ind w:right="-87"/>
        <w:jc w:val="center"/>
        <w:rPr>
          <w:rFonts w:ascii="Times New Roman" w:hAnsi="Times New Roman" w:eastAsia="黑体" w:cs="Times New Roman"/>
          <w:color w:val="auto"/>
          <w:sz w:val="30"/>
        </w:rPr>
      </w:pPr>
    </w:p>
    <w:p w14:paraId="7F4EEAFF">
      <w:pPr>
        <w:snapToGrid w:val="0"/>
        <w:spacing w:line="360" w:lineRule="auto"/>
        <w:ind w:right="-85"/>
        <w:rPr>
          <w:rFonts w:ascii="Times New Roman" w:hAnsi="Times New Roman" w:eastAsia="宋体" w:cs="Times New Roman"/>
          <w:color w:val="auto"/>
          <w:sz w:val="24"/>
        </w:rPr>
      </w:pPr>
    </w:p>
    <w:p w14:paraId="0B65CC71">
      <w:pPr>
        <w:snapToGrid w:val="0"/>
        <w:spacing w:line="360" w:lineRule="auto"/>
        <w:ind w:right="-85"/>
        <w:rPr>
          <w:rFonts w:ascii="Times New Roman" w:hAnsi="Times New Roman" w:eastAsia="宋体" w:cs="Times New Roman"/>
          <w:color w:val="auto"/>
          <w:sz w:val="24"/>
        </w:rPr>
      </w:pPr>
    </w:p>
    <w:p w14:paraId="50003B20">
      <w:pPr>
        <w:snapToGrid w:val="0"/>
        <w:spacing w:line="360" w:lineRule="auto"/>
        <w:ind w:right="-85"/>
        <w:rPr>
          <w:rFonts w:ascii="Times New Roman" w:hAnsi="Times New Roman" w:eastAsia="宋体" w:cs="Times New Roman"/>
          <w:color w:val="auto"/>
          <w:sz w:val="24"/>
        </w:rPr>
      </w:pPr>
      <w:r>
        <w:rPr>
          <w:rFonts w:hint="eastAsia" w:ascii="Times New Roman" w:hAnsi="Times New Roman" w:eastAsia="宋体" w:cs="Times New Roman"/>
          <w:color w:val="auto"/>
          <w:sz w:val="24"/>
        </w:rPr>
        <w:t>一、</w:t>
      </w:r>
      <w:r>
        <w:rPr>
          <w:rFonts w:hint="eastAsia" w:ascii="Times New Roman" w:hAnsi="Times New Roman" w:eastAsia="宋体" w:cs="Times New Roman"/>
          <w:b/>
          <w:color w:val="auto"/>
          <w:sz w:val="24"/>
        </w:rPr>
        <w:t>备份文件包装封面（格式供参考）</w:t>
      </w:r>
      <w:r>
        <w:rPr>
          <w:rFonts w:hint="eastAsia" w:ascii="Times New Roman" w:hAnsi="Times New Roman" w:eastAsia="宋体" w:cs="Times New Roman"/>
          <w:color w:val="auto"/>
          <w:sz w:val="24"/>
        </w:rPr>
        <w:t>：</w:t>
      </w:r>
    </w:p>
    <w:p w14:paraId="1C9BA17A">
      <w:pPr>
        <w:snapToGrid w:val="0"/>
        <w:spacing w:line="360" w:lineRule="auto"/>
        <w:ind w:right="-85"/>
        <w:jc w:val="center"/>
        <w:rPr>
          <w:rFonts w:ascii="Times New Roman" w:hAnsi="Times New Roman" w:eastAsia="宋体" w:cs="Times New Roman"/>
          <w:color w:val="auto"/>
          <w:sz w:val="24"/>
        </w:rPr>
      </w:pPr>
    </w:p>
    <w:p w14:paraId="69DD14A7">
      <w:pPr>
        <w:snapToGrid w:val="0"/>
        <w:spacing w:line="360" w:lineRule="auto"/>
        <w:ind w:right="-85"/>
        <w:jc w:val="center"/>
        <w:rPr>
          <w:rFonts w:ascii="Times New Roman" w:hAnsi="Times New Roman" w:eastAsia="宋体" w:cs="Times New Roman"/>
          <w:b/>
          <w:color w:val="auto"/>
          <w:sz w:val="44"/>
        </w:rPr>
      </w:pPr>
      <w:r>
        <w:rPr>
          <w:rFonts w:hint="eastAsia" w:ascii="Times New Roman" w:hAnsi="Times New Roman" w:eastAsia="宋体" w:cs="Times New Roman"/>
          <w:b/>
          <w:color w:val="auto"/>
          <w:sz w:val="44"/>
        </w:rPr>
        <w:t>投标文件</w:t>
      </w:r>
    </w:p>
    <w:p w14:paraId="31528FE5">
      <w:pPr>
        <w:snapToGrid w:val="0"/>
        <w:spacing w:line="360" w:lineRule="auto"/>
        <w:ind w:right="-85"/>
        <w:rPr>
          <w:rFonts w:ascii="Times New Roman" w:hAnsi="Times New Roman" w:eastAsia="宋体" w:cs="Times New Roman"/>
          <w:color w:val="auto"/>
          <w:sz w:val="24"/>
        </w:rPr>
      </w:pPr>
    </w:p>
    <w:p w14:paraId="5B798EF1">
      <w:pPr>
        <w:snapToGrid w:val="0"/>
        <w:spacing w:line="360" w:lineRule="auto"/>
        <w:ind w:right="-85" w:firstLine="1124" w:firstLineChars="40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项目名称：</w:t>
      </w:r>
    </w:p>
    <w:p w14:paraId="3713EE5F">
      <w:pPr>
        <w:snapToGrid w:val="0"/>
        <w:spacing w:line="360" w:lineRule="auto"/>
        <w:ind w:right="-85" w:firstLine="1113" w:firstLineChars="39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项目编号：</w:t>
      </w:r>
    </w:p>
    <w:p w14:paraId="1D3AD2D8">
      <w:pPr>
        <w:snapToGrid w:val="0"/>
        <w:spacing w:line="360" w:lineRule="auto"/>
        <w:ind w:right="-85" w:firstLine="1169" w:firstLineChars="416"/>
        <w:rPr>
          <w:rFonts w:ascii="Times New Roman" w:hAnsi="Times New Roman" w:eastAsia="宋体" w:cs="Times New Roman"/>
          <w:b/>
          <w:color w:val="auto"/>
          <w:sz w:val="28"/>
        </w:rPr>
      </w:pPr>
      <w:r>
        <w:rPr>
          <w:rFonts w:hint="eastAsia" w:ascii="Times New Roman" w:hAnsi="Times New Roman" w:eastAsia="宋体" w:cs="Times New Roman"/>
          <w:b/>
          <w:color w:val="auto"/>
          <w:sz w:val="28"/>
        </w:rPr>
        <w:t>投标人名称：</w:t>
      </w:r>
      <w:r>
        <w:rPr>
          <w:rFonts w:hint="eastAsia" w:ascii="Times New Roman" w:hAnsi="Times New Roman" w:eastAsia="宋体" w:cs="Times New Roman"/>
          <w:b/>
          <w:color w:val="auto"/>
          <w:sz w:val="28"/>
          <w:u w:val="single"/>
        </w:rPr>
        <w:t>（</w:t>
      </w:r>
      <w:r>
        <w:rPr>
          <w:rFonts w:hint="eastAsia" w:ascii="Times New Roman" w:hAnsi="Times New Roman" w:eastAsia="宋体" w:cs="Times New Roman"/>
          <w:b/>
          <w:color w:val="auto"/>
          <w:sz w:val="28"/>
        </w:rPr>
        <w:t>加盖公章）</w:t>
      </w:r>
    </w:p>
    <w:p w14:paraId="577315CC">
      <w:pPr>
        <w:snapToGrid w:val="0"/>
        <w:spacing w:line="360" w:lineRule="auto"/>
        <w:ind w:right="-85" w:firstLine="1169" w:firstLineChars="41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投标人地址：</w:t>
      </w:r>
    </w:p>
    <w:p w14:paraId="437F9BBA">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投标联系人：电话</w:t>
      </w:r>
    </w:p>
    <w:p w14:paraId="37D1A68E">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启封时间：</w:t>
      </w:r>
      <w:r>
        <w:rPr>
          <w:rFonts w:hint="eastAsia" w:ascii="Times New Roman" w:hAnsi="Times New Roman" w:eastAsia="宋体" w:cs="Times New Roman"/>
          <w:b/>
          <w:color w:val="auto"/>
          <w:sz w:val="28"/>
          <w:u w:val="single"/>
        </w:rPr>
        <w:t>在</w:t>
      </w:r>
      <w:r>
        <w:rPr>
          <w:rFonts w:ascii="Times New Roman" w:hAnsi="Times New Roman" w:eastAsia="宋体" w:cs="Times New Roman"/>
          <w:b/>
          <w:color w:val="auto"/>
          <w:sz w:val="28"/>
          <w:u w:val="single"/>
        </w:rPr>
        <w:t>20</w:t>
      </w:r>
      <w:r>
        <w:rPr>
          <w:rFonts w:hint="eastAsia" w:ascii="Times New Roman" w:hAnsi="Times New Roman" w:eastAsia="宋体" w:cs="Times New Roman"/>
          <w:b/>
          <w:color w:val="auto"/>
          <w:sz w:val="28"/>
          <w:u w:val="single"/>
        </w:rPr>
        <w:t>年月日时分之前不得启封</w:t>
      </w:r>
    </w:p>
    <w:p w14:paraId="16DF226D">
      <w:pPr>
        <w:snapToGrid w:val="0"/>
        <w:spacing w:line="360" w:lineRule="auto"/>
        <w:ind w:right="-85" w:firstLine="4080" w:firstLineChars="1700"/>
        <w:rPr>
          <w:rFonts w:ascii="Times New Roman" w:hAnsi="Times New Roman" w:eastAsia="宋体" w:cs="Times New Roman"/>
          <w:color w:val="auto"/>
          <w:sz w:val="24"/>
        </w:rPr>
      </w:pPr>
    </w:p>
    <w:p w14:paraId="49BFC981">
      <w:pPr>
        <w:snapToGrid w:val="0"/>
        <w:spacing w:line="360" w:lineRule="auto"/>
        <w:ind w:right="-85" w:firstLine="645"/>
        <w:jc w:val="center"/>
        <w:rPr>
          <w:rFonts w:ascii="Times New Roman" w:hAnsi="Times New Roman" w:eastAsia="宋体" w:cs="Times New Roman"/>
          <w:color w:val="auto"/>
          <w:sz w:val="24"/>
        </w:rPr>
      </w:pPr>
      <w:r>
        <w:rPr>
          <w:rFonts w:hint="eastAsia" w:ascii="Times New Roman" w:hAnsi="Times New Roman" w:eastAsia="宋体" w:cs="Times New Roman"/>
          <w:color w:val="auto"/>
          <w:sz w:val="24"/>
        </w:rPr>
        <w:t>年月日</w:t>
      </w:r>
    </w:p>
    <w:p w14:paraId="5F539C98">
      <w:pPr>
        <w:pStyle w:val="25"/>
        <w:rPr>
          <w:color w:val="auto"/>
        </w:rPr>
      </w:pPr>
    </w:p>
    <w:p w14:paraId="326229C0">
      <w:pPr>
        <w:pStyle w:val="26"/>
        <w:ind w:firstLine="210"/>
        <w:rPr>
          <w:color w:val="auto"/>
        </w:rPr>
      </w:pPr>
    </w:p>
    <w:p w14:paraId="5BEFF710">
      <w:pPr>
        <w:rPr>
          <w:rFonts w:hint="eastAsia"/>
          <w:color w:val="auto"/>
        </w:rPr>
      </w:pPr>
    </w:p>
    <w:p w14:paraId="2D86BDA2">
      <w:pPr>
        <w:pStyle w:val="26"/>
        <w:ind w:firstLine="210"/>
        <w:rPr>
          <w:color w:val="auto"/>
        </w:rPr>
      </w:pPr>
    </w:p>
    <w:p w14:paraId="2E815CD2">
      <w:pPr>
        <w:rPr>
          <w:rFonts w:hint="eastAsia"/>
          <w:color w:val="auto"/>
        </w:rPr>
      </w:pPr>
    </w:p>
    <w:p w14:paraId="7740A3CE">
      <w:pPr>
        <w:pStyle w:val="26"/>
        <w:ind w:firstLine="210"/>
        <w:rPr>
          <w:color w:val="auto"/>
        </w:rPr>
      </w:pPr>
    </w:p>
    <w:p w14:paraId="05CAC3D5">
      <w:pPr>
        <w:rPr>
          <w:rFonts w:hint="eastAsia"/>
          <w:color w:val="auto"/>
        </w:rPr>
      </w:pPr>
    </w:p>
    <w:p w14:paraId="1D90073A">
      <w:pPr>
        <w:pStyle w:val="26"/>
        <w:ind w:firstLine="210"/>
        <w:rPr>
          <w:color w:val="auto"/>
        </w:rPr>
      </w:pPr>
    </w:p>
    <w:p w14:paraId="602A861E">
      <w:pPr>
        <w:rPr>
          <w:rFonts w:hint="eastAsia"/>
          <w:color w:val="auto"/>
        </w:rPr>
      </w:pPr>
    </w:p>
    <w:p w14:paraId="71E4F86D">
      <w:pPr>
        <w:pStyle w:val="26"/>
        <w:ind w:firstLine="210"/>
        <w:rPr>
          <w:color w:val="auto"/>
        </w:rPr>
      </w:pPr>
    </w:p>
    <w:p w14:paraId="594A0AC7">
      <w:pPr>
        <w:rPr>
          <w:rFonts w:hint="eastAsia"/>
          <w:color w:val="auto"/>
        </w:rPr>
      </w:pPr>
    </w:p>
    <w:p w14:paraId="4F4E17F1">
      <w:pPr>
        <w:pStyle w:val="26"/>
        <w:ind w:firstLine="210"/>
        <w:rPr>
          <w:color w:val="auto"/>
        </w:rPr>
      </w:pPr>
    </w:p>
    <w:p w14:paraId="5E306EB6">
      <w:pPr>
        <w:rPr>
          <w:rFonts w:hint="eastAsia"/>
          <w:color w:val="auto"/>
        </w:rPr>
      </w:pPr>
    </w:p>
    <w:p w14:paraId="2B2D1EE2">
      <w:pPr>
        <w:pStyle w:val="26"/>
        <w:ind w:firstLine="210"/>
        <w:rPr>
          <w:color w:val="auto"/>
        </w:rPr>
      </w:pPr>
    </w:p>
    <w:p w14:paraId="7B59F122">
      <w:pPr>
        <w:rPr>
          <w:rFonts w:hint="eastAsia"/>
          <w:color w:val="auto"/>
        </w:rPr>
      </w:pPr>
    </w:p>
    <w:p w14:paraId="0861C8B5">
      <w:pPr>
        <w:pStyle w:val="26"/>
        <w:ind w:firstLine="210"/>
        <w:rPr>
          <w:color w:val="auto"/>
        </w:rPr>
      </w:pPr>
    </w:p>
    <w:p w14:paraId="543694FE">
      <w:pPr>
        <w:snapToGrid w:val="0"/>
        <w:spacing w:before="120" w:beforeLines="50" w:line="312" w:lineRule="auto"/>
        <w:ind w:right="-341"/>
        <w:jc w:val="center"/>
        <w:rPr>
          <w:rFonts w:ascii="Times New Roman" w:hAnsi="Times New Roman" w:eastAsia="宋体" w:cs="Times New Roman"/>
          <w:b/>
          <w:color w:val="auto"/>
          <w:sz w:val="30"/>
          <w:szCs w:val="30"/>
        </w:rPr>
      </w:pPr>
      <w:r>
        <w:rPr>
          <w:rFonts w:ascii="Times New Roman" w:hAnsi="Times New Roman" w:eastAsia="宋体" w:cs="Times New Roman"/>
          <w:b/>
          <w:color w:val="auto"/>
          <w:sz w:val="30"/>
          <w:szCs w:val="30"/>
        </w:rPr>
        <w:t>二</w:t>
      </w:r>
      <w:r>
        <w:rPr>
          <w:rFonts w:hint="eastAsia" w:ascii="Times New Roman" w:hAnsi="Times New Roman" w:eastAsia="宋体" w:cs="Times New Roman"/>
          <w:b/>
          <w:color w:val="auto"/>
          <w:sz w:val="30"/>
          <w:szCs w:val="30"/>
        </w:rPr>
        <w:t>、</w:t>
      </w:r>
      <w:r>
        <w:rPr>
          <w:rFonts w:ascii="Times New Roman" w:hAnsi="Times New Roman" w:eastAsia="宋体" w:cs="Times New Roman"/>
          <w:b/>
          <w:color w:val="auto"/>
          <w:sz w:val="30"/>
          <w:szCs w:val="30"/>
        </w:rPr>
        <w:t>开标一览表</w:t>
      </w:r>
    </w:p>
    <w:p w14:paraId="7C9E1B6E">
      <w:pPr>
        <w:spacing w:line="360" w:lineRule="auto"/>
        <w:rPr>
          <w:rFonts w:ascii="Times New Roman" w:hAnsi="Times New Roman" w:eastAsia="宋体" w:cs="Times New Roman"/>
          <w:b/>
          <w:color w:val="auto"/>
          <w:sz w:val="24"/>
          <w:szCs w:val="24"/>
        </w:rPr>
      </w:pPr>
    </w:p>
    <w:p w14:paraId="735CFF77">
      <w:pPr>
        <w:snapToGrid w:val="0"/>
        <w:spacing w:before="50" w:after="50"/>
        <w:rPr>
          <w:rFonts w:ascii="Times New Roman" w:hAnsi="Times New Roman" w:eastAsia="宋体" w:cs="Times New Roman"/>
          <w:color w:val="auto"/>
        </w:rPr>
      </w:pPr>
      <w:r>
        <w:rPr>
          <w:rFonts w:ascii="Times New Roman" w:hAnsi="Times New Roman" w:eastAsia="宋体" w:cs="Times New Roman"/>
          <w:color w:val="auto"/>
        </w:rPr>
        <w:t>项目名称：</w:t>
      </w:r>
    </w:p>
    <w:p w14:paraId="6E0EDF42">
      <w:pPr>
        <w:snapToGrid w:val="0"/>
        <w:spacing w:before="50" w:after="50"/>
        <w:rPr>
          <w:rFonts w:ascii="Times New Roman" w:hAnsi="Times New Roman" w:eastAsia="宋体" w:cs="Times New Roman"/>
          <w:color w:val="auto"/>
        </w:rPr>
      </w:pPr>
      <w:r>
        <w:rPr>
          <w:rFonts w:ascii="Times New Roman" w:hAnsi="Times New Roman" w:eastAsia="宋体" w:cs="Times New Roman"/>
          <w:color w:val="auto"/>
        </w:rPr>
        <w:t>项目编号：</w:t>
      </w:r>
    </w:p>
    <w:p w14:paraId="4B0BE12B">
      <w:pPr>
        <w:snapToGrid w:val="0"/>
        <w:spacing w:before="50" w:after="50"/>
        <w:rPr>
          <w:rFonts w:ascii="Times New Roman" w:hAnsi="Times New Roman" w:eastAsia="宋体" w:cs="Times New Roman"/>
          <w:color w:val="auto"/>
        </w:rPr>
      </w:pPr>
      <w:r>
        <w:rPr>
          <w:rFonts w:hint="eastAsia" w:ascii="Times New Roman" w:hAnsi="Times New Roman" w:eastAsia="宋体" w:cs="Times New Roman"/>
          <w:color w:val="auto"/>
        </w:rPr>
        <w:t>标项：</w:t>
      </w:r>
    </w:p>
    <w:p w14:paraId="3928F2D6">
      <w:pPr>
        <w:spacing w:line="360" w:lineRule="auto"/>
        <w:jc w:val="center"/>
        <w:rPr>
          <w:rFonts w:ascii="宋体" w:hAnsi="Times New Roman" w:eastAsia="宋体" w:cs="Times New Roman"/>
          <w:b/>
          <w:bCs/>
          <w:color w:val="auto"/>
          <w:sz w:val="24"/>
          <w:u w:val="single"/>
        </w:rPr>
      </w:pPr>
      <w:r>
        <w:rPr>
          <w:rFonts w:ascii="Times New Roman" w:hAnsi="Times New Roman" w:eastAsia="宋体" w:cs="Times New Roman"/>
          <w:color w:val="auto"/>
          <w:szCs w:val="21"/>
        </w:rPr>
        <w:t>单位：元</w:t>
      </w:r>
    </w:p>
    <w:tbl>
      <w:tblPr>
        <w:tblStyle w:val="60"/>
        <w:tblW w:w="9498"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62919E42">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vAlign w:val="center"/>
          </w:tcPr>
          <w:p w14:paraId="3D8DF73D">
            <w:pPr>
              <w:jc w:val="center"/>
              <w:rPr>
                <w:rFonts w:hint="eastAsia" w:ascii="宋体" w:hAnsi="宋体" w:eastAsia="黑体" w:cs="Times New Roman"/>
                <w:color w:val="auto"/>
                <w:szCs w:val="21"/>
              </w:rPr>
            </w:pPr>
            <w:r>
              <w:rPr>
                <w:rFonts w:hint="eastAsia" w:ascii="宋体" w:hAnsi="宋体" w:eastAsia="黑体" w:cs="Times New Roman"/>
                <w:color w:val="auto"/>
                <w:szCs w:val="21"/>
              </w:rPr>
              <w:t>种苗品种</w:t>
            </w:r>
          </w:p>
        </w:tc>
        <w:tc>
          <w:tcPr>
            <w:tcW w:w="5103" w:type="dxa"/>
            <w:tcBorders>
              <w:right w:val="single" w:color="auto" w:sz="4" w:space="0"/>
            </w:tcBorders>
            <w:vAlign w:val="center"/>
          </w:tcPr>
          <w:p w14:paraId="29D027AB">
            <w:pPr>
              <w:jc w:val="center"/>
              <w:rPr>
                <w:rFonts w:hint="eastAsia" w:ascii="宋体" w:hAnsi="宋体" w:eastAsia="黑体" w:cs="Times New Roman"/>
                <w:color w:val="auto"/>
                <w:szCs w:val="21"/>
              </w:rPr>
            </w:pPr>
            <w:r>
              <w:rPr>
                <w:rFonts w:hint="eastAsia" w:ascii="宋体" w:hAnsi="宋体" w:eastAsia="黑体" w:cs="Times New Roman"/>
                <w:color w:val="auto"/>
                <w:szCs w:val="21"/>
              </w:rPr>
              <w:t>种苗价格（元</w:t>
            </w:r>
            <w:r>
              <w:rPr>
                <w:rFonts w:ascii="宋体" w:hAnsi="宋体" w:eastAsia="黑体" w:cs="Times New Roman"/>
                <w:color w:val="auto"/>
                <w:szCs w:val="21"/>
              </w:rPr>
              <w:t>/</w:t>
            </w:r>
            <w:r>
              <w:rPr>
                <w:rFonts w:hint="eastAsia" w:ascii="宋体" w:hAnsi="宋体" w:eastAsia="黑体" w:cs="Times New Roman"/>
                <w:color w:val="auto"/>
                <w:szCs w:val="21"/>
              </w:rPr>
              <w:t>尾、只、</w:t>
            </w:r>
            <w:r>
              <w:rPr>
                <w:rFonts w:hint="eastAsia" w:ascii="宋体" w:hAnsi="宋体" w:eastAsia="黑体" w:cs="Times New Roman"/>
                <w:b/>
                <w:bCs/>
                <w:color w:val="auto"/>
                <w:szCs w:val="21"/>
              </w:rPr>
              <w:t>粒</w:t>
            </w:r>
            <w:r>
              <w:rPr>
                <w:rFonts w:hint="eastAsia" w:ascii="宋体" w:hAnsi="宋体" w:eastAsia="黑体" w:cs="Times New Roman"/>
                <w:color w:val="auto"/>
                <w:szCs w:val="21"/>
              </w:rPr>
              <w:t>）</w:t>
            </w:r>
          </w:p>
        </w:tc>
        <w:tc>
          <w:tcPr>
            <w:tcW w:w="1984" w:type="dxa"/>
            <w:vAlign w:val="center"/>
          </w:tcPr>
          <w:p w14:paraId="2ABA76B5">
            <w:pPr>
              <w:jc w:val="center"/>
              <w:rPr>
                <w:rFonts w:hint="eastAsia" w:ascii="宋体" w:hAnsi="宋体" w:eastAsia="黑体" w:cs="Times New Roman"/>
                <w:color w:val="auto"/>
                <w:szCs w:val="21"/>
              </w:rPr>
            </w:pPr>
            <w:r>
              <w:rPr>
                <w:rFonts w:hint="eastAsia" w:ascii="宋体" w:hAnsi="宋体" w:eastAsia="黑体" w:cs="Times New Roman"/>
                <w:color w:val="auto"/>
                <w:szCs w:val="21"/>
              </w:rPr>
              <w:t>备注</w:t>
            </w:r>
          </w:p>
        </w:tc>
      </w:tr>
      <w:tr w14:paraId="106AD8B5">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Pr>
          <w:p w14:paraId="7F633961">
            <w:pPr>
              <w:rPr>
                <w:rFonts w:hint="eastAsia" w:ascii="宋体" w:hAnsi="宋体" w:eastAsia="黑体" w:cs="Times New Roman"/>
                <w:color w:val="auto"/>
                <w:szCs w:val="21"/>
              </w:rPr>
            </w:pPr>
          </w:p>
        </w:tc>
        <w:tc>
          <w:tcPr>
            <w:tcW w:w="5103" w:type="dxa"/>
            <w:tcBorders>
              <w:right w:val="single" w:color="auto" w:sz="4" w:space="0"/>
            </w:tcBorders>
          </w:tcPr>
          <w:p w14:paraId="5ED574FC">
            <w:pPr>
              <w:rPr>
                <w:rFonts w:hint="eastAsia" w:ascii="宋体" w:hAnsi="宋体" w:eastAsia="黑体" w:cs="Times New Roman"/>
                <w:color w:val="auto"/>
                <w:szCs w:val="21"/>
              </w:rPr>
            </w:pPr>
          </w:p>
        </w:tc>
        <w:tc>
          <w:tcPr>
            <w:tcW w:w="1984" w:type="dxa"/>
          </w:tcPr>
          <w:p w14:paraId="23D6882E">
            <w:pPr>
              <w:rPr>
                <w:rFonts w:hint="eastAsia" w:ascii="宋体" w:hAnsi="宋体" w:eastAsia="黑体" w:cs="Times New Roman"/>
                <w:color w:val="auto"/>
                <w:szCs w:val="21"/>
              </w:rPr>
            </w:pPr>
          </w:p>
        </w:tc>
      </w:tr>
    </w:tbl>
    <w:p w14:paraId="1FE0120F">
      <w:pPr>
        <w:shd w:val="clear" w:color="auto" w:fill="FFFFFF"/>
        <w:adjustRightInd w:val="0"/>
        <w:snapToGrid w:val="0"/>
        <w:spacing w:line="360" w:lineRule="auto"/>
        <w:ind w:firstLine="420" w:firstLineChars="200"/>
        <w:rPr>
          <w:rFonts w:hint="eastAsia" w:ascii="Times New Roman" w:hAnsi="宋体" w:eastAsia="宋体" w:cs="Times New Roman"/>
          <w:color w:val="auto"/>
          <w:szCs w:val="21"/>
        </w:rPr>
      </w:pPr>
    </w:p>
    <w:p w14:paraId="612CE7AF">
      <w:pPr>
        <w:shd w:val="clear" w:color="auto" w:fill="FFFFFF"/>
        <w:adjustRightInd w:val="0"/>
        <w:snapToGrid w:val="0"/>
        <w:spacing w:line="360" w:lineRule="auto"/>
        <w:ind w:firstLine="420" w:firstLineChars="200"/>
        <w:rPr>
          <w:rFonts w:hint="eastAsia" w:ascii="Times New Roman" w:hAnsi="宋体" w:eastAsia="宋体" w:cs="Times New Roman"/>
          <w:color w:val="auto"/>
          <w:szCs w:val="21"/>
        </w:rPr>
      </w:pPr>
      <w:r>
        <w:rPr>
          <w:rFonts w:ascii="Times New Roman" w:hAnsi="宋体" w:eastAsia="宋体" w:cs="Times New Roman"/>
          <w:color w:val="auto"/>
          <w:szCs w:val="21"/>
        </w:rPr>
        <w:t>1</w:t>
      </w:r>
      <w:r>
        <w:rPr>
          <w:rFonts w:hint="eastAsia" w:ascii="Times New Roman" w:hAnsi="宋体" w:eastAsia="宋体" w:cs="Times New Roman"/>
          <w:color w:val="auto"/>
          <w:szCs w:val="21"/>
        </w:rPr>
        <w:t>.投标报价应包括完成本项目的以下（但不限于以下）费用如：种苗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0144FA75">
      <w:pPr>
        <w:spacing w:line="360" w:lineRule="auto"/>
        <w:ind w:firstLine="420" w:firstLineChars="200"/>
        <w:rPr>
          <w:rFonts w:hint="eastAsia" w:ascii="Times New Roman" w:hAnsi="宋体" w:eastAsia="宋体" w:cs="Times New Roman"/>
          <w:color w:val="auto"/>
          <w:szCs w:val="21"/>
        </w:rPr>
      </w:pPr>
      <w:r>
        <w:rPr>
          <w:rFonts w:hint="eastAsia" w:ascii="Times New Roman" w:hAnsi="宋体" w:eastAsia="宋体" w:cs="Times New Roman"/>
          <w:color w:val="auto"/>
          <w:szCs w:val="21"/>
        </w:rPr>
        <w:t>2.报价中含放流种苗检验检测费。</w:t>
      </w:r>
    </w:p>
    <w:p w14:paraId="69659C27">
      <w:pPr>
        <w:spacing w:after="120"/>
        <w:ind w:firstLine="105" w:firstLineChars="50"/>
        <w:rPr>
          <w:rFonts w:ascii="Times New Roman" w:hAnsi="Calibri" w:eastAsia="宋体" w:cs="Times New Roman"/>
          <w:color w:val="auto"/>
          <w:kern w:val="0"/>
        </w:rPr>
      </w:pPr>
    </w:p>
    <w:p w14:paraId="7C2CDD25">
      <w:pPr>
        <w:spacing w:after="120"/>
        <w:ind w:firstLine="105" w:firstLineChars="50"/>
        <w:rPr>
          <w:rFonts w:ascii="Times New Roman" w:hAnsi="Calibri" w:eastAsia="宋体" w:cs="Times New Roman"/>
          <w:kern w:val="0"/>
        </w:rPr>
      </w:pPr>
    </w:p>
    <w:p w14:paraId="796603CE">
      <w:pPr>
        <w:spacing w:after="120"/>
        <w:ind w:firstLine="105" w:firstLineChars="50"/>
        <w:rPr>
          <w:rFonts w:ascii="Times New Roman" w:hAnsi="Calibri" w:eastAsia="宋体" w:cs="Times New Roman"/>
          <w:kern w:val="0"/>
        </w:rPr>
      </w:pPr>
    </w:p>
    <w:p w14:paraId="6DE5F028">
      <w:pPr>
        <w:spacing w:after="120"/>
        <w:ind w:firstLine="105" w:firstLineChars="50"/>
        <w:rPr>
          <w:rFonts w:ascii="Times New Roman" w:hAnsi="Times New Roman" w:eastAsia="宋体" w:cs="Times New Roman"/>
        </w:rPr>
      </w:pPr>
      <w:r>
        <w:rPr>
          <w:rFonts w:ascii="Times New Roman" w:hAnsi="Calibri" w:eastAsia="宋体" w:cs="Times New Roman"/>
          <w:kern w:val="0"/>
        </w:rPr>
        <w:t>投标人名称（盖章）：日期：年月日</w:t>
      </w:r>
    </w:p>
    <w:p w14:paraId="4054946B">
      <w:pPr>
        <w:rPr>
          <w:rFonts w:ascii="Times New Roman" w:hAnsi="Times New Roman" w:eastAsia="宋体" w:cs="Times New Roman"/>
        </w:rPr>
      </w:pPr>
    </w:p>
    <w:p w14:paraId="21A78803">
      <w:pPr>
        <w:spacing w:after="120"/>
        <w:rPr>
          <w:rFonts w:ascii="Times New Roman" w:hAnsi="Times New Roman" w:eastAsia="宋体" w:cs="Times New Roman"/>
          <w:kern w:val="0"/>
          <w:sz w:val="28"/>
        </w:rPr>
      </w:pPr>
    </w:p>
    <w:p w14:paraId="178D112F">
      <w:pPr>
        <w:spacing w:after="120"/>
        <w:rPr>
          <w:rFonts w:ascii="Times New Roman" w:hAnsi="Times New Roman" w:eastAsia="宋体" w:cs="Times New Roman"/>
          <w:kern w:val="0"/>
          <w:sz w:val="28"/>
        </w:rPr>
      </w:pPr>
    </w:p>
    <w:p w14:paraId="1E55418F">
      <w:pPr>
        <w:spacing w:after="120"/>
        <w:rPr>
          <w:rFonts w:ascii="Times New Roman" w:hAnsi="Times New Roman" w:eastAsia="宋体" w:cs="Times New Roman"/>
          <w:kern w:val="0"/>
          <w:sz w:val="28"/>
        </w:rPr>
      </w:pPr>
    </w:p>
    <w:p w14:paraId="2126B333">
      <w:pPr>
        <w:spacing w:after="120"/>
        <w:rPr>
          <w:rFonts w:ascii="Times New Roman" w:hAnsi="Times New Roman" w:eastAsia="宋体" w:cs="Times New Roman"/>
          <w:kern w:val="0"/>
          <w:sz w:val="28"/>
        </w:rPr>
      </w:pPr>
    </w:p>
    <w:p w14:paraId="5E8B08EC">
      <w:pPr>
        <w:spacing w:after="120"/>
        <w:rPr>
          <w:rFonts w:ascii="Times New Roman" w:hAnsi="Times New Roman" w:eastAsia="宋体" w:cs="Times New Roman"/>
          <w:kern w:val="0"/>
          <w:sz w:val="28"/>
        </w:rPr>
      </w:pPr>
    </w:p>
    <w:p w14:paraId="5DFB5525">
      <w:pPr>
        <w:spacing w:after="120"/>
        <w:rPr>
          <w:rFonts w:ascii="Times New Roman" w:hAnsi="Times New Roman" w:eastAsia="宋体" w:cs="Times New Roman"/>
          <w:kern w:val="0"/>
          <w:sz w:val="28"/>
        </w:rPr>
      </w:pPr>
    </w:p>
    <w:p w14:paraId="5E7B479B">
      <w:pPr>
        <w:spacing w:after="120"/>
        <w:rPr>
          <w:rFonts w:ascii="Times New Roman" w:hAnsi="Times New Roman" w:eastAsia="宋体" w:cs="Times New Roman"/>
          <w:kern w:val="0"/>
          <w:sz w:val="28"/>
        </w:rPr>
      </w:pPr>
    </w:p>
    <w:p w14:paraId="06472E32">
      <w:pPr>
        <w:spacing w:after="120"/>
        <w:rPr>
          <w:rFonts w:ascii="Times New Roman" w:hAnsi="Times New Roman" w:eastAsia="宋体" w:cs="Times New Roman"/>
          <w:kern w:val="0"/>
          <w:sz w:val="28"/>
        </w:rPr>
      </w:pPr>
    </w:p>
    <w:p w14:paraId="6AC5F912">
      <w:pPr>
        <w:spacing w:after="120"/>
        <w:rPr>
          <w:rFonts w:ascii="Times New Roman" w:hAnsi="Times New Roman" w:eastAsia="宋体" w:cs="Times New Roman"/>
          <w:kern w:val="0"/>
          <w:sz w:val="28"/>
        </w:rPr>
      </w:pPr>
    </w:p>
    <w:p w14:paraId="074CA59E">
      <w:pPr>
        <w:spacing w:after="120"/>
        <w:rPr>
          <w:rFonts w:ascii="Times New Roman" w:hAnsi="Times New Roman" w:eastAsia="宋体" w:cs="Times New Roman"/>
          <w:kern w:val="0"/>
          <w:sz w:val="28"/>
        </w:rPr>
      </w:pPr>
    </w:p>
    <w:p w14:paraId="1F1249D4">
      <w:pPr>
        <w:spacing w:after="120"/>
        <w:rPr>
          <w:rFonts w:ascii="Times New Roman" w:hAnsi="Times New Roman" w:eastAsia="宋体" w:cs="Times New Roman"/>
          <w:kern w:val="0"/>
          <w:sz w:val="28"/>
        </w:rPr>
      </w:pPr>
    </w:p>
    <w:p w14:paraId="7A8EE590">
      <w:pPr>
        <w:spacing w:after="120"/>
        <w:rPr>
          <w:rFonts w:ascii="Times New Roman" w:hAnsi="Times New Roman" w:eastAsia="宋体" w:cs="Times New Roman"/>
          <w:kern w:val="0"/>
          <w:sz w:val="28"/>
        </w:rPr>
      </w:pPr>
    </w:p>
    <w:p w14:paraId="4562F7B0">
      <w:pPr>
        <w:spacing w:after="120"/>
        <w:rPr>
          <w:rFonts w:ascii="Times New Roman" w:hAnsi="Times New Roman" w:eastAsia="宋体" w:cs="Times New Roman"/>
          <w:kern w:val="0"/>
          <w:sz w:val="28"/>
        </w:rPr>
      </w:pPr>
    </w:p>
    <w:p w14:paraId="265A84F7">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770B90CD">
      <w:pPr>
        <w:snapToGrid w:val="0"/>
        <w:spacing w:line="312" w:lineRule="auto"/>
        <w:ind w:right="-341"/>
        <w:rPr>
          <w:rFonts w:ascii="Times New Roman" w:hAnsi="Times New Roman" w:eastAsia="宋体" w:cs="Times New Roman"/>
        </w:rPr>
      </w:pPr>
    </w:p>
    <w:p w14:paraId="14ADD959">
      <w:pPr>
        <w:snapToGrid w:val="0"/>
        <w:spacing w:line="312" w:lineRule="auto"/>
        <w:ind w:right="-341"/>
        <w:rPr>
          <w:rFonts w:ascii="Times New Roman" w:hAnsi="Times New Roman" w:eastAsia="宋体" w:cs="Times New Roman"/>
        </w:rPr>
      </w:pPr>
      <w:r>
        <w:rPr>
          <w:rFonts w:ascii="Times New Roman" w:hAnsi="Times New Roman" w:eastAsia="宋体" w:cs="Times New Roman"/>
        </w:rPr>
        <w:t>致：</w:t>
      </w:r>
      <w:r>
        <w:rPr>
          <w:rFonts w:ascii="Times New Roman" w:hAnsi="Times New Roman" w:eastAsia="宋体" w:cs="Times New Roman"/>
          <w:u w:val="single"/>
        </w:rPr>
        <w:t>深圳市国信招标有限公司</w:t>
      </w:r>
      <w:r>
        <w:rPr>
          <w:rFonts w:ascii="Times New Roman" w:hAnsi="Times New Roman" w:eastAsia="宋体" w:cs="Times New Roman"/>
        </w:rPr>
        <w:t>：</w:t>
      </w:r>
    </w:p>
    <w:p w14:paraId="29F311F2">
      <w:pPr>
        <w:snapToGrid w:val="0"/>
        <w:spacing w:line="312" w:lineRule="auto"/>
        <w:ind w:right="-341" w:firstLine="480"/>
        <w:rPr>
          <w:rFonts w:ascii="Times New Roman" w:hAnsi="Times New Roman" w:eastAsia="宋体" w:cs="Times New Roman"/>
          <w:szCs w:val="21"/>
        </w:rPr>
      </w:pPr>
      <w:r>
        <w:rPr>
          <w:rFonts w:ascii="Times New Roman" w:hAnsi="Times New Roman" w:eastAsia="宋体" w:cs="Times New Roman"/>
        </w:rPr>
        <w:t>根据贵方为</w:t>
      </w:r>
      <w:r>
        <w:rPr>
          <w:rFonts w:hint="eastAsia" w:ascii="Times New Roman" w:hAnsi="Times New Roman" w:eastAsia="宋体" w:cs="Times New Roman"/>
          <w:u w:val="single"/>
          <w:lang w:val="en-US" w:eastAsia="zh-CN"/>
        </w:rPr>
        <w:t xml:space="preserve">       </w:t>
      </w:r>
      <w:r>
        <w:rPr>
          <w:rFonts w:ascii="Times New Roman" w:hAnsi="Times New Roman" w:eastAsia="宋体" w:cs="Times New Roman"/>
        </w:rPr>
        <w:t>项目的招标公告（项目编号：</w:t>
      </w:r>
      <w:r>
        <w:rPr>
          <w:rFonts w:hint="eastAsia" w:ascii="Times New Roman" w:hAnsi="Times New Roman" w:eastAsia="宋体" w:cs="Times New Roman"/>
          <w:u w:val="single"/>
        </w:rPr>
        <w:t xml:space="preserve">                  </w:t>
      </w:r>
      <w:r>
        <w:rPr>
          <w:rFonts w:ascii="Times New Roman" w:hAnsi="Times New Roman" w:eastAsia="宋体" w:cs="Times New Roman"/>
        </w:rPr>
        <w:t>）</w:t>
      </w:r>
      <w:r>
        <w:rPr>
          <w:rFonts w:ascii="Times New Roman" w:hAnsi="Times New Roman" w:eastAsia="宋体" w:cs="Times New Roman"/>
          <w:szCs w:val="21"/>
        </w:rPr>
        <w:t>。</w:t>
      </w:r>
    </w:p>
    <w:p w14:paraId="4DD623CB">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据此函，同意如下：</w:t>
      </w:r>
    </w:p>
    <w:p w14:paraId="7BAB9E60">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w:t>
      </w:r>
      <w:r>
        <w:rPr>
          <w:rFonts w:ascii="Times New Roman" w:hAnsi="Times New Roman" w:eastAsia="宋体" w:cs="Times New Roman"/>
          <w:spacing w:val="-4"/>
          <w:kern w:val="0"/>
          <w:szCs w:val="21"/>
        </w:rPr>
        <w:t>我方已详细审查了采购文件的全部内容及其相关补充文件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，并完全清晰理解全部内容及相关的补充文件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，不存在任何误解之处，同意放弃提出异议和质疑的权利。</w:t>
      </w:r>
    </w:p>
    <w:p w14:paraId="710983F9">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我方遵守《中华人民共和国政府采购法》及相关法律法规的规定。同意采购文件中所提到的无效标条款，并服从有关开标现场的会议纪律。否则，同意被废除投标资格。</w:t>
      </w:r>
    </w:p>
    <w:p w14:paraId="5FD5B34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11B2C69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投标有效期为自开标之日起9</w:t>
      </w:r>
      <w:r>
        <w:rPr>
          <w:rFonts w:ascii="Times New Roman" w:hAnsi="Times New Roman" w:eastAsia="宋体" w:cs="Times New Roman"/>
          <w:spacing w:val="-4"/>
          <w:szCs w:val="21"/>
          <w:u w:val="single"/>
        </w:rPr>
        <w:t>0</w:t>
      </w:r>
      <w:r>
        <w:rPr>
          <w:rFonts w:ascii="Times New Roman" w:hAnsi="Times New Roman" w:eastAsia="宋体" w:cs="Times New Roman"/>
          <w:spacing w:val="-4"/>
          <w:szCs w:val="21"/>
        </w:rPr>
        <w:t>天内，如在投标有效期内撤回投标，我方同意被废除投标资格。</w:t>
      </w:r>
    </w:p>
    <w:p w14:paraId="7165F685">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w:t>
      </w:r>
      <w:r>
        <w:rPr>
          <w:rFonts w:ascii="Times New Roman" w:hAnsi="Times New Roman" w:eastAsia="宋体" w:cs="Times New Roman"/>
          <w:szCs w:val="21"/>
        </w:rPr>
        <w:t>参加政府采购活动前3年内在经营活动中没有重大违法记录和依法缴纳了税收</w:t>
      </w:r>
      <w:r>
        <w:rPr>
          <w:rFonts w:ascii="Times New Roman" w:hAnsi="Times New Roman" w:eastAsia="宋体" w:cs="Times New Roman"/>
          <w:spacing w:val="-4"/>
          <w:szCs w:val="21"/>
        </w:rPr>
        <w:t>（投标截止时间进行计算）。</w:t>
      </w:r>
    </w:p>
    <w:p w14:paraId="400CC881">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我方承诺具备本项目</w:t>
      </w:r>
      <w:r>
        <w:rPr>
          <w:rFonts w:ascii="Times New Roman" w:hAnsi="Times New Roman" w:eastAsia="宋体" w:cs="Times New Roman"/>
          <w:szCs w:val="21"/>
        </w:rPr>
        <w:t>履行合同所必需的设备和专业技术能力</w:t>
      </w:r>
    </w:p>
    <w:p w14:paraId="627415D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5235C807">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我方承诺至开标之日止，未被“信用中国”（www.creditchina.gov.cn）、中国政府采购网（www.ccgp.gov.cn）列入失信被执行人、重大税收违法案件当事人名单、政府采购严重违法失信行为记录名单。</w:t>
      </w:r>
    </w:p>
    <w:p w14:paraId="57A9619C">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w:t>
      </w:r>
      <w:r>
        <w:rPr>
          <w:rFonts w:ascii="Times New Roman" w:hAnsi="Times New Roman" w:eastAsia="宋体" w:cs="Times New Roman"/>
        </w:rPr>
        <w:t>与本投标有关的一切正式往来信函请寄：</w:t>
      </w:r>
    </w:p>
    <w:p w14:paraId="0D383927">
      <w:pPr>
        <w:snapToGrid w:val="0"/>
        <w:spacing w:line="312" w:lineRule="auto"/>
        <w:ind w:right="-341"/>
        <w:rPr>
          <w:rFonts w:ascii="Times New Roman" w:hAnsi="Times New Roman" w:eastAsia="宋体" w:cs="Times New Roman"/>
        </w:rPr>
      </w:pPr>
      <w:r>
        <w:rPr>
          <w:rFonts w:ascii="Times New Roman" w:hAnsi="Times New Roman" w:eastAsia="宋体" w:cs="Times New Roman"/>
        </w:rPr>
        <w:t>地址：</w:t>
      </w:r>
      <w:r>
        <w:rPr>
          <w:rFonts w:hint="eastAsia" w:ascii="Times New Roman" w:hAnsi="Times New Roman" w:eastAsia="宋体" w:cs="Times New Roman"/>
          <w:u w:val="single"/>
        </w:rPr>
        <w:t xml:space="preserve">              </w:t>
      </w:r>
      <w:r>
        <w:rPr>
          <w:rFonts w:ascii="Times New Roman" w:hAnsi="Times New Roman" w:eastAsia="宋体" w:cs="Times New Roman"/>
        </w:rPr>
        <w:t>邮编：__________   电话：______________</w:t>
      </w:r>
    </w:p>
    <w:p w14:paraId="0C287138">
      <w:pPr>
        <w:snapToGrid w:val="0"/>
        <w:spacing w:line="312" w:lineRule="auto"/>
        <w:ind w:right="-341"/>
        <w:rPr>
          <w:rFonts w:ascii="Times New Roman" w:hAnsi="Times New Roman" w:eastAsia="宋体" w:cs="Times New Roman"/>
        </w:rPr>
      </w:pPr>
      <w:r>
        <w:rPr>
          <w:rFonts w:ascii="Times New Roman" w:hAnsi="Times New Roman" w:eastAsia="宋体" w:cs="Times New Roman"/>
        </w:rPr>
        <w:t>传真：______________投标人代表姓名 ___________  职务：_____________</w:t>
      </w:r>
    </w:p>
    <w:p w14:paraId="74969D86">
      <w:pPr>
        <w:snapToGrid w:val="0"/>
        <w:spacing w:line="312" w:lineRule="auto"/>
        <w:ind w:right="-341"/>
        <w:rPr>
          <w:rFonts w:ascii="Times New Roman" w:hAnsi="Times New Roman" w:eastAsia="宋体" w:cs="Times New Roman"/>
        </w:rPr>
      </w:pPr>
      <w:r>
        <w:rPr>
          <w:rFonts w:ascii="Times New Roman" w:hAnsi="Times New Roman" w:eastAsia="宋体" w:cs="Times New Roman"/>
        </w:rPr>
        <w:t>投标人名称(公章):___________________</w:t>
      </w:r>
    </w:p>
    <w:p w14:paraId="481E9F73">
      <w:pPr>
        <w:snapToGrid w:val="0"/>
        <w:spacing w:line="312" w:lineRule="auto"/>
        <w:ind w:right="-341"/>
        <w:rPr>
          <w:rFonts w:ascii="Times New Roman" w:hAnsi="Times New Roman" w:eastAsia="宋体" w:cs="Times New Roman"/>
        </w:rPr>
      </w:pPr>
      <w:r>
        <w:rPr>
          <w:rFonts w:ascii="Times New Roman" w:hAnsi="Times New Roman" w:eastAsia="宋体" w:cs="Times New Roman"/>
        </w:rPr>
        <w:t>开户银行：</w:t>
      </w:r>
      <w:r>
        <w:rPr>
          <w:rFonts w:hint="eastAsia" w:ascii="Times New Roman" w:hAnsi="Times New Roman" w:eastAsia="宋体" w:cs="Times New Roman"/>
        </w:rPr>
        <w:t xml:space="preserve">          </w:t>
      </w:r>
      <w:r>
        <w:rPr>
          <w:rFonts w:ascii="Times New Roman" w:hAnsi="Times New Roman" w:eastAsia="宋体" w:cs="Times New Roman"/>
        </w:rPr>
        <w:t>银行</w:t>
      </w:r>
      <w:r>
        <w:rPr>
          <w:rFonts w:hint="eastAsia" w:ascii="Times New Roman" w:hAnsi="Times New Roman" w:eastAsia="宋体" w:cs="Times New Roman"/>
        </w:rPr>
        <w:t>账号</w:t>
      </w:r>
      <w:r>
        <w:rPr>
          <w:rFonts w:ascii="Times New Roman" w:hAnsi="Times New Roman" w:eastAsia="宋体" w:cs="Times New Roman"/>
        </w:rPr>
        <w:t>：</w:t>
      </w:r>
    </w:p>
    <w:p w14:paraId="45EBB7D8">
      <w:pPr>
        <w:snapToGrid w:val="0"/>
        <w:ind w:right="-341"/>
        <w:rPr>
          <w:rFonts w:ascii="Times New Roman" w:hAnsi="Times New Roman" w:eastAsia="宋体" w:cs="Times New Roman"/>
        </w:rPr>
      </w:pPr>
    </w:p>
    <w:p w14:paraId="6A93BD8C">
      <w:pPr>
        <w:snapToGrid w:val="0"/>
        <w:spacing w:before="120" w:line="312" w:lineRule="auto"/>
        <w:ind w:right="-341" w:firstLine="4830" w:firstLineChars="2300"/>
        <w:rPr>
          <w:rFonts w:ascii="Times New Roman" w:hAnsi="Times New Roman" w:eastAsia="宋体" w:cs="Times New Roman"/>
        </w:rPr>
      </w:pPr>
      <w:r>
        <w:rPr>
          <w:rFonts w:ascii="Times New Roman" w:hAnsi="Times New Roman" w:eastAsia="宋体" w:cs="Times New Roman"/>
        </w:rPr>
        <w:t>日期:_____年___月___日</w:t>
      </w:r>
    </w:p>
    <w:p w14:paraId="30278811">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rPr>
        <w:br w:type="page"/>
      </w:r>
    </w:p>
    <w:p w14:paraId="688E124A">
      <w:pPr>
        <w:snapToGrid w:val="0"/>
        <w:spacing w:before="120" w:beforeLines="50" w:after="50"/>
        <w:jc w:val="center"/>
        <w:rPr>
          <w:rFonts w:hint="eastAsia" w:ascii="宋体" w:hAnsi="宋体" w:eastAsia="宋体" w:cs="宋体"/>
          <w:b/>
          <w:sz w:val="32"/>
          <w:szCs w:val="32"/>
        </w:rPr>
      </w:pPr>
      <w:r>
        <w:rPr>
          <w:rFonts w:hint="eastAsia" w:ascii="宋体" w:hAnsi="宋体" w:eastAsia="宋体" w:cs="宋体"/>
          <w:b/>
          <w:sz w:val="32"/>
          <w:szCs w:val="32"/>
        </w:rPr>
        <w:t>四、声明函</w:t>
      </w:r>
    </w:p>
    <w:p w14:paraId="79777F42">
      <w:pPr>
        <w:snapToGrid w:val="0"/>
        <w:spacing w:before="120" w:beforeLines="50" w:after="50" w:line="360" w:lineRule="auto"/>
        <w:rPr>
          <w:rFonts w:hint="eastAsia"/>
          <w:szCs w:val="21"/>
        </w:rPr>
      </w:pPr>
    </w:p>
    <w:p w14:paraId="459A94C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ascii="Times New Roman" w:hAnsi="Times New Roman" w:eastAsia="宋体" w:cs="Times New Roman"/>
          <w:spacing w:val="-4"/>
          <w:szCs w:val="21"/>
          <w:u w:val="single"/>
        </w:rPr>
        <w:t>_深圳市国信招标有限公司_</w:t>
      </w:r>
      <w:r>
        <w:rPr>
          <w:rFonts w:ascii="Times New Roman" w:hAnsi="Times New Roman" w:eastAsia="宋体" w:cs="Times New Roman"/>
          <w:spacing w:val="-4"/>
          <w:szCs w:val="21"/>
        </w:rPr>
        <w:t>：</w:t>
      </w:r>
    </w:p>
    <w:p w14:paraId="5BAC82DA">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208F7FB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67E38FAD">
      <w:pPr>
        <w:spacing w:line="360" w:lineRule="auto"/>
        <w:ind w:right="-341" w:firstLine="404" w:firstLineChars="200"/>
        <w:rPr>
          <w:rFonts w:ascii="Times New Roman" w:hAnsi="Times New Roman" w:eastAsia="宋体" w:cs="Times New Roman"/>
          <w:spacing w:val="-4"/>
          <w:szCs w:val="21"/>
        </w:rPr>
      </w:pPr>
    </w:p>
    <w:p w14:paraId="49262274">
      <w:pPr>
        <w:spacing w:line="360" w:lineRule="auto"/>
        <w:ind w:right="-341" w:firstLine="404" w:firstLineChars="200"/>
        <w:rPr>
          <w:rFonts w:ascii="Times New Roman" w:hAnsi="Times New Roman" w:eastAsia="宋体" w:cs="Times New Roman"/>
          <w:spacing w:val="-4"/>
          <w:szCs w:val="21"/>
        </w:rPr>
      </w:pPr>
    </w:p>
    <w:p w14:paraId="24E5E455">
      <w:pPr>
        <w:spacing w:line="360" w:lineRule="auto"/>
        <w:ind w:right="-341" w:firstLine="404" w:firstLineChars="200"/>
        <w:rPr>
          <w:rFonts w:ascii="Times New Roman" w:hAnsi="Times New Roman" w:eastAsia="宋体" w:cs="Times New Roman"/>
          <w:spacing w:val="-4"/>
          <w:szCs w:val="21"/>
        </w:rPr>
      </w:pPr>
    </w:p>
    <w:p w14:paraId="56DD557D">
      <w:pPr>
        <w:spacing w:line="360" w:lineRule="auto"/>
        <w:ind w:right="-341" w:firstLine="404" w:firstLineChars="200"/>
        <w:rPr>
          <w:rFonts w:ascii="Times New Roman" w:hAnsi="Times New Roman" w:eastAsia="宋体" w:cs="Times New Roman"/>
          <w:spacing w:val="-4"/>
          <w:szCs w:val="21"/>
        </w:rPr>
      </w:pPr>
    </w:p>
    <w:p w14:paraId="56BC2672">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投标人名称（盖章）：日期：</w:t>
      </w:r>
    </w:p>
    <w:p w14:paraId="624EE3B3">
      <w:pPr>
        <w:spacing w:line="360" w:lineRule="auto"/>
        <w:ind w:right="-341" w:firstLine="404" w:firstLineChars="200"/>
        <w:rPr>
          <w:rFonts w:ascii="Times New Roman" w:hAnsi="Times New Roman" w:eastAsia="宋体" w:cs="Times New Roman"/>
          <w:spacing w:val="-4"/>
          <w:szCs w:val="21"/>
        </w:rPr>
      </w:pPr>
    </w:p>
    <w:p w14:paraId="0187BDC3">
      <w:pPr>
        <w:spacing w:line="360" w:lineRule="auto"/>
        <w:ind w:right="-341" w:firstLine="404" w:firstLineChars="200"/>
        <w:rPr>
          <w:rFonts w:ascii="Times New Roman" w:hAnsi="Times New Roman" w:eastAsia="宋体" w:cs="Times New Roman"/>
          <w:spacing w:val="-4"/>
          <w:szCs w:val="21"/>
        </w:rPr>
      </w:pPr>
    </w:p>
    <w:p w14:paraId="0546B35E">
      <w:pPr>
        <w:spacing w:line="360" w:lineRule="auto"/>
        <w:ind w:right="-341" w:firstLine="404" w:firstLineChars="200"/>
        <w:rPr>
          <w:rFonts w:ascii="Times New Roman" w:hAnsi="Times New Roman" w:eastAsia="宋体" w:cs="Times New Roman"/>
          <w:spacing w:val="-4"/>
          <w:szCs w:val="21"/>
        </w:rPr>
      </w:pPr>
    </w:p>
    <w:p w14:paraId="55F69AA9">
      <w:pPr>
        <w:spacing w:line="360" w:lineRule="auto"/>
        <w:ind w:right="-341" w:firstLine="404" w:firstLineChars="200"/>
        <w:rPr>
          <w:rFonts w:ascii="Times New Roman" w:hAnsi="Times New Roman" w:eastAsia="宋体" w:cs="Times New Roman"/>
          <w:spacing w:val="-4"/>
          <w:szCs w:val="21"/>
        </w:rPr>
      </w:pPr>
    </w:p>
    <w:p w14:paraId="7C1977F9">
      <w:pPr>
        <w:spacing w:line="360" w:lineRule="auto"/>
        <w:ind w:right="-341" w:firstLine="404" w:firstLineChars="200"/>
        <w:rPr>
          <w:rFonts w:ascii="Times New Roman" w:hAnsi="Times New Roman" w:eastAsia="宋体" w:cs="Times New Roman"/>
          <w:spacing w:val="-4"/>
          <w:szCs w:val="21"/>
        </w:rPr>
      </w:pPr>
    </w:p>
    <w:p w14:paraId="37A67DA2">
      <w:pPr>
        <w:spacing w:line="360" w:lineRule="auto"/>
        <w:ind w:right="-341" w:firstLine="404" w:firstLineChars="200"/>
        <w:rPr>
          <w:rFonts w:ascii="Times New Roman" w:hAnsi="Times New Roman" w:eastAsia="宋体" w:cs="Times New Roman"/>
          <w:spacing w:val="-4"/>
          <w:szCs w:val="21"/>
        </w:rPr>
      </w:pPr>
    </w:p>
    <w:p w14:paraId="0BB31725">
      <w:pPr>
        <w:spacing w:line="360" w:lineRule="auto"/>
        <w:ind w:right="-341" w:firstLine="404" w:firstLineChars="200"/>
        <w:rPr>
          <w:rFonts w:ascii="Times New Roman" w:hAnsi="Times New Roman" w:eastAsia="宋体" w:cs="Times New Roman"/>
          <w:spacing w:val="-4"/>
          <w:szCs w:val="21"/>
        </w:rPr>
      </w:pPr>
    </w:p>
    <w:p w14:paraId="4C8AC64A">
      <w:pPr>
        <w:spacing w:line="360" w:lineRule="auto"/>
        <w:ind w:right="-341" w:firstLine="404" w:firstLineChars="200"/>
        <w:rPr>
          <w:rFonts w:ascii="Times New Roman" w:hAnsi="Times New Roman" w:eastAsia="宋体" w:cs="Times New Roman"/>
          <w:spacing w:val="-4"/>
          <w:szCs w:val="21"/>
        </w:rPr>
      </w:pPr>
    </w:p>
    <w:p w14:paraId="1A293FBF">
      <w:pPr>
        <w:snapToGrid w:val="0"/>
        <w:spacing w:line="312" w:lineRule="auto"/>
        <w:jc w:val="left"/>
        <w:rPr>
          <w:rFonts w:hint="eastAsia"/>
          <w:b/>
          <w:sz w:val="32"/>
        </w:rPr>
      </w:pPr>
    </w:p>
    <w:p w14:paraId="49BB963F">
      <w:pPr>
        <w:snapToGrid w:val="0"/>
        <w:spacing w:line="312" w:lineRule="auto"/>
        <w:jc w:val="left"/>
        <w:rPr>
          <w:rFonts w:hint="eastAsia"/>
          <w:b/>
          <w:sz w:val="32"/>
        </w:rPr>
      </w:pPr>
    </w:p>
    <w:p w14:paraId="791D6B55">
      <w:pPr>
        <w:snapToGrid w:val="0"/>
        <w:spacing w:line="312" w:lineRule="auto"/>
        <w:jc w:val="left"/>
        <w:rPr>
          <w:rFonts w:hint="eastAsia"/>
          <w:b/>
          <w:sz w:val="32"/>
        </w:rPr>
      </w:pPr>
    </w:p>
    <w:p w14:paraId="6C11891B">
      <w:pPr>
        <w:snapToGrid w:val="0"/>
        <w:spacing w:line="312" w:lineRule="auto"/>
        <w:jc w:val="left"/>
        <w:rPr>
          <w:rFonts w:hint="eastAsia"/>
          <w:b/>
          <w:sz w:val="32"/>
        </w:rPr>
      </w:pPr>
    </w:p>
    <w:p w14:paraId="697D5802">
      <w:pPr>
        <w:snapToGrid w:val="0"/>
        <w:spacing w:line="312" w:lineRule="auto"/>
        <w:jc w:val="left"/>
        <w:rPr>
          <w:rFonts w:hint="eastAsia"/>
          <w:b/>
          <w:sz w:val="24"/>
        </w:rPr>
      </w:pPr>
    </w:p>
    <w:p w14:paraId="7D7ADAFB">
      <w:pPr>
        <w:pStyle w:val="26"/>
        <w:ind w:firstLine="241"/>
        <w:rPr>
          <w:b/>
          <w:sz w:val="24"/>
        </w:rPr>
      </w:pPr>
    </w:p>
    <w:p w14:paraId="5FEED925">
      <w:pPr>
        <w:rPr>
          <w:rFonts w:hint="eastAsia"/>
          <w:b/>
          <w:sz w:val="24"/>
        </w:rPr>
      </w:pPr>
    </w:p>
    <w:p w14:paraId="4E66834F">
      <w:pPr>
        <w:pStyle w:val="26"/>
        <w:ind w:firstLine="241"/>
        <w:rPr>
          <w:b/>
          <w:sz w:val="24"/>
        </w:rPr>
      </w:pPr>
    </w:p>
    <w:p w14:paraId="62086791">
      <w:pPr>
        <w:rPr>
          <w:rFonts w:hint="eastAsia"/>
          <w:b/>
          <w:sz w:val="24"/>
        </w:rPr>
      </w:pPr>
    </w:p>
    <w:p w14:paraId="5EE43040">
      <w:pPr>
        <w:pStyle w:val="26"/>
        <w:ind w:firstLine="210"/>
      </w:pPr>
    </w:p>
    <w:p w14:paraId="231C4CBE">
      <w:pPr>
        <w:jc w:val="center"/>
        <w:rPr>
          <w:rFonts w:hint="eastAsia"/>
          <w:b/>
          <w:spacing w:val="20"/>
          <w:sz w:val="28"/>
        </w:rPr>
      </w:pPr>
    </w:p>
    <w:p w14:paraId="6EE9E8D5">
      <w:pPr>
        <w:jc w:val="center"/>
        <w:rPr>
          <w:rFonts w:hint="eastAsia" w:ascii="宋体" w:hAnsi="宋体" w:eastAsia="宋体" w:cs="宋体"/>
          <w:sz w:val="32"/>
          <w:szCs w:val="32"/>
        </w:rPr>
      </w:pPr>
      <w:r>
        <w:rPr>
          <w:rFonts w:hint="eastAsia" w:ascii="宋体" w:hAnsi="宋体" w:eastAsia="宋体" w:cs="宋体"/>
          <w:b/>
          <w:spacing w:val="20"/>
          <w:sz w:val="32"/>
          <w:szCs w:val="32"/>
        </w:rPr>
        <w:t>五、</w:t>
      </w:r>
      <w:r>
        <w:rPr>
          <w:rFonts w:hint="eastAsia" w:ascii="宋体" w:hAnsi="宋体" w:eastAsia="宋体" w:cs="宋体"/>
          <w:b/>
          <w:bCs/>
          <w:sz w:val="32"/>
          <w:szCs w:val="32"/>
        </w:rPr>
        <w:t>廉政承诺书</w:t>
      </w:r>
    </w:p>
    <w:p w14:paraId="12CE9F08">
      <w:pPr>
        <w:rPr>
          <w:rFonts w:hint="eastAsia"/>
          <w:b/>
          <w:bCs/>
          <w:sz w:val="28"/>
          <w:szCs w:val="28"/>
        </w:rPr>
      </w:pPr>
    </w:p>
    <w:p w14:paraId="4AEFCD97">
      <w:pPr>
        <w:rPr>
          <w:rFonts w:hint="eastAsia" w:ascii="宋体" w:hAnsi="宋体" w:eastAsia="宋体" w:cs="宋体"/>
          <w:b/>
          <w:bCs/>
          <w:szCs w:val="21"/>
        </w:rPr>
      </w:pPr>
      <w:r>
        <w:rPr>
          <w:rFonts w:hint="eastAsia" w:ascii="宋体" w:hAnsi="宋体" w:eastAsia="宋体" w:cs="宋体"/>
          <w:b/>
          <w:bCs/>
          <w:szCs w:val="21"/>
        </w:rPr>
        <w:t>致： （采购人）：</w:t>
      </w:r>
    </w:p>
    <w:p w14:paraId="3FA42E42">
      <w:pPr>
        <w:spacing w:line="360" w:lineRule="auto"/>
        <w:ind w:firstLine="420" w:firstLineChars="200"/>
        <w:rPr>
          <w:rFonts w:hint="eastAsia" w:ascii="宋体" w:hAnsi="宋体" w:eastAsia="宋体" w:cs="宋体"/>
          <w:szCs w:val="21"/>
        </w:rPr>
      </w:pPr>
    </w:p>
    <w:p w14:paraId="60D64CAE">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我单位响应你单位</w:t>
      </w:r>
      <w:r>
        <w:rPr>
          <w:rFonts w:hint="eastAsia" w:ascii="宋体" w:hAnsi="宋体" w:eastAsia="宋体" w:cs="宋体"/>
          <w:szCs w:val="21"/>
          <w:u w:val="single"/>
          <w:lang w:val="en-US" w:eastAsia="zh-CN"/>
        </w:rPr>
        <w:t xml:space="preserve">    </w:t>
      </w:r>
      <w:r>
        <w:rPr>
          <w:rFonts w:hint="eastAsia" w:ascii="宋体" w:hAnsi="宋体" w:eastAsia="宋体" w:cs="宋体"/>
          <w:szCs w:val="21"/>
        </w:rPr>
        <w:t>项目招标要求参加投标，在这次投标过程中和中标后，我们将严格遵守国家法律法规要求，并郑重承诺:</w:t>
      </w:r>
    </w:p>
    <w:p w14:paraId="67984096">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一、不向项目有关人员及部门赠送礼金礼物、有价证券、回扣以及中介费、介绍费、咨询费等好处费。</w:t>
      </w:r>
    </w:p>
    <w:p w14:paraId="17AE9DE9">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二、不为项目有关人员及部门报销应由你方单位或个人支付的费用;</w:t>
      </w:r>
    </w:p>
    <w:p w14:paraId="3D6D56B6">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三、不向项目有关人员及部门提供有可能影响公正的宴请和健身娱乐等活动;</w:t>
      </w:r>
    </w:p>
    <w:p w14:paraId="3057D089">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四、不为项目有关人员及部门出国(境)、旅游等提供方便；</w:t>
      </w:r>
    </w:p>
    <w:p w14:paraId="586BC427">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五、不为项目有关人员个人装修住房、婚丧嫁娶、配偶子女工作安排等提供好处;</w:t>
      </w:r>
    </w:p>
    <w:p w14:paraId="03EC2E30">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六、严格遵守政府采购法、民法典等法律，诚实守信，合法经营，坚决抵制各种违法违纪行为。</w:t>
      </w:r>
    </w:p>
    <w:p w14:paraId="5FFDD25B">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4F64DAE6">
      <w:pPr>
        <w:rPr>
          <w:rFonts w:hint="eastAsia" w:ascii="宋体" w:hAnsi="宋体" w:eastAsia="宋体" w:cs="宋体"/>
          <w:szCs w:val="21"/>
        </w:rPr>
      </w:pPr>
    </w:p>
    <w:p w14:paraId="12A5753F">
      <w:pPr>
        <w:rPr>
          <w:rFonts w:hint="eastAsia" w:ascii="宋体" w:hAnsi="宋体" w:eastAsia="宋体" w:cs="宋体"/>
          <w:szCs w:val="21"/>
        </w:rPr>
      </w:pPr>
    </w:p>
    <w:p w14:paraId="3A060082">
      <w:pPr>
        <w:rPr>
          <w:rFonts w:hint="eastAsia" w:ascii="宋体" w:hAnsi="宋体" w:eastAsia="宋体" w:cs="宋体"/>
          <w:szCs w:val="21"/>
        </w:rPr>
      </w:pPr>
      <w:r>
        <w:rPr>
          <w:rFonts w:hint="eastAsia" w:ascii="宋体" w:hAnsi="宋体" w:eastAsia="宋体" w:cs="宋体"/>
          <w:szCs w:val="21"/>
        </w:rPr>
        <w:t>投标人:(盖章)</w:t>
      </w:r>
    </w:p>
    <w:p w14:paraId="07F7B719">
      <w:pPr>
        <w:rPr>
          <w:rFonts w:hint="eastAsia" w:ascii="宋体" w:hAnsi="宋体" w:eastAsia="宋体" w:cs="宋体"/>
          <w:szCs w:val="21"/>
        </w:rPr>
      </w:pPr>
    </w:p>
    <w:p w14:paraId="53D3BD24">
      <w:pPr>
        <w:rPr>
          <w:rFonts w:hint="eastAsia" w:ascii="宋体" w:hAnsi="宋体" w:eastAsia="宋体" w:cs="宋体"/>
          <w:szCs w:val="21"/>
        </w:rPr>
      </w:pPr>
    </w:p>
    <w:p w14:paraId="44B6B14B">
      <w:pPr>
        <w:rPr>
          <w:rFonts w:hint="eastAsia" w:ascii="宋体" w:hAnsi="宋体" w:eastAsia="宋体" w:cs="宋体"/>
          <w:szCs w:val="21"/>
        </w:rPr>
      </w:pPr>
    </w:p>
    <w:p w14:paraId="516495FD">
      <w:pPr>
        <w:rPr>
          <w:rFonts w:hint="eastAsia" w:ascii="宋体" w:hAnsi="宋体" w:eastAsia="宋体" w:cs="宋体"/>
          <w:szCs w:val="21"/>
        </w:rPr>
      </w:pPr>
    </w:p>
    <w:p w14:paraId="650A52B1">
      <w:pPr>
        <w:rPr>
          <w:rFonts w:hint="eastAsia" w:ascii="宋体" w:hAnsi="宋体" w:eastAsia="宋体" w:cs="宋体"/>
          <w:szCs w:val="21"/>
        </w:rPr>
      </w:pPr>
    </w:p>
    <w:p w14:paraId="4A1CCFA7">
      <w:pPr>
        <w:rPr>
          <w:rFonts w:hint="eastAsia" w:ascii="宋体" w:hAnsi="宋体" w:eastAsia="宋体" w:cs="宋体"/>
          <w:szCs w:val="21"/>
        </w:rPr>
      </w:pPr>
      <w:r>
        <w:rPr>
          <w:rFonts w:hint="eastAsia" w:ascii="宋体" w:hAnsi="宋体" w:eastAsia="宋体" w:cs="宋体"/>
          <w:szCs w:val="21"/>
        </w:rPr>
        <w:t>日期:    年月日</w:t>
      </w:r>
    </w:p>
    <w:p w14:paraId="3E22A4CC">
      <w:pPr>
        <w:snapToGrid w:val="0"/>
        <w:spacing w:before="50" w:line="312" w:lineRule="auto"/>
        <w:jc w:val="left"/>
        <w:rPr>
          <w:rFonts w:hint="eastAsia" w:ascii="宋体" w:hAnsi="宋体" w:eastAsia="宋体" w:cs="宋体"/>
          <w:b/>
          <w:spacing w:val="20"/>
          <w:szCs w:val="21"/>
        </w:rPr>
      </w:pPr>
    </w:p>
    <w:p w14:paraId="7CFDB84A">
      <w:pPr>
        <w:snapToGrid w:val="0"/>
        <w:spacing w:before="50" w:line="312" w:lineRule="auto"/>
        <w:jc w:val="left"/>
        <w:rPr>
          <w:rFonts w:hint="eastAsia"/>
          <w:b/>
          <w:spacing w:val="20"/>
          <w:szCs w:val="21"/>
        </w:rPr>
      </w:pPr>
    </w:p>
    <w:p w14:paraId="48C8A4F8">
      <w:pPr>
        <w:snapToGrid w:val="0"/>
        <w:spacing w:before="50" w:line="312" w:lineRule="auto"/>
        <w:jc w:val="center"/>
        <w:rPr>
          <w:rFonts w:hint="eastAsia"/>
          <w:b/>
          <w:sz w:val="24"/>
        </w:rPr>
      </w:pPr>
    </w:p>
    <w:p w14:paraId="763DFB87">
      <w:pPr>
        <w:snapToGrid w:val="0"/>
        <w:spacing w:before="50" w:line="312" w:lineRule="auto"/>
        <w:jc w:val="center"/>
        <w:rPr>
          <w:rFonts w:hint="eastAsia"/>
          <w:b/>
          <w:sz w:val="24"/>
        </w:rPr>
      </w:pPr>
    </w:p>
    <w:p w14:paraId="4216CE65">
      <w:pPr>
        <w:snapToGrid w:val="0"/>
        <w:spacing w:before="50" w:line="312" w:lineRule="auto"/>
        <w:jc w:val="center"/>
        <w:rPr>
          <w:rFonts w:hint="eastAsia"/>
          <w:b/>
          <w:sz w:val="24"/>
        </w:rPr>
      </w:pPr>
    </w:p>
    <w:p w14:paraId="18D90E2C">
      <w:pPr>
        <w:snapToGrid w:val="0"/>
        <w:spacing w:before="50" w:line="312" w:lineRule="auto"/>
        <w:jc w:val="center"/>
        <w:rPr>
          <w:rFonts w:hint="eastAsia"/>
          <w:b/>
          <w:sz w:val="24"/>
        </w:rPr>
      </w:pPr>
    </w:p>
    <w:p w14:paraId="1A0EEE2B">
      <w:pPr>
        <w:snapToGrid w:val="0"/>
        <w:spacing w:before="120" w:line="312" w:lineRule="auto"/>
        <w:ind w:right="-341"/>
        <w:rPr>
          <w:rFonts w:hint="eastAsia"/>
          <w:b/>
          <w:sz w:val="32"/>
        </w:rPr>
      </w:pPr>
    </w:p>
    <w:p w14:paraId="41933D75">
      <w:pPr>
        <w:pStyle w:val="26"/>
        <w:ind w:firstLine="321"/>
        <w:rPr>
          <w:b/>
          <w:sz w:val="32"/>
        </w:rPr>
      </w:pPr>
    </w:p>
    <w:p w14:paraId="1221DBC8">
      <w:pPr>
        <w:rPr>
          <w:rFonts w:hint="eastAsia"/>
          <w:b/>
          <w:sz w:val="32"/>
        </w:rPr>
      </w:pPr>
    </w:p>
    <w:p w14:paraId="393B57B1">
      <w:pPr>
        <w:pStyle w:val="26"/>
        <w:ind w:firstLine="210"/>
        <w:jc w:val="center"/>
      </w:pPr>
    </w:p>
    <w:p w14:paraId="3B302E41">
      <w:pPr>
        <w:snapToGrid w:val="0"/>
        <w:spacing w:before="120" w:line="312" w:lineRule="auto"/>
        <w:ind w:right="-341"/>
        <w:jc w:val="center"/>
        <w:rPr>
          <w:rFonts w:hint="eastAsia" w:ascii="宋体" w:hAnsi="宋体" w:eastAsia="宋体" w:cs="宋体"/>
          <w:b/>
          <w:sz w:val="32"/>
          <w:szCs w:val="32"/>
        </w:rPr>
      </w:pPr>
      <w:r>
        <w:rPr>
          <w:rFonts w:hint="eastAsia" w:ascii="宋体" w:hAnsi="宋体" w:eastAsia="宋体" w:cs="宋体"/>
          <w:b/>
          <w:sz w:val="32"/>
          <w:szCs w:val="32"/>
        </w:rPr>
        <w:t>六、中小企业声明函（货物）</w:t>
      </w:r>
    </w:p>
    <w:p w14:paraId="22BEDE4B">
      <w:pPr>
        <w:ind w:firstLine="420" w:firstLineChars="200"/>
        <w:rPr>
          <w:rFonts w:hint="eastAsia"/>
        </w:rPr>
      </w:pPr>
    </w:p>
    <w:p w14:paraId="64DACA52">
      <w:pPr>
        <w:spacing w:line="360" w:lineRule="auto"/>
        <w:ind w:firstLine="420" w:firstLineChars="200"/>
        <w:rPr>
          <w:rFonts w:hint="eastAsia"/>
          <w:szCs w:val="21"/>
        </w:rPr>
      </w:pPr>
    </w:p>
    <w:p w14:paraId="66DEE363">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61738D51">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1. （标的名称），属于（采购文件中明确的所属行业）行业；制造商为（企业名称），从业人员人，营业收入为万元，资产总额为万元属于（中型企业、小型企业、微型企业）；</w:t>
      </w:r>
    </w:p>
    <w:p w14:paraId="3F15FD99">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2. （标的名称），属于（采购文件中明确的所属行业）行业；制造商为（企业名称），从业人员人，营业收入为万元，资产总额为万元，属于（中型企业、小型企业、微型企业）；</w:t>
      </w:r>
    </w:p>
    <w:p w14:paraId="5659767F">
      <w:pPr>
        <w:spacing w:line="360" w:lineRule="auto"/>
        <w:rPr>
          <w:rFonts w:hint="eastAsia" w:ascii="宋体" w:hAnsi="宋体" w:eastAsia="宋体" w:cs="宋体"/>
          <w:szCs w:val="21"/>
        </w:rPr>
      </w:pPr>
      <w:r>
        <w:rPr>
          <w:rFonts w:hint="eastAsia" w:ascii="宋体" w:hAnsi="宋体" w:eastAsia="宋体" w:cs="宋体"/>
          <w:szCs w:val="21"/>
        </w:rPr>
        <w:t>……</w:t>
      </w:r>
    </w:p>
    <w:p w14:paraId="6CFF2E71">
      <w:pPr>
        <w:spacing w:line="360" w:lineRule="auto"/>
        <w:ind w:firstLine="735" w:firstLineChars="350"/>
        <w:rPr>
          <w:rFonts w:hint="eastAsia" w:ascii="宋体" w:hAnsi="宋体" w:eastAsia="宋体" w:cs="宋体"/>
          <w:szCs w:val="21"/>
        </w:rPr>
      </w:pPr>
      <w:r>
        <w:rPr>
          <w:rFonts w:hint="eastAsia" w:ascii="宋体" w:hAnsi="宋体" w:eastAsia="宋体" w:cs="宋体"/>
          <w:szCs w:val="21"/>
        </w:rPr>
        <w:t>以上企业，不属于大企业的分支机构，不存在控股股东为大企业的情形，也不存在与大企业的负责人为同一人的情形。</w:t>
      </w:r>
    </w:p>
    <w:p w14:paraId="16F5461C">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本企业对上述声明内容的真实性负责。如有虚假，将依法承担相应责任。</w:t>
      </w:r>
    </w:p>
    <w:p w14:paraId="63828DAB">
      <w:pPr>
        <w:spacing w:line="360" w:lineRule="auto"/>
        <w:rPr>
          <w:rFonts w:hint="eastAsia" w:ascii="宋体" w:hAnsi="宋体" w:eastAsia="宋体" w:cs="宋体"/>
          <w:szCs w:val="21"/>
        </w:rPr>
      </w:pPr>
    </w:p>
    <w:p w14:paraId="2C65EEE6">
      <w:pPr>
        <w:spacing w:line="360" w:lineRule="auto"/>
        <w:rPr>
          <w:rFonts w:hint="eastAsia" w:ascii="宋体" w:hAnsi="宋体" w:eastAsia="宋体" w:cs="宋体"/>
          <w:szCs w:val="21"/>
        </w:rPr>
      </w:pPr>
    </w:p>
    <w:p w14:paraId="7EC8A2B4">
      <w:pPr>
        <w:spacing w:line="360" w:lineRule="auto"/>
        <w:ind w:firstLine="630" w:firstLineChars="300"/>
        <w:rPr>
          <w:rFonts w:hint="eastAsia" w:ascii="宋体" w:hAnsi="宋体" w:eastAsia="宋体" w:cs="宋体"/>
          <w:szCs w:val="21"/>
        </w:rPr>
      </w:pPr>
      <w:r>
        <w:rPr>
          <w:rFonts w:hint="eastAsia" w:ascii="宋体" w:hAnsi="宋体" w:eastAsia="宋体" w:cs="宋体"/>
          <w:szCs w:val="21"/>
        </w:rPr>
        <w:t>企业名称（盖章）：</w:t>
      </w:r>
    </w:p>
    <w:p w14:paraId="237F5A40">
      <w:pPr>
        <w:spacing w:line="360" w:lineRule="auto"/>
        <w:ind w:firstLine="630" w:firstLineChars="300"/>
        <w:rPr>
          <w:rFonts w:hint="eastAsia" w:ascii="宋体" w:hAnsi="宋体" w:eastAsia="宋体" w:cs="宋体"/>
          <w:szCs w:val="21"/>
        </w:rPr>
      </w:pPr>
      <w:r>
        <w:rPr>
          <w:rFonts w:hint="eastAsia" w:ascii="宋体" w:hAnsi="宋体" w:eastAsia="宋体" w:cs="宋体"/>
          <w:szCs w:val="21"/>
        </w:rPr>
        <w:t>日期：</w:t>
      </w:r>
    </w:p>
    <w:p w14:paraId="0B450CF8">
      <w:pPr>
        <w:snapToGrid w:val="0"/>
        <w:spacing w:line="360" w:lineRule="auto"/>
        <w:ind w:right="-341"/>
        <w:rPr>
          <w:rFonts w:hint="eastAsia" w:ascii="宋体" w:hAnsi="宋体" w:eastAsia="宋体" w:cs="宋体"/>
          <w:szCs w:val="21"/>
        </w:rPr>
        <w:sectPr>
          <w:pgSz w:w="11906" w:h="16838"/>
          <w:pgMar w:top="1304" w:right="1531" w:bottom="1304" w:left="1531" w:header="1304" w:footer="1304" w:gutter="0"/>
          <w:cols w:space="720" w:num="1"/>
        </w:sectPr>
      </w:pPr>
    </w:p>
    <w:p w14:paraId="5F650151">
      <w:pPr>
        <w:snapToGrid w:val="0"/>
        <w:spacing w:before="50" w:after="156" w:afterLines="50"/>
        <w:jc w:val="left"/>
        <w:rPr>
          <w:rFonts w:ascii="Times New Roman" w:hAnsi="Times New Roman" w:eastAsia="宋体" w:cs="Times New Roman"/>
          <w:b/>
          <w:sz w:val="24"/>
        </w:rPr>
      </w:pPr>
    </w:p>
    <w:p w14:paraId="44274073">
      <w:pPr>
        <w:spacing w:line="360" w:lineRule="auto"/>
        <w:ind w:firstLine="3132" w:firstLineChars="1300"/>
        <w:rPr>
          <w:rFonts w:ascii="Times New Roman" w:hAnsi="Times New Roman" w:eastAsia="宋体" w:cs="Times New Roman"/>
          <w:b/>
          <w:sz w:val="24"/>
          <w:szCs w:val="24"/>
        </w:rPr>
      </w:pPr>
      <w:r>
        <w:rPr>
          <w:rFonts w:ascii="Times New Roman" w:hAnsi="Times New Roman" w:eastAsia="宋体" w:cs="Times New Roman"/>
          <w:b/>
          <w:sz w:val="24"/>
          <w:szCs w:val="24"/>
        </w:rPr>
        <w:t>监狱企业声明函</w:t>
      </w:r>
    </w:p>
    <w:p w14:paraId="46219CF3">
      <w:pPr>
        <w:spacing w:line="360" w:lineRule="auto"/>
        <w:ind w:firstLine="2640" w:firstLineChars="1100"/>
        <w:rPr>
          <w:rFonts w:ascii="Times New Roman" w:hAnsi="Times New Roman" w:eastAsia="宋体" w:cs="Times New Roman"/>
          <w:sz w:val="24"/>
          <w:szCs w:val="24"/>
        </w:rPr>
      </w:pPr>
      <w:r>
        <w:rPr>
          <w:rFonts w:ascii="Times New Roman" w:hAnsi="Times New Roman" w:eastAsia="宋体" w:cs="Times New Roman"/>
          <w:sz w:val="24"/>
          <w:szCs w:val="24"/>
        </w:rPr>
        <w:t>【非监狱企业不用提供】</w:t>
      </w:r>
    </w:p>
    <w:p w14:paraId="48F186F7">
      <w:pPr>
        <w:spacing w:line="360" w:lineRule="auto"/>
        <w:ind w:firstLine="480"/>
        <w:rPr>
          <w:rFonts w:ascii="Times New Roman" w:hAnsi="Times New Roman" w:eastAsia="宋体" w:cs="Times New Roman"/>
          <w:szCs w:val="21"/>
        </w:rPr>
      </w:pPr>
    </w:p>
    <w:p w14:paraId="67F17CEF">
      <w:pPr>
        <w:spacing w:line="360" w:lineRule="auto"/>
        <w:ind w:firstLine="525" w:firstLineChars="250"/>
        <w:rPr>
          <w:rFonts w:ascii="Times New Roman" w:hAnsi="Times New Roman" w:eastAsia="宋体" w:cs="Times New Roman"/>
          <w:szCs w:val="21"/>
        </w:rPr>
      </w:pPr>
      <w:r>
        <w:rPr>
          <w:rFonts w:ascii="Times New Roman" w:hAnsi="Times New Roman" w:eastAsia="宋体" w:cs="Times New Roman"/>
          <w:szCs w:val="21"/>
        </w:rPr>
        <w:t>监狱企业参加政府采购活动时，应当提供由省级以上监狱管理本企业郑重声明，根据《关于政府采购支持监狱企业发展有关问题的通知》（财库[2014]68号）的规定，本企业为监狱企业。</w:t>
      </w:r>
    </w:p>
    <w:p w14:paraId="00FE315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根据上述标准，我企业属于监狱企业的理由为：。</w:t>
      </w:r>
    </w:p>
    <w:p w14:paraId="334F5089">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本企业为参加（项目名称：）（项目编号：）采购活动提供本企业的产品。</w:t>
      </w:r>
    </w:p>
    <w:p w14:paraId="3894044B">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本企业对上述声明的真实性负责。如有虚假，将依法承担相应责任。</w:t>
      </w:r>
    </w:p>
    <w:p w14:paraId="5D7E4452">
      <w:pPr>
        <w:spacing w:line="360" w:lineRule="auto"/>
        <w:ind w:firstLine="480"/>
        <w:rPr>
          <w:rFonts w:ascii="Times New Roman" w:hAnsi="Times New Roman" w:eastAsia="宋体" w:cs="Times New Roman"/>
          <w:szCs w:val="21"/>
        </w:rPr>
      </w:pPr>
    </w:p>
    <w:p w14:paraId="24D0AC15">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投标人名称（盖章）：</w:t>
      </w:r>
    </w:p>
    <w:p w14:paraId="164B9C8B">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日期：年月日</w:t>
      </w:r>
    </w:p>
    <w:p w14:paraId="53FDB43F">
      <w:pPr>
        <w:spacing w:line="360" w:lineRule="auto"/>
        <w:ind w:firstLine="480"/>
        <w:rPr>
          <w:rFonts w:ascii="Times New Roman" w:hAnsi="Times New Roman" w:eastAsia="宋体" w:cs="Times New Roman"/>
          <w:szCs w:val="21"/>
        </w:rPr>
      </w:pPr>
    </w:p>
    <w:p w14:paraId="2DF094E4">
      <w:pPr>
        <w:spacing w:line="360" w:lineRule="auto"/>
        <w:ind w:firstLine="480"/>
        <w:rPr>
          <w:rFonts w:ascii="Times New Roman" w:hAnsi="Times New Roman" w:eastAsia="宋体" w:cs="Times New Roman"/>
          <w:szCs w:val="21"/>
        </w:rPr>
      </w:pPr>
    </w:p>
    <w:p w14:paraId="687468A8">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投标人为监狱企业的提供此函。</w:t>
      </w:r>
    </w:p>
    <w:p w14:paraId="19157834">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局、戒毒管理局（含新疆生产建设兵团）出具的属于监狱企业的证明文件。</w:t>
      </w:r>
    </w:p>
    <w:p w14:paraId="3417568E">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2B57731">
      <w:pPr>
        <w:spacing w:line="360" w:lineRule="auto"/>
        <w:ind w:firstLine="480"/>
        <w:rPr>
          <w:rFonts w:ascii="Times New Roman" w:hAnsi="Times New Roman" w:eastAsia="宋体" w:cs="Times New Roman"/>
          <w:szCs w:val="21"/>
        </w:rPr>
      </w:pPr>
    </w:p>
    <w:p w14:paraId="724877A6">
      <w:pPr>
        <w:spacing w:line="360" w:lineRule="auto"/>
        <w:ind w:firstLine="480"/>
        <w:rPr>
          <w:rFonts w:ascii="Times New Roman" w:hAnsi="Times New Roman" w:eastAsia="宋体" w:cs="Times New Roman"/>
          <w:szCs w:val="21"/>
        </w:rPr>
      </w:pPr>
    </w:p>
    <w:p w14:paraId="2D7D79F4">
      <w:pPr>
        <w:spacing w:line="360" w:lineRule="auto"/>
        <w:ind w:firstLine="480"/>
        <w:rPr>
          <w:rFonts w:ascii="Times New Roman" w:hAnsi="Times New Roman" w:eastAsia="宋体" w:cs="Times New Roman"/>
          <w:szCs w:val="21"/>
        </w:rPr>
      </w:pPr>
    </w:p>
    <w:p w14:paraId="13C401BD">
      <w:pPr>
        <w:spacing w:line="360" w:lineRule="auto"/>
        <w:ind w:firstLine="480"/>
        <w:rPr>
          <w:rFonts w:ascii="Times New Roman" w:hAnsi="Times New Roman" w:eastAsia="宋体" w:cs="Times New Roman"/>
          <w:szCs w:val="21"/>
        </w:rPr>
      </w:pPr>
    </w:p>
    <w:p w14:paraId="064CEC77">
      <w:pPr>
        <w:spacing w:line="360" w:lineRule="auto"/>
        <w:ind w:firstLine="480"/>
        <w:rPr>
          <w:rFonts w:ascii="Times New Roman" w:hAnsi="Times New Roman" w:eastAsia="宋体" w:cs="Times New Roman"/>
          <w:szCs w:val="21"/>
        </w:rPr>
      </w:pPr>
    </w:p>
    <w:p w14:paraId="4ABEE576">
      <w:pPr>
        <w:spacing w:line="360" w:lineRule="auto"/>
        <w:ind w:firstLine="480"/>
        <w:rPr>
          <w:rFonts w:ascii="Times New Roman" w:hAnsi="Times New Roman" w:eastAsia="宋体" w:cs="Times New Roman"/>
          <w:szCs w:val="21"/>
        </w:rPr>
      </w:pPr>
    </w:p>
    <w:p w14:paraId="40936520">
      <w:pPr>
        <w:spacing w:line="360" w:lineRule="auto"/>
        <w:ind w:firstLine="480"/>
        <w:rPr>
          <w:rFonts w:ascii="Times New Roman" w:hAnsi="Times New Roman" w:eastAsia="宋体" w:cs="Times New Roman"/>
          <w:szCs w:val="21"/>
        </w:rPr>
      </w:pPr>
    </w:p>
    <w:p w14:paraId="2F01E62D">
      <w:pPr>
        <w:spacing w:line="360" w:lineRule="auto"/>
        <w:ind w:firstLine="480"/>
        <w:rPr>
          <w:rFonts w:ascii="Times New Roman" w:hAnsi="Times New Roman" w:eastAsia="宋体" w:cs="Times New Roman"/>
          <w:szCs w:val="21"/>
        </w:rPr>
      </w:pPr>
    </w:p>
    <w:p w14:paraId="552ADEE3">
      <w:pPr>
        <w:spacing w:line="360" w:lineRule="auto"/>
        <w:rPr>
          <w:rFonts w:ascii="Times New Roman" w:hAnsi="Times New Roman" w:eastAsia="宋体" w:cs="Times New Roman"/>
          <w:b/>
          <w:sz w:val="24"/>
          <w:szCs w:val="24"/>
        </w:rPr>
      </w:pPr>
    </w:p>
    <w:p w14:paraId="1E41258E">
      <w:pPr>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残疾人福利性单位声明函</w:t>
      </w:r>
    </w:p>
    <w:p w14:paraId="0B1EE737">
      <w:pPr>
        <w:spacing w:line="360" w:lineRule="auto"/>
        <w:ind w:firstLine="2835" w:firstLineChars="1350"/>
        <w:rPr>
          <w:rFonts w:ascii="Times New Roman" w:hAnsi="Times New Roman" w:eastAsia="宋体" w:cs="Times New Roman"/>
          <w:szCs w:val="21"/>
        </w:rPr>
      </w:pPr>
      <w:r>
        <w:rPr>
          <w:rFonts w:ascii="Times New Roman" w:hAnsi="Times New Roman" w:eastAsia="宋体" w:cs="Times New Roman"/>
          <w:szCs w:val="21"/>
        </w:rPr>
        <w:t>【非残疾人福利性单位不用提供】</w:t>
      </w:r>
    </w:p>
    <w:p w14:paraId="740B9FE0">
      <w:pPr>
        <w:spacing w:line="360" w:lineRule="auto"/>
        <w:rPr>
          <w:rFonts w:ascii="Times New Roman" w:hAnsi="Times New Roman" w:eastAsia="宋体" w:cs="Times New Roman"/>
          <w:szCs w:val="21"/>
        </w:rPr>
      </w:pPr>
    </w:p>
    <w:p w14:paraId="4763AE12">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5C57AA71">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本单位对上述声明的真实性负责。如有虚假，将依法承担相应责任。</w:t>
      </w:r>
    </w:p>
    <w:p w14:paraId="61F29B18">
      <w:pPr>
        <w:spacing w:line="360" w:lineRule="auto"/>
        <w:rPr>
          <w:rFonts w:ascii="Times New Roman" w:hAnsi="Times New Roman" w:eastAsia="宋体" w:cs="Times New Roman"/>
          <w:szCs w:val="21"/>
        </w:rPr>
      </w:pPr>
    </w:p>
    <w:p w14:paraId="3CE91005">
      <w:pPr>
        <w:spacing w:line="360" w:lineRule="auto"/>
        <w:rPr>
          <w:rFonts w:ascii="Times New Roman" w:hAnsi="Times New Roman" w:eastAsia="宋体" w:cs="Times New Roman"/>
          <w:szCs w:val="21"/>
        </w:rPr>
      </w:pPr>
    </w:p>
    <w:p w14:paraId="12A65631">
      <w:pPr>
        <w:spacing w:line="360" w:lineRule="auto"/>
        <w:rPr>
          <w:rFonts w:ascii="Times New Roman" w:hAnsi="Times New Roman" w:eastAsia="宋体" w:cs="Times New Roman"/>
          <w:szCs w:val="21"/>
        </w:rPr>
      </w:pPr>
      <w:r>
        <w:rPr>
          <w:rFonts w:ascii="Times New Roman" w:hAnsi="Times New Roman" w:eastAsia="宋体" w:cs="Times New Roman"/>
          <w:szCs w:val="21"/>
        </w:rPr>
        <w:t>投标人名称（盖章）：</w:t>
      </w:r>
    </w:p>
    <w:p w14:paraId="04A58A81">
      <w:pPr>
        <w:spacing w:line="360" w:lineRule="auto"/>
        <w:rPr>
          <w:rFonts w:ascii="Times New Roman" w:hAnsi="Times New Roman" w:eastAsia="宋体" w:cs="Times New Roman"/>
          <w:szCs w:val="21"/>
        </w:rPr>
      </w:pPr>
      <w:r>
        <w:rPr>
          <w:rFonts w:ascii="Times New Roman" w:hAnsi="Times New Roman" w:eastAsia="宋体" w:cs="Times New Roman"/>
          <w:szCs w:val="21"/>
        </w:rPr>
        <w:t>日期：年月日</w:t>
      </w:r>
    </w:p>
    <w:p w14:paraId="5C51228C">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说明：投标人为残疾人福利性单位的提供此函。</w:t>
      </w:r>
    </w:p>
    <w:p w14:paraId="5EB789C0">
      <w:pPr>
        <w:snapToGrid w:val="0"/>
        <w:spacing w:line="360" w:lineRule="auto"/>
        <w:ind w:right="-341"/>
        <w:rPr>
          <w:rFonts w:ascii="Times New Roman" w:hAnsi="Times New Roman" w:eastAsia="宋体" w:cs="Times New Roman"/>
        </w:rPr>
      </w:pPr>
    </w:p>
    <w:p w14:paraId="28C6BECD">
      <w:pPr>
        <w:snapToGrid w:val="0"/>
        <w:spacing w:line="360" w:lineRule="auto"/>
        <w:ind w:right="-341"/>
        <w:rPr>
          <w:rFonts w:ascii="Times New Roman" w:hAnsi="Times New Roman" w:eastAsia="宋体" w:cs="Times New Roman"/>
        </w:rPr>
      </w:pPr>
    </w:p>
    <w:p w14:paraId="063E4A39">
      <w:pPr>
        <w:snapToGrid w:val="0"/>
        <w:spacing w:line="360" w:lineRule="auto"/>
        <w:ind w:right="-341"/>
        <w:rPr>
          <w:rFonts w:ascii="Times New Roman" w:hAnsi="Times New Roman" w:eastAsia="宋体" w:cs="Times New Roman"/>
        </w:rPr>
      </w:pPr>
    </w:p>
    <w:p w14:paraId="272F8B8C">
      <w:pPr>
        <w:snapToGrid w:val="0"/>
        <w:spacing w:line="360" w:lineRule="auto"/>
        <w:ind w:right="-341"/>
        <w:rPr>
          <w:rFonts w:ascii="Times New Roman" w:hAnsi="Times New Roman" w:eastAsia="宋体" w:cs="Times New Roman"/>
        </w:rPr>
      </w:pPr>
    </w:p>
    <w:p w14:paraId="6FF0FDF1">
      <w:pPr>
        <w:snapToGrid w:val="0"/>
        <w:spacing w:line="312" w:lineRule="auto"/>
        <w:ind w:right="-341"/>
        <w:rPr>
          <w:rFonts w:ascii="Times New Roman" w:hAnsi="Times New Roman" w:eastAsia="宋体" w:cs="Times New Roman"/>
          <w:b/>
        </w:rPr>
      </w:pPr>
    </w:p>
    <w:p w14:paraId="5ADE0966">
      <w:pPr>
        <w:snapToGrid w:val="0"/>
        <w:spacing w:line="312" w:lineRule="auto"/>
        <w:ind w:right="-341"/>
        <w:rPr>
          <w:rFonts w:ascii="Times New Roman" w:hAnsi="Times New Roman" w:eastAsia="宋体" w:cs="Times New Roman"/>
          <w:b/>
        </w:rPr>
      </w:pPr>
    </w:p>
    <w:p w14:paraId="1C3C60BF">
      <w:pPr>
        <w:snapToGrid w:val="0"/>
        <w:spacing w:line="312" w:lineRule="auto"/>
        <w:ind w:right="-341"/>
        <w:rPr>
          <w:rFonts w:ascii="Times New Roman" w:hAnsi="Times New Roman" w:eastAsia="宋体" w:cs="Times New Roman"/>
          <w:b/>
        </w:rPr>
      </w:pPr>
    </w:p>
    <w:p w14:paraId="1BF12C14">
      <w:pPr>
        <w:snapToGrid w:val="0"/>
        <w:spacing w:line="312" w:lineRule="auto"/>
        <w:ind w:right="-341"/>
        <w:rPr>
          <w:rFonts w:ascii="Times New Roman" w:hAnsi="Times New Roman" w:eastAsia="宋体" w:cs="Times New Roman"/>
          <w:b/>
        </w:rPr>
      </w:pPr>
    </w:p>
    <w:p w14:paraId="48F7502F">
      <w:pPr>
        <w:snapToGrid w:val="0"/>
        <w:spacing w:line="312" w:lineRule="auto"/>
        <w:ind w:right="-341"/>
        <w:rPr>
          <w:rFonts w:ascii="Times New Roman" w:hAnsi="Times New Roman" w:eastAsia="宋体" w:cs="Times New Roman"/>
          <w:b/>
        </w:rPr>
      </w:pPr>
    </w:p>
    <w:p w14:paraId="6ADF3B68">
      <w:pPr>
        <w:snapToGrid w:val="0"/>
        <w:spacing w:line="312" w:lineRule="auto"/>
        <w:ind w:right="-341"/>
        <w:rPr>
          <w:rFonts w:ascii="Times New Roman" w:hAnsi="Times New Roman" w:eastAsia="宋体" w:cs="Times New Roman"/>
          <w:b/>
        </w:rPr>
      </w:pPr>
    </w:p>
    <w:p w14:paraId="283322EE">
      <w:pPr>
        <w:snapToGrid w:val="0"/>
        <w:spacing w:line="312" w:lineRule="auto"/>
        <w:ind w:right="-341"/>
        <w:rPr>
          <w:rFonts w:ascii="Times New Roman" w:hAnsi="Times New Roman" w:eastAsia="宋体" w:cs="Times New Roman"/>
          <w:b/>
        </w:rPr>
      </w:pPr>
    </w:p>
    <w:p w14:paraId="4DE3EEBA">
      <w:pPr>
        <w:snapToGrid w:val="0"/>
        <w:spacing w:before="50" w:line="312" w:lineRule="auto"/>
        <w:rPr>
          <w:rFonts w:ascii="Times New Roman" w:hAnsi="Times New Roman" w:eastAsia="宋体" w:cs="Times New Roman"/>
          <w:b/>
          <w:sz w:val="24"/>
        </w:rPr>
      </w:pPr>
    </w:p>
    <w:p w14:paraId="2C569BC6">
      <w:pPr>
        <w:snapToGrid w:val="0"/>
        <w:spacing w:before="50" w:line="312" w:lineRule="auto"/>
        <w:rPr>
          <w:rFonts w:ascii="Times New Roman" w:hAnsi="Times New Roman" w:eastAsia="宋体" w:cs="Times New Roman"/>
          <w:b/>
          <w:sz w:val="24"/>
        </w:rPr>
      </w:pPr>
    </w:p>
    <w:p w14:paraId="79C9D5AF">
      <w:pPr>
        <w:snapToGrid w:val="0"/>
        <w:spacing w:before="50" w:line="312" w:lineRule="auto"/>
        <w:rPr>
          <w:rFonts w:ascii="Times New Roman" w:hAnsi="Times New Roman" w:eastAsia="宋体" w:cs="Times New Roman"/>
          <w:b/>
          <w:sz w:val="24"/>
        </w:rPr>
      </w:pPr>
    </w:p>
    <w:p w14:paraId="7E3E6BD6">
      <w:pPr>
        <w:snapToGrid w:val="0"/>
        <w:spacing w:before="50" w:line="312" w:lineRule="auto"/>
        <w:rPr>
          <w:rFonts w:ascii="Times New Roman" w:hAnsi="Times New Roman" w:eastAsia="宋体" w:cs="Times New Roman"/>
          <w:b/>
          <w:sz w:val="24"/>
        </w:rPr>
      </w:pPr>
    </w:p>
    <w:p w14:paraId="62D8ACC4">
      <w:pPr>
        <w:snapToGrid w:val="0"/>
        <w:spacing w:before="50" w:line="312" w:lineRule="auto"/>
        <w:rPr>
          <w:rFonts w:ascii="Times New Roman" w:hAnsi="Times New Roman" w:eastAsia="宋体" w:cs="Times New Roman"/>
          <w:b/>
          <w:sz w:val="24"/>
        </w:rPr>
      </w:pPr>
    </w:p>
    <w:p w14:paraId="520825EE">
      <w:pPr>
        <w:snapToGrid w:val="0"/>
        <w:spacing w:before="50" w:line="312" w:lineRule="auto"/>
        <w:rPr>
          <w:rFonts w:ascii="Times New Roman" w:hAnsi="Times New Roman" w:eastAsia="宋体" w:cs="Times New Roman"/>
          <w:b/>
          <w:sz w:val="24"/>
        </w:rPr>
      </w:pPr>
    </w:p>
    <w:p w14:paraId="7BDE8635">
      <w:pPr>
        <w:snapToGrid w:val="0"/>
        <w:spacing w:before="50" w:line="312" w:lineRule="auto"/>
        <w:rPr>
          <w:rFonts w:ascii="Times New Roman" w:hAnsi="Times New Roman" w:eastAsia="宋体" w:cs="Times New Roman"/>
          <w:b/>
          <w:sz w:val="24"/>
        </w:rPr>
      </w:pPr>
    </w:p>
    <w:p w14:paraId="5D47088D">
      <w:pPr>
        <w:pStyle w:val="26"/>
        <w:ind w:firstLine="210"/>
      </w:pPr>
    </w:p>
    <w:p w14:paraId="6AD13376">
      <w:pPr>
        <w:snapToGrid w:val="0"/>
        <w:spacing w:before="50" w:line="312" w:lineRule="auto"/>
        <w:rPr>
          <w:rFonts w:ascii="Times New Roman" w:hAnsi="Times New Roman" w:eastAsia="宋体" w:cs="Times New Roman"/>
          <w:b/>
          <w:sz w:val="24"/>
        </w:rPr>
      </w:pPr>
    </w:p>
    <w:p w14:paraId="4C65DA78">
      <w:pPr>
        <w:snapToGrid w:val="0"/>
        <w:spacing w:before="50" w:line="312" w:lineRule="auto"/>
        <w:rPr>
          <w:rFonts w:ascii="Times New Roman" w:hAnsi="Times New Roman" w:eastAsia="宋体" w:cs="Times New Roman"/>
          <w:b/>
          <w:sz w:val="24"/>
        </w:rPr>
      </w:pPr>
      <w:r>
        <w:rPr>
          <w:rFonts w:hint="eastAsia" w:ascii="Times New Roman" w:hAnsi="Times New Roman" w:eastAsia="宋体" w:cs="Times New Roman"/>
          <w:b/>
          <w:sz w:val="24"/>
        </w:rPr>
        <w:t>七、</w:t>
      </w:r>
      <w:r>
        <w:rPr>
          <w:rFonts w:hint="eastAsia" w:ascii="宋体" w:hAnsi="宋体" w:eastAsia="宋体" w:cs="Times New Roman"/>
          <w:b/>
          <w:sz w:val="24"/>
          <w:szCs w:val="24"/>
        </w:rPr>
        <w:t>关于投标单位资质情况的说明（适用各标项）</w:t>
      </w:r>
    </w:p>
    <w:p w14:paraId="5D07C528">
      <w:pPr>
        <w:spacing w:line="360" w:lineRule="auto"/>
        <w:rPr>
          <w:rFonts w:hint="eastAsia" w:ascii="宋体" w:hAnsi="宋体" w:eastAsia="宋体" w:cs="Times New Roman"/>
          <w:b/>
          <w:szCs w:val="21"/>
        </w:rPr>
      </w:pPr>
    </w:p>
    <w:p w14:paraId="2F29492A">
      <w:pPr>
        <w:spacing w:line="288" w:lineRule="auto"/>
        <w:rPr>
          <w:rFonts w:hint="eastAsia" w:ascii="宋体" w:hAnsi="宋体" w:eastAsia="宋体" w:cs="Times New Roman"/>
          <w:b/>
          <w:szCs w:val="21"/>
        </w:rPr>
      </w:pPr>
      <w:r>
        <w:rPr>
          <w:rFonts w:hint="eastAsia" w:ascii="宋体" w:hAnsi="宋体" w:eastAsia="宋体" w:cs="Times New Roman"/>
          <w:b/>
          <w:szCs w:val="21"/>
        </w:rPr>
        <w:t>一、投标方的基本情况</w:t>
      </w:r>
    </w:p>
    <w:p w14:paraId="72F6F86F">
      <w:pPr>
        <w:spacing w:line="288" w:lineRule="auto"/>
        <w:rPr>
          <w:rFonts w:hint="eastAsia" w:ascii="宋体" w:hAnsi="宋体" w:eastAsia="宋体" w:cs="Times New Roman"/>
          <w:szCs w:val="21"/>
        </w:rPr>
      </w:pPr>
      <w:r>
        <w:rPr>
          <w:rFonts w:hint="eastAsia" w:ascii="宋体" w:hAnsi="宋体" w:eastAsia="宋体" w:cs="Times New Roman"/>
          <w:szCs w:val="21"/>
        </w:rPr>
        <w:t xml:space="preserve">投标方名称：      </w:t>
      </w:r>
    </w:p>
    <w:p w14:paraId="2D6F66A4">
      <w:pPr>
        <w:spacing w:line="288" w:lineRule="auto"/>
        <w:rPr>
          <w:rFonts w:hint="eastAsia" w:ascii="宋体" w:hAnsi="宋体" w:eastAsia="宋体" w:cs="Times New Roman"/>
          <w:szCs w:val="21"/>
        </w:rPr>
      </w:pPr>
      <w:r>
        <w:rPr>
          <w:rFonts w:hint="eastAsia" w:ascii="宋体" w:hAnsi="宋体" w:eastAsia="宋体" w:cs="Times New Roman"/>
          <w:szCs w:val="21"/>
        </w:rPr>
        <w:t>资质等级：           （国家级、省级、地市级、县级）</w:t>
      </w:r>
    </w:p>
    <w:p w14:paraId="1C35CB7D">
      <w:pPr>
        <w:spacing w:line="288" w:lineRule="auto"/>
        <w:rPr>
          <w:rFonts w:hint="eastAsia" w:ascii="宋体" w:hAnsi="宋体" w:eastAsia="宋体" w:cs="Times New Roman"/>
          <w:szCs w:val="21"/>
        </w:rPr>
      </w:pPr>
      <w:r>
        <w:rPr>
          <w:rFonts w:hint="eastAsia" w:ascii="宋体" w:hAnsi="宋体" w:eastAsia="宋体" w:cs="Times New Roman"/>
          <w:szCs w:val="21"/>
        </w:rPr>
        <w:t>公司总部地址：</w:t>
      </w:r>
    </w:p>
    <w:p w14:paraId="0CBC86FA">
      <w:pPr>
        <w:spacing w:line="288" w:lineRule="auto"/>
        <w:rPr>
          <w:rFonts w:hint="eastAsia" w:ascii="宋体" w:hAnsi="宋体" w:eastAsia="宋体" w:cs="Times New Roman"/>
          <w:szCs w:val="21"/>
        </w:rPr>
      </w:pPr>
      <w:r>
        <w:rPr>
          <w:rFonts w:hint="eastAsia" w:ascii="宋体" w:hAnsi="宋体" w:eastAsia="宋体" w:cs="Times New Roman"/>
          <w:szCs w:val="21"/>
        </w:rPr>
        <w:t>传真/电话：                       邮编：</w:t>
      </w:r>
    </w:p>
    <w:p w14:paraId="2B3DD008">
      <w:pPr>
        <w:spacing w:line="288" w:lineRule="auto"/>
        <w:rPr>
          <w:rFonts w:hint="eastAsia" w:ascii="宋体" w:hAnsi="宋体" w:eastAsia="宋体" w:cs="Times New Roman"/>
          <w:szCs w:val="21"/>
        </w:rPr>
      </w:pPr>
      <w:r>
        <w:rPr>
          <w:rFonts w:hint="eastAsia" w:ascii="宋体" w:hAnsi="宋体" w:eastAsia="宋体" w:cs="Times New Roman"/>
          <w:szCs w:val="21"/>
        </w:rPr>
        <w:t>成立日期或注册日期：</w:t>
      </w:r>
    </w:p>
    <w:p w14:paraId="6FBBAE20">
      <w:pPr>
        <w:spacing w:line="288" w:lineRule="auto"/>
        <w:rPr>
          <w:rFonts w:hint="eastAsia" w:ascii="宋体" w:hAnsi="宋体" w:eastAsia="宋体" w:cs="Times New Roman"/>
          <w:szCs w:val="21"/>
        </w:rPr>
      </w:pPr>
      <w:r>
        <w:rPr>
          <w:rFonts w:hint="eastAsia" w:ascii="宋体" w:hAnsi="宋体" w:eastAsia="宋体" w:cs="Times New Roman"/>
          <w:szCs w:val="21"/>
        </w:rPr>
        <w:t>实收资本：</w:t>
      </w:r>
    </w:p>
    <w:p w14:paraId="55985FFC">
      <w:pPr>
        <w:spacing w:line="288" w:lineRule="auto"/>
        <w:rPr>
          <w:rFonts w:hint="eastAsia" w:ascii="宋体" w:hAnsi="宋体" w:eastAsia="宋体" w:cs="Times New Roman"/>
          <w:szCs w:val="21"/>
        </w:rPr>
      </w:pPr>
      <w:r>
        <w:rPr>
          <w:rFonts w:hint="eastAsia" w:ascii="宋体" w:hAnsi="宋体" w:eastAsia="宋体" w:cs="Times New Roman"/>
          <w:szCs w:val="21"/>
        </w:rPr>
        <w:t>最近资产平衡表：（至上年12月底）</w:t>
      </w:r>
    </w:p>
    <w:p w14:paraId="41B86069">
      <w:pPr>
        <w:spacing w:line="288" w:lineRule="auto"/>
        <w:rPr>
          <w:rFonts w:hint="eastAsia" w:ascii="宋体" w:hAnsi="宋体" w:eastAsia="宋体" w:cs="Times New Roman"/>
          <w:szCs w:val="21"/>
        </w:rPr>
      </w:pPr>
      <w:r>
        <w:rPr>
          <w:rFonts w:hint="eastAsia" w:ascii="宋体" w:hAnsi="宋体" w:eastAsia="宋体" w:cs="Times New Roman"/>
          <w:szCs w:val="21"/>
        </w:rPr>
        <w:t>种苗生产基地地址：</w:t>
      </w:r>
    </w:p>
    <w:p w14:paraId="65AC68E0">
      <w:pPr>
        <w:spacing w:line="288" w:lineRule="auto"/>
        <w:rPr>
          <w:rFonts w:hint="eastAsia" w:ascii="宋体" w:hAnsi="宋体" w:eastAsia="宋体" w:cs="Times New Roman"/>
          <w:szCs w:val="21"/>
        </w:rPr>
      </w:pPr>
      <w:r>
        <w:rPr>
          <w:rFonts w:hint="eastAsia" w:ascii="宋体" w:hAnsi="宋体" w:eastAsia="宋体" w:cs="Times New Roman"/>
          <w:szCs w:val="21"/>
        </w:rPr>
        <w:t>技术人员情况：</w:t>
      </w:r>
    </w:p>
    <w:p w14:paraId="7EE8A8C5">
      <w:pPr>
        <w:spacing w:line="288" w:lineRule="auto"/>
        <w:rPr>
          <w:rFonts w:hint="eastAsia" w:ascii="宋体" w:hAnsi="宋体" w:eastAsia="宋体" w:cs="Times New Roman"/>
          <w:szCs w:val="21"/>
        </w:rPr>
      </w:pPr>
      <w:r>
        <w:rPr>
          <w:rFonts w:hint="eastAsia" w:ascii="宋体" w:hAnsi="宋体" w:eastAsia="宋体" w:cs="Times New Roman"/>
          <w:szCs w:val="21"/>
        </w:rPr>
        <w:t>技术人员       人，其中：</w:t>
      </w:r>
    </w:p>
    <w:p w14:paraId="47CC30EF">
      <w:pPr>
        <w:spacing w:line="288" w:lineRule="auto"/>
        <w:rPr>
          <w:rFonts w:hint="eastAsia" w:ascii="宋体" w:hAnsi="宋体" w:eastAsia="宋体" w:cs="Times New Roman"/>
          <w:szCs w:val="21"/>
        </w:rPr>
      </w:pPr>
      <w:r>
        <w:rPr>
          <w:rFonts w:hint="eastAsia" w:ascii="宋体" w:hAnsi="宋体" w:eastAsia="宋体" w:cs="Times New Roman"/>
          <w:szCs w:val="21"/>
        </w:rPr>
        <w:t>正高级        人；副高级        人；</w:t>
      </w:r>
    </w:p>
    <w:p w14:paraId="0A659A0F">
      <w:pPr>
        <w:spacing w:line="288" w:lineRule="auto"/>
        <w:rPr>
          <w:rFonts w:hint="eastAsia" w:ascii="宋体" w:hAnsi="宋体" w:eastAsia="宋体" w:cs="Times New Roman"/>
          <w:szCs w:val="21"/>
        </w:rPr>
      </w:pPr>
      <w:r>
        <w:rPr>
          <w:rFonts w:hint="eastAsia" w:ascii="宋体" w:hAnsi="宋体" w:eastAsia="宋体" w:cs="Times New Roman"/>
          <w:szCs w:val="21"/>
        </w:rPr>
        <w:t>中级        人；有证书的技术工        人。</w:t>
      </w:r>
    </w:p>
    <w:p w14:paraId="6412EA39">
      <w:pPr>
        <w:spacing w:line="288" w:lineRule="auto"/>
        <w:rPr>
          <w:rFonts w:hint="eastAsia" w:ascii="宋体" w:hAnsi="宋体" w:eastAsia="宋体" w:cs="Times New Roman"/>
          <w:szCs w:val="21"/>
        </w:rPr>
      </w:pPr>
      <w:r>
        <w:rPr>
          <w:rFonts w:hint="eastAsia" w:ascii="宋体" w:hAnsi="宋体" w:eastAsia="宋体" w:cs="Times New Roman"/>
          <w:szCs w:val="21"/>
        </w:rPr>
        <w:t>职工（雇员）总人数：        人。</w:t>
      </w:r>
    </w:p>
    <w:p w14:paraId="09EC8DBF">
      <w:pPr>
        <w:rPr>
          <w:rFonts w:hint="eastAsia" w:ascii="宋体" w:hAnsi="宋体" w:eastAsia="宋体" w:cs="Times New Roman"/>
          <w:szCs w:val="21"/>
        </w:rPr>
      </w:pPr>
    </w:p>
    <w:p w14:paraId="168156AF">
      <w:pPr>
        <w:spacing w:line="360" w:lineRule="auto"/>
        <w:rPr>
          <w:rFonts w:hint="eastAsia" w:ascii="宋体" w:hAnsi="宋体" w:eastAsia="宋体" w:cs="Times New Roman"/>
          <w:b/>
          <w:szCs w:val="21"/>
        </w:rPr>
      </w:pPr>
      <w:r>
        <w:rPr>
          <w:rFonts w:hint="eastAsia" w:ascii="宋体" w:hAnsi="宋体" w:eastAsia="宋体" w:cs="Times New Roman"/>
          <w:b/>
          <w:szCs w:val="21"/>
        </w:rPr>
        <w:t>二、投标单位种苗生产能力基本情况</w:t>
      </w:r>
    </w:p>
    <w:p w14:paraId="0C89CC48">
      <w:pPr>
        <w:spacing w:line="360" w:lineRule="auto"/>
        <w:rPr>
          <w:rFonts w:hint="eastAsia" w:ascii="宋体" w:hAnsi="宋体" w:eastAsia="宋体" w:cs="Times New Roman"/>
          <w:szCs w:val="21"/>
        </w:rPr>
      </w:pPr>
      <w:r>
        <w:rPr>
          <w:rFonts w:hint="eastAsia" w:ascii="宋体" w:hAnsi="宋体" w:eastAsia="宋体" w:cs="Times New Roman"/>
          <w:szCs w:val="21"/>
        </w:rPr>
        <w:t>1.生产种苗规模：</w:t>
      </w:r>
    </w:p>
    <w:p w14:paraId="3D3F1B78">
      <w:pPr>
        <w:spacing w:line="360" w:lineRule="auto"/>
        <w:rPr>
          <w:rFonts w:hint="eastAsia" w:ascii="宋体" w:hAnsi="宋体" w:eastAsia="宋体" w:cs="Times New Roman"/>
          <w:szCs w:val="21"/>
        </w:rPr>
      </w:pPr>
      <w:r>
        <w:rPr>
          <w:rFonts w:hint="eastAsia" w:ascii="宋体" w:hAnsi="宋体" w:eastAsia="宋体" w:cs="Times New Roman"/>
          <w:szCs w:val="21"/>
        </w:rPr>
        <w:t>2.主要种苗生产能力：（可另附页）</w:t>
      </w:r>
    </w:p>
    <w:tbl>
      <w:tblPr>
        <w:tblStyle w:val="60"/>
        <w:tblW w:w="8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6EB4E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6B5C30AB">
            <w:pPr>
              <w:spacing w:line="360" w:lineRule="auto"/>
              <w:rPr>
                <w:rFonts w:hint="eastAsia" w:ascii="宋体" w:hAnsi="宋体" w:eastAsia="宋体" w:cs="Times New Roman"/>
                <w:szCs w:val="21"/>
              </w:rPr>
            </w:pPr>
            <w:r>
              <w:rPr>
                <w:rFonts w:hint="eastAsia" w:ascii="宋体" w:hAnsi="宋体" w:eastAsia="宋体" w:cs="Times New Roman"/>
                <w:szCs w:val="21"/>
              </w:rPr>
              <w:t>种苗名称</w:t>
            </w:r>
          </w:p>
        </w:tc>
        <w:tc>
          <w:tcPr>
            <w:tcW w:w="3007" w:type="dxa"/>
          </w:tcPr>
          <w:p w14:paraId="789C5936">
            <w:pPr>
              <w:spacing w:line="360" w:lineRule="auto"/>
              <w:rPr>
                <w:rFonts w:hint="eastAsia" w:ascii="宋体" w:hAnsi="宋体" w:eastAsia="宋体" w:cs="Times New Roman"/>
                <w:szCs w:val="21"/>
              </w:rPr>
            </w:pPr>
            <w:r>
              <w:rPr>
                <w:rFonts w:hint="eastAsia" w:ascii="宋体" w:hAnsi="宋体" w:eastAsia="宋体" w:cs="Times New Roman"/>
                <w:szCs w:val="21"/>
              </w:rPr>
              <w:t>年生产能力（万尾）</w:t>
            </w:r>
          </w:p>
        </w:tc>
        <w:tc>
          <w:tcPr>
            <w:tcW w:w="3558" w:type="dxa"/>
          </w:tcPr>
          <w:p w14:paraId="1EE1F14D">
            <w:pPr>
              <w:spacing w:line="360" w:lineRule="auto"/>
              <w:rPr>
                <w:rFonts w:hint="eastAsia" w:ascii="宋体" w:hAnsi="宋体" w:eastAsia="宋体" w:cs="Times New Roman"/>
                <w:szCs w:val="21"/>
              </w:rPr>
            </w:pPr>
            <w:r>
              <w:rPr>
                <w:rFonts w:hint="eastAsia" w:ascii="宋体" w:hAnsi="宋体" w:eastAsia="宋体" w:cs="Times New Roman"/>
                <w:szCs w:val="21"/>
              </w:rPr>
              <w:t>备  注</w:t>
            </w:r>
          </w:p>
        </w:tc>
      </w:tr>
      <w:tr w14:paraId="3F528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32BA5764">
            <w:pPr>
              <w:spacing w:line="360" w:lineRule="auto"/>
              <w:rPr>
                <w:rFonts w:hint="eastAsia" w:ascii="宋体" w:hAnsi="宋体" w:eastAsia="宋体" w:cs="Times New Roman"/>
                <w:szCs w:val="21"/>
              </w:rPr>
            </w:pPr>
          </w:p>
        </w:tc>
        <w:tc>
          <w:tcPr>
            <w:tcW w:w="3007" w:type="dxa"/>
          </w:tcPr>
          <w:p w14:paraId="0E113B32">
            <w:pPr>
              <w:spacing w:line="360" w:lineRule="auto"/>
              <w:rPr>
                <w:rFonts w:hint="eastAsia" w:ascii="宋体" w:hAnsi="宋体" w:eastAsia="宋体" w:cs="Times New Roman"/>
                <w:szCs w:val="21"/>
              </w:rPr>
            </w:pPr>
          </w:p>
        </w:tc>
        <w:tc>
          <w:tcPr>
            <w:tcW w:w="3558" w:type="dxa"/>
          </w:tcPr>
          <w:p w14:paraId="4F27C65E">
            <w:pPr>
              <w:spacing w:line="360" w:lineRule="auto"/>
              <w:rPr>
                <w:rFonts w:hint="eastAsia" w:ascii="宋体" w:hAnsi="宋体" w:eastAsia="宋体" w:cs="Times New Roman"/>
                <w:szCs w:val="21"/>
              </w:rPr>
            </w:pPr>
          </w:p>
        </w:tc>
      </w:tr>
      <w:tr w14:paraId="63920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51" w:hRule="atLeast"/>
        </w:trPr>
        <w:tc>
          <w:tcPr>
            <w:tcW w:w="1964" w:type="dxa"/>
          </w:tcPr>
          <w:p w14:paraId="6F5656AD">
            <w:pPr>
              <w:spacing w:line="360" w:lineRule="auto"/>
              <w:rPr>
                <w:rFonts w:hint="eastAsia" w:ascii="宋体" w:hAnsi="宋体" w:eastAsia="宋体" w:cs="Times New Roman"/>
                <w:szCs w:val="21"/>
              </w:rPr>
            </w:pPr>
          </w:p>
        </w:tc>
        <w:tc>
          <w:tcPr>
            <w:tcW w:w="3007" w:type="dxa"/>
          </w:tcPr>
          <w:p w14:paraId="35EBB95B">
            <w:pPr>
              <w:spacing w:line="360" w:lineRule="auto"/>
              <w:rPr>
                <w:rFonts w:hint="eastAsia" w:ascii="宋体" w:hAnsi="宋体" w:eastAsia="宋体" w:cs="Times New Roman"/>
                <w:szCs w:val="21"/>
              </w:rPr>
            </w:pPr>
          </w:p>
        </w:tc>
        <w:tc>
          <w:tcPr>
            <w:tcW w:w="3558" w:type="dxa"/>
          </w:tcPr>
          <w:p w14:paraId="0AE57544">
            <w:pPr>
              <w:spacing w:line="360" w:lineRule="auto"/>
              <w:rPr>
                <w:rFonts w:hint="eastAsia" w:ascii="宋体" w:hAnsi="宋体" w:eastAsia="宋体" w:cs="Times New Roman"/>
                <w:szCs w:val="21"/>
              </w:rPr>
            </w:pPr>
          </w:p>
        </w:tc>
      </w:tr>
      <w:tr w14:paraId="4D982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51D76F63">
            <w:pPr>
              <w:spacing w:line="360" w:lineRule="auto"/>
              <w:rPr>
                <w:rFonts w:hint="eastAsia" w:ascii="宋体" w:hAnsi="宋体" w:eastAsia="宋体" w:cs="Times New Roman"/>
                <w:szCs w:val="21"/>
              </w:rPr>
            </w:pPr>
          </w:p>
        </w:tc>
        <w:tc>
          <w:tcPr>
            <w:tcW w:w="3007" w:type="dxa"/>
          </w:tcPr>
          <w:p w14:paraId="32AD79B4">
            <w:pPr>
              <w:spacing w:line="360" w:lineRule="auto"/>
              <w:rPr>
                <w:rFonts w:hint="eastAsia" w:ascii="宋体" w:hAnsi="宋体" w:eastAsia="宋体" w:cs="Times New Roman"/>
                <w:szCs w:val="21"/>
              </w:rPr>
            </w:pPr>
          </w:p>
        </w:tc>
        <w:tc>
          <w:tcPr>
            <w:tcW w:w="3558" w:type="dxa"/>
          </w:tcPr>
          <w:p w14:paraId="5FF150A8">
            <w:pPr>
              <w:spacing w:line="360" w:lineRule="auto"/>
              <w:rPr>
                <w:rFonts w:hint="eastAsia" w:ascii="宋体" w:hAnsi="宋体" w:eastAsia="宋体" w:cs="Times New Roman"/>
                <w:szCs w:val="21"/>
              </w:rPr>
            </w:pPr>
          </w:p>
        </w:tc>
      </w:tr>
    </w:tbl>
    <w:p w14:paraId="16EC2571">
      <w:pPr>
        <w:spacing w:line="360" w:lineRule="auto"/>
        <w:rPr>
          <w:rFonts w:hint="eastAsia"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3BF3D979">
      <w:pPr>
        <w:spacing w:line="360" w:lineRule="auto"/>
        <w:rPr>
          <w:rFonts w:hint="eastAsia" w:ascii="宋体" w:hAnsi="宋体" w:eastAsia="宋体" w:cs="Times New Roman"/>
          <w:szCs w:val="21"/>
        </w:rPr>
      </w:pPr>
      <w:r>
        <w:rPr>
          <w:rFonts w:hint="eastAsia" w:ascii="宋体" w:hAnsi="宋体" w:eastAsia="宋体" w:cs="Times New Roman"/>
          <w:szCs w:val="21"/>
        </w:rPr>
        <w:t>4.其他情况：</w:t>
      </w:r>
    </w:p>
    <w:p w14:paraId="3474C9E6">
      <w:pPr>
        <w:spacing w:line="360" w:lineRule="auto"/>
        <w:rPr>
          <w:rFonts w:hint="eastAsia"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兹声明提供的全部现有的资料和数据是真实、准确的，我方同意根据招标方的要求出示文件予以证实。</w:t>
      </w:r>
    </w:p>
    <w:p w14:paraId="3FDCA85A">
      <w:pPr>
        <w:spacing w:line="360" w:lineRule="auto"/>
        <w:rPr>
          <w:rFonts w:hint="eastAsia" w:ascii="宋体" w:hAnsi="宋体" w:eastAsia="宋体" w:cs="Times New Roman"/>
          <w:szCs w:val="21"/>
        </w:rPr>
      </w:pPr>
      <w:r>
        <w:rPr>
          <w:rFonts w:hint="eastAsia" w:ascii="宋体" w:hAnsi="宋体" w:eastAsia="宋体" w:cs="Times New Roman"/>
          <w:szCs w:val="21"/>
        </w:rPr>
        <w:t>投标人名称：                （加盖公章）</w:t>
      </w:r>
    </w:p>
    <w:p w14:paraId="570212AE">
      <w:pPr>
        <w:spacing w:line="360" w:lineRule="auto"/>
        <w:rPr>
          <w:rFonts w:hint="eastAsia" w:ascii="宋体" w:hAnsi="宋体" w:eastAsia="宋体" w:cs="Times New Roman"/>
          <w:szCs w:val="21"/>
        </w:rPr>
      </w:pPr>
    </w:p>
    <w:p w14:paraId="2CED3D86">
      <w:pPr>
        <w:spacing w:line="360" w:lineRule="auto"/>
        <w:rPr>
          <w:rFonts w:hint="eastAsia" w:ascii="宋体" w:hAnsi="宋体" w:eastAsia="宋体" w:cs="Times New Roman"/>
          <w:szCs w:val="21"/>
        </w:rPr>
      </w:pPr>
      <w:r>
        <w:rPr>
          <w:rFonts w:hint="eastAsia" w:ascii="宋体" w:hAnsi="宋体" w:eastAsia="宋体" w:cs="Times New Roman"/>
          <w:szCs w:val="21"/>
        </w:rPr>
        <w:t>日期：    年   月   日</w:t>
      </w:r>
    </w:p>
    <w:p w14:paraId="28811A3D">
      <w:pPr>
        <w:spacing w:line="360" w:lineRule="auto"/>
        <w:rPr>
          <w:rFonts w:ascii="宋体" w:hAnsi="Times New Roman" w:eastAsia="宋体" w:cs="Times New Roman"/>
          <w:b/>
          <w:szCs w:val="21"/>
        </w:rPr>
      </w:pPr>
    </w:p>
    <w:p w14:paraId="10DE39CA">
      <w:pPr>
        <w:spacing w:line="360" w:lineRule="auto"/>
        <w:rPr>
          <w:rFonts w:ascii="宋体" w:hAnsi="Times New Roman" w:eastAsia="宋体" w:cs="Times New Roman"/>
          <w:b/>
          <w:sz w:val="24"/>
          <w:szCs w:val="24"/>
        </w:rPr>
      </w:pPr>
      <w:r>
        <w:rPr>
          <w:rFonts w:hint="eastAsia" w:ascii="宋体" w:hAnsi="宋体" w:eastAsia="宋体" w:cs="Times New Roman"/>
          <w:b/>
          <w:sz w:val="24"/>
          <w:szCs w:val="24"/>
        </w:rPr>
        <w:t>八、投标人技术力量等（适用各标项）</w:t>
      </w:r>
    </w:p>
    <w:p w14:paraId="636975E1">
      <w:pPr>
        <w:spacing w:line="360" w:lineRule="auto"/>
        <w:ind w:firstLine="411" w:firstLineChars="196"/>
        <w:rPr>
          <w:rFonts w:hint="eastAsia" w:ascii="宋体" w:hAnsi="宋体" w:eastAsia="宋体" w:cs="Times New Roman"/>
          <w:szCs w:val="21"/>
        </w:rPr>
      </w:pPr>
    </w:p>
    <w:p w14:paraId="11209DA8">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投标人技术力量、实施种苗生产技术标准情况、管理水平、企业规模、是否为原种场、良种场或试验基地（提供相关证明文件）等（自行编写）；</w:t>
      </w:r>
    </w:p>
    <w:p w14:paraId="0BD9B7E9">
      <w:pPr>
        <w:spacing w:line="360" w:lineRule="auto"/>
        <w:rPr>
          <w:rFonts w:ascii="宋体" w:hAnsi="Times New Roman" w:eastAsia="宋体" w:cs="Times New Roman"/>
          <w:szCs w:val="21"/>
        </w:rPr>
      </w:pPr>
    </w:p>
    <w:p w14:paraId="460183DA">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投标人育苗能力、种质来源、育苗水体大小、本种类亲本数量及实际年生产本种类种苗数量、可实际承担放流任务数量等（自行编写）；</w:t>
      </w:r>
    </w:p>
    <w:p w14:paraId="60B82A20">
      <w:pPr>
        <w:spacing w:line="360" w:lineRule="auto"/>
        <w:rPr>
          <w:rFonts w:ascii="宋体" w:hAnsi="Times New Roman" w:eastAsia="宋体" w:cs="Times New Roman"/>
          <w:szCs w:val="21"/>
        </w:rPr>
      </w:pPr>
    </w:p>
    <w:p w14:paraId="2B87737E">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50E734E2">
      <w:pPr>
        <w:spacing w:line="360" w:lineRule="auto"/>
        <w:rPr>
          <w:rFonts w:ascii="宋体" w:hAnsi="Times New Roman" w:eastAsia="宋体" w:cs="Times New Roman"/>
          <w:szCs w:val="21"/>
        </w:rPr>
      </w:pPr>
    </w:p>
    <w:p w14:paraId="77F28404">
      <w:pPr>
        <w:spacing w:line="360" w:lineRule="auto"/>
        <w:rPr>
          <w:rFonts w:ascii="宋体" w:hAnsi="Times New Roman" w:eastAsia="宋体" w:cs="Times New Roman"/>
          <w:szCs w:val="21"/>
        </w:rPr>
      </w:pPr>
    </w:p>
    <w:p w14:paraId="5741800B">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06AB5CCC">
      <w:pPr>
        <w:spacing w:line="360" w:lineRule="auto"/>
        <w:rPr>
          <w:rFonts w:ascii="宋体" w:hAnsi="Times New Roman" w:eastAsia="宋体" w:cs="Times New Roman"/>
          <w:szCs w:val="21"/>
        </w:rPr>
      </w:pPr>
    </w:p>
    <w:p w14:paraId="6F460E56">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1380C099">
      <w:pPr>
        <w:spacing w:line="360" w:lineRule="auto"/>
        <w:rPr>
          <w:rFonts w:ascii="宋体" w:hAnsi="Times New Roman" w:eastAsia="宋体" w:cs="Times New Roman"/>
          <w:szCs w:val="21"/>
        </w:rPr>
      </w:pPr>
    </w:p>
    <w:p w14:paraId="745723C8">
      <w:pPr>
        <w:spacing w:line="360" w:lineRule="auto"/>
        <w:rPr>
          <w:rFonts w:ascii="宋体" w:hAnsi="Times New Roman" w:eastAsia="宋体" w:cs="Times New Roman"/>
          <w:szCs w:val="21"/>
        </w:rPr>
      </w:pPr>
    </w:p>
    <w:p w14:paraId="756B239F">
      <w:pPr>
        <w:spacing w:line="360" w:lineRule="auto"/>
        <w:rPr>
          <w:rFonts w:ascii="宋体" w:hAnsi="Times New Roman" w:eastAsia="宋体" w:cs="Times New Roman"/>
          <w:szCs w:val="21"/>
        </w:rPr>
      </w:pPr>
    </w:p>
    <w:p w14:paraId="0A4E7E7C">
      <w:pPr>
        <w:spacing w:line="360" w:lineRule="auto"/>
        <w:rPr>
          <w:rFonts w:ascii="宋体" w:hAnsi="Times New Roman" w:eastAsia="宋体" w:cs="Times New Roman"/>
          <w:szCs w:val="21"/>
        </w:rPr>
      </w:pPr>
    </w:p>
    <w:p w14:paraId="3494B27C">
      <w:pPr>
        <w:spacing w:line="360" w:lineRule="auto"/>
        <w:rPr>
          <w:rFonts w:ascii="宋体" w:hAnsi="Times New Roman" w:eastAsia="宋体" w:cs="Times New Roman"/>
          <w:szCs w:val="21"/>
        </w:rPr>
      </w:pPr>
    </w:p>
    <w:p w14:paraId="07E1130F">
      <w:pPr>
        <w:spacing w:line="360" w:lineRule="auto"/>
        <w:rPr>
          <w:rFonts w:ascii="宋体" w:hAnsi="Times New Roman" w:eastAsia="宋体" w:cs="Times New Roman"/>
          <w:szCs w:val="21"/>
        </w:rPr>
      </w:pPr>
    </w:p>
    <w:p w14:paraId="615F803A">
      <w:pPr>
        <w:spacing w:line="360" w:lineRule="auto"/>
        <w:rPr>
          <w:rFonts w:ascii="宋体" w:hAnsi="Times New Roman" w:eastAsia="宋体" w:cs="Times New Roman"/>
          <w:szCs w:val="21"/>
        </w:rPr>
      </w:pPr>
    </w:p>
    <w:p w14:paraId="3A4C56BA">
      <w:pPr>
        <w:pStyle w:val="26"/>
        <w:ind w:firstLine="0" w:firstLineChars="0"/>
        <w:rPr>
          <w:rFonts w:ascii="宋体" w:hAnsi="Times New Roman"/>
          <w:b/>
          <w:spacing w:val="20"/>
          <w:sz w:val="24"/>
          <w:szCs w:val="24"/>
        </w:rPr>
      </w:pPr>
    </w:p>
    <w:p w14:paraId="47344150">
      <w:pPr>
        <w:rPr>
          <w:rFonts w:ascii="宋体" w:hAnsi="Times New Roman" w:eastAsia="宋体" w:cs="Times New Roman"/>
          <w:b/>
          <w:spacing w:val="20"/>
          <w:sz w:val="24"/>
          <w:szCs w:val="24"/>
        </w:rPr>
      </w:pPr>
    </w:p>
    <w:p w14:paraId="33F666C3">
      <w:pPr>
        <w:pStyle w:val="26"/>
        <w:ind w:firstLine="210"/>
      </w:pPr>
    </w:p>
    <w:p w14:paraId="43A09BF9">
      <w:pPr>
        <w:rPr>
          <w:rFonts w:hint="eastAsia"/>
        </w:rPr>
      </w:pPr>
    </w:p>
    <w:p w14:paraId="2F4B31DA">
      <w:pPr>
        <w:pStyle w:val="26"/>
        <w:ind w:firstLine="210"/>
      </w:pPr>
    </w:p>
    <w:p w14:paraId="628E6E42">
      <w:pPr>
        <w:rPr>
          <w:rFonts w:hint="eastAsia"/>
        </w:rPr>
      </w:pPr>
    </w:p>
    <w:p w14:paraId="7B17752C">
      <w:pPr>
        <w:pStyle w:val="26"/>
        <w:ind w:firstLine="210"/>
      </w:pPr>
    </w:p>
    <w:p w14:paraId="0826A3EA">
      <w:pPr>
        <w:rPr>
          <w:rFonts w:hint="eastAsia"/>
        </w:rPr>
      </w:pPr>
    </w:p>
    <w:p w14:paraId="4E05E252">
      <w:pPr>
        <w:pStyle w:val="26"/>
        <w:ind w:firstLine="210"/>
      </w:pPr>
    </w:p>
    <w:p w14:paraId="5BDE7B4B"/>
    <w:p w14:paraId="360D9D60"/>
    <w:p w14:paraId="4B9EACFD">
      <w:pPr>
        <w:spacing w:line="360" w:lineRule="auto"/>
        <w:rPr>
          <w:rFonts w:ascii="宋体" w:hAnsi="Times New Roman" w:eastAsia="宋体" w:cs="Times New Roman"/>
          <w:sz w:val="24"/>
          <w:szCs w:val="24"/>
        </w:rPr>
      </w:pPr>
      <w:r>
        <w:rPr>
          <w:rFonts w:hint="eastAsia" w:ascii="宋体" w:hAnsi="宋体" w:eastAsia="宋体" w:cs="Times New Roman"/>
          <w:b/>
          <w:sz w:val="24"/>
          <w:szCs w:val="24"/>
        </w:rPr>
        <w:t>九、 投标人运输距离等（适用各标项）</w:t>
      </w:r>
    </w:p>
    <w:p w14:paraId="1737B692">
      <w:pPr>
        <w:spacing w:line="360" w:lineRule="auto"/>
        <w:rPr>
          <w:rFonts w:hint="eastAsia" w:ascii="宋体" w:hAnsi="宋体" w:eastAsia="宋体" w:cs="Times New Roman"/>
          <w:szCs w:val="21"/>
        </w:rPr>
      </w:pPr>
    </w:p>
    <w:p w14:paraId="00053FF7">
      <w:pPr>
        <w:spacing w:line="360" w:lineRule="auto"/>
        <w:rPr>
          <w:rFonts w:hint="eastAsia" w:ascii="宋体" w:hAnsi="宋体" w:eastAsia="宋体" w:cs="Times New Roman"/>
          <w:szCs w:val="21"/>
        </w:rPr>
      </w:pPr>
    </w:p>
    <w:p w14:paraId="1722F27C">
      <w:pPr>
        <w:spacing w:line="360" w:lineRule="auto"/>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.投标人运输距离、运输方式等（自行编写）；</w:t>
      </w:r>
    </w:p>
    <w:p w14:paraId="7A399453">
      <w:pPr>
        <w:spacing w:line="360" w:lineRule="auto"/>
        <w:rPr>
          <w:rFonts w:ascii="宋体" w:hAnsi="Times New Roman" w:eastAsia="宋体" w:cs="Times New Roman"/>
          <w:szCs w:val="21"/>
        </w:rPr>
      </w:pPr>
    </w:p>
    <w:p w14:paraId="7D0B048D">
      <w:pPr>
        <w:spacing w:line="360" w:lineRule="auto"/>
        <w:rPr>
          <w:rFonts w:ascii="宋体" w:hAnsi="Times New Roman" w:eastAsia="宋体" w:cs="Times New Roman"/>
          <w:szCs w:val="21"/>
        </w:rPr>
      </w:pPr>
    </w:p>
    <w:p w14:paraId="74192A9A">
      <w:pPr>
        <w:spacing w:line="360" w:lineRule="auto"/>
        <w:rPr>
          <w:rFonts w:ascii="宋体" w:hAnsi="Times New Roman" w:eastAsia="宋体" w:cs="Times New Roman"/>
          <w:szCs w:val="21"/>
        </w:rPr>
      </w:pPr>
    </w:p>
    <w:p w14:paraId="3D401B52">
      <w:pPr>
        <w:spacing w:line="360" w:lineRule="auto"/>
        <w:rPr>
          <w:rFonts w:ascii="宋体" w:hAnsi="Times New Roman" w:eastAsia="宋体" w:cs="Times New Roman"/>
          <w:szCs w:val="21"/>
        </w:rPr>
      </w:pPr>
    </w:p>
    <w:p w14:paraId="3FCD376F">
      <w:pPr>
        <w:spacing w:line="360" w:lineRule="auto"/>
        <w:rPr>
          <w:rFonts w:ascii="宋体" w:hAnsi="Times New Roman" w:eastAsia="宋体" w:cs="Times New Roman"/>
          <w:szCs w:val="21"/>
        </w:rPr>
      </w:pPr>
    </w:p>
    <w:p w14:paraId="2B74C088">
      <w:pPr>
        <w:spacing w:line="360" w:lineRule="auto"/>
        <w:rPr>
          <w:rFonts w:ascii="宋体" w:hAnsi="Times New Roman" w:eastAsia="宋体" w:cs="Times New Roman"/>
          <w:szCs w:val="21"/>
        </w:rPr>
      </w:pPr>
    </w:p>
    <w:p w14:paraId="6E84B57E">
      <w:pPr>
        <w:spacing w:line="360" w:lineRule="auto"/>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.运输时间（自行编写）；</w:t>
      </w:r>
    </w:p>
    <w:p w14:paraId="606AFCEA">
      <w:pPr>
        <w:spacing w:line="360" w:lineRule="auto"/>
        <w:rPr>
          <w:rFonts w:ascii="宋体" w:hAnsi="Times New Roman" w:eastAsia="宋体" w:cs="Times New Roman"/>
          <w:szCs w:val="21"/>
        </w:rPr>
      </w:pPr>
    </w:p>
    <w:p w14:paraId="6631D140">
      <w:pPr>
        <w:spacing w:line="360" w:lineRule="auto"/>
        <w:rPr>
          <w:rFonts w:ascii="宋体" w:hAnsi="Times New Roman" w:eastAsia="宋体" w:cs="Times New Roman"/>
          <w:szCs w:val="21"/>
        </w:rPr>
      </w:pPr>
    </w:p>
    <w:p w14:paraId="3655D212">
      <w:pPr>
        <w:spacing w:line="360" w:lineRule="auto"/>
        <w:rPr>
          <w:rFonts w:ascii="宋体" w:hAnsi="Times New Roman" w:eastAsia="宋体" w:cs="Times New Roman"/>
          <w:szCs w:val="21"/>
        </w:rPr>
      </w:pPr>
    </w:p>
    <w:p w14:paraId="4620164E">
      <w:pPr>
        <w:spacing w:line="360" w:lineRule="auto"/>
        <w:rPr>
          <w:rFonts w:ascii="宋体" w:hAnsi="Times New Roman" w:eastAsia="宋体" w:cs="Times New Roman"/>
          <w:szCs w:val="21"/>
        </w:rPr>
      </w:pPr>
    </w:p>
    <w:p w14:paraId="32E48743">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2D5E47E3">
      <w:pPr>
        <w:spacing w:line="360" w:lineRule="auto"/>
        <w:rPr>
          <w:rFonts w:ascii="宋体" w:hAnsi="Times New Roman" w:eastAsia="宋体" w:cs="Times New Roman"/>
          <w:szCs w:val="21"/>
        </w:rPr>
      </w:pPr>
    </w:p>
    <w:p w14:paraId="4AFB725B">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50906635">
      <w:pPr>
        <w:spacing w:line="360" w:lineRule="auto"/>
        <w:rPr>
          <w:rFonts w:ascii="宋体" w:hAnsi="Times New Roman" w:eastAsia="宋体" w:cs="Times New Roman"/>
          <w:szCs w:val="21"/>
        </w:rPr>
      </w:pPr>
    </w:p>
    <w:p w14:paraId="11EC8CC3">
      <w:pPr>
        <w:spacing w:line="520" w:lineRule="exact"/>
        <w:rPr>
          <w:rFonts w:ascii="宋体" w:hAnsi="Times New Roman" w:eastAsia="宋体" w:cs="Times New Roman"/>
          <w:b/>
          <w:spacing w:val="20"/>
          <w:sz w:val="24"/>
          <w:szCs w:val="24"/>
        </w:rPr>
      </w:pPr>
    </w:p>
    <w:p w14:paraId="34D5EEE6">
      <w:pPr>
        <w:spacing w:line="520" w:lineRule="exact"/>
        <w:rPr>
          <w:rFonts w:ascii="宋体" w:hAnsi="Times New Roman" w:eastAsia="宋体" w:cs="Times New Roman"/>
          <w:b/>
          <w:spacing w:val="20"/>
          <w:sz w:val="24"/>
          <w:szCs w:val="24"/>
        </w:rPr>
      </w:pPr>
    </w:p>
    <w:p w14:paraId="7C7D7650">
      <w:pPr>
        <w:spacing w:line="520" w:lineRule="exact"/>
        <w:rPr>
          <w:rFonts w:ascii="宋体" w:hAnsi="Times New Roman" w:eastAsia="宋体" w:cs="Times New Roman"/>
          <w:b/>
          <w:spacing w:val="20"/>
          <w:sz w:val="24"/>
          <w:szCs w:val="24"/>
        </w:rPr>
      </w:pPr>
    </w:p>
    <w:p w14:paraId="1E04787C">
      <w:pPr>
        <w:spacing w:line="520" w:lineRule="exact"/>
        <w:rPr>
          <w:rFonts w:ascii="宋体" w:hAnsi="Times New Roman" w:eastAsia="宋体" w:cs="Times New Roman"/>
          <w:b/>
          <w:spacing w:val="20"/>
          <w:sz w:val="24"/>
          <w:szCs w:val="24"/>
        </w:rPr>
      </w:pPr>
    </w:p>
    <w:p w14:paraId="49879F52">
      <w:pPr>
        <w:spacing w:line="520" w:lineRule="exact"/>
        <w:rPr>
          <w:rFonts w:ascii="宋体" w:hAnsi="Times New Roman" w:eastAsia="宋体" w:cs="Times New Roman"/>
          <w:b/>
          <w:spacing w:val="20"/>
          <w:sz w:val="24"/>
          <w:szCs w:val="24"/>
        </w:rPr>
      </w:pPr>
    </w:p>
    <w:p w14:paraId="43A69B89">
      <w:pPr>
        <w:spacing w:line="520" w:lineRule="exact"/>
        <w:rPr>
          <w:rFonts w:ascii="宋体" w:hAnsi="Times New Roman" w:eastAsia="宋体" w:cs="Times New Roman"/>
          <w:b/>
          <w:spacing w:val="20"/>
          <w:sz w:val="24"/>
          <w:szCs w:val="24"/>
        </w:rPr>
      </w:pPr>
    </w:p>
    <w:p w14:paraId="2AD40D39">
      <w:pPr>
        <w:spacing w:line="520" w:lineRule="exact"/>
        <w:rPr>
          <w:rFonts w:ascii="宋体" w:hAnsi="Times New Roman" w:eastAsia="宋体" w:cs="Times New Roman"/>
          <w:b/>
          <w:spacing w:val="20"/>
          <w:sz w:val="24"/>
          <w:szCs w:val="24"/>
        </w:rPr>
      </w:pPr>
    </w:p>
    <w:p w14:paraId="0C1711F6">
      <w:pPr>
        <w:spacing w:line="520" w:lineRule="exact"/>
        <w:rPr>
          <w:rFonts w:hint="eastAsia" w:ascii="宋体" w:hAnsi="宋体" w:eastAsia="宋体" w:cs="Times New Roman"/>
          <w:b/>
          <w:spacing w:val="20"/>
          <w:sz w:val="24"/>
          <w:szCs w:val="24"/>
        </w:rPr>
      </w:pPr>
    </w:p>
    <w:p w14:paraId="00F6DC50">
      <w:pPr>
        <w:spacing w:line="520" w:lineRule="exact"/>
        <w:rPr>
          <w:rFonts w:hint="eastAsia" w:ascii="宋体" w:hAnsi="宋体" w:eastAsia="宋体" w:cs="Times New Roman"/>
          <w:b/>
          <w:spacing w:val="20"/>
          <w:sz w:val="24"/>
          <w:szCs w:val="24"/>
        </w:rPr>
      </w:pPr>
    </w:p>
    <w:p w14:paraId="6696F71F">
      <w:pPr>
        <w:spacing w:line="520" w:lineRule="exact"/>
        <w:rPr>
          <w:rFonts w:hint="eastAsia" w:ascii="宋体" w:hAnsi="宋体" w:eastAsia="宋体" w:cs="Times New Roman"/>
          <w:szCs w:val="21"/>
        </w:rPr>
      </w:pPr>
      <w:r>
        <w:rPr>
          <w:rFonts w:hint="eastAsia" w:ascii="宋体" w:hAnsi="宋体" w:eastAsia="宋体" w:cs="Times New Roman"/>
          <w:b/>
          <w:spacing w:val="20"/>
          <w:sz w:val="24"/>
          <w:szCs w:val="24"/>
        </w:rPr>
        <w:t>十、关于投标种苗及相关事项的声明</w:t>
      </w:r>
      <w:r>
        <w:rPr>
          <w:rFonts w:hint="eastAsia" w:ascii="宋体" w:hAnsi="宋体" w:eastAsia="宋体" w:cs="Times New Roman"/>
          <w:b/>
          <w:sz w:val="24"/>
          <w:szCs w:val="24"/>
        </w:rPr>
        <w:t>（适用各标项）</w:t>
      </w:r>
    </w:p>
    <w:p w14:paraId="73B3E303">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根据舟山市普陀区海洋经济发展局《2025年普陀区水生生物增殖放流项目》要求，以及本单位实际生产能力，现就有关事项声明如下：</w:t>
      </w:r>
    </w:p>
    <w:p w14:paraId="68037DEC">
      <w:pPr>
        <w:spacing w:line="360" w:lineRule="auto"/>
        <w:ind w:firstLine="413" w:firstLineChars="196"/>
        <w:rPr>
          <w:rFonts w:ascii="宋体" w:hAnsi="Times New Roman" w:eastAsia="宋体" w:cs="Times New Roman"/>
          <w:b/>
          <w:szCs w:val="21"/>
        </w:rPr>
      </w:pPr>
      <w:r>
        <w:rPr>
          <w:rFonts w:hint="eastAsia" w:ascii="宋体" w:hAnsi="宋体" w:eastAsia="宋体" w:cs="Times New Roman"/>
          <w:b/>
          <w:szCs w:val="21"/>
        </w:rPr>
        <w:t>一、投标种苗标的：</w:t>
      </w:r>
    </w:p>
    <w:tbl>
      <w:tblPr>
        <w:tblStyle w:val="60"/>
        <w:tblW w:w="8460" w:type="dxa"/>
        <w:tblInd w:w="93" w:type="dxa"/>
        <w:tblLayout w:type="fixed"/>
        <w:tblCellMar>
          <w:top w:w="0" w:type="dxa"/>
          <w:left w:w="108" w:type="dxa"/>
          <w:bottom w:w="0" w:type="dxa"/>
          <w:right w:w="108" w:type="dxa"/>
        </w:tblCellMar>
      </w:tblPr>
      <w:tblGrid>
        <w:gridCol w:w="1900"/>
        <w:gridCol w:w="2280"/>
        <w:gridCol w:w="2140"/>
        <w:gridCol w:w="2140"/>
      </w:tblGrid>
      <w:tr w14:paraId="2B5B7A8B">
        <w:tblPrEx>
          <w:tblCellMar>
            <w:top w:w="0" w:type="dxa"/>
            <w:left w:w="108" w:type="dxa"/>
            <w:bottom w:w="0" w:type="dxa"/>
            <w:right w:w="108" w:type="dxa"/>
          </w:tblCellMar>
        </w:tblPrEx>
        <w:trPr>
          <w:trHeight w:val="375" w:hRule="atLeast"/>
        </w:trPr>
        <w:tc>
          <w:tcPr>
            <w:tcW w:w="1900" w:type="dxa"/>
            <w:tcBorders>
              <w:top w:val="single" w:color="auto" w:sz="4" w:space="0"/>
              <w:left w:val="single" w:color="auto" w:sz="4" w:space="0"/>
              <w:bottom w:val="single" w:color="auto" w:sz="4" w:space="0"/>
              <w:right w:val="single" w:color="auto" w:sz="4" w:space="0"/>
            </w:tcBorders>
          </w:tcPr>
          <w:p w14:paraId="64435A01">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78F042F3">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59A3EF98">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544EF3C8">
            <w:pPr>
              <w:rPr>
                <w:rFonts w:ascii="宋体" w:hAnsi="Times New Roman" w:eastAsia="宋体" w:cs="Times New Roman"/>
                <w:szCs w:val="21"/>
              </w:rPr>
            </w:pPr>
            <w:r>
              <w:rPr>
                <w:rFonts w:hint="eastAsia" w:ascii="宋体" w:hAnsi="宋体" w:eastAsia="宋体" w:cs="Times New Roman"/>
                <w:szCs w:val="21"/>
              </w:rPr>
              <w:t>……</w:t>
            </w:r>
          </w:p>
        </w:tc>
      </w:tr>
      <w:tr w14:paraId="58AA4B47">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CC91480">
            <w:pPr>
              <w:rPr>
                <w:rFonts w:ascii="宋体" w:hAnsi="Times New Roman" w:eastAsia="宋体" w:cs="Times New Roman"/>
                <w:szCs w:val="21"/>
              </w:rPr>
            </w:pPr>
            <w:r>
              <w:rPr>
                <w:rFonts w:hint="eastAsia" w:ascii="宋体" w:hAnsi="宋体" w:eastAsia="宋体" w:cs="Times New Roman"/>
                <w:szCs w:val="21"/>
              </w:rPr>
              <w:t>种苗名称</w:t>
            </w:r>
          </w:p>
        </w:tc>
        <w:tc>
          <w:tcPr>
            <w:tcW w:w="2280" w:type="dxa"/>
            <w:tcBorders>
              <w:top w:val="nil"/>
              <w:left w:val="nil"/>
              <w:bottom w:val="single" w:color="auto" w:sz="4" w:space="0"/>
              <w:right w:val="single" w:color="auto" w:sz="4" w:space="0"/>
            </w:tcBorders>
          </w:tcPr>
          <w:p w14:paraId="53DDF1BB">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9D1913E">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50AA74F">
            <w:pPr>
              <w:rPr>
                <w:rFonts w:ascii="宋体" w:hAnsi="Times New Roman" w:eastAsia="宋体" w:cs="Times New Roman"/>
                <w:szCs w:val="21"/>
              </w:rPr>
            </w:pPr>
            <w:r>
              <w:rPr>
                <w:rFonts w:hint="eastAsia" w:ascii="宋体" w:hAnsi="宋体" w:eastAsia="宋体" w:cs="Times New Roman"/>
                <w:szCs w:val="21"/>
              </w:rPr>
              <w:t>　</w:t>
            </w:r>
          </w:p>
        </w:tc>
      </w:tr>
      <w:tr w14:paraId="6397990C">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5B75C032">
            <w:pPr>
              <w:rPr>
                <w:rFonts w:ascii="宋体" w:hAnsi="Times New Roman" w:eastAsia="宋体" w:cs="Times New Roman"/>
                <w:szCs w:val="21"/>
              </w:rPr>
            </w:pPr>
            <w:r>
              <w:rPr>
                <w:rFonts w:hint="eastAsia" w:ascii="宋体" w:hAnsi="宋体" w:eastAsia="宋体" w:cs="Times New Roman"/>
                <w:szCs w:val="21"/>
              </w:rPr>
              <w:t>种苗规格</w:t>
            </w:r>
          </w:p>
        </w:tc>
        <w:tc>
          <w:tcPr>
            <w:tcW w:w="2280" w:type="dxa"/>
            <w:tcBorders>
              <w:top w:val="nil"/>
              <w:left w:val="nil"/>
              <w:bottom w:val="single" w:color="auto" w:sz="4" w:space="0"/>
              <w:right w:val="single" w:color="auto" w:sz="4" w:space="0"/>
            </w:tcBorders>
          </w:tcPr>
          <w:p w14:paraId="31ADB66A">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26765D1C">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B9D7EE2">
            <w:pPr>
              <w:rPr>
                <w:rFonts w:ascii="宋体" w:hAnsi="Times New Roman" w:eastAsia="宋体" w:cs="Times New Roman"/>
                <w:szCs w:val="21"/>
              </w:rPr>
            </w:pPr>
          </w:p>
        </w:tc>
      </w:tr>
      <w:tr w14:paraId="6556350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698BAB25">
            <w:pPr>
              <w:rPr>
                <w:rFonts w:ascii="宋体" w:hAnsi="Times New Roman" w:eastAsia="宋体" w:cs="Times New Roman"/>
                <w:szCs w:val="21"/>
              </w:rPr>
            </w:pPr>
            <w:r>
              <w:rPr>
                <w:rFonts w:hint="eastAsia" w:ascii="宋体" w:hAnsi="宋体" w:eastAsia="宋体" w:cs="Times New Roman"/>
                <w:szCs w:val="21"/>
              </w:rPr>
              <w:t>种苗数量</w:t>
            </w:r>
          </w:p>
        </w:tc>
        <w:tc>
          <w:tcPr>
            <w:tcW w:w="2280" w:type="dxa"/>
            <w:tcBorders>
              <w:top w:val="nil"/>
              <w:left w:val="nil"/>
              <w:bottom w:val="single" w:color="auto" w:sz="4" w:space="0"/>
              <w:right w:val="single" w:color="auto" w:sz="4" w:space="0"/>
            </w:tcBorders>
          </w:tcPr>
          <w:p w14:paraId="0A41F9DD">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6AA1E524">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8A75275">
            <w:pPr>
              <w:rPr>
                <w:rFonts w:ascii="宋体" w:hAnsi="Times New Roman" w:eastAsia="宋体" w:cs="Times New Roman"/>
                <w:szCs w:val="21"/>
              </w:rPr>
            </w:pPr>
          </w:p>
        </w:tc>
      </w:tr>
      <w:tr w14:paraId="4CA0628D">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26BFE704">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737B44B5">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058F914">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48F0250">
            <w:pPr>
              <w:rPr>
                <w:rFonts w:ascii="宋体" w:hAnsi="Times New Roman" w:eastAsia="宋体" w:cs="Times New Roman"/>
                <w:szCs w:val="21"/>
              </w:rPr>
            </w:pPr>
            <w:r>
              <w:rPr>
                <w:rFonts w:hint="eastAsia" w:ascii="宋体" w:hAnsi="宋体" w:eastAsia="宋体" w:cs="Times New Roman"/>
                <w:szCs w:val="21"/>
              </w:rPr>
              <w:t>　</w:t>
            </w:r>
          </w:p>
        </w:tc>
      </w:tr>
      <w:tr w14:paraId="5169F4DC">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35CF2CEF">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1671977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2CF7F1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F5C9B46">
            <w:pPr>
              <w:rPr>
                <w:rFonts w:ascii="宋体" w:hAnsi="Times New Roman" w:eastAsia="宋体" w:cs="Times New Roman"/>
                <w:szCs w:val="21"/>
              </w:rPr>
            </w:pPr>
            <w:r>
              <w:rPr>
                <w:rFonts w:hint="eastAsia" w:ascii="宋体" w:hAnsi="宋体" w:eastAsia="宋体" w:cs="Times New Roman"/>
                <w:szCs w:val="21"/>
              </w:rPr>
              <w:t>　</w:t>
            </w:r>
          </w:p>
        </w:tc>
      </w:tr>
      <w:tr w14:paraId="08920F65">
        <w:tblPrEx>
          <w:tblCellMar>
            <w:top w:w="0" w:type="dxa"/>
            <w:left w:w="108" w:type="dxa"/>
            <w:bottom w:w="0" w:type="dxa"/>
            <w:right w:w="108" w:type="dxa"/>
          </w:tblCellMar>
        </w:tblPrEx>
        <w:trPr>
          <w:trHeight w:val="343" w:hRule="atLeast"/>
        </w:trPr>
        <w:tc>
          <w:tcPr>
            <w:tcW w:w="1900" w:type="dxa"/>
            <w:tcBorders>
              <w:top w:val="nil"/>
              <w:left w:val="single" w:color="auto" w:sz="4" w:space="0"/>
              <w:bottom w:val="single" w:color="auto" w:sz="4" w:space="0"/>
              <w:right w:val="single" w:color="auto" w:sz="4" w:space="0"/>
            </w:tcBorders>
          </w:tcPr>
          <w:p w14:paraId="6A3CEF13">
            <w:pPr>
              <w:rPr>
                <w:rFonts w:ascii="宋体" w:hAnsi="Times New Roman" w:eastAsia="宋体" w:cs="Times New Roman"/>
                <w:szCs w:val="21"/>
              </w:rPr>
            </w:pPr>
            <w:r>
              <w:rPr>
                <w:rFonts w:hint="eastAsia" w:ascii="宋体" w:hAnsi="宋体" w:eastAsia="宋体" w:cs="Times New Roman"/>
                <w:szCs w:val="21"/>
              </w:rPr>
              <w:t>种苗所在地</w:t>
            </w:r>
          </w:p>
        </w:tc>
        <w:tc>
          <w:tcPr>
            <w:tcW w:w="2280" w:type="dxa"/>
            <w:tcBorders>
              <w:top w:val="nil"/>
              <w:left w:val="nil"/>
              <w:bottom w:val="single" w:color="auto" w:sz="4" w:space="0"/>
              <w:right w:val="single" w:color="auto" w:sz="4" w:space="0"/>
            </w:tcBorders>
          </w:tcPr>
          <w:p w14:paraId="43D1057B">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CE80E7D">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54AA8FC">
            <w:pPr>
              <w:rPr>
                <w:rFonts w:ascii="宋体" w:hAnsi="Times New Roman" w:eastAsia="宋体" w:cs="Times New Roman"/>
                <w:szCs w:val="21"/>
              </w:rPr>
            </w:pPr>
            <w:r>
              <w:rPr>
                <w:rFonts w:hint="eastAsia" w:ascii="宋体" w:hAnsi="宋体" w:eastAsia="宋体" w:cs="Times New Roman"/>
                <w:szCs w:val="21"/>
              </w:rPr>
              <w:t>　</w:t>
            </w:r>
          </w:p>
        </w:tc>
      </w:tr>
      <w:tr w14:paraId="47138BD7">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83670A6">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471E3AE3">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93F8C34">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5181B693">
            <w:pPr>
              <w:rPr>
                <w:rFonts w:ascii="宋体" w:hAnsi="Times New Roman" w:eastAsia="宋体" w:cs="Times New Roman"/>
                <w:szCs w:val="21"/>
              </w:rPr>
            </w:pPr>
          </w:p>
        </w:tc>
      </w:tr>
      <w:tr w14:paraId="6954A1CA">
        <w:tblPrEx>
          <w:tblCellMar>
            <w:top w:w="0" w:type="dxa"/>
            <w:left w:w="108" w:type="dxa"/>
            <w:bottom w:w="0" w:type="dxa"/>
            <w:right w:w="108" w:type="dxa"/>
          </w:tblCellMar>
        </w:tblPrEx>
        <w:trPr>
          <w:trHeight w:val="90" w:hRule="atLeast"/>
        </w:trPr>
        <w:tc>
          <w:tcPr>
            <w:tcW w:w="1900" w:type="dxa"/>
            <w:tcBorders>
              <w:top w:val="nil"/>
              <w:left w:val="single" w:color="auto" w:sz="4" w:space="0"/>
              <w:bottom w:val="single" w:color="auto" w:sz="4" w:space="0"/>
              <w:right w:val="single" w:color="auto" w:sz="4" w:space="0"/>
            </w:tcBorders>
          </w:tcPr>
          <w:p w14:paraId="2611D723">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300C97EF">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6CFD643">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616CD929">
            <w:pPr>
              <w:rPr>
                <w:rFonts w:ascii="宋体" w:hAnsi="Times New Roman" w:eastAsia="宋体" w:cs="Times New Roman"/>
                <w:szCs w:val="21"/>
              </w:rPr>
            </w:pPr>
            <w:r>
              <w:rPr>
                <w:rFonts w:hint="eastAsia" w:ascii="宋体" w:hAnsi="宋体" w:eastAsia="宋体" w:cs="Times New Roman"/>
                <w:szCs w:val="21"/>
              </w:rPr>
              <w:t>　</w:t>
            </w:r>
          </w:p>
        </w:tc>
      </w:tr>
      <w:tr w14:paraId="58A5D8C1">
        <w:tblPrEx>
          <w:tblCellMar>
            <w:top w:w="0" w:type="dxa"/>
            <w:left w:w="108" w:type="dxa"/>
            <w:bottom w:w="0" w:type="dxa"/>
            <w:right w:w="108" w:type="dxa"/>
          </w:tblCellMar>
        </w:tblPrEx>
        <w:trPr>
          <w:trHeight w:val="120" w:hRule="atLeast"/>
        </w:trPr>
        <w:tc>
          <w:tcPr>
            <w:tcW w:w="1900" w:type="dxa"/>
            <w:tcBorders>
              <w:top w:val="nil"/>
              <w:left w:val="single" w:color="auto" w:sz="4" w:space="0"/>
              <w:bottom w:val="single" w:color="auto" w:sz="4" w:space="0"/>
              <w:right w:val="single" w:color="auto" w:sz="4" w:space="0"/>
            </w:tcBorders>
            <w:vAlign w:val="center"/>
          </w:tcPr>
          <w:p w14:paraId="1155FFA3">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77F411AC">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772E61B7">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31DB581C">
            <w:pPr>
              <w:rPr>
                <w:rFonts w:ascii="宋体" w:hAnsi="Times New Roman" w:eastAsia="宋体" w:cs="Times New Roman"/>
                <w:szCs w:val="21"/>
              </w:rPr>
            </w:pPr>
            <w:r>
              <w:rPr>
                <w:rFonts w:hint="eastAsia" w:ascii="宋体" w:hAnsi="宋体" w:eastAsia="宋体" w:cs="Times New Roman"/>
                <w:szCs w:val="21"/>
              </w:rPr>
              <w:t>　</w:t>
            </w:r>
          </w:p>
        </w:tc>
      </w:tr>
    </w:tbl>
    <w:p w14:paraId="59B6B3AE">
      <w:pPr>
        <w:spacing w:line="360" w:lineRule="auto"/>
        <w:ind w:firstLine="211" w:firstLineChars="100"/>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20997A57">
      <w:pPr>
        <w:spacing w:line="360"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.投标人无法满足采购人提出的相关种质、技术等要求；</w:t>
      </w:r>
    </w:p>
    <w:p w14:paraId="44AF317F">
      <w:pPr>
        <w:spacing w:line="360" w:lineRule="auto"/>
        <w:ind w:firstLine="420" w:firstLineChars="200"/>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.所投标价高出最高限价或低于成本价的。</w:t>
      </w:r>
    </w:p>
    <w:p w14:paraId="54C99ECB">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三、</w:t>
      </w:r>
      <w:r>
        <w:rPr>
          <w:rFonts w:hint="eastAsia" w:ascii="宋体" w:hAnsi="宋体" w:eastAsia="宋体" w:cs="Times New Roman"/>
          <w:szCs w:val="21"/>
        </w:rPr>
        <w:t>我方将提供采购人所需的有关本次招标的其它资料。</w:t>
      </w:r>
    </w:p>
    <w:p w14:paraId="4A828366">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四、</w:t>
      </w:r>
      <w:r>
        <w:rPr>
          <w:rFonts w:hint="eastAsia" w:ascii="宋体" w:hAnsi="宋体" w:eastAsia="宋体" w:cs="Times New Roman"/>
          <w:szCs w:val="21"/>
        </w:rPr>
        <w:t>我方理解采购人并无责任必须接受报价的相关投标要求，同时也不偿付我方在投标中发生的一切费用。</w:t>
      </w:r>
    </w:p>
    <w:p w14:paraId="43BEF82E">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五</w:t>
      </w:r>
      <w:r>
        <w:rPr>
          <w:rFonts w:hint="eastAsia" w:ascii="宋体" w:hAnsi="宋体" w:eastAsia="宋体" w:cs="Times New Roman"/>
          <w:szCs w:val="21"/>
        </w:rPr>
        <w:t>、我方将严格按照合同要求，做好每批次放流种苗全程培育、投饵、用药等记录，并提交原始材料用于放流种苗的前期验收和放流验收。</w:t>
      </w:r>
    </w:p>
    <w:p w14:paraId="21AE8468">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六、</w:t>
      </w:r>
      <w:r>
        <w:rPr>
          <w:rFonts w:hint="eastAsia" w:ascii="宋体" w:hAnsi="宋体" w:eastAsia="宋体" w:cs="Times New Roman"/>
          <w:szCs w:val="21"/>
        </w:rPr>
        <w:t>我方将严格按照合同要求</w:t>
      </w:r>
      <w:r>
        <w:rPr>
          <w:rFonts w:ascii="宋体" w:hAnsi="Times New Roman" w:eastAsia="宋体" w:cs="Times New Roman"/>
          <w:szCs w:val="21"/>
        </w:rPr>
        <w:t>,</w:t>
      </w:r>
      <w:r>
        <w:rPr>
          <w:rFonts w:hint="eastAsia" w:ascii="宋体" w:hAnsi="宋体" w:eastAsia="宋体" w:cs="Times New Roman"/>
          <w:szCs w:val="21"/>
        </w:rPr>
        <w:t>在以下放流种类所表示的种苗培育阶段内提前告知和接受放流种苗的前期验收</w:t>
      </w:r>
      <w:r>
        <w:rPr>
          <w:rFonts w:ascii="宋体" w:hAnsi="Times New Roman" w:eastAsia="宋体" w:cs="Times New Roman"/>
          <w:szCs w:val="21"/>
        </w:rPr>
        <w:t>,</w:t>
      </w:r>
      <w:r>
        <w:rPr>
          <w:rFonts w:hint="eastAsia" w:ascii="宋体" w:hAnsi="宋体" w:eastAsia="宋体" w:cs="Times New Roman"/>
          <w:szCs w:val="21"/>
        </w:rPr>
        <w:t>并对验收结果予以确认。因我方原因造成待放流种苗未经前期验收和确认的</w:t>
      </w:r>
      <w:r>
        <w:rPr>
          <w:rFonts w:ascii="宋体" w:hAnsi="Times New Roman" w:eastAsia="宋体" w:cs="Times New Roman"/>
          <w:szCs w:val="21"/>
        </w:rPr>
        <w:t>,</w:t>
      </w:r>
      <w:r>
        <w:rPr>
          <w:rFonts w:hint="eastAsia" w:ascii="宋体" w:hAnsi="宋体" w:eastAsia="宋体" w:cs="Times New Roman"/>
          <w:szCs w:val="21"/>
        </w:rPr>
        <w:t>愿放弃该批次种苗的放流。</w:t>
      </w:r>
    </w:p>
    <w:p w14:paraId="622B6D5C">
      <w:pPr>
        <w:spacing w:line="360" w:lineRule="auto"/>
        <w:ind w:firstLine="211" w:firstLineChars="100"/>
        <w:rPr>
          <w:rFonts w:hint="eastAsia" w:ascii="宋体" w:hAnsi="宋体" w:eastAsia="宋体" w:cs="Times New Roman"/>
          <w:szCs w:val="21"/>
        </w:rPr>
      </w:pPr>
      <w:r>
        <w:rPr>
          <w:rFonts w:hint="eastAsia" w:ascii="宋体" w:hAnsi="宋体" w:eastAsia="宋体" w:cs="Times New Roman"/>
          <w:b/>
          <w:szCs w:val="21"/>
        </w:rPr>
        <w:t>七</w:t>
      </w:r>
      <w:r>
        <w:rPr>
          <w:rFonts w:hint="eastAsia" w:ascii="宋体" w:hAnsi="宋体" w:eastAsia="宋体" w:cs="Times New Roman"/>
          <w:szCs w:val="21"/>
        </w:rPr>
        <w:t>、中标后相关事项，请按下列地址和通讯号码联系：</w:t>
      </w:r>
    </w:p>
    <w:p w14:paraId="4F2C84F8">
      <w:pPr>
        <w:rPr>
          <w:rFonts w:hint="eastAsia" w:ascii="宋体" w:hAnsi="宋体" w:eastAsia="宋体" w:cs="Times New Roman"/>
          <w:szCs w:val="21"/>
        </w:rPr>
      </w:pPr>
      <w:r>
        <w:rPr>
          <w:rFonts w:hint="eastAsia" w:ascii="宋体" w:hAnsi="宋体" w:eastAsia="宋体" w:cs="Times New Roman"/>
          <w:szCs w:val="21"/>
        </w:rPr>
        <w:t>地址：</w:t>
      </w:r>
    </w:p>
    <w:p w14:paraId="69368ED2">
      <w:pPr>
        <w:rPr>
          <w:rFonts w:hint="eastAsia" w:ascii="宋体" w:hAnsi="宋体" w:eastAsia="宋体" w:cs="Times New Roman"/>
          <w:szCs w:val="21"/>
        </w:rPr>
      </w:pPr>
      <w:r>
        <w:rPr>
          <w:rFonts w:ascii="宋体" w:hAnsi="宋体" w:eastAsia="宋体" w:cs="Times New Roman"/>
          <w:szCs w:val="21"/>
        </w:rPr>
        <w:t xml:space="preserve">邮政编码：   </w:t>
      </w:r>
    </w:p>
    <w:p w14:paraId="523EBEB8">
      <w:pPr>
        <w:rPr>
          <w:rFonts w:hint="eastAsia" w:ascii="宋体" w:hAnsi="宋体" w:eastAsia="宋体" w:cs="Times New Roman"/>
          <w:szCs w:val="21"/>
        </w:rPr>
      </w:pPr>
      <w:r>
        <w:rPr>
          <w:rFonts w:ascii="宋体" w:hAnsi="宋体" w:eastAsia="宋体" w:cs="Times New Roman"/>
          <w:szCs w:val="21"/>
        </w:rPr>
        <w:t xml:space="preserve">具体联系人： </w:t>
      </w:r>
    </w:p>
    <w:p w14:paraId="0917151E">
      <w:pPr>
        <w:rPr>
          <w:rFonts w:hint="eastAsia" w:ascii="宋体" w:hAnsi="宋体" w:eastAsia="宋体" w:cs="Times New Roman"/>
          <w:szCs w:val="21"/>
        </w:rPr>
      </w:pPr>
      <w:r>
        <w:rPr>
          <w:rFonts w:ascii="宋体" w:hAnsi="宋体" w:eastAsia="宋体" w:cs="Times New Roman"/>
          <w:szCs w:val="21"/>
        </w:rPr>
        <w:t xml:space="preserve">电话：（区号）             （手机）         传真：（区号）             </w:t>
      </w:r>
    </w:p>
    <w:p w14:paraId="2AAFFE89">
      <w:pPr>
        <w:rPr>
          <w:rFonts w:hint="eastAsia" w:ascii="宋体" w:hAnsi="宋体" w:eastAsia="宋体" w:cs="Times New Roman"/>
          <w:szCs w:val="21"/>
          <w:u w:val="single"/>
        </w:rPr>
      </w:pPr>
      <w:r>
        <w:rPr>
          <w:rFonts w:hint="eastAsia" w:ascii="宋体" w:hAnsi="宋体" w:eastAsia="宋体" w:cs="Times New Roman"/>
          <w:szCs w:val="21"/>
        </w:rPr>
        <w:t>投标人名称：（加盖公章）</w:t>
      </w:r>
    </w:p>
    <w:p w14:paraId="57848084">
      <w:pPr>
        <w:rPr>
          <w:rFonts w:hint="eastAsia" w:ascii="宋体" w:hAnsi="宋体" w:eastAsia="宋体" w:cs="Times New Roman"/>
          <w:szCs w:val="21"/>
        </w:rPr>
      </w:pPr>
    </w:p>
    <w:p w14:paraId="2606A827">
      <w:pPr>
        <w:rPr>
          <w:rFonts w:ascii="Times New Roman" w:hAnsi="Times New Roman" w:eastAsia="宋体" w:cs="Times New Roman"/>
        </w:rPr>
      </w:pPr>
      <w:r>
        <w:rPr>
          <w:rFonts w:hint="eastAsia" w:ascii="宋体" w:hAnsi="宋体" w:eastAsia="宋体" w:cs="Times New Roman"/>
          <w:spacing w:val="20"/>
          <w:szCs w:val="21"/>
        </w:rPr>
        <w:t>日期：年月日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方正大黑简体">
    <w:altName w:val="黑体"/>
    <w:panose1 w:val="00000000000000000000"/>
    <w:charset w:val="86"/>
    <w:family w:val="auto"/>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5F6EA">
    <w:pPr>
      <w:pStyle w:val="41"/>
      <w:rPr>
        <w:rFonts w:hint="eastAsia"/>
      </w:rPr>
    </w:pPr>
    <w:r>
      <w:rPr>
        <w:rFonts w:hint="eastAsia"/>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a:effectLst/>
                    </wps:spPr>
                    <wps:txbx>
                      <w:txbxContent>
                        <w:p w14:paraId="2CF8206A">
                          <w:pPr>
                            <w:pStyle w:val="41"/>
                            <w:rPr>
                              <w:rFonts w:hint="eastAsia"/>
                            </w:rPr>
                          </w:pPr>
                          <w:r>
                            <w:fldChar w:fldCharType="begin"/>
                          </w:r>
                          <w:r>
                            <w:instrText xml:space="preserve"> PAGE  \* MERGEFORMAT </w:instrText>
                          </w:r>
                          <w:r>
                            <w:fldChar w:fldCharType="separate"/>
                          </w:r>
                          <w:r>
                            <w:t>5</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LW7l30AAAAAIBAAAPAAAAAAAAAAEAIAAAACIAAABk&#10;cnMvZG93bnJldi54bWxQSwECFAAUAAAACACHTuJA8Tde2A4CAAAPBAAADgAAAAAAAAABACAAAAAf&#10;AQAAZHJzL2Uyb0RvYy54bWxQSwUGAAAAAAYABgBZAQAAnwUAAAAA&#10;">
              <v:fill on="f" focussize="0,0"/>
              <v:stroke on="f"/>
              <v:imagedata o:title=""/>
              <o:lock v:ext="edit" aspectratio="f"/>
              <v:textbox inset="0mm,0mm,0mm,0mm" style="mso-fit-shape-to-text:t;">
                <w:txbxContent>
                  <w:p w14:paraId="2CF8206A">
                    <w:pPr>
                      <w:pStyle w:val="41"/>
                      <w:rPr>
                        <w:rFonts w:hint="eastAsia"/>
                      </w:rPr>
                    </w:pPr>
                    <w:r>
                      <w:fldChar w:fldCharType="begin"/>
                    </w:r>
                    <w:r>
                      <w:instrText xml:space="preserve"> PAGE  \* MERGEFORMAT </w:instrText>
                    </w:r>
                    <w:r>
                      <w:fldChar w:fldCharType="separate"/>
                    </w:r>
                    <w:r>
                      <w:t>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B880E">
    <w:pPr>
      <w:pStyle w:val="42"/>
      <w:pBdr>
        <w:bottom w:val="none" w:color="auto" w:sz="0" w:space="0"/>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1"/>
      <w:numFmt w:val="bullet"/>
      <w:pStyle w:val="126"/>
      <w:lvlText w:val=""/>
      <w:lvlJc w:val="left"/>
      <w:pPr>
        <w:tabs>
          <w:tab w:val="left" w:pos="360"/>
        </w:tabs>
        <w:ind w:left="360" w:hanging="360"/>
      </w:pPr>
      <w:rPr>
        <w:rFonts w:hint="default" w:ascii="Wingdings" w:hAnsi="Wingdings"/>
      </w:rPr>
    </w:lvl>
  </w:abstractNum>
  <w:abstractNum w:abstractNumId="1">
    <w:nsid w:val="00000009"/>
    <w:multiLevelType w:val="multilevel"/>
    <w:tmpl w:val="00000009"/>
    <w:lvl w:ilvl="0" w:tentative="0">
      <w:start w:val="1"/>
      <w:numFmt w:val="japaneseCounting"/>
      <w:pStyle w:val="402"/>
      <w:suff w:val="nothing"/>
      <w:lvlText w:val="%1、"/>
      <w:lvlJc w:val="left"/>
      <w:pPr>
        <w:ind w:left="0" w:firstLine="0"/>
      </w:pPr>
      <w:rPr>
        <w:rFonts w:hint="eastAsia" w:ascii="宋体" w:eastAsia="宋体"/>
        <w:b/>
        <w:i w:val="0"/>
        <w:sz w:val="28"/>
      </w:rPr>
    </w:lvl>
    <w:lvl w:ilvl="1" w:tentative="0">
      <w:start w:val="1"/>
      <w:numFmt w:val="japaneseCounting"/>
      <w:pStyle w:val="400"/>
      <w:suff w:val="nothing"/>
      <w:lvlText w:val="（%2）"/>
      <w:lvlJc w:val="left"/>
      <w:pPr>
        <w:ind w:left="0" w:firstLine="0"/>
      </w:pPr>
      <w:rPr>
        <w:rFonts w:hint="eastAsia" w:ascii="宋体" w:eastAsia="宋体"/>
        <w:b/>
        <w:i w:val="0"/>
        <w:sz w:val="24"/>
      </w:rPr>
    </w:lvl>
    <w:lvl w:ilvl="2" w:tentative="0">
      <w:start w:val="1"/>
      <w:numFmt w:val="decimal"/>
      <w:pStyle w:val="398"/>
      <w:lvlText w:val="%1.%2.%3"/>
      <w:lvlJc w:val="left"/>
      <w:pPr>
        <w:ind w:left="0" w:firstLine="0"/>
      </w:pPr>
      <w:rPr>
        <w:rFonts w:hint="eastAsia" w:ascii="宋体" w:eastAsia="宋体"/>
        <w:b/>
        <w:i w:val="0"/>
        <w:sz w:val="24"/>
      </w:rPr>
    </w:lvl>
    <w:lvl w:ilvl="3" w:tentative="0">
      <w:start w:val="1"/>
      <w:numFmt w:val="decimal"/>
      <w:pStyle w:val="397"/>
      <w:lvlText w:val="%1.%2.%3.%4"/>
      <w:lvlJc w:val="left"/>
      <w:pPr>
        <w:ind w:left="0" w:firstLine="0"/>
      </w:pPr>
      <w:rPr>
        <w:rFonts w:hint="eastAsia" w:ascii="宋体" w:eastAsia="宋体"/>
        <w:b/>
        <w:i w:val="0"/>
        <w:sz w:val="21"/>
      </w:rPr>
    </w:lvl>
    <w:lvl w:ilvl="4" w:tentative="0">
      <w:start w:val="1"/>
      <w:numFmt w:val="lowerLetter"/>
      <w:pStyle w:val="706"/>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
    <w:nsid w:val="0000000A"/>
    <w:multiLevelType w:val="multilevel"/>
    <w:tmpl w:val="0000000A"/>
    <w:lvl w:ilvl="0" w:tentative="0">
      <w:start w:val="1"/>
      <w:numFmt w:val="decimal"/>
      <w:pStyle w:val="374"/>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0"/>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0AADC6A9"/>
    <w:multiLevelType w:val="singleLevel"/>
    <w:tmpl w:val="0AADC6A9"/>
    <w:lvl w:ilvl="0" w:tentative="0">
      <w:start w:val="2"/>
      <w:numFmt w:val="chineseCounting"/>
      <w:suff w:val="space"/>
      <w:lvlText w:val="第%1章"/>
      <w:lvlJc w:val="left"/>
      <w:rPr>
        <w:rFonts w:hint="eastAsia"/>
      </w:rPr>
    </w:lvl>
  </w:abstractNum>
  <w:abstractNum w:abstractNumId="4">
    <w:nsid w:val="0C34DE15"/>
    <w:multiLevelType w:val="singleLevel"/>
    <w:tmpl w:val="0C34DE15"/>
    <w:lvl w:ilvl="0" w:tentative="0">
      <w:start w:val="1"/>
      <w:numFmt w:val="decimal"/>
      <w:lvlText w:val="%1."/>
      <w:lvlJc w:val="left"/>
      <w:pPr>
        <w:tabs>
          <w:tab w:val="left" w:pos="312"/>
        </w:tabs>
      </w:pPr>
    </w:lvl>
  </w:abstractNum>
  <w:abstractNum w:abstractNumId="5">
    <w:nsid w:val="225A8346"/>
    <w:multiLevelType w:val="singleLevel"/>
    <w:tmpl w:val="225A8346"/>
    <w:lvl w:ilvl="0" w:tentative="0">
      <w:start w:val="1"/>
      <w:numFmt w:val="decimal"/>
      <w:lvlText w:val="%1."/>
      <w:lvlJc w:val="left"/>
      <w:pPr>
        <w:tabs>
          <w:tab w:val="left" w:pos="312"/>
        </w:tabs>
      </w:pPr>
    </w:lvl>
  </w:abstractNum>
  <w:abstractNum w:abstractNumId="6">
    <w:nsid w:val="4DD4552D"/>
    <w:multiLevelType w:val="singleLevel"/>
    <w:tmpl w:val="4DD4552D"/>
    <w:lvl w:ilvl="0" w:tentative="0">
      <w:start w:val="1"/>
      <w:numFmt w:val="decimal"/>
      <w:lvlText w:val="%1."/>
      <w:lvlJc w:val="left"/>
      <w:pPr>
        <w:tabs>
          <w:tab w:val="left" w:pos="312"/>
        </w:tabs>
      </w:pPr>
    </w:lvl>
  </w:abstractNum>
  <w:abstractNum w:abstractNumId="7">
    <w:nsid w:val="65DFE6B0"/>
    <w:multiLevelType w:val="singleLevel"/>
    <w:tmpl w:val="65DFE6B0"/>
    <w:lvl w:ilvl="0" w:tentative="0">
      <w:start w:val="1"/>
      <w:numFmt w:val="decimal"/>
      <w:pStyle w:val="27"/>
      <w:lvlText w:val="%1."/>
      <w:lvlJc w:val="left"/>
      <w:pPr>
        <w:tabs>
          <w:tab w:val="left" w:pos="360"/>
        </w:tabs>
        <w:ind w:left="360" w:hanging="360"/>
      </w:pPr>
      <w:rPr>
        <w:rFonts w:cs="Times New Roman"/>
      </w:rPr>
    </w:lvl>
  </w:abstractNum>
  <w:abstractNum w:abstractNumId="8">
    <w:nsid w:val="65DFE6BB"/>
    <w:multiLevelType w:val="multilevel"/>
    <w:tmpl w:val="65DFE6BB"/>
    <w:lvl w:ilvl="0" w:tentative="0">
      <w:start w:val="1"/>
      <w:numFmt w:val="decimalEnclosedCircle"/>
      <w:pStyle w:val="142"/>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9">
    <w:nsid w:val="65DFE6C6"/>
    <w:multiLevelType w:val="multilevel"/>
    <w:tmpl w:val="65DFE6C6"/>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10">
    <w:nsid w:val="65DFE6D1"/>
    <w:multiLevelType w:val="multilevel"/>
    <w:tmpl w:val="65DFE6D1"/>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7"/>
  </w:num>
  <w:num w:numId="2">
    <w:abstractNumId w:val="0"/>
  </w:num>
  <w:num w:numId="3">
    <w:abstractNumId w:val="8"/>
  </w:num>
  <w:num w:numId="4">
    <w:abstractNumId w:val="2"/>
  </w:num>
  <w:num w:numId="5">
    <w:abstractNumId w:val="1"/>
  </w:num>
  <w:num w:numId="6">
    <w:abstractNumId w:val="9"/>
    <w:lvlOverride w:ilvl="0">
      <w:startOverride w:val="1"/>
    </w:lvlOverride>
  </w:num>
  <w:num w:numId="7">
    <w:abstractNumId w:val="9"/>
    <w:lvlOverride w:ilvl="1">
      <w:startOverride w:val="1"/>
    </w:lvlOverride>
  </w:num>
  <w:num w:numId="8">
    <w:abstractNumId w:val="3"/>
  </w:num>
  <w:num w:numId="9">
    <w:abstractNumId w:val="10"/>
    <w:lvlOverride w:ilvl="0">
      <w:startOverride w:val="2"/>
    </w:lvlOverride>
  </w:num>
  <w:num w:numId="10">
    <w:abstractNumId w:val="5"/>
  </w:num>
  <w:num w:numId="11">
    <w:abstractNumId w:val="6"/>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ZDNiNjc4N2Y5YzJiNWY0NjQxMTBmZmRlYWU5ZTMifQ=="/>
  </w:docVars>
  <w:rsids>
    <w:rsidRoot w:val="00276BF3"/>
    <w:rsid w:val="00001909"/>
    <w:rsid w:val="000529E9"/>
    <w:rsid w:val="00062C66"/>
    <w:rsid w:val="00072BCE"/>
    <w:rsid w:val="000832CC"/>
    <w:rsid w:val="000840C5"/>
    <w:rsid w:val="0009327D"/>
    <w:rsid w:val="000932ED"/>
    <w:rsid w:val="00096AEF"/>
    <w:rsid w:val="000C2AB4"/>
    <w:rsid w:val="000F6008"/>
    <w:rsid w:val="0010130B"/>
    <w:rsid w:val="001049C5"/>
    <w:rsid w:val="001118FC"/>
    <w:rsid w:val="0012203B"/>
    <w:rsid w:val="001256CF"/>
    <w:rsid w:val="00150FE9"/>
    <w:rsid w:val="001673E5"/>
    <w:rsid w:val="00171CB6"/>
    <w:rsid w:val="001B758D"/>
    <w:rsid w:val="001E5A25"/>
    <w:rsid w:val="001F13CF"/>
    <w:rsid w:val="002139E0"/>
    <w:rsid w:val="00231C23"/>
    <w:rsid w:val="0023787A"/>
    <w:rsid w:val="0027055C"/>
    <w:rsid w:val="00276BF3"/>
    <w:rsid w:val="00280DE5"/>
    <w:rsid w:val="00283C8D"/>
    <w:rsid w:val="00285F07"/>
    <w:rsid w:val="002A1EF7"/>
    <w:rsid w:val="002A5FAF"/>
    <w:rsid w:val="002B1B72"/>
    <w:rsid w:val="002C5E9E"/>
    <w:rsid w:val="002C6E39"/>
    <w:rsid w:val="003031F5"/>
    <w:rsid w:val="003165C7"/>
    <w:rsid w:val="00331809"/>
    <w:rsid w:val="003339C0"/>
    <w:rsid w:val="003364EC"/>
    <w:rsid w:val="00345217"/>
    <w:rsid w:val="00361E3A"/>
    <w:rsid w:val="003765FB"/>
    <w:rsid w:val="003A2212"/>
    <w:rsid w:val="003D338C"/>
    <w:rsid w:val="004064C3"/>
    <w:rsid w:val="00413687"/>
    <w:rsid w:val="004152E2"/>
    <w:rsid w:val="00422711"/>
    <w:rsid w:val="00424B7D"/>
    <w:rsid w:val="00426AAB"/>
    <w:rsid w:val="00430EF1"/>
    <w:rsid w:val="004478F1"/>
    <w:rsid w:val="00462E61"/>
    <w:rsid w:val="00464A22"/>
    <w:rsid w:val="00475182"/>
    <w:rsid w:val="00481FEA"/>
    <w:rsid w:val="004876FB"/>
    <w:rsid w:val="0049430C"/>
    <w:rsid w:val="004958C9"/>
    <w:rsid w:val="004C12A7"/>
    <w:rsid w:val="004C43DD"/>
    <w:rsid w:val="004D056E"/>
    <w:rsid w:val="004E7BBE"/>
    <w:rsid w:val="004F0332"/>
    <w:rsid w:val="005442E7"/>
    <w:rsid w:val="0056278B"/>
    <w:rsid w:val="00567B86"/>
    <w:rsid w:val="005763CC"/>
    <w:rsid w:val="005A3595"/>
    <w:rsid w:val="005A540C"/>
    <w:rsid w:val="005A7E51"/>
    <w:rsid w:val="005D0B62"/>
    <w:rsid w:val="005F14B7"/>
    <w:rsid w:val="00603EDC"/>
    <w:rsid w:val="006140F3"/>
    <w:rsid w:val="00627F70"/>
    <w:rsid w:val="00633123"/>
    <w:rsid w:val="00653F94"/>
    <w:rsid w:val="00661A5F"/>
    <w:rsid w:val="00672702"/>
    <w:rsid w:val="006811B5"/>
    <w:rsid w:val="0068484F"/>
    <w:rsid w:val="006A5D3A"/>
    <w:rsid w:val="00701385"/>
    <w:rsid w:val="00702AD0"/>
    <w:rsid w:val="0071386E"/>
    <w:rsid w:val="00716BC3"/>
    <w:rsid w:val="00733E90"/>
    <w:rsid w:val="00741ABF"/>
    <w:rsid w:val="00747C1E"/>
    <w:rsid w:val="0078312F"/>
    <w:rsid w:val="0079072B"/>
    <w:rsid w:val="00792BD8"/>
    <w:rsid w:val="007D277F"/>
    <w:rsid w:val="007E3A5A"/>
    <w:rsid w:val="007E6A58"/>
    <w:rsid w:val="007F0C69"/>
    <w:rsid w:val="007F144B"/>
    <w:rsid w:val="00804D7C"/>
    <w:rsid w:val="0081179C"/>
    <w:rsid w:val="00812E74"/>
    <w:rsid w:val="008231A5"/>
    <w:rsid w:val="0084208B"/>
    <w:rsid w:val="00861344"/>
    <w:rsid w:val="008703AE"/>
    <w:rsid w:val="008711BB"/>
    <w:rsid w:val="008769C6"/>
    <w:rsid w:val="008837B8"/>
    <w:rsid w:val="008A69E6"/>
    <w:rsid w:val="008B3A5F"/>
    <w:rsid w:val="008C4BF6"/>
    <w:rsid w:val="008D1D00"/>
    <w:rsid w:val="008F320C"/>
    <w:rsid w:val="00944CE9"/>
    <w:rsid w:val="00951DAB"/>
    <w:rsid w:val="009614D5"/>
    <w:rsid w:val="0096550A"/>
    <w:rsid w:val="0096634B"/>
    <w:rsid w:val="009A0329"/>
    <w:rsid w:val="009B5C7D"/>
    <w:rsid w:val="009B7F29"/>
    <w:rsid w:val="009C0F94"/>
    <w:rsid w:val="009C7E5F"/>
    <w:rsid w:val="009D3A4F"/>
    <w:rsid w:val="009F0B92"/>
    <w:rsid w:val="00A06BF5"/>
    <w:rsid w:val="00A2421E"/>
    <w:rsid w:val="00A35F67"/>
    <w:rsid w:val="00A42265"/>
    <w:rsid w:val="00A501E4"/>
    <w:rsid w:val="00A546BF"/>
    <w:rsid w:val="00A65269"/>
    <w:rsid w:val="00A67D80"/>
    <w:rsid w:val="00A8194D"/>
    <w:rsid w:val="00A87727"/>
    <w:rsid w:val="00A920C1"/>
    <w:rsid w:val="00AA1B0F"/>
    <w:rsid w:val="00AB6559"/>
    <w:rsid w:val="00AD3397"/>
    <w:rsid w:val="00AE679A"/>
    <w:rsid w:val="00AF087D"/>
    <w:rsid w:val="00B07A47"/>
    <w:rsid w:val="00B146F0"/>
    <w:rsid w:val="00B56AD7"/>
    <w:rsid w:val="00B61DA0"/>
    <w:rsid w:val="00B64070"/>
    <w:rsid w:val="00B654B5"/>
    <w:rsid w:val="00B83404"/>
    <w:rsid w:val="00B84AFE"/>
    <w:rsid w:val="00B86CE6"/>
    <w:rsid w:val="00B92BE4"/>
    <w:rsid w:val="00BB5AA3"/>
    <w:rsid w:val="00BC1791"/>
    <w:rsid w:val="00BC1B8D"/>
    <w:rsid w:val="00BC1D8B"/>
    <w:rsid w:val="00BD757C"/>
    <w:rsid w:val="00BE302F"/>
    <w:rsid w:val="00BE46DE"/>
    <w:rsid w:val="00BE6A0A"/>
    <w:rsid w:val="00C4349A"/>
    <w:rsid w:val="00C43B4B"/>
    <w:rsid w:val="00C46335"/>
    <w:rsid w:val="00C464D3"/>
    <w:rsid w:val="00C551D4"/>
    <w:rsid w:val="00C65E41"/>
    <w:rsid w:val="00CA1E96"/>
    <w:rsid w:val="00CB040F"/>
    <w:rsid w:val="00CD3DC6"/>
    <w:rsid w:val="00CF309C"/>
    <w:rsid w:val="00D10085"/>
    <w:rsid w:val="00D11A56"/>
    <w:rsid w:val="00D26FCE"/>
    <w:rsid w:val="00D600FE"/>
    <w:rsid w:val="00D60AB8"/>
    <w:rsid w:val="00D80F22"/>
    <w:rsid w:val="00D84EE4"/>
    <w:rsid w:val="00D85B60"/>
    <w:rsid w:val="00D87611"/>
    <w:rsid w:val="00DB79D0"/>
    <w:rsid w:val="00DD0465"/>
    <w:rsid w:val="00DD214F"/>
    <w:rsid w:val="00E12EE4"/>
    <w:rsid w:val="00E25A73"/>
    <w:rsid w:val="00E263D2"/>
    <w:rsid w:val="00E32638"/>
    <w:rsid w:val="00E541E4"/>
    <w:rsid w:val="00E651E8"/>
    <w:rsid w:val="00E6532C"/>
    <w:rsid w:val="00E66234"/>
    <w:rsid w:val="00E70344"/>
    <w:rsid w:val="00E77C5D"/>
    <w:rsid w:val="00E94FD5"/>
    <w:rsid w:val="00EB29EF"/>
    <w:rsid w:val="00EB7776"/>
    <w:rsid w:val="00EC22AC"/>
    <w:rsid w:val="00ED20C5"/>
    <w:rsid w:val="00ED5BF4"/>
    <w:rsid w:val="00ED7AAE"/>
    <w:rsid w:val="00F00D1E"/>
    <w:rsid w:val="00F10B70"/>
    <w:rsid w:val="00F320BD"/>
    <w:rsid w:val="00F35975"/>
    <w:rsid w:val="00F41F22"/>
    <w:rsid w:val="00F451BD"/>
    <w:rsid w:val="00F548E5"/>
    <w:rsid w:val="00F805F6"/>
    <w:rsid w:val="00F94E39"/>
    <w:rsid w:val="00FA5506"/>
    <w:rsid w:val="00FB1413"/>
    <w:rsid w:val="00FC3563"/>
    <w:rsid w:val="00FD1752"/>
    <w:rsid w:val="00FF5CDD"/>
    <w:rsid w:val="013B37D7"/>
    <w:rsid w:val="01483505"/>
    <w:rsid w:val="01693D70"/>
    <w:rsid w:val="01762172"/>
    <w:rsid w:val="018B239E"/>
    <w:rsid w:val="01C0309B"/>
    <w:rsid w:val="01C71CB0"/>
    <w:rsid w:val="01EE0B37"/>
    <w:rsid w:val="01F122AD"/>
    <w:rsid w:val="01F62035"/>
    <w:rsid w:val="021F6ED0"/>
    <w:rsid w:val="022A6766"/>
    <w:rsid w:val="022F73A2"/>
    <w:rsid w:val="026C46FD"/>
    <w:rsid w:val="02C552B4"/>
    <w:rsid w:val="03602F97"/>
    <w:rsid w:val="03B62950"/>
    <w:rsid w:val="03F4380B"/>
    <w:rsid w:val="04475814"/>
    <w:rsid w:val="04525DA3"/>
    <w:rsid w:val="04A86F85"/>
    <w:rsid w:val="04AF38FD"/>
    <w:rsid w:val="04BC3FEE"/>
    <w:rsid w:val="052E181F"/>
    <w:rsid w:val="053E392E"/>
    <w:rsid w:val="054D194C"/>
    <w:rsid w:val="057228FE"/>
    <w:rsid w:val="05921FB2"/>
    <w:rsid w:val="05D435B9"/>
    <w:rsid w:val="05FC39A4"/>
    <w:rsid w:val="060C2D53"/>
    <w:rsid w:val="06F8001C"/>
    <w:rsid w:val="06FB3B03"/>
    <w:rsid w:val="072145DC"/>
    <w:rsid w:val="073D0C76"/>
    <w:rsid w:val="077A4BE5"/>
    <w:rsid w:val="07A1410D"/>
    <w:rsid w:val="07A64C4C"/>
    <w:rsid w:val="07E12AFC"/>
    <w:rsid w:val="07F4255A"/>
    <w:rsid w:val="07FA3C26"/>
    <w:rsid w:val="0849203C"/>
    <w:rsid w:val="084A36DA"/>
    <w:rsid w:val="084E78AD"/>
    <w:rsid w:val="087A1F0C"/>
    <w:rsid w:val="087C1708"/>
    <w:rsid w:val="088F199B"/>
    <w:rsid w:val="08CE42EF"/>
    <w:rsid w:val="08D12032"/>
    <w:rsid w:val="08E77E2A"/>
    <w:rsid w:val="08F02CB9"/>
    <w:rsid w:val="095600DF"/>
    <w:rsid w:val="095813E4"/>
    <w:rsid w:val="099C263F"/>
    <w:rsid w:val="09B96D4E"/>
    <w:rsid w:val="09BF0765"/>
    <w:rsid w:val="0A036B3E"/>
    <w:rsid w:val="0A0717C4"/>
    <w:rsid w:val="0A0976D6"/>
    <w:rsid w:val="0A0A5BB3"/>
    <w:rsid w:val="0A200B7B"/>
    <w:rsid w:val="0A4707FD"/>
    <w:rsid w:val="0A5B41C5"/>
    <w:rsid w:val="0A7A5579"/>
    <w:rsid w:val="0A98523E"/>
    <w:rsid w:val="0A9E01EB"/>
    <w:rsid w:val="0AB679E1"/>
    <w:rsid w:val="0AC27C6A"/>
    <w:rsid w:val="0BA34770"/>
    <w:rsid w:val="0C1661EF"/>
    <w:rsid w:val="0CE638C1"/>
    <w:rsid w:val="0D1E7807"/>
    <w:rsid w:val="0DC611E4"/>
    <w:rsid w:val="0DC679A9"/>
    <w:rsid w:val="0DFF25E8"/>
    <w:rsid w:val="0F072534"/>
    <w:rsid w:val="0F2A401B"/>
    <w:rsid w:val="0F3D5D2B"/>
    <w:rsid w:val="0F661726"/>
    <w:rsid w:val="0F6E3D80"/>
    <w:rsid w:val="0F9017E4"/>
    <w:rsid w:val="0FBA10DE"/>
    <w:rsid w:val="0FD146C5"/>
    <w:rsid w:val="0FDF4796"/>
    <w:rsid w:val="0FF24D67"/>
    <w:rsid w:val="0FF9631D"/>
    <w:rsid w:val="10B654BC"/>
    <w:rsid w:val="10C203FB"/>
    <w:rsid w:val="10F83057"/>
    <w:rsid w:val="113D10E5"/>
    <w:rsid w:val="1173058A"/>
    <w:rsid w:val="1199094B"/>
    <w:rsid w:val="11BD5B38"/>
    <w:rsid w:val="11C24C0D"/>
    <w:rsid w:val="12642623"/>
    <w:rsid w:val="12810624"/>
    <w:rsid w:val="12C56763"/>
    <w:rsid w:val="12EF726C"/>
    <w:rsid w:val="13025F11"/>
    <w:rsid w:val="138D546D"/>
    <w:rsid w:val="13BE9BB9"/>
    <w:rsid w:val="14060DE1"/>
    <w:rsid w:val="14706BA3"/>
    <w:rsid w:val="14C75E31"/>
    <w:rsid w:val="14CC7B6B"/>
    <w:rsid w:val="14FD54CA"/>
    <w:rsid w:val="15165CA2"/>
    <w:rsid w:val="152D20F4"/>
    <w:rsid w:val="1555138F"/>
    <w:rsid w:val="1565124C"/>
    <w:rsid w:val="15842235"/>
    <w:rsid w:val="15853F88"/>
    <w:rsid w:val="159A3523"/>
    <w:rsid w:val="15ED3F4E"/>
    <w:rsid w:val="16196B4E"/>
    <w:rsid w:val="16654D46"/>
    <w:rsid w:val="16B57320"/>
    <w:rsid w:val="16DA4A0E"/>
    <w:rsid w:val="17012C29"/>
    <w:rsid w:val="17C46B8A"/>
    <w:rsid w:val="17F601AD"/>
    <w:rsid w:val="17FC61F9"/>
    <w:rsid w:val="17FDC41B"/>
    <w:rsid w:val="1813218C"/>
    <w:rsid w:val="1830625E"/>
    <w:rsid w:val="18326F6C"/>
    <w:rsid w:val="18BD1C8B"/>
    <w:rsid w:val="191D13C0"/>
    <w:rsid w:val="19471B5D"/>
    <w:rsid w:val="19472589"/>
    <w:rsid w:val="194C6A11"/>
    <w:rsid w:val="19842B65"/>
    <w:rsid w:val="19A74FAD"/>
    <w:rsid w:val="19E07E8B"/>
    <w:rsid w:val="1A0E09F0"/>
    <w:rsid w:val="1A302840"/>
    <w:rsid w:val="1A393395"/>
    <w:rsid w:val="1A3F6023"/>
    <w:rsid w:val="1A7E1D67"/>
    <w:rsid w:val="1AA60758"/>
    <w:rsid w:val="1AC87DF6"/>
    <w:rsid w:val="1AE532AF"/>
    <w:rsid w:val="1AFB72AE"/>
    <w:rsid w:val="1B2F18B4"/>
    <w:rsid w:val="1B81532C"/>
    <w:rsid w:val="1BC534F8"/>
    <w:rsid w:val="1BE51C24"/>
    <w:rsid w:val="1BE85FD5"/>
    <w:rsid w:val="1C4B6E6A"/>
    <w:rsid w:val="1C7C20CC"/>
    <w:rsid w:val="1C8832E6"/>
    <w:rsid w:val="1C8F3637"/>
    <w:rsid w:val="1CC16350"/>
    <w:rsid w:val="1D0D65B3"/>
    <w:rsid w:val="1D0E6B73"/>
    <w:rsid w:val="1D15F42A"/>
    <w:rsid w:val="1D3151EA"/>
    <w:rsid w:val="1D3F66C7"/>
    <w:rsid w:val="1EBD4792"/>
    <w:rsid w:val="1EC52D7D"/>
    <w:rsid w:val="1EDE6278"/>
    <w:rsid w:val="1F356A1F"/>
    <w:rsid w:val="1F525822"/>
    <w:rsid w:val="1F597889"/>
    <w:rsid w:val="1F9FA9C4"/>
    <w:rsid w:val="1FAB0A8F"/>
    <w:rsid w:val="1FD652E4"/>
    <w:rsid w:val="20005D65"/>
    <w:rsid w:val="207F5A82"/>
    <w:rsid w:val="20CE2C87"/>
    <w:rsid w:val="210E5779"/>
    <w:rsid w:val="214D5E7A"/>
    <w:rsid w:val="21B87493"/>
    <w:rsid w:val="21BE2CFB"/>
    <w:rsid w:val="21D50045"/>
    <w:rsid w:val="21E7182E"/>
    <w:rsid w:val="22137438"/>
    <w:rsid w:val="223D47BB"/>
    <w:rsid w:val="22E22D4A"/>
    <w:rsid w:val="22F73BE9"/>
    <w:rsid w:val="23503E27"/>
    <w:rsid w:val="236E0751"/>
    <w:rsid w:val="23757D3B"/>
    <w:rsid w:val="239F6B5C"/>
    <w:rsid w:val="240412CD"/>
    <w:rsid w:val="240B134B"/>
    <w:rsid w:val="245B6F27"/>
    <w:rsid w:val="248A3369"/>
    <w:rsid w:val="249C309C"/>
    <w:rsid w:val="24AF4B7D"/>
    <w:rsid w:val="24DD793C"/>
    <w:rsid w:val="24F84776"/>
    <w:rsid w:val="25357D1C"/>
    <w:rsid w:val="255928EB"/>
    <w:rsid w:val="255D293A"/>
    <w:rsid w:val="25CA011E"/>
    <w:rsid w:val="25EF3DCB"/>
    <w:rsid w:val="26356F09"/>
    <w:rsid w:val="2668592C"/>
    <w:rsid w:val="26B91FFC"/>
    <w:rsid w:val="26F121F0"/>
    <w:rsid w:val="26F83ECA"/>
    <w:rsid w:val="273477E1"/>
    <w:rsid w:val="274E0EEF"/>
    <w:rsid w:val="27A33318"/>
    <w:rsid w:val="27ED000E"/>
    <w:rsid w:val="280C74C5"/>
    <w:rsid w:val="28A03AF9"/>
    <w:rsid w:val="28F43F3F"/>
    <w:rsid w:val="29084248"/>
    <w:rsid w:val="2926366B"/>
    <w:rsid w:val="29B02542"/>
    <w:rsid w:val="29DF0E57"/>
    <w:rsid w:val="2A103412"/>
    <w:rsid w:val="2A475AEA"/>
    <w:rsid w:val="2A72028B"/>
    <w:rsid w:val="2A9C442F"/>
    <w:rsid w:val="2AA35184"/>
    <w:rsid w:val="2AA9790A"/>
    <w:rsid w:val="2AED2D78"/>
    <w:rsid w:val="2B011EAB"/>
    <w:rsid w:val="2B136138"/>
    <w:rsid w:val="2B2F386A"/>
    <w:rsid w:val="2B77559F"/>
    <w:rsid w:val="2BA02E46"/>
    <w:rsid w:val="2BCC2D4B"/>
    <w:rsid w:val="2C344011"/>
    <w:rsid w:val="2D636E4D"/>
    <w:rsid w:val="2DCD49FD"/>
    <w:rsid w:val="2DCF59D6"/>
    <w:rsid w:val="2DE7EB9F"/>
    <w:rsid w:val="2DF6F328"/>
    <w:rsid w:val="2E2270BF"/>
    <w:rsid w:val="2E7A444E"/>
    <w:rsid w:val="2E9D013C"/>
    <w:rsid w:val="2ED15F5E"/>
    <w:rsid w:val="2ED3590C"/>
    <w:rsid w:val="2ED56B63"/>
    <w:rsid w:val="2EDF2CF6"/>
    <w:rsid w:val="2EED48DD"/>
    <w:rsid w:val="2F3B32FA"/>
    <w:rsid w:val="2F662C47"/>
    <w:rsid w:val="2F725125"/>
    <w:rsid w:val="2FBD0FF1"/>
    <w:rsid w:val="2FF76CD5"/>
    <w:rsid w:val="2FFBF0BC"/>
    <w:rsid w:val="30216B85"/>
    <w:rsid w:val="304D703A"/>
    <w:rsid w:val="30CF7E4F"/>
    <w:rsid w:val="30FF3436"/>
    <w:rsid w:val="31025E73"/>
    <w:rsid w:val="31412C11"/>
    <w:rsid w:val="31A26763"/>
    <w:rsid w:val="32195012"/>
    <w:rsid w:val="32285C55"/>
    <w:rsid w:val="322A6968"/>
    <w:rsid w:val="3297F56D"/>
    <w:rsid w:val="329D070B"/>
    <w:rsid w:val="329D324D"/>
    <w:rsid w:val="32C37159"/>
    <w:rsid w:val="32DA5865"/>
    <w:rsid w:val="33300D42"/>
    <w:rsid w:val="336C0197"/>
    <w:rsid w:val="339616AF"/>
    <w:rsid w:val="33F86975"/>
    <w:rsid w:val="34373437"/>
    <w:rsid w:val="34C21D26"/>
    <w:rsid w:val="34D0301A"/>
    <w:rsid w:val="34FB7FEE"/>
    <w:rsid w:val="3530689D"/>
    <w:rsid w:val="355317BE"/>
    <w:rsid w:val="35622C71"/>
    <w:rsid w:val="359C7B48"/>
    <w:rsid w:val="35CC29F6"/>
    <w:rsid w:val="35D24196"/>
    <w:rsid w:val="35D5415D"/>
    <w:rsid w:val="35D97CAC"/>
    <w:rsid w:val="35E4670D"/>
    <w:rsid w:val="36251011"/>
    <w:rsid w:val="369938DF"/>
    <w:rsid w:val="36D1697E"/>
    <w:rsid w:val="37044CAB"/>
    <w:rsid w:val="372F1B4E"/>
    <w:rsid w:val="37707251"/>
    <w:rsid w:val="378821CC"/>
    <w:rsid w:val="37B79D2B"/>
    <w:rsid w:val="37D56B99"/>
    <w:rsid w:val="37FB617A"/>
    <w:rsid w:val="382D0783"/>
    <w:rsid w:val="383D3652"/>
    <w:rsid w:val="38547ABE"/>
    <w:rsid w:val="3891486E"/>
    <w:rsid w:val="38AE740E"/>
    <w:rsid w:val="38E76B84"/>
    <w:rsid w:val="394F0285"/>
    <w:rsid w:val="39F63CEA"/>
    <w:rsid w:val="3A3E1F9C"/>
    <w:rsid w:val="3ADD00EB"/>
    <w:rsid w:val="3B364AD1"/>
    <w:rsid w:val="3B653AFE"/>
    <w:rsid w:val="3BA61F2E"/>
    <w:rsid w:val="3BD85BD5"/>
    <w:rsid w:val="3BFA1DF4"/>
    <w:rsid w:val="3C1E1C57"/>
    <w:rsid w:val="3C6E76FF"/>
    <w:rsid w:val="3C7721BF"/>
    <w:rsid w:val="3CCD1DA9"/>
    <w:rsid w:val="3D0C4E0B"/>
    <w:rsid w:val="3D147027"/>
    <w:rsid w:val="3D3F4E19"/>
    <w:rsid w:val="3D5B4EAA"/>
    <w:rsid w:val="3D6D517E"/>
    <w:rsid w:val="3D7338D9"/>
    <w:rsid w:val="3D8F067A"/>
    <w:rsid w:val="3DA24BB0"/>
    <w:rsid w:val="3DAB794E"/>
    <w:rsid w:val="3DCFD675"/>
    <w:rsid w:val="3DDF1F81"/>
    <w:rsid w:val="3E1C6396"/>
    <w:rsid w:val="3E2E70EF"/>
    <w:rsid w:val="3E324F97"/>
    <w:rsid w:val="3E3E1A84"/>
    <w:rsid w:val="3E5E7173"/>
    <w:rsid w:val="3E613D17"/>
    <w:rsid w:val="3E8E0DB8"/>
    <w:rsid w:val="3EBE0F77"/>
    <w:rsid w:val="3EC722BE"/>
    <w:rsid w:val="3EFED8A8"/>
    <w:rsid w:val="3F314E39"/>
    <w:rsid w:val="3F5D116F"/>
    <w:rsid w:val="3F6FC61D"/>
    <w:rsid w:val="3F8A64BB"/>
    <w:rsid w:val="3FAE3F57"/>
    <w:rsid w:val="3FAF04C4"/>
    <w:rsid w:val="3FBE5436"/>
    <w:rsid w:val="3FF3CAEC"/>
    <w:rsid w:val="3FFFF19F"/>
    <w:rsid w:val="40063D93"/>
    <w:rsid w:val="40CE4185"/>
    <w:rsid w:val="40F167F2"/>
    <w:rsid w:val="410C362B"/>
    <w:rsid w:val="411918A4"/>
    <w:rsid w:val="412D35A2"/>
    <w:rsid w:val="41417FB7"/>
    <w:rsid w:val="41934623"/>
    <w:rsid w:val="41AF1136"/>
    <w:rsid w:val="41CA1EAB"/>
    <w:rsid w:val="41F4274F"/>
    <w:rsid w:val="420339DD"/>
    <w:rsid w:val="420C32FF"/>
    <w:rsid w:val="420D21C8"/>
    <w:rsid w:val="42165DE4"/>
    <w:rsid w:val="423A41C8"/>
    <w:rsid w:val="425F0874"/>
    <w:rsid w:val="42AB79EA"/>
    <w:rsid w:val="43343A7B"/>
    <w:rsid w:val="43486471"/>
    <w:rsid w:val="4395089F"/>
    <w:rsid w:val="43A8628C"/>
    <w:rsid w:val="44A8676D"/>
    <w:rsid w:val="44C2210F"/>
    <w:rsid w:val="44FA2B8E"/>
    <w:rsid w:val="45011D41"/>
    <w:rsid w:val="4516049D"/>
    <w:rsid w:val="45356EC9"/>
    <w:rsid w:val="454702B7"/>
    <w:rsid w:val="455F50A9"/>
    <w:rsid w:val="457810EA"/>
    <w:rsid w:val="46054EFF"/>
    <w:rsid w:val="460B79E3"/>
    <w:rsid w:val="46113492"/>
    <w:rsid w:val="463333B8"/>
    <w:rsid w:val="46512AE3"/>
    <w:rsid w:val="46B75B05"/>
    <w:rsid w:val="46F1479A"/>
    <w:rsid w:val="46FD6304"/>
    <w:rsid w:val="472674C8"/>
    <w:rsid w:val="472F2356"/>
    <w:rsid w:val="473513C9"/>
    <w:rsid w:val="474E4E09"/>
    <w:rsid w:val="47A8312D"/>
    <w:rsid w:val="47DB3D58"/>
    <w:rsid w:val="48033D20"/>
    <w:rsid w:val="48305E1A"/>
    <w:rsid w:val="486C49B0"/>
    <w:rsid w:val="48A65332"/>
    <w:rsid w:val="48B102D4"/>
    <w:rsid w:val="48C07577"/>
    <w:rsid w:val="49234E8C"/>
    <w:rsid w:val="493801AD"/>
    <w:rsid w:val="49614097"/>
    <w:rsid w:val="49646232"/>
    <w:rsid w:val="49795D3F"/>
    <w:rsid w:val="497E15BE"/>
    <w:rsid w:val="49896CB2"/>
    <w:rsid w:val="498B1A71"/>
    <w:rsid w:val="49A21DA1"/>
    <w:rsid w:val="49C91C9A"/>
    <w:rsid w:val="49CC4853"/>
    <w:rsid w:val="49DF0C57"/>
    <w:rsid w:val="4AA01CFD"/>
    <w:rsid w:val="4B226DD3"/>
    <w:rsid w:val="4B685902"/>
    <w:rsid w:val="4B8169C4"/>
    <w:rsid w:val="4BFA71B5"/>
    <w:rsid w:val="4C436F62"/>
    <w:rsid w:val="4C7F5B38"/>
    <w:rsid w:val="4C8248BD"/>
    <w:rsid w:val="4C853456"/>
    <w:rsid w:val="4C927F2F"/>
    <w:rsid w:val="4C995F8F"/>
    <w:rsid w:val="4CB80446"/>
    <w:rsid w:val="4CDE6D29"/>
    <w:rsid w:val="4CFE7C69"/>
    <w:rsid w:val="4D493511"/>
    <w:rsid w:val="4D6420F9"/>
    <w:rsid w:val="4DDFDB34"/>
    <w:rsid w:val="4DE33966"/>
    <w:rsid w:val="4E257040"/>
    <w:rsid w:val="4EBA6128"/>
    <w:rsid w:val="4EEA6215"/>
    <w:rsid w:val="4EFD498B"/>
    <w:rsid w:val="4F45079D"/>
    <w:rsid w:val="4F451D9C"/>
    <w:rsid w:val="4F493920"/>
    <w:rsid w:val="4F5D4A66"/>
    <w:rsid w:val="4FB271AA"/>
    <w:rsid w:val="4FBF2665"/>
    <w:rsid w:val="4FC7336D"/>
    <w:rsid w:val="4FEED003"/>
    <w:rsid w:val="4FF410F8"/>
    <w:rsid w:val="50003424"/>
    <w:rsid w:val="50113E8E"/>
    <w:rsid w:val="50231A83"/>
    <w:rsid w:val="50A53BED"/>
    <w:rsid w:val="50D06F2B"/>
    <w:rsid w:val="51206DA9"/>
    <w:rsid w:val="512A18AC"/>
    <w:rsid w:val="51525A50"/>
    <w:rsid w:val="518D60D8"/>
    <w:rsid w:val="51A4340C"/>
    <w:rsid w:val="51D75769"/>
    <w:rsid w:val="52096D27"/>
    <w:rsid w:val="522401F4"/>
    <w:rsid w:val="52650568"/>
    <w:rsid w:val="52F45CCD"/>
    <w:rsid w:val="53313A9A"/>
    <w:rsid w:val="535B4456"/>
    <w:rsid w:val="53CC6EFE"/>
    <w:rsid w:val="53DCDC81"/>
    <w:rsid w:val="54321702"/>
    <w:rsid w:val="545220E4"/>
    <w:rsid w:val="548A223D"/>
    <w:rsid w:val="54AB12DF"/>
    <w:rsid w:val="54B51E36"/>
    <w:rsid w:val="54C85664"/>
    <w:rsid w:val="55054CC7"/>
    <w:rsid w:val="5540344C"/>
    <w:rsid w:val="55711256"/>
    <w:rsid w:val="55B13E0D"/>
    <w:rsid w:val="55E2480B"/>
    <w:rsid w:val="56177F93"/>
    <w:rsid w:val="56336B0D"/>
    <w:rsid w:val="565E0EBF"/>
    <w:rsid w:val="56680EAC"/>
    <w:rsid w:val="56E4691C"/>
    <w:rsid w:val="56E75661"/>
    <w:rsid w:val="57464C52"/>
    <w:rsid w:val="57483C27"/>
    <w:rsid w:val="574A1DC1"/>
    <w:rsid w:val="577F481A"/>
    <w:rsid w:val="579F2B50"/>
    <w:rsid w:val="57A557E8"/>
    <w:rsid w:val="57BECB18"/>
    <w:rsid w:val="57BF35F0"/>
    <w:rsid w:val="57CC1852"/>
    <w:rsid w:val="57DBE81D"/>
    <w:rsid w:val="57EF3FFD"/>
    <w:rsid w:val="58967865"/>
    <w:rsid w:val="58AB44A7"/>
    <w:rsid w:val="590825F3"/>
    <w:rsid w:val="595F7C29"/>
    <w:rsid w:val="597701F1"/>
    <w:rsid w:val="599D34E8"/>
    <w:rsid w:val="59C271C9"/>
    <w:rsid w:val="59F2173A"/>
    <w:rsid w:val="5A2570B4"/>
    <w:rsid w:val="5A366BCB"/>
    <w:rsid w:val="5A3C2C49"/>
    <w:rsid w:val="5A44753A"/>
    <w:rsid w:val="5A5F26D4"/>
    <w:rsid w:val="5A6B3AB0"/>
    <w:rsid w:val="5A6E45B7"/>
    <w:rsid w:val="5AA06E1B"/>
    <w:rsid w:val="5AE33153"/>
    <w:rsid w:val="5AE64A95"/>
    <w:rsid w:val="5B435774"/>
    <w:rsid w:val="5B5E4889"/>
    <w:rsid w:val="5B7E2B2B"/>
    <w:rsid w:val="5B832C44"/>
    <w:rsid w:val="5BB3DA1A"/>
    <w:rsid w:val="5BCF12C3"/>
    <w:rsid w:val="5BD90156"/>
    <w:rsid w:val="5BFA484F"/>
    <w:rsid w:val="5BFF442E"/>
    <w:rsid w:val="5C080FA9"/>
    <w:rsid w:val="5C0C194D"/>
    <w:rsid w:val="5C352CCC"/>
    <w:rsid w:val="5C5504D2"/>
    <w:rsid w:val="5C6C4B26"/>
    <w:rsid w:val="5C882ACB"/>
    <w:rsid w:val="5CD34356"/>
    <w:rsid w:val="5D2E2F67"/>
    <w:rsid w:val="5DA36667"/>
    <w:rsid w:val="5DAF453C"/>
    <w:rsid w:val="5DC07E1D"/>
    <w:rsid w:val="5DDE928F"/>
    <w:rsid w:val="5DE45C74"/>
    <w:rsid w:val="5DE7DCF0"/>
    <w:rsid w:val="5DF6A660"/>
    <w:rsid w:val="5E177445"/>
    <w:rsid w:val="5E3BF01E"/>
    <w:rsid w:val="5E964F94"/>
    <w:rsid w:val="5EAC2CE3"/>
    <w:rsid w:val="5EDC08A5"/>
    <w:rsid w:val="5EE78E25"/>
    <w:rsid w:val="5EEFBD2C"/>
    <w:rsid w:val="5EEFCF83"/>
    <w:rsid w:val="5EFF0CFA"/>
    <w:rsid w:val="5F6030FF"/>
    <w:rsid w:val="5F7C7776"/>
    <w:rsid w:val="5F8108E9"/>
    <w:rsid w:val="5FE1750C"/>
    <w:rsid w:val="5FF373C6"/>
    <w:rsid w:val="5FF7A830"/>
    <w:rsid w:val="603D6DB4"/>
    <w:rsid w:val="604E1113"/>
    <w:rsid w:val="60634492"/>
    <w:rsid w:val="60DD09F9"/>
    <w:rsid w:val="61327D6B"/>
    <w:rsid w:val="61730705"/>
    <w:rsid w:val="61790877"/>
    <w:rsid w:val="617A1B7C"/>
    <w:rsid w:val="61B009D1"/>
    <w:rsid w:val="621A4158"/>
    <w:rsid w:val="623A524F"/>
    <w:rsid w:val="62487C4B"/>
    <w:rsid w:val="62506A02"/>
    <w:rsid w:val="62CA6A4B"/>
    <w:rsid w:val="62D60F4C"/>
    <w:rsid w:val="62E418BB"/>
    <w:rsid w:val="63065E39"/>
    <w:rsid w:val="63AA629D"/>
    <w:rsid w:val="63E777BB"/>
    <w:rsid w:val="63F20007"/>
    <w:rsid w:val="63F21DB5"/>
    <w:rsid w:val="64785203"/>
    <w:rsid w:val="64DD15DF"/>
    <w:rsid w:val="65711B04"/>
    <w:rsid w:val="659C46CE"/>
    <w:rsid w:val="65AD24DB"/>
    <w:rsid w:val="65BA3136"/>
    <w:rsid w:val="65BC6B1F"/>
    <w:rsid w:val="65D5369F"/>
    <w:rsid w:val="65DC302A"/>
    <w:rsid w:val="65DC45DF"/>
    <w:rsid w:val="66157FDD"/>
    <w:rsid w:val="66570776"/>
    <w:rsid w:val="67241800"/>
    <w:rsid w:val="673D196D"/>
    <w:rsid w:val="676705B3"/>
    <w:rsid w:val="67A23AF2"/>
    <w:rsid w:val="67E747FB"/>
    <w:rsid w:val="68104F00"/>
    <w:rsid w:val="685A68BE"/>
    <w:rsid w:val="68DE1099"/>
    <w:rsid w:val="68E9DB2B"/>
    <w:rsid w:val="69765EE1"/>
    <w:rsid w:val="69A320DB"/>
    <w:rsid w:val="69C67F6C"/>
    <w:rsid w:val="69DC1BD1"/>
    <w:rsid w:val="69E178BF"/>
    <w:rsid w:val="69EC15D6"/>
    <w:rsid w:val="6A3D13F7"/>
    <w:rsid w:val="6A5D0610"/>
    <w:rsid w:val="6AC77F7F"/>
    <w:rsid w:val="6B15282D"/>
    <w:rsid w:val="6B2F38EF"/>
    <w:rsid w:val="6B6B2308"/>
    <w:rsid w:val="6B755E21"/>
    <w:rsid w:val="6BAC6CE3"/>
    <w:rsid w:val="6BE309E6"/>
    <w:rsid w:val="6C027255"/>
    <w:rsid w:val="6C0841E4"/>
    <w:rsid w:val="6C402AF2"/>
    <w:rsid w:val="6C4DFAA5"/>
    <w:rsid w:val="6C554EC8"/>
    <w:rsid w:val="6C65495A"/>
    <w:rsid w:val="6CB65BFE"/>
    <w:rsid w:val="6CE32BE3"/>
    <w:rsid w:val="6CEDC09F"/>
    <w:rsid w:val="6CF592B2"/>
    <w:rsid w:val="6D154D66"/>
    <w:rsid w:val="6D5FE277"/>
    <w:rsid w:val="6D8433BC"/>
    <w:rsid w:val="6D86416C"/>
    <w:rsid w:val="6DC24204"/>
    <w:rsid w:val="6DF727CA"/>
    <w:rsid w:val="6E6B164E"/>
    <w:rsid w:val="6E6B2034"/>
    <w:rsid w:val="6E8474D1"/>
    <w:rsid w:val="6E855B98"/>
    <w:rsid w:val="6E9F7E94"/>
    <w:rsid w:val="6EAD34A8"/>
    <w:rsid w:val="6EDD503B"/>
    <w:rsid w:val="6F046D30"/>
    <w:rsid w:val="6F4F0A46"/>
    <w:rsid w:val="6F8F0E00"/>
    <w:rsid w:val="6FA7439C"/>
    <w:rsid w:val="6FB645D5"/>
    <w:rsid w:val="6FBE565B"/>
    <w:rsid w:val="6FE72280"/>
    <w:rsid w:val="6FEC447E"/>
    <w:rsid w:val="6FEE29CF"/>
    <w:rsid w:val="6FF6876A"/>
    <w:rsid w:val="6FF77322"/>
    <w:rsid w:val="6FF77F61"/>
    <w:rsid w:val="70043BDB"/>
    <w:rsid w:val="70497201"/>
    <w:rsid w:val="70531ED5"/>
    <w:rsid w:val="70561566"/>
    <w:rsid w:val="7073586F"/>
    <w:rsid w:val="70B07280"/>
    <w:rsid w:val="70C9376D"/>
    <w:rsid w:val="70F133F4"/>
    <w:rsid w:val="7104203A"/>
    <w:rsid w:val="71104F85"/>
    <w:rsid w:val="712A1F38"/>
    <w:rsid w:val="712B617B"/>
    <w:rsid w:val="713F23B2"/>
    <w:rsid w:val="71773D35"/>
    <w:rsid w:val="72473609"/>
    <w:rsid w:val="7272748D"/>
    <w:rsid w:val="7287504E"/>
    <w:rsid w:val="72B113CE"/>
    <w:rsid w:val="72CF0B36"/>
    <w:rsid w:val="731970B0"/>
    <w:rsid w:val="7367CFC6"/>
    <w:rsid w:val="73781E2A"/>
    <w:rsid w:val="73A9A0FE"/>
    <w:rsid w:val="73DA06FA"/>
    <w:rsid w:val="73DFF914"/>
    <w:rsid w:val="73FF8890"/>
    <w:rsid w:val="742B42C7"/>
    <w:rsid w:val="743313D8"/>
    <w:rsid w:val="74546174"/>
    <w:rsid w:val="74652E24"/>
    <w:rsid w:val="748F004B"/>
    <w:rsid w:val="74A643ED"/>
    <w:rsid w:val="74AC1BA1"/>
    <w:rsid w:val="74D6127F"/>
    <w:rsid w:val="7552606E"/>
    <w:rsid w:val="7596643D"/>
    <w:rsid w:val="75B6393A"/>
    <w:rsid w:val="75FD3C8F"/>
    <w:rsid w:val="75FF86F4"/>
    <w:rsid w:val="760475AC"/>
    <w:rsid w:val="7663715E"/>
    <w:rsid w:val="766E0586"/>
    <w:rsid w:val="76876395"/>
    <w:rsid w:val="769F582D"/>
    <w:rsid w:val="76DF7600"/>
    <w:rsid w:val="770E2F52"/>
    <w:rsid w:val="7738559F"/>
    <w:rsid w:val="775D9B88"/>
    <w:rsid w:val="77636CFD"/>
    <w:rsid w:val="77674BFC"/>
    <w:rsid w:val="776B2153"/>
    <w:rsid w:val="779FA59F"/>
    <w:rsid w:val="77A605FC"/>
    <w:rsid w:val="77B07B65"/>
    <w:rsid w:val="77D221D2"/>
    <w:rsid w:val="77D47E28"/>
    <w:rsid w:val="77D55160"/>
    <w:rsid w:val="77DF12D9"/>
    <w:rsid w:val="77F71C38"/>
    <w:rsid w:val="77FF7F81"/>
    <w:rsid w:val="780E41D1"/>
    <w:rsid w:val="781A6BB4"/>
    <w:rsid w:val="78DA7590"/>
    <w:rsid w:val="78EC72C3"/>
    <w:rsid w:val="790B6C04"/>
    <w:rsid w:val="795760CA"/>
    <w:rsid w:val="797535A9"/>
    <w:rsid w:val="79EA52F5"/>
    <w:rsid w:val="79F6541D"/>
    <w:rsid w:val="7A007F9E"/>
    <w:rsid w:val="7A677B7A"/>
    <w:rsid w:val="7A8D2CAF"/>
    <w:rsid w:val="7AC6289B"/>
    <w:rsid w:val="7AD93877"/>
    <w:rsid w:val="7AEB92DC"/>
    <w:rsid w:val="7B0979D0"/>
    <w:rsid w:val="7B2791C4"/>
    <w:rsid w:val="7B425ED0"/>
    <w:rsid w:val="7B8D7658"/>
    <w:rsid w:val="7B9FB2DE"/>
    <w:rsid w:val="7BBBC392"/>
    <w:rsid w:val="7BBFBC51"/>
    <w:rsid w:val="7BFB6BC2"/>
    <w:rsid w:val="7C3051CE"/>
    <w:rsid w:val="7C7F5DFF"/>
    <w:rsid w:val="7CF71F3E"/>
    <w:rsid w:val="7CFF2C14"/>
    <w:rsid w:val="7D3DE5ED"/>
    <w:rsid w:val="7D3F62B0"/>
    <w:rsid w:val="7D4BD6E4"/>
    <w:rsid w:val="7D5B4A17"/>
    <w:rsid w:val="7D5E7E3F"/>
    <w:rsid w:val="7D7C1468"/>
    <w:rsid w:val="7D85447B"/>
    <w:rsid w:val="7D883202"/>
    <w:rsid w:val="7D91845B"/>
    <w:rsid w:val="7DA7DCAE"/>
    <w:rsid w:val="7DB622DD"/>
    <w:rsid w:val="7DCA3EE2"/>
    <w:rsid w:val="7DD7FA30"/>
    <w:rsid w:val="7DDAA6C9"/>
    <w:rsid w:val="7E1105A1"/>
    <w:rsid w:val="7E2E3B63"/>
    <w:rsid w:val="7E6D27C6"/>
    <w:rsid w:val="7EBF7457"/>
    <w:rsid w:val="7EBFE7D3"/>
    <w:rsid w:val="7EEF40D6"/>
    <w:rsid w:val="7EFC5B0D"/>
    <w:rsid w:val="7F1809C7"/>
    <w:rsid w:val="7F5524F8"/>
    <w:rsid w:val="7F588807"/>
    <w:rsid w:val="7F67FA15"/>
    <w:rsid w:val="7F704811"/>
    <w:rsid w:val="7F722BA9"/>
    <w:rsid w:val="7F73320A"/>
    <w:rsid w:val="7F7922D8"/>
    <w:rsid w:val="7F7E58BB"/>
    <w:rsid w:val="7F7FED93"/>
    <w:rsid w:val="7F9E374B"/>
    <w:rsid w:val="7FA773E3"/>
    <w:rsid w:val="7FBB019E"/>
    <w:rsid w:val="7FBD12F2"/>
    <w:rsid w:val="7FBF4902"/>
    <w:rsid w:val="7FDE9C03"/>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semiHidden="0"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semiHidden="0" w:name="HTML Code"/>
    <w:lsdException w:qFormat="1" w:uiPriority="0" w:semiHidden="0" w:name="HTML Definition"/>
    <w:lsdException w:qFormat="1" w:uiPriority="0" w:semiHidden="0" w:name="HTML Keyboard"/>
    <w:lsdException w:qFormat="1" w:uiPriority="0" w:semiHidden="0" w:name="HTML Preformatted"/>
    <w:lsdException w:qFormat="1"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4"/>
    <w:autoRedefine/>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5"/>
    <w:autoRedefine/>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6"/>
    <w:autoRedefine/>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7"/>
    <w:autoRedefine/>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88"/>
    <w:autoRedefine/>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89"/>
    <w:autoRedefine/>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0"/>
    <w:autoRedefine/>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1"/>
    <w:autoRedefine/>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2"/>
    <w:autoRedefine/>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autoRedefine/>
    <w:qFormat/>
    <w:uiPriority w:val="39"/>
    <w:pPr>
      <w:ind w:left="1260"/>
      <w:jc w:val="left"/>
    </w:pPr>
    <w:rPr>
      <w:rFonts w:ascii="Calibri" w:hAnsi="Calibri" w:eastAsia="宋体" w:cs="Calibri"/>
      <w:sz w:val="18"/>
      <w:szCs w:val="18"/>
    </w:rPr>
  </w:style>
  <w:style w:type="paragraph" w:styleId="13">
    <w:name w:val="List Number 2"/>
    <w:basedOn w:val="1"/>
    <w:autoRedefine/>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autoRedefine/>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autoRedefine/>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08"/>
    <w:autoRedefine/>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next w:val="16"/>
    <w:link w:val="110"/>
    <w:autoRedefine/>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09"/>
    <w:autoRedefine/>
    <w:unhideWhenUsed/>
    <w:qFormat/>
    <w:uiPriority w:val="0"/>
    <w:pPr>
      <w:spacing w:before="152" w:after="160"/>
    </w:pPr>
    <w:rPr>
      <w:rFonts w:ascii="Arial" w:hAnsi="Arial" w:eastAsia="黑体" w:cs="Times New Roman"/>
      <w:kern w:val="0"/>
      <w:sz w:val="20"/>
      <w:szCs w:val="20"/>
    </w:rPr>
  </w:style>
  <w:style w:type="paragraph" w:styleId="19">
    <w:name w:val="List Bullet"/>
    <w:basedOn w:val="1"/>
    <w:autoRedefine/>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3"/>
    <w:autoRedefine/>
    <w:unhideWhenUsed/>
    <w:qFormat/>
    <w:uiPriority w:val="0"/>
    <w:pPr>
      <w:shd w:val="clear" w:color="auto" w:fill="000080"/>
    </w:pPr>
    <w:rPr>
      <w:rFonts w:ascii="Times New Roman" w:hAnsi="Times New Roman" w:eastAsia="宋体" w:cs="宋体"/>
    </w:rPr>
  </w:style>
  <w:style w:type="paragraph" w:styleId="21">
    <w:name w:val="annotation text"/>
    <w:basedOn w:val="1"/>
    <w:link w:val="94"/>
    <w:autoRedefine/>
    <w:unhideWhenUsed/>
    <w:qFormat/>
    <w:uiPriority w:val="0"/>
    <w:pPr>
      <w:jc w:val="left"/>
    </w:pPr>
    <w:rPr>
      <w:rFonts w:ascii="Times New Roman" w:hAnsi="Times New Roman" w:eastAsia="宋体" w:cs="Times New Roman"/>
    </w:rPr>
  </w:style>
  <w:style w:type="paragraph" w:styleId="22">
    <w:name w:val="Salutation"/>
    <w:basedOn w:val="1"/>
    <w:next w:val="1"/>
    <w:link w:val="360"/>
    <w:autoRedefine/>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95"/>
    <w:autoRedefine/>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autoRedefine/>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next w:val="26"/>
    <w:link w:val="96"/>
    <w:autoRedefine/>
    <w:unhideWhenUsed/>
    <w:qFormat/>
    <w:uiPriority w:val="1"/>
    <w:pPr>
      <w:spacing w:after="120"/>
    </w:pPr>
    <w:rPr>
      <w:rFonts w:ascii="Times New Roman" w:hAnsi="Times New Roman" w:eastAsia="宋体" w:cs="Times New Roman"/>
    </w:rPr>
  </w:style>
  <w:style w:type="paragraph" w:styleId="26">
    <w:name w:val="Body Text First Indent"/>
    <w:basedOn w:val="25"/>
    <w:next w:val="1"/>
    <w:link w:val="97"/>
    <w:autoRedefine/>
    <w:unhideWhenUsed/>
    <w:qFormat/>
    <w:uiPriority w:val="0"/>
    <w:pPr>
      <w:ind w:firstLine="420" w:firstLineChars="100"/>
    </w:pPr>
    <w:rPr>
      <w:rFonts w:hAnsi="Calibri"/>
      <w:kern w:val="0"/>
    </w:rPr>
  </w:style>
  <w:style w:type="paragraph" w:styleId="27">
    <w:name w:val="List Number 3"/>
    <w:basedOn w:val="1"/>
    <w:autoRedefine/>
    <w:unhideWhenUsed/>
    <w:qFormat/>
    <w:uiPriority w:val="0"/>
    <w:pPr>
      <w:numPr>
        <w:ilvl w:val="0"/>
        <w:numId w:val="1"/>
      </w:numPr>
    </w:pPr>
    <w:rPr>
      <w:rFonts w:ascii="Times New Roman" w:hAnsi="Times New Roman" w:eastAsia="宋体" w:cs="Times New Roman"/>
      <w:szCs w:val="24"/>
    </w:rPr>
  </w:style>
  <w:style w:type="paragraph" w:styleId="28">
    <w:name w:val="List 2"/>
    <w:basedOn w:val="1"/>
    <w:autoRedefine/>
    <w:unhideWhenUsed/>
    <w:qFormat/>
    <w:uiPriority w:val="0"/>
    <w:pPr>
      <w:ind w:left="100" w:leftChars="200" w:hanging="200" w:hangingChars="200"/>
    </w:pPr>
    <w:rPr>
      <w:rFonts w:ascii="Times New Roman" w:hAnsi="Times New Roman" w:eastAsia="宋体" w:cs="Times New Roman"/>
      <w:sz w:val="28"/>
      <w:szCs w:val="24"/>
    </w:rPr>
  </w:style>
  <w:style w:type="paragraph" w:styleId="29">
    <w:name w:val="Block Text"/>
    <w:basedOn w:val="1"/>
    <w:autoRedefine/>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30">
    <w:name w:val="List Bullet 2"/>
    <w:basedOn w:val="1"/>
    <w:autoRedefine/>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1">
    <w:name w:val="toc 5"/>
    <w:basedOn w:val="1"/>
    <w:next w:val="1"/>
    <w:autoRedefine/>
    <w:qFormat/>
    <w:uiPriority w:val="39"/>
    <w:pPr>
      <w:ind w:left="840"/>
      <w:jc w:val="left"/>
    </w:pPr>
    <w:rPr>
      <w:rFonts w:ascii="Calibri" w:hAnsi="Calibri" w:eastAsia="宋体" w:cs="Calibri"/>
      <w:sz w:val="18"/>
      <w:szCs w:val="18"/>
    </w:rPr>
  </w:style>
  <w:style w:type="paragraph" w:styleId="32">
    <w:name w:val="toc 3"/>
    <w:basedOn w:val="1"/>
    <w:next w:val="1"/>
    <w:autoRedefine/>
    <w:qFormat/>
    <w:uiPriority w:val="39"/>
    <w:pPr>
      <w:ind w:left="420"/>
      <w:jc w:val="left"/>
    </w:pPr>
    <w:rPr>
      <w:rFonts w:ascii="Calibri" w:hAnsi="Calibri" w:eastAsia="宋体" w:cs="Calibri"/>
      <w:i/>
      <w:iCs/>
      <w:sz w:val="20"/>
      <w:szCs w:val="20"/>
    </w:rPr>
  </w:style>
  <w:style w:type="paragraph" w:styleId="33">
    <w:name w:val="Plain Text"/>
    <w:basedOn w:val="1"/>
    <w:link w:val="111"/>
    <w:autoRedefine/>
    <w:unhideWhenUsed/>
    <w:qFormat/>
    <w:uiPriority w:val="0"/>
    <w:pPr>
      <w:spacing w:beforeLines="50" w:line="400" w:lineRule="exact"/>
    </w:pPr>
    <w:rPr>
      <w:rFonts w:ascii="宋体" w:hAnsi="Courier New" w:eastAsia="宋体" w:cs="Times New Roman"/>
      <w:sz w:val="24"/>
    </w:rPr>
  </w:style>
  <w:style w:type="paragraph" w:styleId="34">
    <w:name w:val="List Bullet 5"/>
    <w:basedOn w:val="1"/>
    <w:autoRedefine/>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5">
    <w:name w:val="List Number 4"/>
    <w:basedOn w:val="1"/>
    <w:autoRedefine/>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6">
    <w:name w:val="toc 8"/>
    <w:basedOn w:val="1"/>
    <w:next w:val="1"/>
    <w:autoRedefine/>
    <w:qFormat/>
    <w:uiPriority w:val="39"/>
    <w:pPr>
      <w:ind w:left="1470"/>
      <w:jc w:val="left"/>
    </w:pPr>
    <w:rPr>
      <w:rFonts w:ascii="Calibri" w:hAnsi="Calibri" w:eastAsia="宋体" w:cs="Calibri"/>
      <w:sz w:val="18"/>
      <w:szCs w:val="18"/>
    </w:rPr>
  </w:style>
  <w:style w:type="paragraph" w:styleId="37">
    <w:name w:val="Date"/>
    <w:basedOn w:val="1"/>
    <w:next w:val="1"/>
    <w:link w:val="100"/>
    <w:autoRedefine/>
    <w:unhideWhenUsed/>
    <w:qFormat/>
    <w:uiPriority w:val="99"/>
    <w:pPr>
      <w:ind w:left="2500" w:leftChars="2500"/>
    </w:pPr>
    <w:rPr>
      <w:rFonts w:ascii="Calibri" w:hAnsi="Calibri" w:eastAsia="楷体_GB2312" w:cs="Times New Roman"/>
      <w:kern w:val="0"/>
      <w:sz w:val="32"/>
    </w:rPr>
  </w:style>
  <w:style w:type="paragraph" w:styleId="38">
    <w:name w:val="Body Text Indent 2"/>
    <w:basedOn w:val="1"/>
    <w:link w:val="101"/>
    <w:autoRedefine/>
    <w:unhideWhenUsed/>
    <w:qFormat/>
    <w:uiPriority w:val="0"/>
    <w:pPr>
      <w:snapToGrid w:val="0"/>
      <w:ind w:firstLine="542" w:firstLineChars="225"/>
    </w:pPr>
    <w:rPr>
      <w:rFonts w:ascii="仿宋_GB2312" w:hAnsi="宋体" w:eastAsia="宋体" w:cs="Times New Roman"/>
      <w:b/>
      <w:color w:val="000000"/>
      <w:kern w:val="0"/>
      <w:sz w:val="24"/>
    </w:rPr>
  </w:style>
  <w:style w:type="paragraph" w:styleId="39">
    <w:name w:val="endnote text"/>
    <w:basedOn w:val="1"/>
    <w:link w:val="361"/>
    <w:autoRedefine/>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0">
    <w:name w:val="Balloon Text"/>
    <w:basedOn w:val="1"/>
    <w:link w:val="102"/>
    <w:autoRedefine/>
    <w:unhideWhenUsed/>
    <w:qFormat/>
    <w:uiPriority w:val="0"/>
    <w:rPr>
      <w:rFonts w:ascii="Calibri" w:hAnsi="Calibri" w:eastAsia="宋体" w:cs="Times New Roman"/>
      <w:sz w:val="18"/>
      <w:szCs w:val="18"/>
    </w:rPr>
  </w:style>
  <w:style w:type="paragraph" w:styleId="41">
    <w:name w:val="footer"/>
    <w:basedOn w:val="1"/>
    <w:link w:val="83"/>
    <w:autoRedefine/>
    <w:unhideWhenUsed/>
    <w:qFormat/>
    <w:uiPriority w:val="99"/>
    <w:pPr>
      <w:tabs>
        <w:tab w:val="center" w:pos="4153"/>
        <w:tab w:val="right" w:pos="8306"/>
      </w:tabs>
      <w:snapToGrid w:val="0"/>
      <w:jc w:val="left"/>
    </w:pPr>
    <w:rPr>
      <w:sz w:val="18"/>
      <w:szCs w:val="18"/>
    </w:rPr>
  </w:style>
  <w:style w:type="paragraph" w:styleId="42">
    <w:name w:val="header"/>
    <w:basedOn w:val="1"/>
    <w:link w:val="8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3">
    <w:name w:val="toc 1"/>
    <w:basedOn w:val="1"/>
    <w:next w:val="1"/>
    <w:link w:val="368"/>
    <w:autoRedefine/>
    <w:unhideWhenUsed/>
    <w:qFormat/>
    <w:uiPriority w:val="39"/>
    <w:rPr>
      <w:rFonts w:ascii="Times New Roman" w:hAnsi="Times New Roman" w:eastAsia="宋体" w:cs="Times New Roman"/>
    </w:rPr>
  </w:style>
  <w:style w:type="paragraph" w:styleId="44">
    <w:name w:val="toc 4"/>
    <w:basedOn w:val="1"/>
    <w:next w:val="1"/>
    <w:autoRedefine/>
    <w:qFormat/>
    <w:uiPriority w:val="39"/>
    <w:pPr>
      <w:ind w:left="630"/>
      <w:jc w:val="left"/>
    </w:pPr>
    <w:rPr>
      <w:rFonts w:ascii="Calibri" w:hAnsi="Calibri" w:eastAsia="宋体" w:cs="Calibri"/>
      <w:sz w:val="18"/>
      <w:szCs w:val="18"/>
    </w:rPr>
  </w:style>
  <w:style w:type="paragraph" w:styleId="45">
    <w:name w:val="Subtitle"/>
    <w:basedOn w:val="1"/>
    <w:next w:val="1"/>
    <w:link w:val="362"/>
    <w:autoRedefine/>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6">
    <w:name w:val="List Number 5"/>
    <w:basedOn w:val="1"/>
    <w:autoRedefine/>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7">
    <w:name w:val="List"/>
    <w:basedOn w:val="1"/>
    <w:autoRedefine/>
    <w:unhideWhenUsed/>
    <w:qFormat/>
    <w:uiPriority w:val="99"/>
    <w:pPr>
      <w:ind w:left="200" w:hanging="200" w:hangingChars="200"/>
    </w:pPr>
    <w:rPr>
      <w:rFonts w:ascii="Times New Roman" w:hAnsi="Times New Roman" w:eastAsia="宋体" w:cs="Times New Roman"/>
      <w:sz w:val="28"/>
    </w:rPr>
  </w:style>
  <w:style w:type="paragraph" w:styleId="48">
    <w:name w:val="footnote text"/>
    <w:basedOn w:val="1"/>
    <w:link w:val="363"/>
    <w:autoRedefine/>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9">
    <w:name w:val="toc 6"/>
    <w:basedOn w:val="1"/>
    <w:next w:val="1"/>
    <w:autoRedefine/>
    <w:qFormat/>
    <w:uiPriority w:val="39"/>
    <w:pPr>
      <w:ind w:left="1050"/>
      <w:jc w:val="left"/>
    </w:pPr>
    <w:rPr>
      <w:rFonts w:ascii="Calibri" w:hAnsi="Calibri" w:eastAsia="宋体" w:cs="Calibri"/>
      <w:sz w:val="18"/>
      <w:szCs w:val="18"/>
    </w:rPr>
  </w:style>
  <w:style w:type="paragraph" w:styleId="50">
    <w:name w:val="Body Text Indent 3"/>
    <w:basedOn w:val="1"/>
    <w:link w:val="103"/>
    <w:autoRedefine/>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1">
    <w:name w:val="toc 2"/>
    <w:basedOn w:val="1"/>
    <w:next w:val="1"/>
    <w:autoRedefine/>
    <w:qFormat/>
    <w:uiPriority w:val="39"/>
    <w:pPr>
      <w:wordWrap w:val="0"/>
      <w:spacing w:line="360" w:lineRule="auto"/>
      <w:ind w:left="420" w:leftChars="200" w:firstLine="200" w:firstLineChars="200"/>
    </w:pPr>
    <w:rPr>
      <w:rFonts w:ascii="宋体" w:hAnsi="Calibri" w:eastAsia="宋体" w:cs="宋体"/>
    </w:rPr>
  </w:style>
  <w:style w:type="paragraph" w:styleId="52">
    <w:name w:val="toc 9"/>
    <w:basedOn w:val="1"/>
    <w:next w:val="1"/>
    <w:autoRedefine/>
    <w:qFormat/>
    <w:uiPriority w:val="39"/>
    <w:pPr>
      <w:ind w:left="1680"/>
      <w:jc w:val="left"/>
    </w:pPr>
    <w:rPr>
      <w:rFonts w:ascii="Calibri" w:hAnsi="Calibri" w:eastAsia="宋体" w:cs="Calibri"/>
      <w:sz w:val="18"/>
      <w:szCs w:val="18"/>
    </w:rPr>
  </w:style>
  <w:style w:type="paragraph" w:styleId="53">
    <w:name w:val="Body Text 2"/>
    <w:basedOn w:val="1"/>
    <w:link w:val="104"/>
    <w:autoRedefine/>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4">
    <w:name w:val="HTML Preformatted"/>
    <w:basedOn w:val="1"/>
    <w:link w:val="105"/>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5">
    <w:name w:val="Normal (Web)"/>
    <w:basedOn w:val="1"/>
    <w:link w:val="721"/>
    <w:autoRedefine/>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6">
    <w:name w:val="index 1"/>
    <w:basedOn w:val="1"/>
    <w:next w:val="1"/>
    <w:autoRedefine/>
    <w:unhideWhenUsed/>
    <w:qFormat/>
    <w:uiPriority w:val="0"/>
    <w:pPr>
      <w:tabs>
        <w:tab w:val="left" w:pos="900"/>
      </w:tabs>
      <w:adjustRightInd w:val="0"/>
      <w:ind w:firstLine="420" w:firstLineChars="200"/>
    </w:pPr>
    <w:rPr>
      <w:rFonts w:ascii="宋体" w:hAnsi="宋体" w:eastAsia="宋体" w:cs="Times New Roman"/>
    </w:rPr>
  </w:style>
  <w:style w:type="paragraph" w:styleId="57">
    <w:name w:val="Title"/>
    <w:basedOn w:val="1"/>
    <w:next w:val="1"/>
    <w:link w:val="364"/>
    <w:autoRedefine/>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8">
    <w:name w:val="annotation subject"/>
    <w:basedOn w:val="21"/>
    <w:next w:val="21"/>
    <w:link w:val="106"/>
    <w:autoRedefine/>
    <w:unhideWhenUsed/>
    <w:qFormat/>
    <w:uiPriority w:val="0"/>
    <w:rPr>
      <w:rFonts w:cs="宋体"/>
      <w:b/>
      <w:bCs/>
    </w:rPr>
  </w:style>
  <w:style w:type="paragraph" w:styleId="59">
    <w:name w:val="Body Text First Indent 2"/>
    <w:basedOn w:val="17"/>
    <w:next w:val="25"/>
    <w:link w:val="107"/>
    <w:autoRedefine/>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2">
    <w:name w:val="Table Theme"/>
    <w:basedOn w:val="60"/>
    <w:autoRedefine/>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Elegant"/>
    <w:basedOn w:val="60"/>
    <w:autoRedefine/>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autoRedefine/>
    <w:qFormat/>
    <w:uiPriority w:val="0"/>
    <w:rPr>
      <w:rFonts w:hint="default" w:ascii="Times New Roman" w:hAnsi="Times New Roman" w:cs="Times New Roman"/>
      <w:b/>
    </w:rPr>
  </w:style>
  <w:style w:type="character" w:styleId="71">
    <w:name w:val="page number"/>
    <w:basedOn w:val="69"/>
    <w:autoRedefine/>
    <w:unhideWhenUsed/>
    <w:qFormat/>
    <w:uiPriority w:val="0"/>
    <w:rPr>
      <w:rFonts w:hint="default" w:ascii="Times New Roman" w:hAnsi="Times New Roman" w:cs="Times New Roman"/>
    </w:rPr>
  </w:style>
  <w:style w:type="character" w:styleId="72">
    <w:name w:val="FollowedHyperlink"/>
    <w:basedOn w:val="69"/>
    <w:autoRedefine/>
    <w:unhideWhenUsed/>
    <w:qFormat/>
    <w:uiPriority w:val="0"/>
    <w:rPr>
      <w:rFonts w:hint="default" w:ascii="Times New Roman" w:hAnsi="Times New Roman" w:cs="Times New Roman"/>
      <w:color w:val="800080"/>
      <w:u w:val="single"/>
    </w:rPr>
  </w:style>
  <w:style w:type="character" w:styleId="73">
    <w:name w:val="Emphasis"/>
    <w:autoRedefine/>
    <w:qFormat/>
    <w:uiPriority w:val="0"/>
    <w:rPr>
      <w:rFonts w:ascii="Calibri" w:hAnsi="Calibri" w:eastAsia="宋体" w:cs="Times New Roman"/>
    </w:rPr>
  </w:style>
  <w:style w:type="character" w:styleId="74">
    <w:name w:val="HTML Definition"/>
    <w:basedOn w:val="69"/>
    <w:autoRedefine/>
    <w:unhideWhenUsed/>
    <w:qFormat/>
    <w:uiPriority w:val="0"/>
    <w:rPr>
      <w:rFonts w:hint="default" w:ascii="Times New Roman" w:hAnsi="Times New Roman" w:cs="Times New Roman"/>
      <w:i/>
    </w:rPr>
  </w:style>
  <w:style w:type="character" w:styleId="75">
    <w:name w:val="Hyperlink"/>
    <w:basedOn w:val="69"/>
    <w:autoRedefine/>
    <w:unhideWhenUsed/>
    <w:qFormat/>
    <w:uiPriority w:val="99"/>
    <w:rPr>
      <w:rFonts w:hint="default" w:ascii="Times New Roman" w:hAnsi="Times New Roman" w:cs="Times New Roman"/>
      <w:color w:val="0000FF"/>
      <w:u w:val="single"/>
    </w:rPr>
  </w:style>
  <w:style w:type="character" w:styleId="76">
    <w:name w:val="HTML Code"/>
    <w:basedOn w:val="69"/>
    <w:autoRedefine/>
    <w:unhideWhenUsed/>
    <w:qFormat/>
    <w:uiPriority w:val="0"/>
    <w:rPr>
      <w:rFonts w:hint="default" w:ascii="Marlett" w:hAnsi="Marlett" w:eastAsia="Times New Roman" w:cs="Times New Roman"/>
      <w:sz w:val="21"/>
      <w:szCs w:val="24"/>
    </w:rPr>
  </w:style>
  <w:style w:type="character" w:styleId="77">
    <w:name w:val="annotation reference"/>
    <w:basedOn w:val="69"/>
    <w:autoRedefine/>
    <w:unhideWhenUsed/>
    <w:qFormat/>
    <w:uiPriority w:val="0"/>
    <w:rPr>
      <w:rFonts w:hint="default" w:ascii="Times New Roman" w:hAnsi="Times New Roman" w:cs="Times New Roman"/>
      <w:sz w:val="21"/>
    </w:rPr>
  </w:style>
  <w:style w:type="character" w:styleId="78">
    <w:name w:val="footnote reference"/>
    <w:basedOn w:val="69"/>
    <w:autoRedefine/>
    <w:qFormat/>
    <w:uiPriority w:val="0"/>
    <w:rPr>
      <w:vertAlign w:val="superscript"/>
    </w:rPr>
  </w:style>
  <w:style w:type="character" w:styleId="79">
    <w:name w:val="HTML Keyboard"/>
    <w:basedOn w:val="69"/>
    <w:autoRedefine/>
    <w:unhideWhenUsed/>
    <w:qFormat/>
    <w:uiPriority w:val="0"/>
    <w:rPr>
      <w:rFonts w:hint="default" w:ascii="Marlett" w:hAnsi="Marlett" w:eastAsia="Times New Roman" w:cs="Times New Roman"/>
      <w:sz w:val="21"/>
      <w:szCs w:val="24"/>
    </w:rPr>
  </w:style>
  <w:style w:type="character" w:styleId="80">
    <w:name w:val="HTML Sample"/>
    <w:basedOn w:val="69"/>
    <w:autoRedefine/>
    <w:unhideWhenUsed/>
    <w:qFormat/>
    <w:uiPriority w:val="0"/>
    <w:rPr>
      <w:rFonts w:hint="default" w:ascii="Marlett" w:hAnsi="Marlett" w:eastAsia="Times New Roman" w:cs="Times New Roman"/>
      <w:sz w:val="21"/>
    </w:rPr>
  </w:style>
  <w:style w:type="paragraph" w:customStyle="1" w:styleId="81">
    <w:name w:val="正文（绿盟科技）"/>
    <w:autoRedefine/>
    <w:qFormat/>
    <w:uiPriority w:val="0"/>
    <w:pPr>
      <w:spacing w:line="300" w:lineRule="auto"/>
    </w:pPr>
    <w:rPr>
      <w:rFonts w:ascii="Arial" w:hAnsi="Arial" w:eastAsia="宋体" w:cs="Times New Roman"/>
      <w:sz w:val="21"/>
      <w:szCs w:val="21"/>
      <w:lang w:val="en-US" w:eastAsia="zh-CN" w:bidi="ar-SA"/>
    </w:rPr>
  </w:style>
  <w:style w:type="character" w:customStyle="1" w:styleId="82">
    <w:name w:val="页眉 字符"/>
    <w:basedOn w:val="69"/>
    <w:link w:val="42"/>
    <w:autoRedefine/>
    <w:qFormat/>
    <w:uiPriority w:val="99"/>
    <w:rPr>
      <w:sz w:val="18"/>
      <w:szCs w:val="18"/>
    </w:rPr>
  </w:style>
  <w:style w:type="character" w:customStyle="1" w:styleId="83">
    <w:name w:val="页脚 字符"/>
    <w:basedOn w:val="69"/>
    <w:link w:val="41"/>
    <w:autoRedefine/>
    <w:qFormat/>
    <w:uiPriority w:val="99"/>
    <w:rPr>
      <w:sz w:val="18"/>
      <w:szCs w:val="18"/>
    </w:rPr>
  </w:style>
  <w:style w:type="character" w:customStyle="1" w:styleId="84">
    <w:name w:val="标题 1 字符"/>
    <w:basedOn w:val="69"/>
    <w:link w:val="2"/>
    <w:autoRedefine/>
    <w:qFormat/>
    <w:uiPriority w:val="0"/>
    <w:rPr>
      <w:rFonts w:ascii="Times New Roman" w:hAnsi="Times New Roman" w:eastAsia="黑体" w:cs="Times New Roman"/>
      <w:b/>
      <w:bCs/>
      <w:kern w:val="44"/>
      <w:sz w:val="52"/>
      <w:szCs w:val="20"/>
    </w:rPr>
  </w:style>
  <w:style w:type="character" w:customStyle="1" w:styleId="85">
    <w:name w:val="标题 2 字符"/>
    <w:basedOn w:val="69"/>
    <w:link w:val="3"/>
    <w:autoRedefine/>
    <w:qFormat/>
    <w:uiPriority w:val="9"/>
    <w:rPr>
      <w:rFonts w:ascii="Arial" w:hAnsi="Arial" w:eastAsia="黑体" w:cs="Times New Roman"/>
      <w:b/>
      <w:kern w:val="0"/>
      <w:sz w:val="32"/>
      <w:szCs w:val="20"/>
    </w:rPr>
  </w:style>
  <w:style w:type="character" w:customStyle="1" w:styleId="86">
    <w:name w:val="标题 3 字符"/>
    <w:basedOn w:val="69"/>
    <w:link w:val="4"/>
    <w:autoRedefine/>
    <w:qFormat/>
    <w:uiPriority w:val="0"/>
    <w:rPr>
      <w:rFonts w:ascii="Times New Roman" w:hAnsi="Times New Roman" w:eastAsia="黑体" w:cs="Times New Roman"/>
      <w:b/>
      <w:bCs/>
      <w:sz w:val="36"/>
      <w:szCs w:val="36"/>
    </w:rPr>
  </w:style>
  <w:style w:type="character" w:customStyle="1" w:styleId="87">
    <w:name w:val="标题 4 字符"/>
    <w:basedOn w:val="69"/>
    <w:link w:val="5"/>
    <w:autoRedefine/>
    <w:qFormat/>
    <w:uiPriority w:val="0"/>
    <w:rPr>
      <w:rFonts w:ascii="Arial" w:hAnsi="Arial" w:eastAsia="黑体" w:cs="Times New Roman"/>
      <w:b/>
      <w:bCs/>
      <w:sz w:val="30"/>
      <w:szCs w:val="28"/>
    </w:rPr>
  </w:style>
  <w:style w:type="character" w:customStyle="1" w:styleId="88">
    <w:name w:val="标题 5 字符"/>
    <w:basedOn w:val="69"/>
    <w:link w:val="6"/>
    <w:autoRedefine/>
    <w:qFormat/>
    <w:uiPriority w:val="0"/>
    <w:rPr>
      <w:rFonts w:ascii="Times New Roman" w:hAnsi="Times New Roman" w:eastAsia="宋体" w:cs="Times New Roman"/>
      <w:b/>
      <w:bCs/>
      <w:sz w:val="28"/>
      <w:szCs w:val="28"/>
    </w:rPr>
  </w:style>
  <w:style w:type="character" w:customStyle="1" w:styleId="89">
    <w:name w:val="标题 6 字符"/>
    <w:basedOn w:val="69"/>
    <w:link w:val="7"/>
    <w:autoRedefine/>
    <w:qFormat/>
    <w:uiPriority w:val="9"/>
    <w:rPr>
      <w:rFonts w:ascii="Arial" w:hAnsi="Arial" w:eastAsia="黑体" w:cs="Times New Roman"/>
      <w:b/>
      <w:sz w:val="24"/>
      <w:szCs w:val="24"/>
    </w:rPr>
  </w:style>
  <w:style w:type="character" w:customStyle="1" w:styleId="90">
    <w:name w:val="标题 7 字符"/>
    <w:basedOn w:val="69"/>
    <w:link w:val="8"/>
    <w:autoRedefine/>
    <w:qFormat/>
    <w:uiPriority w:val="9"/>
    <w:rPr>
      <w:rFonts w:ascii="Times New Roman" w:hAnsi="Times New Roman" w:eastAsia="黑体"/>
      <w:sz w:val="24"/>
      <w:szCs w:val="21"/>
    </w:rPr>
  </w:style>
  <w:style w:type="character" w:customStyle="1" w:styleId="91">
    <w:name w:val="标题 8 字符"/>
    <w:basedOn w:val="69"/>
    <w:link w:val="9"/>
    <w:autoRedefine/>
    <w:qFormat/>
    <w:uiPriority w:val="9"/>
    <w:rPr>
      <w:rFonts w:ascii="Times New Roman" w:hAnsi="Times New Roman" w:eastAsia="黑体" w:cs="Times New Roman"/>
      <w:bCs/>
      <w:sz w:val="24"/>
      <w:szCs w:val="32"/>
    </w:rPr>
  </w:style>
  <w:style w:type="character" w:customStyle="1" w:styleId="92">
    <w:name w:val="标题 9 字符"/>
    <w:basedOn w:val="69"/>
    <w:link w:val="10"/>
    <w:autoRedefine/>
    <w:qFormat/>
    <w:uiPriority w:val="9"/>
    <w:rPr>
      <w:rFonts w:ascii="Times New Roman" w:hAnsi="Times New Roman" w:eastAsia="黑体"/>
      <w:sz w:val="24"/>
      <w:szCs w:val="21"/>
    </w:rPr>
  </w:style>
  <w:style w:type="character" w:customStyle="1" w:styleId="93">
    <w:name w:val="文档结构图 字符"/>
    <w:basedOn w:val="69"/>
    <w:link w:val="20"/>
    <w:autoRedefine/>
    <w:qFormat/>
    <w:uiPriority w:val="0"/>
    <w:rPr>
      <w:rFonts w:ascii="Times New Roman" w:hAnsi="Times New Roman" w:eastAsia="宋体" w:cs="宋体"/>
      <w:shd w:val="clear" w:color="auto" w:fill="000080"/>
    </w:rPr>
  </w:style>
  <w:style w:type="character" w:customStyle="1" w:styleId="94">
    <w:name w:val="批注文字 字符"/>
    <w:basedOn w:val="69"/>
    <w:link w:val="21"/>
    <w:autoRedefine/>
    <w:qFormat/>
    <w:uiPriority w:val="0"/>
    <w:rPr>
      <w:rFonts w:ascii="Times New Roman" w:hAnsi="Times New Roman" w:eastAsia="宋体" w:cs="Times New Roman"/>
    </w:rPr>
  </w:style>
  <w:style w:type="character" w:customStyle="1" w:styleId="95">
    <w:name w:val="正文文本 3 字符"/>
    <w:basedOn w:val="69"/>
    <w:link w:val="23"/>
    <w:autoRedefine/>
    <w:qFormat/>
    <w:uiPriority w:val="0"/>
    <w:rPr>
      <w:rFonts w:ascii="Times New Roman" w:hAnsi="宋体" w:eastAsia="Times New Roman" w:cs="Times New Roman"/>
      <w:b/>
      <w:sz w:val="24"/>
    </w:rPr>
  </w:style>
  <w:style w:type="character" w:customStyle="1" w:styleId="96">
    <w:name w:val="正文文本 字符"/>
    <w:basedOn w:val="69"/>
    <w:link w:val="25"/>
    <w:autoRedefine/>
    <w:qFormat/>
    <w:uiPriority w:val="1"/>
    <w:rPr>
      <w:rFonts w:ascii="Times New Roman" w:hAnsi="Times New Roman" w:eastAsia="宋体" w:cs="Times New Roman"/>
    </w:rPr>
  </w:style>
  <w:style w:type="character" w:customStyle="1" w:styleId="97">
    <w:name w:val="正文文本首行缩进 字符"/>
    <w:basedOn w:val="96"/>
    <w:link w:val="26"/>
    <w:autoRedefine/>
    <w:qFormat/>
    <w:uiPriority w:val="0"/>
    <w:rPr>
      <w:rFonts w:ascii="Times New Roman" w:hAnsi="Calibri" w:eastAsia="宋体" w:cs="Times New Roman"/>
      <w:kern w:val="0"/>
    </w:rPr>
  </w:style>
  <w:style w:type="character" w:customStyle="1" w:styleId="98">
    <w:name w:val="正文文本缩进 字符"/>
    <w:basedOn w:val="69"/>
    <w:autoRedefine/>
    <w:qFormat/>
    <w:uiPriority w:val="99"/>
  </w:style>
  <w:style w:type="character" w:customStyle="1" w:styleId="99">
    <w:name w:val="纯文本 字符"/>
    <w:basedOn w:val="69"/>
    <w:autoRedefine/>
    <w:qFormat/>
    <w:uiPriority w:val="0"/>
    <w:rPr>
      <w:rFonts w:hAnsi="Courier New" w:cs="Courier New" w:asciiTheme="minorEastAsia"/>
    </w:rPr>
  </w:style>
  <w:style w:type="character" w:customStyle="1" w:styleId="100">
    <w:name w:val="日期 字符"/>
    <w:basedOn w:val="69"/>
    <w:link w:val="37"/>
    <w:autoRedefine/>
    <w:qFormat/>
    <w:uiPriority w:val="99"/>
    <w:rPr>
      <w:rFonts w:ascii="Calibri" w:hAnsi="Calibri" w:eastAsia="楷体_GB2312" w:cs="Times New Roman"/>
      <w:kern w:val="0"/>
      <w:sz w:val="32"/>
    </w:rPr>
  </w:style>
  <w:style w:type="character" w:customStyle="1" w:styleId="101">
    <w:name w:val="正文文本缩进 2 字符"/>
    <w:basedOn w:val="69"/>
    <w:link w:val="38"/>
    <w:autoRedefine/>
    <w:qFormat/>
    <w:uiPriority w:val="0"/>
    <w:rPr>
      <w:rFonts w:ascii="仿宋_GB2312" w:hAnsi="宋体" w:eastAsia="宋体" w:cs="Times New Roman"/>
      <w:b/>
      <w:color w:val="000000"/>
      <w:kern w:val="0"/>
      <w:sz w:val="24"/>
    </w:rPr>
  </w:style>
  <w:style w:type="character" w:customStyle="1" w:styleId="102">
    <w:name w:val="批注框文本 字符"/>
    <w:basedOn w:val="69"/>
    <w:link w:val="40"/>
    <w:autoRedefine/>
    <w:qFormat/>
    <w:uiPriority w:val="0"/>
    <w:rPr>
      <w:rFonts w:ascii="Calibri" w:hAnsi="Calibri" w:eastAsia="宋体" w:cs="Times New Roman"/>
      <w:sz w:val="18"/>
      <w:szCs w:val="18"/>
    </w:rPr>
  </w:style>
  <w:style w:type="character" w:customStyle="1" w:styleId="103">
    <w:name w:val="正文文本缩进 3 字符"/>
    <w:basedOn w:val="69"/>
    <w:link w:val="50"/>
    <w:autoRedefine/>
    <w:qFormat/>
    <w:uiPriority w:val="0"/>
    <w:rPr>
      <w:rFonts w:ascii="仿宋_GB2312" w:hAnsi="宋体" w:eastAsia="Times New Roman" w:cs="Times New Roman"/>
      <w:color w:val="000000"/>
      <w:kern w:val="0"/>
      <w:sz w:val="24"/>
    </w:rPr>
  </w:style>
  <w:style w:type="character" w:customStyle="1" w:styleId="104">
    <w:name w:val="正文文本 2 字符"/>
    <w:basedOn w:val="69"/>
    <w:link w:val="53"/>
    <w:autoRedefine/>
    <w:qFormat/>
    <w:uiPriority w:val="0"/>
    <w:rPr>
      <w:rFonts w:ascii="宋体" w:hAnsi="宋体" w:eastAsia="宋体" w:cs="宋体"/>
      <w:bCs/>
    </w:rPr>
  </w:style>
  <w:style w:type="character" w:customStyle="1" w:styleId="105">
    <w:name w:val="HTML 预设格式 字符"/>
    <w:basedOn w:val="69"/>
    <w:link w:val="54"/>
    <w:autoRedefine/>
    <w:qFormat/>
    <w:uiPriority w:val="0"/>
    <w:rPr>
      <w:rFonts w:ascii="Courier New" w:hAnsi="Courier New" w:eastAsia="宋体" w:cs="Times New Roman"/>
      <w:kern w:val="0"/>
      <w:sz w:val="20"/>
      <w:szCs w:val="20"/>
    </w:rPr>
  </w:style>
  <w:style w:type="character" w:customStyle="1" w:styleId="106">
    <w:name w:val="批注主题 字符"/>
    <w:basedOn w:val="94"/>
    <w:link w:val="58"/>
    <w:autoRedefine/>
    <w:qFormat/>
    <w:uiPriority w:val="0"/>
    <w:rPr>
      <w:rFonts w:ascii="Times New Roman" w:hAnsi="Times New Roman" w:eastAsia="宋体" w:cs="宋体"/>
      <w:b/>
      <w:bCs/>
    </w:rPr>
  </w:style>
  <w:style w:type="character" w:customStyle="1" w:styleId="107">
    <w:name w:val="正文文本首行缩进 2 字符"/>
    <w:basedOn w:val="98"/>
    <w:link w:val="59"/>
    <w:autoRedefine/>
    <w:qFormat/>
    <w:uiPriority w:val="99"/>
    <w:rPr>
      <w:rFonts w:ascii="Calibri" w:hAnsi="Calibri" w:eastAsia="宋体" w:cs="Times New Roman"/>
      <w:szCs w:val="24"/>
    </w:rPr>
  </w:style>
  <w:style w:type="character" w:customStyle="1" w:styleId="108">
    <w:name w:val="正文缩进 字符"/>
    <w:link w:val="16"/>
    <w:autoRedefine/>
    <w:qFormat/>
    <w:locked/>
    <w:uiPriority w:val="0"/>
    <w:rPr>
      <w:rFonts w:ascii="Times New Roman" w:hAnsi="Times New Roman" w:eastAsia="宋体" w:cs="Times New Roman"/>
      <w:kern w:val="0"/>
      <w:sz w:val="20"/>
      <w:szCs w:val="20"/>
    </w:rPr>
  </w:style>
  <w:style w:type="character" w:customStyle="1" w:styleId="109">
    <w:name w:val="题注 字符"/>
    <w:link w:val="18"/>
    <w:autoRedefine/>
    <w:semiHidden/>
    <w:qFormat/>
    <w:locked/>
    <w:uiPriority w:val="0"/>
    <w:rPr>
      <w:rFonts w:ascii="Arial" w:hAnsi="Arial" w:eastAsia="黑体" w:cs="Times New Roman"/>
      <w:kern w:val="0"/>
      <w:sz w:val="20"/>
      <w:szCs w:val="20"/>
    </w:rPr>
  </w:style>
  <w:style w:type="character" w:customStyle="1" w:styleId="110">
    <w:name w:val="正文文本缩进 字符2"/>
    <w:basedOn w:val="69"/>
    <w:link w:val="17"/>
    <w:autoRedefine/>
    <w:semiHidden/>
    <w:qFormat/>
    <w:uiPriority w:val="99"/>
    <w:rPr>
      <w:rFonts w:ascii="宋体" w:hAnsi="Courier New" w:eastAsia="宋体" w:cs="Times New Roman"/>
      <w:spacing w:val="-4"/>
      <w:kern w:val="0"/>
      <w:sz w:val="18"/>
    </w:rPr>
  </w:style>
  <w:style w:type="character" w:customStyle="1" w:styleId="111">
    <w:name w:val="纯文本 字符1"/>
    <w:basedOn w:val="69"/>
    <w:link w:val="33"/>
    <w:autoRedefine/>
    <w:qFormat/>
    <w:uiPriority w:val="0"/>
    <w:rPr>
      <w:rFonts w:ascii="宋体" w:hAnsi="Courier New" w:eastAsia="宋体" w:cs="Times New Roman"/>
      <w:sz w:val="24"/>
    </w:rPr>
  </w:style>
  <w:style w:type="paragraph" w:customStyle="1" w:styleId="112">
    <w:name w:val="列出段落1"/>
    <w:basedOn w:val="1"/>
    <w:autoRedefine/>
    <w:qFormat/>
    <w:uiPriority w:val="34"/>
    <w:pPr>
      <w:ind w:firstLine="420" w:firstLineChars="200"/>
    </w:pPr>
  </w:style>
  <w:style w:type="paragraph" w:customStyle="1" w:styleId="113">
    <w:name w:val="标题 71"/>
    <w:basedOn w:val="1"/>
    <w:next w:val="1"/>
    <w:autoRedefine/>
    <w:qFormat/>
    <w:uiPriority w:val="9"/>
    <w:pPr>
      <w:keepNext/>
      <w:keepLines/>
      <w:spacing w:before="120" w:after="120"/>
      <w:outlineLvl w:val="6"/>
    </w:pPr>
    <w:rPr>
      <w:rFonts w:ascii="Times New Roman" w:hAnsi="Times New Roman" w:eastAsia="黑体"/>
      <w:sz w:val="24"/>
      <w:szCs w:val="21"/>
    </w:rPr>
  </w:style>
  <w:style w:type="paragraph" w:customStyle="1" w:styleId="114">
    <w:name w:val="标题 81"/>
    <w:basedOn w:val="1"/>
    <w:next w:val="1"/>
    <w:autoRedefine/>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5">
    <w:name w:val="标题 91"/>
    <w:basedOn w:val="1"/>
    <w:next w:val="1"/>
    <w:autoRedefine/>
    <w:qFormat/>
    <w:uiPriority w:val="9"/>
    <w:pPr>
      <w:keepNext/>
      <w:keepLines/>
      <w:spacing w:before="120" w:after="120"/>
      <w:outlineLvl w:val="8"/>
    </w:pPr>
    <w:rPr>
      <w:rFonts w:ascii="Times New Roman" w:hAnsi="Times New Roman" w:eastAsia="黑体"/>
      <w:sz w:val="24"/>
      <w:szCs w:val="21"/>
    </w:rPr>
  </w:style>
  <w:style w:type="paragraph" w:customStyle="1" w:styleId="116">
    <w:name w:val="表格文字"/>
    <w:basedOn w:val="1"/>
    <w:next w:val="25"/>
    <w:autoRedefine/>
    <w:qFormat/>
    <w:uiPriority w:val="0"/>
    <w:rPr>
      <w:rFonts w:ascii="Times New Roman" w:hAnsi="Times New Roman" w:eastAsia="宋体" w:cs="Times New Roman"/>
      <w:sz w:val="18"/>
      <w:szCs w:val="24"/>
    </w:rPr>
  </w:style>
  <w:style w:type="paragraph" w:customStyle="1" w:styleId="117">
    <w:name w:val="Default Paragraph Font Para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8">
    <w:name w:val="默认段落字体 Para Char Char Char Char Char Char Char Char Char1 Char Char Char Char"/>
    <w:basedOn w:val="1"/>
    <w:autoRedefine/>
    <w:qFormat/>
    <w:uiPriority w:val="0"/>
    <w:rPr>
      <w:rFonts w:ascii="Tahoma" w:hAnsi="Tahoma" w:eastAsia="宋体" w:cs="Times New Roman"/>
      <w:sz w:val="24"/>
    </w:rPr>
  </w:style>
  <w:style w:type="paragraph" w:customStyle="1" w:styleId="119">
    <w:name w:val="1"/>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0">
    <w:name w:val="章正文"/>
    <w:autoRedefine/>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1">
    <w:name w:val="列出段落5"/>
    <w:basedOn w:val="1"/>
    <w:autoRedefine/>
    <w:qFormat/>
    <w:uiPriority w:val="99"/>
    <w:pPr>
      <w:ind w:firstLine="420" w:firstLineChars="200"/>
    </w:pPr>
    <w:rPr>
      <w:rFonts w:ascii="Calibri" w:hAnsi="Calibri" w:eastAsia="等线" w:cs="Times New Roman"/>
      <w:sz w:val="24"/>
      <w:szCs w:val="24"/>
    </w:rPr>
  </w:style>
  <w:style w:type="paragraph" w:customStyle="1" w:styleId="122">
    <w:name w:val="Char Char Char Char Char Char"/>
    <w:basedOn w:val="1"/>
    <w:autoRedefine/>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3">
    <w:name w:val="普通(网站)11"/>
    <w:basedOn w:val="1"/>
    <w:autoRedefine/>
    <w:qFormat/>
    <w:uiPriority w:val="0"/>
    <w:pPr>
      <w:widowControl/>
      <w:spacing w:before="100" w:after="100" w:line="360" w:lineRule="auto"/>
    </w:pPr>
    <w:rPr>
      <w:rFonts w:ascii="Times New Roman" w:hAnsi="Times New Roman" w:eastAsia="宋体" w:cs="Times New Roman"/>
      <w:b/>
      <w:bCs/>
      <w:kern w:val="0"/>
      <w:szCs w:val="21"/>
    </w:rPr>
  </w:style>
  <w:style w:type="paragraph" w:customStyle="1" w:styleId="124">
    <w:name w:val="图"/>
    <w:basedOn w:val="1"/>
    <w:autoRedefine/>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5">
    <w:name w:val="ÕýÎÄ"/>
    <w:autoRedefine/>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6">
    <w:name w:val="标准有序列表（L1）"/>
    <w:basedOn w:val="16"/>
    <w:autoRedefine/>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7">
    <w:name w:val="f1"/>
    <w:basedOn w:val="1"/>
    <w:autoRedefine/>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8">
    <w:name w:val="表格"/>
    <w:basedOn w:val="1"/>
    <w:autoRedefine/>
    <w:qFormat/>
    <w:uiPriority w:val="99"/>
    <w:pPr>
      <w:snapToGrid w:val="0"/>
      <w:spacing w:after="120"/>
    </w:pPr>
    <w:rPr>
      <w:rFonts w:ascii="仿宋_GB2312" w:hAnsi="Tahoma" w:eastAsia="Times New Roman" w:cs="Tahoma"/>
      <w:color w:val="000000"/>
      <w:kern w:val="0"/>
      <w:sz w:val="24"/>
      <w:szCs w:val="24"/>
    </w:rPr>
  </w:style>
  <w:style w:type="character" w:customStyle="1" w:styleId="129">
    <w:name w:val="GW-正文 Char"/>
    <w:link w:val="130"/>
    <w:autoRedefine/>
    <w:qFormat/>
    <w:locked/>
    <w:uiPriority w:val="0"/>
    <w:rPr>
      <w:rFonts w:ascii="Arial Narrow" w:hAnsi="Arial Narrow" w:eastAsia="宋体" w:cs="Times New Roman"/>
      <w:kern w:val="0"/>
      <w:sz w:val="24"/>
      <w:szCs w:val="20"/>
    </w:rPr>
  </w:style>
  <w:style w:type="paragraph" w:customStyle="1" w:styleId="130">
    <w:name w:val="GW-正文"/>
    <w:basedOn w:val="1"/>
    <w:link w:val="129"/>
    <w:autoRedefine/>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1">
    <w:name w:val="Char Char10"/>
    <w:basedOn w:val="1"/>
    <w:autoRedefine/>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2">
    <w:name w:val="正文文本缩进11"/>
    <w:basedOn w:val="1"/>
    <w:autoRedefine/>
    <w:qFormat/>
    <w:uiPriority w:val="99"/>
    <w:pPr>
      <w:spacing w:line="200" w:lineRule="exact"/>
      <w:ind w:firstLine="301"/>
    </w:pPr>
    <w:rPr>
      <w:rFonts w:ascii="Calibri" w:hAnsi="Calibri" w:eastAsia="宋体" w:cs="Times New Roman"/>
      <w:szCs w:val="20"/>
    </w:rPr>
  </w:style>
  <w:style w:type="paragraph" w:customStyle="1" w:styleId="133">
    <w:name w:val="Char Char Char Char"/>
    <w:basedOn w:val="1"/>
    <w:autoRedefine/>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4">
    <w:name w:val="首行缩进2字符"/>
    <w:basedOn w:val="1"/>
    <w:autoRedefine/>
    <w:qFormat/>
    <w:uiPriority w:val="99"/>
    <w:pPr>
      <w:spacing w:line="360" w:lineRule="auto"/>
      <w:ind w:firstLine="200" w:firstLineChars="200"/>
    </w:pPr>
    <w:rPr>
      <w:rFonts w:ascii="Calibri" w:hAnsi="Calibri" w:eastAsia="宋体" w:cs="Times New Roman"/>
      <w:sz w:val="24"/>
      <w:szCs w:val="21"/>
    </w:rPr>
  </w:style>
  <w:style w:type="paragraph" w:customStyle="1" w:styleId="135">
    <w:name w:val="默认段落字体 Para Char"/>
    <w:basedOn w:val="1"/>
    <w:autoRedefine/>
    <w:qFormat/>
    <w:uiPriority w:val="0"/>
    <w:rPr>
      <w:rFonts w:ascii="Times New Roman" w:hAnsi="Times New Roman" w:eastAsia="宋体" w:cs="Times New Roman"/>
      <w:szCs w:val="20"/>
    </w:rPr>
  </w:style>
  <w:style w:type="character" w:customStyle="1" w:styleId="136">
    <w:name w:val="Char Char3"/>
    <w:link w:val="137"/>
    <w:autoRedefine/>
    <w:qFormat/>
    <w:locked/>
    <w:uiPriority w:val="0"/>
    <w:rPr>
      <w:rFonts w:ascii="Calibri" w:hAnsi="Calibri" w:eastAsia="宋体" w:cs="Times New Roman"/>
      <w:kern w:val="0"/>
      <w:sz w:val="24"/>
      <w:szCs w:val="20"/>
    </w:rPr>
  </w:style>
  <w:style w:type="paragraph" w:customStyle="1" w:styleId="137">
    <w:name w:val="Char"/>
    <w:basedOn w:val="1"/>
    <w:link w:val="136"/>
    <w:autoRedefine/>
    <w:qFormat/>
    <w:uiPriority w:val="0"/>
    <w:rPr>
      <w:rFonts w:ascii="Calibri" w:hAnsi="Calibri" w:eastAsia="宋体" w:cs="Times New Roman"/>
      <w:kern w:val="0"/>
      <w:sz w:val="24"/>
      <w:szCs w:val="20"/>
    </w:rPr>
  </w:style>
  <w:style w:type="paragraph" w:customStyle="1" w:styleId="138">
    <w:name w:val="正文段"/>
    <w:basedOn w:val="1"/>
    <w:autoRedefine/>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39">
    <w:name w:val="自动更正"/>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0">
    <w:name w:val="列出段落 Char"/>
    <w:link w:val="141"/>
    <w:autoRedefine/>
    <w:qFormat/>
    <w:locked/>
    <w:uiPriority w:val="0"/>
    <w:rPr>
      <w:rFonts w:ascii="Calibri" w:hAnsi="Calibri" w:eastAsia="宋体" w:cs="Times New Roman"/>
      <w:kern w:val="0"/>
      <w:sz w:val="24"/>
      <w:szCs w:val="20"/>
    </w:rPr>
  </w:style>
  <w:style w:type="paragraph" w:customStyle="1" w:styleId="141">
    <w:name w:val="列出段落111"/>
    <w:basedOn w:val="1"/>
    <w:link w:val="140"/>
    <w:autoRedefine/>
    <w:qFormat/>
    <w:uiPriority w:val="0"/>
    <w:pPr>
      <w:ind w:firstLine="420" w:firstLineChars="200"/>
    </w:pPr>
    <w:rPr>
      <w:rFonts w:ascii="Calibri" w:hAnsi="Calibri" w:eastAsia="宋体" w:cs="Times New Roman"/>
      <w:kern w:val="0"/>
      <w:sz w:val="24"/>
      <w:szCs w:val="20"/>
    </w:rPr>
  </w:style>
  <w:style w:type="paragraph" w:customStyle="1" w:styleId="142">
    <w:name w:val="书籍标题1"/>
    <w:basedOn w:val="1"/>
    <w:next w:val="1"/>
    <w:autoRedefine/>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3">
    <w:name w:val="正文_20"/>
    <w:autoRedefine/>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4">
    <w:name w:val="Table Paragraph"/>
    <w:basedOn w:val="1"/>
    <w:autoRedefine/>
    <w:qFormat/>
    <w:uiPriority w:val="1"/>
    <w:pPr>
      <w:spacing w:before="119"/>
    </w:pPr>
    <w:rPr>
      <w:rFonts w:ascii="宋体" w:hAnsi="宋体" w:eastAsia="宋体" w:cs="宋体"/>
      <w:szCs w:val="24"/>
      <w:lang w:val="zh-CN"/>
    </w:rPr>
  </w:style>
  <w:style w:type="paragraph" w:customStyle="1" w:styleId="145">
    <w:name w:val="表内文字"/>
    <w:basedOn w:val="1"/>
    <w:autoRedefine/>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6">
    <w:name w:val="样式2"/>
    <w:basedOn w:val="137"/>
    <w:autoRedefine/>
    <w:qFormat/>
    <w:uiPriority w:val="99"/>
    <w:pPr>
      <w:tabs>
        <w:tab w:val="left" w:pos="432"/>
      </w:tabs>
      <w:spacing w:beforeLines="50"/>
      <w:ind w:left="432" w:hanging="432"/>
    </w:pPr>
    <w:rPr>
      <w:b/>
      <w:szCs w:val="21"/>
      <w:u w:val="thick"/>
    </w:rPr>
  </w:style>
  <w:style w:type="paragraph" w:customStyle="1" w:styleId="147">
    <w:name w:val="样式1"/>
    <w:basedOn w:val="137"/>
    <w:link w:val="414"/>
    <w:autoRedefine/>
    <w:qFormat/>
    <w:uiPriority w:val="0"/>
    <w:pPr>
      <w:tabs>
        <w:tab w:val="left" w:pos="432"/>
      </w:tabs>
      <w:spacing w:beforeLines="50"/>
      <w:ind w:left="642" w:leftChars="100" w:right="100" w:rightChars="100" w:hanging="432"/>
      <w:jc w:val="right"/>
    </w:pPr>
    <w:rPr>
      <w:b/>
      <w:i/>
      <w:szCs w:val="21"/>
      <w:u w:val="thick"/>
    </w:rPr>
  </w:style>
  <w:style w:type="paragraph" w:customStyle="1" w:styleId="148">
    <w:name w:val="正文 New"/>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正文首行缩进2字符 Char Char"/>
    <w:link w:val="150"/>
    <w:autoRedefine/>
    <w:qFormat/>
    <w:locked/>
    <w:uiPriority w:val="0"/>
    <w:rPr>
      <w:rFonts w:ascii="Times New Roman" w:hAnsi="Times New Roman" w:eastAsia="宋体" w:cs="Times New Roman"/>
      <w:kern w:val="0"/>
      <w:sz w:val="24"/>
      <w:szCs w:val="20"/>
    </w:rPr>
  </w:style>
  <w:style w:type="paragraph" w:customStyle="1" w:styleId="150">
    <w:name w:val="正文首行缩进2字符"/>
    <w:basedOn w:val="1"/>
    <w:link w:val="149"/>
    <w:autoRedefine/>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1">
    <w:name w:val="p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2">
    <w:name w:val="表格内容 字符"/>
    <w:link w:val="153"/>
    <w:autoRedefine/>
    <w:qFormat/>
    <w:locked/>
    <w:uiPriority w:val="0"/>
    <w:rPr>
      <w:rFonts w:ascii="仿宋" w:hAnsi="仿宋" w:eastAsia="仿宋" w:cs="Times New Roman"/>
      <w:kern w:val="0"/>
      <w:sz w:val="24"/>
    </w:rPr>
  </w:style>
  <w:style w:type="paragraph" w:customStyle="1" w:styleId="153">
    <w:name w:val="表格内容"/>
    <w:next w:val="150"/>
    <w:link w:val="152"/>
    <w:autoRedefine/>
    <w:qFormat/>
    <w:uiPriority w:val="0"/>
    <w:pPr>
      <w:jc w:val="center"/>
    </w:pPr>
    <w:rPr>
      <w:rFonts w:ascii="仿宋" w:hAnsi="仿宋" w:eastAsia="仿宋" w:cs="Times New Roman"/>
      <w:sz w:val="24"/>
      <w:szCs w:val="22"/>
      <w:lang w:val="en-US" w:eastAsia="zh-CN" w:bidi="ar-SA"/>
    </w:rPr>
  </w:style>
  <w:style w:type="paragraph" w:customStyle="1" w:styleId="154">
    <w:name w:val="Default"/>
    <w:autoRedefine/>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5">
    <w:name w:val="列项中圆1"/>
    <w:basedOn w:val="1"/>
    <w:next w:val="1"/>
    <w:autoRedefine/>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6">
    <w:name w:val="xl30"/>
    <w:basedOn w:val="1"/>
    <w:autoRedefine/>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7">
    <w:name w:val="文档正文"/>
    <w:basedOn w:val="1"/>
    <w:autoRedefine/>
    <w:qFormat/>
    <w:uiPriority w:val="0"/>
    <w:rPr>
      <w:rFonts w:ascii="宋体" w:hAnsi="宋体" w:eastAsia="宋体" w:cs="Arial"/>
      <w:bCs/>
      <w:szCs w:val="21"/>
    </w:rPr>
  </w:style>
  <w:style w:type="paragraph" w:customStyle="1" w:styleId="158">
    <w:name w:val="p15"/>
    <w:basedOn w:val="1"/>
    <w:autoRedefine/>
    <w:qFormat/>
    <w:uiPriority w:val="0"/>
    <w:pPr>
      <w:widowControl/>
      <w:spacing w:line="200" w:lineRule="atLeast"/>
      <w:ind w:firstLine="301"/>
    </w:pPr>
    <w:rPr>
      <w:rFonts w:ascii="宋体" w:hAnsi="宋体" w:eastAsia="宋体" w:cs="宋体"/>
      <w:spacing w:val="-4"/>
      <w:kern w:val="0"/>
      <w:sz w:val="18"/>
      <w:szCs w:val="18"/>
    </w:rPr>
  </w:style>
  <w:style w:type="character" w:customStyle="1" w:styleId="159">
    <w:name w:val="无间隔 Char"/>
    <w:link w:val="160"/>
    <w:autoRedefine/>
    <w:qFormat/>
    <w:locked/>
    <w:uiPriority w:val="0"/>
    <w:rPr>
      <w:rFonts w:ascii="Calibri" w:hAnsi="Calibri" w:eastAsia="宋体" w:cs="Times New Roman"/>
      <w:kern w:val="0"/>
      <w:sz w:val="22"/>
    </w:rPr>
  </w:style>
  <w:style w:type="paragraph" w:customStyle="1" w:styleId="160">
    <w:name w:val="无间隔1"/>
    <w:link w:val="159"/>
    <w:autoRedefine/>
    <w:qFormat/>
    <w:uiPriority w:val="0"/>
    <w:rPr>
      <w:rFonts w:ascii="Calibri" w:hAnsi="Calibri" w:eastAsia="宋体" w:cs="Times New Roman"/>
      <w:sz w:val="22"/>
      <w:szCs w:val="22"/>
      <w:lang w:val="en-US" w:eastAsia="zh-CN" w:bidi="ar-SA"/>
    </w:rPr>
  </w:style>
  <w:style w:type="paragraph" w:customStyle="1" w:styleId="161">
    <w:name w:val="纯文本1"/>
    <w:basedOn w:val="1"/>
    <w:link w:val="377"/>
    <w:autoRedefine/>
    <w:qFormat/>
    <w:uiPriority w:val="0"/>
    <w:pPr>
      <w:spacing w:beforeLines="50" w:line="400" w:lineRule="exact"/>
    </w:pPr>
    <w:rPr>
      <w:rFonts w:ascii="宋体" w:hAnsi="Courier New" w:eastAsia="Times New Roman" w:cs="Times New Roman"/>
      <w:sz w:val="30"/>
      <w:szCs w:val="24"/>
    </w:rPr>
  </w:style>
  <w:style w:type="paragraph" w:customStyle="1" w:styleId="162">
    <w:name w:val="缩进4"/>
    <w:basedOn w:val="1"/>
    <w:autoRedefine/>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3">
    <w:name w:val="_Style 130"/>
    <w:basedOn w:val="1"/>
    <w:next w:val="141"/>
    <w:autoRedefine/>
    <w:qFormat/>
    <w:uiPriority w:val="99"/>
    <w:pPr>
      <w:ind w:firstLine="420" w:firstLineChars="200"/>
    </w:pPr>
    <w:rPr>
      <w:rFonts w:ascii="Times New Roman" w:hAnsi="Times New Roman" w:eastAsia="宋体" w:cs="Times New Roman"/>
      <w:szCs w:val="20"/>
    </w:rPr>
  </w:style>
  <w:style w:type="paragraph" w:customStyle="1" w:styleId="164">
    <w:name w:val="0正文"/>
    <w:basedOn w:val="1"/>
    <w:autoRedefine/>
    <w:qFormat/>
    <w:uiPriority w:val="99"/>
    <w:pPr>
      <w:spacing w:line="560" w:lineRule="exact"/>
      <w:ind w:firstLine="200" w:firstLineChars="200"/>
    </w:pPr>
    <w:rPr>
      <w:rFonts w:ascii="Tahoma" w:hAnsi="Tahoma" w:eastAsia="宋体" w:cs="Times New Roman"/>
    </w:rPr>
  </w:style>
  <w:style w:type="paragraph" w:customStyle="1" w:styleId="165">
    <w:name w:val="正文（本文）"/>
    <w:basedOn w:val="1"/>
    <w:autoRedefine/>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6">
    <w:name w:val="l正文"/>
    <w:basedOn w:val="1"/>
    <w:autoRedefine/>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7">
    <w:name w:val="_Style 4"/>
    <w:basedOn w:val="1"/>
    <w:autoRedefine/>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8">
    <w:name w:val="列出段落2"/>
    <w:basedOn w:val="1"/>
    <w:autoRedefine/>
    <w:qFormat/>
    <w:uiPriority w:val="0"/>
    <w:pPr>
      <w:ind w:firstLine="420" w:firstLineChars="200"/>
    </w:pPr>
    <w:rPr>
      <w:rFonts w:ascii="Calibri" w:hAnsi="Calibri" w:eastAsia="宋体" w:cs="Times New Roman"/>
      <w:szCs w:val="24"/>
    </w:rPr>
  </w:style>
  <w:style w:type="paragraph" w:customStyle="1" w:styleId="169">
    <w:name w:val="正文1"/>
    <w:link w:val="516"/>
    <w:autoRedefine/>
    <w:qFormat/>
    <w:uiPriority w:val="0"/>
    <w:pPr>
      <w:widowControl w:val="0"/>
      <w:jc w:val="both"/>
    </w:pPr>
    <w:rPr>
      <w:rFonts w:ascii="Calibri" w:hAnsi="Calibri" w:eastAsia="宋体" w:cs="Calibri"/>
      <w:kern w:val="2"/>
      <w:sz w:val="21"/>
      <w:szCs w:val="21"/>
      <w:lang w:val="en-US" w:eastAsia="zh-CN" w:bidi="ar-SA"/>
    </w:rPr>
  </w:style>
  <w:style w:type="paragraph" w:customStyle="1" w:styleId="170">
    <w:name w:val="WPSOffice手动目录 1"/>
    <w:autoRedefine/>
    <w:qFormat/>
    <w:uiPriority w:val="0"/>
    <w:rPr>
      <w:rFonts w:ascii="Times New Roman" w:hAnsi="Times New Roman" w:eastAsia="宋体" w:cs="Times New Roman"/>
      <w:lang w:val="en-US" w:eastAsia="zh-CN" w:bidi="ar-SA"/>
    </w:rPr>
  </w:style>
  <w:style w:type="paragraph" w:customStyle="1" w:styleId="171">
    <w:name w:val="正文2"/>
    <w:basedOn w:val="1"/>
    <w:link w:val="409"/>
    <w:autoRedefine/>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2">
    <w:name w:val="正文 首行缩进:  2 字符 Char Char Char"/>
    <w:link w:val="173"/>
    <w:autoRedefine/>
    <w:qFormat/>
    <w:locked/>
    <w:uiPriority w:val="0"/>
    <w:rPr>
      <w:sz w:val="24"/>
    </w:rPr>
  </w:style>
  <w:style w:type="paragraph" w:customStyle="1" w:styleId="173">
    <w:name w:val="正文 首行缩进:  2 字符 Char"/>
    <w:basedOn w:val="1"/>
    <w:link w:val="172"/>
    <w:autoRedefine/>
    <w:qFormat/>
    <w:uiPriority w:val="0"/>
    <w:pPr>
      <w:spacing w:line="360" w:lineRule="auto"/>
      <w:ind w:firstLine="480"/>
    </w:pPr>
    <w:rPr>
      <w:sz w:val="24"/>
    </w:rPr>
  </w:style>
  <w:style w:type="character" w:customStyle="1" w:styleId="174">
    <w:name w:val="样式 首行缩进:  0 字符 Char"/>
    <w:link w:val="175"/>
    <w:autoRedefine/>
    <w:qFormat/>
    <w:locked/>
    <w:uiPriority w:val="0"/>
    <w:rPr>
      <w:rFonts w:ascii="Arial" w:hAnsi="Arial" w:eastAsia="宋体" w:cs="Times New Roman"/>
      <w:kern w:val="0"/>
      <w:sz w:val="20"/>
      <w:szCs w:val="20"/>
    </w:rPr>
  </w:style>
  <w:style w:type="paragraph" w:customStyle="1" w:styleId="175">
    <w:name w:val="样式 首行缩进:  0 字符"/>
    <w:basedOn w:val="1"/>
    <w:link w:val="174"/>
    <w:autoRedefine/>
    <w:qFormat/>
    <w:uiPriority w:val="0"/>
    <w:pPr>
      <w:spacing w:line="360" w:lineRule="auto"/>
      <w:ind w:firstLine="200" w:firstLineChars="200"/>
    </w:pPr>
    <w:rPr>
      <w:rFonts w:ascii="Arial" w:hAnsi="Arial" w:eastAsia="宋体" w:cs="Times New Roman"/>
      <w:kern w:val="0"/>
      <w:sz w:val="20"/>
      <w:szCs w:val="20"/>
    </w:rPr>
  </w:style>
  <w:style w:type="paragraph" w:customStyle="1" w:styleId="176">
    <w:name w:val="正文 A"/>
    <w:autoRedefine/>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7">
    <w:name w:val="Proposals body"/>
    <w:basedOn w:val="1"/>
    <w:next w:val="1"/>
    <w:autoRedefine/>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8">
    <w:name w:val="目录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79">
    <w:name w:val="title11"/>
    <w:basedOn w:val="1"/>
    <w:autoRedefine/>
    <w:qFormat/>
    <w:uiPriority w:val="99"/>
    <w:pPr>
      <w:spacing w:before="150"/>
      <w:jc w:val="left"/>
    </w:pPr>
    <w:rPr>
      <w:rFonts w:ascii="Times New Roman" w:hAnsi="Times New Roman" w:eastAsia="宋体" w:cs="Times New Roman"/>
      <w:b/>
      <w:kern w:val="0"/>
      <w:sz w:val="28"/>
      <w:szCs w:val="24"/>
    </w:rPr>
  </w:style>
  <w:style w:type="paragraph" w:customStyle="1" w:styleId="180">
    <w:name w:val="标题 10"/>
    <w:basedOn w:val="3"/>
    <w:autoRedefine/>
    <w:qFormat/>
    <w:uiPriority w:val="99"/>
    <w:pPr>
      <w:spacing w:before="0" w:after="0" w:line="360" w:lineRule="auto"/>
      <w:jc w:val="center"/>
    </w:pPr>
    <w:rPr>
      <w:rFonts w:ascii="Cambria" w:hAnsi="Cambria" w:eastAsia="宋体"/>
      <w:bCs/>
      <w:sz w:val="21"/>
      <w:szCs w:val="32"/>
    </w:rPr>
  </w:style>
  <w:style w:type="paragraph" w:customStyle="1" w:styleId="181">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2">
    <w:name w:val="TOC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3">
    <w:name w:val="List Paragraph1"/>
    <w:basedOn w:val="1"/>
    <w:autoRedefine/>
    <w:qFormat/>
    <w:uiPriority w:val="0"/>
    <w:pPr>
      <w:ind w:firstLine="420" w:firstLineChars="200"/>
    </w:pPr>
    <w:rPr>
      <w:rFonts w:ascii="Times New Roman" w:hAnsi="Times New Roman" w:eastAsia="宋体" w:cs="Times New Roman"/>
      <w:szCs w:val="24"/>
    </w:rPr>
  </w:style>
  <w:style w:type="paragraph" w:customStyle="1" w:styleId="184">
    <w:name w:val="Char Char Char Char1"/>
    <w:basedOn w:val="1"/>
    <w:autoRedefine/>
    <w:qFormat/>
    <w:uiPriority w:val="99"/>
    <w:rPr>
      <w:rFonts w:ascii="Tahoma" w:hAnsi="Tahoma" w:eastAsia="宋体" w:cs="Times New Roman"/>
      <w:sz w:val="24"/>
      <w:szCs w:val="20"/>
    </w:rPr>
  </w:style>
  <w:style w:type="paragraph" w:customStyle="1" w:styleId="185">
    <w:name w:val="目录 71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6">
    <w:name w:val="z-窗体顶端 Char"/>
    <w:link w:val="187"/>
    <w:autoRedefine/>
    <w:qFormat/>
    <w:locked/>
    <w:uiPriority w:val="0"/>
    <w:rPr>
      <w:rFonts w:ascii="Arial" w:hAnsi="Arial" w:eastAsia="宋体" w:cs="Times New Roman"/>
      <w:vanish/>
      <w:kern w:val="0"/>
      <w:sz w:val="20"/>
      <w:szCs w:val="20"/>
    </w:rPr>
  </w:style>
  <w:style w:type="paragraph" w:customStyle="1" w:styleId="187">
    <w:name w:val="_Style 46"/>
    <w:basedOn w:val="1"/>
    <w:next w:val="1"/>
    <w:link w:val="186"/>
    <w:autoRedefine/>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8">
    <w:name w:val="此正文"/>
    <w:basedOn w:val="1"/>
    <w:autoRedefine/>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89">
    <w:name w:val="xl25"/>
    <w:basedOn w:val="1"/>
    <w:autoRedefine/>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0">
    <w:name w:val="彩色列表 - 强调文字颜色 11"/>
    <w:basedOn w:val="1"/>
    <w:link w:val="527"/>
    <w:autoRedefine/>
    <w:qFormat/>
    <w:uiPriority w:val="0"/>
    <w:pPr>
      <w:ind w:firstLine="420" w:firstLineChars="200"/>
    </w:pPr>
    <w:rPr>
      <w:rFonts w:ascii="Calibri" w:hAnsi="Calibri" w:eastAsia="宋体" w:cs="Times New Roman"/>
    </w:rPr>
  </w:style>
  <w:style w:type="paragraph" w:customStyle="1" w:styleId="191">
    <w:name w:val="无间距"/>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2">
    <w:name w:val="z-窗体底端 Char"/>
    <w:link w:val="193"/>
    <w:autoRedefine/>
    <w:qFormat/>
    <w:locked/>
    <w:uiPriority w:val="0"/>
    <w:rPr>
      <w:rFonts w:ascii="Arial" w:hAnsi="Arial" w:eastAsia="宋体" w:cs="Times New Roman"/>
      <w:vanish/>
      <w:kern w:val="0"/>
      <w:sz w:val="20"/>
      <w:szCs w:val="20"/>
    </w:rPr>
  </w:style>
  <w:style w:type="paragraph" w:customStyle="1" w:styleId="193">
    <w:name w:val="_Style 54"/>
    <w:basedOn w:val="1"/>
    <w:next w:val="1"/>
    <w:link w:val="192"/>
    <w:autoRedefine/>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4">
    <w:name w:val="样式 标题 3 + (中文) 黑体 小四 非加粗 段前: 7.8 磅 段后: 0 磅 行距: 固定值 20 磅"/>
    <w:autoRedefine/>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5">
    <w:name w:val="样式 标题 2 + Times New Roman 四号 非加粗 段前: 5 磅 段后: 0 磅 行距: 固定值 20..."/>
    <w:autoRedefine/>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6">
    <w:name w:val="纯文本_0"/>
    <w:basedOn w:val="1"/>
    <w:autoRedefine/>
    <w:qFormat/>
    <w:uiPriority w:val="99"/>
    <w:pPr>
      <w:spacing w:line="440" w:lineRule="exact"/>
      <w:ind w:firstLine="100" w:firstLineChars="100"/>
    </w:pPr>
    <w:rPr>
      <w:rFonts w:ascii="宋体" w:hAnsi="Courier New" w:eastAsia="宋体" w:cs="Times New Roman"/>
      <w:szCs w:val="21"/>
    </w:rPr>
  </w:style>
  <w:style w:type="paragraph" w:customStyle="1" w:styleId="197">
    <w:name w:val="msonormal"/>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8">
    <w:name w:val="font5"/>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99">
    <w:name w:val="font6"/>
    <w:basedOn w:val="1"/>
    <w:autoRedefine/>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0">
    <w:name w:val="font7"/>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1">
    <w:name w:val="font8"/>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2">
    <w:name w:val="xl106"/>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xl107"/>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xl108"/>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9"/>
    <w:basedOn w:val="1"/>
    <w:autoRedefine/>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6">
    <w:name w:val="xl11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7">
    <w:name w:val="xl111"/>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8">
    <w:name w:val="xl112"/>
    <w:basedOn w:val="1"/>
    <w:autoRedefine/>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13"/>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1">
    <w:name w:val="xl115"/>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2">
    <w:name w:val="xl116"/>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3">
    <w:name w:val="xl11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4">
    <w:name w:val="xl11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6">
    <w:name w:val="xl12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21"/>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8">
    <w:name w:val="xl122"/>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9">
    <w:name w:val="xl12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4"/>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5"/>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2">
    <w:name w:val="xl12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3">
    <w:name w:val="xl127"/>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8"/>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3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7">
    <w:name w:val="xl13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29">
    <w:name w:val="xl133"/>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4"/>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2">
    <w:name w:val="xl136"/>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7"/>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8"/>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6">
    <w:name w:val="xl14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4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2"/>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3">
    <w:name w:val="xl14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5">
    <w:name w:val="xl14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50"/>
    <w:basedOn w:val="1"/>
    <w:autoRedefine/>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7">
    <w:name w:val="xl151"/>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2"/>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49">
    <w:name w:val="xl153"/>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0">
    <w:name w:val="xl154"/>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1">
    <w:name w:val="xl15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6"/>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7"/>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4">
    <w:name w:val="列表段落 字符"/>
    <w:link w:val="255"/>
    <w:autoRedefine/>
    <w:qFormat/>
    <w:locked/>
    <w:uiPriority w:val="34"/>
    <w:rPr>
      <w:rFonts w:ascii="宋体" w:hAnsi="宋体" w:eastAsia="宋体" w:cs="宋体"/>
      <w:kern w:val="0"/>
      <w:sz w:val="24"/>
      <w:szCs w:val="24"/>
    </w:rPr>
  </w:style>
  <w:style w:type="paragraph" w:customStyle="1" w:styleId="255">
    <w:name w:val="列表段落1"/>
    <w:basedOn w:val="1"/>
    <w:next w:val="112"/>
    <w:link w:val="254"/>
    <w:autoRedefine/>
    <w:qFormat/>
    <w:uiPriority w:val="34"/>
    <w:pPr>
      <w:widowControl/>
      <w:ind w:firstLine="420" w:firstLineChars="200"/>
      <w:jc w:val="left"/>
    </w:pPr>
    <w:rPr>
      <w:rFonts w:ascii="宋体" w:hAnsi="宋体" w:eastAsia="宋体" w:cs="宋体"/>
      <w:kern w:val="0"/>
      <w:sz w:val="24"/>
      <w:szCs w:val="24"/>
    </w:rPr>
  </w:style>
  <w:style w:type="paragraph" w:customStyle="1" w:styleId="256">
    <w:name w:val="项目1"/>
    <w:basedOn w:val="1"/>
    <w:autoRedefine/>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7">
    <w:name w:val="图片居中"/>
    <w:basedOn w:val="1"/>
    <w:autoRedefine/>
    <w:qFormat/>
    <w:uiPriority w:val="99"/>
    <w:pPr>
      <w:keepNext/>
      <w:jc w:val="center"/>
    </w:pPr>
    <w:rPr>
      <w:rFonts w:ascii="Times New Roman" w:hAnsi="Times New Roman" w:eastAsia="宋体" w:cs="Times New Roman"/>
    </w:rPr>
  </w:style>
  <w:style w:type="paragraph" w:customStyle="1" w:styleId="258">
    <w:name w:val="表格(五号)"/>
    <w:autoRedefine/>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59">
    <w:name w:val="图片题注"/>
    <w:basedOn w:val="18"/>
    <w:autoRedefine/>
    <w:qFormat/>
    <w:uiPriority w:val="99"/>
  </w:style>
  <w:style w:type="paragraph" w:customStyle="1" w:styleId="260">
    <w:name w:val="表格正文"/>
    <w:basedOn w:val="1"/>
    <w:autoRedefine/>
    <w:qFormat/>
    <w:uiPriority w:val="99"/>
    <w:pPr>
      <w:widowControl/>
      <w:jc w:val="left"/>
    </w:pPr>
    <w:rPr>
      <w:rFonts w:ascii="宋体" w:hAnsi="宋体" w:eastAsia="宋体" w:cs="宋体"/>
      <w:szCs w:val="28"/>
    </w:rPr>
  </w:style>
  <w:style w:type="paragraph" w:customStyle="1" w:styleId="261">
    <w:name w:val="修订1"/>
    <w:autoRedefine/>
    <w:qFormat/>
    <w:uiPriority w:val="99"/>
    <w:rPr>
      <w:rFonts w:ascii="Times New Roman" w:hAnsi="Times New Roman" w:eastAsia="宋体" w:cs="Times New Roman"/>
      <w:kern w:val="2"/>
      <w:sz w:val="21"/>
      <w:szCs w:val="22"/>
      <w:lang w:val="en-US" w:eastAsia="zh-CN" w:bidi="ar-SA"/>
    </w:rPr>
  </w:style>
  <w:style w:type="paragraph" w:customStyle="1" w:styleId="262">
    <w:name w:val="修订2"/>
    <w:autoRedefine/>
    <w:qFormat/>
    <w:uiPriority w:val="99"/>
    <w:rPr>
      <w:rFonts w:ascii="Times New Roman" w:hAnsi="Times New Roman" w:eastAsia="宋体" w:cs="Times New Roman"/>
      <w:kern w:val="2"/>
      <w:sz w:val="21"/>
      <w:szCs w:val="22"/>
      <w:lang w:val="en-US" w:eastAsia="zh-CN" w:bidi="ar-SA"/>
    </w:rPr>
  </w:style>
  <w:style w:type="paragraph" w:customStyle="1" w:styleId="263">
    <w:name w:val="修订3"/>
    <w:autoRedefine/>
    <w:semiHidden/>
    <w:qFormat/>
    <w:uiPriority w:val="99"/>
    <w:rPr>
      <w:rFonts w:ascii="Times New Roman" w:hAnsi="Times New Roman" w:eastAsia="宋体" w:cs="Times New Roman"/>
      <w:kern w:val="2"/>
      <w:sz w:val="21"/>
      <w:szCs w:val="22"/>
      <w:lang w:val="en-US" w:eastAsia="zh-CN" w:bidi="ar-SA"/>
    </w:rPr>
  </w:style>
  <w:style w:type="paragraph" w:customStyle="1" w:styleId="264">
    <w:name w:val="xl6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5">
    <w:name w:val="xl6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6">
    <w:name w:val="xl6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0">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2">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3">
    <w:name w:val="xl76"/>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4">
    <w:name w:val="xl77"/>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6">
    <w:name w:val="xl7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7">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81"/>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2"/>
    <w:basedOn w:val="1"/>
    <w:autoRedefine/>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1">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6"/>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4">
    <w:name w:val="xl87"/>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6">
    <w:name w:val="xl89"/>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90"/>
    <w:basedOn w:val="1"/>
    <w:autoRedefine/>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8">
    <w:name w:val="xl91"/>
    <w:basedOn w:val="1"/>
    <w:autoRedefine/>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2"/>
    <w:basedOn w:val="1"/>
    <w:autoRedefine/>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3"/>
    <w:basedOn w:val="1"/>
    <w:autoRedefine/>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4"/>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5">
    <w:name w:val="xl98"/>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1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8">
    <w:name w:val="xl101"/>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2"/>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1">
    <w:name w:val="xl104"/>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6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4">
    <w:name w:val="xl66"/>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5">
    <w:name w:val="修订4"/>
    <w:autoRedefine/>
    <w:qFormat/>
    <w:uiPriority w:val="99"/>
    <w:rPr>
      <w:rFonts w:ascii="Times New Roman" w:hAnsi="Times New Roman" w:eastAsia="宋体" w:cs="Times New Roman"/>
      <w:kern w:val="2"/>
      <w:sz w:val="21"/>
      <w:szCs w:val="22"/>
      <w:lang w:val="en-US" w:eastAsia="zh-CN" w:bidi="ar-SA"/>
    </w:rPr>
  </w:style>
  <w:style w:type="character" w:customStyle="1" w:styleId="306">
    <w:name w:val="font21"/>
    <w:basedOn w:val="69"/>
    <w:autoRedefine/>
    <w:qFormat/>
    <w:uiPriority w:val="0"/>
    <w:rPr>
      <w:rFonts w:hint="eastAsia" w:ascii="等线" w:hAnsi="等线" w:eastAsia="等线" w:cs="等线"/>
      <w:color w:val="000000"/>
      <w:sz w:val="22"/>
      <w:szCs w:val="22"/>
      <w:u w:val="none"/>
    </w:rPr>
  </w:style>
  <w:style w:type="character" w:customStyle="1" w:styleId="307">
    <w:name w:val="apple-converted-space"/>
    <w:autoRedefine/>
    <w:qFormat/>
    <w:uiPriority w:val="0"/>
    <w:rPr>
      <w:rFonts w:hint="default" w:ascii="Times New Roman" w:hAnsi="Times New Roman" w:cs="Times New Roman"/>
    </w:rPr>
  </w:style>
  <w:style w:type="character" w:customStyle="1" w:styleId="308">
    <w:name w:val="正文文本缩进 3 Char1"/>
    <w:basedOn w:val="69"/>
    <w:autoRedefine/>
    <w:qFormat/>
    <w:uiPriority w:val="0"/>
    <w:rPr>
      <w:rFonts w:hint="default" w:ascii="Times New Roman" w:hAnsi="Times New Roman" w:eastAsia="宋体" w:cs="Times New Roman"/>
      <w:sz w:val="16"/>
      <w:szCs w:val="16"/>
    </w:rPr>
  </w:style>
  <w:style w:type="character" w:customStyle="1" w:styleId="309">
    <w:name w:val="批注文字 Char1"/>
    <w:basedOn w:val="69"/>
    <w:autoRedefine/>
    <w:qFormat/>
    <w:uiPriority w:val="0"/>
    <w:rPr>
      <w:rFonts w:hint="default" w:ascii="Times New Roman" w:hAnsi="Times New Roman" w:eastAsia="宋体" w:cs="Times New Roman"/>
    </w:rPr>
  </w:style>
  <w:style w:type="character" w:customStyle="1" w:styleId="310">
    <w:name w:val="apple-tab-span"/>
    <w:autoRedefine/>
    <w:qFormat/>
    <w:uiPriority w:val="0"/>
    <w:rPr>
      <w:rFonts w:hint="default" w:ascii="Times New Roman" w:hAnsi="Times New Roman" w:cs="Times New Roman"/>
    </w:rPr>
  </w:style>
  <w:style w:type="character" w:customStyle="1" w:styleId="311">
    <w:name w:val="font11"/>
    <w:basedOn w:val="69"/>
    <w:autoRedefine/>
    <w:qFormat/>
    <w:uiPriority w:val="0"/>
    <w:rPr>
      <w:rFonts w:hint="default" w:ascii="Times New Roman" w:hAnsi="Times New Roman" w:cs="Times New Roman"/>
      <w:color w:val="000000"/>
      <w:sz w:val="20"/>
      <w:szCs w:val="20"/>
      <w:u w:val="none"/>
    </w:rPr>
  </w:style>
  <w:style w:type="character" w:customStyle="1" w:styleId="312">
    <w:name w:val="font31"/>
    <w:basedOn w:val="69"/>
    <w:autoRedefine/>
    <w:qFormat/>
    <w:uiPriority w:val="0"/>
    <w:rPr>
      <w:rFonts w:hint="eastAsia" w:ascii="等线" w:hAnsi="等线" w:eastAsia="等线" w:cs="等线"/>
      <w:color w:val="000000"/>
      <w:sz w:val="22"/>
      <w:szCs w:val="22"/>
      <w:u w:val="none"/>
    </w:rPr>
  </w:style>
  <w:style w:type="character" w:customStyle="1" w:styleId="313">
    <w:name w:val="正文文本缩进 Char1"/>
    <w:basedOn w:val="69"/>
    <w:autoRedefine/>
    <w:qFormat/>
    <w:uiPriority w:val="0"/>
    <w:rPr>
      <w:rFonts w:hint="default" w:ascii="Times New Roman" w:hAnsi="Times New Roman" w:eastAsia="宋体" w:cs="Times New Roman"/>
    </w:rPr>
  </w:style>
  <w:style w:type="character" w:customStyle="1" w:styleId="314">
    <w:name w:val="正文文本 3 Char1"/>
    <w:basedOn w:val="69"/>
    <w:autoRedefine/>
    <w:qFormat/>
    <w:uiPriority w:val="0"/>
    <w:rPr>
      <w:rFonts w:hint="default" w:ascii="Times New Roman" w:hAnsi="Times New Roman" w:eastAsia="宋体" w:cs="Times New Roman"/>
      <w:sz w:val="16"/>
      <w:szCs w:val="16"/>
    </w:rPr>
  </w:style>
  <w:style w:type="character" w:customStyle="1" w:styleId="315">
    <w:name w:val="正文文本 Char1"/>
    <w:basedOn w:val="69"/>
    <w:autoRedefine/>
    <w:qFormat/>
    <w:uiPriority w:val="0"/>
    <w:rPr>
      <w:rFonts w:hint="default" w:ascii="Times New Roman" w:hAnsi="Times New Roman" w:eastAsia="宋体" w:cs="Times New Roman"/>
    </w:rPr>
  </w:style>
  <w:style w:type="character" w:customStyle="1" w:styleId="316">
    <w:name w:val="font01"/>
    <w:basedOn w:val="69"/>
    <w:autoRedefine/>
    <w:qFormat/>
    <w:uiPriority w:val="0"/>
    <w:rPr>
      <w:rFonts w:hint="eastAsia" w:ascii="宋体" w:hAnsi="宋体" w:eastAsia="宋体" w:cs="宋体"/>
      <w:color w:val="000000"/>
      <w:sz w:val="20"/>
      <w:szCs w:val="20"/>
      <w:u w:val="none"/>
    </w:rPr>
  </w:style>
  <w:style w:type="character" w:customStyle="1" w:styleId="317">
    <w:name w:val="纯文本 Char2"/>
    <w:basedOn w:val="69"/>
    <w:autoRedefine/>
    <w:qFormat/>
    <w:uiPriority w:val="0"/>
    <w:rPr>
      <w:rFonts w:hint="eastAsia" w:ascii="宋体" w:hAnsi="Courier New" w:eastAsia="宋体" w:cs="Courier New"/>
      <w:sz w:val="21"/>
      <w:szCs w:val="21"/>
    </w:rPr>
  </w:style>
  <w:style w:type="character" w:customStyle="1" w:styleId="318">
    <w:name w:val="文档结构图 Char1"/>
    <w:basedOn w:val="69"/>
    <w:autoRedefine/>
    <w:qFormat/>
    <w:uiPriority w:val="0"/>
    <w:rPr>
      <w:rFonts w:hint="eastAsia" w:ascii="宋体" w:hAnsi="Times New Roman" w:eastAsia="宋体" w:cs="Times New Roman"/>
      <w:sz w:val="18"/>
      <w:szCs w:val="18"/>
    </w:rPr>
  </w:style>
  <w:style w:type="character" w:customStyle="1" w:styleId="319">
    <w:name w:val="纯文本 Char1"/>
    <w:autoRedefine/>
    <w:qFormat/>
    <w:uiPriority w:val="0"/>
    <w:rPr>
      <w:rFonts w:hint="eastAsia" w:ascii="宋体" w:hAnsi="Courier New" w:eastAsia="宋体"/>
      <w:sz w:val="21"/>
    </w:rPr>
  </w:style>
  <w:style w:type="character" w:customStyle="1" w:styleId="320">
    <w:name w:val="日期 Char1"/>
    <w:basedOn w:val="69"/>
    <w:autoRedefine/>
    <w:qFormat/>
    <w:uiPriority w:val="0"/>
    <w:rPr>
      <w:rFonts w:hint="default" w:ascii="Times New Roman" w:hAnsi="Times New Roman" w:eastAsia="宋体" w:cs="Times New Roman"/>
    </w:rPr>
  </w:style>
  <w:style w:type="character" w:customStyle="1" w:styleId="321">
    <w:name w:val="正文文本缩进 2 Char1"/>
    <w:basedOn w:val="69"/>
    <w:autoRedefine/>
    <w:qFormat/>
    <w:uiPriority w:val="0"/>
    <w:rPr>
      <w:rFonts w:hint="default" w:ascii="Times New Roman" w:hAnsi="Times New Roman" w:eastAsia="宋体" w:cs="Times New Roman"/>
    </w:rPr>
  </w:style>
  <w:style w:type="character" w:customStyle="1" w:styleId="322">
    <w:name w:val="批注框文本 Char1"/>
    <w:basedOn w:val="69"/>
    <w:autoRedefine/>
    <w:qFormat/>
    <w:uiPriority w:val="0"/>
    <w:rPr>
      <w:rFonts w:hint="default" w:ascii="Times New Roman" w:hAnsi="Times New Roman" w:eastAsia="宋体" w:cs="Times New Roman"/>
      <w:sz w:val="18"/>
      <w:szCs w:val="18"/>
    </w:rPr>
  </w:style>
  <w:style w:type="character" w:customStyle="1" w:styleId="323">
    <w:name w:val="正文文本 2 Char1"/>
    <w:basedOn w:val="69"/>
    <w:autoRedefine/>
    <w:qFormat/>
    <w:uiPriority w:val="0"/>
    <w:rPr>
      <w:rFonts w:hint="default" w:ascii="Times New Roman" w:hAnsi="Times New Roman" w:eastAsia="宋体" w:cs="Times New Roman"/>
    </w:rPr>
  </w:style>
  <w:style w:type="character" w:customStyle="1" w:styleId="324">
    <w:name w:val="大黑10.5px"/>
    <w:autoRedefine/>
    <w:qFormat/>
    <w:uiPriority w:val="0"/>
    <w:rPr>
      <w:rFonts w:hint="eastAsia" w:ascii="方正大黑简体" w:eastAsia="方正大黑简体"/>
      <w:sz w:val="21"/>
    </w:rPr>
  </w:style>
  <w:style w:type="character" w:customStyle="1" w:styleId="325">
    <w:name w:val="黑简10.5px"/>
    <w:autoRedefine/>
    <w:qFormat/>
    <w:uiPriority w:val="0"/>
    <w:rPr>
      <w:rFonts w:hint="eastAsia" w:ascii="方正黑体简体" w:hAnsi="方正黑体简体" w:eastAsia="方正黑体简体"/>
      <w:sz w:val="21"/>
    </w:rPr>
  </w:style>
  <w:style w:type="character" w:customStyle="1" w:styleId="326">
    <w:name w:val="jbox-icon-warning"/>
    <w:basedOn w:val="69"/>
    <w:autoRedefine/>
    <w:qFormat/>
    <w:uiPriority w:val="0"/>
    <w:rPr>
      <w:rFonts w:hint="default" w:ascii="Times New Roman" w:hAnsi="Times New Roman" w:cs="Times New Roman"/>
    </w:rPr>
  </w:style>
  <w:style w:type="character" w:customStyle="1" w:styleId="327">
    <w:name w:val="hover9"/>
    <w:autoRedefine/>
    <w:qFormat/>
    <w:uiPriority w:val="0"/>
    <w:rPr>
      <w:shd w:val="clear" w:color="auto" w:fill="EEEEEE"/>
    </w:rPr>
  </w:style>
  <w:style w:type="character" w:customStyle="1" w:styleId="328">
    <w:name w:val="hour_pm"/>
    <w:basedOn w:val="69"/>
    <w:autoRedefine/>
    <w:qFormat/>
    <w:uiPriority w:val="0"/>
    <w:rPr>
      <w:rFonts w:hint="default" w:ascii="Times New Roman" w:hAnsi="Times New Roman" w:cs="Times New Roman"/>
    </w:rPr>
  </w:style>
  <w:style w:type="character" w:customStyle="1" w:styleId="329">
    <w:name w:val="jbox-icon-info"/>
    <w:basedOn w:val="69"/>
    <w:autoRedefine/>
    <w:qFormat/>
    <w:uiPriority w:val="0"/>
    <w:rPr>
      <w:rFonts w:hint="default" w:ascii="Times New Roman" w:hAnsi="Times New Roman" w:cs="Times New Roman"/>
    </w:rPr>
  </w:style>
  <w:style w:type="character" w:customStyle="1" w:styleId="330">
    <w:name w:val="black601"/>
    <w:autoRedefine/>
    <w:qFormat/>
    <w:uiPriority w:val="0"/>
    <w:rPr>
      <w:color w:val="666666"/>
    </w:rPr>
  </w:style>
  <w:style w:type="character" w:customStyle="1" w:styleId="331">
    <w:name w:val="hour_am"/>
    <w:basedOn w:val="69"/>
    <w:autoRedefine/>
    <w:qFormat/>
    <w:uiPriority w:val="0"/>
    <w:rPr>
      <w:rFonts w:hint="default" w:ascii="Times New Roman" w:hAnsi="Times New Roman" w:cs="Times New Roman"/>
    </w:rPr>
  </w:style>
  <w:style w:type="character" w:customStyle="1" w:styleId="332">
    <w:name w:val="jbox-icon-error"/>
    <w:basedOn w:val="69"/>
    <w:autoRedefine/>
    <w:qFormat/>
    <w:uiPriority w:val="0"/>
    <w:rPr>
      <w:rFonts w:hint="default" w:ascii="Times New Roman" w:hAnsi="Times New Roman" w:cs="Times New Roman"/>
    </w:rPr>
  </w:style>
  <w:style w:type="character" w:customStyle="1" w:styleId="333">
    <w:name w:val="jbox-icon-success"/>
    <w:basedOn w:val="69"/>
    <w:autoRedefine/>
    <w:qFormat/>
    <w:uiPriority w:val="0"/>
    <w:rPr>
      <w:rFonts w:hint="default" w:ascii="Times New Roman" w:hAnsi="Times New Roman" w:cs="Times New Roman"/>
    </w:rPr>
  </w:style>
  <w:style w:type="character" w:customStyle="1" w:styleId="334">
    <w:name w:val="maywed421"/>
    <w:autoRedefine/>
    <w:qFormat/>
    <w:uiPriority w:val="0"/>
    <w:rPr>
      <w:color w:val="366FB6"/>
      <w:u w:val="none"/>
    </w:rPr>
  </w:style>
  <w:style w:type="character" w:customStyle="1" w:styleId="335">
    <w:name w:val="正文文本缩进 字符1"/>
    <w:autoRedefine/>
    <w:qFormat/>
    <w:uiPriority w:val="0"/>
    <w:rPr>
      <w:rFonts w:hint="eastAsia" w:ascii="宋体" w:hAnsi="Courier New" w:eastAsia="宋体"/>
      <w:spacing w:val="-4"/>
      <w:kern w:val="2"/>
      <w:sz w:val="18"/>
    </w:rPr>
  </w:style>
  <w:style w:type="character" w:customStyle="1" w:styleId="336">
    <w:name w:val="jbox-icon-question"/>
    <w:basedOn w:val="69"/>
    <w:autoRedefine/>
    <w:qFormat/>
    <w:uiPriority w:val="0"/>
    <w:rPr>
      <w:rFonts w:hint="default" w:ascii="Times New Roman" w:hAnsi="Times New Roman" w:cs="Times New Roman"/>
    </w:rPr>
  </w:style>
  <w:style w:type="character" w:customStyle="1" w:styleId="337">
    <w:name w:val="jbox-icon-loading"/>
    <w:basedOn w:val="69"/>
    <w:autoRedefine/>
    <w:qFormat/>
    <w:uiPriority w:val="0"/>
    <w:rPr>
      <w:rFonts w:hint="default" w:ascii="Times New Roman" w:hAnsi="Times New Roman" w:cs="Times New Roman"/>
    </w:rPr>
  </w:style>
  <w:style w:type="character" w:customStyle="1" w:styleId="338">
    <w:name w:val="标题 1 Char Char"/>
    <w:autoRedefine/>
    <w:qFormat/>
    <w:uiPriority w:val="0"/>
    <w:rPr>
      <w:rFonts w:hint="eastAsia" w:ascii="宋体" w:hAnsi="宋体" w:eastAsia="宋体"/>
      <w:b/>
      <w:spacing w:val="-2"/>
      <w:sz w:val="24"/>
      <w:lang w:val="en-US" w:eastAsia="zh-CN"/>
    </w:rPr>
  </w:style>
  <w:style w:type="character" w:customStyle="1" w:styleId="339">
    <w:name w:val="jbox-icon-none"/>
    <w:autoRedefine/>
    <w:qFormat/>
    <w:uiPriority w:val="0"/>
    <w:rPr>
      <w:vanish/>
    </w:rPr>
  </w:style>
  <w:style w:type="character" w:customStyle="1" w:styleId="340">
    <w:name w:val="sub_title s0"/>
    <w:basedOn w:val="69"/>
    <w:autoRedefine/>
    <w:qFormat/>
    <w:uiPriority w:val="0"/>
    <w:rPr>
      <w:rFonts w:hint="default" w:ascii="Times New Roman" w:hAnsi="Times New Roman" w:cs="Times New Roman"/>
    </w:rPr>
  </w:style>
  <w:style w:type="character" w:customStyle="1" w:styleId="341">
    <w:name w:val="纯文本 字符2"/>
    <w:autoRedefine/>
    <w:qFormat/>
    <w:uiPriority w:val="0"/>
    <w:rPr>
      <w:rFonts w:hint="eastAsia" w:ascii="宋体" w:hAnsi="Courier New" w:eastAsia="宋体"/>
      <w:kern w:val="2"/>
      <w:sz w:val="24"/>
    </w:rPr>
  </w:style>
  <w:style w:type="character" w:customStyle="1" w:styleId="342">
    <w:name w:val="jbox-icon"/>
    <w:basedOn w:val="69"/>
    <w:autoRedefine/>
    <w:qFormat/>
    <w:uiPriority w:val="0"/>
    <w:rPr>
      <w:rFonts w:hint="default" w:ascii="Times New Roman" w:hAnsi="Times New Roman" w:cs="Times New Roman"/>
    </w:rPr>
  </w:style>
  <w:style w:type="character" w:customStyle="1" w:styleId="343">
    <w:name w:val="old"/>
    <w:autoRedefine/>
    <w:qFormat/>
    <w:uiPriority w:val="0"/>
    <w:rPr>
      <w:color w:val="999999"/>
    </w:rPr>
  </w:style>
  <w:style w:type="character" w:customStyle="1" w:styleId="344">
    <w:name w:val="font41"/>
    <w:basedOn w:val="69"/>
    <w:autoRedefine/>
    <w:qFormat/>
    <w:uiPriority w:val="0"/>
    <w:rPr>
      <w:rFonts w:hint="eastAsia" w:ascii="宋体" w:hAnsi="宋体" w:eastAsia="宋体" w:cs="宋体"/>
      <w:b/>
      <w:bCs/>
      <w:color w:val="000000"/>
      <w:sz w:val="24"/>
      <w:szCs w:val="24"/>
      <w:u w:val="none"/>
    </w:rPr>
  </w:style>
  <w:style w:type="character" w:customStyle="1" w:styleId="345">
    <w:name w:val="font12"/>
    <w:basedOn w:val="69"/>
    <w:autoRedefine/>
    <w:qFormat/>
    <w:uiPriority w:val="0"/>
    <w:rPr>
      <w:rFonts w:hint="default" w:ascii="Times New Roman" w:hAnsi="Times New Roman" w:cs="Times New Roman"/>
      <w:color w:val="000000"/>
      <w:sz w:val="24"/>
      <w:szCs w:val="24"/>
      <w:u w:val="none"/>
    </w:rPr>
  </w:style>
  <w:style w:type="character" w:customStyle="1" w:styleId="346">
    <w:name w:val="font111"/>
    <w:basedOn w:val="69"/>
    <w:autoRedefine/>
    <w:qFormat/>
    <w:uiPriority w:val="0"/>
    <w:rPr>
      <w:rFonts w:hint="eastAsia" w:ascii="宋体" w:hAnsi="宋体" w:eastAsia="宋体" w:cs="宋体"/>
      <w:color w:val="000000"/>
      <w:sz w:val="22"/>
      <w:szCs w:val="22"/>
      <w:u w:val="none"/>
    </w:rPr>
  </w:style>
  <w:style w:type="character" w:customStyle="1" w:styleId="347">
    <w:name w:val="标题 7 字符1"/>
    <w:basedOn w:val="69"/>
    <w:autoRedefine/>
    <w:semiHidden/>
    <w:qFormat/>
    <w:uiPriority w:val="9"/>
    <w:rPr>
      <w:b/>
      <w:bCs/>
      <w:sz w:val="24"/>
      <w:szCs w:val="24"/>
    </w:rPr>
  </w:style>
  <w:style w:type="character" w:customStyle="1" w:styleId="348">
    <w:name w:val="标题 8 字符1"/>
    <w:basedOn w:val="69"/>
    <w:autoRedefine/>
    <w:semiHidden/>
    <w:qFormat/>
    <w:uiPriority w:val="9"/>
    <w:rPr>
      <w:rFonts w:hint="default" w:ascii="Cambria" w:hAnsi="Cambria" w:eastAsia="宋体" w:cs="Times New Roman"/>
      <w:sz w:val="24"/>
      <w:szCs w:val="24"/>
    </w:rPr>
  </w:style>
  <w:style w:type="character" w:customStyle="1" w:styleId="349">
    <w:name w:val="标题 9 字符1"/>
    <w:basedOn w:val="69"/>
    <w:autoRedefine/>
    <w:semiHidden/>
    <w:qFormat/>
    <w:uiPriority w:val="9"/>
    <w:rPr>
      <w:rFonts w:hint="default" w:ascii="Cambria" w:hAnsi="Cambria" w:eastAsia="宋体" w:cs="Times New Roman"/>
      <w:szCs w:val="21"/>
    </w:rPr>
  </w:style>
  <w:style w:type="table" w:customStyle="1" w:styleId="350">
    <w:name w:val="Table Normal"/>
    <w:autoRedefine/>
    <w:qFormat/>
    <w:uiPriority w:val="59"/>
    <w:tblPr>
      <w:tblCellMar>
        <w:top w:w="0" w:type="dxa"/>
        <w:left w:w="108" w:type="dxa"/>
        <w:bottom w:w="0" w:type="dxa"/>
        <w:right w:w="108" w:type="dxa"/>
      </w:tblCellMar>
    </w:tblPr>
  </w:style>
  <w:style w:type="table" w:customStyle="1" w:styleId="351">
    <w:name w:val="华信表格(五号)"/>
    <w:basedOn w:val="62"/>
    <w:autoRedefine/>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52">
    <w:name w:val="批注主题 Char1"/>
    <w:basedOn w:val="309"/>
    <w:autoRedefine/>
    <w:qFormat/>
    <w:uiPriority w:val="0"/>
    <w:rPr>
      <w:rFonts w:hint="default" w:ascii="Times New Roman" w:hAnsi="Times New Roman" w:eastAsia="宋体" w:cs="Times New Roman"/>
      <w:b/>
      <w:bCs/>
    </w:rPr>
  </w:style>
  <w:style w:type="paragraph" w:customStyle="1" w:styleId="353">
    <w:name w:val="Body text|1"/>
    <w:basedOn w:val="1"/>
    <w:autoRedefine/>
    <w:qFormat/>
    <w:uiPriority w:val="0"/>
    <w:rPr>
      <w:sz w:val="10"/>
      <w:szCs w:val="10"/>
    </w:rPr>
  </w:style>
  <w:style w:type="paragraph" w:customStyle="1" w:styleId="354">
    <w:name w:val="Picture caption|2"/>
    <w:basedOn w:val="1"/>
    <w:autoRedefine/>
    <w:qFormat/>
    <w:uiPriority w:val="0"/>
    <w:rPr>
      <w:sz w:val="10"/>
      <w:szCs w:val="10"/>
      <w:lang w:val="zh-TW" w:eastAsia="zh-TW" w:bidi="zh-TW"/>
    </w:rPr>
  </w:style>
  <w:style w:type="paragraph" w:customStyle="1" w:styleId="355">
    <w:name w:val="Picture caption|1"/>
    <w:basedOn w:val="1"/>
    <w:autoRedefine/>
    <w:qFormat/>
    <w:uiPriority w:val="0"/>
    <w:rPr>
      <w:rFonts w:ascii="宋体" w:hAnsi="宋体" w:eastAsia="宋体" w:cs="宋体"/>
      <w:sz w:val="9"/>
      <w:szCs w:val="9"/>
    </w:rPr>
  </w:style>
  <w:style w:type="paragraph" w:customStyle="1" w:styleId="356">
    <w:name w:val="Other|2"/>
    <w:basedOn w:val="1"/>
    <w:autoRedefine/>
    <w:qFormat/>
    <w:uiPriority w:val="0"/>
    <w:rPr>
      <w:rFonts w:ascii="宋体" w:hAnsi="宋体" w:eastAsia="宋体" w:cs="宋体"/>
      <w:sz w:val="11"/>
      <w:szCs w:val="11"/>
      <w:lang w:val="zh-TW" w:eastAsia="zh-TW" w:bidi="zh-TW"/>
    </w:rPr>
  </w:style>
  <w:style w:type="paragraph" w:customStyle="1" w:styleId="357">
    <w:name w:val="Other|1"/>
    <w:basedOn w:val="1"/>
    <w:autoRedefine/>
    <w:qFormat/>
    <w:uiPriority w:val="0"/>
    <w:rPr>
      <w:b/>
      <w:bCs/>
      <w:sz w:val="9"/>
      <w:szCs w:val="9"/>
      <w:lang w:val="zh-TW" w:eastAsia="zh-TW" w:bidi="zh-TW"/>
    </w:rPr>
  </w:style>
  <w:style w:type="character" w:customStyle="1" w:styleId="358">
    <w:name w:val="font51"/>
    <w:basedOn w:val="69"/>
    <w:autoRedefine/>
    <w:qFormat/>
    <w:uiPriority w:val="0"/>
    <w:rPr>
      <w:rFonts w:hint="eastAsia" w:ascii="宋体" w:hAnsi="宋体" w:eastAsia="宋体" w:cs="宋体"/>
      <w:color w:val="000000"/>
      <w:sz w:val="20"/>
      <w:szCs w:val="20"/>
      <w:u w:val="none"/>
      <w:vertAlign w:val="superscript"/>
    </w:rPr>
  </w:style>
  <w:style w:type="paragraph" w:customStyle="1" w:styleId="359">
    <w:name w:val="cover"/>
    <w:link w:val="366"/>
    <w:autoRedefine/>
    <w:qFormat/>
    <w:uiPriority w:val="0"/>
    <w:rPr>
      <w:rFonts w:ascii="宋体" w:hAnsi="Cambria" w:eastAsia="宋体" w:cs="宋体"/>
      <w:b/>
      <w:kern w:val="2"/>
      <w:sz w:val="52"/>
      <w:szCs w:val="22"/>
      <w:lang w:val="en-US" w:eastAsia="zh-CN" w:bidi="ar-SA"/>
    </w:rPr>
  </w:style>
  <w:style w:type="character" w:customStyle="1" w:styleId="360">
    <w:name w:val="称呼 字符"/>
    <w:basedOn w:val="69"/>
    <w:link w:val="22"/>
    <w:autoRedefine/>
    <w:qFormat/>
    <w:uiPriority w:val="0"/>
    <w:rPr>
      <w:szCs w:val="24"/>
    </w:rPr>
  </w:style>
  <w:style w:type="character" w:customStyle="1" w:styleId="361">
    <w:name w:val="尾注文本 字符"/>
    <w:basedOn w:val="69"/>
    <w:link w:val="39"/>
    <w:autoRedefine/>
    <w:qFormat/>
    <w:uiPriority w:val="0"/>
    <w:rPr>
      <w:sz w:val="24"/>
    </w:rPr>
  </w:style>
  <w:style w:type="character" w:customStyle="1" w:styleId="362">
    <w:name w:val="副标题 字符"/>
    <w:basedOn w:val="69"/>
    <w:link w:val="45"/>
    <w:autoRedefine/>
    <w:qFormat/>
    <w:uiPriority w:val="0"/>
    <w:rPr>
      <w:rFonts w:ascii="Calibri" w:hAnsi="Calibri" w:cs="宋体"/>
      <w:b/>
      <w:bCs/>
      <w:kern w:val="28"/>
      <w:sz w:val="32"/>
      <w:szCs w:val="32"/>
    </w:rPr>
  </w:style>
  <w:style w:type="character" w:customStyle="1" w:styleId="363">
    <w:name w:val="脚注文本 字符"/>
    <w:basedOn w:val="69"/>
    <w:link w:val="48"/>
    <w:autoRedefine/>
    <w:qFormat/>
    <w:uiPriority w:val="0"/>
    <w:rPr>
      <w:rFonts w:ascii="宋体" w:hAnsi="Calibri" w:cs="宋体"/>
      <w:kern w:val="2"/>
      <w:sz w:val="18"/>
      <w:szCs w:val="18"/>
    </w:rPr>
  </w:style>
  <w:style w:type="character" w:customStyle="1" w:styleId="364">
    <w:name w:val="标题 字符"/>
    <w:basedOn w:val="69"/>
    <w:link w:val="57"/>
    <w:autoRedefine/>
    <w:qFormat/>
    <w:uiPriority w:val="0"/>
    <w:rPr>
      <w:rFonts w:ascii="Cambria" w:hAnsi="Cambria" w:cs="宋体"/>
      <w:b/>
      <w:bCs/>
      <w:kern w:val="2"/>
      <w:sz w:val="32"/>
      <w:szCs w:val="32"/>
    </w:rPr>
  </w:style>
  <w:style w:type="paragraph" w:customStyle="1" w:styleId="365">
    <w:name w:val="Normal Indent1"/>
    <w:autoRedefine/>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6">
    <w:name w:val="cover 字符"/>
    <w:basedOn w:val="69"/>
    <w:link w:val="359"/>
    <w:autoRedefine/>
    <w:qFormat/>
    <w:uiPriority w:val="0"/>
    <w:rPr>
      <w:rFonts w:ascii="宋体" w:hAnsi="Cambria" w:cs="宋体"/>
      <w:b/>
      <w:kern w:val="2"/>
      <w:sz w:val="52"/>
      <w:szCs w:val="22"/>
    </w:rPr>
  </w:style>
  <w:style w:type="paragraph" w:customStyle="1" w:styleId="367">
    <w:name w:val="index"/>
    <w:basedOn w:val="43"/>
    <w:link w:val="369"/>
    <w:autoRedefine/>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8">
    <w:name w:val="TOC 1 字符"/>
    <w:basedOn w:val="69"/>
    <w:link w:val="43"/>
    <w:autoRedefine/>
    <w:qFormat/>
    <w:uiPriority w:val="39"/>
    <w:rPr>
      <w:kern w:val="2"/>
      <w:sz w:val="21"/>
      <w:szCs w:val="22"/>
    </w:rPr>
  </w:style>
  <w:style w:type="character" w:customStyle="1" w:styleId="369">
    <w:name w:val="index 字符"/>
    <w:basedOn w:val="368"/>
    <w:link w:val="367"/>
    <w:autoRedefine/>
    <w:qFormat/>
    <w:uiPriority w:val="0"/>
    <w:rPr>
      <w:rFonts w:hAnsi="Calibri" w:cs="宋体"/>
      <w:kern w:val="2"/>
      <w:sz w:val="21"/>
      <w:szCs w:val="32"/>
    </w:rPr>
  </w:style>
  <w:style w:type="paragraph" w:customStyle="1" w:styleId="370">
    <w:name w:val="form"/>
    <w:basedOn w:val="1"/>
    <w:link w:val="371"/>
    <w:autoRedefine/>
    <w:qFormat/>
    <w:uiPriority w:val="0"/>
    <w:pPr>
      <w:wordWrap w:val="0"/>
      <w:snapToGrid w:val="0"/>
      <w:jc w:val="center"/>
    </w:pPr>
    <w:rPr>
      <w:rFonts w:ascii="宋体" w:hAnsi="Calibri" w:eastAsia="宋体" w:cs="宋体"/>
      <w:szCs w:val="21"/>
    </w:rPr>
  </w:style>
  <w:style w:type="character" w:customStyle="1" w:styleId="371">
    <w:name w:val="form 字符"/>
    <w:basedOn w:val="69"/>
    <w:link w:val="370"/>
    <w:autoRedefine/>
    <w:qFormat/>
    <w:uiPriority w:val="0"/>
    <w:rPr>
      <w:rFonts w:ascii="宋体" w:hAnsi="Calibri" w:cs="宋体"/>
      <w:kern w:val="2"/>
      <w:sz w:val="21"/>
      <w:szCs w:val="21"/>
    </w:rPr>
  </w:style>
  <w:style w:type="paragraph" w:customStyle="1" w:styleId="372">
    <w:name w:val="序号列"/>
    <w:basedOn w:val="112"/>
    <w:link w:val="373"/>
    <w:autoRedefine/>
    <w:qFormat/>
    <w:uiPriority w:val="0"/>
    <w:pPr>
      <w:wordWrap w:val="0"/>
      <w:spacing w:line="360" w:lineRule="auto"/>
      <w:ind w:firstLine="0" w:firstLineChars="0"/>
    </w:pPr>
    <w:rPr>
      <w:rFonts w:ascii="宋体" w:hAnsi="Calibri" w:eastAsia="宋体" w:cs="宋体"/>
    </w:rPr>
  </w:style>
  <w:style w:type="character" w:customStyle="1" w:styleId="373">
    <w:name w:val="序号列 字符"/>
    <w:basedOn w:val="254"/>
    <w:link w:val="372"/>
    <w:autoRedefine/>
    <w:qFormat/>
    <w:uiPriority w:val="0"/>
    <w:rPr>
      <w:rFonts w:ascii="宋体" w:hAnsi="Calibri" w:eastAsia="宋体" w:cs="宋体"/>
      <w:kern w:val="2"/>
      <w:sz w:val="21"/>
      <w:szCs w:val="22"/>
    </w:rPr>
  </w:style>
  <w:style w:type="paragraph" w:customStyle="1" w:styleId="374">
    <w:name w:val="加粗子列表"/>
    <w:basedOn w:val="112"/>
    <w:link w:val="376"/>
    <w:autoRedefine/>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5">
    <w:name w:val="子列2"/>
    <w:basedOn w:val="374"/>
    <w:link w:val="378"/>
    <w:autoRedefine/>
    <w:qFormat/>
    <w:uiPriority w:val="0"/>
    <w:pPr>
      <w:numPr>
        <w:ilvl w:val="1"/>
        <w:numId w:val="0"/>
      </w:numPr>
    </w:pPr>
    <w:rPr>
      <w:b w:val="0"/>
      <w:bCs w:val="0"/>
    </w:rPr>
  </w:style>
  <w:style w:type="character" w:customStyle="1" w:styleId="376">
    <w:name w:val="加粗子列表 字符"/>
    <w:basedOn w:val="254"/>
    <w:link w:val="374"/>
    <w:autoRedefine/>
    <w:qFormat/>
    <w:uiPriority w:val="0"/>
    <w:rPr>
      <w:rFonts w:ascii="宋体" w:hAnsi="Calibri" w:eastAsia="宋体" w:cs="宋体"/>
      <w:b/>
      <w:bCs/>
      <w:kern w:val="2"/>
      <w:sz w:val="21"/>
      <w:szCs w:val="22"/>
    </w:rPr>
  </w:style>
  <w:style w:type="character" w:customStyle="1" w:styleId="377">
    <w:name w:val="纯文本 Char"/>
    <w:link w:val="161"/>
    <w:autoRedefine/>
    <w:qFormat/>
    <w:uiPriority w:val="0"/>
    <w:rPr>
      <w:rFonts w:ascii="宋体" w:hAnsi="Courier New" w:eastAsia="Times New Roman"/>
      <w:kern w:val="2"/>
      <w:sz w:val="30"/>
      <w:szCs w:val="24"/>
    </w:rPr>
  </w:style>
  <w:style w:type="character" w:customStyle="1" w:styleId="378">
    <w:name w:val="子列2 字符"/>
    <w:basedOn w:val="376"/>
    <w:link w:val="375"/>
    <w:autoRedefine/>
    <w:qFormat/>
    <w:uiPriority w:val="0"/>
    <w:rPr>
      <w:rFonts w:ascii="宋体" w:hAnsi="Calibri" w:eastAsia="宋体" w:cs="宋体"/>
      <w:b w:val="0"/>
      <w:bCs w:val="0"/>
      <w:kern w:val="2"/>
      <w:sz w:val="21"/>
      <w:szCs w:val="22"/>
    </w:rPr>
  </w:style>
  <w:style w:type="paragraph" w:customStyle="1" w:styleId="379">
    <w:name w:val="文本块2"/>
    <w:basedOn w:val="1"/>
    <w:autoRedefine/>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0">
    <w:name w:val="纯文本3"/>
    <w:basedOn w:val="1"/>
    <w:autoRedefine/>
    <w:qFormat/>
    <w:uiPriority w:val="99"/>
    <w:pPr>
      <w:adjustRightInd w:val="0"/>
      <w:textAlignment w:val="baseline"/>
    </w:pPr>
    <w:rPr>
      <w:rFonts w:ascii="宋体" w:hAnsi="Courier New" w:eastAsia="楷体_GB2312" w:cs="Times New Roman"/>
      <w:sz w:val="26"/>
      <w:szCs w:val="20"/>
    </w:rPr>
  </w:style>
  <w:style w:type="paragraph" w:customStyle="1" w:styleId="381">
    <w:name w:val="纯文本2"/>
    <w:basedOn w:val="1"/>
    <w:autoRedefine/>
    <w:qFormat/>
    <w:uiPriority w:val="0"/>
    <w:rPr>
      <w:rFonts w:ascii="宋体" w:hAnsi="Courier New" w:eastAsia="仿宋_GB2312" w:cs="Times New Roman"/>
      <w:sz w:val="30"/>
      <w:szCs w:val="24"/>
    </w:rPr>
  </w:style>
  <w:style w:type="paragraph" w:customStyle="1" w:styleId="382">
    <w:name w:val="Body Text Indent1"/>
    <w:basedOn w:val="1"/>
    <w:autoRedefine/>
    <w:qFormat/>
    <w:uiPriority w:val="99"/>
    <w:pPr>
      <w:spacing w:line="200" w:lineRule="exact"/>
      <w:ind w:firstLine="301"/>
    </w:pPr>
    <w:rPr>
      <w:rFonts w:ascii="宋体" w:hAnsi="Courier New" w:eastAsia="宋体" w:cs="Times New Roman"/>
      <w:spacing w:val="-4"/>
      <w:kern w:val="0"/>
      <w:sz w:val="18"/>
      <w:szCs w:val="24"/>
    </w:rPr>
  </w:style>
  <w:style w:type="character" w:customStyle="1" w:styleId="383">
    <w:name w:val="批注框文本 Char"/>
    <w:basedOn w:val="69"/>
    <w:link w:val="384"/>
    <w:autoRedefine/>
    <w:qFormat/>
    <w:uiPriority w:val="0"/>
    <w:rPr>
      <w:rFonts w:ascii="Calibri" w:hAnsi="Calibri"/>
      <w:sz w:val="18"/>
      <w:szCs w:val="18"/>
    </w:rPr>
  </w:style>
  <w:style w:type="paragraph" w:customStyle="1" w:styleId="384">
    <w:name w:val="批注框文本1"/>
    <w:basedOn w:val="1"/>
    <w:link w:val="383"/>
    <w:autoRedefine/>
    <w:qFormat/>
    <w:uiPriority w:val="0"/>
    <w:rPr>
      <w:rFonts w:ascii="Calibri" w:hAnsi="Calibri" w:eastAsia="宋体" w:cs="Times New Roman"/>
      <w:kern w:val="0"/>
      <w:sz w:val="18"/>
      <w:szCs w:val="18"/>
    </w:rPr>
  </w:style>
  <w:style w:type="paragraph" w:customStyle="1" w:styleId="385">
    <w:name w:val="纯文本5"/>
    <w:basedOn w:val="1"/>
    <w:autoRedefine/>
    <w:qFormat/>
    <w:uiPriority w:val="0"/>
    <w:rPr>
      <w:rFonts w:ascii="宋体" w:hAnsi="Courier New" w:eastAsia="仿宋_GB2312" w:cs="Times New Roman"/>
      <w:sz w:val="30"/>
      <w:szCs w:val="24"/>
    </w:rPr>
  </w:style>
  <w:style w:type="paragraph" w:customStyle="1" w:styleId="386">
    <w:name w:val="附件格式"/>
    <w:basedOn w:val="1"/>
    <w:link w:val="387"/>
    <w:autoRedefine/>
    <w:qFormat/>
    <w:uiPriority w:val="0"/>
    <w:pPr>
      <w:wordWrap w:val="0"/>
      <w:spacing w:line="360" w:lineRule="auto"/>
      <w:ind w:firstLine="200" w:firstLineChars="200"/>
    </w:pPr>
    <w:rPr>
      <w:rFonts w:ascii="宋体" w:hAnsi="Calibri" w:eastAsia="宋体" w:cs="宋体"/>
      <w:sz w:val="28"/>
    </w:rPr>
  </w:style>
  <w:style w:type="character" w:customStyle="1" w:styleId="387">
    <w:name w:val="附件格式 字符"/>
    <w:basedOn w:val="69"/>
    <w:link w:val="386"/>
    <w:autoRedefine/>
    <w:qFormat/>
    <w:uiPriority w:val="0"/>
    <w:rPr>
      <w:rFonts w:ascii="宋体" w:hAnsi="Calibri" w:cs="宋体"/>
      <w:kern w:val="2"/>
      <w:sz w:val="28"/>
      <w:szCs w:val="22"/>
    </w:rPr>
  </w:style>
  <w:style w:type="paragraph" w:customStyle="1" w:styleId="388">
    <w:name w:val="大纲"/>
    <w:next w:val="1"/>
    <w:link w:val="389"/>
    <w:autoRedefine/>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89">
    <w:name w:val="大纲 字符"/>
    <w:basedOn w:val="69"/>
    <w:link w:val="388"/>
    <w:autoRedefine/>
    <w:qFormat/>
    <w:uiPriority w:val="0"/>
    <w:rPr>
      <w:rFonts w:ascii="宋体" w:hAnsi="Calibri" w:cs="宋体"/>
      <w:b/>
      <w:bCs/>
      <w:kern w:val="2"/>
      <w:sz w:val="24"/>
      <w:szCs w:val="22"/>
    </w:rPr>
  </w:style>
  <w:style w:type="character" w:customStyle="1" w:styleId="390">
    <w:name w:val="fontstyle01"/>
    <w:autoRedefine/>
    <w:qFormat/>
    <w:uiPriority w:val="0"/>
    <w:rPr>
      <w:rFonts w:hint="eastAsia" w:ascii="宋体" w:hAnsi="宋体" w:eastAsia="宋体"/>
      <w:color w:val="000000"/>
      <w:sz w:val="44"/>
      <w:szCs w:val="44"/>
    </w:rPr>
  </w:style>
  <w:style w:type="character" w:customStyle="1" w:styleId="391">
    <w:name w:val="bookmark-item"/>
    <w:basedOn w:val="69"/>
    <w:autoRedefine/>
    <w:qFormat/>
    <w:uiPriority w:val="0"/>
  </w:style>
  <w:style w:type="character" w:customStyle="1" w:styleId="392">
    <w:name w:val="Body Text Indent Char Char"/>
    <w:basedOn w:val="69"/>
    <w:link w:val="393"/>
    <w:autoRedefine/>
    <w:qFormat/>
    <w:uiPriority w:val="0"/>
  </w:style>
  <w:style w:type="paragraph" w:customStyle="1" w:styleId="393">
    <w:name w:val="正文文本缩进1"/>
    <w:basedOn w:val="1"/>
    <w:link w:val="392"/>
    <w:autoRedefine/>
    <w:qFormat/>
    <w:uiPriority w:val="0"/>
    <w:pPr>
      <w:spacing w:line="200" w:lineRule="exact"/>
      <w:ind w:firstLine="301"/>
    </w:pPr>
    <w:rPr>
      <w:rFonts w:ascii="Times New Roman" w:hAnsi="Times New Roman" w:eastAsia="宋体" w:cs="Times New Roman"/>
      <w:kern w:val="0"/>
      <w:sz w:val="20"/>
      <w:szCs w:val="20"/>
    </w:rPr>
  </w:style>
  <w:style w:type="paragraph" w:customStyle="1" w:styleId="394">
    <w:name w:val="段"/>
    <w:link w:val="413"/>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95">
    <w:name w:val="占位符文本1"/>
    <w:basedOn w:val="69"/>
    <w:autoRedefine/>
    <w:qFormat/>
    <w:uiPriority w:val="99"/>
    <w:rPr>
      <w:color w:val="808080"/>
    </w:rPr>
  </w:style>
  <w:style w:type="paragraph" w:customStyle="1" w:styleId="396">
    <w:name w:val="Char Char1"/>
    <w:basedOn w:val="1"/>
    <w:autoRedefine/>
    <w:qFormat/>
    <w:uiPriority w:val="0"/>
    <w:pPr>
      <w:spacing w:line="360" w:lineRule="auto"/>
      <w:ind w:firstLine="200" w:firstLineChars="200"/>
    </w:pPr>
    <w:rPr>
      <w:rFonts w:ascii="宋体" w:hAnsi="宋体" w:eastAsia="宋体" w:cs="宋体"/>
      <w:sz w:val="24"/>
      <w:szCs w:val="24"/>
    </w:rPr>
  </w:style>
  <w:style w:type="paragraph" w:customStyle="1" w:styleId="397">
    <w:name w:val="4需求"/>
    <w:next w:val="1"/>
    <w:link w:val="399"/>
    <w:autoRedefine/>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8">
    <w:name w:val="3需求"/>
    <w:next w:val="397"/>
    <w:link w:val="401"/>
    <w:autoRedefine/>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399">
    <w:name w:val="4需求 字符"/>
    <w:basedOn w:val="69"/>
    <w:link w:val="397"/>
    <w:autoRedefine/>
    <w:qFormat/>
    <w:uiPriority w:val="0"/>
    <w:rPr>
      <w:rFonts w:ascii="宋体" w:hAnsi="Calibri" w:cs="宋体"/>
      <w:b/>
      <w:bCs/>
      <w:kern w:val="2"/>
      <w:sz w:val="21"/>
      <w:szCs w:val="22"/>
    </w:rPr>
  </w:style>
  <w:style w:type="paragraph" w:customStyle="1" w:styleId="400">
    <w:name w:val="2需求"/>
    <w:next w:val="1"/>
    <w:link w:val="403"/>
    <w:autoRedefine/>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3需求 字符"/>
    <w:basedOn w:val="69"/>
    <w:link w:val="398"/>
    <w:autoRedefine/>
    <w:qFormat/>
    <w:uiPriority w:val="0"/>
    <w:rPr>
      <w:rFonts w:ascii="宋体" w:hAnsi="Calibri" w:cs="宋体"/>
      <w:b/>
      <w:bCs/>
      <w:kern w:val="2"/>
      <w:sz w:val="24"/>
      <w:szCs w:val="22"/>
    </w:rPr>
  </w:style>
  <w:style w:type="paragraph" w:customStyle="1" w:styleId="402">
    <w:name w:val="1需求"/>
    <w:next w:val="1"/>
    <w:link w:val="404"/>
    <w:autoRedefine/>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3">
    <w:name w:val="2需求 字符"/>
    <w:basedOn w:val="69"/>
    <w:link w:val="400"/>
    <w:autoRedefine/>
    <w:qFormat/>
    <w:uiPriority w:val="0"/>
    <w:rPr>
      <w:rFonts w:ascii="宋体" w:hAnsi="Calibri" w:cs="宋体"/>
      <w:b/>
      <w:bCs/>
      <w:kern w:val="2"/>
      <w:sz w:val="24"/>
      <w:szCs w:val="22"/>
    </w:rPr>
  </w:style>
  <w:style w:type="character" w:customStyle="1" w:styleId="404">
    <w:name w:val="1需求 字符"/>
    <w:basedOn w:val="69"/>
    <w:link w:val="402"/>
    <w:autoRedefine/>
    <w:qFormat/>
    <w:uiPriority w:val="0"/>
    <w:rPr>
      <w:rFonts w:ascii="宋体" w:hAnsi="Calibri" w:cs="宋体"/>
      <w:b/>
      <w:bCs/>
      <w:kern w:val="2"/>
      <w:sz w:val="28"/>
      <w:szCs w:val="22"/>
    </w:rPr>
  </w:style>
  <w:style w:type="paragraph" w:customStyle="1" w:styleId="405">
    <w:name w:val="国普正文"/>
    <w:basedOn w:val="1"/>
    <w:autoRedefine/>
    <w:qFormat/>
    <w:uiPriority w:val="0"/>
    <w:pPr>
      <w:spacing w:line="360" w:lineRule="auto"/>
      <w:ind w:firstLine="600" w:firstLineChars="200"/>
    </w:pPr>
    <w:rPr>
      <w:rFonts w:ascii="仿宋_GB2312" w:hAnsi="Calibri" w:eastAsia="仿宋_GB2312" w:cs="Times New Roman"/>
      <w:sz w:val="30"/>
      <w:szCs w:val="30"/>
    </w:rPr>
  </w:style>
  <w:style w:type="character" w:customStyle="1" w:styleId="406">
    <w:name w:val="批注框文本 字符1"/>
    <w:autoRedefine/>
    <w:qFormat/>
    <w:uiPriority w:val="0"/>
    <w:rPr>
      <w:rFonts w:ascii="Times New Roman" w:hAnsi="Times New Roman" w:eastAsia="宋体" w:cs="Times New Roman"/>
      <w:sz w:val="18"/>
      <w:szCs w:val="18"/>
    </w:rPr>
  </w:style>
  <w:style w:type="character" w:customStyle="1" w:styleId="407">
    <w:name w:val="页眉 字符1"/>
    <w:autoRedefine/>
    <w:qFormat/>
    <w:uiPriority w:val="99"/>
    <w:rPr>
      <w:rFonts w:ascii="Times New Roman" w:hAnsi="Times New Roman" w:eastAsia="宋体" w:cs="Times New Roman"/>
      <w:sz w:val="18"/>
      <w:szCs w:val="18"/>
    </w:rPr>
  </w:style>
  <w:style w:type="character" w:customStyle="1" w:styleId="408">
    <w:name w:val="v0066991"/>
    <w:autoRedefine/>
    <w:qFormat/>
    <w:uiPriority w:val="0"/>
    <w:rPr>
      <w:rFonts w:ascii="Arial" w:hAnsi="Arial" w:eastAsia="宋体" w:cs="Times New Roman"/>
      <w:color w:val="000000"/>
      <w:sz w:val="26"/>
      <w:u w:val="none"/>
    </w:rPr>
  </w:style>
  <w:style w:type="character" w:customStyle="1" w:styleId="409">
    <w:name w:val="正文2 Char"/>
    <w:link w:val="171"/>
    <w:autoRedefine/>
    <w:qFormat/>
    <w:uiPriority w:val="0"/>
    <w:rPr>
      <w:kern w:val="2"/>
      <w:sz w:val="24"/>
    </w:rPr>
  </w:style>
  <w:style w:type="character" w:customStyle="1" w:styleId="410">
    <w:name w:val="Char Char7"/>
    <w:autoRedefine/>
    <w:qFormat/>
    <w:uiPriority w:val="0"/>
    <w:rPr>
      <w:rFonts w:ascii="Cambria" w:hAnsi="Cambria" w:eastAsia="仿宋_GB2312" w:cs="Times New Roman"/>
      <w:b/>
      <w:kern w:val="2"/>
      <w:sz w:val="28"/>
    </w:rPr>
  </w:style>
  <w:style w:type="character" w:customStyle="1" w:styleId="411">
    <w:name w:val="Subtle Reference1"/>
    <w:autoRedefine/>
    <w:qFormat/>
    <w:uiPriority w:val="0"/>
    <w:rPr>
      <w:rFonts w:ascii="Calibri" w:hAnsi="Calibri" w:eastAsia="宋体" w:cs="Times New Roman"/>
      <w:smallCaps/>
      <w:color w:val="C0504D"/>
      <w:u w:val="single"/>
    </w:rPr>
  </w:style>
  <w:style w:type="character" w:customStyle="1" w:styleId="412">
    <w:name w:val="正文首行缩进 Char"/>
    <w:autoRedefine/>
    <w:qFormat/>
    <w:uiPriority w:val="0"/>
    <w:rPr>
      <w:rFonts w:ascii="Times New Roman" w:hAnsi="Times New Roman" w:eastAsia="仿宋_GB2312" w:cs="Times New Roman"/>
      <w:kern w:val="2"/>
      <w:sz w:val="21"/>
      <w:szCs w:val="24"/>
    </w:rPr>
  </w:style>
  <w:style w:type="character" w:customStyle="1" w:styleId="413">
    <w:name w:val="段 Char"/>
    <w:link w:val="394"/>
    <w:autoRedefine/>
    <w:qFormat/>
    <w:uiPriority w:val="0"/>
    <w:rPr>
      <w:rFonts w:ascii="宋体"/>
      <w:sz w:val="21"/>
    </w:rPr>
  </w:style>
  <w:style w:type="character" w:customStyle="1" w:styleId="414">
    <w:name w:val="样式1 Char Char"/>
    <w:link w:val="147"/>
    <w:autoRedefine/>
    <w:qFormat/>
    <w:uiPriority w:val="0"/>
    <w:rPr>
      <w:rFonts w:ascii="Calibri" w:hAnsi="Calibri"/>
      <w:b/>
      <w:i/>
      <w:sz w:val="24"/>
      <w:szCs w:val="21"/>
      <w:u w:val="thick"/>
    </w:rPr>
  </w:style>
  <w:style w:type="character" w:customStyle="1" w:styleId="415">
    <w:name w:val="17"/>
    <w:autoRedefine/>
    <w:qFormat/>
    <w:uiPriority w:val="0"/>
    <w:rPr>
      <w:rFonts w:hint="default" w:ascii="Calibri" w:hAnsi="Calibri" w:eastAsia="宋体" w:cs="Times New Roman"/>
      <w:sz w:val="21"/>
      <w:szCs w:val="21"/>
    </w:rPr>
  </w:style>
  <w:style w:type="character" w:customStyle="1" w:styleId="416">
    <w:name w:val="标题 6 Char1"/>
    <w:autoRedefine/>
    <w:qFormat/>
    <w:uiPriority w:val="0"/>
    <w:rPr>
      <w:rFonts w:ascii="Arial" w:hAnsi="Arial" w:eastAsia="黑体" w:cs="Times New Roman"/>
      <w:b/>
      <w:kern w:val="2"/>
      <w:sz w:val="24"/>
    </w:rPr>
  </w:style>
  <w:style w:type="character" w:customStyle="1" w:styleId="417">
    <w:name w:val="自定义正文 Char Char"/>
    <w:autoRedefine/>
    <w:qFormat/>
    <w:uiPriority w:val="0"/>
    <w:rPr>
      <w:rFonts w:ascii="Calibri" w:hAnsi="Calibri" w:eastAsia="宋体" w:cs="Times New Roman"/>
      <w:sz w:val="24"/>
    </w:rPr>
  </w:style>
  <w:style w:type="character" w:customStyle="1" w:styleId="418">
    <w:name w:val="正文文本 Char3"/>
    <w:autoRedefine/>
    <w:qFormat/>
    <w:uiPriority w:val="0"/>
    <w:rPr>
      <w:rFonts w:ascii="Times New Roman" w:hAnsi="Times New Roman" w:eastAsia="宋体" w:cs="Times New Roman"/>
      <w:sz w:val="20"/>
      <w:szCs w:val="20"/>
    </w:rPr>
  </w:style>
  <w:style w:type="character" w:customStyle="1" w:styleId="419">
    <w:name w:val="标题 2 Char1"/>
    <w:autoRedefine/>
    <w:qFormat/>
    <w:uiPriority w:val="0"/>
    <w:rPr>
      <w:rFonts w:ascii="仿宋_GB2312" w:hAnsi="Calibri" w:eastAsia="仿宋_GB2312" w:cs="Times New Roman"/>
      <w:sz w:val="28"/>
    </w:rPr>
  </w:style>
  <w:style w:type="character" w:customStyle="1" w:styleId="420">
    <w:name w:val="批注引用111"/>
    <w:autoRedefine/>
    <w:qFormat/>
    <w:uiPriority w:val="0"/>
    <w:rPr>
      <w:rFonts w:ascii="Calibri" w:hAnsi="Calibri" w:eastAsia="宋体" w:cs="Times New Roman"/>
      <w:sz w:val="21"/>
      <w:szCs w:val="21"/>
    </w:rPr>
  </w:style>
  <w:style w:type="character" w:customStyle="1" w:styleId="421">
    <w:name w:val="blue"/>
    <w:autoRedefine/>
    <w:qFormat/>
    <w:uiPriority w:val="0"/>
    <w:rPr>
      <w:rFonts w:ascii="Calibri" w:hAnsi="Calibri" w:eastAsia="宋体" w:cs="Times New Roman"/>
    </w:rPr>
  </w:style>
  <w:style w:type="character" w:customStyle="1" w:styleId="422">
    <w:name w:val="段 Char Char"/>
    <w:autoRedefine/>
    <w:qFormat/>
    <w:uiPriority w:val="0"/>
    <w:rPr>
      <w:rFonts w:ascii="宋体" w:hAnsi="Calibri" w:eastAsia="宋体" w:cs="Times New Roman"/>
      <w:lang w:val="en-US" w:eastAsia="zh-CN"/>
    </w:rPr>
  </w:style>
  <w:style w:type="character" w:customStyle="1" w:styleId="423">
    <w:name w:val="标题3 Char"/>
    <w:link w:val="424"/>
    <w:autoRedefine/>
    <w:qFormat/>
    <w:uiPriority w:val="0"/>
    <w:rPr>
      <w:rFonts w:ascii="宋体" w:hAnsi="宋体" w:eastAsia="华文中宋" w:cs="Arial"/>
      <w:b/>
      <w:sz w:val="24"/>
      <w:szCs w:val="24"/>
    </w:rPr>
  </w:style>
  <w:style w:type="paragraph" w:customStyle="1" w:styleId="424">
    <w:name w:val="标题3"/>
    <w:basedOn w:val="1"/>
    <w:next w:val="1"/>
    <w:link w:val="423"/>
    <w:autoRedefine/>
    <w:qFormat/>
    <w:uiPriority w:val="0"/>
    <w:pPr>
      <w:widowControl/>
      <w:jc w:val="left"/>
    </w:pPr>
    <w:rPr>
      <w:rFonts w:ascii="宋体" w:hAnsi="宋体" w:eastAsia="华文中宋" w:cs="Arial"/>
      <w:b/>
      <w:kern w:val="0"/>
      <w:sz w:val="24"/>
      <w:szCs w:val="24"/>
    </w:rPr>
  </w:style>
  <w:style w:type="character" w:customStyle="1" w:styleId="425">
    <w:name w:val="style17"/>
    <w:autoRedefine/>
    <w:qFormat/>
    <w:uiPriority w:val="0"/>
    <w:rPr>
      <w:rFonts w:ascii="Calibri" w:hAnsi="Calibri" w:eastAsia="宋体" w:cs="Times New Roman"/>
    </w:rPr>
  </w:style>
  <w:style w:type="character" w:customStyle="1" w:styleId="426">
    <w:name w:val="g1"/>
    <w:autoRedefine/>
    <w:qFormat/>
    <w:uiPriority w:val="0"/>
    <w:rPr>
      <w:rFonts w:ascii="Calibri" w:hAnsi="Calibri" w:eastAsia="宋体" w:cs="Times New Roman"/>
      <w:color w:val="008000"/>
    </w:rPr>
  </w:style>
  <w:style w:type="character" w:customStyle="1" w:styleId="427">
    <w:name w:val="Char Char9"/>
    <w:autoRedefine/>
    <w:qFormat/>
    <w:uiPriority w:val="0"/>
    <w:rPr>
      <w:rFonts w:ascii="Calibri" w:hAnsi="Calibri" w:eastAsia="宋体" w:cs="Times New Roman"/>
      <w:b/>
      <w:kern w:val="44"/>
      <w:sz w:val="44"/>
    </w:rPr>
  </w:style>
  <w:style w:type="character" w:customStyle="1" w:styleId="428">
    <w:name w:val="页脚 Char3"/>
    <w:autoRedefine/>
    <w:qFormat/>
    <w:uiPriority w:val="0"/>
    <w:rPr>
      <w:rFonts w:ascii="Times New Roman" w:hAnsi="Times New Roman" w:eastAsia="宋体" w:cs="Times New Roman"/>
      <w:sz w:val="20"/>
      <w:szCs w:val="20"/>
    </w:rPr>
  </w:style>
  <w:style w:type="character" w:customStyle="1" w:styleId="429">
    <w:name w:val="称呼 Char"/>
    <w:autoRedefine/>
    <w:qFormat/>
    <w:uiPriority w:val="0"/>
    <w:rPr>
      <w:rFonts w:ascii="Times New Roman" w:hAnsi="Times New Roman" w:eastAsia="宋体" w:cs="Times New Roman"/>
      <w:kern w:val="2"/>
      <w:sz w:val="21"/>
      <w:szCs w:val="24"/>
    </w:rPr>
  </w:style>
  <w:style w:type="character" w:customStyle="1" w:styleId="430">
    <w:name w:val="●一级符号home Char Char1"/>
    <w:link w:val="431"/>
    <w:autoRedefine/>
    <w:qFormat/>
    <w:uiPriority w:val="0"/>
    <w:rPr>
      <w:rFonts w:ascii="Verdana" w:hAnsi="Verdana"/>
      <w:sz w:val="21"/>
      <w:lang w:val="zh-CN"/>
    </w:rPr>
  </w:style>
  <w:style w:type="paragraph" w:customStyle="1" w:styleId="431">
    <w:name w:val="●一级符号home"/>
    <w:basedOn w:val="1"/>
    <w:link w:val="430"/>
    <w:autoRedefine/>
    <w:qFormat/>
    <w:uiPriority w:val="0"/>
    <w:pPr>
      <w:tabs>
        <w:tab w:val="left" w:pos="901"/>
      </w:tabs>
      <w:spacing w:line="360" w:lineRule="auto"/>
    </w:pPr>
    <w:rPr>
      <w:rFonts w:ascii="Verdana" w:hAnsi="Verdana" w:eastAsia="宋体" w:cs="Times New Roman"/>
      <w:kern w:val="0"/>
      <w:szCs w:val="20"/>
      <w:lang w:val="zh-CN"/>
    </w:rPr>
  </w:style>
  <w:style w:type="character" w:customStyle="1" w:styleId="432">
    <w:name w:val="15"/>
    <w:autoRedefine/>
    <w:qFormat/>
    <w:uiPriority w:val="0"/>
    <w:rPr>
      <w:rFonts w:hint="default" w:ascii="Calibri" w:hAnsi="Calibri" w:eastAsia="宋体" w:cs="Times New Roman"/>
      <w:sz w:val="18"/>
      <w:szCs w:val="18"/>
    </w:rPr>
  </w:style>
  <w:style w:type="character" w:customStyle="1" w:styleId="433">
    <w:name w:val="font81"/>
    <w:autoRedefine/>
    <w:qFormat/>
    <w:uiPriority w:val="0"/>
    <w:rPr>
      <w:rFonts w:hint="default" w:ascii="Times New Roman" w:hAnsi="Times New Roman" w:eastAsia="宋体" w:cs="Times New Roman"/>
      <w:color w:val="000000"/>
      <w:sz w:val="18"/>
      <w:szCs w:val="18"/>
      <w:u w:val="none"/>
    </w:rPr>
  </w:style>
  <w:style w:type="character" w:customStyle="1" w:styleId="434">
    <w:name w:val="16"/>
    <w:autoRedefine/>
    <w:qFormat/>
    <w:uiPriority w:val="0"/>
    <w:rPr>
      <w:rFonts w:hint="default" w:ascii="Calibri" w:hAnsi="Calibri" w:eastAsia="宋体" w:cs="Times New Roman"/>
      <w:sz w:val="21"/>
      <w:szCs w:val="21"/>
    </w:rPr>
  </w:style>
  <w:style w:type="character" w:customStyle="1" w:styleId="435">
    <w:name w:val="lf3"/>
    <w:autoRedefine/>
    <w:qFormat/>
    <w:uiPriority w:val="0"/>
    <w:rPr>
      <w:rFonts w:ascii="Calibri" w:hAnsi="Calibri" w:eastAsia="宋体" w:cs="Times New Roman"/>
    </w:rPr>
  </w:style>
  <w:style w:type="character" w:customStyle="1" w:styleId="436">
    <w:name w:val="正文文本缩进 Char2"/>
    <w:autoRedefine/>
    <w:qFormat/>
    <w:uiPriority w:val="0"/>
    <w:rPr>
      <w:rFonts w:ascii="Calibri" w:hAnsi="Calibri" w:eastAsia="宋体" w:cs="Times New Roman"/>
      <w:kern w:val="2"/>
      <w:sz w:val="21"/>
    </w:rPr>
  </w:style>
  <w:style w:type="character" w:customStyle="1" w:styleId="437">
    <w:name w:val="自定义正文 Char"/>
    <w:link w:val="438"/>
    <w:autoRedefine/>
    <w:qFormat/>
    <w:uiPriority w:val="0"/>
    <w:rPr>
      <w:kern w:val="2"/>
      <w:sz w:val="24"/>
    </w:rPr>
  </w:style>
  <w:style w:type="paragraph" w:customStyle="1" w:styleId="438">
    <w:name w:val="自定义正文"/>
    <w:basedOn w:val="1"/>
    <w:link w:val="437"/>
    <w:autoRedefine/>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39">
    <w:name w:val="样式 黑体 二号"/>
    <w:autoRedefine/>
    <w:qFormat/>
    <w:uiPriority w:val="0"/>
    <w:rPr>
      <w:rFonts w:ascii="Arial" w:hAnsi="Arial" w:eastAsia="黑体" w:cs="Times New Roman"/>
      <w:sz w:val="44"/>
    </w:rPr>
  </w:style>
  <w:style w:type="character" w:customStyle="1" w:styleId="440">
    <w:name w:val="标题 Char1"/>
    <w:autoRedefine/>
    <w:qFormat/>
    <w:uiPriority w:val="0"/>
    <w:rPr>
      <w:rFonts w:ascii="Calibri" w:hAnsi="Calibri" w:eastAsia="黑体" w:cs="Times New Roman"/>
      <w:b/>
      <w:sz w:val="28"/>
    </w:rPr>
  </w:style>
  <w:style w:type="character" w:customStyle="1" w:styleId="441">
    <w:name w:val="textfont"/>
    <w:autoRedefine/>
    <w:qFormat/>
    <w:uiPriority w:val="0"/>
    <w:rPr>
      <w:rFonts w:ascii="Calibri" w:hAnsi="Calibri" w:eastAsia="宋体" w:cs="Times New Roman"/>
    </w:rPr>
  </w:style>
  <w:style w:type="character" w:customStyle="1" w:styleId="442">
    <w:name w:val="r13"/>
    <w:autoRedefine/>
    <w:qFormat/>
    <w:uiPriority w:val="0"/>
    <w:rPr>
      <w:rFonts w:ascii="Calibri" w:hAnsi="Calibri" w:eastAsia="宋体" w:cs="Times New Roman"/>
    </w:rPr>
  </w:style>
  <w:style w:type="character" w:customStyle="1" w:styleId="443">
    <w:name w:val="副标题 Char"/>
    <w:autoRedefine/>
    <w:qFormat/>
    <w:uiPriority w:val="0"/>
    <w:rPr>
      <w:rFonts w:ascii="Cambria" w:hAnsi="Cambria" w:eastAsia="宋体" w:cs="Times New Roman"/>
      <w:b/>
      <w:bCs/>
      <w:kern w:val="28"/>
      <w:sz w:val="32"/>
      <w:szCs w:val="32"/>
    </w:rPr>
  </w:style>
  <w:style w:type="character" w:customStyle="1" w:styleId="444">
    <w:name w:val="style15"/>
    <w:autoRedefine/>
    <w:qFormat/>
    <w:uiPriority w:val="0"/>
    <w:rPr>
      <w:rFonts w:ascii="Calibri" w:hAnsi="Calibri" w:eastAsia="宋体" w:cs="Times New Roman"/>
    </w:rPr>
  </w:style>
  <w:style w:type="character" w:customStyle="1" w:styleId="445">
    <w:name w:val="页眉 Char2"/>
    <w:autoRedefine/>
    <w:qFormat/>
    <w:uiPriority w:val="0"/>
    <w:rPr>
      <w:rFonts w:ascii="Calibri" w:hAnsi="Calibri" w:eastAsia="宋体" w:cs="Times New Roman"/>
      <w:kern w:val="2"/>
      <w:sz w:val="18"/>
    </w:rPr>
  </w:style>
  <w:style w:type="character" w:customStyle="1" w:styleId="446">
    <w:name w:val="headline-content2"/>
    <w:autoRedefine/>
    <w:qFormat/>
    <w:uiPriority w:val="0"/>
    <w:rPr>
      <w:rFonts w:ascii="Calibri" w:hAnsi="Calibri" w:eastAsia="宋体" w:cs="Times New Roman"/>
    </w:rPr>
  </w:style>
  <w:style w:type="character" w:customStyle="1" w:styleId="447">
    <w:name w:val="paramname"/>
    <w:autoRedefine/>
    <w:qFormat/>
    <w:uiPriority w:val="0"/>
    <w:rPr>
      <w:rFonts w:ascii="Calibri" w:hAnsi="Calibri" w:eastAsia="宋体" w:cs="Times New Roman"/>
    </w:rPr>
  </w:style>
  <w:style w:type="character" w:customStyle="1" w:styleId="448">
    <w:name w:val="页眉 Char Char"/>
    <w:autoRedefine/>
    <w:qFormat/>
    <w:uiPriority w:val="0"/>
    <w:rPr>
      <w:rFonts w:ascii="Calibri" w:hAnsi="Calibri" w:eastAsia="宋体" w:cs="Times New Roman"/>
      <w:kern w:val="2"/>
      <w:sz w:val="18"/>
      <w:lang w:val="en-US" w:eastAsia="zh-CN"/>
    </w:rPr>
  </w:style>
  <w:style w:type="character" w:customStyle="1" w:styleId="449">
    <w:name w:val="正文2 Char Char"/>
    <w:autoRedefine/>
    <w:qFormat/>
    <w:uiPriority w:val="0"/>
    <w:rPr>
      <w:rFonts w:ascii="Calibri" w:hAnsi="Calibri" w:eastAsia="宋体" w:cs="Times New Roman"/>
      <w:sz w:val="24"/>
    </w:rPr>
  </w:style>
  <w:style w:type="character" w:customStyle="1" w:styleId="450">
    <w:name w:val="正文首行缩进 Char2"/>
    <w:autoRedefine/>
    <w:qFormat/>
    <w:uiPriority w:val="0"/>
    <w:rPr>
      <w:rFonts w:ascii="Calibri" w:hAnsi="Calibri" w:eastAsia="宋体" w:cs="Times New Roman"/>
    </w:rPr>
  </w:style>
  <w:style w:type="paragraph" w:customStyle="1" w:styleId="451">
    <w:name w:val="z-Bottom of Form1"/>
    <w:basedOn w:val="1"/>
    <w:next w:val="1"/>
    <w:autoRedefine/>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2">
    <w:name w:val="批注引用10"/>
    <w:autoRedefine/>
    <w:qFormat/>
    <w:uiPriority w:val="0"/>
    <w:rPr>
      <w:rFonts w:ascii="Calibri" w:hAnsi="Calibri" w:eastAsia="宋体" w:cs="Times New Roman"/>
      <w:sz w:val="21"/>
    </w:rPr>
  </w:style>
  <w:style w:type="character" w:customStyle="1" w:styleId="453">
    <w:name w:val="EmailStyle30"/>
    <w:autoRedefine/>
    <w:qFormat/>
    <w:uiPriority w:val="0"/>
    <w:rPr>
      <w:rFonts w:ascii="Calibri" w:hAnsi="Calibri" w:eastAsia="宋体" w:cs="Times New Roman"/>
      <w:color w:val="000000"/>
    </w:rPr>
  </w:style>
  <w:style w:type="character" w:customStyle="1" w:styleId="454">
    <w:name w:val="批注引用5"/>
    <w:autoRedefine/>
    <w:qFormat/>
    <w:uiPriority w:val="0"/>
    <w:rPr>
      <w:rFonts w:ascii="Calibri" w:hAnsi="Calibri" w:eastAsia="宋体" w:cs="Times New Roman"/>
      <w:sz w:val="21"/>
    </w:rPr>
  </w:style>
  <w:style w:type="character" w:customStyle="1" w:styleId="455">
    <w:name w:val="apple-style-span"/>
    <w:autoRedefine/>
    <w:qFormat/>
    <w:uiPriority w:val="0"/>
    <w:rPr>
      <w:rFonts w:ascii="Calibri" w:hAnsi="Calibri" w:eastAsia="宋体" w:cs="Times New Roman"/>
    </w:rPr>
  </w:style>
  <w:style w:type="character" w:customStyle="1" w:styleId="456">
    <w:name w:val="无 A"/>
    <w:autoRedefine/>
    <w:qFormat/>
    <w:uiPriority w:val="0"/>
    <w:rPr>
      <w:rFonts w:ascii="Calibri" w:hAnsi="Calibri" w:eastAsia="宋体" w:cs="Times New Roman"/>
      <w:lang w:val="en-US"/>
    </w:rPr>
  </w:style>
  <w:style w:type="character" w:customStyle="1" w:styleId="457">
    <w:name w:val="custbt1"/>
    <w:autoRedefine/>
    <w:qFormat/>
    <w:uiPriority w:val="0"/>
    <w:rPr>
      <w:rFonts w:ascii="Calibri" w:hAnsi="Calibri" w:eastAsia="宋体" w:cs="Times New Roman"/>
      <w:color w:val="0066CC"/>
      <w:sz w:val="20"/>
    </w:rPr>
  </w:style>
  <w:style w:type="character" w:customStyle="1" w:styleId="458">
    <w:name w:val="日期 Char2"/>
    <w:autoRedefine/>
    <w:qFormat/>
    <w:uiPriority w:val="0"/>
    <w:rPr>
      <w:rFonts w:ascii="Calibri" w:hAnsi="Calibri" w:eastAsia="宋体" w:cs="Times New Roman"/>
      <w:kern w:val="2"/>
      <w:sz w:val="21"/>
    </w:rPr>
  </w:style>
  <w:style w:type="character" w:customStyle="1" w:styleId="459">
    <w:name w:val="批注引用6"/>
    <w:autoRedefine/>
    <w:qFormat/>
    <w:uiPriority w:val="0"/>
    <w:rPr>
      <w:rFonts w:ascii="Calibri" w:hAnsi="Calibri" w:eastAsia="宋体" w:cs="Times New Roman"/>
      <w:sz w:val="21"/>
    </w:rPr>
  </w:style>
  <w:style w:type="character" w:customStyle="1" w:styleId="460">
    <w:name w:val="font71"/>
    <w:autoRedefine/>
    <w:qFormat/>
    <w:uiPriority w:val="0"/>
    <w:rPr>
      <w:rFonts w:hint="default" w:ascii="Times New Roman" w:hAnsi="Times New Roman" w:eastAsia="楷体_GB2312" w:cs="Times New Roman"/>
      <w:sz w:val="28"/>
      <w:szCs w:val="24"/>
    </w:rPr>
  </w:style>
  <w:style w:type="character" w:customStyle="1" w:styleId="461">
    <w:name w:val="正文首缩两字 Char1"/>
    <w:link w:val="462"/>
    <w:autoRedefine/>
    <w:qFormat/>
    <w:uiPriority w:val="0"/>
    <w:rPr>
      <w:rFonts w:ascii="Verdana" w:hAnsi="Verdana"/>
      <w:sz w:val="24"/>
    </w:rPr>
  </w:style>
  <w:style w:type="paragraph" w:customStyle="1" w:styleId="462">
    <w:name w:val="正文首缩两字"/>
    <w:basedOn w:val="1"/>
    <w:link w:val="461"/>
    <w:autoRedefine/>
    <w:qFormat/>
    <w:uiPriority w:val="0"/>
    <w:pPr>
      <w:spacing w:line="360" w:lineRule="auto"/>
      <w:ind w:firstLine="200" w:firstLineChars="200"/>
    </w:pPr>
    <w:rPr>
      <w:rFonts w:ascii="Verdana" w:hAnsi="Verdana" w:eastAsia="宋体" w:cs="Times New Roman"/>
      <w:kern w:val="0"/>
      <w:sz w:val="24"/>
      <w:szCs w:val="20"/>
    </w:rPr>
  </w:style>
  <w:style w:type="character" w:customStyle="1" w:styleId="463">
    <w:name w:val="ss"/>
    <w:autoRedefine/>
    <w:qFormat/>
    <w:uiPriority w:val="0"/>
    <w:rPr>
      <w:rFonts w:ascii="Calibri" w:hAnsi="Calibri" w:eastAsia="宋体" w:cs="Times New Roman"/>
    </w:rPr>
  </w:style>
  <w:style w:type="character" w:customStyle="1" w:styleId="464">
    <w:name w:val="Char Char6"/>
    <w:autoRedefine/>
    <w:qFormat/>
    <w:uiPriority w:val="0"/>
    <w:rPr>
      <w:rFonts w:ascii="Calibri" w:hAnsi="Calibri" w:eastAsia="宋体" w:cs="Times New Roman"/>
      <w:sz w:val="24"/>
    </w:rPr>
  </w:style>
  <w:style w:type="character" w:customStyle="1" w:styleId="465">
    <w:name w:val="批注文字 Char2"/>
    <w:autoRedefine/>
    <w:qFormat/>
    <w:uiPriority w:val="0"/>
    <w:rPr>
      <w:rFonts w:ascii="Calibri" w:hAnsi="Calibri" w:eastAsia="宋体" w:cs="Times New Roman"/>
      <w:kern w:val="2"/>
      <w:sz w:val="21"/>
    </w:rPr>
  </w:style>
  <w:style w:type="character" w:customStyle="1" w:styleId="466">
    <w:name w:val="font_8"/>
    <w:autoRedefine/>
    <w:qFormat/>
    <w:uiPriority w:val="0"/>
    <w:rPr>
      <w:rFonts w:ascii="Calibri" w:hAnsi="Calibri" w:eastAsia="宋体" w:cs="Times New Roman"/>
    </w:rPr>
  </w:style>
  <w:style w:type="character" w:customStyle="1" w:styleId="467">
    <w:name w:val="批注主题 Char2"/>
    <w:autoRedefine/>
    <w:qFormat/>
    <w:uiPriority w:val="0"/>
    <w:rPr>
      <w:rFonts w:ascii="Calibri" w:hAnsi="Calibri" w:eastAsia="宋体" w:cs="Times New Roman"/>
      <w:b/>
      <w:kern w:val="2"/>
      <w:sz w:val="21"/>
    </w:rPr>
  </w:style>
  <w:style w:type="character" w:customStyle="1" w:styleId="468">
    <w:name w:val="Char Char Char Char Char"/>
    <w:autoRedefine/>
    <w:qFormat/>
    <w:uiPriority w:val="0"/>
    <w:rPr>
      <w:rFonts w:ascii="宋体" w:hAnsi="Courier New" w:cs="Times New Roman"/>
    </w:rPr>
  </w:style>
  <w:style w:type="character" w:customStyle="1" w:styleId="469">
    <w:name w:val="一级条标题 Char"/>
    <w:link w:val="470"/>
    <w:autoRedefine/>
    <w:qFormat/>
    <w:uiPriority w:val="0"/>
    <w:rPr>
      <w:rFonts w:ascii="黑体" w:eastAsia="黑体"/>
      <w:sz w:val="21"/>
    </w:rPr>
  </w:style>
  <w:style w:type="paragraph" w:customStyle="1" w:styleId="470">
    <w:name w:val="一级条标题"/>
    <w:basedOn w:val="1"/>
    <w:next w:val="394"/>
    <w:link w:val="469"/>
    <w:autoRedefine/>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1">
    <w:name w:val="标题 Char3"/>
    <w:autoRedefine/>
    <w:qFormat/>
    <w:uiPriority w:val="0"/>
    <w:rPr>
      <w:rFonts w:ascii="Cambria" w:hAnsi="Cambria" w:eastAsia="宋体" w:cs="黑体"/>
      <w:b/>
      <w:bCs/>
      <w:sz w:val="32"/>
      <w:szCs w:val="32"/>
    </w:rPr>
  </w:style>
  <w:style w:type="character" w:customStyle="1" w:styleId="472">
    <w:name w:val="List Paragraph Char Char"/>
    <w:autoRedefine/>
    <w:qFormat/>
    <w:locked/>
    <w:uiPriority w:val="0"/>
    <w:rPr>
      <w:rFonts w:ascii="宋体" w:hAnsi="宋体" w:cs="Times New Roman"/>
      <w:kern w:val="2"/>
      <w:sz w:val="21"/>
      <w:szCs w:val="24"/>
    </w:rPr>
  </w:style>
  <w:style w:type="character" w:customStyle="1" w:styleId="473">
    <w:name w:val="wz1"/>
    <w:autoRedefine/>
    <w:qFormat/>
    <w:uiPriority w:val="0"/>
    <w:rPr>
      <w:rFonts w:ascii="Calibri" w:hAnsi="Calibri" w:eastAsia="宋体" w:cs="Times New Roman"/>
      <w:color w:val="5A5A5A"/>
      <w:sz w:val="18"/>
      <w:u w:val="none"/>
    </w:rPr>
  </w:style>
  <w:style w:type="character" w:customStyle="1" w:styleId="474">
    <w:name w:val="aa1"/>
    <w:autoRedefine/>
    <w:qFormat/>
    <w:uiPriority w:val="0"/>
    <w:rPr>
      <w:rFonts w:ascii="Calibri" w:hAnsi="Calibri" w:eastAsia="宋体" w:cs="Times New Roman"/>
      <w:sz w:val="20"/>
      <w:u w:val="none"/>
    </w:rPr>
  </w:style>
  <w:style w:type="character" w:customStyle="1" w:styleId="475">
    <w:name w:val="style14"/>
    <w:autoRedefine/>
    <w:qFormat/>
    <w:uiPriority w:val="0"/>
    <w:rPr>
      <w:rFonts w:ascii="Calibri" w:hAnsi="Calibri" w:eastAsia="宋体" w:cs="Times New Roman"/>
    </w:rPr>
  </w:style>
  <w:style w:type="character" w:customStyle="1" w:styleId="476">
    <w:name w:val="正文首行缩进 Char1"/>
    <w:autoRedefine/>
    <w:qFormat/>
    <w:uiPriority w:val="0"/>
    <w:rPr>
      <w:rFonts w:ascii="Calibri" w:hAnsi="Calibri" w:eastAsia="宋体" w:cs="Times New Roman"/>
      <w:kern w:val="2"/>
      <w:sz w:val="22"/>
      <w:lang w:val="en-US" w:eastAsia="zh-CN"/>
    </w:rPr>
  </w:style>
  <w:style w:type="character" w:customStyle="1" w:styleId="477">
    <w:name w:val="正文文本 2 Char2"/>
    <w:autoRedefine/>
    <w:qFormat/>
    <w:uiPriority w:val="0"/>
    <w:rPr>
      <w:rFonts w:ascii="Calibri" w:hAnsi="Calibri" w:eastAsia="宋体" w:cs="Times New Roman"/>
      <w:kern w:val="2"/>
      <w:sz w:val="21"/>
    </w:rPr>
  </w:style>
  <w:style w:type="paragraph" w:customStyle="1" w:styleId="478">
    <w:name w:val="z-Top of Form1"/>
    <w:basedOn w:val="1"/>
    <w:next w:val="1"/>
    <w:autoRedefine/>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79">
    <w:name w:val="Char Char5"/>
    <w:autoRedefine/>
    <w:qFormat/>
    <w:uiPriority w:val="0"/>
    <w:rPr>
      <w:rFonts w:ascii="Calibri" w:hAnsi="Calibri" w:eastAsia="宋体" w:cs="Times New Roman"/>
      <w:sz w:val="18"/>
    </w:rPr>
  </w:style>
  <w:style w:type="character" w:customStyle="1" w:styleId="480">
    <w:name w:val="正文2 Char Char Char"/>
    <w:autoRedefine/>
    <w:qFormat/>
    <w:uiPriority w:val="0"/>
    <w:rPr>
      <w:rFonts w:ascii="Calibri" w:hAnsi="Calibri" w:eastAsia="宋体" w:cs="Times New Roman"/>
      <w:kern w:val="2"/>
      <w:sz w:val="24"/>
      <w:lang w:val="en-US" w:eastAsia="zh-CN"/>
    </w:rPr>
  </w:style>
  <w:style w:type="character" w:customStyle="1" w:styleId="481">
    <w:name w:val="标题 1 Char1"/>
    <w:autoRedefine/>
    <w:qFormat/>
    <w:uiPriority w:val="0"/>
    <w:rPr>
      <w:rFonts w:ascii="仿宋_GB2312" w:hAnsi="Calibri" w:eastAsia="仿宋_GB2312" w:cs="Times New Roman"/>
      <w:b/>
      <w:color w:val="000000"/>
      <w:kern w:val="2"/>
      <w:sz w:val="36"/>
    </w:rPr>
  </w:style>
  <w:style w:type="character" w:customStyle="1" w:styleId="482">
    <w:name w:val="批注引用4"/>
    <w:autoRedefine/>
    <w:qFormat/>
    <w:uiPriority w:val="0"/>
    <w:rPr>
      <w:rFonts w:ascii="Calibri" w:hAnsi="Calibri" w:eastAsia="宋体" w:cs="Times New Roman"/>
      <w:sz w:val="21"/>
    </w:rPr>
  </w:style>
  <w:style w:type="character" w:customStyle="1" w:styleId="483">
    <w:name w:val="style141"/>
    <w:autoRedefine/>
    <w:qFormat/>
    <w:uiPriority w:val="0"/>
    <w:rPr>
      <w:rFonts w:ascii="Calibri" w:hAnsi="Calibri" w:eastAsia="宋体" w:cs="Times New Roman"/>
    </w:rPr>
  </w:style>
  <w:style w:type="character" w:customStyle="1" w:styleId="484">
    <w:name w:val="文档结构图 Char2"/>
    <w:autoRedefine/>
    <w:qFormat/>
    <w:uiPriority w:val="0"/>
    <w:rPr>
      <w:rFonts w:ascii="宋体" w:hAnsi="Calibri" w:eastAsia="宋体" w:cs="Times New Roman"/>
      <w:kern w:val="2"/>
      <w:sz w:val="18"/>
    </w:rPr>
  </w:style>
  <w:style w:type="character" w:customStyle="1" w:styleId="485">
    <w:name w:val="批注框文本 Char2"/>
    <w:autoRedefine/>
    <w:qFormat/>
    <w:uiPriority w:val="0"/>
    <w:rPr>
      <w:rFonts w:ascii="Calibri" w:hAnsi="Calibri" w:eastAsia="宋体" w:cs="Times New Roman"/>
      <w:kern w:val="2"/>
      <w:sz w:val="18"/>
    </w:rPr>
  </w:style>
  <w:style w:type="character" w:customStyle="1" w:styleId="486">
    <w:name w:val="font61"/>
    <w:autoRedefine/>
    <w:qFormat/>
    <w:uiPriority w:val="0"/>
    <w:rPr>
      <w:rFonts w:ascii="Arial" w:hAnsi="Arial" w:eastAsia="宋体" w:cs="Arial"/>
      <w:color w:val="000000"/>
      <w:sz w:val="20"/>
      <w:szCs w:val="20"/>
      <w:u w:val="none"/>
    </w:rPr>
  </w:style>
  <w:style w:type="character" w:customStyle="1" w:styleId="487">
    <w:name w:val="fontblank12"/>
    <w:autoRedefine/>
    <w:qFormat/>
    <w:uiPriority w:val="0"/>
    <w:rPr>
      <w:rFonts w:ascii="Calibri" w:hAnsi="Calibri" w:eastAsia="宋体" w:cs="Times New Roman"/>
    </w:rPr>
  </w:style>
  <w:style w:type="character" w:customStyle="1" w:styleId="488">
    <w:name w:val="标题 9 Char1"/>
    <w:autoRedefine/>
    <w:qFormat/>
    <w:uiPriority w:val="0"/>
    <w:rPr>
      <w:rFonts w:ascii="Arial" w:hAnsi="Arial" w:eastAsia="黑体" w:cs="Times New Roman"/>
      <w:kern w:val="2"/>
      <w:sz w:val="21"/>
    </w:rPr>
  </w:style>
  <w:style w:type="character" w:customStyle="1" w:styleId="489">
    <w:name w:val="high-light-bg4"/>
    <w:autoRedefine/>
    <w:qFormat/>
    <w:uiPriority w:val="0"/>
    <w:rPr>
      <w:rFonts w:ascii="Calibri" w:hAnsi="Calibri" w:eastAsia="宋体" w:cs="Times New Roman"/>
    </w:rPr>
  </w:style>
  <w:style w:type="character" w:customStyle="1" w:styleId="490">
    <w:name w:val="正文文本 3 Char2"/>
    <w:autoRedefine/>
    <w:qFormat/>
    <w:uiPriority w:val="0"/>
    <w:rPr>
      <w:rFonts w:ascii="Calibri" w:hAnsi="Calibri" w:eastAsia="宋体" w:cs="Times New Roman"/>
      <w:kern w:val="2"/>
      <w:sz w:val="16"/>
    </w:rPr>
  </w:style>
  <w:style w:type="character" w:customStyle="1" w:styleId="491">
    <w:name w:val="正文缩进 Char1"/>
    <w:autoRedefine/>
    <w:qFormat/>
    <w:uiPriority w:val="0"/>
    <w:rPr>
      <w:rFonts w:ascii="Calibri" w:hAnsi="Calibri" w:eastAsia="宋体" w:cs="Times New Roman"/>
      <w:kern w:val="2"/>
      <w:sz w:val="21"/>
    </w:rPr>
  </w:style>
  <w:style w:type="character" w:customStyle="1" w:styleId="492">
    <w:name w:val="批注引用1"/>
    <w:autoRedefine/>
    <w:qFormat/>
    <w:uiPriority w:val="0"/>
    <w:rPr>
      <w:rFonts w:ascii="Calibri" w:hAnsi="Calibri" w:eastAsia="宋体" w:cs="Times New Roman"/>
      <w:sz w:val="21"/>
      <w:szCs w:val="21"/>
    </w:rPr>
  </w:style>
  <w:style w:type="character" w:customStyle="1" w:styleId="493">
    <w:name w:val="正文文本 2 Char"/>
    <w:autoRedefine/>
    <w:qFormat/>
    <w:uiPriority w:val="0"/>
    <w:rPr>
      <w:rFonts w:ascii="Times New Roman" w:hAnsi="Times New Roman" w:eastAsia="宋体" w:cs="Times New Roman"/>
      <w:kern w:val="2"/>
      <w:sz w:val="21"/>
      <w:szCs w:val="24"/>
    </w:rPr>
  </w:style>
  <w:style w:type="character" w:customStyle="1" w:styleId="494">
    <w:name w:val="Table Text Char Char"/>
    <w:link w:val="495"/>
    <w:autoRedefine/>
    <w:qFormat/>
    <w:uiPriority w:val="0"/>
    <w:rPr>
      <w:rFonts w:ascii="Arial" w:hAnsi="Arial"/>
      <w:sz w:val="18"/>
    </w:rPr>
  </w:style>
  <w:style w:type="paragraph" w:customStyle="1" w:styleId="495">
    <w:name w:val="Table Text"/>
    <w:link w:val="494"/>
    <w:autoRedefine/>
    <w:qFormat/>
    <w:uiPriority w:val="0"/>
    <w:pPr>
      <w:snapToGrid w:val="0"/>
      <w:spacing w:before="80" w:after="80"/>
    </w:pPr>
    <w:rPr>
      <w:rFonts w:ascii="Arial" w:hAnsi="Arial" w:eastAsia="宋体" w:cs="Times New Roman"/>
      <w:sz w:val="18"/>
      <w:lang w:val="en-US" w:eastAsia="zh-CN" w:bidi="ar-SA"/>
    </w:rPr>
  </w:style>
  <w:style w:type="character" w:customStyle="1" w:styleId="496">
    <w:name w:val="批注文字 Char3"/>
    <w:autoRedefine/>
    <w:qFormat/>
    <w:uiPriority w:val="0"/>
    <w:rPr>
      <w:rFonts w:ascii="Times New Roman" w:hAnsi="Times New Roman" w:eastAsia="宋体" w:cs="Times New Roman"/>
      <w:sz w:val="20"/>
      <w:szCs w:val="20"/>
    </w:rPr>
  </w:style>
  <w:style w:type="character" w:customStyle="1" w:styleId="497">
    <w:name w:val="普通文字 Char2"/>
    <w:autoRedefine/>
    <w:qFormat/>
    <w:uiPriority w:val="0"/>
    <w:rPr>
      <w:rFonts w:ascii="宋体" w:hAnsi="Courier New" w:eastAsia="宋体" w:cs="Times New Roman"/>
      <w:kern w:val="2"/>
      <w:sz w:val="21"/>
      <w:lang w:val="en-US" w:eastAsia="zh-CN"/>
    </w:rPr>
  </w:style>
  <w:style w:type="character" w:customStyle="1" w:styleId="498">
    <w:name w:val="正文文本 3 Char"/>
    <w:autoRedefine/>
    <w:qFormat/>
    <w:uiPriority w:val="0"/>
    <w:rPr>
      <w:rFonts w:ascii="Times New Roman" w:hAnsi="Times New Roman" w:eastAsia="宋体" w:cs="Times New Roman"/>
      <w:kern w:val="2"/>
      <w:sz w:val="16"/>
      <w:szCs w:val="16"/>
    </w:rPr>
  </w:style>
  <w:style w:type="character" w:customStyle="1" w:styleId="499">
    <w:name w:val="HTML 预设格式 Char"/>
    <w:autoRedefine/>
    <w:qFormat/>
    <w:uiPriority w:val="0"/>
    <w:rPr>
      <w:rFonts w:ascii="Courier New" w:hAnsi="Courier New" w:eastAsia="宋体" w:cs="Courier New"/>
      <w:kern w:val="2"/>
    </w:rPr>
  </w:style>
  <w:style w:type="character" w:customStyle="1" w:styleId="500">
    <w:name w:val="页眉 Char1"/>
    <w:autoRedefine/>
    <w:qFormat/>
    <w:uiPriority w:val="0"/>
    <w:rPr>
      <w:rFonts w:ascii="Calibri" w:hAnsi="Calibri" w:eastAsia="宋体" w:cs="Times New Roman"/>
      <w:kern w:val="2"/>
      <w:sz w:val="18"/>
    </w:rPr>
  </w:style>
  <w:style w:type="character" w:customStyle="1" w:styleId="501">
    <w:name w:val="标题 8 Char1"/>
    <w:autoRedefine/>
    <w:qFormat/>
    <w:uiPriority w:val="0"/>
    <w:rPr>
      <w:rFonts w:ascii="Arial" w:hAnsi="Arial" w:eastAsia="黑体" w:cs="Times New Roman"/>
      <w:kern w:val="2"/>
      <w:sz w:val="24"/>
    </w:rPr>
  </w:style>
  <w:style w:type="character" w:customStyle="1" w:styleId="502">
    <w:name w:val="Char Char8"/>
    <w:autoRedefine/>
    <w:qFormat/>
    <w:uiPriority w:val="0"/>
    <w:rPr>
      <w:rFonts w:ascii="Calibri" w:hAnsi="Calibri" w:eastAsia="仿宋_GB2312" w:cs="Times New Roman"/>
      <w:b/>
      <w:kern w:val="2"/>
      <w:sz w:val="32"/>
    </w:rPr>
  </w:style>
  <w:style w:type="character" w:customStyle="1" w:styleId="503">
    <w:name w:val="正文文本缩进 3 Char2"/>
    <w:autoRedefine/>
    <w:qFormat/>
    <w:uiPriority w:val="0"/>
    <w:rPr>
      <w:rFonts w:ascii="Calibri" w:hAnsi="Calibri" w:eastAsia="宋体" w:cs="Times New Roman"/>
      <w:kern w:val="2"/>
      <w:sz w:val="16"/>
    </w:rPr>
  </w:style>
  <w:style w:type="character" w:customStyle="1" w:styleId="504">
    <w:name w:val="◆ 二级符号end Char Char"/>
    <w:link w:val="505"/>
    <w:autoRedefine/>
    <w:qFormat/>
    <w:uiPriority w:val="0"/>
    <w:rPr>
      <w:rFonts w:ascii="Verdana" w:hAnsi="Verdana"/>
      <w:sz w:val="24"/>
    </w:rPr>
  </w:style>
  <w:style w:type="paragraph" w:customStyle="1" w:styleId="505">
    <w:name w:val="◆ 二级符号end"/>
    <w:basedOn w:val="1"/>
    <w:link w:val="504"/>
    <w:autoRedefine/>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6">
    <w:name w:val="正文文本 Char2"/>
    <w:autoRedefine/>
    <w:qFormat/>
    <w:uiPriority w:val="0"/>
    <w:rPr>
      <w:rFonts w:ascii="Calibri" w:hAnsi="Calibri" w:eastAsia="宋体" w:cs="Times New Roman"/>
      <w:kern w:val="2"/>
      <w:sz w:val="21"/>
    </w:rPr>
  </w:style>
  <w:style w:type="character" w:customStyle="1" w:styleId="507">
    <w:name w:val="批注引用11"/>
    <w:autoRedefine/>
    <w:qFormat/>
    <w:uiPriority w:val="0"/>
    <w:rPr>
      <w:rFonts w:ascii="Calibri" w:hAnsi="Calibri" w:eastAsia="宋体" w:cs="Times New Roman"/>
      <w:sz w:val="21"/>
    </w:rPr>
  </w:style>
  <w:style w:type="character" w:customStyle="1" w:styleId="508">
    <w:name w:val="标题 5 Char1"/>
    <w:autoRedefine/>
    <w:qFormat/>
    <w:uiPriority w:val="0"/>
    <w:rPr>
      <w:rFonts w:ascii="Calibri" w:hAnsi="Calibri" w:eastAsia="宋体" w:cs="Times New Roman"/>
      <w:b/>
      <w:kern w:val="2"/>
      <w:sz w:val="28"/>
    </w:rPr>
  </w:style>
  <w:style w:type="character" w:customStyle="1" w:styleId="509">
    <w:name w:val="批注引用9"/>
    <w:autoRedefine/>
    <w:qFormat/>
    <w:uiPriority w:val="0"/>
    <w:rPr>
      <w:rFonts w:ascii="Calibri" w:hAnsi="Calibri" w:eastAsia="宋体" w:cs="Times New Roman"/>
      <w:sz w:val="21"/>
    </w:rPr>
  </w:style>
  <w:style w:type="character" w:customStyle="1" w:styleId="510">
    <w:name w:val="标题 7 Char1"/>
    <w:autoRedefine/>
    <w:qFormat/>
    <w:uiPriority w:val="0"/>
    <w:rPr>
      <w:rFonts w:ascii="Calibri" w:hAnsi="Calibri" w:eastAsia="宋体" w:cs="Times New Roman"/>
      <w:b/>
      <w:kern w:val="2"/>
      <w:sz w:val="24"/>
    </w:rPr>
  </w:style>
  <w:style w:type="character" w:customStyle="1" w:styleId="511">
    <w:name w:val="SANGFOR_6_正文 Char"/>
    <w:link w:val="512"/>
    <w:autoRedefine/>
    <w:qFormat/>
    <w:uiPriority w:val="0"/>
    <w:rPr>
      <w:rFonts w:ascii="宋体" w:hAnsi="宋体"/>
      <w:sz w:val="28"/>
      <w:szCs w:val="28"/>
    </w:rPr>
  </w:style>
  <w:style w:type="paragraph" w:customStyle="1" w:styleId="512">
    <w:name w:val="SANGFOR_6_正文"/>
    <w:basedOn w:val="1"/>
    <w:link w:val="511"/>
    <w:autoRedefine/>
    <w:qFormat/>
    <w:uiPriority w:val="0"/>
    <w:pPr>
      <w:spacing w:line="360" w:lineRule="auto"/>
      <w:ind w:left="420"/>
      <w:jc w:val="left"/>
    </w:pPr>
    <w:rPr>
      <w:rFonts w:ascii="宋体" w:hAnsi="宋体" w:eastAsia="宋体" w:cs="Times New Roman"/>
      <w:kern w:val="0"/>
      <w:sz w:val="28"/>
      <w:szCs w:val="28"/>
    </w:rPr>
  </w:style>
  <w:style w:type="character" w:customStyle="1" w:styleId="513">
    <w:name w:val="标题 3 Char1"/>
    <w:autoRedefine/>
    <w:qFormat/>
    <w:uiPriority w:val="0"/>
    <w:rPr>
      <w:rFonts w:ascii="Calibri" w:hAnsi="Calibri" w:eastAsia="宋体" w:cs="Times New Roman"/>
      <w:b/>
      <w:kern w:val="2"/>
      <w:sz w:val="32"/>
    </w:rPr>
  </w:style>
  <w:style w:type="character" w:customStyle="1" w:styleId="514">
    <w:name w:val="页脚 Char1"/>
    <w:autoRedefine/>
    <w:qFormat/>
    <w:uiPriority w:val="0"/>
    <w:rPr>
      <w:rFonts w:ascii="Calibri" w:hAnsi="Calibri" w:eastAsia="宋体" w:cs="Times New Roman"/>
      <w:kern w:val="2"/>
      <w:sz w:val="18"/>
    </w:rPr>
  </w:style>
  <w:style w:type="character" w:customStyle="1" w:styleId="515">
    <w:name w:val="页脚 Char2"/>
    <w:autoRedefine/>
    <w:qFormat/>
    <w:uiPriority w:val="0"/>
    <w:rPr>
      <w:rFonts w:ascii="Calibri" w:hAnsi="Calibri" w:eastAsia="宋体" w:cs="Times New Roman"/>
      <w:kern w:val="2"/>
      <w:sz w:val="18"/>
    </w:rPr>
  </w:style>
  <w:style w:type="character" w:customStyle="1" w:styleId="516">
    <w:name w:val="正文1 Char"/>
    <w:link w:val="169"/>
    <w:autoRedefine/>
    <w:qFormat/>
    <w:uiPriority w:val="0"/>
    <w:rPr>
      <w:rFonts w:ascii="Calibri" w:hAnsi="Calibri" w:cs="Calibri"/>
      <w:kern w:val="2"/>
      <w:sz w:val="21"/>
      <w:szCs w:val="21"/>
    </w:rPr>
  </w:style>
  <w:style w:type="character" w:customStyle="1" w:styleId="517">
    <w:name w:val="批注引用2"/>
    <w:autoRedefine/>
    <w:qFormat/>
    <w:uiPriority w:val="0"/>
    <w:rPr>
      <w:rFonts w:ascii="Calibri" w:hAnsi="Calibri" w:eastAsia="宋体" w:cs="Times New Roman"/>
      <w:sz w:val="21"/>
    </w:rPr>
  </w:style>
  <w:style w:type="character" w:customStyle="1" w:styleId="518">
    <w:name w:val="标题 Char2"/>
    <w:autoRedefine/>
    <w:qFormat/>
    <w:uiPriority w:val="0"/>
    <w:rPr>
      <w:rFonts w:ascii="Cambria" w:hAnsi="Cambria" w:eastAsia="宋体" w:cs="Times New Roman"/>
      <w:b/>
      <w:kern w:val="2"/>
      <w:sz w:val="32"/>
    </w:rPr>
  </w:style>
  <w:style w:type="character" w:customStyle="1" w:styleId="519">
    <w:name w:val="c1"/>
    <w:autoRedefine/>
    <w:qFormat/>
    <w:uiPriority w:val="0"/>
    <w:rPr>
      <w:rFonts w:ascii="Calibri" w:hAnsi="Calibri" w:eastAsia="宋体" w:cs="Times New Roman"/>
      <w:sz w:val="24"/>
    </w:rPr>
  </w:style>
  <w:style w:type="character" w:customStyle="1" w:styleId="520">
    <w:name w:val="font121"/>
    <w:autoRedefine/>
    <w:qFormat/>
    <w:uiPriority w:val="0"/>
    <w:rPr>
      <w:rFonts w:hint="default" w:ascii="???" w:hAnsi="???" w:eastAsia="宋体" w:cs="Times New Roman"/>
      <w:color w:val="333333"/>
      <w:sz w:val="18"/>
      <w:szCs w:val="18"/>
      <w:u w:val="none"/>
    </w:rPr>
  </w:style>
  <w:style w:type="character" w:customStyle="1" w:styleId="521">
    <w:name w:val="标准文本 Char Char"/>
    <w:link w:val="522"/>
    <w:autoRedefine/>
    <w:qFormat/>
    <w:uiPriority w:val="0"/>
  </w:style>
  <w:style w:type="paragraph" w:customStyle="1" w:styleId="522">
    <w:name w:val="标准文本"/>
    <w:basedOn w:val="1"/>
    <w:link w:val="521"/>
    <w:autoRedefine/>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3">
    <w:name w:val="尾注文本 Char"/>
    <w:autoRedefine/>
    <w:qFormat/>
    <w:uiPriority w:val="0"/>
    <w:rPr>
      <w:rFonts w:ascii="Times New Roman" w:hAnsi="Times New Roman" w:eastAsia="宋体" w:cs="Times New Roman"/>
      <w:kern w:val="2"/>
      <w:sz w:val="21"/>
      <w:szCs w:val="24"/>
    </w:rPr>
  </w:style>
  <w:style w:type="character" w:customStyle="1" w:styleId="524">
    <w:name w:val="标题 4 Char1"/>
    <w:autoRedefine/>
    <w:qFormat/>
    <w:uiPriority w:val="0"/>
    <w:rPr>
      <w:rFonts w:ascii="Arial" w:hAnsi="Arial" w:eastAsia="黑体" w:cs="Times New Roman"/>
      <w:b/>
      <w:kern w:val="2"/>
      <w:sz w:val="28"/>
    </w:rPr>
  </w:style>
  <w:style w:type="character" w:customStyle="1" w:styleId="525">
    <w:name w:val="批注文字 Char4"/>
    <w:autoRedefine/>
    <w:qFormat/>
    <w:uiPriority w:val="0"/>
    <w:rPr>
      <w:rFonts w:ascii="Times New Roman" w:hAnsi="Times New Roman" w:eastAsia="宋体" w:cs="Times New Roman"/>
      <w:szCs w:val="20"/>
    </w:rPr>
  </w:style>
  <w:style w:type="character" w:customStyle="1" w:styleId="526">
    <w:name w:val="批注引用8"/>
    <w:autoRedefine/>
    <w:qFormat/>
    <w:uiPriority w:val="0"/>
    <w:rPr>
      <w:rFonts w:ascii="Calibri" w:hAnsi="Calibri" w:eastAsia="宋体" w:cs="Times New Roman"/>
      <w:sz w:val="21"/>
    </w:rPr>
  </w:style>
  <w:style w:type="character" w:customStyle="1" w:styleId="527">
    <w:name w:val="彩色列表 - 强调文字颜色 1 Char"/>
    <w:link w:val="190"/>
    <w:autoRedefine/>
    <w:qFormat/>
    <w:uiPriority w:val="0"/>
    <w:rPr>
      <w:rFonts w:ascii="Calibri" w:hAnsi="Calibri"/>
      <w:kern w:val="2"/>
      <w:sz w:val="21"/>
      <w:szCs w:val="22"/>
    </w:rPr>
  </w:style>
  <w:style w:type="character" w:customStyle="1" w:styleId="528">
    <w:name w:val="DH 正文 Char"/>
    <w:link w:val="529"/>
    <w:autoRedefine/>
    <w:qFormat/>
    <w:uiPriority w:val="0"/>
    <w:rPr>
      <w:rFonts w:ascii="宋体"/>
      <w:kern w:val="2"/>
      <w:sz w:val="24"/>
      <w:szCs w:val="24"/>
    </w:rPr>
  </w:style>
  <w:style w:type="paragraph" w:customStyle="1" w:styleId="529">
    <w:name w:val="DH 正文"/>
    <w:basedOn w:val="1"/>
    <w:link w:val="528"/>
    <w:autoRedefine/>
    <w:qFormat/>
    <w:uiPriority w:val="0"/>
    <w:pPr>
      <w:spacing w:line="360" w:lineRule="auto"/>
      <w:ind w:firstLine="200" w:firstLineChars="200"/>
    </w:pPr>
    <w:rPr>
      <w:rFonts w:ascii="宋体" w:hAnsi="Times New Roman" w:eastAsia="宋体" w:cs="Times New Roman"/>
      <w:sz w:val="24"/>
      <w:szCs w:val="24"/>
    </w:rPr>
  </w:style>
  <w:style w:type="character" w:customStyle="1" w:styleId="530">
    <w:name w:val="unnamed21"/>
    <w:autoRedefine/>
    <w:qFormat/>
    <w:uiPriority w:val="0"/>
    <w:rPr>
      <w:rFonts w:ascii="Calibri" w:hAnsi="Calibri" w:eastAsia="宋体" w:cs="Times New Roman"/>
      <w:color w:val="000000"/>
      <w:sz w:val="20"/>
    </w:rPr>
  </w:style>
  <w:style w:type="character" w:customStyle="1" w:styleId="531">
    <w:name w:val="news1"/>
    <w:autoRedefine/>
    <w:qFormat/>
    <w:uiPriority w:val="0"/>
    <w:rPr>
      <w:rFonts w:ascii="Calibri" w:hAnsi="Calibri" w:eastAsia="宋体" w:cs="Times New Roman"/>
      <w:color w:val="4D4D4D"/>
      <w:sz w:val="18"/>
    </w:rPr>
  </w:style>
  <w:style w:type="character" w:customStyle="1" w:styleId="532">
    <w:name w:val="批注引用7"/>
    <w:autoRedefine/>
    <w:qFormat/>
    <w:uiPriority w:val="0"/>
    <w:rPr>
      <w:rFonts w:ascii="Calibri" w:hAnsi="Calibri" w:eastAsia="宋体" w:cs="Times New Roman"/>
      <w:sz w:val="21"/>
    </w:rPr>
  </w:style>
  <w:style w:type="character" w:customStyle="1" w:styleId="533">
    <w:name w:val="line1"/>
    <w:autoRedefine/>
    <w:qFormat/>
    <w:uiPriority w:val="0"/>
    <w:rPr>
      <w:rFonts w:ascii="Calibri" w:hAnsi="Calibri" w:eastAsia="宋体" w:cs="Times New Roman"/>
    </w:rPr>
  </w:style>
  <w:style w:type="character" w:customStyle="1" w:styleId="534">
    <w:name w:val="Char Char4"/>
    <w:autoRedefine/>
    <w:qFormat/>
    <w:uiPriority w:val="0"/>
    <w:rPr>
      <w:rFonts w:ascii="Calibri" w:hAnsi="Calibri" w:eastAsia="宋体" w:cs="Times New Roman"/>
      <w:sz w:val="18"/>
    </w:rPr>
  </w:style>
  <w:style w:type="character" w:customStyle="1" w:styleId="535">
    <w:name w:val="批注引用3"/>
    <w:autoRedefine/>
    <w:qFormat/>
    <w:uiPriority w:val="0"/>
    <w:rPr>
      <w:rFonts w:ascii="Calibri" w:hAnsi="Calibri" w:eastAsia="宋体" w:cs="Times New Roman"/>
      <w:sz w:val="21"/>
      <w:szCs w:val="21"/>
    </w:rPr>
  </w:style>
  <w:style w:type="character" w:customStyle="1" w:styleId="536">
    <w:name w:val="样式 8 磅"/>
    <w:autoRedefine/>
    <w:qFormat/>
    <w:uiPriority w:val="0"/>
    <w:rPr>
      <w:rFonts w:ascii="Calibri" w:hAnsi="Calibri" w:eastAsia="宋体" w:cs="Times New Roman"/>
      <w:sz w:val="18"/>
    </w:rPr>
  </w:style>
  <w:style w:type="paragraph" w:customStyle="1" w:styleId="537">
    <w:name w:val="Char Char1 Char Char Char Char Char Char Char"/>
    <w:basedOn w:val="1"/>
    <w:autoRedefine/>
    <w:qFormat/>
    <w:uiPriority w:val="0"/>
    <w:rPr>
      <w:rFonts w:ascii="Calibri" w:hAnsi="Calibri" w:eastAsia="宋体" w:cs="Times New Roman"/>
      <w:szCs w:val="24"/>
    </w:rPr>
  </w:style>
  <w:style w:type="paragraph" w:customStyle="1" w:styleId="538">
    <w:name w:val="默认段落字体 Para Char Char Char Char"/>
    <w:basedOn w:val="1"/>
    <w:autoRedefine/>
    <w:qFormat/>
    <w:uiPriority w:val="0"/>
    <w:pPr>
      <w:widowControl/>
      <w:jc w:val="left"/>
    </w:pPr>
    <w:rPr>
      <w:rFonts w:ascii="Calibri" w:hAnsi="Calibri" w:eastAsia="宋体" w:cs="Times New Roman"/>
      <w:szCs w:val="24"/>
    </w:rPr>
  </w:style>
  <w:style w:type="paragraph" w:customStyle="1" w:styleId="539">
    <w:name w:val="xl60"/>
    <w:basedOn w:val="1"/>
    <w:autoRedefine/>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0">
    <w:name w:val="Char Char Char Char Char Char Char Char Char1 Char"/>
    <w:basedOn w:val="1"/>
    <w:autoRedefine/>
    <w:qFormat/>
    <w:uiPriority w:val="0"/>
    <w:pPr>
      <w:widowControl/>
      <w:jc w:val="left"/>
    </w:pPr>
    <w:rPr>
      <w:rFonts w:ascii="仿宋_GB2312" w:hAnsi="Calibri" w:eastAsia="仿宋_GB2312" w:cs="Times New Roman"/>
      <w:b/>
      <w:sz w:val="32"/>
      <w:szCs w:val="32"/>
    </w:rPr>
  </w:style>
  <w:style w:type="paragraph" w:customStyle="1" w:styleId="541">
    <w:name w:val="普通(网站)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2">
    <w:name w:val="L正文"/>
    <w:basedOn w:val="1"/>
    <w:autoRedefine/>
    <w:qFormat/>
    <w:uiPriority w:val="0"/>
    <w:pPr>
      <w:spacing w:afterLines="50"/>
      <w:ind w:left="160" w:leftChars="160" w:firstLine="200" w:firstLineChars="200"/>
    </w:pPr>
    <w:rPr>
      <w:rFonts w:ascii="Calibri" w:hAnsi="Calibri" w:eastAsia="宋体" w:cs="Times New Roman"/>
      <w:b/>
      <w:szCs w:val="24"/>
    </w:rPr>
  </w:style>
  <w:style w:type="paragraph" w:customStyle="1" w:styleId="543">
    <w:name w:val="xl3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4">
    <w:name w:val="需求正文"/>
    <w:basedOn w:val="1"/>
    <w:autoRedefine/>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5">
    <w:name w:val="列出段落3"/>
    <w:basedOn w:val="1"/>
    <w:autoRedefine/>
    <w:qFormat/>
    <w:uiPriority w:val="0"/>
    <w:pPr>
      <w:ind w:firstLine="420" w:firstLineChars="200"/>
    </w:pPr>
    <w:rPr>
      <w:rFonts w:ascii="Cambria" w:hAnsi="Cambria" w:eastAsia="宋体" w:cs="Times New Roman"/>
      <w:sz w:val="24"/>
      <w:szCs w:val="24"/>
    </w:rPr>
  </w:style>
  <w:style w:type="paragraph" w:customStyle="1" w:styleId="546">
    <w:name w:val="Char1"/>
    <w:basedOn w:val="1"/>
    <w:autoRedefine/>
    <w:qFormat/>
    <w:uiPriority w:val="0"/>
    <w:pPr>
      <w:widowControl/>
      <w:jc w:val="left"/>
    </w:pPr>
    <w:rPr>
      <w:rFonts w:ascii="仿宋_GB2312" w:hAnsi="Calibri" w:eastAsia="仿宋_GB2312" w:cs="Times New Roman"/>
      <w:b/>
      <w:sz w:val="32"/>
      <w:szCs w:val="20"/>
    </w:rPr>
  </w:style>
  <w:style w:type="paragraph" w:customStyle="1" w:styleId="547">
    <w:name w:val="样式 宋体 小四 黑色 行距: 1.5 倍行距1"/>
    <w:basedOn w:val="1"/>
    <w:autoRedefine/>
    <w:qFormat/>
    <w:uiPriority w:val="0"/>
    <w:pPr>
      <w:spacing w:line="360" w:lineRule="auto"/>
      <w:ind w:firstLine="480" w:firstLineChars="200"/>
    </w:pPr>
    <w:rPr>
      <w:rFonts w:ascii="宋体" w:hAnsi="宋体" w:eastAsia="宋体" w:cs="宋体"/>
      <w:color w:val="000000"/>
      <w:kern w:val="0"/>
      <w:szCs w:val="20"/>
    </w:rPr>
  </w:style>
  <w:style w:type="paragraph" w:customStyle="1" w:styleId="548">
    <w:name w:val="p1"/>
    <w:basedOn w:val="1"/>
    <w:autoRedefine/>
    <w:qFormat/>
    <w:uiPriority w:val="0"/>
    <w:pPr>
      <w:widowControl/>
      <w:jc w:val="left"/>
    </w:pPr>
    <w:rPr>
      <w:rFonts w:ascii="Helvetica" w:hAnsi="Helvetica" w:eastAsia="等线" w:cs="Times New Roman"/>
      <w:kern w:val="0"/>
      <w:sz w:val="16"/>
      <w:szCs w:val="16"/>
    </w:rPr>
  </w:style>
  <w:style w:type="paragraph" w:customStyle="1" w:styleId="549">
    <w:name w:val="方案正文"/>
    <w:basedOn w:val="1"/>
    <w:autoRedefine/>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1">
    <w:name w:val="正文缩进2格"/>
    <w:basedOn w:val="1"/>
    <w:autoRedefine/>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2">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3">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4">
    <w:name w:val="TOC 标题1"/>
    <w:basedOn w:val="2"/>
    <w:next w:val="1"/>
    <w:autoRedefine/>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5">
    <w:name w:val="标准段落"/>
    <w:basedOn w:val="1"/>
    <w:autoRedefine/>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6">
    <w:name w:val="正文缩进1"/>
    <w:basedOn w:val="1"/>
    <w:next w:val="17"/>
    <w:autoRedefine/>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7">
    <w:name w:val="标书正文格式"/>
    <w:autoRedefine/>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8">
    <w:name w:val="表文1"/>
    <w:basedOn w:val="1"/>
    <w:autoRedefine/>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59">
    <w:name w:val="a"/>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0">
    <w:name w:val="List Paragraph2"/>
    <w:basedOn w:val="1"/>
    <w:autoRedefine/>
    <w:qFormat/>
    <w:uiPriority w:val="0"/>
    <w:pPr>
      <w:widowControl/>
      <w:ind w:firstLine="420" w:firstLineChars="200"/>
      <w:jc w:val="left"/>
    </w:pPr>
    <w:rPr>
      <w:rFonts w:ascii="Calibri" w:hAnsi="Calibri" w:eastAsia="宋体" w:cs="Times New Roman"/>
      <w:kern w:val="0"/>
      <w:sz w:val="20"/>
      <w:szCs w:val="20"/>
    </w:rPr>
  </w:style>
  <w:style w:type="paragraph" w:customStyle="1" w:styleId="561">
    <w:name w:val="Item Step in Table"/>
    <w:autoRedefin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2">
    <w:name w:val="Pa9"/>
    <w:basedOn w:val="1"/>
    <w:next w:val="1"/>
    <w:autoRedefine/>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3">
    <w:name w:val="文档正文 Char"/>
    <w:basedOn w:val="1"/>
    <w:autoRedefine/>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4">
    <w:name w:val="xl35"/>
    <w:basedOn w:val="1"/>
    <w:autoRedefine/>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5">
    <w:name w:val="xl29"/>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6">
    <w:name w:val="Char Char Char 字元 字元"/>
    <w:basedOn w:val="1"/>
    <w:autoRedefine/>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7">
    <w:name w:val="xl2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8">
    <w:name w:val="p16"/>
    <w:basedOn w:val="1"/>
    <w:autoRedefine/>
    <w:qFormat/>
    <w:uiPriority w:val="0"/>
    <w:pPr>
      <w:widowControl/>
      <w:spacing w:before="80" w:after="80"/>
      <w:jc w:val="left"/>
    </w:pPr>
    <w:rPr>
      <w:rFonts w:ascii="Arial" w:hAnsi="Arial" w:eastAsia="宋体" w:cs="Arial"/>
      <w:kern w:val="0"/>
      <w:sz w:val="18"/>
      <w:szCs w:val="18"/>
    </w:rPr>
  </w:style>
  <w:style w:type="paragraph" w:customStyle="1" w:styleId="569">
    <w:name w:val="xl4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0">
    <w:name w:val="列出段落11"/>
    <w:basedOn w:val="1"/>
    <w:autoRedefine/>
    <w:qFormat/>
    <w:uiPriority w:val="0"/>
    <w:pPr>
      <w:widowControl/>
      <w:ind w:firstLine="420" w:firstLineChars="200"/>
      <w:jc w:val="left"/>
    </w:pPr>
    <w:rPr>
      <w:rFonts w:ascii="Calibri" w:hAnsi="Calibri" w:eastAsia="宋体" w:cs="Times New Roman"/>
      <w:kern w:val="0"/>
      <w:sz w:val="24"/>
      <w:szCs w:val="20"/>
    </w:rPr>
  </w:style>
  <w:style w:type="paragraph" w:customStyle="1" w:styleId="571">
    <w:name w:val="正文段落"/>
    <w:basedOn w:val="1"/>
    <w:autoRedefine/>
    <w:qFormat/>
    <w:uiPriority w:val="0"/>
    <w:pPr>
      <w:spacing w:line="360" w:lineRule="auto"/>
      <w:ind w:firstLine="440" w:firstLineChars="200"/>
    </w:pPr>
    <w:rPr>
      <w:rFonts w:ascii="宋体" w:hAnsi="宋体" w:eastAsia="宋体" w:cs="宋体"/>
      <w:kern w:val="0"/>
      <w:szCs w:val="20"/>
    </w:rPr>
  </w:style>
  <w:style w:type="paragraph" w:customStyle="1" w:styleId="572">
    <w:name w:val="C11"/>
    <w:basedOn w:val="1"/>
    <w:autoRedefine/>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3">
    <w:name w:val="Char Char Char Char Char Char Char Char Char Char"/>
    <w:basedOn w:val="20"/>
    <w:autoRedefine/>
    <w:qFormat/>
    <w:uiPriority w:val="0"/>
    <w:rPr>
      <w:rFonts w:ascii="Tahoma" w:hAnsi="Tahoma" w:cs="Times New Roman"/>
      <w:kern w:val="0"/>
      <w:sz w:val="24"/>
      <w:szCs w:val="24"/>
    </w:rPr>
  </w:style>
  <w:style w:type="paragraph" w:customStyle="1" w:styleId="574">
    <w:name w:val="4"/>
    <w:basedOn w:val="1"/>
    <w:next w:val="55"/>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5">
    <w:name w:val="项目"/>
    <w:basedOn w:val="11"/>
    <w:autoRedefine/>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6">
    <w:name w:val="xl32"/>
    <w:basedOn w:val="1"/>
    <w:autoRedefine/>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7">
    <w:name w:val="5"/>
    <w:basedOn w:val="1"/>
    <w:next w:val="25"/>
    <w:autoRedefine/>
    <w:qFormat/>
    <w:uiPriority w:val="0"/>
    <w:pPr>
      <w:widowControl/>
      <w:ind w:right="26"/>
      <w:jc w:val="left"/>
    </w:pPr>
    <w:rPr>
      <w:rFonts w:ascii="楷体_GB2312" w:hAnsi="Calibri" w:eastAsia="楷体_GB2312" w:cs="Times New Roman"/>
      <w:spacing w:val="4"/>
      <w:kern w:val="0"/>
      <w:sz w:val="28"/>
      <w:szCs w:val="20"/>
    </w:rPr>
  </w:style>
  <w:style w:type="paragraph" w:customStyle="1" w:styleId="578">
    <w:name w:val="xl4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79">
    <w:name w:val="表格内文"/>
    <w:basedOn w:val="1"/>
    <w:autoRedefine/>
    <w:qFormat/>
    <w:uiPriority w:val="0"/>
    <w:pPr>
      <w:widowControl/>
      <w:spacing w:line="360" w:lineRule="auto"/>
      <w:jc w:val="left"/>
    </w:pPr>
    <w:rPr>
      <w:rFonts w:ascii="宋体" w:hAnsi="宋体" w:eastAsia="宋体" w:cs="宋体"/>
      <w:color w:val="000000"/>
      <w:szCs w:val="21"/>
    </w:rPr>
  </w:style>
  <w:style w:type="paragraph" w:customStyle="1" w:styleId="580">
    <w:name w:val="Retrait 2"/>
    <w:basedOn w:val="1"/>
    <w:autoRedefine/>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1">
    <w:name w:val="xl4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2">
    <w:name w:val="默认段落字体 Para Char Char Char Char Char Char Char Char Char1"/>
    <w:basedOn w:val="1"/>
    <w:autoRedefine/>
    <w:qFormat/>
    <w:uiPriority w:val="0"/>
    <w:pPr>
      <w:widowControl/>
      <w:jc w:val="left"/>
    </w:pPr>
    <w:rPr>
      <w:rFonts w:ascii="Calibri" w:hAnsi="Calibri" w:eastAsia="宋体" w:cs="Times New Roman"/>
      <w:szCs w:val="21"/>
    </w:rPr>
  </w:style>
  <w:style w:type="paragraph" w:customStyle="1" w:styleId="583">
    <w:name w:val="tabletex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4">
    <w:name w:val="正文3"/>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5">
    <w:name w:val="xl57"/>
    <w:basedOn w:val="1"/>
    <w:autoRedefine/>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6">
    <w:name w:val="_Style 76"/>
    <w:next w:val="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7">
    <w:name w:val="小标题 1"/>
    <w:basedOn w:val="1"/>
    <w:autoRedefine/>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8">
    <w:name w:val="正文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9">
    <w:name w:val="xl23"/>
    <w:basedOn w:val="1"/>
    <w:autoRedefine/>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0">
    <w:name w:val="E 正文"/>
    <w:basedOn w:val="1"/>
    <w:autoRedefine/>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1">
    <w:name w:val="xl38"/>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2">
    <w:name w:val="xl59"/>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3">
    <w:name w:val="Char1 Char Char Char"/>
    <w:basedOn w:val="1"/>
    <w:autoRedefine/>
    <w:qFormat/>
    <w:uiPriority w:val="0"/>
    <w:pPr>
      <w:widowControl/>
      <w:jc w:val="left"/>
    </w:pPr>
    <w:rPr>
      <w:rFonts w:ascii="仿宋_GB2312" w:hAnsi="Calibri" w:eastAsia="仿宋_GB2312" w:cs="Times New Roman"/>
      <w:b/>
      <w:sz w:val="32"/>
      <w:szCs w:val="32"/>
    </w:rPr>
  </w:style>
  <w:style w:type="paragraph" w:customStyle="1" w:styleId="594">
    <w:name w:val="C标书正文（加粗后加）"/>
    <w:basedOn w:val="1"/>
    <w:autoRedefine/>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5">
    <w:name w:val="straightmatter"/>
    <w:basedOn w:val="1"/>
    <w:autoRedefine/>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6">
    <w:name w:val="F11-1"/>
    <w:basedOn w:val="1"/>
    <w:autoRedefine/>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7">
    <w:name w:val="前言、引言标题"/>
    <w:next w:val="1"/>
    <w:autoRedefine/>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8">
    <w:name w:val="xl53"/>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599">
    <w:name w:val="默认段落字体 Para Char Char Char Char Char Char Char Char Char"/>
    <w:basedOn w:val="1"/>
    <w:autoRedefine/>
    <w:qFormat/>
    <w:uiPriority w:val="0"/>
    <w:pPr>
      <w:widowControl/>
      <w:jc w:val="left"/>
    </w:pPr>
    <w:rPr>
      <w:rFonts w:ascii="Tahoma" w:hAnsi="Tahoma" w:eastAsia="宋体" w:cs="Tahoma"/>
      <w:sz w:val="24"/>
      <w:szCs w:val="24"/>
    </w:rPr>
  </w:style>
  <w:style w:type="paragraph" w:customStyle="1" w:styleId="600">
    <w:name w:val="msolistparagraph"/>
    <w:basedOn w:val="1"/>
    <w:autoRedefine/>
    <w:qFormat/>
    <w:uiPriority w:val="0"/>
    <w:pPr>
      <w:ind w:firstLine="420" w:firstLineChars="200"/>
    </w:pPr>
    <w:rPr>
      <w:rFonts w:ascii="Calibri" w:hAnsi="Calibri" w:eastAsia="宋体" w:cs="Times New Roman"/>
      <w:szCs w:val="20"/>
    </w:rPr>
  </w:style>
  <w:style w:type="paragraph" w:customStyle="1" w:styleId="601">
    <w:name w:val="txt"/>
    <w:basedOn w:val="1"/>
    <w:autoRedefine/>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2">
    <w:name w:val="xl54"/>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3">
    <w:name w:val="a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4">
    <w:name w:val="a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五级条标题"/>
    <w:basedOn w:val="606"/>
    <w:next w:val="394"/>
    <w:autoRedefine/>
    <w:qFormat/>
    <w:uiPriority w:val="0"/>
    <w:pPr>
      <w:tabs>
        <w:tab w:val="left" w:pos="1200"/>
      </w:tabs>
      <w:outlineLvl w:val="6"/>
    </w:pPr>
  </w:style>
  <w:style w:type="paragraph" w:customStyle="1" w:styleId="606">
    <w:name w:val="四级条标题"/>
    <w:basedOn w:val="607"/>
    <w:next w:val="394"/>
    <w:autoRedefine/>
    <w:qFormat/>
    <w:uiPriority w:val="0"/>
    <w:pPr>
      <w:tabs>
        <w:tab w:val="left" w:pos="1200"/>
      </w:tabs>
      <w:outlineLvl w:val="5"/>
    </w:pPr>
  </w:style>
  <w:style w:type="paragraph" w:customStyle="1" w:styleId="607">
    <w:name w:val="三级条标题"/>
    <w:basedOn w:val="608"/>
    <w:next w:val="394"/>
    <w:autoRedefine/>
    <w:qFormat/>
    <w:uiPriority w:val="0"/>
    <w:pPr>
      <w:tabs>
        <w:tab w:val="left" w:pos="1200"/>
      </w:tabs>
      <w:outlineLvl w:val="4"/>
    </w:pPr>
  </w:style>
  <w:style w:type="paragraph" w:customStyle="1" w:styleId="608">
    <w:name w:val="二级条标题"/>
    <w:basedOn w:val="470"/>
    <w:next w:val="394"/>
    <w:autoRedefine/>
    <w:qFormat/>
    <w:uiPriority w:val="0"/>
    <w:pPr>
      <w:outlineLvl w:val="3"/>
    </w:pPr>
    <w:rPr>
      <w:rFonts w:ascii="Calibri" w:hAnsi="Calibri" w:eastAsia="宋体"/>
    </w:rPr>
  </w:style>
  <w:style w:type="paragraph" w:customStyle="1" w:styleId="609">
    <w:name w:val="xl48"/>
    <w:basedOn w:val="1"/>
    <w:autoRedefine/>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0">
    <w:name w:val="正文31"/>
    <w:autoRedefine/>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1">
    <w:name w:val="标书表格字体格式"/>
    <w:next w:val="1"/>
    <w:autoRedefine/>
    <w:qFormat/>
    <w:uiPriority w:val="0"/>
    <w:rPr>
      <w:rFonts w:ascii="Times New Roman" w:hAnsi="Times New Roman" w:eastAsia="宋体" w:cs="Times New Roman"/>
      <w:kern w:val="2"/>
      <w:sz w:val="21"/>
      <w:szCs w:val="24"/>
      <w:lang w:val="en-US" w:eastAsia="zh-CN" w:bidi="ar-SA"/>
    </w:rPr>
  </w:style>
  <w:style w:type="paragraph" w:customStyle="1" w:styleId="612">
    <w:name w:val="默认段落字体 Para Char Char Char Char Char Char Char Char Char Char Char Char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3">
    <w:name w:val="默认段落字体 Para Char Char Char Char111"/>
    <w:basedOn w:val="1"/>
    <w:autoRedefine/>
    <w:qFormat/>
    <w:uiPriority w:val="0"/>
    <w:pPr>
      <w:widowControl/>
      <w:jc w:val="left"/>
    </w:pPr>
    <w:rPr>
      <w:rFonts w:ascii="Calibri" w:hAnsi="Calibri" w:eastAsia="宋体" w:cs="Calibri"/>
      <w:kern w:val="0"/>
      <w:sz w:val="24"/>
      <w:szCs w:val="24"/>
      <w:lang w:eastAsia="en-US"/>
    </w:rPr>
  </w:style>
  <w:style w:type="paragraph" w:customStyle="1" w:styleId="614">
    <w:name w:val="Revision1"/>
    <w:autoRedefine/>
    <w:qFormat/>
    <w:uiPriority w:val="0"/>
    <w:rPr>
      <w:rFonts w:ascii="Times New Roman" w:hAnsi="Times New Roman" w:eastAsia="宋体" w:cs="Times New Roman"/>
      <w:kern w:val="2"/>
      <w:sz w:val="21"/>
      <w:lang w:val="en-US" w:eastAsia="zh-CN" w:bidi="ar-SA"/>
    </w:rPr>
  </w:style>
  <w:style w:type="paragraph" w:customStyle="1" w:styleId="615">
    <w:name w:val="xl52"/>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6">
    <w:name w:val="Char Char Char Char Char Char Char Char"/>
    <w:basedOn w:val="1"/>
    <w:autoRedefine/>
    <w:qFormat/>
    <w:uiPriority w:val="0"/>
    <w:pPr>
      <w:widowControl/>
      <w:tabs>
        <w:tab w:val="left" w:pos="360"/>
      </w:tabs>
      <w:jc w:val="left"/>
    </w:pPr>
    <w:rPr>
      <w:rFonts w:ascii="Calibri" w:hAnsi="Calibri" w:eastAsia="宋体" w:cs="Times New Roman"/>
      <w:sz w:val="24"/>
      <w:szCs w:val="24"/>
    </w:rPr>
  </w:style>
  <w:style w:type="paragraph" w:customStyle="1" w:styleId="617">
    <w:name w:val="outden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8">
    <w:name w:val="默认段落字体 Para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9">
    <w:name w:val="Char Char Char Char Char Char Char Char Char Char Char Char Char"/>
    <w:basedOn w:val="1"/>
    <w:autoRedefine/>
    <w:qFormat/>
    <w:uiPriority w:val="0"/>
    <w:pPr>
      <w:tabs>
        <w:tab w:val="left" w:pos="432"/>
      </w:tabs>
      <w:ind w:left="432" w:hanging="432"/>
    </w:pPr>
    <w:rPr>
      <w:rFonts w:ascii="Calibri" w:hAnsi="Calibri" w:eastAsia="宋体" w:cs="Times New Roman"/>
    </w:rPr>
  </w:style>
  <w:style w:type="paragraph" w:customStyle="1" w:styleId="620">
    <w:name w:val="无间隔11"/>
    <w:basedOn w:val="1"/>
    <w:autoRedefine/>
    <w:qFormat/>
    <w:uiPriority w:val="0"/>
    <w:pPr>
      <w:widowControl/>
    </w:pPr>
    <w:rPr>
      <w:rFonts w:ascii="Calibri" w:hAnsi="Calibri" w:eastAsia="宋体" w:cs="Calibri"/>
      <w:kern w:val="0"/>
      <w:szCs w:val="24"/>
      <w:lang w:eastAsia="en-US"/>
    </w:rPr>
  </w:style>
  <w:style w:type="paragraph" w:customStyle="1" w:styleId="621">
    <w:name w:val="xl61"/>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2">
    <w:name w:val="p21"/>
    <w:basedOn w:val="1"/>
    <w:autoRedefine/>
    <w:qFormat/>
    <w:uiPriority w:val="0"/>
    <w:pPr>
      <w:widowControl/>
      <w:ind w:firstLine="420"/>
    </w:pPr>
    <w:rPr>
      <w:rFonts w:ascii="Calibri" w:hAnsi="Calibri" w:eastAsia="宋体" w:cs="宋体"/>
      <w:kern w:val="0"/>
      <w:szCs w:val="21"/>
    </w:rPr>
  </w:style>
  <w:style w:type="paragraph" w:customStyle="1" w:styleId="623">
    <w:name w:val="Pa0"/>
    <w:basedOn w:val="1"/>
    <w:next w:val="1"/>
    <w:autoRedefine/>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4">
    <w:name w:val="xl50"/>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5">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6">
    <w:name w:val="xl6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7">
    <w:name w:val="標題 1-1"/>
    <w:autoRedefine/>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8">
    <w:name w:val="数字编号列项（二级）"/>
    <w:autoRedefine/>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29">
    <w:name w:val="xl24"/>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0">
    <w:name w:val="xl36"/>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1">
    <w:name w:val="缺省文本"/>
    <w:basedOn w:val="1"/>
    <w:autoRedefine/>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2">
    <w:name w:val="Char Char1 Char"/>
    <w:basedOn w:val="1"/>
    <w:autoRedefine/>
    <w:qFormat/>
    <w:uiPriority w:val="0"/>
    <w:pPr>
      <w:widowControl/>
      <w:jc w:val="left"/>
    </w:pPr>
    <w:rPr>
      <w:rFonts w:ascii="仿宋_GB2312" w:hAnsi="Calibri" w:eastAsia="仿宋_GB2312" w:cs="Times New Roman"/>
      <w:b/>
      <w:sz w:val="32"/>
      <w:szCs w:val="20"/>
    </w:rPr>
  </w:style>
  <w:style w:type="paragraph" w:customStyle="1" w:styleId="633">
    <w:name w:val="章标题"/>
    <w:next w:val="394"/>
    <w:autoRedefine/>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4">
    <w:name w:val="xl49"/>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5">
    <w:name w:val="List Paragraph3"/>
    <w:basedOn w:val="1"/>
    <w:autoRedefine/>
    <w:qFormat/>
    <w:uiPriority w:val="0"/>
    <w:pPr>
      <w:ind w:firstLine="420" w:firstLineChars="200"/>
    </w:pPr>
    <w:rPr>
      <w:rFonts w:ascii="Calibri" w:hAnsi="Calibri" w:eastAsia="宋体" w:cs="Times New Roman"/>
    </w:rPr>
  </w:style>
  <w:style w:type="paragraph" w:customStyle="1" w:styleId="636">
    <w:name w:val="a2"/>
    <w:basedOn w:val="1"/>
    <w:autoRedefine/>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7">
    <w:name w:val="樣式1"/>
    <w:basedOn w:val="638"/>
    <w:autoRedefine/>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8">
    <w:name w:val="Bulle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39">
    <w:name w:val="Char Char Char Char Char Char1"/>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0">
    <w:name w:val="Char Char2 Char"/>
    <w:basedOn w:val="1"/>
    <w:autoRedefine/>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1">
    <w:name w:val="部分1"/>
    <w:basedOn w:val="1"/>
    <w:autoRedefine/>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2">
    <w:name w:val="标书正文格式 Char Char"/>
    <w:autoRedefine/>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3">
    <w:name w:val="Char2"/>
    <w:basedOn w:val="1"/>
    <w:autoRedefine/>
    <w:qFormat/>
    <w:uiPriority w:val="0"/>
    <w:pPr>
      <w:widowControl/>
      <w:jc w:val="left"/>
    </w:pPr>
    <w:rPr>
      <w:rFonts w:ascii="Calibri" w:hAnsi="Calibri" w:eastAsia="仿宋_GB2312" w:cs="Times New Roman"/>
      <w:sz w:val="28"/>
      <w:szCs w:val="20"/>
    </w:rPr>
  </w:style>
  <w:style w:type="paragraph" w:customStyle="1" w:styleId="644">
    <w:name w:val="b"/>
    <w:basedOn w:val="1"/>
    <w:autoRedefine/>
    <w:qFormat/>
    <w:uiPriority w:val="0"/>
    <w:pPr>
      <w:widowControl/>
      <w:adjustRightInd w:val="0"/>
      <w:snapToGrid w:val="0"/>
      <w:jc w:val="center"/>
    </w:pPr>
    <w:rPr>
      <w:rFonts w:ascii="仿宋_GB2312" w:hAnsi="Calibri" w:eastAsia="仿宋_GB2312" w:cs="Times New Roman"/>
      <w:sz w:val="24"/>
      <w:szCs w:val="24"/>
    </w:rPr>
  </w:style>
  <w:style w:type="paragraph" w:customStyle="1" w:styleId="645">
    <w:name w:val="正文文本缩进2"/>
    <w:basedOn w:val="1"/>
    <w:autoRedefine/>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6">
    <w:name w:val="content"/>
    <w:basedOn w:val="1"/>
    <w:autoRedefine/>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7">
    <w:name w:val="xl3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8">
    <w:name w:val="xl4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49">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0">
    <w:name w:val="中等深浅网格 1 - 强调文字颜色 21"/>
    <w:basedOn w:val="1"/>
    <w:autoRedefine/>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1">
    <w:name w:val="表身"/>
    <w:basedOn w:val="1"/>
    <w:autoRedefine/>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2">
    <w:name w:val="font10"/>
    <w:basedOn w:val="1"/>
    <w:autoRedefine/>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3">
    <w:name w:val="说明书3级标题"/>
    <w:basedOn w:val="1"/>
    <w:next w:val="1"/>
    <w:autoRedefine/>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4">
    <w:name w:val="pchart_bodycm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5">
    <w:name w:val="xl6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6">
    <w:name w:val="tableheading"/>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47"/>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8">
    <w:name w:val="B标书正文（后加）"/>
    <w:autoRedefine/>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59">
    <w:name w:val="Pa10"/>
    <w:basedOn w:val="1"/>
    <w:next w:val="1"/>
    <w:autoRedefine/>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0">
    <w:name w:val="标题3级"/>
    <w:basedOn w:val="4"/>
    <w:autoRedefine/>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1">
    <w:name w:val="Pa11"/>
    <w:basedOn w:val="1"/>
    <w:next w:val="1"/>
    <w:autoRedefine/>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2">
    <w:name w:val="TOC Heading1"/>
    <w:basedOn w:val="2"/>
    <w:next w:val="1"/>
    <w:autoRedefine/>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3">
    <w:name w:val="xl39"/>
    <w:basedOn w:val="1"/>
    <w:autoRedefine/>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4">
    <w:name w:val="表项"/>
    <w:basedOn w:val="1"/>
    <w:autoRedefine/>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5">
    <w:name w:val="No Spacing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6">
    <w:name w:val="b13"/>
    <w:basedOn w:val="1"/>
    <w:autoRedefine/>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7">
    <w:name w:val="xl4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8">
    <w:name w:val="xl3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69">
    <w:name w:val="itemlis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0">
    <w:name w:val="Char Char Char"/>
    <w:basedOn w:val="1"/>
    <w:autoRedefine/>
    <w:qFormat/>
    <w:uiPriority w:val="0"/>
    <w:pPr>
      <w:widowControl/>
      <w:jc w:val="left"/>
    </w:pPr>
    <w:rPr>
      <w:rFonts w:ascii="Tahoma" w:hAnsi="Tahoma" w:eastAsia="宋体" w:cs="Times New Roman"/>
      <w:sz w:val="24"/>
      <w:szCs w:val="20"/>
    </w:rPr>
  </w:style>
  <w:style w:type="paragraph" w:customStyle="1" w:styleId="671">
    <w:name w:val="小四 段落 宋体 Char Char Char"/>
    <w:basedOn w:val="15"/>
    <w:autoRedefine/>
    <w:qFormat/>
    <w:uiPriority w:val="0"/>
    <w:pPr>
      <w:tabs>
        <w:tab w:val="left" w:pos="1320"/>
      </w:tabs>
      <w:spacing w:line="360" w:lineRule="auto"/>
      <w:ind w:left="0" w:right="-33" w:firstLine="480" w:firstLineChars="200"/>
      <w:jc w:val="left"/>
    </w:pPr>
    <w:rPr>
      <w:sz w:val="24"/>
      <w:szCs w:val="24"/>
    </w:rPr>
  </w:style>
  <w:style w:type="paragraph" w:customStyle="1" w:styleId="672">
    <w:name w:val="xl55"/>
    <w:basedOn w:val="1"/>
    <w:autoRedefine/>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3">
    <w:name w:val="font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4">
    <w:name w:val="ordinary-output"/>
    <w:basedOn w:val="1"/>
    <w:autoRedefine/>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5">
    <w:name w:val="字母编号列项（一级）"/>
    <w:autoRedefine/>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6">
    <w:name w:val="xl56"/>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7">
    <w:name w:val="Char1 Char Char Char Char Char Char"/>
    <w:basedOn w:val="1"/>
    <w:autoRedefine/>
    <w:qFormat/>
    <w:uiPriority w:val="0"/>
    <w:rPr>
      <w:rFonts w:ascii="Calibri" w:hAnsi="Calibri" w:eastAsia="宋体" w:cs="Times New Roman"/>
      <w:szCs w:val="20"/>
    </w:rPr>
  </w:style>
  <w:style w:type="paragraph" w:customStyle="1" w:styleId="678">
    <w:name w:val="正文文本1"/>
    <w:basedOn w:val="1"/>
    <w:autoRedefine/>
    <w:qFormat/>
    <w:uiPriority w:val="0"/>
    <w:pPr>
      <w:spacing w:after="120"/>
    </w:pPr>
    <w:rPr>
      <w:rFonts w:ascii="Calibri" w:hAnsi="Calibri" w:eastAsia="宋体" w:cs="Times New Roman"/>
      <w:kern w:val="0"/>
      <w:sz w:val="20"/>
      <w:szCs w:val="24"/>
    </w:rPr>
  </w:style>
  <w:style w:type="paragraph" w:customStyle="1" w:styleId="679">
    <w:name w:val="pied de page r閒.2"/>
    <w:autoRedefine/>
    <w:qFormat/>
    <w:uiPriority w:val="0"/>
    <w:pPr>
      <w:spacing w:before="140"/>
      <w:jc w:val="center"/>
    </w:pPr>
    <w:rPr>
      <w:rFonts w:ascii="Helvetica" w:hAnsi="Helvetica" w:eastAsia="宋体" w:cs="Times New Roman"/>
      <w:caps/>
      <w:lang w:val="en-US" w:eastAsia="en-US" w:bidi="ar-SA"/>
    </w:rPr>
  </w:style>
  <w:style w:type="paragraph" w:customStyle="1" w:styleId="680">
    <w:name w:val="List 1"/>
    <w:basedOn w:val="1"/>
    <w:autoRedefine/>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1">
    <w:name w:val="xl22"/>
    <w:basedOn w:val="1"/>
    <w:autoRedefine/>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2">
    <w:name w:val="样式 样式 标题 4H4PIM 4h4bulletblbb标题 4 Charsect 1.2.3.4Ref Head... + ..."/>
    <w:basedOn w:val="1"/>
    <w:autoRedefine/>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3">
    <w:name w:val="Char Char19"/>
    <w:basedOn w:val="1"/>
    <w:autoRedefine/>
    <w:qFormat/>
    <w:uiPriority w:val="0"/>
    <w:pPr>
      <w:widowControl/>
      <w:jc w:val="left"/>
    </w:pPr>
    <w:rPr>
      <w:rFonts w:ascii="Tahoma" w:hAnsi="Tahoma" w:eastAsia="宋体" w:cs="Times New Roman"/>
      <w:sz w:val="24"/>
      <w:szCs w:val="20"/>
    </w:rPr>
  </w:style>
  <w:style w:type="paragraph" w:customStyle="1" w:styleId="684">
    <w:name w:val="xl5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5">
    <w:name w:val="样式 首行缩进:  2 字符"/>
    <w:basedOn w:val="1"/>
    <w:autoRedefine/>
    <w:qFormat/>
    <w:uiPriority w:val="0"/>
    <w:pPr>
      <w:spacing w:line="400" w:lineRule="exact"/>
      <w:ind w:firstLine="200" w:firstLineChars="200"/>
    </w:pPr>
    <w:rPr>
      <w:rFonts w:ascii="Times New Roman" w:hAnsi="Times New Roman" w:eastAsia="宋体" w:cs="宋体"/>
      <w:sz w:val="24"/>
      <w:szCs w:val="24"/>
    </w:rPr>
  </w:style>
  <w:style w:type="paragraph" w:customStyle="1" w:styleId="686">
    <w:name w:val="10号线正文"/>
    <w:basedOn w:val="1"/>
    <w:autoRedefine/>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7">
    <w:name w:val="TOC 标题2"/>
    <w:basedOn w:val="2"/>
    <w:next w:val="1"/>
    <w:autoRedefine/>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88">
    <w:name w:val="xl51"/>
    <w:basedOn w:val="1"/>
    <w:autoRedefine/>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89">
    <w:name w:val="样式 Verdana 首行缩进:  0.74 厘米"/>
    <w:basedOn w:val="1"/>
    <w:autoRedefine/>
    <w:qFormat/>
    <w:uiPriority w:val="0"/>
    <w:pPr>
      <w:widowControl/>
      <w:jc w:val="left"/>
    </w:pPr>
    <w:rPr>
      <w:rFonts w:ascii="Verdana" w:hAnsi="Verdana" w:eastAsia="宋体" w:cs="Times New Roman"/>
      <w:szCs w:val="20"/>
    </w:rPr>
  </w:style>
  <w:style w:type="paragraph" w:customStyle="1" w:styleId="690">
    <w:name w:val="集群正文"/>
    <w:basedOn w:val="1"/>
    <w:autoRedefine/>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1">
    <w:name w:val="引用1"/>
    <w:autoRedefine/>
    <w:qFormat/>
    <w:uiPriority w:val="0"/>
    <w:pPr>
      <w:spacing w:after="160" w:line="240" w:lineRule="atLeast"/>
    </w:pPr>
    <w:rPr>
      <w:rFonts w:ascii="Arial" w:hAnsi="Arial" w:eastAsia="宋体" w:cs="Times New Roman"/>
      <w:i/>
      <w:color w:val="808080"/>
      <w:lang w:val="en-US" w:eastAsia="en-US" w:bidi="ar-SA"/>
    </w:rPr>
  </w:style>
  <w:style w:type="paragraph" w:customStyle="1" w:styleId="692">
    <w:name w:val="xl34"/>
    <w:basedOn w:val="1"/>
    <w:autoRedefine/>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3">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4">
    <w:name w:val="font9"/>
    <w:basedOn w:val="1"/>
    <w:autoRedefine/>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5">
    <w:name w:val="技术方案正文样式"/>
    <w:basedOn w:val="1"/>
    <w:autoRedefine/>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6">
    <w:name w:val="Char Char Char Char Char Char Char"/>
    <w:basedOn w:val="1"/>
    <w:autoRedefine/>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7">
    <w:name w:val="Char Char1 Char Char Char Char Char Char Char Char Char Char Char Char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8">
    <w:name w:val="Char11"/>
    <w:basedOn w:val="1"/>
    <w:autoRedefine/>
    <w:qFormat/>
    <w:uiPriority w:val="0"/>
    <w:pPr>
      <w:widowControl/>
      <w:jc w:val="left"/>
    </w:pPr>
    <w:rPr>
      <w:rFonts w:ascii="仿宋_GB2312" w:hAnsi="Calibri" w:eastAsia="仿宋_GB2312" w:cs="Times New Roman"/>
      <w:b/>
      <w:sz w:val="32"/>
      <w:szCs w:val="20"/>
    </w:rPr>
  </w:style>
  <w:style w:type="paragraph" w:customStyle="1" w:styleId="699">
    <w:name w:val="无间隔3"/>
    <w:basedOn w:val="1"/>
    <w:autoRedefine/>
    <w:qFormat/>
    <w:uiPriority w:val="0"/>
    <w:pPr>
      <w:snapToGrid w:val="0"/>
    </w:pPr>
    <w:rPr>
      <w:rFonts w:ascii="仿宋_GB2312" w:hAnsi="Calibri" w:eastAsia="仿宋_GB2312" w:cs="Times New Roman"/>
      <w:b/>
      <w:kern w:val="0"/>
      <w:sz w:val="30"/>
      <w:szCs w:val="24"/>
    </w:rPr>
  </w:style>
  <w:style w:type="paragraph" w:customStyle="1" w:styleId="700">
    <w:name w:val="彩色列表 - 强调文字颜色 111"/>
    <w:basedOn w:val="1"/>
    <w:autoRedefine/>
    <w:qFormat/>
    <w:uiPriority w:val="34"/>
    <w:pPr>
      <w:ind w:firstLine="420" w:firstLineChars="200"/>
    </w:pPr>
    <w:rPr>
      <w:rFonts w:ascii="Calibri" w:hAnsi="Calibri" w:eastAsia="宋体" w:cs="Times New Roman"/>
    </w:rPr>
  </w:style>
  <w:style w:type="paragraph" w:customStyle="1" w:styleId="701">
    <w:name w:val="小四 段落 宋体 Char Char"/>
    <w:basedOn w:val="1"/>
    <w:autoRedefine/>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2">
    <w:name w:val="中等深浅网格 31"/>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3">
    <w:name w:val="题注1"/>
    <w:basedOn w:val="1"/>
    <w:next w:val="1"/>
    <w:autoRedefine/>
    <w:unhideWhenUsed/>
    <w:qFormat/>
    <w:uiPriority w:val="99"/>
    <w:rPr>
      <w:rFonts w:ascii="Calibri Light" w:hAnsi="Calibri Light" w:eastAsia="黑体" w:cs="Times New Roman"/>
      <w:sz w:val="20"/>
      <w:szCs w:val="20"/>
    </w:rPr>
  </w:style>
  <w:style w:type="table" w:customStyle="1" w:styleId="704">
    <w:name w:val="网格型1"/>
    <w:basedOn w:val="60"/>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05">
    <w:name w:val="批注文字 Char"/>
    <w:basedOn w:val="69"/>
    <w:autoRedefine/>
    <w:qFormat/>
    <w:uiPriority w:val="99"/>
    <w:rPr>
      <w:rFonts w:ascii="Calibri" w:hAnsi="Calibri" w:eastAsia="宋体" w:cs="Times New Roman"/>
    </w:rPr>
  </w:style>
  <w:style w:type="paragraph" w:customStyle="1" w:styleId="706">
    <w:name w:val="ZJGIS-五级标题"/>
    <w:basedOn w:val="1"/>
    <w:autoRedefine/>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7">
    <w:name w:val="标题2"/>
    <w:basedOn w:val="3"/>
    <w:autoRedefine/>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8">
    <w:name w:val="z-窗体底端1"/>
    <w:basedOn w:val="1"/>
    <w:next w:val="1"/>
    <w:autoRedefine/>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09">
    <w:name w:val="文章正文"/>
    <w:basedOn w:val="120"/>
    <w:autoRedefine/>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0">
    <w:name w:val="_Style 31"/>
    <w:basedOn w:val="1"/>
    <w:next w:val="112"/>
    <w:autoRedefine/>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1">
    <w:name w:val="列表段落11"/>
    <w:basedOn w:val="1"/>
    <w:autoRedefine/>
    <w:qFormat/>
    <w:uiPriority w:val="34"/>
    <w:pPr>
      <w:ind w:firstLine="420" w:firstLineChars="200"/>
    </w:pPr>
    <w:rPr>
      <w:rFonts w:ascii="Calibri" w:hAnsi="Calibri" w:eastAsia="宋体" w:cs="Times New Roman"/>
    </w:rPr>
  </w:style>
  <w:style w:type="paragraph" w:customStyle="1" w:styleId="712">
    <w:name w:val="_Style 45"/>
    <w:basedOn w:val="1"/>
    <w:next w:val="112"/>
    <w:autoRedefine/>
    <w:qFormat/>
    <w:uiPriority w:val="34"/>
    <w:pPr>
      <w:ind w:firstLine="420" w:firstLineChars="200"/>
    </w:pPr>
    <w:rPr>
      <w:rFonts w:ascii="Times New Roman" w:hAnsi="Times New Roman" w:eastAsia="宋体" w:cs="Times New Roman"/>
    </w:rPr>
  </w:style>
  <w:style w:type="paragraph" w:customStyle="1" w:styleId="713">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714">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715">
    <w:name w:val="无间隔4"/>
    <w:next w:val="716"/>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6">
    <w:name w:val="无间隔5"/>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7">
    <w:name w:val="A_表格头"/>
    <w:basedOn w:val="1"/>
    <w:autoRedefine/>
    <w:qFormat/>
    <w:uiPriority w:val="0"/>
    <w:pPr>
      <w:jc w:val="center"/>
    </w:pPr>
    <w:rPr>
      <w:rFonts w:ascii="Times New Roman" w:hAnsi="Times New Roman" w:eastAsia="黑体" w:cs="Times New Roman"/>
      <w:bCs/>
      <w:kern w:val="0"/>
      <w:szCs w:val="20"/>
    </w:rPr>
  </w:style>
  <w:style w:type="paragraph" w:customStyle="1" w:styleId="718">
    <w:name w:val="A_表格正文（居中）"/>
    <w:basedOn w:val="1"/>
    <w:autoRedefine/>
    <w:qFormat/>
    <w:uiPriority w:val="0"/>
    <w:pPr>
      <w:jc w:val="center"/>
    </w:pPr>
    <w:rPr>
      <w:rFonts w:ascii="Times New Roman" w:hAnsi="Times New Roman" w:eastAsia="仿宋" w:cs="Times New Roman"/>
      <w:kern w:val="0"/>
      <w:szCs w:val="20"/>
    </w:rPr>
  </w:style>
  <w:style w:type="paragraph" w:customStyle="1" w:styleId="719">
    <w:name w:val="A_表格正文（加黑）"/>
    <w:basedOn w:val="718"/>
    <w:autoRedefine/>
    <w:qFormat/>
    <w:uiPriority w:val="0"/>
    <w:rPr>
      <w:b/>
      <w:color w:val="000000"/>
    </w:rPr>
  </w:style>
  <w:style w:type="character" w:customStyle="1" w:styleId="720">
    <w:name w:val="标题 Char"/>
    <w:autoRedefine/>
    <w:qFormat/>
    <w:uiPriority w:val="0"/>
    <w:rPr>
      <w:rFonts w:ascii="宋体" w:hAnsi="Courier New" w:eastAsia="宋体" w:cs="Courier New"/>
      <w:kern w:val="2"/>
      <w:sz w:val="21"/>
      <w:szCs w:val="21"/>
      <w:lang w:val="en-US" w:eastAsia="zh-CN" w:bidi="ar-SA"/>
    </w:rPr>
  </w:style>
  <w:style w:type="character" w:customStyle="1" w:styleId="721">
    <w:name w:val="普通(网站) 字符"/>
    <w:link w:val="55"/>
    <w:autoRedefine/>
    <w:qFormat/>
    <w:locked/>
    <w:uiPriority w:val="0"/>
    <w:rPr>
      <w:rFonts w:ascii="(使用中文字体)" w:hAnsi="(使用中文字体)" w:cs="(使用中文字体)"/>
      <w:sz w:val="24"/>
      <w:szCs w:val="24"/>
    </w:rPr>
  </w:style>
  <w:style w:type="paragraph" w:customStyle="1" w:styleId="722">
    <w:name w:val="目录 54"/>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3">
    <w:name w:val="正文（首行缩进2字符）"/>
    <w:basedOn w:val="1"/>
    <w:autoRedefine/>
    <w:qFormat/>
    <w:uiPriority w:val="0"/>
    <w:pPr>
      <w:wordWrap w:val="0"/>
      <w:spacing w:line="360" w:lineRule="auto"/>
      <w:ind w:firstLine="420" w:firstLineChars="200"/>
    </w:pPr>
    <w:rPr>
      <w:rFonts w:ascii="宋体" w:hAnsi="Calibri" w:eastAsia="宋体" w:cs="宋体"/>
      <w:szCs w:val="21"/>
    </w:rPr>
  </w:style>
  <w:style w:type="paragraph" w:customStyle="1" w:styleId="724">
    <w:name w:val="正文缩进2"/>
    <w:next w:val="1"/>
    <w:autoRedefine/>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5">
    <w:name w:val="[Normal]"/>
    <w:autoRedefine/>
    <w:qFormat/>
    <w:uiPriority w:val="0"/>
    <w:rPr>
      <w:rFonts w:ascii="宋体" w:hAnsi="宋体" w:eastAsia="宋体" w:cs="Times New Roman"/>
      <w:sz w:val="24"/>
      <w:szCs w:val="22"/>
      <w:lang w:val="zh-CN" w:eastAsia="zh-CN" w:bidi="ar-SA"/>
    </w:rPr>
  </w:style>
  <w:style w:type="paragraph" w:customStyle="1" w:styleId="726">
    <w:name w:val="正文首行缩进 21"/>
    <w:basedOn w:val="393"/>
    <w:autoRedefine/>
    <w:qFormat/>
    <w:uiPriority w:val="0"/>
    <w:pPr>
      <w:ind w:firstLine="42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41</Pages>
  <Words>27135</Words>
  <Characters>28891</Characters>
  <Lines>220</Lines>
  <Paragraphs>62</Paragraphs>
  <TotalTime>13</TotalTime>
  <ScaleCrop>false</ScaleCrop>
  <LinksUpToDate>false</LinksUpToDate>
  <CharactersWithSpaces>29571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2022-09-05T10:24:00Z</dcterms:created>
  <dc:creator>黄 晓</dc:creator>
  <cp:lastModifiedBy>小朋友要去上学了</cp:lastModifiedBy>
  <cp:lastPrinted>2025-04-09T11:32:29Z</cp:lastPrinted>
  <dcterms:modified xsi:type="dcterms:W3CDTF">2025-04-09T12:17:38Z</dcterms:modified>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93B19EC4A4D54FA982E6FF2DAD48D235_13</vt:lpwstr>
  </property>
  <property fmtid="{D5CDD505-2E9C-101B-9397-08002B2CF9AE}" pid="4" name="KSOTemplateDocerSaveRecord">
    <vt:lpwstr>eyJoZGlkIjoiOTVlZDNiNjc4N2Y5YzJiNWY0NjQxMTBmZmRlYWU5ZTMiLCJ1c2VySWQiOiI1MzgwNTcwNjcifQ==</vt:lpwstr>
  </property>
</Properties>
</file>