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B94887">
      <w:pPr>
        <w:rPr>
          <w:rFonts w:eastAsia="华文新魏"/>
          <w:b/>
          <w:spacing w:val="-14"/>
          <w:sz w:val="52"/>
          <w:szCs w:val="52"/>
        </w:rPr>
      </w:pPr>
      <w:bookmarkStart w:id="0" w:name="OLE_LINK1"/>
    </w:p>
    <w:p w14:paraId="4B204499">
      <w:pPr>
        <w:snapToGrid w:val="0"/>
        <w:spacing w:line="312" w:lineRule="auto"/>
        <w:jc w:val="center"/>
        <w:rPr>
          <w:rFonts w:eastAsia="华文新魏"/>
          <w:b/>
          <w:sz w:val="52"/>
        </w:rPr>
      </w:pPr>
      <w:r>
        <w:rPr>
          <w:rFonts w:hint="eastAsia" w:eastAsia="华文新魏"/>
          <w:b/>
          <w:sz w:val="52"/>
          <w:szCs w:val="52"/>
        </w:rPr>
        <w:t>2025年嵊泗县市场监督管理局食品安全抽检检测项目</w:t>
      </w:r>
    </w:p>
    <w:p w14:paraId="2FF48E74">
      <w:pPr>
        <w:spacing w:after="120"/>
        <w:ind w:firstLine="210" w:firstLineChars="100"/>
        <w:rPr>
          <w:rFonts w:hAnsi="Calibri"/>
          <w:kern w:val="0"/>
        </w:rPr>
      </w:pPr>
    </w:p>
    <w:p w14:paraId="5409CF0E">
      <w:pPr>
        <w:snapToGrid w:val="0"/>
        <w:spacing w:line="312" w:lineRule="auto"/>
        <w:jc w:val="center"/>
        <w:rPr>
          <w:rFonts w:eastAsia="华文新魏"/>
          <w:b/>
          <w:sz w:val="52"/>
        </w:rPr>
      </w:pPr>
      <w:r>
        <w:rPr>
          <w:rFonts w:hint="eastAsia" w:eastAsia="华文新魏"/>
          <w:b/>
          <w:sz w:val="52"/>
        </w:rPr>
        <w:t>招标文件</w:t>
      </w:r>
    </w:p>
    <w:p w14:paraId="175940E7">
      <w:pPr>
        <w:snapToGrid w:val="0"/>
        <w:spacing w:before="120" w:line="312" w:lineRule="auto"/>
        <w:rPr>
          <w:rFonts w:eastAsia="华文新魏"/>
          <w:b/>
          <w:sz w:val="32"/>
        </w:rPr>
      </w:pPr>
    </w:p>
    <w:p w14:paraId="561B9836">
      <w:pPr>
        <w:snapToGrid w:val="0"/>
        <w:spacing w:before="120" w:line="312" w:lineRule="auto"/>
        <w:ind w:left="1602" w:hanging="1602" w:hangingChars="500"/>
        <w:rPr>
          <w:rFonts w:eastAsia="华文新魏"/>
          <w:b/>
          <w:sz w:val="32"/>
        </w:rPr>
      </w:pPr>
    </w:p>
    <w:p w14:paraId="7BAB3597">
      <w:pPr>
        <w:snapToGrid w:val="0"/>
        <w:spacing w:before="120" w:line="312" w:lineRule="auto"/>
        <w:ind w:left="1602" w:hanging="1602" w:hangingChars="500"/>
        <w:rPr>
          <w:rFonts w:eastAsia="华文新魏"/>
          <w:b/>
          <w:sz w:val="32"/>
        </w:rPr>
      </w:pPr>
      <w:r>
        <w:rPr>
          <w:rFonts w:hint="eastAsia" w:eastAsia="华文新魏"/>
          <w:b/>
          <w:sz w:val="32"/>
        </w:rPr>
        <w:t>项目名称</w:t>
      </w:r>
      <w:r>
        <w:rPr>
          <w:rFonts w:hint="eastAsia" w:eastAsia="华文新魏"/>
          <w:sz w:val="32"/>
        </w:rPr>
        <w:t>：</w:t>
      </w:r>
      <w:r>
        <w:rPr>
          <w:rFonts w:hint="eastAsia" w:eastAsia="华文新魏"/>
          <w:b/>
          <w:sz w:val="32"/>
        </w:rPr>
        <w:t>2025年嵊泗县市场监督管理局食品安全抽检检测项目</w:t>
      </w:r>
    </w:p>
    <w:p w14:paraId="7233EA39">
      <w:pPr>
        <w:snapToGrid w:val="0"/>
        <w:spacing w:before="120" w:line="312" w:lineRule="auto"/>
        <w:rPr>
          <w:rFonts w:eastAsia="华文新魏"/>
          <w:b/>
          <w:sz w:val="32"/>
        </w:rPr>
      </w:pPr>
    </w:p>
    <w:p w14:paraId="4CAD7D06">
      <w:pPr>
        <w:snapToGrid w:val="0"/>
        <w:spacing w:before="120" w:line="312" w:lineRule="auto"/>
        <w:rPr>
          <w:rFonts w:eastAsia="华文新魏"/>
          <w:b/>
          <w:sz w:val="32"/>
        </w:rPr>
      </w:pPr>
      <w:r>
        <w:rPr>
          <w:rFonts w:hint="eastAsia" w:eastAsia="华文新魏"/>
          <w:b/>
          <w:sz w:val="32"/>
        </w:rPr>
        <w:t>项目编号：SZGXZS2025008</w:t>
      </w:r>
    </w:p>
    <w:p w14:paraId="36A233CF">
      <w:pPr>
        <w:snapToGrid w:val="0"/>
        <w:spacing w:before="120" w:line="312" w:lineRule="auto"/>
        <w:rPr>
          <w:rFonts w:eastAsia="华文新魏"/>
          <w:b/>
          <w:w w:val="95"/>
          <w:sz w:val="32"/>
        </w:rPr>
      </w:pPr>
    </w:p>
    <w:p w14:paraId="07AA63DE">
      <w:pPr>
        <w:snapToGrid w:val="0"/>
        <w:spacing w:before="120" w:line="312" w:lineRule="auto"/>
        <w:ind w:left="1520" w:hanging="1522" w:hangingChars="500"/>
        <w:rPr>
          <w:rFonts w:eastAsia="华文新魏"/>
          <w:color w:val="FF0000"/>
          <w:sz w:val="32"/>
        </w:rPr>
      </w:pPr>
      <w:r>
        <w:rPr>
          <w:rFonts w:hint="eastAsia" w:eastAsia="华文新魏"/>
          <w:b/>
          <w:w w:val="95"/>
          <w:sz w:val="32"/>
        </w:rPr>
        <w:t>采购单位：</w:t>
      </w:r>
      <w:r>
        <w:rPr>
          <w:rFonts w:hint="eastAsia" w:eastAsia="华文新魏"/>
          <w:b/>
          <w:sz w:val="32"/>
        </w:rPr>
        <w:t>嵊泗县市场监督管理局</w:t>
      </w:r>
    </w:p>
    <w:p w14:paraId="2EC6030E">
      <w:pPr>
        <w:snapToGrid w:val="0"/>
        <w:spacing w:before="120" w:line="312" w:lineRule="auto"/>
        <w:rPr>
          <w:rFonts w:eastAsia="华文新魏"/>
          <w:b/>
          <w:w w:val="95"/>
          <w:sz w:val="32"/>
        </w:rPr>
      </w:pPr>
    </w:p>
    <w:p w14:paraId="7D700DE5">
      <w:pPr>
        <w:snapToGrid w:val="0"/>
        <w:spacing w:before="120" w:line="312" w:lineRule="auto"/>
        <w:rPr>
          <w:rFonts w:eastAsia="华文新魏"/>
          <w:b/>
          <w:w w:val="95"/>
          <w:sz w:val="32"/>
        </w:rPr>
      </w:pPr>
      <w:r>
        <w:rPr>
          <w:rFonts w:hint="eastAsia" w:eastAsia="华文新魏"/>
          <w:b/>
          <w:w w:val="95"/>
          <w:sz w:val="32"/>
        </w:rPr>
        <w:t>代理机构：深圳市国信招标有限公司</w:t>
      </w:r>
    </w:p>
    <w:p w14:paraId="4ED1F3EA">
      <w:pPr>
        <w:snapToGrid w:val="0"/>
        <w:spacing w:before="120" w:line="312" w:lineRule="auto"/>
        <w:ind w:left="5961" w:hanging="5968" w:hangingChars="1961"/>
        <w:rPr>
          <w:rFonts w:eastAsia="华文新魏"/>
          <w:b/>
          <w:w w:val="95"/>
          <w:sz w:val="32"/>
        </w:rPr>
      </w:pPr>
    </w:p>
    <w:p w14:paraId="67873D3C">
      <w:pPr>
        <w:snapToGrid w:val="0"/>
        <w:spacing w:before="120" w:line="312" w:lineRule="auto"/>
        <w:rPr>
          <w:rFonts w:eastAsia="华文新魏"/>
          <w:b/>
          <w:w w:val="95"/>
          <w:sz w:val="32"/>
        </w:rPr>
      </w:pPr>
    </w:p>
    <w:p w14:paraId="4A450FD9">
      <w:pPr>
        <w:snapToGrid w:val="0"/>
        <w:spacing w:before="120" w:line="312" w:lineRule="auto"/>
        <w:ind w:left="6046" w:leftChars="2625" w:hanging="533" w:hangingChars="175"/>
        <w:rPr>
          <w:rFonts w:eastAsia="华文新魏"/>
          <w:b/>
          <w:w w:val="95"/>
          <w:sz w:val="32"/>
        </w:rPr>
      </w:pPr>
      <w:r>
        <w:rPr>
          <w:rFonts w:eastAsia="华文新魏"/>
          <w:b/>
          <w:w w:val="95"/>
          <w:sz w:val="32"/>
        </w:rPr>
        <w:t>2025年</w:t>
      </w:r>
      <w:r>
        <w:rPr>
          <w:rFonts w:hint="eastAsia" w:eastAsia="华文新魏"/>
          <w:b/>
          <w:w w:val="95"/>
          <w:sz w:val="32"/>
        </w:rPr>
        <w:t>01月24日</w:t>
      </w:r>
    </w:p>
    <w:p w14:paraId="025778D7">
      <w:pPr>
        <w:widowControl/>
        <w:spacing w:line="312" w:lineRule="auto"/>
        <w:jc w:val="left"/>
        <w:rPr>
          <w:rFonts w:eastAsia="创艺简标宋"/>
          <w:kern w:val="0"/>
          <w:sz w:val="44"/>
        </w:rPr>
        <w:sectPr>
          <w:headerReference r:id="rId3" w:type="default"/>
          <w:footerReference r:id="rId4" w:type="default"/>
          <w:pgSz w:w="11906" w:h="16838"/>
          <w:pgMar w:top="1304" w:right="1106" w:bottom="1304" w:left="1531" w:header="1304" w:footer="1304" w:gutter="0"/>
          <w:cols w:space="720" w:num="1"/>
        </w:sectPr>
      </w:pPr>
    </w:p>
    <w:p w14:paraId="31ED5BA9">
      <w:pPr>
        <w:snapToGrid w:val="0"/>
        <w:spacing w:before="120" w:line="312" w:lineRule="auto"/>
        <w:rPr>
          <w:rFonts w:eastAsia="创艺简标宋"/>
          <w:sz w:val="44"/>
        </w:rPr>
      </w:pPr>
    </w:p>
    <w:p w14:paraId="79E22FF1">
      <w:pPr>
        <w:snapToGrid w:val="0"/>
        <w:spacing w:before="120" w:line="312" w:lineRule="auto"/>
        <w:jc w:val="center"/>
        <w:rPr>
          <w:b/>
          <w:sz w:val="44"/>
        </w:rPr>
      </w:pPr>
      <w:r>
        <w:rPr>
          <w:rFonts w:hint="eastAsia"/>
          <w:b/>
          <w:sz w:val="44"/>
        </w:rPr>
        <w:t>目录</w:t>
      </w:r>
    </w:p>
    <w:p w14:paraId="755630AD">
      <w:pPr>
        <w:spacing w:after="120"/>
        <w:ind w:firstLine="210" w:firstLineChars="100"/>
        <w:rPr>
          <w:kern w:val="0"/>
        </w:rPr>
      </w:pPr>
    </w:p>
    <w:p w14:paraId="06964E11">
      <w:pPr>
        <w:widowControl/>
        <w:numPr>
          <w:ilvl w:val="0"/>
          <w:numId w:val="6"/>
        </w:numPr>
        <w:overflowPunct w:val="0"/>
        <w:autoSpaceDE w:val="0"/>
        <w:autoSpaceDN w:val="0"/>
        <w:adjustRightInd w:val="0"/>
        <w:snapToGrid w:val="0"/>
        <w:spacing w:line="360" w:lineRule="auto"/>
        <w:rPr>
          <w:sz w:val="24"/>
        </w:rPr>
      </w:pPr>
      <w:r>
        <w:rPr>
          <w:rFonts w:hint="eastAsia"/>
          <w:sz w:val="24"/>
        </w:rPr>
        <w:t>采购公告</w:t>
      </w:r>
    </w:p>
    <w:p w14:paraId="4F3DA756">
      <w:pPr>
        <w:widowControl/>
        <w:numPr>
          <w:ilvl w:val="0"/>
          <w:numId w:val="6"/>
        </w:numPr>
        <w:overflowPunct w:val="0"/>
        <w:autoSpaceDE w:val="0"/>
        <w:autoSpaceDN w:val="0"/>
        <w:adjustRightInd w:val="0"/>
        <w:snapToGrid w:val="0"/>
        <w:spacing w:line="360" w:lineRule="auto"/>
        <w:rPr>
          <w:sz w:val="24"/>
        </w:rPr>
      </w:pPr>
      <w:r>
        <w:rPr>
          <w:rFonts w:hint="eastAsia"/>
          <w:sz w:val="24"/>
        </w:rPr>
        <w:t>招标需求</w:t>
      </w:r>
    </w:p>
    <w:p w14:paraId="0B495AD3">
      <w:pPr>
        <w:widowControl/>
        <w:numPr>
          <w:ilvl w:val="0"/>
          <w:numId w:val="6"/>
        </w:numPr>
        <w:overflowPunct w:val="0"/>
        <w:autoSpaceDE w:val="0"/>
        <w:autoSpaceDN w:val="0"/>
        <w:adjustRightInd w:val="0"/>
        <w:snapToGrid w:val="0"/>
        <w:spacing w:line="360" w:lineRule="auto"/>
        <w:rPr>
          <w:sz w:val="24"/>
        </w:rPr>
      </w:pPr>
      <w:r>
        <w:rPr>
          <w:rFonts w:hint="eastAsia"/>
          <w:sz w:val="24"/>
        </w:rPr>
        <w:t>投标人须知</w:t>
      </w:r>
    </w:p>
    <w:p w14:paraId="182DF632">
      <w:pPr>
        <w:snapToGrid w:val="0"/>
        <w:spacing w:line="360" w:lineRule="auto"/>
        <w:ind w:left="1440"/>
        <w:rPr>
          <w:sz w:val="24"/>
        </w:rPr>
      </w:pPr>
      <w:r>
        <w:rPr>
          <w:rFonts w:hint="eastAsia"/>
          <w:sz w:val="24"/>
        </w:rPr>
        <w:t>前附表</w:t>
      </w:r>
    </w:p>
    <w:p w14:paraId="364A8FB7">
      <w:pPr>
        <w:widowControl/>
        <w:numPr>
          <w:ilvl w:val="1"/>
          <w:numId w:val="6"/>
        </w:numPr>
        <w:overflowPunct w:val="0"/>
        <w:autoSpaceDE w:val="0"/>
        <w:autoSpaceDN w:val="0"/>
        <w:adjustRightInd w:val="0"/>
        <w:snapToGrid w:val="0"/>
        <w:spacing w:line="360" w:lineRule="auto"/>
        <w:rPr>
          <w:sz w:val="24"/>
        </w:rPr>
      </w:pPr>
      <w:r>
        <w:rPr>
          <w:rFonts w:hint="eastAsia"/>
          <w:sz w:val="24"/>
        </w:rPr>
        <w:t>总则</w:t>
      </w:r>
    </w:p>
    <w:p w14:paraId="6578381E">
      <w:pPr>
        <w:widowControl/>
        <w:numPr>
          <w:ilvl w:val="1"/>
          <w:numId w:val="6"/>
        </w:numPr>
        <w:overflowPunct w:val="0"/>
        <w:autoSpaceDE w:val="0"/>
        <w:autoSpaceDN w:val="0"/>
        <w:adjustRightInd w:val="0"/>
        <w:snapToGrid w:val="0"/>
        <w:spacing w:line="360" w:lineRule="auto"/>
        <w:rPr>
          <w:sz w:val="24"/>
        </w:rPr>
      </w:pPr>
      <w:r>
        <w:rPr>
          <w:rFonts w:hint="eastAsia"/>
          <w:sz w:val="24"/>
        </w:rPr>
        <w:t>招标文件</w:t>
      </w:r>
    </w:p>
    <w:p w14:paraId="500DD288">
      <w:pPr>
        <w:widowControl/>
        <w:numPr>
          <w:ilvl w:val="1"/>
          <w:numId w:val="6"/>
        </w:numPr>
        <w:overflowPunct w:val="0"/>
        <w:autoSpaceDE w:val="0"/>
        <w:autoSpaceDN w:val="0"/>
        <w:adjustRightInd w:val="0"/>
        <w:snapToGrid w:val="0"/>
        <w:spacing w:line="360" w:lineRule="auto"/>
        <w:rPr>
          <w:sz w:val="24"/>
        </w:rPr>
      </w:pPr>
      <w:r>
        <w:rPr>
          <w:rFonts w:hint="eastAsia"/>
          <w:sz w:val="24"/>
        </w:rPr>
        <w:t>投标文件编制</w:t>
      </w:r>
    </w:p>
    <w:p w14:paraId="3D527A02">
      <w:pPr>
        <w:widowControl/>
        <w:numPr>
          <w:ilvl w:val="1"/>
          <w:numId w:val="6"/>
        </w:numPr>
        <w:overflowPunct w:val="0"/>
        <w:autoSpaceDE w:val="0"/>
        <w:autoSpaceDN w:val="0"/>
        <w:adjustRightInd w:val="0"/>
        <w:snapToGrid w:val="0"/>
        <w:spacing w:line="360" w:lineRule="auto"/>
        <w:rPr>
          <w:sz w:val="24"/>
        </w:rPr>
      </w:pPr>
      <w:r>
        <w:rPr>
          <w:rFonts w:hint="eastAsia"/>
          <w:sz w:val="24"/>
        </w:rPr>
        <w:t>开标</w:t>
      </w:r>
    </w:p>
    <w:p w14:paraId="201F66F6">
      <w:pPr>
        <w:widowControl/>
        <w:numPr>
          <w:ilvl w:val="1"/>
          <w:numId w:val="6"/>
        </w:numPr>
        <w:overflowPunct w:val="0"/>
        <w:autoSpaceDE w:val="0"/>
        <w:autoSpaceDN w:val="0"/>
        <w:adjustRightInd w:val="0"/>
        <w:snapToGrid w:val="0"/>
        <w:spacing w:line="360" w:lineRule="auto"/>
        <w:rPr>
          <w:sz w:val="24"/>
        </w:rPr>
      </w:pPr>
      <w:r>
        <w:rPr>
          <w:rFonts w:hint="eastAsia"/>
          <w:sz w:val="24"/>
        </w:rPr>
        <w:t>评标</w:t>
      </w:r>
    </w:p>
    <w:p w14:paraId="6FBDA2BD">
      <w:pPr>
        <w:widowControl/>
        <w:numPr>
          <w:ilvl w:val="1"/>
          <w:numId w:val="6"/>
        </w:numPr>
        <w:overflowPunct w:val="0"/>
        <w:autoSpaceDE w:val="0"/>
        <w:autoSpaceDN w:val="0"/>
        <w:adjustRightInd w:val="0"/>
        <w:snapToGrid w:val="0"/>
        <w:spacing w:line="360" w:lineRule="auto"/>
        <w:rPr>
          <w:sz w:val="24"/>
        </w:rPr>
      </w:pPr>
      <w:r>
        <w:rPr>
          <w:rFonts w:hint="eastAsia"/>
          <w:sz w:val="24"/>
        </w:rPr>
        <w:t>定标</w:t>
      </w:r>
    </w:p>
    <w:p w14:paraId="59190F6A">
      <w:pPr>
        <w:widowControl/>
        <w:numPr>
          <w:ilvl w:val="1"/>
          <w:numId w:val="6"/>
        </w:numPr>
        <w:overflowPunct w:val="0"/>
        <w:autoSpaceDE w:val="0"/>
        <w:autoSpaceDN w:val="0"/>
        <w:adjustRightInd w:val="0"/>
        <w:snapToGrid w:val="0"/>
        <w:spacing w:line="360" w:lineRule="auto"/>
        <w:rPr>
          <w:sz w:val="24"/>
        </w:rPr>
      </w:pPr>
      <w:r>
        <w:rPr>
          <w:rFonts w:hint="eastAsia"/>
          <w:sz w:val="24"/>
        </w:rPr>
        <w:t>合同授予</w:t>
      </w:r>
    </w:p>
    <w:p w14:paraId="31713EEF">
      <w:pPr>
        <w:widowControl/>
        <w:overflowPunct w:val="0"/>
        <w:autoSpaceDE w:val="0"/>
        <w:autoSpaceDN w:val="0"/>
        <w:adjustRightInd w:val="0"/>
        <w:snapToGrid w:val="0"/>
        <w:spacing w:line="360" w:lineRule="auto"/>
        <w:ind w:left="165"/>
        <w:rPr>
          <w:sz w:val="24"/>
        </w:rPr>
      </w:pPr>
      <w:r>
        <w:rPr>
          <w:rFonts w:hint="eastAsia"/>
          <w:sz w:val="24"/>
        </w:rPr>
        <w:t>第四章 评标办法及评分标准</w:t>
      </w:r>
    </w:p>
    <w:p w14:paraId="6088201A">
      <w:pPr>
        <w:widowControl/>
        <w:overflowPunct w:val="0"/>
        <w:autoSpaceDE w:val="0"/>
        <w:autoSpaceDN w:val="0"/>
        <w:adjustRightInd w:val="0"/>
        <w:snapToGrid w:val="0"/>
        <w:spacing w:line="360" w:lineRule="auto"/>
        <w:ind w:left="165"/>
        <w:rPr>
          <w:sz w:val="24"/>
        </w:rPr>
      </w:pPr>
      <w:r>
        <w:rPr>
          <w:rFonts w:hint="eastAsia"/>
          <w:sz w:val="24"/>
        </w:rPr>
        <w:t>第五章 政府采购合同主要条款</w:t>
      </w:r>
    </w:p>
    <w:p w14:paraId="61447802">
      <w:pPr>
        <w:widowControl/>
        <w:overflowPunct w:val="0"/>
        <w:autoSpaceDE w:val="0"/>
        <w:autoSpaceDN w:val="0"/>
        <w:adjustRightInd w:val="0"/>
        <w:snapToGrid w:val="0"/>
        <w:spacing w:line="360" w:lineRule="auto"/>
        <w:ind w:left="165"/>
        <w:rPr>
          <w:sz w:val="24"/>
        </w:rPr>
      </w:pPr>
      <w:r>
        <w:rPr>
          <w:rFonts w:hint="eastAsia"/>
          <w:sz w:val="24"/>
        </w:rPr>
        <w:t>第六章 投标文件相关格式</w:t>
      </w:r>
    </w:p>
    <w:p w14:paraId="1ABCDA84">
      <w:pPr>
        <w:snapToGrid w:val="0"/>
        <w:spacing w:before="120" w:line="312" w:lineRule="auto"/>
        <w:outlineLvl w:val="0"/>
      </w:pPr>
    </w:p>
    <w:p w14:paraId="5A17C21C">
      <w:pPr>
        <w:snapToGrid w:val="0"/>
        <w:spacing w:before="120" w:line="312" w:lineRule="auto"/>
        <w:outlineLvl w:val="0"/>
      </w:pPr>
    </w:p>
    <w:p w14:paraId="5C7E82F0">
      <w:pPr>
        <w:snapToGrid w:val="0"/>
        <w:spacing w:before="120" w:line="312" w:lineRule="auto"/>
        <w:outlineLvl w:val="0"/>
      </w:pPr>
    </w:p>
    <w:p w14:paraId="7C721810">
      <w:pPr>
        <w:snapToGrid w:val="0"/>
        <w:spacing w:before="120" w:line="312" w:lineRule="auto"/>
        <w:outlineLvl w:val="0"/>
      </w:pPr>
    </w:p>
    <w:p w14:paraId="401206B6">
      <w:pPr>
        <w:snapToGrid w:val="0"/>
        <w:spacing w:before="120" w:line="312" w:lineRule="auto"/>
        <w:outlineLvl w:val="0"/>
      </w:pPr>
    </w:p>
    <w:p w14:paraId="0E985959">
      <w:pPr>
        <w:snapToGrid w:val="0"/>
        <w:spacing w:before="120" w:line="312" w:lineRule="auto"/>
        <w:outlineLvl w:val="0"/>
      </w:pPr>
    </w:p>
    <w:p w14:paraId="05A86E06">
      <w:pPr>
        <w:snapToGrid w:val="0"/>
        <w:spacing w:before="120" w:line="312" w:lineRule="auto"/>
        <w:outlineLvl w:val="0"/>
      </w:pPr>
    </w:p>
    <w:p w14:paraId="44BE8788">
      <w:pPr>
        <w:widowControl/>
        <w:spacing w:line="312" w:lineRule="auto"/>
        <w:jc w:val="left"/>
        <w:rPr>
          <w:kern w:val="0"/>
        </w:rPr>
        <w:sectPr>
          <w:pgSz w:w="11906" w:h="16838"/>
          <w:pgMar w:top="1304" w:right="1106" w:bottom="1304" w:left="1531" w:header="1304" w:footer="1304" w:gutter="0"/>
          <w:cols w:space="720" w:num="1"/>
        </w:sectPr>
      </w:pPr>
    </w:p>
    <w:p w14:paraId="4E4CC835">
      <w:pPr>
        <w:snapToGrid w:val="0"/>
        <w:spacing w:before="120" w:line="312" w:lineRule="auto"/>
        <w:jc w:val="center"/>
        <w:outlineLvl w:val="0"/>
        <w:rPr>
          <w:rFonts w:eastAsia="黑体"/>
          <w:sz w:val="30"/>
        </w:rPr>
      </w:pPr>
      <w:r>
        <w:rPr>
          <w:rFonts w:hint="eastAsia" w:eastAsia="黑体"/>
          <w:sz w:val="30"/>
        </w:rPr>
        <w:t>第一章 公开招标采购公告</w:t>
      </w:r>
    </w:p>
    <w:p w14:paraId="72A966CD">
      <w:pPr>
        <w:spacing w:line="312" w:lineRule="auto"/>
      </w:pPr>
    </w:p>
    <w:p w14:paraId="67D9C699">
      <w:pPr>
        <w:spacing w:line="360" w:lineRule="auto"/>
        <w:ind w:firstLine="420" w:firstLineChars="200"/>
        <w:rPr>
          <w:szCs w:val="21"/>
        </w:rPr>
      </w:pPr>
      <w:r>
        <w:rPr>
          <w:rFonts w:hint="eastAsia"/>
        </w:rPr>
        <w:t>根据《中华人民</w:t>
      </w:r>
      <w:r>
        <w:rPr>
          <w:rFonts w:hint="eastAsia"/>
          <w:szCs w:val="21"/>
        </w:rPr>
        <w:t>共和国政府采购法》等规定，受嵊泗县市场监督管理局委托，现就2025年嵊泗县市场监督管理局食品安全抽检检测项目进行公开招标，欢迎符合资质要求并能提供相关服务的供应商参加投标。</w:t>
      </w:r>
    </w:p>
    <w:p w14:paraId="28A4CCCD">
      <w:pPr>
        <w:widowControl/>
        <w:spacing w:line="360" w:lineRule="auto"/>
        <w:jc w:val="left"/>
        <w:rPr>
          <w:b/>
          <w:bCs/>
          <w:szCs w:val="21"/>
        </w:rPr>
      </w:pPr>
      <w:r>
        <w:rPr>
          <w:rFonts w:hint="eastAsia"/>
          <w:b/>
          <w:bCs/>
          <w:szCs w:val="21"/>
        </w:rPr>
        <w:t>一、项目名称：</w:t>
      </w:r>
      <w:r>
        <w:rPr>
          <w:rFonts w:hint="eastAsia"/>
          <w:szCs w:val="21"/>
        </w:rPr>
        <w:t>2025年嵊泗县市场监督管理局食品安全抽检检测项目</w:t>
      </w:r>
    </w:p>
    <w:p w14:paraId="5551998E">
      <w:pPr>
        <w:widowControl/>
        <w:spacing w:line="360" w:lineRule="auto"/>
        <w:jc w:val="left"/>
        <w:rPr>
          <w:b/>
          <w:bCs/>
          <w:sz w:val="28"/>
          <w:szCs w:val="28"/>
        </w:rPr>
      </w:pPr>
      <w:r>
        <w:rPr>
          <w:rFonts w:hint="eastAsia"/>
          <w:b/>
          <w:bCs/>
          <w:szCs w:val="21"/>
        </w:rPr>
        <w:t>二、项目编号：</w:t>
      </w:r>
      <w:r>
        <w:rPr>
          <w:rFonts w:hint="eastAsia"/>
          <w:kern w:val="0"/>
          <w:szCs w:val="21"/>
          <w:shd w:val="clear" w:color="auto" w:fill="FFFFFF"/>
        </w:rPr>
        <w:t>SZGXZS2025008</w:t>
      </w:r>
    </w:p>
    <w:p w14:paraId="367CC88F">
      <w:pPr>
        <w:widowControl/>
        <w:spacing w:line="360" w:lineRule="auto"/>
        <w:rPr>
          <w:kern w:val="0"/>
          <w:szCs w:val="21"/>
          <w:shd w:val="clear" w:color="auto" w:fill="FFFFFF"/>
        </w:rPr>
      </w:pPr>
      <w:r>
        <w:rPr>
          <w:rFonts w:hint="eastAsia"/>
          <w:b/>
          <w:bCs/>
          <w:kern w:val="0"/>
          <w:szCs w:val="21"/>
        </w:rPr>
        <w:t>三、采购组织类型：</w:t>
      </w:r>
      <w:r>
        <w:rPr>
          <w:rFonts w:hint="eastAsia"/>
          <w:kern w:val="0"/>
          <w:szCs w:val="21"/>
          <w:shd w:val="clear" w:color="auto" w:fill="FFFFFF"/>
        </w:rPr>
        <w:t>分散采购委托代理</w:t>
      </w:r>
    </w:p>
    <w:p w14:paraId="6C26E5F8">
      <w:pPr>
        <w:widowControl/>
        <w:spacing w:line="360" w:lineRule="auto"/>
        <w:rPr>
          <w:rFonts w:hint="eastAsia" w:ascii="等线" w:hAnsi="等线"/>
        </w:rPr>
      </w:pPr>
      <w:bookmarkStart w:id="1" w:name="_Hlk169071784"/>
      <w:r>
        <w:rPr>
          <w:rFonts w:hint="eastAsia"/>
          <w:kern w:val="0"/>
          <w:szCs w:val="21"/>
          <w:shd w:val="clear" w:color="auto" w:fill="FFFFFF"/>
        </w:rPr>
        <w:t>四、</w:t>
      </w:r>
      <w:r>
        <w:rPr>
          <w:rFonts w:hint="eastAsia"/>
          <w:b/>
          <w:bCs/>
          <w:kern w:val="0"/>
          <w:szCs w:val="21"/>
        </w:rPr>
        <w:t>招标项目概况（内容、用途、数量、简要技术要求等）</w:t>
      </w:r>
      <w:r>
        <w:rPr>
          <w:b/>
          <w:bCs/>
          <w:kern w:val="0"/>
          <w:szCs w:val="21"/>
        </w:rPr>
        <w:t>:</w:t>
      </w:r>
    </w:p>
    <w:tbl>
      <w:tblPr>
        <w:tblStyle w:val="61"/>
        <w:tblpPr w:leftFromText="180" w:rightFromText="180" w:vertAnchor="text" w:horzAnchor="page" w:tblpXSpec="center" w:tblpY="207"/>
        <w:tblOverlap w:val="never"/>
        <w:tblW w:w="875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2"/>
        <w:gridCol w:w="4710"/>
        <w:gridCol w:w="2145"/>
        <w:gridCol w:w="1224"/>
      </w:tblGrid>
      <w:tr w14:paraId="51CA1E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72" w:type="dxa"/>
            <w:tcBorders>
              <w:top w:val="single" w:color="000000" w:sz="4" w:space="0"/>
              <w:left w:val="single" w:color="000000" w:sz="4" w:space="0"/>
              <w:bottom w:val="single" w:color="000000" w:sz="4" w:space="0"/>
              <w:right w:val="single" w:color="000000" w:sz="4" w:space="0"/>
            </w:tcBorders>
            <w:vAlign w:val="center"/>
          </w:tcPr>
          <w:p w14:paraId="2B515AFF">
            <w:pPr>
              <w:widowControl/>
              <w:spacing w:line="360" w:lineRule="auto"/>
              <w:jc w:val="left"/>
              <w:rPr>
                <w:kern w:val="0"/>
                <w:szCs w:val="21"/>
              </w:rPr>
            </w:pPr>
            <w:r>
              <w:rPr>
                <w:rFonts w:hint="eastAsia"/>
                <w:kern w:val="0"/>
                <w:szCs w:val="21"/>
              </w:rPr>
              <w:t>序号</w:t>
            </w:r>
          </w:p>
          <w:bookmarkEnd w:id="1"/>
        </w:tc>
        <w:tc>
          <w:tcPr>
            <w:tcW w:w="4710" w:type="dxa"/>
            <w:tcBorders>
              <w:top w:val="single" w:color="000000" w:sz="4" w:space="0"/>
              <w:left w:val="single" w:color="000000" w:sz="4" w:space="0"/>
              <w:bottom w:val="single" w:color="000000" w:sz="4" w:space="0"/>
              <w:right w:val="single" w:color="000000" w:sz="4" w:space="0"/>
            </w:tcBorders>
            <w:vAlign w:val="center"/>
          </w:tcPr>
          <w:p w14:paraId="6B1CC4DF">
            <w:pPr>
              <w:widowControl/>
              <w:spacing w:line="360" w:lineRule="auto"/>
              <w:ind w:firstLine="1680" w:firstLineChars="800"/>
              <w:jc w:val="left"/>
              <w:rPr>
                <w:kern w:val="0"/>
                <w:szCs w:val="21"/>
              </w:rPr>
            </w:pPr>
            <w:r>
              <w:rPr>
                <w:rFonts w:hint="eastAsia"/>
                <w:kern w:val="0"/>
                <w:szCs w:val="21"/>
              </w:rPr>
              <w:t>项目名称及内容</w:t>
            </w:r>
          </w:p>
        </w:tc>
        <w:tc>
          <w:tcPr>
            <w:tcW w:w="2145" w:type="dxa"/>
            <w:tcBorders>
              <w:top w:val="single" w:color="000000" w:sz="4" w:space="0"/>
              <w:left w:val="single" w:color="000000" w:sz="4" w:space="0"/>
              <w:bottom w:val="single" w:color="000000" w:sz="4" w:space="0"/>
              <w:right w:val="single" w:color="000000" w:sz="4" w:space="0"/>
            </w:tcBorders>
            <w:vAlign w:val="center"/>
          </w:tcPr>
          <w:p w14:paraId="49B98FDA">
            <w:pPr>
              <w:widowControl/>
              <w:spacing w:line="360" w:lineRule="auto"/>
              <w:jc w:val="left"/>
              <w:rPr>
                <w:kern w:val="0"/>
                <w:szCs w:val="21"/>
              </w:rPr>
            </w:pPr>
            <w:r>
              <w:rPr>
                <w:rFonts w:hint="eastAsia"/>
                <w:kern w:val="0"/>
                <w:szCs w:val="21"/>
              </w:rPr>
              <w:t>预算金额（万元）</w:t>
            </w:r>
          </w:p>
        </w:tc>
        <w:tc>
          <w:tcPr>
            <w:tcW w:w="1224" w:type="dxa"/>
            <w:tcBorders>
              <w:top w:val="single" w:color="000000" w:sz="4" w:space="0"/>
              <w:left w:val="single" w:color="000000" w:sz="4" w:space="0"/>
              <w:bottom w:val="single" w:color="000000" w:sz="4" w:space="0"/>
              <w:right w:val="single" w:color="000000" w:sz="4" w:space="0"/>
            </w:tcBorders>
            <w:vAlign w:val="center"/>
          </w:tcPr>
          <w:p w14:paraId="6ED08D50">
            <w:pPr>
              <w:widowControl/>
              <w:spacing w:line="360" w:lineRule="auto"/>
              <w:jc w:val="left"/>
              <w:rPr>
                <w:kern w:val="0"/>
                <w:szCs w:val="21"/>
              </w:rPr>
            </w:pPr>
            <w:r>
              <w:rPr>
                <w:rFonts w:hint="eastAsia"/>
                <w:kern w:val="0"/>
                <w:szCs w:val="21"/>
              </w:rPr>
              <w:t>备注</w:t>
            </w:r>
          </w:p>
        </w:tc>
      </w:tr>
      <w:tr w14:paraId="00A9EB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72" w:type="dxa"/>
            <w:tcBorders>
              <w:top w:val="single" w:color="000000" w:sz="4" w:space="0"/>
              <w:left w:val="single" w:color="000000" w:sz="4" w:space="0"/>
              <w:bottom w:val="single" w:color="000000" w:sz="4" w:space="0"/>
              <w:right w:val="single" w:color="000000" w:sz="4" w:space="0"/>
            </w:tcBorders>
            <w:vAlign w:val="center"/>
          </w:tcPr>
          <w:p w14:paraId="51F5EA0A">
            <w:pPr>
              <w:widowControl/>
              <w:spacing w:line="360" w:lineRule="auto"/>
              <w:jc w:val="left"/>
              <w:rPr>
                <w:kern w:val="0"/>
                <w:szCs w:val="21"/>
              </w:rPr>
            </w:pPr>
            <w:r>
              <w:rPr>
                <w:rFonts w:hint="eastAsia"/>
                <w:kern w:val="0"/>
                <w:szCs w:val="21"/>
              </w:rPr>
              <w:t>1</w:t>
            </w:r>
          </w:p>
        </w:tc>
        <w:tc>
          <w:tcPr>
            <w:tcW w:w="4710" w:type="dxa"/>
            <w:tcBorders>
              <w:top w:val="single" w:color="000000" w:sz="4" w:space="0"/>
              <w:left w:val="single" w:color="000000" w:sz="4" w:space="0"/>
              <w:bottom w:val="single" w:color="000000" w:sz="4" w:space="0"/>
              <w:right w:val="single" w:color="000000" w:sz="4" w:space="0"/>
            </w:tcBorders>
            <w:vAlign w:val="center"/>
          </w:tcPr>
          <w:p w14:paraId="6220551A">
            <w:pPr>
              <w:widowControl/>
              <w:spacing w:line="360" w:lineRule="auto"/>
              <w:jc w:val="left"/>
              <w:rPr>
                <w:kern w:val="0"/>
                <w:szCs w:val="21"/>
              </w:rPr>
            </w:pPr>
            <w:r>
              <w:rPr>
                <w:rFonts w:hint="eastAsia"/>
                <w:kern w:val="0"/>
                <w:szCs w:val="21"/>
              </w:rPr>
              <w:t>2025年嵊泗县市场监督管理局食品安全抽检检测项目</w:t>
            </w:r>
          </w:p>
        </w:tc>
        <w:tc>
          <w:tcPr>
            <w:tcW w:w="2145" w:type="dxa"/>
            <w:tcBorders>
              <w:top w:val="single" w:color="000000" w:sz="4" w:space="0"/>
              <w:left w:val="single" w:color="000000" w:sz="4" w:space="0"/>
              <w:bottom w:val="single" w:color="000000" w:sz="4" w:space="0"/>
              <w:right w:val="single" w:color="000000" w:sz="4" w:space="0"/>
            </w:tcBorders>
            <w:vAlign w:val="center"/>
          </w:tcPr>
          <w:p w14:paraId="0D6DADA0">
            <w:pPr>
              <w:widowControl/>
              <w:spacing w:line="360" w:lineRule="auto"/>
              <w:ind w:firstLine="735" w:firstLineChars="350"/>
              <w:jc w:val="left"/>
              <w:rPr>
                <w:kern w:val="0"/>
                <w:szCs w:val="21"/>
              </w:rPr>
            </w:pPr>
            <w:r>
              <w:rPr>
                <w:rFonts w:hint="eastAsia"/>
                <w:kern w:val="0"/>
                <w:szCs w:val="21"/>
              </w:rPr>
              <w:t>40</w:t>
            </w:r>
          </w:p>
        </w:tc>
        <w:tc>
          <w:tcPr>
            <w:tcW w:w="1224" w:type="dxa"/>
            <w:tcBorders>
              <w:top w:val="single" w:color="000000" w:sz="4" w:space="0"/>
              <w:left w:val="single" w:color="000000" w:sz="4" w:space="0"/>
              <w:bottom w:val="single" w:color="000000" w:sz="4" w:space="0"/>
              <w:right w:val="single" w:color="000000" w:sz="4" w:space="0"/>
            </w:tcBorders>
            <w:vAlign w:val="center"/>
          </w:tcPr>
          <w:p w14:paraId="43AA8B2C">
            <w:pPr>
              <w:widowControl/>
              <w:spacing w:line="360" w:lineRule="auto"/>
              <w:jc w:val="left"/>
              <w:rPr>
                <w:kern w:val="0"/>
                <w:szCs w:val="21"/>
              </w:rPr>
            </w:pPr>
          </w:p>
        </w:tc>
      </w:tr>
    </w:tbl>
    <w:p w14:paraId="11C5291F">
      <w:pPr>
        <w:widowControl/>
        <w:spacing w:line="360" w:lineRule="auto"/>
        <w:rPr>
          <w:b/>
          <w:bCs/>
          <w:kern w:val="0"/>
          <w:szCs w:val="21"/>
        </w:rPr>
      </w:pPr>
    </w:p>
    <w:p w14:paraId="53C748FA">
      <w:pPr>
        <w:widowControl/>
        <w:spacing w:line="360" w:lineRule="auto"/>
        <w:rPr>
          <w:kern w:val="0"/>
          <w:szCs w:val="21"/>
        </w:rPr>
      </w:pPr>
      <w:r>
        <w:rPr>
          <w:rFonts w:hint="eastAsia"/>
          <w:b/>
          <w:bCs/>
          <w:kern w:val="0"/>
          <w:szCs w:val="21"/>
        </w:rPr>
        <w:t>五、投标供应商资格要求</w:t>
      </w:r>
      <w:r>
        <w:rPr>
          <w:b/>
          <w:bCs/>
          <w:kern w:val="0"/>
          <w:szCs w:val="21"/>
        </w:rPr>
        <w:t>:</w:t>
      </w:r>
    </w:p>
    <w:p w14:paraId="1F478570">
      <w:pPr>
        <w:widowControl/>
        <w:shd w:val="clear" w:color="auto" w:fill="FFFFFF"/>
        <w:spacing w:line="360" w:lineRule="auto"/>
        <w:ind w:firstLine="420" w:firstLineChars="200"/>
        <w:jc w:val="left"/>
        <w:rPr>
          <w:kern w:val="0"/>
          <w:szCs w:val="21"/>
        </w:rPr>
      </w:pPr>
      <w:r>
        <w:rPr>
          <w:kern w:val="0"/>
          <w:szCs w:val="21"/>
        </w:rPr>
        <w:t>1.</w:t>
      </w:r>
      <w:r>
        <w:rPr>
          <w:rFonts w:hint="eastAsia" w:ascii="宋体" w:hAnsi="宋体" w:cs="宋体"/>
          <w:kern w:val="0"/>
          <w:szCs w:val="21"/>
        </w:rPr>
        <w:t>①</w:t>
      </w:r>
      <w:r>
        <w:rPr>
          <w:rFonts w:hint="eastAsia"/>
          <w:kern w:val="0"/>
          <w:szCs w:val="21"/>
        </w:rPr>
        <w:t>具有独立承担民事责任的能力；</w:t>
      </w:r>
      <w:r>
        <w:rPr>
          <w:rFonts w:hint="eastAsia" w:ascii="宋体" w:hAnsi="宋体" w:cs="宋体"/>
          <w:kern w:val="0"/>
          <w:szCs w:val="21"/>
        </w:rPr>
        <w:t>②</w:t>
      </w:r>
      <w:r>
        <w:rPr>
          <w:rFonts w:hint="eastAsia"/>
          <w:kern w:val="0"/>
          <w:szCs w:val="21"/>
        </w:rPr>
        <w:t>具有良好的商业信誉和健全的财务会计制度；</w:t>
      </w:r>
      <w:r>
        <w:rPr>
          <w:rFonts w:hint="eastAsia" w:ascii="宋体" w:hAnsi="宋体" w:cs="宋体"/>
          <w:kern w:val="0"/>
          <w:szCs w:val="21"/>
        </w:rPr>
        <w:t>③</w:t>
      </w:r>
      <w:r>
        <w:rPr>
          <w:rFonts w:hint="eastAsia"/>
          <w:kern w:val="0"/>
          <w:szCs w:val="21"/>
        </w:rPr>
        <w:t>具有履行合同所必需的设备和专业技术能力；</w:t>
      </w:r>
      <w:r>
        <w:rPr>
          <w:rFonts w:hint="eastAsia" w:ascii="宋体" w:hAnsi="宋体" w:cs="宋体"/>
          <w:kern w:val="0"/>
          <w:szCs w:val="21"/>
        </w:rPr>
        <w:t>④</w:t>
      </w:r>
      <w:r>
        <w:rPr>
          <w:rFonts w:hint="eastAsia"/>
          <w:kern w:val="0"/>
          <w:szCs w:val="21"/>
        </w:rPr>
        <w:t>参加政府采购活动前三年内，无依法缴纳税收和社会保障资金的不良记录；</w:t>
      </w:r>
      <w:r>
        <w:rPr>
          <w:rFonts w:hint="eastAsia" w:ascii="宋体" w:hAnsi="宋体" w:cs="宋体"/>
          <w:kern w:val="0"/>
          <w:szCs w:val="21"/>
        </w:rPr>
        <w:t>⑤</w:t>
      </w:r>
      <w:r>
        <w:rPr>
          <w:rFonts w:hint="eastAsia"/>
          <w:kern w:val="0"/>
          <w:szCs w:val="21"/>
        </w:rPr>
        <w:t>参加政府采购活动前三年内，在经营活动中没有重大违法记录；</w:t>
      </w:r>
      <w:r>
        <w:rPr>
          <w:rFonts w:hint="eastAsia" w:ascii="宋体" w:hAnsi="宋体" w:cs="宋体"/>
          <w:kern w:val="0"/>
          <w:szCs w:val="21"/>
        </w:rPr>
        <w:t>⑥</w:t>
      </w:r>
      <w:r>
        <w:rPr>
          <w:rFonts w:hint="eastAsia"/>
          <w:kern w:val="0"/>
          <w:szCs w:val="21"/>
        </w:rPr>
        <w:t>法律、行政法规规定的其他条件。</w:t>
      </w:r>
    </w:p>
    <w:p w14:paraId="15D6D6FB">
      <w:pPr>
        <w:widowControl/>
        <w:shd w:val="clear" w:color="auto" w:fill="FFFFFF"/>
        <w:spacing w:line="360" w:lineRule="auto"/>
        <w:ind w:firstLine="420" w:firstLineChars="200"/>
        <w:jc w:val="left"/>
        <w:rPr>
          <w:kern w:val="0"/>
          <w:szCs w:val="21"/>
        </w:rPr>
      </w:pPr>
      <w:r>
        <w:rPr>
          <w:kern w:val="0"/>
          <w:szCs w:val="21"/>
        </w:rPr>
        <w:t>2.</w:t>
      </w:r>
      <w:r>
        <w:rPr>
          <w:rFonts w:hint="eastAsia"/>
          <w:kern w:val="0"/>
          <w:szCs w:val="21"/>
        </w:rPr>
        <w:t>未被</w:t>
      </w:r>
      <w:r>
        <w:rPr>
          <w:kern w:val="0"/>
          <w:szCs w:val="21"/>
        </w:rPr>
        <w:t>“</w:t>
      </w:r>
      <w:r>
        <w:rPr>
          <w:rFonts w:hint="eastAsia"/>
          <w:kern w:val="0"/>
          <w:szCs w:val="21"/>
        </w:rPr>
        <w:t>信用中国</w:t>
      </w:r>
      <w:r>
        <w:rPr>
          <w:kern w:val="0"/>
          <w:szCs w:val="21"/>
        </w:rPr>
        <w:t>”</w:t>
      </w:r>
      <w:r>
        <w:rPr>
          <w:rFonts w:hint="eastAsia"/>
          <w:kern w:val="0"/>
          <w:szCs w:val="21"/>
        </w:rPr>
        <w:t>（</w:t>
      </w:r>
      <w:r>
        <w:rPr>
          <w:kern w:val="0"/>
          <w:szCs w:val="21"/>
        </w:rPr>
        <w:t>www.creditchina.gov.cn</w:t>
      </w:r>
      <w:r>
        <w:rPr>
          <w:rFonts w:hint="eastAsia"/>
          <w:kern w:val="0"/>
          <w:szCs w:val="21"/>
        </w:rPr>
        <w:t>）、中国政府采购网（</w:t>
      </w:r>
      <w:r>
        <w:rPr>
          <w:kern w:val="0"/>
          <w:szCs w:val="21"/>
        </w:rPr>
        <w:t>www.ccgp.gov.cn</w:t>
      </w:r>
      <w:r>
        <w:rPr>
          <w:rFonts w:hint="eastAsia"/>
          <w:kern w:val="0"/>
          <w:szCs w:val="21"/>
        </w:rPr>
        <w:t>）列入失信被执行人、重大税收违法案件当事人名单、政府采购严重违法失信行为记录名单。</w:t>
      </w:r>
    </w:p>
    <w:p w14:paraId="6E0224FC">
      <w:pPr>
        <w:widowControl/>
        <w:shd w:val="clear" w:color="auto" w:fill="FFFFFF"/>
        <w:spacing w:line="360" w:lineRule="auto"/>
        <w:ind w:firstLine="420" w:firstLineChars="200"/>
        <w:jc w:val="left"/>
        <w:rPr>
          <w:b/>
          <w:bCs/>
          <w:kern w:val="0"/>
          <w:szCs w:val="21"/>
        </w:rPr>
      </w:pPr>
      <w:r>
        <w:rPr>
          <w:rFonts w:hint="eastAsia"/>
          <w:kern w:val="0"/>
          <w:szCs w:val="21"/>
        </w:rPr>
        <w:t>3.本项目不专门面向中小企业。本项目对应的中小企业划分标准所属行业：</w:t>
      </w:r>
      <w:r>
        <w:rPr>
          <w:rFonts w:hint="eastAsia"/>
          <w:b/>
          <w:bCs/>
          <w:kern w:val="0"/>
          <w:szCs w:val="21"/>
        </w:rPr>
        <w:t>其他未列明行业。</w:t>
      </w:r>
    </w:p>
    <w:p w14:paraId="6351D487">
      <w:pPr>
        <w:widowControl/>
        <w:shd w:val="clear" w:color="auto" w:fill="FFFFFF"/>
        <w:spacing w:line="360" w:lineRule="auto"/>
        <w:jc w:val="left"/>
        <w:rPr>
          <w:kern w:val="0"/>
          <w:szCs w:val="21"/>
        </w:rPr>
      </w:pPr>
      <w:r>
        <w:rPr>
          <w:rFonts w:hint="eastAsia"/>
          <w:b/>
          <w:bCs/>
          <w:kern w:val="0"/>
          <w:szCs w:val="21"/>
        </w:rPr>
        <w:t>六、</w:t>
      </w:r>
      <w:r>
        <w:rPr>
          <w:rFonts w:hint="eastAsia"/>
          <w:b/>
          <w:kern w:val="0"/>
          <w:szCs w:val="21"/>
        </w:rPr>
        <w:t>公告期限：</w:t>
      </w:r>
      <w:r>
        <w:rPr>
          <w:rFonts w:hint="eastAsia"/>
          <w:b/>
          <w:kern w:val="0"/>
          <w:szCs w:val="21"/>
          <w:u w:val="single"/>
        </w:rPr>
        <w:t>自公告发布之日起</w:t>
      </w:r>
      <w:r>
        <w:rPr>
          <w:b/>
          <w:kern w:val="0"/>
          <w:szCs w:val="21"/>
          <w:u w:val="single"/>
        </w:rPr>
        <w:t>5</w:t>
      </w:r>
      <w:r>
        <w:rPr>
          <w:rFonts w:hint="eastAsia"/>
          <w:b/>
          <w:kern w:val="0"/>
          <w:szCs w:val="21"/>
          <w:u w:val="single"/>
        </w:rPr>
        <w:t>个工作日</w:t>
      </w:r>
    </w:p>
    <w:p w14:paraId="555317FB">
      <w:pPr>
        <w:snapToGrid w:val="0"/>
        <w:spacing w:line="360" w:lineRule="auto"/>
        <w:rPr>
          <w:szCs w:val="21"/>
        </w:rPr>
      </w:pPr>
      <w:r>
        <w:rPr>
          <w:rFonts w:hint="eastAsia"/>
          <w:b/>
          <w:bCs/>
          <w:szCs w:val="21"/>
        </w:rPr>
        <w:t>七、注册及采购文件的获取</w:t>
      </w:r>
      <w:r>
        <w:rPr>
          <w:rFonts w:hint="eastAsia"/>
          <w:szCs w:val="21"/>
        </w:rPr>
        <w:t>：</w:t>
      </w:r>
    </w:p>
    <w:p w14:paraId="6FCBE953">
      <w:pPr>
        <w:widowControl/>
        <w:shd w:val="clear" w:color="auto" w:fill="FFFFFF"/>
        <w:spacing w:line="360" w:lineRule="auto"/>
        <w:ind w:firstLine="417" w:firstLineChars="198"/>
        <w:jc w:val="left"/>
        <w:rPr>
          <w:b/>
          <w:bCs/>
          <w:kern w:val="0"/>
          <w:szCs w:val="21"/>
          <w:shd w:val="clear" w:color="auto" w:fill="FFFFFF"/>
        </w:rPr>
      </w:pPr>
      <w:r>
        <w:rPr>
          <w:b/>
          <w:bCs/>
          <w:kern w:val="0"/>
          <w:szCs w:val="21"/>
          <w:shd w:val="clear" w:color="auto" w:fill="FFFFFF"/>
        </w:rPr>
        <w:t>1.</w:t>
      </w:r>
      <w:r>
        <w:rPr>
          <w:rFonts w:hint="eastAsia"/>
          <w:b/>
          <w:bCs/>
          <w:kern w:val="0"/>
          <w:szCs w:val="21"/>
          <w:shd w:val="clear" w:color="auto" w:fill="FFFFFF"/>
        </w:rPr>
        <w:t>本项目只实行网上获取采购文件。</w:t>
      </w:r>
    </w:p>
    <w:p w14:paraId="7CC2F9A1">
      <w:pPr>
        <w:widowControl/>
        <w:shd w:val="clear" w:color="auto" w:fill="FFFFFF"/>
        <w:spacing w:line="360" w:lineRule="auto"/>
        <w:ind w:firstLine="417" w:firstLineChars="198"/>
        <w:jc w:val="left"/>
        <w:rPr>
          <w:b/>
          <w:bCs/>
          <w:kern w:val="0"/>
          <w:szCs w:val="21"/>
          <w:shd w:val="clear" w:color="auto" w:fill="FFFFFF"/>
        </w:rPr>
      </w:pPr>
      <w:r>
        <w:rPr>
          <w:b/>
          <w:bCs/>
          <w:kern w:val="0"/>
          <w:szCs w:val="21"/>
          <w:shd w:val="clear" w:color="auto" w:fill="FFFFFF"/>
        </w:rPr>
        <w:t>2.</w:t>
      </w:r>
      <w:r>
        <w:rPr>
          <w:rFonts w:hint="eastAsia"/>
          <w:b/>
          <w:bCs/>
          <w:kern w:val="0"/>
          <w:szCs w:val="21"/>
          <w:shd w:val="clear" w:color="auto" w:fill="FFFFFF"/>
        </w:rPr>
        <w:t>获取采购文件网址</w:t>
      </w:r>
      <w:r>
        <w:rPr>
          <w:rFonts w:hint="eastAsia"/>
          <w:kern w:val="0"/>
          <w:szCs w:val="21"/>
          <w:shd w:val="clear" w:color="auto" w:fill="FFFFFF"/>
        </w:rPr>
        <w:t>：浙江政府采购网</w:t>
      </w:r>
      <w:r>
        <w:fldChar w:fldCharType="begin"/>
      </w:r>
      <w:r>
        <w:instrText xml:space="preserve"> HYPERLINK "http://www.zjzfcg.gov.cn" </w:instrText>
      </w:r>
      <w:r>
        <w:fldChar w:fldCharType="separate"/>
      </w:r>
      <w:r>
        <w:rPr>
          <w:kern w:val="0"/>
          <w:szCs w:val="21"/>
          <w:u w:val="single"/>
          <w:shd w:val="clear" w:color="auto" w:fill="FFFFFF"/>
        </w:rPr>
        <w:t>www.zjzfcg.gov.cn</w:t>
      </w:r>
      <w:r>
        <w:rPr>
          <w:kern w:val="0"/>
          <w:szCs w:val="21"/>
          <w:u w:val="single"/>
          <w:shd w:val="clear" w:color="auto" w:fill="FFFFFF"/>
        </w:rPr>
        <w:fldChar w:fldCharType="end"/>
      </w:r>
      <w:r>
        <w:rPr>
          <w:rFonts w:hint="eastAsia"/>
          <w:kern w:val="0"/>
          <w:szCs w:val="21"/>
          <w:shd w:val="clear" w:color="auto" w:fill="FFFFFF"/>
        </w:rPr>
        <w:t>（用</w:t>
      </w:r>
      <w:r>
        <w:rPr>
          <w:kern w:val="0"/>
          <w:szCs w:val="21"/>
          <w:shd w:val="clear" w:color="auto" w:fill="FFFFFF"/>
        </w:rPr>
        <w:t>“</w:t>
      </w:r>
      <w:r>
        <w:rPr>
          <w:rFonts w:hint="eastAsia"/>
          <w:kern w:val="0"/>
          <w:szCs w:val="21"/>
          <w:shd w:val="clear" w:color="auto" w:fill="FFFFFF"/>
        </w:rPr>
        <w:t>政采云</w:t>
      </w:r>
      <w:r>
        <w:rPr>
          <w:kern w:val="0"/>
          <w:szCs w:val="21"/>
          <w:shd w:val="clear" w:color="auto" w:fill="FFFFFF"/>
        </w:rPr>
        <w:t>”</w:t>
      </w:r>
      <w:r>
        <w:rPr>
          <w:rFonts w:hint="eastAsia"/>
          <w:kern w:val="0"/>
          <w:szCs w:val="21"/>
          <w:shd w:val="clear" w:color="auto" w:fill="FFFFFF"/>
        </w:rPr>
        <w:t>注册账号、密码登录系统后获取采购文件）</w:t>
      </w:r>
    </w:p>
    <w:p w14:paraId="5EEF85A8">
      <w:pPr>
        <w:widowControl/>
        <w:shd w:val="clear" w:color="auto" w:fill="FFFFFF"/>
        <w:spacing w:line="360" w:lineRule="auto"/>
        <w:ind w:left="416" w:leftChars="198"/>
        <w:jc w:val="left"/>
        <w:rPr>
          <w:b/>
          <w:bCs/>
          <w:kern w:val="0"/>
          <w:szCs w:val="21"/>
          <w:shd w:val="clear" w:color="auto" w:fill="FFFFFF"/>
        </w:rPr>
      </w:pPr>
      <w:r>
        <w:rPr>
          <w:b/>
          <w:bCs/>
          <w:kern w:val="0"/>
          <w:szCs w:val="21"/>
          <w:shd w:val="clear" w:color="auto" w:fill="FFFFFF"/>
        </w:rPr>
        <w:t>3.</w:t>
      </w:r>
      <w:r>
        <w:rPr>
          <w:rFonts w:hint="eastAsia"/>
          <w:b/>
          <w:bCs/>
          <w:kern w:val="0"/>
          <w:szCs w:val="21"/>
          <w:shd w:val="clear" w:color="auto" w:fill="FFFFFF"/>
        </w:rPr>
        <w:t>免费注册网址：浙江政府采购网（供应商注册页面）：</w:t>
      </w:r>
    </w:p>
    <w:p w14:paraId="25E754BA">
      <w:pPr>
        <w:widowControl/>
        <w:shd w:val="clear" w:color="auto" w:fill="FFFFFF"/>
        <w:spacing w:line="360" w:lineRule="auto"/>
        <w:jc w:val="left"/>
        <w:rPr>
          <w:kern w:val="0"/>
          <w:szCs w:val="21"/>
          <w:shd w:val="clear" w:color="auto" w:fill="FFFFFF"/>
        </w:rPr>
      </w:pPr>
      <w:r>
        <w:rPr>
          <w:kern w:val="0"/>
          <w:szCs w:val="21"/>
          <w:u w:val="single"/>
          <w:shd w:val="clear" w:color="auto" w:fill="FFFFFF"/>
        </w:rPr>
        <w:t>https://middle.zcygov.cn/settle-front/#/registry</w:t>
      </w:r>
      <w:r>
        <w:rPr>
          <w:kern w:val="0"/>
          <w:szCs w:val="21"/>
          <w:shd w:val="clear" w:color="auto" w:fill="FFFFFF"/>
        </w:rPr>
        <w:t>“</w:t>
      </w:r>
      <w:r>
        <w:rPr>
          <w:rFonts w:hint="eastAsia"/>
          <w:kern w:val="0"/>
          <w:szCs w:val="21"/>
          <w:shd w:val="clear" w:color="auto" w:fill="FFFFFF"/>
        </w:rPr>
        <w:t>政采云</w:t>
      </w:r>
      <w:r>
        <w:rPr>
          <w:kern w:val="0"/>
          <w:szCs w:val="21"/>
          <w:shd w:val="clear" w:color="auto" w:fill="FFFFFF"/>
        </w:rPr>
        <w:t>”</w:t>
      </w:r>
      <w:r>
        <w:rPr>
          <w:rFonts w:hint="eastAsia"/>
          <w:kern w:val="0"/>
          <w:szCs w:val="21"/>
          <w:shd w:val="clear" w:color="auto" w:fill="FFFFFF"/>
        </w:rPr>
        <w:t>，咨询电话：95763。已经注册成功的供应商无需重复注册。</w:t>
      </w:r>
    </w:p>
    <w:p w14:paraId="36AA1D1E">
      <w:pPr>
        <w:widowControl/>
        <w:shd w:val="clear" w:color="auto" w:fill="FFFFFF"/>
        <w:spacing w:line="360" w:lineRule="auto"/>
        <w:ind w:firstLine="422" w:firstLineChars="200"/>
        <w:jc w:val="left"/>
        <w:rPr>
          <w:kern w:val="0"/>
          <w:szCs w:val="21"/>
          <w:shd w:val="clear" w:color="auto" w:fill="FFFFFF"/>
        </w:rPr>
      </w:pPr>
      <w:r>
        <w:rPr>
          <w:rFonts w:hint="eastAsia"/>
          <w:b/>
          <w:bCs/>
          <w:kern w:val="0"/>
          <w:szCs w:val="21"/>
          <w:shd w:val="clear" w:color="auto" w:fill="FFFFFF"/>
        </w:rPr>
        <w:t>4.获取采购文件时间：</w:t>
      </w:r>
      <w:r>
        <w:rPr>
          <w:rFonts w:hint="eastAsia"/>
          <w:kern w:val="0"/>
          <w:szCs w:val="21"/>
          <w:shd w:val="clear" w:color="auto" w:fill="FFFFFF"/>
        </w:rPr>
        <w:t>公告发布之日至投标截止时间</w:t>
      </w:r>
    </w:p>
    <w:p w14:paraId="372BCE8F">
      <w:pPr>
        <w:widowControl/>
        <w:shd w:val="clear" w:color="auto" w:fill="FFFFFF"/>
        <w:spacing w:line="360" w:lineRule="auto"/>
        <w:jc w:val="left"/>
        <w:rPr>
          <w:b/>
          <w:bCs/>
          <w:szCs w:val="21"/>
        </w:rPr>
      </w:pPr>
      <w:r>
        <w:rPr>
          <w:rFonts w:hint="eastAsia"/>
          <w:b/>
          <w:bCs/>
          <w:szCs w:val="21"/>
        </w:rPr>
        <w:t>八、投标文件的制作及递交：</w:t>
      </w:r>
    </w:p>
    <w:p w14:paraId="26A00271">
      <w:pPr>
        <w:widowControl/>
        <w:shd w:val="clear" w:color="auto" w:fill="FFFFFF"/>
        <w:spacing w:line="360" w:lineRule="auto"/>
        <w:ind w:firstLine="420" w:firstLineChars="200"/>
        <w:jc w:val="left"/>
        <w:rPr>
          <w:kern w:val="0"/>
          <w:szCs w:val="21"/>
          <w:shd w:val="clear" w:color="auto" w:fill="FFFFFF"/>
        </w:rPr>
      </w:pPr>
      <w:r>
        <w:rPr>
          <w:kern w:val="0"/>
          <w:szCs w:val="21"/>
          <w:shd w:val="clear" w:color="auto" w:fill="FFFFFF"/>
        </w:rPr>
        <w:t>1.</w:t>
      </w:r>
      <w:r>
        <w:rPr>
          <w:rFonts w:hint="eastAsia"/>
          <w:kern w:val="0"/>
          <w:szCs w:val="21"/>
          <w:shd w:val="clear" w:color="auto" w:fill="FFFFFF"/>
        </w:rPr>
        <w:t>供应商须</w:t>
      </w:r>
      <w:r>
        <w:rPr>
          <w:rFonts w:hint="eastAsia"/>
          <w:b/>
          <w:bCs/>
          <w:kern w:val="0"/>
          <w:szCs w:val="21"/>
          <w:shd w:val="clear" w:color="auto" w:fill="FFFFFF"/>
        </w:rPr>
        <w:t>在线获取</w:t>
      </w:r>
      <w:r>
        <w:rPr>
          <w:b/>
          <w:bCs/>
          <w:kern w:val="0"/>
          <w:szCs w:val="21"/>
          <w:shd w:val="clear" w:color="auto" w:fill="FFFFFF"/>
        </w:rPr>
        <w:t>CA</w:t>
      </w:r>
      <w:r>
        <w:rPr>
          <w:rFonts w:hint="eastAsia"/>
          <w:b/>
          <w:bCs/>
          <w:kern w:val="0"/>
          <w:szCs w:val="21"/>
          <w:shd w:val="clear" w:color="auto" w:fill="FFFFFF"/>
        </w:rPr>
        <w:t>数字证书</w:t>
      </w:r>
      <w:r>
        <w:rPr>
          <w:rFonts w:hint="eastAsia"/>
          <w:kern w:val="0"/>
          <w:szCs w:val="21"/>
          <w:shd w:val="clear" w:color="auto" w:fill="FFFFFF"/>
        </w:rPr>
        <w:t>（完成</w:t>
      </w:r>
      <w:r>
        <w:rPr>
          <w:kern w:val="0"/>
          <w:szCs w:val="21"/>
          <w:shd w:val="clear" w:color="auto" w:fill="FFFFFF"/>
        </w:rPr>
        <w:t>CA</w:t>
      </w:r>
      <w:r>
        <w:rPr>
          <w:rFonts w:hint="eastAsia"/>
          <w:kern w:val="0"/>
          <w:szCs w:val="21"/>
          <w:shd w:val="clear" w:color="auto" w:fill="FFFFFF"/>
        </w:rPr>
        <w:t>数字证书办理预计一周左右，建议各投标人自行把握时间）</w:t>
      </w:r>
      <w:r>
        <w:rPr>
          <w:rFonts w:hint="eastAsia"/>
          <w:b/>
          <w:bCs/>
          <w:kern w:val="0"/>
          <w:szCs w:val="21"/>
          <w:shd w:val="clear" w:color="auto" w:fill="FFFFFF"/>
        </w:rPr>
        <w:t>，</w:t>
      </w:r>
      <w:r>
        <w:rPr>
          <w:rFonts w:hint="eastAsia"/>
          <w:kern w:val="0"/>
          <w:szCs w:val="21"/>
          <w:shd w:val="clear" w:color="auto" w:fill="FFFFFF"/>
        </w:rPr>
        <w:t>并登录</w:t>
      </w:r>
      <w:r>
        <w:rPr>
          <w:kern w:val="0"/>
          <w:szCs w:val="21"/>
          <w:shd w:val="clear" w:color="auto" w:fill="FFFFFF"/>
        </w:rPr>
        <w:t>“</w:t>
      </w:r>
      <w:r>
        <w:rPr>
          <w:rFonts w:hint="eastAsia"/>
          <w:kern w:val="0"/>
          <w:szCs w:val="21"/>
          <w:shd w:val="clear" w:color="auto" w:fill="FFFFFF"/>
        </w:rPr>
        <w:t>浙江政府采购网</w:t>
      </w:r>
      <w:r>
        <w:rPr>
          <w:kern w:val="0"/>
          <w:szCs w:val="21"/>
          <w:shd w:val="clear" w:color="auto" w:fill="FFFFFF"/>
        </w:rPr>
        <w:t>”</w:t>
      </w:r>
      <w:r>
        <w:rPr>
          <w:rFonts w:hint="eastAsia"/>
          <w:kern w:val="0"/>
          <w:szCs w:val="21"/>
          <w:shd w:val="clear" w:color="auto" w:fill="FFFFFF"/>
        </w:rPr>
        <w:t>（</w:t>
      </w:r>
      <w:r>
        <w:fldChar w:fldCharType="begin"/>
      </w:r>
      <w:r>
        <w:instrText xml:space="preserve"> HYPERLINK "http://www.zjzfcg.gov.cn" </w:instrText>
      </w:r>
      <w:r>
        <w:fldChar w:fldCharType="separate"/>
      </w:r>
      <w:r>
        <w:rPr>
          <w:kern w:val="0"/>
          <w:szCs w:val="21"/>
          <w:u w:val="single"/>
          <w:shd w:val="clear" w:color="auto" w:fill="FFFFFF"/>
        </w:rPr>
        <w:t>www.zjzfcg.gov.cn</w:t>
      </w:r>
      <w:r>
        <w:rPr>
          <w:kern w:val="0"/>
          <w:szCs w:val="21"/>
          <w:u w:val="single"/>
          <w:shd w:val="clear" w:color="auto" w:fill="FFFFFF"/>
        </w:rPr>
        <w:fldChar w:fldCharType="end"/>
      </w:r>
      <w:r>
        <w:rPr>
          <w:rFonts w:hint="eastAsia"/>
          <w:kern w:val="0"/>
          <w:szCs w:val="21"/>
          <w:shd w:val="clear" w:color="auto" w:fill="FFFFFF"/>
        </w:rPr>
        <w:t>），进入</w:t>
      </w:r>
      <w:r>
        <w:rPr>
          <w:kern w:val="0"/>
          <w:szCs w:val="21"/>
          <w:shd w:val="clear" w:color="auto" w:fill="FFFFFF"/>
        </w:rPr>
        <w:t>“</w:t>
      </w:r>
      <w:r>
        <w:rPr>
          <w:rFonts w:hint="eastAsia"/>
          <w:kern w:val="0"/>
          <w:szCs w:val="21"/>
          <w:shd w:val="clear" w:color="auto" w:fill="FFFFFF"/>
        </w:rPr>
        <w:t>下载专区</w:t>
      </w:r>
      <w:r>
        <w:rPr>
          <w:kern w:val="0"/>
          <w:szCs w:val="21"/>
          <w:shd w:val="clear" w:color="auto" w:fill="FFFFFF"/>
        </w:rPr>
        <w:t>”</w:t>
      </w:r>
      <w:r>
        <w:rPr>
          <w:rFonts w:hint="eastAsia"/>
          <w:kern w:val="0"/>
          <w:szCs w:val="21"/>
          <w:shd w:val="clear" w:color="auto" w:fill="FFFFFF"/>
        </w:rPr>
        <w:t>下载</w:t>
      </w:r>
      <w:r>
        <w:rPr>
          <w:kern w:val="0"/>
          <w:szCs w:val="21"/>
          <w:shd w:val="clear" w:color="auto" w:fill="FFFFFF"/>
        </w:rPr>
        <w:t>“</w:t>
      </w:r>
      <w:r>
        <w:rPr>
          <w:rFonts w:hint="eastAsia"/>
          <w:kern w:val="0"/>
          <w:szCs w:val="21"/>
          <w:shd w:val="clear" w:color="auto" w:fill="FFFFFF"/>
        </w:rPr>
        <w:t>电子交易客户端</w:t>
      </w:r>
      <w:r>
        <w:rPr>
          <w:kern w:val="0"/>
          <w:szCs w:val="21"/>
          <w:shd w:val="clear" w:color="auto" w:fill="FFFFFF"/>
        </w:rPr>
        <w:t>”</w:t>
      </w:r>
      <w:r>
        <w:rPr>
          <w:rFonts w:hint="eastAsia"/>
          <w:kern w:val="0"/>
          <w:szCs w:val="21"/>
          <w:shd w:val="clear" w:color="auto" w:fill="FFFFFF"/>
        </w:rPr>
        <w:t>，制作投标文件。</w:t>
      </w:r>
    </w:p>
    <w:p w14:paraId="638A6F42">
      <w:pPr>
        <w:widowControl/>
        <w:spacing w:line="360" w:lineRule="auto"/>
        <w:ind w:firstLine="420" w:firstLineChars="200"/>
        <w:rPr>
          <w:kern w:val="0"/>
          <w:szCs w:val="21"/>
          <w:shd w:val="clear" w:color="auto" w:fill="FFFFFF"/>
        </w:rPr>
      </w:pPr>
      <w:r>
        <w:rPr>
          <w:kern w:val="0"/>
          <w:szCs w:val="21"/>
          <w:shd w:val="clear" w:color="auto" w:fill="FFFFFF"/>
        </w:rPr>
        <w:t>2.</w:t>
      </w:r>
      <w:r>
        <w:rPr>
          <w:rFonts w:hint="eastAsia"/>
          <w:kern w:val="0"/>
          <w:szCs w:val="21"/>
          <w:shd w:val="clear" w:color="auto" w:fill="FFFFFF"/>
        </w:rPr>
        <w:t>投标人将加密的电子版投标文件于投标截止时间前上传到政采云系统中。</w:t>
      </w:r>
    </w:p>
    <w:p w14:paraId="50DB1862">
      <w:pPr>
        <w:widowControl/>
        <w:shd w:val="clear" w:color="auto" w:fill="FFFFFF"/>
        <w:spacing w:line="360" w:lineRule="auto"/>
        <w:ind w:left="420" w:leftChars="200"/>
        <w:jc w:val="left"/>
        <w:rPr>
          <w:kern w:val="0"/>
          <w:szCs w:val="21"/>
          <w:u w:val="single"/>
          <w:shd w:val="clear" w:color="auto" w:fill="FFFFFF"/>
        </w:rPr>
      </w:pPr>
      <w:r>
        <w:rPr>
          <w:kern w:val="0"/>
          <w:szCs w:val="21"/>
          <w:shd w:val="clear" w:color="auto" w:fill="FFFFFF"/>
        </w:rPr>
        <w:t>3.</w:t>
      </w:r>
      <w:r>
        <w:rPr>
          <w:rFonts w:hint="eastAsia"/>
          <w:kern w:val="0"/>
          <w:szCs w:val="21"/>
          <w:shd w:val="clear" w:color="auto" w:fill="FFFFFF"/>
        </w:rPr>
        <w:t>具体的投标文件加密上传等操作详见政采云平台操作指南。</w:t>
      </w:r>
      <w:r>
        <w:fldChar w:fldCharType="begin"/>
      </w:r>
      <w:r>
        <w:instrText xml:space="preserve"> HYPERLINK "https://edu.zcygov.cn/luban/e-biding?utm=a0004.2ef5001f.0001.0109.da8b35e0da8611e98d8937b7ef8a3544" </w:instrText>
      </w:r>
      <w:r>
        <w:fldChar w:fldCharType="separate"/>
      </w:r>
      <w:r>
        <w:rPr>
          <w:kern w:val="0"/>
          <w:szCs w:val="21"/>
          <w:u w:val="single"/>
          <w:shd w:val="clear" w:color="auto" w:fill="FFFFFF"/>
        </w:rPr>
        <w:t>https://edu.zcygov.cn/luban/e-biding?utm=a0004.2ef5001f.0001.0109.da8b35e0da8611e98d8937b7ef8a3544</w:t>
      </w:r>
      <w:r>
        <w:rPr>
          <w:kern w:val="0"/>
          <w:szCs w:val="21"/>
          <w:u w:val="single"/>
          <w:shd w:val="clear" w:color="auto" w:fill="FFFFFF"/>
        </w:rPr>
        <w:fldChar w:fldCharType="end"/>
      </w:r>
    </w:p>
    <w:p w14:paraId="0043468A">
      <w:pPr>
        <w:widowControl/>
        <w:spacing w:line="360" w:lineRule="auto"/>
        <w:rPr>
          <w:kern w:val="0"/>
          <w:szCs w:val="21"/>
        </w:rPr>
      </w:pPr>
      <w:r>
        <w:rPr>
          <w:rFonts w:hint="eastAsia"/>
          <w:b/>
          <w:bCs/>
          <w:kern w:val="0"/>
          <w:szCs w:val="21"/>
        </w:rPr>
        <w:t>九、投标保证金：无。</w:t>
      </w:r>
    </w:p>
    <w:p w14:paraId="2FF5D4EE">
      <w:pPr>
        <w:widowControl/>
        <w:spacing w:line="360" w:lineRule="auto"/>
        <w:rPr>
          <w:b/>
          <w:bCs/>
          <w:kern w:val="0"/>
          <w:szCs w:val="21"/>
        </w:rPr>
      </w:pPr>
      <w:r>
        <w:rPr>
          <w:rFonts w:hint="eastAsia"/>
          <w:b/>
          <w:bCs/>
          <w:kern w:val="0"/>
          <w:szCs w:val="21"/>
        </w:rPr>
        <w:t>十、投标截止时间和地址：</w:t>
      </w:r>
    </w:p>
    <w:p w14:paraId="04F67C2B">
      <w:pPr>
        <w:spacing w:line="360" w:lineRule="auto"/>
        <w:ind w:firstLine="632" w:firstLineChars="300"/>
        <w:rPr>
          <w:b/>
          <w:szCs w:val="21"/>
        </w:rPr>
      </w:pPr>
      <w:r>
        <w:rPr>
          <w:b/>
          <w:szCs w:val="21"/>
        </w:rPr>
        <w:t>1.</w:t>
      </w:r>
      <w:r>
        <w:rPr>
          <w:rFonts w:hint="eastAsia"/>
          <w:b/>
          <w:szCs w:val="21"/>
        </w:rPr>
        <w:t>本项目实行电子投标。</w:t>
      </w:r>
    </w:p>
    <w:p w14:paraId="7F0626FA">
      <w:pPr>
        <w:spacing w:line="360" w:lineRule="auto"/>
        <w:ind w:firstLine="420" w:firstLineChars="200"/>
        <w:rPr>
          <w:szCs w:val="21"/>
        </w:rPr>
      </w:pPr>
      <w:r>
        <w:rPr>
          <w:rFonts w:hint="eastAsia"/>
          <w:szCs w:val="21"/>
        </w:rPr>
        <w:t>投标人应准备电子投标文件、以介质存储的数据电文形式的备份投标文件：</w:t>
      </w:r>
    </w:p>
    <w:p w14:paraId="2A124F37">
      <w:pPr>
        <w:spacing w:line="360" w:lineRule="auto"/>
        <w:ind w:firstLine="420" w:firstLineChars="200"/>
        <w:rPr>
          <w:szCs w:val="21"/>
        </w:rPr>
      </w:pPr>
      <w:bookmarkStart w:id="2" w:name="_Hlk100345522"/>
      <w:bookmarkEnd w:id="2"/>
      <w:r>
        <w:rPr>
          <w:rFonts w:hint="eastAsia"/>
          <w:szCs w:val="21"/>
        </w:rPr>
        <w:t>（</w:t>
      </w:r>
      <w:r>
        <w:rPr>
          <w:szCs w:val="21"/>
        </w:rPr>
        <w:t>1</w:t>
      </w:r>
      <w:r>
        <w:rPr>
          <w:rFonts w:hint="eastAsia"/>
          <w:szCs w:val="21"/>
        </w:rPr>
        <w:t>）电子投标文件，按政采云平台项目采购</w:t>
      </w:r>
      <w:r>
        <w:rPr>
          <w:szCs w:val="21"/>
        </w:rPr>
        <w:t>-</w:t>
      </w:r>
      <w:r>
        <w:rPr>
          <w:rFonts w:hint="eastAsia"/>
          <w:szCs w:val="21"/>
        </w:rPr>
        <w:t>电子交易操作指南及本招标文件要求递交。</w:t>
      </w:r>
      <w:r>
        <w:rPr>
          <w:rFonts w:hint="eastAsia"/>
          <w:szCs w:val="21"/>
          <w:shd w:val="clear" w:color="auto" w:fill="FFFFFF"/>
        </w:rPr>
        <w:t>投标人应于2025年02月14日14：1</w:t>
      </w:r>
      <w:r>
        <w:rPr>
          <w:szCs w:val="21"/>
          <w:shd w:val="clear" w:color="auto" w:fill="FFFFFF"/>
        </w:rPr>
        <w:t>5</w:t>
      </w:r>
      <w:r>
        <w:rPr>
          <w:rFonts w:hint="eastAsia"/>
          <w:szCs w:val="21"/>
          <w:shd w:val="clear" w:color="auto" w:fill="FFFFFF"/>
        </w:rPr>
        <w:t>前将加密的电子版投标文件上传到政采云系统中（不准时上传视为无效标）。</w:t>
      </w:r>
      <w:r>
        <w:rPr>
          <w:b/>
          <w:szCs w:val="21"/>
          <w:shd w:val="clear" w:color="auto" w:fill="FFFFFF"/>
        </w:rPr>
        <w:t>CA</w:t>
      </w:r>
      <w:r>
        <w:rPr>
          <w:rFonts w:hint="eastAsia"/>
          <w:b/>
          <w:szCs w:val="21"/>
          <w:shd w:val="clear" w:color="auto" w:fill="FFFFFF"/>
        </w:rPr>
        <w:t>数字证书随身携带或准时解码。</w:t>
      </w:r>
    </w:p>
    <w:p w14:paraId="1B75B757">
      <w:pPr>
        <w:spacing w:line="360" w:lineRule="auto"/>
        <w:ind w:firstLine="420" w:firstLineChars="200"/>
        <w:rPr>
          <w:szCs w:val="21"/>
        </w:rPr>
      </w:pPr>
      <w:r>
        <w:rPr>
          <w:rFonts w:hint="eastAsia"/>
          <w:szCs w:val="21"/>
        </w:rPr>
        <w:t>（</w:t>
      </w:r>
      <w:r>
        <w:rPr>
          <w:szCs w:val="21"/>
        </w:rPr>
        <w:t>2</w:t>
      </w:r>
      <w:r>
        <w:rPr>
          <w:rFonts w:hint="eastAsia"/>
          <w:szCs w:val="21"/>
        </w:rPr>
        <w:t>）以介质存储的数据电文形式的备份投标文件，按政采云平台项目采购</w:t>
      </w:r>
      <w:r>
        <w:rPr>
          <w:szCs w:val="21"/>
        </w:rPr>
        <w:t>-</w:t>
      </w:r>
      <w:r>
        <w:rPr>
          <w:rFonts w:hint="eastAsia"/>
          <w:szCs w:val="21"/>
        </w:rPr>
        <w:t>电子交易操作指南中上传的电子投标文件格式，以</w:t>
      </w:r>
      <w:r>
        <w:rPr>
          <w:szCs w:val="21"/>
        </w:rPr>
        <w:t>U</w:t>
      </w:r>
      <w:r>
        <w:rPr>
          <w:rFonts w:hint="eastAsia"/>
          <w:szCs w:val="21"/>
        </w:rPr>
        <w:t>盘形式存储提供。数量为</w:t>
      </w:r>
      <w:r>
        <w:rPr>
          <w:szCs w:val="21"/>
        </w:rPr>
        <w:t>1</w:t>
      </w:r>
      <w:r>
        <w:rPr>
          <w:rFonts w:hint="eastAsia"/>
          <w:szCs w:val="21"/>
        </w:rPr>
        <w:t>份。</w:t>
      </w:r>
    </w:p>
    <w:p w14:paraId="0E074D97">
      <w:pPr>
        <w:widowControl/>
        <w:shd w:val="clear" w:color="auto" w:fill="FFFFFF"/>
        <w:spacing w:line="360" w:lineRule="auto"/>
        <w:ind w:firstLine="516" w:firstLineChars="246"/>
        <w:jc w:val="left"/>
        <w:rPr>
          <w:kern w:val="0"/>
          <w:szCs w:val="21"/>
        </w:rPr>
      </w:pPr>
      <w:r>
        <w:rPr>
          <w:rFonts w:hint="eastAsia"/>
          <w:kern w:val="0"/>
          <w:szCs w:val="21"/>
        </w:rPr>
        <w:t>投标人应于2025年02月13日</w:t>
      </w:r>
      <w:r>
        <w:rPr>
          <w:kern w:val="0"/>
          <w:szCs w:val="21"/>
        </w:rPr>
        <w:t>11</w:t>
      </w:r>
      <w:r>
        <w:rPr>
          <w:rFonts w:hint="eastAsia"/>
          <w:kern w:val="0"/>
          <w:szCs w:val="21"/>
        </w:rPr>
        <w:t>：</w:t>
      </w:r>
      <w:r>
        <w:rPr>
          <w:kern w:val="0"/>
          <w:szCs w:val="21"/>
        </w:rPr>
        <w:t>30</w:t>
      </w:r>
      <w:r>
        <w:rPr>
          <w:rFonts w:hint="eastAsia"/>
          <w:kern w:val="0"/>
          <w:szCs w:val="21"/>
        </w:rPr>
        <w:t>（北京时间）前将备份的投标文件寄于采购代理公司，地址：舟山市定海区昌国路</w:t>
      </w:r>
      <w:r>
        <w:rPr>
          <w:kern w:val="0"/>
          <w:szCs w:val="21"/>
        </w:rPr>
        <w:t>232</w:t>
      </w:r>
      <w:r>
        <w:rPr>
          <w:rFonts w:hint="eastAsia"/>
          <w:kern w:val="0"/>
          <w:szCs w:val="21"/>
        </w:rPr>
        <w:t>号中楼</w:t>
      </w:r>
      <w:r>
        <w:rPr>
          <w:kern w:val="0"/>
          <w:szCs w:val="21"/>
        </w:rPr>
        <w:t>202</w:t>
      </w:r>
      <w:r>
        <w:rPr>
          <w:rFonts w:hint="eastAsia"/>
          <w:kern w:val="0"/>
          <w:szCs w:val="21"/>
        </w:rPr>
        <w:t>深圳市国信招标有限公司舟山分公司(收件人：任女士，联系电话：13567673203），未按时寄到的自行承担风险。也可开标会现场递交。</w:t>
      </w:r>
    </w:p>
    <w:p w14:paraId="49384A2F">
      <w:pPr>
        <w:widowControl/>
        <w:shd w:val="clear" w:color="auto" w:fill="FFFFFF"/>
        <w:spacing w:line="360" w:lineRule="auto"/>
        <w:ind w:firstLine="519" w:firstLineChars="246"/>
        <w:jc w:val="left"/>
        <w:rPr>
          <w:b/>
          <w:kern w:val="0"/>
          <w:szCs w:val="21"/>
        </w:rPr>
      </w:pPr>
      <w:r>
        <w:rPr>
          <w:rFonts w:hint="eastAsia"/>
          <w:b/>
          <w:kern w:val="0"/>
          <w:szCs w:val="21"/>
        </w:rPr>
        <w:t>投标人可以不提供备份投标文件，造成项目开评标活动无法进行下去的，投标无效，相关风险由投标人自行承担。</w:t>
      </w:r>
    </w:p>
    <w:p w14:paraId="0F82CCFC">
      <w:pPr>
        <w:widowControl/>
        <w:shd w:val="clear" w:color="auto" w:fill="FFFFFF"/>
        <w:spacing w:line="360" w:lineRule="auto"/>
        <w:ind w:firstLine="413" w:firstLineChars="196"/>
        <w:jc w:val="left"/>
        <w:rPr>
          <w:bCs/>
          <w:kern w:val="0"/>
          <w:szCs w:val="21"/>
        </w:rPr>
      </w:pPr>
      <w:r>
        <w:rPr>
          <w:b/>
          <w:bCs/>
          <w:szCs w:val="21"/>
        </w:rPr>
        <w:t>2.</w:t>
      </w:r>
      <w:r>
        <w:rPr>
          <w:rFonts w:hint="eastAsia"/>
          <w:b/>
          <w:bCs/>
          <w:szCs w:val="21"/>
        </w:rPr>
        <w:t>开标时间：</w:t>
      </w:r>
      <w:r>
        <w:rPr>
          <w:rFonts w:hint="eastAsia"/>
          <w:kern w:val="0"/>
          <w:szCs w:val="21"/>
        </w:rPr>
        <w:t>2025年02月14日</w:t>
      </w:r>
      <w:r>
        <w:rPr>
          <w:rFonts w:hint="eastAsia"/>
          <w:kern w:val="0"/>
          <w:szCs w:val="21"/>
          <w:lang w:val="en-US" w:eastAsia="zh-CN"/>
        </w:rPr>
        <w:t>14</w:t>
      </w:r>
      <w:r>
        <w:rPr>
          <w:rFonts w:hint="eastAsia"/>
          <w:kern w:val="0"/>
          <w:szCs w:val="21"/>
        </w:rPr>
        <w:t>：1</w:t>
      </w:r>
      <w:r>
        <w:rPr>
          <w:kern w:val="0"/>
          <w:szCs w:val="21"/>
        </w:rPr>
        <w:t>5</w:t>
      </w:r>
    </w:p>
    <w:p w14:paraId="27FEA635">
      <w:pPr>
        <w:widowControl/>
        <w:shd w:val="clear" w:color="auto" w:fill="FFFFFF"/>
        <w:spacing w:line="360" w:lineRule="auto"/>
        <w:ind w:firstLine="410"/>
        <w:jc w:val="left"/>
        <w:rPr>
          <w:kern w:val="0"/>
          <w:szCs w:val="21"/>
        </w:rPr>
      </w:pPr>
      <w:r>
        <w:rPr>
          <w:b/>
          <w:bCs/>
          <w:szCs w:val="21"/>
        </w:rPr>
        <w:t>3.</w:t>
      </w:r>
      <w:r>
        <w:rPr>
          <w:rFonts w:hint="eastAsia"/>
          <w:b/>
          <w:bCs/>
          <w:szCs w:val="21"/>
        </w:rPr>
        <w:t>开标地点：</w:t>
      </w:r>
      <w:r>
        <w:rPr>
          <w:rFonts w:hint="eastAsia"/>
          <w:szCs w:val="21"/>
        </w:rPr>
        <w:t>舟山市定海区颜家峧路7号一楼</w:t>
      </w:r>
      <w:r>
        <w:rPr>
          <w:rFonts w:hint="eastAsia"/>
          <w:kern w:val="0"/>
          <w:szCs w:val="21"/>
        </w:rPr>
        <w:t xml:space="preserve"> </w:t>
      </w:r>
    </w:p>
    <w:p w14:paraId="6F3AFDBE">
      <w:pPr>
        <w:widowControl/>
        <w:shd w:val="clear" w:color="auto" w:fill="FFFFFF"/>
        <w:spacing w:line="360" w:lineRule="auto"/>
        <w:jc w:val="left"/>
        <w:rPr>
          <w:kern w:val="0"/>
          <w:szCs w:val="21"/>
        </w:rPr>
      </w:pPr>
      <w:r>
        <w:rPr>
          <w:rFonts w:hint="eastAsia"/>
          <w:b/>
          <w:bCs/>
          <w:kern w:val="0"/>
          <w:szCs w:val="21"/>
        </w:rPr>
        <w:t>十一、其他事项：</w:t>
      </w:r>
    </w:p>
    <w:p w14:paraId="45254E98">
      <w:pPr>
        <w:spacing w:line="360" w:lineRule="auto"/>
        <w:ind w:firstLine="420" w:firstLineChars="200"/>
      </w:pPr>
      <w:r>
        <w:rPr>
          <w:szCs w:val="21"/>
        </w:rPr>
        <w:t>1.</w:t>
      </w:r>
      <w:r>
        <w:rPr>
          <w:rFonts w:hint="eastAsia"/>
        </w:rPr>
        <w:t>本项目公告期限为</w:t>
      </w:r>
      <w:r>
        <w:t>5</w:t>
      </w:r>
      <w:r>
        <w:rPr>
          <w:rFonts w:hint="eastAsia"/>
        </w:rPr>
        <w:t>个工作日，供应商认为采购文件使自己的权益受到损害的，可以自获取采购文件之日或者采购文件公告期限届满之日（公告期限届</w:t>
      </w:r>
      <w:bookmarkStart w:id="3" w:name="_GoBack"/>
      <w:bookmarkEnd w:id="3"/>
      <w:r>
        <w:rPr>
          <w:rFonts w:hint="eastAsia"/>
        </w:rPr>
        <w:t>满后获取采购文件的，以公告期限届满之日为准）起</w:t>
      </w:r>
      <w:r>
        <w:t>7</w:t>
      </w:r>
      <w:r>
        <w:rPr>
          <w:rFonts w:hint="eastAsia"/>
        </w:rPr>
        <w:t>个工作日内，以书面形式向采购人和采购代理机构提出质疑。质疑供应商对采购人、采购代理机构的答复不满意或者采购人、采购代理机构未在规定的时间内作出答复的，可以在答复期满后十五个工作日内向同级政府采购监督管理部门投诉。质疑函范本、投诉书范本请到浙江政府采购网下载专区下载。</w:t>
      </w:r>
    </w:p>
    <w:p w14:paraId="4344FEB3">
      <w:pPr>
        <w:spacing w:line="360" w:lineRule="auto"/>
        <w:ind w:firstLine="420" w:firstLineChars="200"/>
        <w:rPr>
          <w:szCs w:val="21"/>
        </w:rPr>
      </w:pPr>
      <w:r>
        <w:rPr>
          <w:szCs w:val="21"/>
        </w:rPr>
        <w:t>2.</w:t>
      </w:r>
      <w:r>
        <w:rPr>
          <w:rFonts w:hint="eastAsia"/>
          <w:szCs w:val="21"/>
        </w:rPr>
        <w:t>投标人应在合同签订前成为浙江政府采购网正式注册供应商。</w:t>
      </w:r>
    </w:p>
    <w:p w14:paraId="48EBFEEE">
      <w:pPr>
        <w:widowControl/>
        <w:spacing w:line="360" w:lineRule="auto"/>
        <w:rPr>
          <w:kern w:val="0"/>
          <w:szCs w:val="21"/>
        </w:rPr>
      </w:pPr>
      <w:r>
        <w:rPr>
          <w:rFonts w:hint="eastAsia"/>
          <w:b/>
          <w:bCs/>
          <w:kern w:val="0"/>
          <w:szCs w:val="21"/>
        </w:rPr>
        <w:t>十二、联系方式：</w:t>
      </w:r>
    </w:p>
    <w:p w14:paraId="209FCB80">
      <w:pPr>
        <w:widowControl/>
        <w:spacing w:line="360" w:lineRule="auto"/>
        <w:ind w:firstLine="420"/>
        <w:rPr>
          <w:kern w:val="0"/>
          <w:szCs w:val="21"/>
          <w:shd w:val="clear" w:color="auto" w:fill="FFFFFF"/>
        </w:rPr>
      </w:pPr>
      <w:r>
        <w:rPr>
          <w:kern w:val="0"/>
          <w:szCs w:val="21"/>
          <w:shd w:val="clear" w:color="auto" w:fill="FFFFFF"/>
        </w:rPr>
        <w:t>1.</w:t>
      </w:r>
      <w:r>
        <w:rPr>
          <w:rFonts w:hint="eastAsia"/>
          <w:kern w:val="0"/>
          <w:szCs w:val="21"/>
          <w:shd w:val="clear" w:color="auto" w:fill="FFFFFF"/>
        </w:rPr>
        <w:t>采购代理机构名称：深圳市国信招标有限公司舟山分公司</w:t>
      </w:r>
    </w:p>
    <w:p w14:paraId="2D4EBB94">
      <w:pPr>
        <w:widowControl/>
        <w:spacing w:line="360" w:lineRule="auto"/>
        <w:ind w:firstLine="420"/>
        <w:rPr>
          <w:kern w:val="0"/>
          <w:szCs w:val="21"/>
          <w:shd w:val="clear" w:color="auto" w:fill="FFFFFF"/>
        </w:rPr>
      </w:pPr>
      <w:r>
        <w:rPr>
          <w:rFonts w:hint="eastAsia"/>
          <w:kern w:val="0"/>
          <w:szCs w:val="21"/>
          <w:shd w:val="clear" w:color="auto" w:fill="FFFFFF"/>
        </w:rPr>
        <w:t>联系人：朱女士</w:t>
      </w:r>
    </w:p>
    <w:p w14:paraId="407EDA95">
      <w:pPr>
        <w:widowControl/>
        <w:spacing w:line="360" w:lineRule="auto"/>
        <w:ind w:firstLine="420"/>
        <w:rPr>
          <w:kern w:val="0"/>
          <w:szCs w:val="21"/>
          <w:shd w:val="clear" w:color="auto" w:fill="FFFFFF"/>
        </w:rPr>
      </w:pPr>
      <w:r>
        <w:rPr>
          <w:rFonts w:hint="eastAsia"/>
          <w:kern w:val="0"/>
          <w:szCs w:val="21"/>
          <w:shd w:val="clear" w:color="auto" w:fill="FFFFFF"/>
        </w:rPr>
        <w:t>联系电话：</w:t>
      </w:r>
      <w:r>
        <w:rPr>
          <w:kern w:val="0"/>
          <w:szCs w:val="21"/>
          <w:shd w:val="clear" w:color="auto" w:fill="FFFFFF"/>
        </w:rPr>
        <w:t>0580-2054476</w:t>
      </w:r>
      <w:r>
        <w:rPr>
          <w:rFonts w:hint="eastAsia"/>
          <w:kern w:val="0"/>
          <w:szCs w:val="21"/>
          <w:shd w:val="clear" w:color="auto" w:fill="FFFFFF"/>
        </w:rPr>
        <w:t>，</w:t>
      </w:r>
      <w:r>
        <w:rPr>
          <w:kern w:val="0"/>
          <w:szCs w:val="21"/>
          <w:shd w:val="clear" w:color="auto" w:fill="FFFFFF"/>
        </w:rPr>
        <w:t>13857236444</w:t>
      </w:r>
    </w:p>
    <w:p w14:paraId="5D945A59">
      <w:pPr>
        <w:widowControl/>
        <w:spacing w:line="360" w:lineRule="auto"/>
        <w:ind w:firstLine="420"/>
        <w:rPr>
          <w:kern w:val="0"/>
          <w:szCs w:val="21"/>
          <w:shd w:val="clear" w:color="auto" w:fill="FFFFFF"/>
        </w:rPr>
      </w:pPr>
      <w:r>
        <w:rPr>
          <w:rFonts w:hint="eastAsia"/>
          <w:kern w:val="0"/>
          <w:szCs w:val="21"/>
          <w:shd w:val="clear" w:color="auto" w:fill="FFFFFF"/>
        </w:rPr>
        <w:t>质疑答复联系人：王女士</w:t>
      </w:r>
    </w:p>
    <w:p w14:paraId="1F5AE878">
      <w:pPr>
        <w:widowControl/>
        <w:spacing w:line="360" w:lineRule="auto"/>
        <w:ind w:firstLine="420"/>
        <w:rPr>
          <w:kern w:val="0"/>
          <w:szCs w:val="21"/>
          <w:shd w:val="clear" w:color="auto" w:fill="FFFFFF"/>
        </w:rPr>
      </w:pPr>
      <w:r>
        <w:rPr>
          <w:rFonts w:hint="eastAsia"/>
          <w:kern w:val="0"/>
          <w:szCs w:val="21"/>
          <w:shd w:val="clear" w:color="auto" w:fill="FFFFFF"/>
        </w:rPr>
        <w:t>联系电话：</w:t>
      </w:r>
      <w:r>
        <w:rPr>
          <w:kern w:val="0"/>
          <w:szCs w:val="21"/>
          <w:shd w:val="clear" w:color="auto" w:fill="FFFFFF"/>
        </w:rPr>
        <w:t>0580-2054476</w:t>
      </w:r>
      <w:r>
        <w:rPr>
          <w:rFonts w:hint="eastAsia"/>
          <w:kern w:val="0"/>
          <w:szCs w:val="21"/>
          <w:shd w:val="clear" w:color="auto" w:fill="FFFFFF"/>
        </w:rPr>
        <w:t>，</w:t>
      </w:r>
      <w:r>
        <w:rPr>
          <w:kern w:val="0"/>
          <w:szCs w:val="21"/>
          <w:shd w:val="clear" w:color="auto" w:fill="FFFFFF"/>
        </w:rPr>
        <w:t>13587045176</w:t>
      </w:r>
    </w:p>
    <w:p w14:paraId="7D94F8CA">
      <w:pPr>
        <w:widowControl/>
        <w:spacing w:line="360" w:lineRule="auto"/>
        <w:ind w:firstLine="420"/>
        <w:rPr>
          <w:kern w:val="0"/>
          <w:szCs w:val="21"/>
          <w:shd w:val="clear" w:color="auto" w:fill="FFFFFF"/>
        </w:rPr>
      </w:pPr>
      <w:r>
        <w:rPr>
          <w:rFonts w:hint="eastAsia"/>
          <w:kern w:val="0"/>
          <w:szCs w:val="21"/>
          <w:shd w:val="clear" w:color="auto" w:fill="FFFFFF"/>
        </w:rPr>
        <w:t>传真：</w:t>
      </w:r>
      <w:r>
        <w:rPr>
          <w:kern w:val="0"/>
          <w:szCs w:val="21"/>
          <w:shd w:val="clear" w:color="auto" w:fill="FFFFFF"/>
        </w:rPr>
        <w:t>0580-2054476</w:t>
      </w:r>
    </w:p>
    <w:p w14:paraId="57195C3C">
      <w:pPr>
        <w:widowControl/>
        <w:spacing w:line="360" w:lineRule="auto"/>
        <w:ind w:firstLine="420"/>
        <w:rPr>
          <w:kern w:val="0"/>
          <w:szCs w:val="21"/>
          <w:shd w:val="clear" w:color="auto" w:fill="FFFFFF"/>
        </w:rPr>
      </w:pPr>
      <w:r>
        <w:rPr>
          <w:rFonts w:hint="eastAsia"/>
          <w:kern w:val="0"/>
          <w:szCs w:val="21"/>
          <w:shd w:val="clear" w:color="auto" w:fill="FFFFFF"/>
        </w:rPr>
        <w:t>地址：舟山市定海区昌国路</w:t>
      </w:r>
      <w:r>
        <w:rPr>
          <w:kern w:val="0"/>
          <w:szCs w:val="21"/>
          <w:shd w:val="clear" w:color="auto" w:fill="FFFFFF"/>
        </w:rPr>
        <w:t>232</w:t>
      </w:r>
      <w:r>
        <w:rPr>
          <w:rFonts w:hint="eastAsia"/>
          <w:kern w:val="0"/>
          <w:szCs w:val="21"/>
          <w:shd w:val="clear" w:color="auto" w:fill="FFFFFF"/>
        </w:rPr>
        <w:t>号中楼</w:t>
      </w:r>
      <w:r>
        <w:rPr>
          <w:kern w:val="0"/>
          <w:szCs w:val="21"/>
          <w:shd w:val="clear" w:color="auto" w:fill="FFFFFF"/>
        </w:rPr>
        <w:t>202</w:t>
      </w:r>
    </w:p>
    <w:p w14:paraId="6AEEABE6">
      <w:pPr>
        <w:widowControl/>
        <w:spacing w:line="360" w:lineRule="auto"/>
        <w:ind w:firstLine="420"/>
        <w:rPr>
          <w:kern w:val="0"/>
          <w:szCs w:val="21"/>
          <w:shd w:val="clear" w:color="auto" w:fill="FFFFFF"/>
        </w:rPr>
      </w:pPr>
      <w:r>
        <w:rPr>
          <w:rFonts w:hint="eastAsia" w:ascii="宋体" w:hAnsi="宋体"/>
          <w:szCs w:val="21"/>
          <w:shd w:val="clear" w:color="auto" w:fill="FFFFFF"/>
        </w:rPr>
        <w:t>2</w:t>
      </w:r>
      <w:r>
        <w:rPr>
          <w:rFonts w:hint="eastAsia"/>
          <w:kern w:val="0"/>
          <w:szCs w:val="21"/>
          <w:shd w:val="clear" w:color="auto" w:fill="FFFFFF"/>
        </w:rPr>
        <w:t>.采购人：嵊泗县市场监督管理局</w:t>
      </w:r>
    </w:p>
    <w:p w14:paraId="465BFB59">
      <w:pPr>
        <w:widowControl/>
        <w:spacing w:line="360" w:lineRule="auto"/>
        <w:ind w:firstLine="420"/>
        <w:rPr>
          <w:kern w:val="0"/>
          <w:szCs w:val="21"/>
          <w:shd w:val="clear" w:color="auto" w:fill="FFFFFF"/>
        </w:rPr>
      </w:pPr>
      <w:r>
        <w:rPr>
          <w:rFonts w:hint="eastAsia"/>
          <w:kern w:val="0"/>
          <w:szCs w:val="21"/>
          <w:shd w:val="clear" w:color="auto" w:fill="FFFFFF"/>
        </w:rPr>
        <w:t xml:space="preserve">联系人：郑先生 </w:t>
      </w:r>
    </w:p>
    <w:p w14:paraId="73599035">
      <w:pPr>
        <w:widowControl/>
        <w:spacing w:line="360" w:lineRule="auto"/>
        <w:ind w:firstLine="420"/>
        <w:rPr>
          <w:kern w:val="0"/>
          <w:szCs w:val="21"/>
          <w:shd w:val="clear" w:color="auto" w:fill="FFFFFF"/>
        </w:rPr>
      </w:pPr>
      <w:r>
        <w:rPr>
          <w:rFonts w:hint="eastAsia"/>
          <w:kern w:val="0"/>
          <w:szCs w:val="21"/>
          <w:shd w:val="clear" w:color="auto" w:fill="FFFFFF"/>
        </w:rPr>
        <w:t>联系电话：0580-5596332</w:t>
      </w:r>
    </w:p>
    <w:p w14:paraId="0B674072">
      <w:pPr>
        <w:widowControl/>
        <w:spacing w:line="360" w:lineRule="auto"/>
        <w:ind w:firstLine="420"/>
        <w:rPr>
          <w:kern w:val="0"/>
          <w:szCs w:val="21"/>
          <w:shd w:val="clear" w:color="auto" w:fill="FFFFFF"/>
        </w:rPr>
      </w:pPr>
      <w:r>
        <w:rPr>
          <w:rFonts w:hint="eastAsia"/>
          <w:kern w:val="0"/>
          <w:szCs w:val="21"/>
          <w:shd w:val="clear" w:color="auto" w:fill="FFFFFF"/>
        </w:rPr>
        <w:t>质疑答复联系人：黄先生</w:t>
      </w:r>
    </w:p>
    <w:p w14:paraId="59396023">
      <w:pPr>
        <w:widowControl/>
        <w:spacing w:line="360" w:lineRule="auto"/>
        <w:ind w:firstLine="420"/>
        <w:rPr>
          <w:kern w:val="0"/>
          <w:szCs w:val="21"/>
          <w:shd w:val="clear" w:color="auto" w:fill="FFFFFF"/>
        </w:rPr>
      </w:pPr>
      <w:r>
        <w:rPr>
          <w:rFonts w:hint="eastAsia"/>
          <w:kern w:val="0"/>
          <w:szCs w:val="21"/>
          <w:shd w:val="clear" w:color="auto" w:fill="FFFFFF"/>
        </w:rPr>
        <w:t>联系电话：0580-5596332</w:t>
      </w:r>
    </w:p>
    <w:p w14:paraId="1288AC90">
      <w:pPr>
        <w:spacing w:line="360" w:lineRule="auto"/>
        <w:ind w:firstLine="472" w:firstLineChars="225"/>
        <w:rPr>
          <w:rFonts w:hint="eastAsia" w:ascii="宋体" w:hAnsi="宋体"/>
          <w:szCs w:val="21"/>
          <w:shd w:val="clear" w:color="auto" w:fill="FFFFFF"/>
        </w:rPr>
      </w:pPr>
      <w:r>
        <w:rPr>
          <w:rFonts w:hint="eastAsia" w:ascii="宋体" w:hAnsi="宋体"/>
          <w:szCs w:val="21"/>
          <w:shd w:val="clear" w:color="auto" w:fill="FFFFFF"/>
        </w:rPr>
        <w:t>地址：浙江省舟山市嵊泗县菜园镇中心农贸市场6楼</w:t>
      </w:r>
    </w:p>
    <w:p w14:paraId="4C64EA7F">
      <w:pPr>
        <w:widowControl/>
        <w:spacing w:line="360" w:lineRule="auto"/>
        <w:ind w:firstLine="420"/>
        <w:rPr>
          <w:kern w:val="0"/>
          <w:szCs w:val="21"/>
          <w:shd w:val="clear" w:color="auto" w:fill="FFFFFF"/>
        </w:rPr>
      </w:pPr>
      <w:r>
        <w:rPr>
          <w:rFonts w:hint="eastAsia"/>
          <w:kern w:val="0"/>
          <w:szCs w:val="21"/>
          <w:shd w:val="clear" w:color="auto" w:fill="FFFFFF"/>
        </w:rPr>
        <w:t>3.同级政府采购监督管理部门名称：嵊泗县财政局政府采购管理科</w:t>
      </w:r>
    </w:p>
    <w:p w14:paraId="5684FA9A">
      <w:pPr>
        <w:widowControl/>
        <w:spacing w:line="360" w:lineRule="auto"/>
        <w:ind w:firstLine="420"/>
        <w:rPr>
          <w:kern w:val="0"/>
          <w:szCs w:val="21"/>
          <w:shd w:val="clear" w:color="auto" w:fill="FFFFFF"/>
        </w:rPr>
      </w:pPr>
      <w:r>
        <w:rPr>
          <w:rFonts w:hint="eastAsia"/>
          <w:kern w:val="0"/>
          <w:szCs w:val="21"/>
          <w:shd w:val="clear" w:color="auto" w:fill="FFFFFF"/>
        </w:rPr>
        <w:t>监督投诉电话：0580-5087363</w:t>
      </w:r>
    </w:p>
    <w:p w14:paraId="468ED870">
      <w:pPr>
        <w:spacing w:line="360" w:lineRule="auto"/>
        <w:ind w:firstLine="678" w:firstLineChars="225"/>
        <w:rPr>
          <w:rFonts w:hint="eastAsia" w:ascii="宋体" w:hAnsi="宋体"/>
          <w:b/>
          <w:sz w:val="30"/>
        </w:rPr>
      </w:pPr>
    </w:p>
    <w:p w14:paraId="71120924">
      <w:pPr>
        <w:rPr>
          <w:b/>
          <w:kern w:val="0"/>
          <w:sz w:val="30"/>
        </w:rPr>
      </w:pPr>
      <w:r>
        <w:rPr>
          <w:b/>
          <w:kern w:val="0"/>
          <w:sz w:val="30"/>
        </w:rPr>
        <w:br w:type="page"/>
      </w:r>
    </w:p>
    <w:p w14:paraId="5BF59CB8">
      <w:pPr>
        <w:numPr>
          <w:ilvl w:val="0"/>
          <w:numId w:val="7"/>
        </w:numPr>
        <w:snapToGrid w:val="0"/>
        <w:spacing w:line="360" w:lineRule="auto"/>
        <w:jc w:val="center"/>
        <w:rPr>
          <w:b/>
          <w:sz w:val="30"/>
        </w:rPr>
      </w:pPr>
      <w:r>
        <w:rPr>
          <w:rFonts w:hint="eastAsia"/>
          <w:b/>
          <w:sz w:val="30"/>
        </w:rPr>
        <w:t>招标需求</w:t>
      </w:r>
    </w:p>
    <w:p w14:paraId="788A1562">
      <w:pPr>
        <w:spacing w:line="360" w:lineRule="auto"/>
        <w:rPr>
          <w:rFonts w:hint="eastAsia" w:ascii="宋体" w:hAnsi="宋体" w:cs="宋体"/>
          <w:b/>
          <w:sz w:val="24"/>
          <w:szCs w:val="24"/>
        </w:rPr>
      </w:pPr>
    </w:p>
    <w:p w14:paraId="0F0DC6DF">
      <w:pPr>
        <w:spacing w:line="360" w:lineRule="auto"/>
        <w:outlineLvl w:val="0"/>
        <w:rPr>
          <w:rFonts w:hint="eastAsia" w:ascii="宋体" w:hAnsi="宋体"/>
          <w:b/>
          <w:bCs/>
          <w:sz w:val="24"/>
          <w:szCs w:val="24"/>
        </w:rPr>
      </w:pPr>
      <w:r>
        <w:rPr>
          <w:rFonts w:hint="eastAsia" w:ascii="宋体" w:hAnsi="宋体"/>
          <w:b/>
          <w:bCs/>
          <w:sz w:val="24"/>
          <w:szCs w:val="24"/>
        </w:rPr>
        <w:t>一、项目背景</w:t>
      </w:r>
    </w:p>
    <w:p w14:paraId="1E931B53">
      <w:pPr>
        <w:spacing w:line="312" w:lineRule="auto"/>
        <w:ind w:firstLine="420" w:firstLineChars="200"/>
        <w:outlineLvl w:val="0"/>
        <w:rPr>
          <w:rFonts w:hint="eastAsia" w:ascii="宋体" w:hAnsi="宋体"/>
          <w:b/>
          <w:bCs/>
          <w:sz w:val="24"/>
        </w:rPr>
      </w:pPr>
      <w:r>
        <w:rPr>
          <w:rFonts w:hint="eastAsia" w:ascii="宋体" w:hAnsi="宋体" w:cs="宋体"/>
          <w:szCs w:val="21"/>
        </w:rPr>
        <w:t>为认真履行食品监管职能，及时发现并查处食品安全问题，切实排除各类食品安全风险隐患，提升食品安全监管的针对性和有效性。根据《中华人民共和国食品安全法》、《中华人民共和国食品安全法实施条例》以及《食品安全抽样检验管理办法》等有关要求，结合嵊泗县食品安全工作实际，现制定2025年食品安全监督抽检计划。</w:t>
      </w:r>
    </w:p>
    <w:p w14:paraId="0C8C0F7B">
      <w:pPr>
        <w:spacing w:line="360" w:lineRule="auto"/>
        <w:outlineLvl w:val="0"/>
        <w:rPr>
          <w:rFonts w:hint="eastAsia" w:ascii="宋体" w:hAnsi="宋体"/>
          <w:b/>
          <w:bCs/>
          <w:sz w:val="24"/>
        </w:rPr>
      </w:pPr>
    </w:p>
    <w:p w14:paraId="743A8A5E">
      <w:pPr>
        <w:spacing w:line="360" w:lineRule="auto"/>
        <w:outlineLvl w:val="0"/>
        <w:rPr>
          <w:rFonts w:hint="eastAsia" w:ascii="宋体" w:hAnsi="宋体"/>
          <w:b/>
          <w:bCs/>
          <w:sz w:val="24"/>
        </w:rPr>
      </w:pPr>
      <w:r>
        <w:rPr>
          <w:rFonts w:hint="eastAsia" w:ascii="宋体" w:hAnsi="宋体"/>
          <w:b/>
          <w:bCs/>
          <w:sz w:val="24"/>
        </w:rPr>
        <w:t>二、工作任务</w:t>
      </w:r>
    </w:p>
    <w:p w14:paraId="04DB2A31">
      <w:pPr>
        <w:spacing w:line="312" w:lineRule="auto"/>
        <w:ind w:firstLine="420" w:firstLineChars="200"/>
        <w:outlineLvl w:val="0"/>
        <w:rPr>
          <w:rFonts w:hint="eastAsia" w:ascii="宋体" w:hAnsi="宋体" w:cs="宋体"/>
          <w:szCs w:val="21"/>
        </w:rPr>
      </w:pPr>
      <w:r>
        <w:rPr>
          <w:rFonts w:hint="eastAsia" w:ascii="宋体" w:hAnsi="宋体" w:cs="宋体"/>
          <w:szCs w:val="21"/>
        </w:rPr>
        <w:t>本年度监督抽检任务为“县级监督抽检”，2025 年计划完成普通食品抽检 380 批次，涵盖食品生产、流通、餐饮三个环节，并结合“百姓点检”、“你扫我检”和“你拍我检”。自消毒餐饮具抽检 40 户（每户至少 3 批次，并留有一份空白对照）。省级、市级抽检任务，按照省、市下达的相应监督抽检任务分配要求，配合有关承检机构落实抽样工作。</w:t>
      </w:r>
      <w:r>
        <w:rPr>
          <w:rFonts w:ascii="宋体" w:hAnsi="宋体" w:cs="宋体"/>
          <w:szCs w:val="21"/>
        </w:rPr>
        <w:cr/>
      </w:r>
    </w:p>
    <w:p w14:paraId="66EE5EF5">
      <w:pPr>
        <w:spacing w:line="360" w:lineRule="auto"/>
        <w:outlineLvl w:val="0"/>
        <w:rPr>
          <w:rFonts w:hint="eastAsia" w:ascii="宋体" w:hAnsi="宋体"/>
          <w:b/>
          <w:bCs/>
          <w:sz w:val="24"/>
        </w:rPr>
      </w:pPr>
      <w:r>
        <w:rPr>
          <w:rFonts w:hint="eastAsia" w:ascii="宋体" w:hAnsi="宋体"/>
          <w:b/>
          <w:bCs/>
          <w:sz w:val="24"/>
        </w:rPr>
        <w:t>三、计划分类</w:t>
      </w:r>
    </w:p>
    <w:p w14:paraId="61BDCFF1">
      <w:pPr>
        <w:spacing w:line="360" w:lineRule="auto"/>
        <w:ind w:firstLine="422" w:firstLineChars="200"/>
        <w:outlineLvl w:val="0"/>
        <w:rPr>
          <w:rFonts w:hint="eastAsia" w:ascii="宋体" w:hAnsi="宋体"/>
          <w:b/>
          <w:bCs/>
          <w:szCs w:val="21"/>
        </w:rPr>
      </w:pPr>
      <w:r>
        <w:rPr>
          <w:rFonts w:hint="eastAsia" w:ascii="宋体" w:hAnsi="宋体"/>
          <w:b/>
          <w:bCs/>
          <w:szCs w:val="21"/>
        </w:rPr>
        <w:t>1.食品生产环节</w:t>
      </w:r>
    </w:p>
    <w:p w14:paraId="49DF42D1">
      <w:pPr>
        <w:spacing w:after="120" w:line="360" w:lineRule="auto"/>
        <w:ind w:firstLine="420" w:firstLineChars="200"/>
        <w:rPr>
          <w:rFonts w:hint="eastAsia" w:ascii="宋体" w:hAnsi="宋体" w:cs="宋体"/>
          <w:szCs w:val="21"/>
        </w:rPr>
      </w:pPr>
      <w:r>
        <w:rPr>
          <w:rFonts w:hint="eastAsia" w:ascii="宋体" w:hAnsi="宋体" w:cs="宋体"/>
          <w:szCs w:val="21"/>
        </w:rPr>
        <w:t>生产环节以我县地产食品为重点，抽检食品涵盖全县获证食品生产企业和食品小作坊，样品主要在生产环节抽取，在生产环节不能满足抽样要求或未抽到样品，可在流通环节补充抽取。并依托“互联网+监管”和“浙食链”系统集成优势，重点对辖区内在产食品生产企业进行全覆盖的“链上点检”。计划抽检食品生产企业、食品小作坊产品共 91 批次。</w:t>
      </w:r>
      <w:r>
        <w:rPr>
          <w:rFonts w:ascii="宋体" w:hAnsi="宋体" w:cs="宋体"/>
          <w:szCs w:val="21"/>
        </w:rPr>
        <w:t>具体品种见附件 1。</w:t>
      </w:r>
    </w:p>
    <w:p w14:paraId="151325D8">
      <w:pPr>
        <w:spacing w:after="120" w:line="360" w:lineRule="auto"/>
        <w:ind w:firstLine="422" w:firstLineChars="200"/>
        <w:rPr>
          <w:rFonts w:hint="eastAsia" w:ascii="宋体" w:hAnsi="宋体" w:cs="宋体"/>
          <w:b/>
          <w:bCs/>
          <w:szCs w:val="24"/>
        </w:rPr>
      </w:pPr>
      <w:r>
        <w:rPr>
          <w:rFonts w:hint="eastAsia" w:ascii="宋体" w:hAnsi="宋体" w:cs="宋体"/>
          <w:b/>
          <w:bCs/>
          <w:szCs w:val="24"/>
        </w:rPr>
        <w:t>2.食品流通环节</w:t>
      </w:r>
    </w:p>
    <w:p w14:paraId="1A9F81C0">
      <w:pPr>
        <w:spacing w:after="120"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流通环节以发现问题为导向，原则上涵盖批发企业、农贸市场、商场、超市、小食杂店等不同业态，重点加强校园及校园周边、农贸市场、农村市场、城乡结合部、生鲜门店等专项抽检，涉及粮食加工品、食用油、调味品、糕点以及蔬菜、水果、水产品等重点品类。计划抽检普通食品 59 批次，食用农产品80 批次。具体品种和检测项目见附件</w:t>
      </w:r>
      <w:r>
        <w:rPr>
          <w:rFonts w:ascii="宋体" w:hAnsi="宋体" w:cs="宋体"/>
          <w:color w:val="000000"/>
          <w:kern w:val="0"/>
          <w:szCs w:val="21"/>
        </w:rPr>
        <w:t xml:space="preserve"> 2、附件 3。</w:t>
      </w:r>
    </w:p>
    <w:p w14:paraId="744151A7">
      <w:pPr>
        <w:spacing w:line="360" w:lineRule="auto"/>
        <w:ind w:firstLine="422" w:firstLineChars="200"/>
        <w:outlineLvl w:val="0"/>
        <w:rPr>
          <w:rFonts w:hint="eastAsia" w:ascii="宋体" w:hAnsi="宋体" w:cs="宋体"/>
          <w:b/>
          <w:bCs/>
          <w:szCs w:val="24"/>
        </w:rPr>
      </w:pPr>
      <w:r>
        <w:rPr>
          <w:rFonts w:hint="eastAsia" w:ascii="宋体" w:hAnsi="宋体" w:cs="宋体"/>
          <w:b/>
          <w:bCs/>
          <w:szCs w:val="24"/>
        </w:rPr>
        <w:t>3.餐饮服务环节</w:t>
      </w:r>
    </w:p>
    <w:p w14:paraId="08E668A2">
      <w:pPr>
        <w:spacing w:line="360" w:lineRule="auto"/>
        <w:ind w:firstLine="420" w:firstLineChars="200"/>
        <w:outlineLvl w:val="0"/>
        <w:rPr>
          <w:rFonts w:hint="eastAsia" w:ascii="宋体" w:hAnsi="宋体" w:cs="宋体"/>
          <w:color w:val="000000"/>
          <w:kern w:val="0"/>
          <w:szCs w:val="21"/>
        </w:rPr>
      </w:pPr>
      <w:r>
        <w:rPr>
          <w:rFonts w:hint="eastAsia" w:ascii="宋体" w:hAnsi="宋体" w:cs="宋体"/>
          <w:color w:val="000000"/>
          <w:kern w:val="0"/>
          <w:szCs w:val="21"/>
        </w:rPr>
        <w:t>餐饮食品应覆盖本行政区域内学校食堂、养老机构食堂、大中型餐饮企业、集体用餐配送单位、旅游景区餐饮服务单位及小餐饮店等自制食品、食品原料。计划抽检普通餐饮 50 批次，自消毒餐饮具抽检 40 户（每户至少3批次，并留有一份空白对照）。具体品种和检测项目见附件</w:t>
      </w:r>
      <w:r>
        <w:rPr>
          <w:rFonts w:ascii="宋体" w:hAnsi="宋体" w:cs="宋体"/>
          <w:color w:val="000000"/>
          <w:kern w:val="0"/>
          <w:szCs w:val="21"/>
        </w:rPr>
        <w:t xml:space="preserve"> </w:t>
      </w:r>
      <w:r>
        <w:rPr>
          <w:rFonts w:hint="eastAsia" w:ascii="宋体" w:hAnsi="宋体" w:cs="宋体"/>
          <w:color w:val="000000"/>
          <w:kern w:val="0"/>
          <w:szCs w:val="21"/>
        </w:rPr>
        <w:t xml:space="preserve"> </w:t>
      </w:r>
      <w:r>
        <w:rPr>
          <w:rFonts w:ascii="宋体" w:hAnsi="宋体" w:cs="宋体"/>
          <w:color w:val="000000"/>
          <w:kern w:val="0"/>
          <w:szCs w:val="21"/>
        </w:rPr>
        <w:t>4</w:t>
      </w:r>
      <w:r>
        <w:rPr>
          <w:rFonts w:hint="eastAsia" w:ascii="宋体" w:hAnsi="宋体" w:cs="宋体"/>
          <w:color w:val="000000"/>
          <w:kern w:val="0"/>
          <w:szCs w:val="21"/>
        </w:rPr>
        <w:t>。</w:t>
      </w:r>
    </w:p>
    <w:p w14:paraId="0A48D729">
      <w:pPr>
        <w:spacing w:line="360" w:lineRule="auto"/>
        <w:ind w:firstLine="422" w:firstLineChars="200"/>
        <w:outlineLvl w:val="0"/>
        <w:rPr>
          <w:rFonts w:hint="eastAsia" w:ascii="宋体" w:hAnsi="宋体" w:cs="宋体"/>
          <w:b/>
          <w:bCs/>
          <w:szCs w:val="24"/>
        </w:rPr>
      </w:pPr>
      <w:r>
        <w:rPr>
          <w:rFonts w:hint="eastAsia" w:ascii="宋体" w:hAnsi="宋体" w:cs="宋体"/>
          <w:b/>
          <w:bCs/>
          <w:szCs w:val="24"/>
        </w:rPr>
        <w:t>4.百姓点检专项抽检</w:t>
      </w:r>
    </w:p>
    <w:p w14:paraId="2772FE3D">
      <w:pPr>
        <w:spacing w:line="360" w:lineRule="auto"/>
        <w:ind w:firstLine="420" w:firstLineChars="200"/>
        <w:outlineLvl w:val="0"/>
        <w:rPr>
          <w:rFonts w:hint="eastAsia" w:ascii="宋体" w:hAnsi="宋体" w:cs="宋体"/>
          <w:color w:val="000000"/>
          <w:kern w:val="0"/>
          <w:szCs w:val="21"/>
        </w:rPr>
      </w:pPr>
      <w:r>
        <w:rPr>
          <w:rFonts w:hint="eastAsia" w:ascii="宋体" w:hAnsi="宋体" w:cs="宋体"/>
          <w:color w:val="000000"/>
          <w:kern w:val="0"/>
          <w:szCs w:val="21"/>
        </w:rPr>
        <w:t>计划“你扫我检”“你拍我检”食品抽检100批次，具体品种和检测项目按照具体情况现场决定；“你点我检”食品抽检 50 批次结合监督抽检开展，不另计算批次数。根据上级安排及突发事件或监管实际的需要，可调整抽检计划，并及时组织开展各环节专项性食品安全监督抽检。</w:t>
      </w:r>
    </w:p>
    <w:p w14:paraId="0190226F">
      <w:pPr>
        <w:spacing w:line="360" w:lineRule="auto"/>
        <w:outlineLvl w:val="0"/>
        <w:rPr>
          <w:rFonts w:hint="eastAsia" w:ascii="宋体" w:hAnsi="宋体"/>
          <w:b/>
          <w:sz w:val="24"/>
        </w:rPr>
      </w:pPr>
    </w:p>
    <w:p w14:paraId="1185BF9D">
      <w:pPr>
        <w:spacing w:line="360" w:lineRule="auto"/>
        <w:outlineLvl w:val="0"/>
        <w:rPr>
          <w:rFonts w:hint="eastAsia" w:ascii="宋体" w:hAnsi="宋体"/>
          <w:b/>
          <w:sz w:val="24"/>
        </w:rPr>
      </w:pPr>
      <w:r>
        <w:rPr>
          <w:rFonts w:hint="eastAsia" w:ascii="宋体" w:hAnsi="宋体"/>
          <w:b/>
          <w:sz w:val="24"/>
        </w:rPr>
        <w:t>四、抽样和检验</w:t>
      </w:r>
    </w:p>
    <w:p w14:paraId="5314A1DB">
      <w:pPr>
        <w:widowControl/>
        <w:spacing w:line="360" w:lineRule="auto"/>
        <w:ind w:firstLine="420" w:firstLineChars="200"/>
        <w:jc w:val="left"/>
        <w:textAlignment w:val="center"/>
        <w:rPr>
          <w:rFonts w:hint="eastAsia" w:ascii="宋体" w:hAnsi="宋体" w:cs="宋体"/>
          <w:color w:val="000000"/>
          <w:kern w:val="0"/>
          <w:szCs w:val="21"/>
        </w:rPr>
      </w:pPr>
      <w:r>
        <w:rPr>
          <w:rFonts w:hint="eastAsia" w:ascii="宋体" w:hAnsi="宋体" w:cs="宋体"/>
          <w:color w:val="000000"/>
          <w:kern w:val="0"/>
          <w:szCs w:val="21"/>
        </w:rPr>
        <w:t>本次抽样检测工作严格按照《中华人民共和国食品安全法》、《食品安全抽样检验管理办法》、《国家食品安全监督抽检实施细则（2025 年版）》执行。抽样过程应严格按照抽检工作程序，履行法定手续。</w:t>
      </w:r>
    </w:p>
    <w:p w14:paraId="59924043">
      <w:pPr>
        <w:widowControl/>
        <w:spacing w:line="360" w:lineRule="auto"/>
        <w:jc w:val="left"/>
        <w:textAlignment w:val="center"/>
        <w:rPr>
          <w:rFonts w:hint="eastAsia" w:ascii="宋体" w:hAnsi="宋体" w:cs="宋体"/>
          <w:color w:val="000000"/>
          <w:kern w:val="0"/>
          <w:szCs w:val="21"/>
        </w:rPr>
      </w:pPr>
      <w:r>
        <w:rPr>
          <w:rFonts w:hint="eastAsia" w:ascii="宋体" w:hAnsi="宋体" w:cs="宋体"/>
          <w:color w:val="000000"/>
          <w:kern w:val="0"/>
          <w:szCs w:val="21"/>
        </w:rPr>
        <w:t>(一)抽样单位</w:t>
      </w:r>
    </w:p>
    <w:p w14:paraId="5AB8297F">
      <w:pPr>
        <w:widowControl/>
        <w:spacing w:line="360" w:lineRule="auto"/>
        <w:ind w:firstLine="420" w:firstLineChars="200"/>
        <w:jc w:val="left"/>
        <w:textAlignment w:val="center"/>
        <w:rPr>
          <w:rFonts w:hint="eastAsia" w:ascii="宋体" w:hAnsi="宋体" w:cs="宋体"/>
          <w:kern w:val="0"/>
          <w:szCs w:val="21"/>
        </w:rPr>
      </w:pPr>
      <w:r>
        <w:rPr>
          <w:rFonts w:hint="eastAsia" w:ascii="宋体" w:hAnsi="宋体" w:cs="宋体"/>
          <w:color w:val="000000"/>
          <w:kern w:val="0"/>
          <w:szCs w:val="21"/>
        </w:rPr>
        <w:t>食品安全抽样工作由县局食品生产经营安全监管科统一布置，抽样任务由各分局按照计划数做好落实，每次抽检前通过“互联网+监管”平台“随机”方式，选出 2名执法人员开展抽检工作。检验检测机构 2 名专业技术人员辅助完成食品抽样任务，保证抽取样品过程技术符合规范要求。自消毒餐饮具抽样任务由各分局按照计划数、截止时间自行安排抽样人员完成。（具体分配情况详见附件</w:t>
      </w:r>
      <w:r>
        <w:rPr>
          <w:rFonts w:ascii="宋体" w:hAnsi="宋体" w:cs="宋体"/>
          <w:color w:val="000000"/>
          <w:kern w:val="0"/>
          <w:szCs w:val="21"/>
        </w:rPr>
        <w:t xml:space="preserve"> 4）</w:t>
      </w:r>
    </w:p>
    <w:p w14:paraId="661CE133">
      <w:pPr>
        <w:widowControl/>
        <w:numPr>
          <w:ilvl w:val="0"/>
          <w:numId w:val="8"/>
        </w:numPr>
        <w:spacing w:line="360" w:lineRule="auto"/>
        <w:jc w:val="left"/>
        <w:textAlignment w:val="center"/>
        <w:rPr>
          <w:rFonts w:hint="eastAsia" w:ascii="宋体" w:hAnsi="宋体" w:cs="宋体"/>
          <w:kern w:val="0"/>
          <w:szCs w:val="21"/>
        </w:rPr>
      </w:pPr>
      <w:r>
        <w:rPr>
          <w:rFonts w:hint="eastAsia" w:ascii="宋体" w:hAnsi="宋体" w:cs="宋体"/>
          <w:kern w:val="0"/>
          <w:szCs w:val="21"/>
        </w:rPr>
        <w:t>承检机构</w:t>
      </w:r>
    </w:p>
    <w:p w14:paraId="7CF8493A">
      <w:pPr>
        <w:widowControl/>
        <w:spacing w:line="360" w:lineRule="auto"/>
        <w:ind w:firstLine="420" w:firstLineChars="200"/>
        <w:jc w:val="left"/>
        <w:textAlignment w:val="center"/>
        <w:rPr>
          <w:rFonts w:hint="eastAsia" w:ascii="宋体" w:hAnsi="宋体" w:cs="宋体"/>
          <w:kern w:val="0"/>
          <w:szCs w:val="21"/>
        </w:rPr>
      </w:pPr>
      <w:r>
        <w:rPr>
          <w:rFonts w:hint="eastAsia" w:ascii="宋体" w:hAnsi="宋体" w:cs="宋体"/>
          <w:kern w:val="0"/>
          <w:szCs w:val="21"/>
        </w:rPr>
        <w:t>2025 年食品抽检检测的承检单位为嵊泗县市场监督管理检验检测中心（食品检测任务量：180 批次）、剩余 200 批次食品检测任务量根据招投标结果决定，也可根据需要选择第三方检测机构。（具体分配情况详见附件</w:t>
      </w:r>
      <w:r>
        <w:rPr>
          <w:rFonts w:ascii="宋体" w:hAnsi="宋体" w:cs="宋体"/>
          <w:kern w:val="0"/>
          <w:szCs w:val="21"/>
        </w:rPr>
        <w:t xml:space="preserve"> 1、附件 2、附件 3、附件 4）。</w:t>
      </w:r>
    </w:p>
    <w:p w14:paraId="5C1E1EE5">
      <w:pPr>
        <w:widowControl/>
        <w:numPr>
          <w:ilvl w:val="0"/>
          <w:numId w:val="8"/>
        </w:numPr>
        <w:spacing w:line="360" w:lineRule="auto"/>
        <w:jc w:val="left"/>
        <w:textAlignment w:val="center"/>
        <w:rPr>
          <w:rFonts w:hint="eastAsia" w:ascii="宋体" w:hAnsi="宋体" w:cs="宋体"/>
          <w:kern w:val="0"/>
          <w:szCs w:val="21"/>
        </w:rPr>
      </w:pPr>
      <w:r>
        <w:rPr>
          <w:rFonts w:hint="eastAsia" w:ascii="宋体" w:hAnsi="宋体" w:cs="宋体"/>
          <w:kern w:val="0"/>
          <w:szCs w:val="21"/>
        </w:rPr>
        <w:t>时间和频次</w:t>
      </w:r>
    </w:p>
    <w:p w14:paraId="0A941588">
      <w:pPr>
        <w:widowControl/>
        <w:spacing w:line="360" w:lineRule="auto"/>
        <w:ind w:firstLine="420" w:firstLineChars="200"/>
        <w:jc w:val="left"/>
        <w:textAlignment w:val="center"/>
        <w:rPr>
          <w:rFonts w:hint="eastAsia" w:ascii="宋体" w:hAnsi="宋体" w:cs="宋体"/>
          <w:color w:val="000000"/>
          <w:kern w:val="0"/>
          <w:szCs w:val="21"/>
        </w:rPr>
      </w:pPr>
      <w:r>
        <w:rPr>
          <w:rFonts w:hint="eastAsia" w:ascii="宋体" w:hAnsi="宋体" w:cs="宋体"/>
          <w:kern w:val="0"/>
          <w:szCs w:val="21"/>
        </w:rPr>
        <w:t>食品抽检工作按实际情况有序开展，6月底之前完成抽检计划的 50%以上，2025年11月底结束本年度抽检工作。季节性生产和销售的食品或存在季节性质量安全风险的食品在相应季节增加抽样量。在元旦、春节、元宵、端午、中秋等传统节假日前，</w:t>
      </w:r>
      <w:r>
        <w:rPr>
          <w:rFonts w:hint="eastAsia" w:ascii="宋体" w:hAnsi="宋体" w:cs="宋体"/>
          <w:color w:val="000000"/>
          <w:kern w:val="0"/>
          <w:szCs w:val="21"/>
        </w:rPr>
        <w:t>结合实际安排相关热销食品专项抽检，做到以人民群众日常生活必需食品为主，突出重点品种、重点区域、重点单位，在节前10天完成抽检工作。（具体时间和频次见附件</w:t>
      </w:r>
      <w:r>
        <w:rPr>
          <w:rFonts w:ascii="宋体" w:hAnsi="宋体" w:cs="宋体"/>
          <w:color w:val="000000"/>
          <w:kern w:val="0"/>
          <w:szCs w:val="21"/>
        </w:rPr>
        <w:t xml:space="preserve"> 1、附件 2、附件 3、附件 4）。</w:t>
      </w:r>
    </w:p>
    <w:p w14:paraId="6E0AA9D1">
      <w:pPr>
        <w:widowControl/>
        <w:numPr>
          <w:ilvl w:val="0"/>
          <w:numId w:val="8"/>
        </w:numPr>
        <w:spacing w:line="360" w:lineRule="auto"/>
        <w:jc w:val="left"/>
        <w:textAlignment w:val="center"/>
        <w:rPr>
          <w:rFonts w:hint="eastAsia" w:ascii="宋体" w:hAnsi="宋体" w:cs="宋体"/>
          <w:color w:val="000000"/>
          <w:kern w:val="0"/>
          <w:szCs w:val="21"/>
        </w:rPr>
      </w:pPr>
      <w:r>
        <w:rPr>
          <w:rFonts w:hint="eastAsia" w:ascii="宋体" w:hAnsi="宋体" w:cs="宋体"/>
          <w:color w:val="000000"/>
          <w:kern w:val="0"/>
          <w:szCs w:val="21"/>
        </w:rPr>
        <w:t>环节和场所</w:t>
      </w:r>
    </w:p>
    <w:p w14:paraId="2A21A599">
      <w:pPr>
        <w:widowControl/>
        <w:spacing w:line="360" w:lineRule="auto"/>
        <w:ind w:firstLine="420" w:firstLineChars="200"/>
        <w:jc w:val="left"/>
        <w:textAlignment w:val="center"/>
        <w:rPr>
          <w:rFonts w:hint="eastAsia" w:ascii="宋体" w:hAnsi="宋体"/>
          <w:b/>
          <w:sz w:val="24"/>
        </w:rPr>
      </w:pPr>
      <w:r>
        <w:rPr>
          <w:rFonts w:hint="eastAsia" w:ascii="宋体" w:hAnsi="宋体" w:cs="宋体"/>
          <w:color w:val="000000"/>
          <w:kern w:val="0"/>
          <w:szCs w:val="21"/>
        </w:rPr>
        <w:t>抽检任务应尽量覆盖全县农贸市场、大中型超市、小食杂、食品生产企业和小作坊，以及各类餐馆、食堂、小吃店、快餐店、饮品店等不同业态。同时，加强对食品生产聚集区、食品问题多发区，以及农村、城乡结合部、中小学校园及周边、旅游景区餐饮单位等重点区域的抽检监测。对 2024 年抽检不合格单位和历年多批次不合格企业实施全覆盖跟踪抽检。</w:t>
      </w:r>
    </w:p>
    <w:p w14:paraId="3BC1222E">
      <w:pPr>
        <w:spacing w:line="360" w:lineRule="auto"/>
        <w:outlineLvl w:val="0"/>
        <w:rPr>
          <w:rFonts w:hint="eastAsia" w:ascii="宋体" w:hAnsi="宋体"/>
          <w:b/>
          <w:sz w:val="24"/>
        </w:rPr>
      </w:pPr>
    </w:p>
    <w:p w14:paraId="67DA9CFF">
      <w:pPr>
        <w:spacing w:line="360" w:lineRule="auto"/>
        <w:outlineLvl w:val="0"/>
        <w:rPr>
          <w:rFonts w:hint="eastAsia" w:ascii="宋体" w:hAnsi="宋体"/>
          <w:b/>
          <w:sz w:val="24"/>
        </w:rPr>
      </w:pPr>
      <w:r>
        <w:rPr>
          <w:rFonts w:hint="eastAsia" w:ascii="宋体" w:hAnsi="宋体"/>
          <w:b/>
          <w:sz w:val="24"/>
        </w:rPr>
        <w:t>五、数据报送</w:t>
      </w:r>
    </w:p>
    <w:p w14:paraId="48C5C83D">
      <w:pPr>
        <w:spacing w:line="360" w:lineRule="auto"/>
        <w:ind w:firstLine="420" w:firstLineChars="200"/>
        <w:outlineLvl w:val="0"/>
        <w:rPr>
          <w:rFonts w:hint="eastAsia" w:ascii="宋体" w:hAnsi="宋体"/>
          <w:b/>
          <w:sz w:val="24"/>
        </w:rPr>
      </w:pPr>
      <w:r>
        <w:rPr>
          <w:rFonts w:hint="eastAsia" w:ascii="宋体" w:hAnsi="宋体" w:cs="宋体"/>
          <w:color w:val="000000"/>
          <w:kern w:val="0"/>
          <w:szCs w:val="21"/>
        </w:rPr>
        <w:t>县局食品生产经营安全监管科落实“双随机”抽检要求，抽检任务需通过“互联网+监管”平台随机确定抽样人员、对象。抽样人员将食品安全抽检任务（含食用农产品）录入“国家食品安全抽检监测信息系统”，按照要求采用移动终端现场抽样，抽样单编号由移动终端自动生成。检验数据录入由承检机构完成并出具电子版检验报告，承检机构应严格按照规定的时限和要求报送。检测结果合格的检测报告由相关科室、分局送达被抽样单位。检测结果不合格的由县局食品生产经营安全监管科移交局行政执法队处理。</w:t>
      </w:r>
    </w:p>
    <w:p w14:paraId="3B852A52">
      <w:pPr>
        <w:spacing w:line="360" w:lineRule="auto"/>
        <w:outlineLvl w:val="0"/>
        <w:rPr>
          <w:rFonts w:hint="eastAsia" w:ascii="宋体" w:hAnsi="宋体"/>
          <w:b/>
          <w:szCs w:val="21"/>
        </w:rPr>
      </w:pPr>
    </w:p>
    <w:p w14:paraId="669FB1B0">
      <w:pPr>
        <w:spacing w:line="360" w:lineRule="auto"/>
        <w:outlineLvl w:val="0"/>
        <w:rPr>
          <w:rFonts w:hint="eastAsia" w:ascii="宋体" w:hAnsi="宋体"/>
          <w:b/>
          <w:szCs w:val="21"/>
        </w:rPr>
      </w:pPr>
      <w:r>
        <w:rPr>
          <w:rFonts w:hint="eastAsia" w:ascii="宋体" w:hAnsi="宋体"/>
          <w:b/>
          <w:szCs w:val="21"/>
        </w:rPr>
        <w:t>附件：</w:t>
      </w:r>
    </w:p>
    <w:p w14:paraId="17708B80">
      <w:pPr>
        <w:spacing w:line="360" w:lineRule="auto"/>
        <w:outlineLvl w:val="0"/>
        <w:rPr>
          <w:rFonts w:hint="eastAsia" w:ascii="宋体" w:hAnsi="宋体"/>
          <w:b/>
          <w:szCs w:val="21"/>
        </w:rPr>
      </w:pPr>
      <w:r>
        <w:rPr>
          <w:rFonts w:ascii="宋体" w:hAnsi="宋体"/>
          <w:b/>
          <w:szCs w:val="21"/>
        </w:rPr>
        <w:t>1.</w:t>
      </w:r>
      <w:r>
        <w:rPr>
          <w:rFonts w:hint="eastAsia" w:ascii="宋体" w:hAnsi="宋体"/>
          <w:b/>
          <w:szCs w:val="21"/>
        </w:rPr>
        <w:t>2025</w:t>
      </w:r>
      <w:r>
        <w:rPr>
          <w:rFonts w:ascii="宋体" w:hAnsi="宋体"/>
          <w:b/>
          <w:szCs w:val="21"/>
        </w:rPr>
        <w:t>年嵊泗县生产环节食品抽检清单</w:t>
      </w:r>
    </w:p>
    <w:p w14:paraId="53A469D1">
      <w:pPr>
        <w:spacing w:line="360" w:lineRule="auto"/>
        <w:outlineLvl w:val="0"/>
        <w:rPr>
          <w:rFonts w:hint="eastAsia" w:ascii="宋体" w:hAnsi="宋体"/>
          <w:b/>
          <w:szCs w:val="21"/>
        </w:rPr>
      </w:pPr>
      <w:r>
        <w:rPr>
          <w:rFonts w:ascii="宋体" w:hAnsi="宋体"/>
          <w:b/>
          <w:szCs w:val="21"/>
        </w:rPr>
        <w:t>2.</w:t>
      </w:r>
      <w:r>
        <w:rPr>
          <w:rFonts w:hint="eastAsia" w:ascii="宋体" w:hAnsi="宋体"/>
          <w:b/>
          <w:szCs w:val="21"/>
        </w:rPr>
        <w:t>2025</w:t>
      </w:r>
      <w:r>
        <w:rPr>
          <w:rFonts w:ascii="宋体" w:hAnsi="宋体"/>
          <w:b/>
          <w:szCs w:val="21"/>
        </w:rPr>
        <w:t>年嵊泗县食用农产品抽检清单</w:t>
      </w:r>
    </w:p>
    <w:p w14:paraId="657C593B">
      <w:pPr>
        <w:spacing w:line="360" w:lineRule="auto"/>
        <w:outlineLvl w:val="0"/>
        <w:rPr>
          <w:rFonts w:hint="eastAsia" w:ascii="宋体" w:hAnsi="宋体"/>
          <w:b/>
          <w:szCs w:val="21"/>
        </w:rPr>
      </w:pPr>
      <w:r>
        <w:rPr>
          <w:rFonts w:ascii="宋体" w:hAnsi="宋体"/>
          <w:b/>
          <w:szCs w:val="21"/>
        </w:rPr>
        <w:t>3.</w:t>
      </w:r>
      <w:r>
        <w:rPr>
          <w:rFonts w:hint="eastAsia" w:ascii="宋体" w:hAnsi="宋体"/>
          <w:b/>
          <w:szCs w:val="21"/>
        </w:rPr>
        <w:t>2025</w:t>
      </w:r>
      <w:r>
        <w:rPr>
          <w:rFonts w:ascii="宋体" w:hAnsi="宋体"/>
          <w:b/>
          <w:szCs w:val="21"/>
        </w:rPr>
        <w:t>年嵊泗县流通环节食品抽检清单</w:t>
      </w:r>
    </w:p>
    <w:p w14:paraId="2718FE6A">
      <w:pPr>
        <w:spacing w:line="360" w:lineRule="auto"/>
        <w:outlineLvl w:val="0"/>
        <w:rPr>
          <w:rFonts w:hint="eastAsia" w:ascii="宋体" w:hAnsi="宋体"/>
          <w:b/>
          <w:sz w:val="24"/>
        </w:rPr>
      </w:pPr>
      <w:r>
        <w:rPr>
          <w:rFonts w:ascii="宋体" w:hAnsi="宋体"/>
          <w:b/>
          <w:szCs w:val="21"/>
        </w:rPr>
        <w:t>4.</w:t>
      </w:r>
      <w:r>
        <w:rPr>
          <w:rFonts w:hint="eastAsia" w:ascii="宋体" w:hAnsi="宋体"/>
          <w:b/>
          <w:szCs w:val="21"/>
        </w:rPr>
        <w:t>2025</w:t>
      </w:r>
      <w:r>
        <w:rPr>
          <w:rFonts w:ascii="宋体" w:hAnsi="宋体"/>
          <w:b/>
          <w:szCs w:val="21"/>
        </w:rPr>
        <w:t>年嵊泗县餐饮环节抽检清单</w:t>
      </w:r>
    </w:p>
    <w:p w14:paraId="04E4F40A">
      <w:pPr>
        <w:spacing w:line="360" w:lineRule="auto"/>
        <w:outlineLvl w:val="0"/>
        <w:rPr>
          <w:rFonts w:hint="eastAsia" w:ascii="宋体" w:hAnsi="宋体"/>
          <w:b/>
          <w:sz w:val="24"/>
        </w:rPr>
      </w:pPr>
      <w:r>
        <w:rPr>
          <w:rFonts w:hint="eastAsia" w:ascii="宋体" w:hAnsi="宋体"/>
          <w:b/>
          <w:sz w:val="24"/>
        </w:rPr>
        <w:t>六、付款方式</w:t>
      </w:r>
    </w:p>
    <w:p w14:paraId="773D18A2">
      <w:pPr>
        <w:spacing w:line="312" w:lineRule="auto"/>
        <w:rPr>
          <w:b/>
          <w:sz w:val="24"/>
        </w:rPr>
      </w:pPr>
      <w:r>
        <w:rPr>
          <w:rFonts w:hint="eastAsia" w:ascii="宋体" w:hAnsi="宋体"/>
          <w:color w:val="FF0000"/>
          <w:szCs w:val="21"/>
        </w:rPr>
        <w:tab/>
      </w:r>
      <w:r>
        <w:rPr>
          <w:rFonts w:hint="eastAsia" w:ascii="宋体" w:hAnsi="宋体"/>
          <w:szCs w:val="21"/>
        </w:rPr>
        <w:t>合同生效以及具备实施条件后7个工作日内，支付合同金额的40%做为预付款，项目完成并通过验收合格后，自收到发票后7个工作日内，支付剩余款项。</w:t>
      </w:r>
    </w:p>
    <w:p w14:paraId="7DE6F89B">
      <w:pPr>
        <w:spacing w:line="312" w:lineRule="auto"/>
        <w:outlineLvl w:val="0"/>
        <w:rPr>
          <w:b/>
          <w:sz w:val="24"/>
        </w:rPr>
      </w:pPr>
      <w:r>
        <w:rPr>
          <w:rFonts w:hint="eastAsia"/>
          <w:b/>
          <w:sz w:val="24"/>
        </w:rPr>
        <w:t>七、报价要求</w:t>
      </w:r>
    </w:p>
    <w:p w14:paraId="20DC58F5">
      <w:pPr>
        <w:spacing w:line="312" w:lineRule="auto"/>
        <w:ind w:firstLine="420" w:firstLineChars="200"/>
        <w:rPr>
          <w:rFonts w:hint="eastAsia" w:ascii="宋体" w:hAnsi="宋体"/>
          <w:szCs w:val="21"/>
        </w:rPr>
      </w:pPr>
      <w:r>
        <w:rPr>
          <w:rFonts w:hint="eastAsia" w:ascii="宋体" w:hAnsi="宋体"/>
          <w:szCs w:val="21"/>
        </w:rPr>
        <w:t>1.投标人应根据招标文件进行报价。投标报价一旦核实确认，不得再做更改。对投标人漏报致使项目未能达到需求的功能和效果，其费用和后果由投标人自行负责。</w:t>
      </w:r>
    </w:p>
    <w:p w14:paraId="404D7237">
      <w:pPr>
        <w:spacing w:line="312" w:lineRule="auto"/>
        <w:ind w:firstLine="420" w:firstLineChars="200"/>
        <w:rPr>
          <w:rFonts w:hint="eastAsia" w:ascii="宋体" w:hAnsi="宋体"/>
          <w:b/>
          <w:bCs/>
          <w:szCs w:val="21"/>
        </w:rPr>
      </w:pPr>
      <w:r>
        <w:rPr>
          <w:rFonts w:hint="eastAsia" w:ascii="宋体" w:hAnsi="宋体"/>
          <w:szCs w:val="21"/>
        </w:rPr>
        <w:t>2.所有报价均应已包含国家规定的所有税费。</w:t>
      </w:r>
    </w:p>
    <w:p w14:paraId="76237F32">
      <w:pPr>
        <w:tabs>
          <w:tab w:val="left" w:pos="0"/>
        </w:tabs>
        <w:adjustRightInd w:val="0"/>
        <w:snapToGrid w:val="0"/>
        <w:spacing w:line="360" w:lineRule="auto"/>
        <w:ind w:firstLine="420" w:firstLineChars="200"/>
        <w:jc w:val="left"/>
        <w:rPr>
          <w:rFonts w:hint="eastAsia" w:ascii="宋体" w:hAnsi="宋体"/>
          <w:bCs/>
          <w:szCs w:val="21"/>
        </w:rPr>
      </w:pPr>
      <w:r>
        <w:rPr>
          <w:rFonts w:hint="eastAsia" w:ascii="宋体" w:hAnsi="宋体"/>
          <w:bCs/>
          <w:szCs w:val="21"/>
        </w:rPr>
        <w:t>3.投标总报价应等于“详细报价清单”的所有费用之和。其它费用应在“开标一览表” 中以百分比或总价列出。不能在投标总报价之外还有其他费用出现。</w:t>
      </w:r>
    </w:p>
    <w:p w14:paraId="4AD38B7D">
      <w:pPr>
        <w:tabs>
          <w:tab w:val="left" w:pos="0"/>
        </w:tabs>
        <w:adjustRightInd w:val="0"/>
        <w:snapToGrid w:val="0"/>
        <w:spacing w:line="312" w:lineRule="auto"/>
        <w:ind w:firstLine="420" w:firstLineChars="200"/>
        <w:jc w:val="left"/>
        <w:rPr>
          <w:rFonts w:hint="eastAsia" w:ascii="宋体" w:hAnsi="宋体"/>
          <w:bCs/>
          <w:szCs w:val="21"/>
        </w:rPr>
      </w:pPr>
      <w:r>
        <w:rPr>
          <w:rFonts w:hint="eastAsia" w:ascii="宋体" w:hAnsi="宋体"/>
        </w:rPr>
        <w:t>4.</w:t>
      </w:r>
      <w:r>
        <w:rPr>
          <w:rFonts w:hint="eastAsia" w:ascii="宋体" w:hAnsi="宋体"/>
          <w:bCs/>
          <w:szCs w:val="21"/>
        </w:rPr>
        <w:t>扶持政策说明：</w:t>
      </w:r>
    </w:p>
    <w:p w14:paraId="309B0AA9">
      <w:pPr>
        <w:spacing w:line="312" w:lineRule="auto"/>
        <w:ind w:firstLine="420" w:firstLineChars="200"/>
        <w:rPr>
          <w:rFonts w:hint="eastAsia" w:ascii="宋体" w:hAnsi="宋体"/>
          <w:b/>
          <w:bCs/>
        </w:rPr>
      </w:pPr>
      <w:r>
        <w:rPr>
          <w:rFonts w:hint="eastAsia" w:ascii="宋体" w:hAnsi="宋体"/>
        </w:rPr>
        <w:t>（1）根据财政部财库〔2022〕19号《关于进一步加大政府采购支持中小企业力度的通知》等相关文件规定，对小型和微型企业的价格给予10%的扣除。对于联合协议或者分包意向协议约定小微企业的合同份额占到合同总金额40%以上的，给予4%的扣除。属于小型和微型企业的，投标文件中投标人必须提供《中小企业声明函》。</w:t>
      </w:r>
      <w:r>
        <w:rPr>
          <w:rFonts w:hint="eastAsia" w:ascii="宋体" w:hAnsi="宋体"/>
          <w:b/>
          <w:bCs/>
        </w:rPr>
        <w:t>本项目不专门面向中小企业，本项目对应的中小企业划分标准所属行业：其他未列明行业。</w:t>
      </w:r>
    </w:p>
    <w:p w14:paraId="46F4BD7A">
      <w:pPr>
        <w:spacing w:line="312" w:lineRule="auto"/>
        <w:ind w:firstLine="420" w:firstLineChars="200"/>
        <w:rPr>
          <w:rFonts w:hint="eastAsia" w:ascii="宋体" w:hAnsi="宋体"/>
        </w:rPr>
      </w:pPr>
      <w:r>
        <w:rPr>
          <w:rFonts w:hint="eastAsia" w:ascii="宋体" w:hAnsi="宋体"/>
        </w:rPr>
        <w:t>未提供完整证明材料的，投标报价不予扣减。</w:t>
      </w:r>
    </w:p>
    <w:p w14:paraId="3615C11F">
      <w:pPr>
        <w:spacing w:line="312" w:lineRule="auto"/>
        <w:ind w:firstLine="420" w:firstLineChars="200"/>
        <w:rPr>
          <w:rFonts w:hint="eastAsia" w:ascii="宋体" w:hAnsi="宋体"/>
        </w:rPr>
      </w:pPr>
      <w:r>
        <w:rPr>
          <w:rFonts w:hint="eastAsia" w:ascii="宋体" w:hAnsi="宋体"/>
        </w:rPr>
        <w:t>（2）根据《关于政府采购支持监狱企业发展有关问题的通知》（财库[2014]68号）的规定，供应商如为监狱企业且所投产品为小型或微型企业生产的，其投标报价扣除10%后参与评审。</w:t>
      </w:r>
    </w:p>
    <w:p w14:paraId="7B9E86E5">
      <w:pPr>
        <w:spacing w:line="312" w:lineRule="auto"/>
        <w:ind w:firstLine="420" w:firstLineChars="200"/>
        <w:rPr>
          <w:rFonts w:hint="eastAsia" w:ascii="宋体" w:hAnsi="宋体"/>
        </w:rPr>
      </w:pPr>
      <w:r>
        <w:rPr>
          <w:rFonts w:hint="eastAsia" w:ascii="宋体" w:hAnsi="宋体"/>
        </w:rPr>
        <w:t>投标文件中须同时提供：供应商的省级以上监狱管理局、戒毒管理局（含新疆生产建设兵团）出具的属于监狱企业的证明文件，投标产品制造商的小微企业证明，未提供完整证明材料的，投标报价不予扣减。</w:t>
      </w:r>
    </w:p>
    <w:p w14:paraId="0BA9E7B8">
      <w:pPr>
        <w:spacing w:line="312" w:lineRule="auto"/>
        <w:ind w:firstLine="420" w:firstLineChars="200"/>
        <w:rPr>
          <w:rFonts w:hint="eastAsia" w:ascii="宋体" w:hAnsi="宋体"/>
        </w:rPr>
      </w:pPr>
      <w:r>
        <w:rPr>
          <w:rFonts w:hint="eastAsia" w:ascii="宋体" w:hAnsi="宋体"/>
        </w:rPr>
        <w:t>（3）根据《财政部、民政部、中国残疾人联合会关于促进残疾人就业政府采购政策的通知》（财库〔2017〕141号）的规定，残疾人福利性单位视同小型、微型企业，享受预留份额、评审中价格扣除等促进中小企业发展的政府采购政策。</w:t>
      </w:r>
    </w:p>
    <w:p w14:paraId="102B404F">
      <w:pPr>
        <w:spacing w:line="312" w:lineRule="auto"/>
        <w:ind w:firstLine="420" w:firstLineChars="200"/>
        <w:rPr>
          <w:rFonts w:hint="eastAsia" w:ascii="宋体" w:hAnsi="宋体"/>
        </w:rPr>
      </w:pPr>
      <w:r>
        <w:rPr>
          <w:rFonts w:hint="eastAsia" w:ascii="宋体" w:hAnsi="宋体"/>
        </w:rPr>
        <w:t>投标文件中须提供：《残疾人福利性单位声明函》，未提供完整证明材料的，投标报价不予扣减。</w:t>
      </w:r>
    </w:p>
    <w:p w14:paraId="664ECE98">
      <w:pPr>
        <w:spacing w:line="312" w:lineRule="auto"/>
        <w:ind w:firstLine="420" w:firstLineChars="200"/>
        <w:rPr>
          <w:rFonts w:hint="eastAsia" w:ascii="宋体" w:hAnsi="宋体"/>
        </w:rPr>
      </w:pPr>
      <w:r>
        <w:rPr>
          <w:rFonts w:hint="eastAsia" w:ascii="宋体" w:hAnsi="宋体"/>
        </w:rPr>
        <w:t>上述1，2，3政策不重复计算。</w:t>
      </w:r>
    </w:p>
    <w:p w14:paraId="78588A63">
      <w:pPr>
        <w:spacing w:line="312" w:lineRule="auto"/>
        <w:ind w:firstLine="420" w:firstLineChars="200"/>
        <w:rPr>
          <w:rFonts w:hint="eastAsia" w:ascii="宋体" w:hAnsi="宋体"/>
        </w:rPr>
      </w:pPr>
      <w:r>
        <w:rPr>
          <w:rFonts w:hint="eastAsia" w:ascii="宋体" w:hAnsi="宋体"/>
        </w:rPr>
        <w:t>此项由评标委员会集体核实后统一打分。</w:t>
      </w:r>
    </w:p>
    <w:p w14:paraId="77C1EAC0">
      <w:pPr>
        <w:spacing w:line="312" w:lineRule="auto"/>
        <w:ind w:firstLine="422" w:firstLineChars="200"/>
        <w:rPr>
          <w:rFonts w:hint="eastAsia" w:ascii="宋体" w:hAnsi="宋体"/>
          <w:b/>
          <w:szCs w:val="21"/>
        </w:rPr>
      </w:pPr>
      <w:r>
        <w:rPr>
          <w:rFonts w:hint="eastAsia" w:ascii="宋体" w:hAnsi="宋体"/>
          <w:b/>
          <w:bCs/>
          <w:szCs w:val="21"/>
        </w:rPr>
        <w:t>5.本次项</w:t>
      </w:r>
      <w:r>
        <w:rPr>
          <w:rFonts w:hint="eastAsia" w:ascii="宋体" w:hAnsi="宋体"/>
          <w:b/>
          <w:szCs w:val="21"/>
        </w:rPr>
        <w:t>目的预算金额为</w:t>
      </w:r>
      <w:r>
        <w:rPr>
          <w:rFonts w:hint="eastAsia" w:ascii="宋体" w:hAnsi="宋体"/>
          <w:b/>
          <w:bCs/>
        </w:rPr>
        <w:t>：</w:t>
      </w:r>
      <w:r>
        <w:rPr>
          <w:rFonts w:hint="eastAsia" w:ascii="宋体" w:hAnsi="宋体"/>
          <w:b/>
          <w:szCs w:val="21"/>
        </w:rPr>
        <w:t>人民币肆拾万元整（400,000.00）。</w:t>
      </w:r>
    </w:p>
    <w:p w14:paraId="6557D271">
      <w:pPr>
        <w:pageBreakBefore/>
        <w:snapToGrid w:val="0"/>
        <w:jc w:val="center"/>
        <w:rPr>
          <w:sz w:val="28"/>
        </w:rPr>
      </w:pPr>
      <w:r>
        <w:rPr>
          <w:rFonts w:hint="eastAsia"/>
          <w:b/>
          <w:sz w:val="32"/>
        </w:rPr>
        <w:t>第三章投标人须知</w:t>
      </w:r>
    </w:p>
    <w:p w14:paraId="75311B47">
      <w:pPr>
        <w:snapToGrid w:val="0"/>
        <w:jc w:val="center"/>
        <w:rPr>
          <w:sz w:val="28"/>
        </w:rPr>
      </w:pPr>
      <w:r>
        <w:rPr>
          <w:rFonts w:hint="eastAsia"/>
          <w:sz w:val="28"/>
        </w:rPr>
        <w:t>前附表</w:t>
      </w:r>
    </w:p>
    <w:tbl>
      <w:tblPr>
        <w:tblStyle w:val="60"/>
        <w:tblW w:w="10344" w:type="dxa"/>
        <w:jc w:val="center"/>
        <w:tblCellSpacing w:w="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9"/>
        <w:gridCol w:w="1333"/>
        <w:gridCol w:w="5050"/>
        <w:gridCol w:w="1098"/>
        <w:gridCol w:w="2354"/>
      </w:tblGrid>
      <w:tr w14:paraId="2A399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7F07803">
            <w:pPr>
              <w:snapToGrid w:val="0"/>
              <w:spacing w:line="240" w:lineRule="exact"/>
              <w:jc w:val="center"/>
              <w:rPr>
                <w:b/>
              </w:rPr>
            </w:pPr>
            <w:r>
              <w:rPr>
                <w:rFonts w:hint="eastAsia"/>
                <w:b/>
              </w:rPr>
              <w:t>序号</w:t>
            </w:r>
          </w:p>
        </w:tc>
        <w:tc>
          <w:tcPr>
            <w:tcW w:w="9814" w:type="dxa"/>
            <w:gridSpan w:val="4"/>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F3909CB">
            <w:pPr>
              <w:snapToGrid w:val="0"/>
              <w:spacing w:line="240" w:lineRule="exact"/>
              <w:jc w:val="center"/>
              <w:rPr>
                <w:b/>
              </w:rPr>
            </w:pPr>
            <w:r>
              <w:rPr>
                <w:rFonts w:hint="eastAsia"/>
                <w:b/>
              </w:rPr>
              <w:t>内容说明及要求</w:t>
            </w:r>
          </w:p>
        </w:tc>
      </w:tr>
      <w:tr w14:paraId="0DC1C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D6C63D1">
            <w:pPr>
              <w:snapToGrid w:val="0"/>
              <w:spacing w:line="240" w:lineRule="exact"/>
              <w:jc w:val="center"/>
              <w:rPr>
                <w:b/>
              </w:rPr>
            </w:pPr>
            <w:r>
              <w:rPr>
                <w:b/>
              </w:rPr>
              <w:t>1</w:t>
            </w:r>
          </w:p>
        </w:tc>
        <w:tc>
          <w:tcPr>
            <w:tcW w:w="1319"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23E31E7">
            <w:pPr>
              <w:spacing w:line="240" w:lineRule="exact"/>
              <w:jc w:val="center"/>
              <w:rPr>
                <w:b/>
              </w:rPr>
            </w:pPr>
            <w:r>
              <w:rPr>
                <w:rFonts w:hint="eastAsia"/>
                <w:b/>
              </w:rPr>
              <w:t>项目名称</w:t>
            </w:r>
          </w:p>
        </w:tc>
        <w:tc>
          <w:tcPr>
            <w:tcW w:w="5036"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70D30D3">
            <w:pPr>
              <w:spacing w:line="240" w:lineRule="exact"/>
              <w:rPr>
                <w:bCs/>
                <w:lang w:val="zh-CN"/>
              </w:rPr>
            </w:pPr>
            <w:r>
              <w:rPr>
                <w:rFonts w:hint="eastAsia"/>
              </w:rPr>
              <w:t>2025年嵊泗县市场监督管理局食品安全抽检检测项目</w:t>
            </w:r>
          </w:p>
        </w:tc>
        <w:tc>
          <w:tcPr>
            <w:tcW w:w="1084"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0016FA8E">
            <w:pPr>
              <w:spacing w:line="240" w:lineRule="exact"/>
              <w:jc w:val="center"/>
              <w:rPr>
                <w:bCs/>
              </w:rPr>
            </w:pPr>
            <w:r>
              <w:rPr>
                <w:rFonts w:hint="eastAsia"/>
                <w:b/>
              </w:rPr>
              <w:t>项目编号</w:t>
            </w:r>
          </w:p>
        </w:tc>
        <w:tc>
          <w:tcPr>
            <w:tcW w:w="2333"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0C96BC48">
            <w:pPr>
              <w:spacing w:line="240" w:lineRule="exact"/>
              <w:rPr>
                <w:bCs/>
              </w:rPr>
            </w:pPr>
            <w:r>
              <w:rPr>
                <w:rFonts w:hint="eastAsia"/>
              </w:rPr>
              <w:t>SZGXZS2025008</w:t>
            </w:r>
          </w:p>
        </w:tc>
      </w:tr>
      <w:tr w14:paraId="54086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EF3C495">
            <w:pPr>
              <w:snapToGrid w:val="0"/>
              <w:spacing w:line="240" w:lineRule="exact"/>
              <w:jc w:val="center"/>
              <w:rPr>
                <w:b/>
              </w:rPr>
            </w:pPr>
            <w:r>
              <w:rPr>
                <w:b/>
              </w:rPr>
              <w:t>2</w:t>
            </w:r>
          </w:p>
        </w:tc>
        <w:tc>
          <w:tcPr>
            <w:tcW w:w="1319"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8C96FEC">
            <w:pPr>
              <w:spacing w:line="240" w:lineRule="exact"/>
              <w:jc w:val="center"/>
              <w:rPr>
                <w:b/>
              </w:rPr>
            </w:pPr>
            <w:r>
              <w:rPr>
                <w:rFonts w:hint="eastAsia"/>
                <w:b/>
              </w:rPr>
              <w:t>采购单位名称</w:t>
            </w:r>
          </w:p>
        </w:tc>
        <w:tc>
          <w:tcPr>
            <w:tcW w:w="8481"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2D798A8">
            <w:pPr>
              <w:spacing w:line="240" w:lineRule="exact"/>
              <w:rPr>
                <w:bCs/>
              </w:rPr>
            </w:pPr>
            <w:r>
              <w:rPr>
                <w:rFonts w:hint="eastAsia"/>
              </w:rPr>
              <w:t>嵊泗县市场监督管理局</w:t>
            </w:r>
          </w:p>
        </w:tc>
      </w:tr>
      <w:tr w14:paraId="2C027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0C1A4E2">
            <w:pPr>
              <w:snapToGrid w:val="0"/>
              <w:spacing w:line="240" w:lineRule="exact"/>
              <w:jc w:val="center"/>
              <w:rPr>
                <w:b/>
              </w:rPr>
            </w:pPr>
            <w:r>
              <w:rPr>
                <w:b/>
              </w:rPr>
              <w:t>3</w:t>
            </w:r>
          </w:p>
        </w:tc>
        <w:tc>
          <w:tcPr>
            <w:tcW w:w="1319"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FDF6E54">
            <w:pPr>
              <w:spacing w:line="240" w:lineRule="exact"/>
              <w:jc w:val="center"/>
              <w:rPr>
                <w:b/>
              </w:rPr>
            </w:pPr>
            <w:r>
              <w:rPr>
                <w:rFonts w:hint="eastAsia"/>
                <w:b/>
              </w:rPr>
              <w:t>采购内容</w:t>
            </w:r>
          </w:p>
        </w:tc>
        <w:tc>
          <w:tcPr>
            <w:tcW w:w="8481"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tbl>
            <w:tblPr>
              <w:tblStyle w:val="61"/>
              <w:tblpPr w:leftFromText="180" w:rightFromText="180" w:vertAnchor="text" w:horzAnchor="page" w:tblpX="148" w:tblpY="-1127"/>
              <w:tblOverlap w:val="never"/>
              <w:tblW w:w="833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40"/>
              <w:gridCol w:w="4932"/>
              <w:gridCol w:w="1862"/>
              <w:gridCol w:w="904"/>
            </w:tblGrid>
            <w:tr w14:paraId="5C4E85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6" w:hRule="atLeast"/>
              </w:trPr>
              <w:tc>
                <w:tcPr>
                  <w:tcW w:w="640" w:type="dxa"/>
                  <w:tcBorders>
                    <w:top w:val="single" w:color="000000" w:sz="4" w:space="0"/>
                    <w:left w:val="single" w:color="000000" w:sz="4" w:space="0"/>
                    <w:bottom w:val="single" w:color="000000" w:sz="4" w:space="0"/>
                    <w:right w:val="single" w:color="000000" w:sz="4" w:space="0"/>
                  </w:tcBorders>
                  <w:vAlign w:val="center"/>
                </w:tcPr>
                <w:p w14:paraId="399892DD">
                  <w:pPr>
                    <w:widowControl/>
                    <w:jc w:val="left"/>
                    <w:rPr>
                      <w:kern w:val="0"/>
                      <w:szCs w:val="21"/>
                    </w:rPr>
                  </w:pPr>
                  <w:r>
                    <w:rPr>
                      <w:rFonts w:hint="eastAsia"/>
                      <w:kern w:val="0"/>
                      <w:szCs w:val="21"/>
                    </w:rPr>
                    <w:t>序号</w:t>
                  </w:r>
                </w:p>
              </w:tc>
              <w:tc>
                <w:tcPr>
                  <w:tcW w:w="4932" w:type="dxa"/>
                  <w:tcBorders>
                    <w:top w:val="single" w:color="000000" w:sz="4" w:space="0"/>
                    <w:left w:val="single" w:color="000000" w:sz="4" w:space="0"/>
                    <w:bottom w:val="single" w:color="000000" w:sz="4" w:space="0"/>
                    <w:right w:val="single" w:color="000000" w:sz="4" w:space="0"/>
                  </w:tcBorders>
                  <w:vAlign w:val="center"/>
                </w:tcPr>
                <w:p w14:paraId="2D46F5FD">
                  <w:pPr>
                    <w:widowControl/>
                    <w:ind w:firstLine="1680" w:firstLineChars="800"/>
                    <w:jc w:val="left"/>
                    <w:rPr>
                      <w:kern w:val="0"/>
                      <w:szCs w:val="21"/>
                    </w:rPr>
                  </w:pPr>
                  <w:r>
                    <w:rPr>
                      <w:rFonts w:hint="eastAsia"/>
                      <w:kern w:val="0"/>
                      <w:szCs w:val="21"/>
                    </w:rPr>
                    <w:t>项目名称及内容</w:t>
                  </w:r>
                </w:p>
              </w:tc>
              <w:tc>
                <w:tcPr>
                  <w:tcW w:w="1862" w:type="dxa"/>
                  <w:tcBorders>
                    <w:top w:val="single" w:color="000000" w:sz="4" w:space="0"/>
                    <w:left w:val="single" w:color="000000" w:sz="4" w:space="0"/>
                    <w:bottom w:val="single" w:color="000000" w:sz="4" w:space="0"/>
                    <w:right w:val="single" w:color="000000" w:sz="4" w:space="0"/>
                  </w:tcBorders>
                  <w:vAlign w:val="center"/>
                </w:tcPr>
                <w:p w14:paraId="1657AC40">
                  <w:pPr>
                    <w:widowControl/>
                    <w:jc w:val="left"/>
                    <w:rPr>
                      <w:kern w:val="0"/>
                      <w:szCs w:val="21"/>
                    </w:rPr>
                  </w:pPr>
                  <w:r>
                    <w:rPr>
                      <w:rFonts w:hint="eastAsia"/>
                      <w:kern w:val="0"/>
                      <w:szCs w:val="21"/>
                    </w:rPr>
                    <w:t>预算金额（万元）</w:t>
                  </w:r>
                </w:p>
              </w:tc>
              <w:tc>
                <w:tcPr>
                  <w:tcW w:w="904" w:type="dxa"/>
                  <w:tcBorders>
                    <w:top w:val="single" w:color="000000" w:sz="4" w:space="0"/>
                    <w:left w:val="single" w:color="000000" w:sz="4" w:space="0"/>
                    <w:bottom w:val="single" w:color="000000" w:sz="4" w:space="0"/>
                    <w:right w:val="single" w:color="000000" w:sz="4" w:space="0"/>
                  </w:tcBorders>
                  <w:vAlign w:val="center"/>
                </w:tcPr>
                <w:p w14:paraId="3C77D5B6">
                  <w:pPr>
                    <w:widowControl/>
                    <w:jc w:val="left"/>
                    <w:rPr>
                      <w:kern w:val="0"/>
                      <w:szCs w:val="21"/>
                    </w:rPr>
                  </w:pPr>
                  <w:r>
                    <w:rPr>
                      <w:rFonts w:hint="eastAsia"/>
                      <w:kern w:val="0"/>
                      <w:szCs w:val="21"/>
                    </w:rPr>
                    <w:t>备注</w:t>
                  </w:r>
                </w:p>
              </w:tc>
            </w:tr>
            <w:tr w14:paraId="03D4AF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1" w:hRule="atLeast"/>
              </w:trPr>
              <w:tc>
                <w:tcPr>
                  <w:tcW w:w="640" w:type="dxa"/>
                  <w:tcBorders>
                    <w:top w:val="single" w:color="000000" w:sz="4" w:space="0"/>
                    <w:left w:val="single" w:color="000000" w:sz="4" w:space="0"/>
                    <w:bottom w:val="single" w:color="000000" w:sz="4" w:space="0"/>
                    <w:right w:val="single" w:color="000000" w:sz="4" w:space="0"/>
                  </w:tcBorders>
                  <w:vAlign w:val="center"/>
                </w:tcPr>
                <w:p w14:paraId="4B5FA10C">
                  <w:pPr>
                    <w:widowControl/>
                    <w:jc w:val="left"/>
                    <w:rPr>
                      <w:kern w:val="0"/>
                      <w:szCs w:val="21"/>
                    </w:rPr>
                  </w:pPr>
                  <w:r>
                    <w:rPr>
                      <w:rFonts w:hint="eastAsia"/>
                      <w:kern w:val="0"/>
                      <w:szCs w:val="21"/>
                    </w:rPr>
                    <w:t>1</w:t>
                  </w:r>
                </w:p>
              </w:tc>
              <w:tc>
                <w:tcPr>
                  <w:tcW w:w="4932" w:type="dxa"/>
                  <w:tcBorders>
                    <w:top w:val="single" w:color="000000" w:sz="4" w:space="0"/>
                    <w:left w:val="single" w:color="000000" w:sz="4" w:space="0"/>
                    <w:bottom w:val="single" w:color="000000" w:sz="4" w:space="0"/>
                    <w:right w:val="single" w:color="000000" w:sz="4" w:space="0"/>
                  </w:tcBorders>
                  <w:vAlign w:val="center"/>
                </w:tcPr>
                <w:p w14:paraId="2EB215CA">
                  <w:pPr>
                    <w:widowControl/>
                    <w:jc w:val="left"/>
                    <w:rPr>
                      <w:kern w:val="0"/>
                      <w:szCs w:val="21"/>
                    </w:rPr>
                  </w:pPr>
                  <w:r>
                    <w:rPr>
                      <w:rFonts w:hint="eastAsia"/>
                      <w:kern w:val="0"/>
                      <w:szCs w:val="21"/>
                    </w:rPr>
                    <w:t>2025年嵊泗县市场监督管理局食品安全抽检检测项目</w:t>
                  </w:r>
                </w:p>
              </w:tc>
              <w:tc>
                <w:tcPr>
                  <w:tcW w:w="1862" w:type="dxa"/>
                  <w:tcBorders>
                    <w:top w:val="single" w:color="000000" w:sz="4" w:space="0"/>
                    <w:left w:val="single" w:color="000000" w:sz="4" w:space="0"/>
                    <w:bottom w:val="single" w:color="000000" w:sz="4" w:space="0"/>
                    <w:right w:val="single" w:color="000000" w:sz="4" w:space="0"/>
                  </w:tcBorders>
                  <w:vAlign w:val="center"/>
                </w:tcPr>
                <w:p w14:paraId="00FAA45A">
                  <w:pPr>
                    <w:widowControl/>
                    <w:ind w:firstLine="735" w:firstLineChars="350"/>
                    <w:jc w:val="left"/>
                    <w:rPr>
                      <w:kern w:val="0"/>
                      <w:szCs w:val="21"/>
                    </w:rPr>
                  </w:pPr>
                  <w:r>
                    <w:rPr>
                      <w:rFonts w:hint="eastAsia"/>
                      <w:kern w:val="0"/>
                      <w:szCs w:val="21"/>
                    </w:rPr>
                    <w:t>40</w:t>
                  </w:r>
                </w:p>
              </w:tc>
              <w:tc>
                <w:tcPr>
                  <w:tcW w:w="904" w:type="dxa"/>
                  <w:tcBorders>
                    <w:top w:val="single" w:color="000000" w:sz="4" w:space="0"/>
                    <w:left w:val="single" w:color="000000" w:sz="4" w:space="0"/>
                    <w:bottom w:val="single" w:color="000000" w:sz="4" w:space="0"/>
                    <w:right w:val="single" w:color="000000" w:sz="4" w:space="0"/>
                  </w:tcBorders>
                  <w:vAlign w:val="center"/>
                </w:tcPr>
                <w:p w14:paraId="2A7FCC7D">
                  <w:pPr>
                    <w:widowControl/>
                    <w:jc w:val="left"/>
                    <w:rPr>
                      <w:kern w:val="0"/>
                      <w:szCs w:val="21"/>
                    </w:rPr>
                  </w:pPr>
                </w:p>
              </w:tc>
            </w:tr>
          </w:tbl>
          <w:p w14:paraId="115604CA">
            <w:pPr>
              <w:spacing w:after="120"/>
              <w:rPr>
                <w:kern w:val="0"/>
              </w:rPr>
            </w:pPr>
          </w:p>
        </w:tc>
      </w:tr>
      <w:tr w14:paraId="5B164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5070ACB">
            <w:pPr>
              <w:snapToGrid w:val="0"/>
              <w:spacing w:line="240" w:lineRule="exact"/>
              <w:jc w:val="center"/>
              <w:rPr>
                <w:b/>
              </w:rPr>
            </w:pPr>
            <w:r>
              <w:rPr>
                <w:b/>
              </w:rPr>
              <w:t>4</w:t>
            </w:r>
          </w:p>
        </w:tc>
        <w:tc>
          <w:tcPr>
            <w:tcW w:w="1319"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A35FB7B">
            <w:pPr>
              <w:jc w:val="center"/>
              <w:rPr>
                <w:b/>
              </w:rPr>
            </w:pPr>
            <w:r>
              <w:rPr>
                <w:rFonts w:hint="eastAsia"/>
                <w:b/>
              </w:rPr>
              <w:t>本项目预算</w:t>
            </w:r>
          </w:p>
        </w:tc>
        <w:tc>
          <w:tcPr>
            <w:tcW w:w="8481"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3FD64F0">
            <w:pPr>
              <w:rPr>
                <w:bCs/>
                <w:szCs w:val="21"/>
              </w:rPr>
            </w:pPr>
            <w:r>
              <w:rPr>
                <w:rFonts w:hint="eastAsia" w:ascii="宋体" w:hAnsi="宋体"/>
                <w:b/>
                <w:szCs w:val="21"/>
              </w:rPr>
              <w:t>人民币肆拾万元整（400,000.00元）</w:t>
            </w:r>
          </w:p>
        </w:tc>
      </w:tr>
      <w:tr w14:paraId="096B9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FD8BE59">
            <w:pPr>
              <w:snapToGrid w:val="0"/>
              <w:spacing w:line="240" w:lineRule="exact"/>
              <w:jc w:val="center"/>
              <w:rPr>
                <w:b/>
              </w:rPr>
            </w:pPr>
            <w:r>
              <w:rPr>
                <w:b/>
              </w:rPr>
              <w:t>5</w:t>
            </w:r>
          </w:p>
        </w:tc>
        <w:tc>
          <w:tcPr>
            <w:tcW w:w="1319"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390B4EAC">
            <w:pPr>
              <w:spacing w:line="240" w:lineRule="exact"/>
              <w:jc w:val="center"/>
              <w:rPr>
                <w:rFonts w:hint="eastAsia" w:ascii="宋体" w:hAnsi="宋体"/>
                <w:b/>
              </w:rPr>
            </w:pPr>
            <w:r>
              <w:rPr>
                <w:rFonts w:hint="eastAsia" w:ascii="宋体" w:hAnsi="宋体"/>
                <w:b/>
              </w:rPr>
              <w:t>完成时间</w:t>
            </w:r>
          </w:p>
        </w:tc>
        <w:tc>
          <w:tcPr>
            <w:tcW w:w="8481"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01D5FD85">
            <w:pPr>
              <w:outlineLvl w:val="0"/>
              <w:rPr>
                <w:rFonts w:hint="eastAsia" w:ascii="宋体" w:hAnsi="宋体"/>
                <w:szCs w:val="21"/>
              </w:rPr>
            </w:pPr>
            <w:r>
              <w:rPr>
                <w:rFonts w:hint="eastAsia" w:ascii="宋体" w:hAnsi="宋体" w:cs="宋体"/>
                <w:kern w:val="0"/>
                <w:szCs w:val="21"/>
              </w:rPr>
              <w:t>食品抽检工作按实际情况有序开展，6月底之前完成抽检计划的50%以上，2025年11月底结束本年度抽检工作。季节性生产和销售的食品或存在季节性质量安全风险的食品在相应季节增加抽样量。在元旦、春节、元宵、端午、中秋等传统节假日前，结合实际安排相关热销食品专项抽检，做到以人民群众日常生活必需食品为主，突出重点品种、重点区域、重点单位，在节前10天完成抽检工作。</w:t>
            </w:r>
          </w:p>
        </w:tc>
      </w:tr>
      <w:tr w14:paraId="07C30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F02F08B">
            <w:pPr>
              <w:snapToGrid w:val="0"/>
              <w:spacing w:line="240" w:lineRule="exact"/>
              <w:jc w:val="center"/>
              <w:rPr>
                <w:b/>
              </w:rPr>
            </w:pPr>
            <w:r>
              <w:rPr>
                <w:b/>
              </w:rPr>
              <w:t>6</w:t>
            </w:r>
          </w:p>
        </w:tc>
        <w:tc>
          <w:tcPr>
            <w:tcW w:w="1319"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ED30DAF">
            <w:pPr>
              <w:spacing w:line="240" w:lineRule="exact"/>
              <w:jc w:val="center"/>
              <w:rPr>
                <w:b/>
                <w:szCs w:val="21"/>
              </w:rPr>
            </w:pPr>
            <w:r>
              <w:rPr>
                <w:rFonts w:hint="eastAsia"/>
                <w:b/>
                <w:szCs w:val="21"/>
              </w:rPr>
              <w:t>投标有效期</w:t>
            </w:r>
          </w:p>
        </w:tc>
        <w:tc>
          <w:tcPr>
            <w:tcW w:w="8481"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1C0AD3E">
            <w:pPr>
              <w:spacing w:line="240" w:lineRule="exact"/>
              <w:rPr>
                <w:szCs w:val="21"/>
              </w:rPr>
            </w:pPr>
            <w:r>
              <w:rPr>
                <w:szCs w:val="21"/>
                <w:u w:val="single"/>
              </w:rPr>
              <w:t>90</w:t>
            </w:r>
            <w:r>
              <w:rPr>
                <w:rFonts w:hint="eastAsia"/>
                <w:szCs w:val="21"/>
                <w:u w:val="single"/>
              </w:rPr>
              <w:t>日</w:t>
            </w:r>
            <w:r>
              <w:rPr>
                <w:rFonts w:hint="eastAsia"/>
                <w:szCs w:val="21"/>
              </w:rPr>
              <w:t>历天。（从投标截止之日算起）</w:t>
            </w:r>
          </w:p>
        </w:tc>
      </w:tr>
      <w:tr w14:paraId="7D6EF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FC93BBC">
            <w:pPr>
              <w:snapToGrid w:val="0"/>
              <w:spacing w:line="240" w:lineRule="exact"/>
              <w:jc w:val="center"/>
              <w:rPr>
                <w:b/>
              </w:rPr>
            </w:pPr>
            <w:r>
              <w:rPr>
                <w:b/>
              </w:rPr>
              <w:t>7</w:t>
            </w:r>
          </w:p>
        </w:tc>
        <w:tc>
          <w:tcPr>
            <w:tcW w:w="1319"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6057510">
            <w:pPr>
              <w:spacing w:line="240" w:lineRule="exact"/>
              <w:jc w:val="center"/>
              <w:rPr>
                <w:b/>
                <w:szCs w:val="21"/>
              </w:rPr>
            </w:pPr>
            <w:r>
              <w:rPr>
                <w:rFonts w:hint="eastAsia"/>
                <w:b/>
                <w:szCs w:val="21"/>
              </w:rPr>
              <w:t>评标办法</w:t>
            </w:r>
          </w:p>
        </w:tc>
        <w:tc>
          <w:tcPr>
            <w:tcW w:w="8481"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A68B184">
            <w:pPr>
              <w:spacing w:line="240" w:lineRule="exact"/>
              <w:rPr>
                <w:szCs w:val="21"/>
              </w:rPr>
            </w:pPr>
            <w:r>
              <w:rPr>
                <w:rFonts w:hint="eastAsia"/>
                <w:szCs w:val="21"/>
              </w:rPr>
              <w:t>综合评分法</w:t>
            </w:r>
          </w:p>
        </w:tc>
      </w:tr>
      <w:tr w14:paraId="23E89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4588D15">
            <w:pPr>
              <w:snapToGrid w:val="0"/>
              <w:spacing w:line="240" w:lineRule="exact"/>
              <w:jc w:val="center"/>
              <w:rPr>
                <w:b/>
              </w:rPr>
            </w:pPr>
            <w:r>
              <w:rPr>
                <w:b/>
              </w:rPr>
              <w:t>8</w:t>
            </w:r>
          </w:p>
        </w:tc>
        <w:tc>
          <w:tcPr>
            <w:tcW w:w="1319"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4292DFA">
            <w:pPr>
              <w:spacing w:line="240" w:lineRule="exact"/>
              <w:jc w:val="center"/>
              <w:rPr>
                <w:b/>
                <w:szCs w:val="21"/>
              </w:rPr>
            </w:pPr>
            <w:r>
              <w:rPr>
                <w:rFonts w:hint="eastAsia"/>
                <w:b/>
                <w:szCs w:val="21"/>
              </w:rPr>
              <w:t>签订合同</w:t>
            </w:r>
          </w:p>
        </w:tc>
        <w:tc>
          <w:tcPr>
            <w:tcW w:w="8481"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AD5B75E">
            <w:pPr>
              <w:spacing w:line="240" w:lineRule="exact"/>
              <w:rPr>
                <w:szCs w:val="21"/>
              </w:rPr>
            </w:pPr>
            <w:r>
              <w:rPr>
                <w:rFonts w:hint="eastAsia"/>
                <w:szCs w:val="21"/>
              </w:rPr>
              <w:t>中标通知书发出后</w:t>
            </w:r>
            <w:r>
              <w:rPr>
                <w:szCs w:val="21"/>
                <w:u w:val="single"/>
              </w:rPr>
              <w:t>30</w:t>
            </w:r>
            <w:r>
              <w:rPr>
                <w:rFonts w:hint="eastAsia"/>
                <w:szCs w:val="21"/>
              </w:rPr>
              <w:t>天内。</w:t>
            </w:r>
          </w:p>
        </w:tc>
      </w:tr>
      <w:tr w14:paraId="3947F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C4AF960">
            <w:pPr>
              <w:snapToGrid w:val="0"/>
              <w:spacing w:line="240" w:lineRule="exact"/>
              <w:jc w:val="center"/>
              <w:rPr>
                <w:b/>
              </w:rPr>
            </w:pPr>
            <w:r>
              <w:rPr>
                <w:b/>
              </w:rPr>
              <w:t>9</w:t>
            </w:r>
          </w:p>
        </w:tc>
        <w:tc>
          <w:tcPr>
            <w:tcW w:w="1319"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34D9CA9">
            <w:pPr>
              <w:spacing w:line="240" w:lineRule="exact"/>
              <w:jc w:val="center"/>
              <w:rPr>
                <w:rFonts w:hint="eastAsia" w:ascii="宋体" w:hAnsi="宋体"/>
                <w:bCs/>
                <w:szCs w:val="21"/>
              </w:rPr>
            </w:pPr>
            <w:r>
              <w:rPr>
                <w:rFonts w:hint="eastAsia"/>
                <w:b/>
                <w:szCs w:val="21"/>
              </w:rPr>
              <w:t>资金结算</w:t>
            </w:r>
          </w:p>
        </w:tc>
        <w:tc>
          <w:tcPr>
            <w:tcW w:w="8481"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37FCF7E">
            <w:pPr>
              <w:snapToGrid w:val="0"/>
              <w:rPr>
                <w:rFonts w:hint="eastAsia" w:ascii="宋体" w:hAnsi="宋体"/>
                <w:szCs w:val="21"/>
              </w:rPr>
            </w:pPr>
            <w:r>
              <w:rPr>
                <w:rFonts w:hint="eastAsia" w:ascii="宋体" w:hAnsi="宋体"/>
                <w:szCs w:val="21"/>
              </w:rPr>
              <w:t>合同生效以及具备实施条件后7个工作日内，支付合同金额的40%做为预付款，项目完成并通过验收合格后，自收到发票后7个工作日内，支付剩余款项。</w:t>
            </w:r>
          </w:p>
        </w:tc>
      </w:tr>
      <w:tr w14:paraId="03C67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899A333">
            <w:pPr>
              <w:snapToGrid w:val="0"/>
              <w:spacing w:line="240" w:lineRule="exact"/>
              <w:jc w:val="center"/>
              <w:rPr>
                <w:b/>
              </w:rPr>
            </w:pPr>
            <w:r>
              <w:rPr>
                <w:b/>
              </w:rPr>
              <w:t>10</w:t>
            </w:r>
          </w:p>
        </w:tc>
        <w:tc>
          <w:tcPr>
            <w:tcW w:w="1319"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9169F69">
            <w:pPr>
              <w:spacing w:line="240" w:lineRule="exact"/>
              <w:jc w:val="center"/>
              <w:rPr>
                <w:b/>
                <w:szCs w:val="21"/>
              </w:rPr>
            </w:pPr>
            <w:r>
              <w:rPr>
                <w:rFonts w:hint="eastAsia"/>
                <w:b/>
                <w:szCs w:val="21"/>
              </w:rPr>
              <w:t>投标报价</w:t>
            </w:r>
          </w:p>
          <w:p w14:paraId="53EE6EB6">
            <w:pPr>
              <w:spacing w:line="240" w:lineRule="exact"/>
              <w:jc w:val="center"/>
              <w:rPr>
                <w:b/>
                <w:szCs w:val="21"/>
              </w:rPr>
            </w:pPr>
            <w:r>
              <w:rPr>
                <w:rFonts w:hint="eastAsia"/>
                <w:b/>
                <w:szCs w:val="21"/>
              </w:rPr>
              <w:t>与费用</w:t>
            </w:r>
          </w:p>
        </w:tc>
        <w:tc>
          <w:tcPr>
            <w:tcW w:w="8481"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D1A27B6">
            <w:pPr>
              <w:rPr>
                <w:szCs w:val="21"/>
              </w:rPr>
            </w:pPr>
            <w:r>
              <w:rPr>
                <w:szCs w:val="21"/>
              </w:rPr>
              <w:t>1.</w:t>
            </w:r>
            <w:r>
              <w:rPr>
                <w:rFonts w:hint="eastAsia"/>
                <w:szCs w:val="21"/>
              </w:rPr>
              <w:t>本项目的投标应以人民币报价，投标报价应包括所有费用。</w:t>
            </w:r>
          </w:p>
          <w:p w14:paraId="6F726B06">
            <w:pPr>
              <w:rPr>
                <w:bCs/>
                <w:szCs w:val="21"/>
              </w:rPr>
            </w:pPr>
            <w:r>
              <w:rPr>
                <w:szCs w:val="21"/>
              </w:rPr>
              <w:t>2.</w:t>
            </w:r>
            <w:r>
              <w:rPr>
                <w:rFonts w:hint="eastAsia"/>
                <w:szCs w:val="21"/>
              </w:rPr>
              <w:t>投</w:t>
            </w:r>
            <w:r>
              <w:rPr>
                <w:rFonts w:hint="eastAsia"/>
                <w:bCs/>
                <w:szCs w:val="21"/>
              </w:rPr>
              <w:t xml:space="preserve">标人应承担其参加本招标活动自身所发生的费用。 </w:t>
            </w:r>
          </w:p>
          <w:p w14:paraId="1380B367">
            <w:pPr>
              <w:spacing w:line="240" w:lineRule="exact"/>
              <w:rPr>
                <w:bCs/>
                <w:szCs w:val="21"/>
              </w:rPr>
            </w:pPr>
            <w:r>
              <w:rPr>
                <w:bCs/>
                <w:szCs w:val="21"/>
              </w:rPr>
              <w:t>3.</w:t>
            </w:r>
            <w:r>
              <w:rPr>
                <w:rFonts w:hint="eastAsia"/>
                <w:bCs/>
                <w:szCs w:val="21"/>
              </w:rPr>
              <w:t>中标人须缴纳招标代理费，收费金额为：人民币捌仟元整（8,000.00元）</w:t>
            </w:r>
          </w:p>
          <w:p w14:paraId="4B6F3163">
            <w:pPr>
              <w:rPr>
                <w:szCs w:val="21"/>
              </w:rPr>
            </w:pPr>
            <w:r>
              <w:t>4.</w:t>
            </w:r>
            <w:r>
              <w:rPr>
                <w:rFonts w:hint="eastAsia"/>
              </w:rPr>
              <w:t>中标通知书发出的同时，中标人应及时支付招标代理费，收到服务费后提供全额发票。中标结果确认后，因中标单位自身原因退出中标，招标代理费不予退回。</w:t>
            </w:r>
          </w:p>
        </w:tc>
      </w:tr>
      <w:tr w14:paraId="499BD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066DFBD">
            <w:pPr>
              <w:snapToGrid w:val="0"/>
              <w:spacing w:line="240" w:lineRule="exact"/>
              <w:jc w:val="center"/>
              <w:rPr>
                <w:b/>
              </w:rPr>
            </w:pPr>
            <w:r>
              <w:rPr>
                <w:b/>
              </w:rPr>
              <w:t>11</w:t>
            </w:r>
          </w:p>
        </w:tc>
        <w:tc>
          <w:tcPr>
            <w:tcW w:w="1319"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35A2495A">
            <w:pPr>
              <w:spacing w:line="240" w:lineRule="exact"/>
              <w:jc w:val="center"/>
              <w:rPr>
                <w:b/>
                <w:szCs w:val="21"/>
              </w:rPr>
            </w:pPr>
            <w:r>
              <w:rPr>
                <w:rFonts w:hint="eastAsia"/>
                <w:b/>
                <w:szCs w:val="21"/>
              </w:rPr>
              <w:t>银行账号</w:t>
            </w:r>
          </w:p>
        </w:tc>
        <w:tc>
          <w:tcPr>
            <w:tcW w:w="8481"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DE4C68E">
            <w:pPr>
              <w:rPr>
                <w:szCs w:val="21"/>
              </w:rPr>
            </w:pPr>
            <w:r>
              <w:rPr>
                <w:rFonts w:hint="eastAsia"/>
                <w:szCs w:val="21"/>
              </w:rPr>
              <w:t>收款单位：深圳市国信招标有限公司舟山分公司</w:t>
            </w:r>
          </w:p>
          <w:p w14:paraId="3CA20CA7">
            <w:pPr>
              <w:rPr>
                <w:szCs w:val="21"/>
              </w:rPr>
            </w:pPr>
            <w:r>
              <w:rPr>
                <w:rFonts w:hint="eastAsia"/>
                <w:szCs w:val="21"/>
              </w:rPr>
              <w:t>开户银行：中国工商银行舟山市定海区支行</w:t>
            </w:r>
          </w:p>
          <w:p w14:paraId="2FCC3F0E">
            <w:pPr>
              <w:rPr>
                <w:szCs w:val="21"/>
              </w:rPr>
            </w:pPr>
            <w:r>
              <w:rPr>
                <w:rFonts w:hint="eastAsia"/>
                <w:szCs w:val="21"/>
              </w:rPr>
              <w:t>银行账号：</w:t>
            </w:r>
            <w:r>
              <w:rPr>
                <w:szCs w:val="21"/>
              </w:rPr>
              <w:t>1206020209200081758</w:t>
            </w:r>
          </w:p>
        </w:tc>
      </w:tr>
      <w:tr w14:paraId="59D61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A341939">
            <w:pPr>
              <w:snapToGrid w:val="0"/>
              <w:spacing w:line="240" w:lineRule="exact"/>
              <w:jc w:val="center"/>
              <w:rPr>
                <w:b/>
              </w:rPr>
            </w:pPr>
            <w:r>
              <w:rPr>
                <w:b/>
              </w:rPr>
              <w:t>12</w:t>
            </w:r>
          </w:p>
        </w:tc>
        <w:tc>
          <w:tcPr>
            <w:tcW w:w="1319"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3BB8A109">
            <w:pPr>
              <w:spacing w:line="240" w:lineRule="exact"/>
              <w:jc w:val="center"/>
              <w:rPr>
                <w:b/>
                <w:szCs w:val="21"/>
              </w:rPr>
            </w:pPr>
            <w:r>
              <w:rPr>
                <w:rFonts w:hint="eastAsia" w:ascii="宋体" w:hAnsi="宋体" w:cs="宋体"/>
                <w:b/>
                <w:szCs w:val="21"/>
              </w:rPr>
              <w:t>建设成果</w:t>
            </w:r>
          </w:p>
        </w:tc>
        <w:tc>
          <w:tcPr>
            <w:tcW w:w="8481"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35069D87">
            <w:pPr>
              <w:rPr>
                <w:szCs w:val="21"/>
              </w:rPr>
            </w:pPr>
            <w:r>
              <w:rPr>
                <w:rFonts w:hint="eastAsia" w:ascii="宋体" w:hAnsi="宋体"/>
              </w:rPr>
              <w:t>合同约定，经验收合格。</w:t>
            </w:r>
          </w:p>
        </w:tc>
      </w:tr>
      <w:tr w14:paraId="09D8B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04C6E9FA">
            <w:pPr>
              <w:snapToGrid w:val="0"/>
              <w:spacing w:line="240" w:lineRule="exact"/>
              <w:jc w:val="center"/>
              <w:rPr>
                <w:b/>
              </w:rPr>
            </w:pPr>
            <w:r>
              <w:rPr>
                <w:rFonts w:hint="eastAsia"/>
                <w:b/>
              </w:rPr>
              <w:t>13</w:t>
            </w:r>
          </w:p>
        </w:tc>
        <w:tc>
          <w:tcPr>
            <w:tcW w:w="1319"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E0AD9DC">
            <w:pPr>
              <w:spacing w:line="240" w:lineRule="exact"/>
              <w:jc w:val="center"/>
              <w:rPr>
                <w:b/>
                <w:szCs w:val="21"/>
              </w:rPr>
            </w:pPr>
            <w:r>
              <w:rPr>
                <w:rFonts w:hint="eastAsia"/>
                <w:b/>
                <w:szCs w:val="21"/>
              </w:rPr>
              <w:t>履约保证金</w:t>
            </w:r>
          </w:p>
        </w:tc>
        <w:tc>
          <w:tcPr>
            <w:tcW w:w="8481"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154B60B">
            <w:pPr>
              <w:rPr>
                <w:rFonts w:hint="eastAsia" w:ascii="宋体" w:hAnsi="宋体"/>
              </w:rPr>
            </w:pPr>
            <w:r>
              <w:rPr>
                <w:rFonts w:hint="eastAsia" w:ascii="宋体" w:hAnsi="宋体"/>
              </w:rPr>
              <w:t>无</w:t>
            </w:r>
          </w:p>
        </w:tc>
      </w:tr>
      <w:tr w14:paraId="106DE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B02D4AC">
            <w:pPr>
              <w:snapToGrid w:val="0"/>
              <w:spacing w:line="240" w:lineRule="exact"/>
              <w:jc w:val="center"/>
              <w:rPr>
                <w:b/>
              </w:rPr>
            </w:pPr>
            <w:r>
              <w:rPr>
                <w:b/>
              </w:rPr>
              <w:t>14</w:t>
            </w:r>
          </w:p>
        </w:tc>
        <w:tc>
          <w:tcPr>
            <w:tcW w:w="1319"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6A5BEC7">
            <w:pPr>
              <w:snapToGrid w:val="0"/>
              <w:jc w:val="center"/>
              <w:rPr>
                <w:b/>
              </w:rPr>
            </w:pPr>
            <w:r>
              <w:rPr>
                <w:rFonts w:hint="eastAsia"/>
                <w:b/>
              </w:rPr>
              <w:t>投标文件的</w:t>
            </w:r>
          </w:p>
          <w:p w14:paraId="6F94882B">
            <w:pPr>
              <w:snapToGrid w:val="0"/>
              <w:jc w:val="center"/>
              <w:rPr>
                <w:b/>
              </w:rPr>
            </w:pPr>
            <w:r>
              <w:rPr>
                <w:rFonts w:hint="eastAsia"/>
                <w:b/>
              </w:rPr>
              <w:t>组成</w:t>
            </w:r>
          </w:p>
        </w:tc>
        <w:tc>
          <w:tcPr>
            <w:tcW w:w="8481"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3038DC72">
            <w:pPr>
              <w:snapToGrid w:val="0"/>
              <w:rPr>
                <w:szCs w:val="21"/>
              </w:rPr>
            </w:pPr>
            <w:r>
              <w:rPr>
                <w:rFonts w:hint="eastAsia"/>
                <w:szCs w:val="21"/>
              </w:rPr>
              <w:t>投标文件由资格响应文件、商务及技术响应文件、报价文件组成。</w:t>
            </w:r>
          </w:p>
        </w:tc>
      </w:tr>
      <w:tr w14:paraId="29AA3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25B9474">
            <w:pPr>
              <w:snapToGrid w:val="0"/>
              <w:spacing w:line="240" w:lineRule="exact"/>
              <w:jc w:val="center"/>
              <w:rPr>
                <w:b/>
              </w:rPr>
            </w:pPr>
            <w:r>
              <w:rPr>
                <w:b/>
              </w:rPr>
              <w:t>15</w:t>
            </w:r>
          </w:p>
        </w:tc>
        <w:tc>
          <w:tcPr>
            <w:tcW w:w="1319"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bottom w:w="15" w:type="dxa"/>
              <w:right w:w="15" w:type="dxa"/>
            </w:tcMar>
            <w:vAlign w:val="center"/>
          </w:tcPr>
          <w:p w14:paraId="6E5B1F99">
            <w:pPr>
              <w:snapToGrid w:val="0"/>
              <w:spacing w:line="240" w:lineRule="exact"/>
              <w:jc w:val="center"/>
              <w:rPr>
                <w:b/>
              </w:rPr>
            </w:pPr>
            <w:r>
              <w:rPr>
                <w:rFonts w:hint="eastAsia"/>
                <w:b/>
              </w:rPr>
              <w:t>投标文件的</w:t>
            </w:r>
          </w:p>
          <w:p w14:paraId="38D81B48">
            <w:pPr>
              <w:spacing w:line="360" w:lineRule="auto"/>
              <w:ind w:firstLine="517" w:firstLineChars="245"/>
              <w:rPr>
                <w:b/>
                <w:szCs w:val="21"/>
                <w:shd w:val="pct10" w:color="auto" w:fill="FFFFFF"/>
              </w:rPr>
            </w:pPr>
            <w:r>
              <w:rPr>
                <w:rFonts w:hint="eastAsia"/>
                <w:b/>
              </w:rPr>
              <w:t>制作</w:t>
            </w:r>
          </w:p>
        </w:tc>
        <w:tc>
          <w:tcPr>
            <w:tcW w:w="8481"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59B65CF">
            <w:pPr>
              <w:rPr>
                <w:szCs w:val="21"/>
              </w:rPr>
            </w:pPr>
            <w:r>
              <w:rPr>
                <w:rFonts w:hint="eastAsia"/>
                <w:szCs w:val="21"/>
              </w:rPr>
              <w:t>本项目实行电子投标。</w:t>
            </w:r>
          </w:p>
          <w:p w14:paraId="459D8912">
            <w:pPr>
              <w:rPr>
                <w:szCs w:val="21"/>
              </w:rPr>
            </w:pPr>
            <w:r>
              <w:rPr>
                <w:rFonts w:hint="eastAsia"/>
                <w:szCs w:val="21"/>
              </w:rPr>
              <w:t>投标人应准备电子投标文件、以介质存储的数据电文形式的备份投标文件：</w:t>
            </w:r>
          </w:p>
          <w:p w14:paraId="47A04D55">
            <w:pPr>
              <w:rPr>
                <w:szCs w:val="21"/>
              </w:rPr>
            </w:pPr>
            <w:r>
              <w:rPr>
                <w:rFonts w:hint="eastAsia"/>
                <w:szCs w:val="21"/>
              </w:rPr>
              <w:t>（</w:t>
            </w:r>
            <w:r>
              <w:rPr>
                <w:szCs w:val="21"/>
              </w:rPr>
              <w:t>1</w:t>
            </w:r>
            <w:r>
              <w:rPr>
                <w:rFonts w:hint="eastAsia"/>
                <w:szCs w:val="21"/>
              </w:rPr>
              <w:t>）电子投标文件，按政采云平台项目采购</w:t>
            </w:r>
            <w:r>
              <w:rPr>
                <w:szCs w:val="21"/>
              </w:rPr>
              <w:t>-</w:t>
            </w:r>
            <w:r>
              <w:rPr>
                <w:rFonts w:hint="eastAsia"/>
                <w:szCs w:val="21"/>
              </w:rPr>
              <w:t>电子交易操作指南及本招标文件要求递交。</w:t>
            </w:r>
          </w:p>
          <w:p w14:paraId="6BC38EE4">
            <w:pPr>
              <w:rPr>
                <w:szCs w:val="21"/>
              </w:rPr>
            </w:pPr>
            <w:r>
              <w:rPr>
                <w:rFonts w:hint="eastAsia"/>
                <w:szCs w:val="21"/>
              </w:rPr>
              <w:t>（</w:t>
            </w:r>
            <w:r>
              <w:rPr>
                <w:szCs w:val="21"/>
              </w:rPr>
              <w:t>2</w:t>
            </w:r>
            <w:r>
              <w:rPr>
                <w:rFonts w:hint="eastAsia"/>
                <w:szCs w:val="21"/>
              </w:rPr>
              <w:t>）以介质存储的数据电文形式的备份投标文件，按政采云平台项目采购</w:t>
            </w:r>
            <w:r>
              <w:rPr>
                <w:szCs w:val="21"/>
              </w:rPr>
              <w:t>-</w:t>
            </w:r>
            <w:r>
              <w:rPr>
                <w:rFonts w:hint="eastAsia"/>
                <w:szCs w:val="21"/>
              </w:rPr>
              <w:t>电子交易操作指南中上传的电子投标文件格式，以</w:t>
            </w:r>
            <w:r>
              <w:rPr>
                <w:szCs w:val="21"/>
              </w:rPr>
              <w:t>U</w:t>
            </w:r>
            <w:r>
              <w:rPr>
                <w:rFonts w:hint="eastAsia"/>
                <w:szCs w:val="21"/>
              </w:rPr>
              <w:t>盘形式存储提供。数量为</w:t>
            </w:r>
            <w:r>
              <w:rPr>
                <w:szCs w:val="21"/>
              </w:rPr>
              <w:t>1</w:t>
            </w:r>
            <w:r>
              <w:rPr>
                <w:rFonts w:hint="eastAsia"/>
                <w:szCs w:val="21"/>
              </w:rPr>
              <w:t>份。</w:t>
            </w:r>
          </w:p>
          <w:p w14:paraId="484DB8F0">
            <w:pPr>
              <w:rPr>
                <w:szCs w:val="21"/>
              </w:rPr>
            </w:pPr>
            <w:r>
              <w:rPr>
                <w:rFonts w:hint="eastAsia"/>
                <w:szCs w:val="21"/>
              </w:rPr>
              <w:t>投标文件均由资格响应文件、商务及技术响应文件、报价文件组成。</w:t>
            </w:r>
          </w:p>
          <w:p w14:paraId="68BCAF9E">
            <w:pPr>
              <w:rPr>
                <w:sz w:val="22"/>
              </w:rPr>
            </w:pPr>
            <w:r>
              <w:rPr>
                <w:rFonts w:hint="eastAsia"/>
                <w:b/>
                <w:szCs w:val="21"/>
              </w:rPr>
              <w:t>投标人可以不提供备份投标文件，造成项目开评标活动无法进行下去的，投标无效，相关风险由投标人自行承担</w:t>
            </w:r>
          </w:p>
        </w:tc>
      </w:tr>
      <w:tr w14:paraId="78A5D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1"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022CD4C1">
            <w:pPr>
              <w:snapToGrid w:val="0"/>
              <w:spacing w:line="240" w:lineRule="exact"/>
              <w:jc w:val="center"/>
              <w:rPr>
                <w:b/>
              </w:rPr>
            </w:pPr>
            <w:r>
              <w:rPr>
                <w:b/>
              </w:rPr>
              <w:t>16</w:t>
            </w:r>
          </w:p>
        </w:tc>
        <w:tc>
          <w:tcPr>
            <w:tcW w:w="1319"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0CEA9295">
            <w:pPr>
              <w:snapToGrid w:val="0"/>
              <w:spacing w:line="240" w:lineRule="exact"/>
              <w:jc w:val="center"/>
              <w:rPr>
                <w:b/>
              </w:rPr>
            </w:pPr>
            <w:r>
              <w:rPr>
                <w:rFonts w:hint="eastAsia"/>
                <w:b/>
              </w:rPr>
              <w:t>投标文件的</w:t>
            </w:r>
          </w:p>
          <w:p w14:paraId="1E0626E4">
            <w:pPr>
              <w:spacing w:line="300" w:lineRule="auto"/>
              <w:jc w:val="center"/>
              <w:rPr>
                <w:b/>
                <w:sz w:val="22"/>
                <w:shd w:val="pct10" w:color="auto" w:fill="FFFFFF"/>
              </w:rPr>
            </w:pPr>
            <w:r>
              <w:rPr>
                <w:rFonts w:hint="eastAsia"/>
                <w:b/>
              </w:rPr>
              <w:t>组成</w:t>
            </w:r>
          </w:p>
        </w:tc>
        <w:tc>
          <w:tcPr>
            <w:tcW w:w="8481"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D0EAB3E">
            <w:pPr>
              <w:rPr>
                <w:sz w:val="22"/>
              </w:rPr>
            </w:pPr>
            <w:r>
              <w:rPr>
                <w:rFonts w:hint="eastAsia"/>
                <w:sz w:val="22"/>
              </w:rPr>
              <w:t>投标人应当在投标截止时间前完成电子投标文件的传输递交，并可以补充、修改或者撤回电子投标文件。补充或者修改电子投标文件的，应当先行撤回原文件，补充、修改后重新传输递交。投标截止时间前未完成传输的，视为撤回投标文件。投标、响应截止时间后送达的投标、响应文件，将被政采云平台拒收。</w:t>
            </w:r>
          </w:p>
          <w:p w14:paraId="66CC63D8">
            <w:pPr>
              <w:rPr>
                <w:sz w:val="22"/>
              </w:rPr>
            </w:pPr>
            <w:r>
              <w:rPr>
                <w:rFonts w:hint="eastAsia"/>
                <w:sz w:val="22"/>
              </w:rPr>
              <w:t>投标人应当在规定时间前将以介质存储的数据电文形式的备份投标文件寄到或送达采购代理公司：舟山市定海区昌国路</w:t>
            </w:r>
            <w:r>
              <w:rPr>
                <w:sz w:val="22"/>
              </w:rPr>
              <w:t>232</w:t>
            </w:r>
            <w:r>
              <w:rPr>
                <w:rFonts w:hint="eastAsia"/>
                <w:sz w:val="22"/>
              </w:rPr>
              <w:t>号中楼</w:t>
            </w:r>
            <w:r>
              <w:rPr>
                <w:sz w:val="22"/>
              </w:rPr>
              <w:t>202</w:t>
            </w:r>
            <w:r>
              <w:rPr>
                <w:rFonts w:hint="eastAsia"/>
                <w:sz w:val="22"/>
              </w:rPr>
              <w:t>。逾期送达或未密封将被拒收。也可现场递交。</w:t>
            </w:r>
          </w:p>
          <w:p w14:paraId="4A1F3082">
            <w:pPr>
              <w:rPr>
                <w:sz w:val="22"/>
              </w:rPr>
            </w:pPr>
            <w:r>
              <w:rPr>
                <w:rFonts w:hint="eastAsia"/>
                <w:sz w:val="22"/>
              </w:rPr>
              <w:t>投标人递交以介质存储的数据电文形式的备份投标文件时，如出现下列情况之一的，将被拒收：</w:t>
            </w:r>
          </w:p>
          <w:p w14:paraId="2994B94E">
            <w:pPr>
              <w:rPr>
                <w:sz w:val="22"/>
              </w:rPr>
            </w:pPr>
            <w:r>
              <w:rPr>
                <w:sz w:val="22"/>
              </w:rPr>
              <w:t>1.</w:t>
            </w:r>
            <w:r>
              <w:rPr>
                <w:rFonts w:hint="eastAsia"/>
                <w:sz w:val="22"/>
              </w:rPr>
              <w:t>未按规定密封或标记的投标文件；</w:t>
            </w:r>
          </w:p>
          <w:p w14:paraId="4995A327">
            <w:pPr>
              <w:rPr>
                <w:sz w:val="22"/>
              </w:rPr>
            </w:pPr>
            <w:r>
              <w:rPr>
                <w:sz w:val="22"/>
              </w:rPr>
              <w:t>2.</w:t>
            </w:r>
            <w:r>
              <w:rPr>
                <w:rFonts w:hint="eastAsia"/>
                <w:sz w:val="22"/>
              </w:rPr>
              <w:t>由于包装不妥，在送交途中严重破损或失散的；</w:t>
            </w:r>
          </w:p>
          <w:p w14:paraId="0CA0E364">
            <w:pPr>
              <w:rPr>
                <w:sz w:val="22"/>
              </w:rPr>
            </w:pPr>
            <w:r>
              <w:rPr>
                <w:sz w:val="22"/>
              </w:rPr>
              <w:t>3.</w:t>
            </w:r>
            <w:r>
              <w:rPr>
                <w:rFonts w:hint="eastAsia"/>
                <w:sz w:val="22"/>
              </w:rPr>
              <w:t>未成功办理投标人报名手续的；</w:t>
            </w:r>
          </w:p>
          <w:p w14:paraId="13402D1A">
            <w:pPr>
              <w:rPr>
                <w:sz w:val="22"/>
              </w:rPr>
            </w:pPr>
            <w:r>
              <w:rPr>
                <w:sz w:val="22"/>
              </w:rPr>
              <w:t>4.</w:t>
            </w:r>
            <w:r>
              <w:rPr>
                <w:rFonts w:hint="eastAsia"/>
                <w:sz w:val="22"/>
              </w:rPr>
              <w:t>超过截止时间送达的；</w:t>
            </w:r>
          </w:p>
          <w:p w14:paraId="200EF3A6">
            <w:pPr>
              <w:rPr>
                <w:sz w:val="22"/>
              </w:rPr>
            </w:pPr>
            <w:r>
              <w:rPr>
                <w:rFonts w:hint="eastAsia"/>
                <w:sz w:val="22"/>
              </w:rPr>
              <w:t>仅提供备份投标文件的，投标无效。</w:t>
            </w:r>
          </w:p>
        </w:tc>
      </w:tr>
      <w:tr w14:paraId="4051A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0D933EA9">
            <w:pPr>
              <w:snapToGrid w:val="0"/>
              <w:jc w:val="center"/>
              <w:rPr>
                <w:b/>
              </w:rPr>
            </w:pPr>
            <w:r>
              <w:rPr>
                <w:b/>
              </w:rPr>
              <w:t>17</w:t>
            </w:r>
          </w:p>
        </w:tc>
        <w:tc>
          <w:tcPr>
            <w:tcW w:w="1319"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4D789DF">
            <w:pPr>
              <w:jc w:val="center"/>
              <w:rPr>
                <w:b/>
                <w:szCs w:val="21"/>
              </w:rPr>
            </w:pPr>
            <w:r>
              <w:rPr>
                <w:rFonts w:hint="eastAsia"/>
                <w:b/>
                <w:szCs w:val="21"/>
              </w:rPr>
              <w:t>投标人注册</w:t>
            </w:r>
          </w:p>
        </w:tc>
        <w:tc>
          <w:tcPr>
            <w:tcW w:w="8481"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3BD11DDB">
            <w:pPr>
              <w:spacing w:before="24" w:beforeLines="10"/>
              <w:jc w:val="left"/>
              <w:rPr>
                <w:bCs/>
                <w:kern w:val="0"/>
              </w:rPr>
            </w:pPr>
            <w:r>
              <w:rPr>
                <w:rFonts w:hint="eastAsia"/>
                <w:bCs/>
                <w:kern w:val="0"/>
              </w:rPr>
              <w:t>各投标人须在投标截止时间前根据浙江省财政厅《关于开展政府采购投标人网上注册登记和诚信管理工作的通知》（浙财采监【</w:t>
            </w:r>
            <w:r>
              <w:rPr>
                <w:bCs/>
                <w:kern w:val="0"/>
              </w:rPr>
              <w:t>2010</w:t>
            </w:r>
            <w:r>
              <w:rPr>
                <w:rFonts w:hint="eastAsia"/>
                <w:bCs/>
                <w:kern w:val="0"/>
              </w:rPr>
              <w:t>】</w:t>
            </w:r>
            <w:r>
              <w:rPr>
                <w:bCs/>
                <w:kern w:val="0"/>
              </w:rPr>
              <w:t>8</w:t>
            </w:r>
            <w:r>
              <w:rPr>
                <w:rFonts w:hint="eastAsia"/>
                <w:bCs/>
                <w:kern w:val="0"/>
              </w:rPr>
              <w:t>号文）的要求，通过浙江政府采购网申请注册加入政府采购投标人库。以免影响享受相关政策优惠及成交后的款项支付。</w:t>
            </w:r>
          </w:p>
          <w:p w14:paraId="60733F56">
            <w:pPr>
              <w:spacing w:before="24" w:beforeLines="10"/>
              <w:jc w:val="left"/>
              <w:rPr>
                <w:szCs w:val="21"/>
              </w:rPr>
            </w:pPr>
            <w:r>
              <w:rPr>
                <w:rFonts w:hint="eastAsia"/>
                <w:bCs/>
                <w:kern w:val="0"/>
              </w:rPr>
              <w:t>投标人在申请注册前，请认真阅读，学习《中华人民共和国政府采购法》和《浙江省政府采购投标人注册及诚信管理暂行办法》等相关法规规定。</w:t>
            </w:r>
          </w:p>
        </w:tc>
      </w:tr>
      <w:tr w14:paraId="4125D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83A6300">
            <w:pPr>
              <w:snapToGrid w:val="0"/>
              <w:spacing w:line="240" w:lineRule="exact"/>
              <w:jc w:val="center"/>
              <w:rPr>
                <w:b/>
              </w:rPr>
            </w:pPr>
            <w:r>
              <w:rPr>
                <w:b/>
              </w:rPr>
              <w:t>18</w:t>
            </w:r>
          </w:p>
        </w:tc>
        <w:tc>
          <w:tcPr>
            <w:tcW w:w="1319"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2F4AF33">
            <w:pPr>
              <w:jc w:val="center"/>
              <w:rPr>
                <w:b/>
                <w:szCs w:val="21"/>
              </w:rPr>
            </w:pPr>
            <w:r>
              <w:rPr>
                <w:rFonts w:hint="eastAsia"/>
                <w:b/>
                <w:szCs w:val="21"/>
              </w:rPr>
              <w:t>不良信用记录查询</w:t>
            </w:r>
          </w:p>
        </w:tc>
        <w:tc>
          <w:tcPr>
            <w:tcW w:w="8481"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FF1F3D8">
            <w:pPr>
              <w:rPr>
                <w:szCs w:val="21"/>
              </w:rPr>
            </w:pPr>
            <w:r>
              <w:rPr>
                <w:rFonts w:hint="eastAsia"/>
                <w:szCs w:val="21"/>
              </w:rPr>
              <w:t>根据财库</w:t>
            </w:r>
            <w:r>
              <w:rPr>
                <w:szCs w:val="21"/>
              </w:rPr>
              <w:t>[2016]125</w:t>
            </w:r>
            <w:r>
              <w:rPr>
                <w:rFonts w:hint="eastAsia"/>
                <w:szCs w:val="21"/>
              </w:rPr>
              <w:t>号文件：</w:t>
            </w:r>
          </w:p>
          <w:p w14:paraId="102487C7">
            <w:pPr>
              <w:rPr>
                <w:szCs w:val="21"/>
              </w:rPr>
            </w:pPr>
            <w:r>
              <w:rPr>
                <w:szCs w:val="21"/>
              </w:rPr>
              <w:t>1.</w:t>
            </w:r>
            <w:r>
              <w:rPr>
                <w:rFonts w:hint="eastAsia"/>
                <w:szCs w:val="21"/>
              </w:rPr>
              <w:t>至本项目投标截止前未被列入</w:t>
            </w:r>
            <w:r>
              <w:rPr>
                <w:szCs w:val="21"/>
              </w:rPr>
              <w:t>“</w:t>
            </w:r>
            <w:r>
              <w:rPr>
                <w:rFonts w:hint="eastAsia"/>
                <w:szCs w:val="21"/>
              </w:rPr>
              <w:t>信用中国</w:t>
            </w:r>
            <w:r>
              <w:rPr>
                <w:szCs w:val="21"/>
              </w:rPr>
              <w:t>”</w:t>
            </w:r>
            <w:r>
              <w:rPr>
                <w:rFonts w:hint="eastAsia"/>
                <w:szCs w:val="21"/>
              </w:rPr>
              <w:t>网站</w:t>
            </w:r>
            <w:r>
              <w:rPr>
                <w:szCs w:val="21"/>
              </w:rPr>
              <w:t>(www.creditchina.gov.cn)“</w:t>
            </w:r>
            <w:r>
              <w:rPr>
                <w:rFonts w:hint="eastAsia"/>
                <w:szCs w:val="21"/>
              </w:rPr>
              <w:t>记录失信被执行人或重大税收违法案件当事人名单</w:t>
            </w:r>
            <w:r>
              <w:rPr>
                <w:szCs w:val="21"/>
              </w:rPr>
              <w:t>”</w:t>
            </w:r>
            <w:r>
              <w:rPr>
                <w:rFonts w:hint="eastAsia"/>
                <w:szCs w:val="21"/>
              </w:rPr>
              <w:t>记录名单。</w:t>
            </w:r>
          </w:p>
          <w:p w14:paraId="64799CC1">
            <w:pPr>
              <w:rPr>
                <w:szCs w:val="21"/>
              </w:rPr>
            </w:pPr>
            <w:r>
              <w:rPr>
                <w:szCs w:val="21"/>
              </w:rPr>
              <w:t>2.</w:t>
            </w:r>
            <w:r>
              <w:rPr>
                <w:rFonts w:hint="eastAsia"/>
                <w:szCs w:val="21"/>
              </w:rPr>
              <w:t>至本项目投标截止前不处于中国政府采购网</w:t>
            </w:r>
            <w:r>
              <w:rPr>
                <w:szCs w:val="21"/>
              </w:rPr>
              <w:t>(www.ccgp.gov.cn)“</w:t>
            </w:r>
            <w:r>
              <w:rPr>
                <w:rFonts w:hint="eastAsia"/>
                <w:szCs w:val="21"/>
              </w:rPr>
              <w:t>政府采购严重违法失信行为信息记录</w:t>
            </w:r>
            <w:r>
              <w:rPr>
                <w:szCs w:val="21"/>
              </w:rPr>
              <w:t>”</w:t>
            </w:r>
            <w:r>
              <w:rPr>
                <w:rFonts w:hint="eastAsia"/>
                <w:szCs w:val="21"/>
              </w:rPr>
              <w:t>中的禁止参加政府采购活动期间。</w:t>
            </w:r>
          </w:p>
          <w:p w14:paraId="287F928C">
            <w:r>
              <w:rPr>
                <w:rFonts w:hint="eastAsia"/>
                <w:szCs w:val="21"/>
              </w:rPr>
              <w:t>提供</w:t>
            </w:r>
            <w:r>
              <w:rPr>
                <w:rFonts w:hint="eastAsia"/>
                <w:b/>
              </w:rPr>
              <w:t>查询截图，（截图查询网站时间须在开标截止前二个星期内）。</w:t>
            </w:r>
            <w:r>
              <w:rPr>
                <w:rFonts w:hint="eastAsia"/>
                <w:szCs w:val="21"/>
              </w:rPr>
              <w:t>对列入失信被执行人、重大税收违法案件当事人名单、政府采购严重违法失信行为记录名单的供应商，</w:t>
            </w:r>
            <w:r>
              <w:rPr>
                <w:rFonts w:hint="eastAsia"/>
                <w:b/>
                <w:szCs w:val="21"/>
              </w:rPr>
              <w:t>其投标将作无效标处理</w:t>
            </w:r>
            <w:r>
              <w:rPr>
                <w:rFonts w:hint="eastAsia"/>
                <w:szCs w:val="21"/>
              </w:rPr>
              <w:t>。</w:t>
            </w:r>
          </w:p>
        </w:tc>
      </w:tr>
      <w:tr w14:paraId="68EBE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tblCellSpacing w:w="7" w:type="dxa"/>
          <w:jc w:val="center"/>
        </w:trPr>
        <w:tc>
          <w:tcPr>
            <w:tcW w:w="488"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63B817E3">
            <w:pPr>
              <w:snapToGrid w:val="0"/>
              <w:spacing w:line="240" w:lineRule="exact"/>
              <w:jc w:val="center"/>
              <w:rPr>
                <w:b/>
              </w:rPr>
            </w:pPr>
            <w:r>
              <w:rPr>
                <w:b/>
              </w:rPr>
              <w:t>19</w:t>
            </w:r>
          </w:p>
        </w:tc>
        <w:tc>
          <w:tcPr>
            <w:tcW w:w="1319"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28795D92">
            <w:pPr>
              <w:jc w:val="center"/>
              <w:rPr>
                <w:b/>
                <w:szCs w:val="21"/>
              </w:rPr>
            </w:pPr>
            <w:r>
              <w:rPr>
                <w:rFonts w:hint="eastAsia"/>
                <w:b/>
                <w:szCs w:val="21"/>
              </w:rPr>
              <w:t>中小企业有关政策</w:t>
            </w:r>
          </w:p>
        </w:tc>
        <w:tc>
          <w:tcPr>
            <w:tcW w:w="8481" w:type="dxa"/>
            <w:gridSpan w:val="3"/>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307786A">
            <w:pPr>
              <w:rPr>
                <w:rFonts w:hint="eastAsia" w:ascii="宋体" w:hAnsi="宋体"/>
                <w:b/>
                <w:bCs/>
              </w:rPr>
            </w:pPr>
            <w:r>
              <w:rPr>
                <w:rFonts w:hint="eastAsia" w:ascii="宋体" w:hAnsi="宋体"/>
              </w:rPr>
              <w:t>（1）根据财政部财库〔2022〕19号《关于进一步加大政府采购支持中小企业力度的通知》等相关文件规定，对小型和微型企业的价格给予10%的扣除。对于联合协议或者分包意向协议约定小微企业的合同份额占到合同总金额40%以上的，给予4%的扣除。属于小型和微型企业的，投标文件中投标人必须提供《中小企业声明函》。</w:t>
            </w:r>
            <w:r>
              <w:rPr>
                <w:rFonts w:hint="eastAsia" w:ascii="宋体" w:hAnsi="宋体"/>
                <w:b/>
                <w:bCs/>
              </w:rPr>
              <w:t>本项目不专门面向中小企业，本项目对应的中小企业划分标准所属行业：其他未列明行业。</w:t>
            </w:r>
          </w:p>
          <w:p w14:paraId="60A35432">
            <w:pPr>
              <w:rPr>
                <w:rFonts w:hint="eastAsia" w:ascii="宋体" w:hAnsi="宋体"/>
              </w:rPr>
            </w:pPr>
            <w:r>
              <w:rPr>
                <w:rFonts w:hint="eastAsia" w:ascii="宋体" w:hAnsi="宋体"/>
              </w:rPr>
              <w:t>未提供完整证明材料的，投标报价不予扣减。</w:t>
            </w:r>
          </w:p>
          <w:p w14:paraId="74E1EC42">
            <w:pPr>
              <w:rPr>
                <w:rFonts w:hint="eastAsia" w:ascii="宋体" w:hAnsi="宋体"/>
              </w:rPr>
            </w:pPr>
            <w:r>
              <w:rPr>
                <w:rFonts w:hint="eastAsia" w:ascii="宋体" w:hAnsi="宋体"/>
              </w:rPr>
              <w:t>（2）根据《关于政府采购支持监狱企业发展有关问题的通知》（财库[2014]68号）的规定，供应商如为监狱企业且所投产品为小型或微型企业生产的，其投标报价扣除10%后参与评审。</w:t>
            </w:r>
          </w:p>
          <w:p w14:paraId="1A31A7F9">
            <w:pPr>
              <w:rPr>
                <w:rFonts w:hint="eastAsia" w:ascii="宋体" w:hAnsi="宋体"/>
              </w:rPr>
            </w:pPr>
            <w:r>
              <w:rPr>
                <w:rFonts w:hint="eastAsia" w:ascii="宋体" w:hAnsi="宋体"/>
              </w:rPr>
              <w:t>投标文件中须同时提供：供应商的省级以上监狱管理局、戒毒管理局（含新疆生产建设兵团）出具的属于监狱企业的证明文件，投标产品制造商的小微企业证明，未提供完整证明材料的，投标报价不予扣减。</w:t>
            </w:r>
          </w:p>
          <w:p w14:paraId="7E05C901">
            <w:pPr>
              <w:rPr>
                <w:rFonts w:hint="eastAsia" w:ascii="宋体" w:hAnsi="宋体"/>
              </w:rPr>
            </w:pPr>
            <w:r>
              <w:rPr>
                <w:rFonts w:hint="eastAsia" w:ascii="宋体" w:hAnsi="宋体"/>
              </w:rPr>
              <w:t>（3）根据《财政部、民政部、中国残疾人联合会关于促进残疾人就业政府采购政策的通知》（财库〔2017〕141号）的规定，残疾人福利性单位视同小型、微型企业，享受预留份额、评审中价格扣除等促进中小企业发展的政府采购政策。</w:t>
            </w:r>
          </w:p>
          <w:p w14:paraId="3EFD2B7E">
            <w:pPr>
              <w:rPr>
                <w:rFonts w:hint="eastAsia" w:ascii="宋体" w:hAnsi="宋体"/>
              </w:rPr>
            </w:pPr>
            <w:r>
              <w:rPr>
                <w:rFonts w:hint="eastAsia" w:ascii="宋体" w:hAnsi="宋体"/>
              </w:rPr>
              <w:t>投标文件中须提供：《残疾人福利性单位声明函》，未提供完整证明材料的，投标报价不予扣减。</w:t>
            </w:r>
          </w:p>
          <w:p w14:paraId="117A4BA1">
            <w:pPr>
              <w:rPr>
                <w:rFonts w:hint="eastAsia" w:ascii="宋体" w:hAnsi="宋体"/>
              </w:rPr>
            </w:pPr>
            <w:r>
              <w:rPr>
                <w:rFonts w:hint="eastAsia" w:ascii="宋体" w:hAnsi="宋体"/>
              </w:rPr>
              <w:t>上述1，2，3政策不重复计算。</w:t>
            </w:r>
          </w:p>
          <w:p w14:paraId="1BB42493">
            <w:pPr>
              <w:snapToGrid w:val="0"/>
              <w:jc w:val="left"/>
              <w:rPr>
                <w:szCs w:val="21"/>
              </w:rPr>
            </w:pPr>
            <w:r>
              <w:rPr>
                <w:rFonts w:hint="eastAsia" w:ascii="宋体" w:hAnsi="宋体"/>
              </w:rPr>
              <w:t>此项由评标委员会集体核实后统一打分。</w:t>
            </w:r>
          </w:p>
        </w:tc>
      </w:tr>
    </w:tbl>
    <w:p w14:paraId="3C24001D">
      <w:pPr>
        <w:snapToGrid w:val="0"/>
        <w:spacing w:before="120" w:line="312" w:lineRule="auto"/>
        <w:rPr>
          <w:b/>
          <w:sz w:val="28"/>
        </w:rPr>
      </w:pPr>
    </w:p>
    <w:p w14:paraId="4C253213">
      <w:pPr>
        <w:snapToGrid w:val="0"/>
        <w:spacing w:before="120" w:line="312" w:lineRule="auto"/>
        <w:jc w:val="center"/>
        <w:rPr>
          <w:b/>
          <w:sz w:val="28"/>
        </w:rPr>
      </w:pPr>
    </w:p>
    <w:p w14:paraId="49FEDF10">
      <w:pPr>
        <w:snapToGrid w:val="0"/>
        <w:spacing w:before="120" w:line="312" w:lineRule="auto"/>
        <w:jc w:val="center"/>
        <w:rPr>
          <w:b/>
        </w:rPr>
      </w:pPr>
      <w:r>
        <w:rPr>
          <w:rFonts w:hint="eastAsia"/>
          <w:b/>
          <w:sz w:val="28"/>
        </w:rPr>
        <w:t>一、总  则</w:t>
      </w:r>
    </w:p>
    <w:p w14:paraId="51C052AF">
      <w:pPr>
        <w:snapToGrid w:val="0"/>
        <w:spacing w:before="120" w:line="360" w:lineRule="auto"/>
        <w:ind w:right="55" w:rightChars="26"/>
        <w:rPr>
          <w:b/>
        </w:rPr>
      </w:pPr>
    </w:p>
    <w:p w14:paraId="5A30F6AA">
      <w:pPr>
        <w:snapToGrid w:val="0"/>
        <w:spacing w:before="120" w:line="360" w:lineRule="auto"/>
        <w:ind w:right="55" w:rightChars="26"/>
        <w:rPr>
          <w:b/>
          <w:sz w:val="28"/>
        </w:rPr>
      </w:pPr>
      <w:r>
        <w:rPr>
          <w:rFonts w:hint="eastAsia"/>
          <w:b/>
        </w:rPr>
        <w:t>（一）适用范围</w:t>
      </w:r>
    </w:p>
    <w:p w14:paraId="2373B199">
      <w:pPr>
        <w:snapToGrid w:val="0"/>
        <w:spacing w:line="360" w:lineRule="auto"/>
        <w:ind w:right="55" w:rightChars="26" w:firstLine="420" w:firstLineChars="200"/>
        <w:jc w:val="left"/>
      </w:pPr>
      <w:r>
        <w:rPr>
          <w:rFonts w:hint="eastAsia"/>
        </w:rPr>
        <w:t>本招标文件适用于</w:t>
      </w:r>
      <w:r>
        <w:rPr>
          <w:rFonts w:hint="eastAsia"/>
          <w:bCs/>
        </w:rPr>
        <w:t>2025年嵊泗县市场监督管理局食品安全抽检检测项目</w:t>
      </w:r>
      <w:r>
        <w:rPr>
          <w:rFonts w:hint="eastAsia"/>
        </w:rPr>
        <w:t>的招标、投标、评标、定标、验收、合同履约、付款等行为（法律、法规另有规定的，从其规定）。</w:t>
      </w:r>
    </w:p>
    <w:p w14:paraId="28710C41">
      <w:pPr>
        <w:snapToGrid w:val="0"/>
        <w:spacing w:line="360" w:lineRule="auto"/>
        <w:ind w:right="55" w:rightChars="26"/>
        <w:jc w:val="left"/>
        <w:outlineLvl w:val="1"/>
        <w:rPr>
          <w:b/>
          <w:sz w:val="24"/>
        </w:rPr>
      </w:pPr>
      <w:r>
        <w:rPr>
          <w:rFonts w:hint="eastAsia"/>
          <w:b/>
          <w:sz w:val="24"/>
        </w:rPr>
        <w:t>（二）定义</w:t>
      </w:r>
    </w:p>
    <w:p w14:paraId="13EFF301">
      <w:pPr>
        <w:snapToGrid w:val="0"/>
        <w:spacing w:line="360" w:lineRule="auto"/>
        <w:ind w:right="55" w:rightChars="26" w:firstLine="420" w:firstLineChars="200"/>
        <w:jc w:val="left"/>
      </w:pPr>
      <w:r>
        <w:t>1.</w:t>
      </w:r>
      <w:r>
        <w:rPr>
          <w:rFonts w:hint="eastAsia"/>
        </w:rPr>
        <w:t>“采购人”系指</w:t>
      </w:r>
      <w:r>
        <w:rPr>
          <w:rFonts w:hint="eastAsia"/>
          <w:bCs/>
        </w:rPr>
        <w:t>嵊泗县市场监督管理局</w:t>
      </w:r>
      <w:r>
        <w:rPr>
          <w:rFonts w:hint="eastAsia"/>
        </w:rPr>
        <w:t>。</w:t>
      </w:r>
    </w:p>
    <w:p w14:paraId="774A3B96">
      <w:pPr>
        <w:spacing w:after="120"/>
        <w:ind w:firstLine="420" w:firstLineChars="200"/>
        <w:rPr>
          <w:rFonts w:hAnsi="Calibri"/>
          <w:kern w:val="0"/>
        </w:rPr>
      </w:pPr>
      <w:r>
        <w:rPr>
          <w:rFonts w:hAnsi="Calibri"/>
          <w:kern w:val="0"/>
        </w:rPr>
        <w:t>2.</w:t>
      </w:r>
      <w:r>
        <w:rPr>
          <w:rFonts w:hint="eastAsia" w:hAnsi="Calibri"/>
          <w:kern w:val="0"/>
        </w:rPr>
        <w:t>“采购代理机构”系指组织本次招标的深圳市国信招标有限公司。</w:t>
      </w:r>
    </w:p>
    <w:p w14:paraId="75DCDB9B">
      <w:pPr>
        <w:snapToGrid w:val="0"/>
        <w:spacing w:line="360" w:lineRule="auto"/>
        <w:ind w:right="55" w:rightChars="26" w:firstLine="420" w:firstLineChars="200"/>
        <w:jc w:val="left"/>
      </w:pPr>
      <w:r>
        <w:t>3.</w:t>
      </w:r>
      <w:r>
        <w:rPr>
          <w:rFonts w:hint="eastAsia"/>
        </w:rPr>
        <w:t>“投标人”系指向采购人提交投标文件的单位或个人。</w:t>
      </w:r>
    </w:p>
    <w:p w14:paraId="34E1BBBA">
      <w:pPr>
        <w:snapToGrid w:val="0"/>
        <w:spacing w:line="360" w:lineRule="auto"/>
        <w:ind w:right="-506" w:rightChars="-241" w:firstLine="420" w:firstLineChars="200"/>
        <w:jc w:val="left"/>
      </w:pPr>
      <w:r>
        <w:t>4.</w:t>
      </w:r>
      <w:r>
        <w:rPr>
          <w:rFonts w:hint="eastAsia"/>
        </w:rPr>
        <w:t>“产品”系指投标人按招标文件规定，须向采购人提供的一切设备、保险、税金、备品备件、工具、手册及其它有关技术资料和材料。</w:t>
      </w:r>
    </w:p>
    <w:p w14:paraId="52EB9022">
      <w:pPr>
        <w:snapToGrid w:val="0"/>
        <w:spacing w:line="360" w:lineRule="auto"/>
        <w:ind w:right="-506" w:rightChars="-241" w:firstLine="420" w:firstLineChars="200"/>
        <w:jc w:val="left"/>
      </w:pPr>
      <w:r>
        <w:t>5.</w:t>
      </w:r>
      <w:r>
        <w:rPr>
          <w:rFonts w:hint="eastAsia"/>
        </w:rPr>
        <w:t>“服务”系指招标文件规定投标人须承担的安装、调试、技术协助、校准、培训、技术指导以及其他类似的义务。</w:t>
      </w:r>
    </w:p>
    <w:p w14:paraId="32053FB8">
      <w:pPr>
        <w:snapToGrid w:val="0"/>
        <w:spacing w:line="360" w:lineRule="auto"/>
        <w:ind w:firstLine="420" w:firstLineChars="200"/>
        <w:jc w:val="left"/>
      </w:pPr>
      <w:r>
        <w:t>6.</w:t>
      </w:r>
      <w:r>
        <w:rPr>
          <w:rFonts w:hint="eastAsia"/>
        </w:rPr>
        <w:t>“项目”系指投标人按招标文件规定向采购人提供的产品和服务。</w:t>
      </w:r>
    </w:p>
    <w:p w14:paraId="0E6A47BE">
      <w:pPr>
        <w:snapToGrid w:val="0"/>
        <w:spacing w:line="360" w:lineRule="auto"/>
        <w:ind w:firstLine="420" w:firstLineChars="200"/>
        <w:jc w:val="left"/>
      </w:pPr>
      <w:r>
        <w:t>7.</w:t>
      </w:r>
      <w:r>
        <w:rPr>
          <w:rFonts w:hint="eastAsia"/>
        </w:rPr>
        <w:t>“书面形式”包括信函、传真、邮件、电子文档等。</w:t>
      </w:r>
    </w:p>
    <w:p w14:paraId="1E4F0BF5">
      <w:pPr>
        <w:snapToGrid w:val="0"/>
        <w:spacing w:line="360" w:lineRule="auto"/>
        <w:ind w:firstLine="420" w:firstLineChars="200"/>
        <w:jc w:val="left"/>
      </w:pPr>
      <w:r>
        <w:t>8.</w:t>
      </w:r>
      <w:r>
        <w:rPr>
          <w:rFonts w:hint="eastAsia"/>
        </w:rPr>
        <w:t>“★”系指实质性要求条款，未响应的作无效标处理。</w:t>
      </w:r>
    </w:p>
    <w:p w14:paraId="598A77DD">
      <w:pPr>
        <w:snapToGrid w:val="0"/>
        <w:spacing w:line="312" w:lineRule="auto"/>
        <w:jc w:val="left"/>
        <w:outlineLvl w:val="1"/>
        <w:rPr>
          <w:b/>
          <w:sz w:val="24"/>
        </w:rPr>
      </w:pPr>
      <w:r>
        <w:rPr>
          <w:rFonts w:hint="eastAsia"/>
          <w:b/>
          <w:sz w:val="24"/>
        </w:rPr>
        <w:t>（三）招标方式</w:t>
      </w:r>
    </w:p>
    <w:p w14:paraId="30254C87">
      <w:pPr>
        <w:snapToGrid w:val="0"/>
        <w:spacing w:line="312" w:lineRule="auto"/>
        <w:ind w:firstLine="420" w:firstLineChars="200"/>
        <w:jc w:val="left"/>
      </w:pPr>
      <w:r>
        <w:rPr>
          <w:rFonts w:hint="eastAsia"/>
        </w:rPr>
        <w:t>本次招标采用公开招标。</w:t>
      </w:r>
    </w:p>
    <w:p w14:paraId="21F59875">
      <w:pPr>
        <w:snapToGrid w:val="0"/>
        <w:spacing w:line="312" w:lineRule="auto"/>
        <w:ind w:right="55" w:rightChars="26"/>
        <w:jc w:val="left"/>
        <w:outlineLvl w:val="1"/>
        <w:rPr>
          <w:b/>
          <w:sz w:val="24"/>
        </w:rPr>
      </w:pPr>
      <w:r>
        <w:rPr>
          <w:rFonts w:hint="eastAsia"/>
          <w:b/>
          <w:sz w:val="24"/>
        </w:rPr>
        <w:t>（四）投标费用</w:t>
      </w:r>
    </w:p>
    <w:p w14:paraId="65E689EF">
      <w:pPr>
        <w:snapToGrid w:val="0"/>
        <w:spacing w:line="312" w:lineRule="auto"/>
        <w:ind w:right="55" w:rightChars="26" w:firstLine="420" w:firstLineChars="200"/>
        <w:jc w:val="left"/>
      </w:pPr>
      <w:r>
        <w:rPr>
          <w:rFonts w:hint="eastAsia"/>
        </w:rPr>
        <w:t>不论投标结果如何，投标人均应自行承担所有与投标有关的全部费用（招标文件另有规定除外）。</w:t>
      </w:r>
    </w:p>
    <w:p w14:paraId="58466FF6">
      <w:pPr>
        <w:snapToGrid w:val="0"/>
        <w:spacing w:line="312" w:lineRule="auto"/>
        <w:ind w:right="55" w:rightChars="26"/>
        <w:rPr>
          <w:b/>
          <w:sz w:val="24"/>
        </w:rPr>
      </w:pPr>
      <w:r>
        <w:rPr>
          <w:rFonts w:hint="eastAsia"/>
          <w:b/>
          <w:sz w:val="24"/>
        </w:rPr>
        <w:t xml:space="preserve">（五）关于联合体 </w:t>
      </w:r>
    </w:p>
    <w:p w14:paraId="21421DEA">
      <w:pPr>
        <w:snapToGrid w:val="0"/>
        <w:spacing w:line="312" w:lineRule="auto"/>
        <w:ind w:right="55" w:rightChars="26" w:firstLine="422" w:firstLineChars="200"/>
        <w:rPr>
          <w:b/>
          <w:szCs w:val="21"/>
        </w:rPr>
      </w:pPr>
      <w:r>
        <w:rPr>
          <w:rFonts w:hint="eastAsia"/>
          <w:b/>
          <w:szCs w:val="21"/>
        </w:rPr>
        <w:t>本项目不接受联合体</w:t>
      </w:r>
    </w:p>
    <w:p w14:paraId="008262EB">
      <w:pPr>
        <w:snapToGrid w:val="0"/>
        <w:spacing w:line="312" w:lineRule="auto"/>
        <w:ind w:right="55" w:rightChars="26"/>
        <w:rPr>
          <w:b/>
          <w:sz w:val="24"/>
        </w:rPr>
      </w:pPr>
      <w:r>
        <w:rPr>
          <w:rFonts w:hint="eastAsia"/>
          <w:b/>
          <w:sz w:val="24"/>
        </w:rPr>
        <w:t>（六）关于分包和转包</w:t>
      </w:r>
    </w:p>
    <w:p w14:paraId="5D863BF6">
      <w:pPr>
        <w:snapToGrid w:val="0"/>
        <w:spacing w:line="312" w:lineRule="auto"/>
        <w:ind w:right="55" w:rightChars="26" w:firstLine="422" w:firstLineChars="200"/>
        <w:rPr>
          <w:b/>
          <w:bCs/>
        </w:rPr>
      </w:pPr>
      <w:r>
        <w:rPr>
          <w:rFonts w:hint="eastAsia"/>
          <w:b/>
          <w:bCs/>
        </w:rPr>
        <w:t>本项目不允许分包和转包。</w:t>
      </w:r>
    </w:p>
    <w:p w14:paraId="01B74485">
      <w:pPr>
        <w:snapToGrid w:val="0"/>
        <w:spacing w:line="360" w:lineRule="auto"/>
        <w:ind w:right="55" w:rightChars="26"/>
        <w:rPr>
          <w:b/>
          <w:spacing w:val="-4"/>
          <w:kern w:val="0"/>
          <w:sz w:val="24"/>
          <w:szCs w:val="24"/>
        </w:rPr>
      </w:pPr>
      <w:r>
        <w:rPr>
          <w:rFonts w:hint="eastAsia"/>
          <w:b/>
          <w:spacing w:val="-4"/>
          <w:kern w:val="0"/>
          <w:sz w:val="24"/>
          <w:szCs w:val="24"/>
        </w:rPr>
        <w:t>（七）特别说明：</w:t>
      </w:r>
    </w:p>
    <w:p w14:paraId="6ECC4C93">
      <w:pPr>
        <w:snapToGrid w:val="0"/>
        <w:spacing w:line="360" w:lineRule="auto"/>
        <w:ind w:firstLine="420" w:firstLineChars="200"/>
        <w:jc w:val="left"/>
        <w:rPr>
          <w:rFonts w:hint="eastAsia" w:ascii="宋体" w:hAnsi="宋体"/>
        </w:rPr>
      </w:pPr>
      <w:r>
        <w:rPr>
          <w:rFonts w:hint="eastAsia"/>
          <w:bCs/>
        </w:rPr>
        <w:t>1.</w:t>
      </w:r>
      <w:r>
        <w:rPr>
          <w:rFonts w:hint="eastAsia" w:ascii="宋体" w:hAnsi="宋体"/>
        </w:rPr>
        <w:t>单位负责人为同一人或者存在直接控股、管理关系的不同供应商，不得同时参加同一合同项下的投标。</w:t>
      </w:r>
    </w:p>
    <w:p w14:paraId="2EA28E54">
      <w:pPr>
        <w:snapToGrid w:val="0"/>
        <w:spacing w:line="360" w:lineRule="auto"/>
        <w:ind w:firstLine="420" w:firstLineChars="200"/>
        <w:jc w:val="left"/>
        <w:rPr>
          <w:rFonts w:hint="eastAsia" w:ascii="宋体" w:hAnsi="宋体"/>
        </w:rPr>
      </w:pPr>
      <w:r>
        <w:rPr>
          <w:rFonts w:hint="eastAsia" w:ascii="宋体" w:hAnsi="宋体"/>
        </w:rPr>
        <w:t>为项目提供整体设计、规范编制或者项目管理、监理、检测等服务的供应商，不得参加该项目的投标。</w:t>
      </w:r>
    </w:p>
    <w:p w14:paraId="2D3AFEB7">
      <w:pPr>
        <w:snapToGrid w:val="0"/>
        <w:spacing w:line="360" w:lineRule="auto"/>
        <w:ind w:right="-86" w:rightChars="-41" w:firstLine="401" w:firstLineChars="199"/>
        <w:rPr>
          <w:bCs/>
          <w:spacing w:val="-4"/>
          <w:kern w:val="0"/>
        </w:rPr>
      </w:pPr>
      <w:r>
        <w:rPr>
          <w:rFonts w:hint="eastAsia"/>
          <w:bCs/>
          <w:spacing w:val="-4"/>
          <w:kern w:val="0"/>
        </w:rPr>
        <w:t>2.投标人投标所使用的资格、信誉、荣誉、业绩与企业认证必须为本法人所拥有。投标人投标所使用的采购项目实施人员必须为本法人员工。</w:t>
      </w:r>
    </w:p>
    <w:p w14:paraId="4B4A6FEC">
      <w:pPr>
        <w:snapToGrid w:val="0"/>
        <w:spacing w:line="360" w:lineRule="auto"/>
        <w:ind w:right="-86" w:rightChars="-41" w:firstLine="404" w:firstLineChars="200"/>
        <w:rPr>
          <w:b/>
          <w:sz w:val="24"/>
          <w:szCs w:val="24"/>
        </w:rPr>
      </w:pPr>
      <w:r>
        <w:rPr>
          <w:rFonts w:hint="eastAsia"/>
          <w:bCs/>
          <w:spacing w:val="-4"/>
          <w:kern w:val="0"/>
        </w:rPr>
        <w:t>3.投标人应仔细阅读招标文件的所有内容，按照招标文件的要求提交投标文件，并对所提供的全部资料的真实性承担法律责任。</w:t>
      </w:r>
    </w:p>
    <w:p w14:paraId="01B4887B">
      <w:pPr>
        <w:snapToGrid w:val="0"/>
        <w:spacing w:before="120" w:line="360" w:lineRule="auto"/>
        <w:outlineLvl w:val="1"/>
        <w:rPr>
          <w:b/>
          <w:sz w:val="24"/>
          <w:szCs w:val="24"/>
        </w:rPr>
      </w:pPr>
      <w:r>
        <w:rPr>
          <w:rFonts w:hint="eastAsia"/>
          <w:b/>
          <w:sz w:val="24"/>
          <w:szCs w:val="24"/>
        </w:rPr>
        <w:t>（八）质疑</w:t>
      </w:r>
    </w:p>
    <w:p w14:paraId="05E47EB3">
      <w:pPr>
        <w:widowControl/>
        <w:snapToGrid w:val="0"/>
        <w:spacing w:before="120" w:line="360" w:lineRule="auto"/>
        <w:ind w:firstLine="420" w:firstLineChars="200"/>
        <w:outlineLvl w:val="1"/>
        <w:rPr>
          <w:bCs/>
          <w:szCs w:val="21"/>
        </w:rPr>
      </w:pPr>
      <w:r>
        <w:rPr>
          <w:rFonts w:hint="eastAsia"/>
          <w:bCs/>
          <w:szCs w:val="21"/>
        </w:rPr>
        <w:t>投标人应当自知道或者应当知道其合法权益受到损害之日起七个工作日内提出质疑。</w:t>
      </w:r>
    </w:p>
    <w:p w14:paraId="29DD4C5B">
      <w:pPr>
        <w:widowControl/>
        <w:snapToGrid w:val="0"/>
        <w:spacing w:before="120" w:line="360" w:lineRule="auto"/>
        <w:ind w:firstLine="420" w:firstLineChars="200"/>
        <w:outlineLvl w:val="1"/>
        <w:rPr>
          <w:bCs/>
          <w:szCs w:val="21"/>
        </w:rPr>
      </w:pPr>
      <w:r>
        <w:rPr>
          <w:bCs/>
          <w:szCs w:val="21"/>
        </w:rPr>
        <w:t>1.</w:t>
      </w:r>
      <w:r>
        <w:rPr>
          <w:rFonts w:hint="eastAsia"/>
          <w:bCs/>
          <w:szCs w:val="21"/>
        </w:rPr>
        <w:t>对可以质疑的采购文件提出质疑的，为收到采购文件之日或者采购文件公告期限届满之日；</w:t>
      </w:r>
    </w:p>
    <w:p w14:paraId="29C719CA">
      <w:pPr>
        <w:widowControl/>
        <w:snapToGrid w:val="0"/>
        <w:spacing w:before="120" w:line="360" w:lineRule="auto"/>
        <w:ind w:firstLine="420" w:firstLineChars="200"/>
        <w:outlineLvl w:val="1"/>
        <w:rPr>
          <w:bCs/>
          <w:szCs w:val="21"/>
        </w:rPr>
      </w:pPr>
      <w:r>
        <w:rPr>
          <w:bCs/>
          <w:szCs w:val="21"/>
        </w:rPr>
        <w:t>2.</w:t>
      </w:r>
      <w:r>
        <w:rPr>
          <w:rFonts w:hint="eastAsia"/>
          <w:bCs/>
          <w:szCs w:val="21"/>
        </w:rPr>
        <w:t>对采购过程提出质疑的，为各采购程序环节结束之日；</w:t>
      </w:r>
    </w:p>
    <w:p w14:paraId="563523B3">
      <w:pPr>
        <w:widowControl/>
        <w:snapToGrid w:val="0"/>
        <w:spacing w:before="120" w:line="360" w:lineRule="auto"/>
        <w:ind w:firstLine="420" w:firstLineChars="200"/>
        <w:outlineLvl w:val="1"/>
        <w:rPr>
          <w:bCs/>
          <w:szCs w:val="21"/>
        </w:rPr>
      </w:pPr>
      <w:r>
        <w:rPr>
          <w:bCs/>
          <w:szCs w:val="21"/>
        </w:rPr>
        <w:t>3.</w:t>
      </w:r>
      <w:r>
        <w:rPr>
          <w:rFonts w:hint="eastAsia"/>
          <w:bCs/>
          <w:szCs w:val="21"/>
        </w:rPr>
        <w:t>对中标或者成交结果提出质疑的，为中标或者成交结果公告期限届满之日。</w:t>
      </w:r>
    </w:p>
    <w:p w14:paraId="4FA76CE5">
      <w:pPr>
        <w:widowControl/>
        <w:snapToGrid w:val="0"/>
        <w:spacing w:before="120" w:line="360" w:lineRule="auto"/>
        <w:ind w:firstLine="420" w:firstLineChars="200"/>
        <w:outlineLvl w:val="1"/>
        <w:rPr>
          <w:bCs/>
          <w:szCs w:val="21"/>
        </w:rPr>
      </w:pPr>
      <w:r>
        <w:rPr>
          <w:bCs/>
          <w:szCs w:val="21"/>
        </w:rPr>
        <w:t>4.</w:t>
      </w:r>
      <w:r>
        <w:rPr>
          <w:rFonts w:hint="eastAsia"/>
          <w:bCs/>
          <w:szCs w:val="21"/>
        </w:rPr>
        <w:t>质疑书应包括下列主要内容：</w:t>
      </w:r>
    </w:p>
    <w:p w14:paraId="65096DB2">
      <w:pPr>
        <w:widowControl/>
        <w:snapToGrid w:val="0"/>
        <w:spacing w:before="120" w:line="360" w:lineRule="auto"/>
        <w:ind w:firstLine="420" w:firstLineChars="200"/>
        <w:outlineLvl w:val="1"/>
        <w:rPr>
          <w:bCs/>
          <w:szCs w:val="21"/>
        </w:rPr>
      </w:pPr>
      <w:r>
        <w:rPr>
          <w:rFonts w:hint="eastAsia" w:ascii="宋体" w:hAnsi="宋体" w:cs="宋体"/>
          <w:bCs/>
          <w:szCs w:val="21"/>
        </w:rPr>
        <w:t>①</w:t>
      </w:r>
      <w:r>
        <w:rPr>
          <w:rFonts w:hint="eastAsia"/>
          <w:bCs/>
          <w:szCs w:val="21"/>
        </w:rPr>
        <w:t>质疑人的名称、地址、邮政编码、联系人、联系电话，以及被质疑人名称及联系方式；</w:t>
      </w:r>
    </w:p>
    <w:p w14:paraId="35C24412">
      <w:pPr>
        <w:widowControl/>
        <w:snapToGrid w:val="0"/>
        <w:spacing w:before="120" w:line="360" w:lineRule="auto"/>
        <w:ind w:firstLine="420" w:firstLineChars="200"/>
        <w:outlineLvl w:val="1"/>
        <w:rPr>
          <w:bCs/>
          <w:szCs w:val="21"/>
        </w:rPr>
      </w:pPr>
      <w:r>
        <w:rPr>
          <w:rFonts w:hint="eastAsia" w:ascii="宋体" w:hAnsi="宋体" w:cs="宋体"/>
          <w:bCs/>
          <w:szCs w:val="21"/>
        </w:rPr>
        <w:t>②</w:t>
      </w:r>
      <w:r>
        <w:rPr>
          <w:rFonts w:hint="eastAsia"/>
          <w:bCs/>
          <w:szCs w:val="21"/>
        </w:rPr>
        <w:t>被质疑采购项目名称、编号及采购内容；</w:t>
      </w:r>
    </w:p>
    <w:p w14:paraId="78BA2A6C">
      <w:pPr>
        <w:widowControl/>
        <w:snapToGrid w:val="0"/>
        <w:spacing w:before="120" w:line="360" w:lineRule="auto"/>
        <w:ind w:firstLine="420" w:firstLineChars="200"/>
        <w:outlineLvl w:val="1"/>
        <w:rPr>
          <w:bCs/>
          <w:szCs w:val="21"/>
        </w:rPr>
      </w:pPr>
      <w:r>
        <w:rPr>
          <w:rFonts w:hint="eastAsia" w:ascii="宋体" w:hAnsi="宋体" w:cs="宋体"/>
          <w:bCs/>
          <w:szCs w:val="21"/>
        </w:rPr>
        <w:t>③</w:t>
      </w:r>
      <w:r>
        <w:rPr>
          <w:rFonts w:hint="eastAsia"/>
          <w:bCs/>
          <w:szCs w:val="21"/>
        </w:rPr>
        <w:t>具体的质疑事项及事实依据；</w:t>
      </w:r>
    </w:p>
    <w:p w14:paraId="18FA60CE">
      <w:pPr>
        <w:widowControl/>
        <w:snapToGrid w:val="0"/>
        <w:spacing w:before="120" w:line="360" w:lineRule="auto"/>
        <w:ind w:firstLine="420" w:firstLineChars="200"/>
        <w:outlineLvl w:val="1"/>
        <w:rPr>
          <w:bCs/>
          <w:szCs w:val="21"/>
        </w:rPr>
      </w:pPr>
      <w:r>
        <w:rPr>
          <w:rFonts w:hint="eastAsia" w:ascii="宋体" w:hAnsi="宋体" w:cs="宋体"/>
          <w:bCs/>
          <w:szCs w:val="21"/>
        </w:rPr>
        <w:t>④</w:t>
      </w:r>
      <w:r>
        <w:rPr>
          <w:rFonts w:hint="eastAsia"/>
          <w:bCs/>
          <w:szCs w:val="21"/>
        </w:rPr>
        <w:t>认为自己合法权益受到损害或可能受到损害的相关证据材料；</w:t>
      </w:r>
    </w:p>
    <w:p w14:paraId="58608425">
      <w:pPr>
        <w:widowControl/>
        <w:snapToGrid w:val="0"/>
        <w:spacing w:before="120" w:line="360" w:lineRule="auto"/>
        <w:ind w:firstLine="420" w:firstLineChars="200"/>
        <w:outlineLvl w:val="1"/>
        <w:rPr>
          <w:bCs/>
          <w:szCs w:val="21"/>
        </w:rPr>
      </w:pPr>
      <w:r>
        <w:rPr>
          <w:rFonts w:hint="eastAsia" w:ascii="宋体" w:hAnsi="宋体" w:cs="宋体"/>
          <w:bCs/>
          <w:szCs w:val="21"/>
        </w:rPr>
        <w:t>⑤</w:t>
      </w:r>
      <w:r>
        <w:rPr>
          <w:rFonts w:hint="eastAsia"/>
          <w:bCs/>
          <w:szCs w:val="21"/>
        </w:rPr>
        <w:t>提出质疑的日期。</w:t>
      </w:r>
    </w:p>
    <w:p w14:paraId="09BA59F5">
      <w:pPr>
        <w:widowControl/>
        <w:snapToGrid w:val="0"/>
        <w:spacing w:before="120" w:line="360" w:lineRule="auto"/>
        <w:ind w:firstLine="420" w:firstLineChars="200"/>
        <w:outlineLvl w:val="1"/>
        <w:rPr>
          <w:bCs/>
          <w:szCs w:val="21"/>
        </w:rPr>
      </w:pPr>
      <w:r>
        <w:rPr>
          <w:rFonts w:hint="eastAsia"/>
          <w:bCs/>
          <w:szCs w:val="21"/>
        </w:rPr>
        <w:t>供应商为自然人的，应当由本人签字：供应商为法人或者其他组织的，应当由法定代表人、主要负责人，或者其授权代表签字或者盖章，并加盖公章。</w:t>
      </w:r>
    </w:p>
    <w:p w14:paraId="4D19CFAA">
      <w:pPr>
        <w:widowControl/>
        <w:snapToGrid w:val="0"/>
        <w:spacing w:before="120" w:line="360" w:lineRule="auto"/>
        <w:ind w:firstLine="420" w:firstLineChars="200"/>
        <w:outlineLvl w:val="1"/>
        <w:rPr>
          <w:bCs/>
          <w:szCs w:val="21"/>
        </w:rPr>
      </w:pPr>
      <w:r>
        <w:rPr>
          <w:rFonts w:hint="eastAsia"/>
          <w:bCs/>
          <w:szCs w:val="21"/>
        </w:rPr>
        <w:t>供应商在法定质疑期内一次性提出针对同一采购程序环节的质疑。</w:t>
      </w:r>
    </w:p>
    <w:p w14:paraId="7240876B">
      <w:pPr>
        <w:spacing w:after="120"/>
        <w:jc w:val="center"/>
        <w:rPr>
          <w:rFonts w:ascii="宋体" w:hAnsi="Calibri"/>
          <w:b/>
          <w:bCs/>
          <w:kern w:val="0"/>
          <w:sz w:val="28"/>
          <w:szCs w:val="28"/>
        </w:rPr>
      </w:pPr>
    </w:p>
    <w:p w14:paraId="30980BD5">
      <w:pPr>
        <w:widowControl/>
        <w:spacing w:line="360" w:lineRule="auto"/>
        <w:ind w:firstLine="3935" w:firstLineChars="1400"/>
        <w:jc w:val="left"/>
        <w:rPr>
          <w:b/>
          <w:sz w:val="28"/>
        </w:rPr>
      </w:pPr>
      <w:r>
        <w:rPr>
          <w:rFonts w:hint="eastAsia"/>
          <w:b/>
          <w:sz w:val="28"/>
        </w:rPr>
        <w:t>二、招标文件</w:t>
      </w:r>
    </w:p>
    <w:p w14:paraId="540ABCE0">
      <w:pPr>
        <w:snapToGrid w:val="0"/>
        <w:spacing w:line="360" w:lineRule="auto"/>
        <w:ind w:right="-341"/>
        <w:jc w:val="left"/>
        <w:rPr>
          <w:b/>
          <w:sz w:val="24"/>
        </w:rPr>
      </w:pPr>
      <w:r>
        <w:rPr>
          <w:rFonts w:hint="eastAsia"/>
          <w:b/>
          <w:sz w:val="24"/>
        </w:rPr>
        <w:t>（一）招标文件的构成。本招标文件由以下部份组成：</w:t>
      </w:r>
    </w:p>
    <w:p w14:paraId="3AFCB6B1">
      <w:pPr>
        <w:snapToGrid w:val="0"/>
        <w:spacing w:line="360" w:lineRule="auto"/>
        <w:ind w:right="-341" w:firstLine="420" w:firstLineChars="200"/>
        <w:jc w:val="left"/>
      </w:pPr>
      <w:r>
        <w:t>1.</w:t>
      </w:r>
      <w:r>
        <w:rPr>
          <w:rFonts w:hint="eastAsia"/>
        </w:rPr>
        <w:t>招标公告</w:t>
      </w:r>
    </w:p>
    <w:p w14:paraId="0BF96B90">
      <w:pPr>
        <w:snapToGrid w:val="0"/>
        <w:spacing w:line="360" w:lineRule="auto"/>
        <w:ind w:right="-341" w:firstLine="420" w:firstLineChars="200"/>
        <w:jc w:val="left"/>
      </w:pPr>
      <w:r>
        <w:t>2.</w:t>
      </w:r>
      <w:r>
        <w:rPr>
          <w:rFonts w:hint="eastAsia"/>
        </w:rPr>
        <w:t>招标需求</w:t>
      </w:r>
    </w:p>
    <w:p w14:paraId="7AA01CD2">
      <w:pPr>
        <w:snapToGrid w:val="0"/>
        <w:spacing w:line="360" w:lineRule="auto"/>
        <w:ind w:right="-341" w:firstLine="420" w:firstLineChars="200"/>
        <w:jc w:val="left"/>
      </w:pPr>
      <w:r>
        <w:t>3.</w:t>
      </w:r>
      <w:r>
        <w:rPr>
          <w:rFonts w:hint="eastAsia"/>
        </w:rPr>
        <w:t>投标人须知</w:t>
      </w:r>
    </w:p>
    <w:p w14:paraId="6B7E9641">
      <w:pPr>
        <w:snapToGrid w:val="0"/>
        <w:spacing w:line="360" w:lineRule="auto"/>
        <w:ind w:right="-341" w:firstLine="420" w:firstLineChars="200"/>
        <w:jc w:val="left"/>
      </w:pPr>
      <w:r>
        <w:t>4.</w:t>
      </w:r>
      <w:r>
        <w:rPr>
          <w:rFonts w:hint="eastAsia"/>
        </w:rPr>
        <w:t>评标办法及标准</w:t>
      </w:r>
    </w:p>
    <w:p w14:paraId="72572017">
      <w:pPr>
        <w:snapToGrid w:val="0"/>
        <w:spacing w:line="360" w:lineRule="auto"/>
        <w:ind w:right="-341" w:firstLine="420" w:firstLineChars="200"/>
        <w:jc w:val="left"/>
      </w:pPr>
      <w:r>
        <w:t>5.</w:t>
      </w:r>
      <w:r>
        <w:rPr>
          <w:rFonts w:hint="eastAsia"/>
        </w:rPr>
        <w:t>合同主要条款</w:t>
      </w:r>
    </w:p>
    <w:p w14:paraId="13770287">
      <w:pPr>
        <w:snapToGrid w:val="0"/>
        <w:spacing w:line="360" w:lineRule="auto"/>
        <w:ind w:right="-341" w:firstLine="420" w:firstLineChars="200"/>
        <w:jc w:val="left"/>
      </w:pPr>
      <w:r>
        <w:t>6.</w:t>
      </w:r>
      <w:r>
        <w:rPr>
          <w:rFonts w:hint="eastAsia"/>
        </w:rPr>
        <w:t>投标文件格式</w:t>
      </w:r>
    </w:p>
    <w:p w14:paraId="57A8A55F">
      <w:pPr>
        <w:snapToGrid w:val="0"/>
        <w:spacing w:line="360" w:lineRule="auto"/>
        <w:ind w:right="-341" w:firstLine="420" w:firstLineChars="200"/>
        <w:jc w:val="left"/>
      </w:pPr>
      <w:r>
        <w:t>7.</w:t>
      </w:r>
      <w:r>
        <w:rPr>
          <w:rFonts w:hint="eastAsia"/>
        </w:rPr>
        <w:t>本项目招标文件的澄清、答复、修改、补充的内容</w:t>
      </w:r>
    </w:p>
    <w:p w14:paraId="7BDD0D6B">
      <w:pPr>
        <w:snapToGrid w:val="0"/>
        <w:spacing w:line="360" w:lineRule="auto"/>
        <w:ind w:right="-87"/>
        <w:jc w:val="left"/>
        <w:rPr>
          <w:b/>
          <w:sz w:val="24"/>
        </w:rPr>
      </w:pPr>
      <w:r>
        <w:rPr>
          <w:rFonts w:hint="eastAsia"/>
          <w:b/>
          <w:sz w:val="24"/>
        </w:rPr>
        <w:t>（二）投标人的风险</w:t>
      </w:r>
    </w:p>
    <w:p w14:paraId="6A58AEE4">
      <w:pPr>
        <w:spacing w:line="360" w:lineRule="auto"/>
        <w:ind w:right="-506" w:rightChars="-241" w:firstLine="420"/>
      </w:pPr>
      <w:r>
        <w:rPr>
          <w:rFonts w:hint="eastAsia"/>
        </w:rPr>
        <w:t>投标人没有按照招标文件要求提供全部资料，或者投标人没有对招标文件在各方面作出实质性响应是投标人的风险，并可能导致其投标被拒绝。</w:t>
      </w:r>
    </w:p>
    <w:p w14:paraId="673A45C1">
      <w:pPr>
        <w:tabs>
          <w:tab w:val="left" w:pos="454"/>
          <w:tab w:val="left" w:pos="720"/>
          <w:tab w:val="left" w:pos="900"/>
        </w:tabs>
        <w:snapToGrid w:val="0"/>
        <w:spacing w:line="360" w:lineRule="auto"/>
        <w:ind w:left="247" w:right="-87" w:hanging="247" w:hangingChars="117"/>
        <w:rPr>
          <w:b/>
        </w:rPr>
      </w:pPr>
      <w:r>
        <w:rPr>
          <w:rFonts w:hint="eastAsia"/>
          <w:b/>
        </w:rPr>
        <w:t>（三）招标文件的澄清与修改</w:t>
      </w:r>
    </w:p>
    <w:p w14:paraId="4192F0A7">
      <w:pPr>
        <w:widowControl/>
        <w:snapToGrid w:val="0"/>
        <w:spacing w:before="120" w:line="360" w:lineRule="auto"/>
        <w:ind w:right="-87" w:firstLine="415" w:firstLineChars="198"/>
        <w:rPr>
          <w:szCs w:val="21"/>
        </w:rPr>
      </w:pPr>
      <w:r>
        <w:rPr>
          <w:szCs w:val="21"/>
        </w:rPr>
        <w:t>1.</w:t>
      </w:r>
      <w:r>
        <w:rPr>
          <w:rFonts w:hint="eastAsia"/>
          <w:szCs w:val="21"/>
        </w:rPr>
        <w:t>投标人应认真阅读本招标文件，发现其中有误或有要求不合理的，投标人必须在投标截止前</w:t>
      </w:r>
      <w:r>
        <w:rPr>
          <w:szCs w:val="21"/>
        </w:rPr>
        <w:t>15</w:t>
      </w:r>
      <w:r>
        <w:rPr>
          <w:rFonts w:hint="eastAsia"/>
          <w:szCs w:val="21"/>
        </w:rPr>
        <w:t>天内以书面形式要求招标采购单位澄清。招标采购单位对已发出的招标文件进行必要澄清、答复、修改或补充的，应当在招标文件要求提交投标文件截止时间</w:t>
      </w:r>
      <w:r>
        <w:rPr>
          <w:szCs w:val="21"/>
        </w:rPr>
        <w:t>15</w:t>
      </w:r>
      <w:r>
        <w:rPr>
          <w:rFonts w:hint="eastAsia"/>
          <w:szCs w:val="21"/>
        </w:rPr>
        <w:t>天前，在财政部门指定的政府采购信息发布媒体上发布更正公告，并通知所有已报名的潜在投标人。</w:t>
      </w:r>
    </w:p>
    <w:p w14:paraId="3D2713F4">
      <w:pPr>
        <w:widowControl/>
        <w:snapToGrid w:val="0"/>
        <w:spacing w:before="120" w:line="360" w:lineRule="auto"/>
        <w:ind w:right="-87" w:firstLine="415" w:firstLineChars="198"/>
        <w:rPr>
          <w:szCs w:val="21"/>
        </w:rPr>
      </w:pPr>
      <w:r>
        <w:rPr>
          <w:szCs w:val="21"/>
        </w:rPr>
        <w:t>2.</w:t>
      </w:r>
      <w:r>
        <w:rPr>
          <w:rFonts w:hint="eastAsia"/>
          <w:szCs w:val="21"/>
        </w:rPr>
        <w:t>招标文件的答复、澄清、修改、补充通知实质上改变采购需求相关内容，且自招标文件的答复、澄清、修改、补充通知发出之日起至投标截止时间止不足</w:t>
      </w:r>
      <w:r>
        <w:rPr>
          <w:szCs w:val="21"/>
        </w:rPr>
        <w:t>15</w:t>
      </w:r>
      <w:r>
        <w:rPr>
          <w:rFonts w:hint="eastAsia"/>
          <w:szCs w:val="21"/>
        </w:rPr>
        <w:t>天的，招标采购单位可视情况推迟投标截止时间和开标时间，按规定在财政部门指定的政府采购信息发布媒体上发布变更公告，并将变更后的时间通知所有已报名的潜在投标人。</w:t>
      </w:r>
    </w:p>
    <w:p w14:paraId="1F3556F4">
      <w:pPr>
        <w:widowControl/>
        <w:snapToGrid w:val="0"/>
        <w:spacing w:before="120" w:line="360" w:lineRule="auto"/>
        <w:ind w:right="-87" w:firstLine="415" w:firstLineChars="198"/>
        <w:rPr>
          <w:szCs w:val="21"/>
        </w:rPr>
      </w:pPr>
      <w:r>
        <w:rPr>
          <w:szCs w:val="21"/>
        </w:rPr>
        <w:t>3.</w:t>
      </w:r>
      <w:r>
        <w:rPr>
          <w:rFonts w:hint="eastAsia"/>
          <w:szCs w:val="21"/>
        </w:rPr>
        <w:t>招标文件澄清、答复、修改、补充的内容为采购文件的组成部分。当招标文件与招标文件的答复、澄清、修改、补充通知就同一内容的表述不一致时，以最后发出的变更公告为准。</w:t>
      </w:r>
    </w:p>
    <w:p w14:paraId="5C5583EA">
      <w:pPr>
        <w:snapToGrid w:val="0"/>
        <w:spacing w:before="120" w:line="360" w:lineRule="auto"/>
        <w:ind w:right="-506" w:rightChars="-241" w:firstLine="420" w:firstLineChars="200"/>
        <w:rPr>
          <w:szCs w:val="21"/>
        </w:rPr>
      </w:pPr>
      <w:r>
        <w:rPr>
          <w:szCs w:val="21"/>
        </w:rPr>
        <w:t>4.</w:t>
      </w:r>
      <w:r>
        <w:rPr>
          <w:rFonts w:hint="eastAsia"/>
          <w:szCs w:val="21"/>
        </w:rPr>
        <w:t>招标文件的澄清、答复、修改或补充都应该通过本代理机构以法定形式发布。</w:t>
      </w:r>
    </w:p>
    <w:p w14:paraId="57B28777">
      <w:pPr>
        <w:spacing w:after="120"/>
        <w:jc w:val="center"/>
        <w:rPr>
          <w:rFonts w:ascii="宋体" w:hAnsi="Calibri"/>
          <w:b/>
          <w:bCs/>
          <w:kern w:val="0"/>
          <w:sz w:val="28"/>
          <w:szCs w:val="28"/>
        </w:rPr>
      </w:pPr>
    </w:p>
    <w:p w14:paraId="7703C9CD">
      <w:pPr>
        <w:spacing w:after="120"/>
        <w:jc w:val="center"/>
        <w:rPr>
          <w:rFonts w:ascii="宋体" w:hAnsi="Calibri"/>
          <w:b/>
          <w:bCs/>
          <w:kern w:val="0"/>
          <w:sz w:val="28"/>
          <w:szCs w:val="28"/>
        </w:rPr>
      </w:pPr>
      <w:r>
        <w:rPr>
          <w:rFonts w:hint="eastAsia" w:ascii="宋体" w:hAnsi="Calibri"/>
          <w:b/>
          <w:bCs/>
          <w:kern w:val="0"/>
          <w:sz w:val="28"/>
          <w:szCs w:val="28"/>
        </w:rPr>
        <w:t>三、投标文件的编制</w:t>
      </w:r>
    </w:p>
    <w:p w14:paraId="6761BB0D">
      <w:pPr>
        <w:spacing w:line="336" w:lineRule="auto"/>
        <w:ind w:firstLine="211" w:firstLineChars="100"/>
        <w:rPr>
          <w:b/>
          <w:szCs w:val="21"/>
        </w:rPr>
      </w:pPr>
      <w:r>
        <w:rPr>
          <w:rFonts w:hint="eastAsia"/>
          <w:b/>
          <w:szCs w:val="21"/>
        </w:rPr>
        <w:t>（一）投标文件的签署</w:t>
      </w:r>
    </w:p>
    <w:p w14:paraId="2B51CC0C">
      <w:pPr>
        <w:spacing w:line="336" w:lineRule="auto"/>
        <w:ind w:firstLine="420"/>
        <w:rPr>
          <w:b/>
          <w:bCs/>
          <w:szCs w:val="21"/>
        </w:rPr>
      </w:pPr>
      <w:r>
        <w:rPr>
          <w:b/>
          <w:bCs/>
          <w:szCs w:val="21"/>
        </w:rPr>
        <w:t>1.</w:t>
      </w:r>
      <w:r>
        <w:rPr>
          <w:rFonts w:hint="eastAsia"/>
          <w:b/>
          <w:bCs/>
          <w:szCs w:val="21"/>
        </w:rPr>
        <w:t>电子投标文件部分：</w:t>
      </w:r>
    </w:p>
    <w:p w14:paraId="7C0DB888">
      <w:pPr>
        <w:spacing w:line="336" w:lineRule="auto"/>
        <w:ind w:firstLine="420"/>
        <w:rPr>
          <w:szCs w:val="21"/>
        </w:rPr>
      </w:pPr>
      <w:r>
        <w:rPr>
          <w:rFonts w:hint="eastAsia"/>
          <w:szCs w:val="21"/>
        </w:rPr>
        <w:t>投标人应根据</w:t>
      </w:r>
      <w:r>
        <w:rPr>
          <w:szCs w:val="21"/>
        </w:rPr>
        <w:t>“</w:t>
      </w:r>
      <w:r>
        <w:rPr>
          <w:rFonts w:hint="eastAsia"/>
          <w:szCs w:val="21"/>
        </w:rPr>
        <w:t>政采云供应商项目采购</w:t>
      </w:r>
      <w:r>
        <w:rPr>
          <w:szCs w:val="21"/>
        </w:rPr>
        <w:t>-</w:t>
      </w:r>
      <w:r>
        <w:rPr>
          <w:rFonts w:hint="eastAsia"/>
          <w:szCs w:val="21"/>
        </w:rPr>
        <w:t>电子交易操作指南</w:t>
      </w:r>
      <w:r>
        <w:rPr>
          <w:szCs w:val="21"/>
        </w:rPr>
        <w:t>”</w:t>
      </w:r>
      <w:r>
        <w:rPr>
          <w:rFonts w:hint="eastAsia"/>
          <w:szCs w:val="21"/>
        </w:rPr>
        <w:t>及本招标文件规定的格式和顺序编制电子投标文件并进行关联定位。</w:t>
      </w:r>
    </w:p>
    <w:p w14:paraId="356D20E2">
      <w:pPr>
        <w:spacing w:line="336" w:lineRule="auto"/>
        <w:ind w:firstLine="420"/>
        <w:rPr>
          <w:b/>
          <w:bCs/>
          <w:szCs w:val="21"/>
        </w:rPr>
      </w:pPr>
      <w:r>
        <w:rPr>
          <w:b/>
          <w:bCs/>
          <w:szCs w:val="21"/>
        </w:rPr>
        <w:t>2.</w:t>
      </w:r>
      <w:r>
        <w:rPr>
          <w:rFonts w:hint="eastAsia"/>
          <w:b/>
          <w:bCs/>
          <w:szCs w:val="21"/>
        </w:rPr>
        <w:t>备份投标文件部分：</w:t>
      </w:r>
    </w:p>
    <w:p w14:paraId="36935219">
      <w:pPr>
        <w:snapToGrid w:val="0"/>
        <w:spacing w:before="120" w:beforeLines="50" w:after="120" w:afterLines="50" w:line="336" w:lineRule="auto"/>
        <w:ind w:right="-506" w:rightChars="-241" w:firstLine="420" w:firstLineChars="200"/>
        <w:rPr>
          <w:szCs w:val="21"/>
        </w:rPr>
      </w:pPr>
      <w:r>
        <w:rPr>
          <w:szCs w:val="21"/>
        </w:rPr>
        <w:t>2.1</w:t>
      </w:r>
      <w:r>
        <w:rPr>
          <w:rFonts w:hint="eastAsia"/>
          <w:szCs w:val="21"/>
        </w:rPr>
        <w:t>以介质存储的数据电文形式的备份投标文件，按政采云平台项目采购</w:t>
      </w:r>
      <w:r>
        <w:rPr>
          <w:szCs w:val="21"/>
        </w:rPr>
        <w:t>-</w:t>
      </w:r>
      <w:r>
        <w:rPr>
          <w:rFonts w:hint="eastAsia"/>
          <w:szCs w:val="21"/>
        </w:rPr>
        <w:t>电子交易操作指南中上传的电子投标文件格式，以</w:t>
      </w:r>
      <w:r>
        <w:rPr>
          <w:szCs w:val="21"/>
        </w:rPr>
        <w:t>U</w:t>
      </w:r>
      <w:r>
        <w:rPr>
          <w:rFonts w:hint="eastAsia"/>
          <w:szCs w:val="21"/>
        </w:rPr>
        <w:t>盘形式存储提供。数量为</w:t>
      </w:r>
      <w:r>
        <w:rPr>
          <w:szCs w:val="21"/>
        </w:rPr>
        <w:t>1</w:t>
      </w:r>
      <w:r>
        <w:rPr>
          <w:rFonts w:hint="eastAsia"/>
          <w:szCs w:val="21"/>
        </w:rPr>
        <w:t>份。</w:t>
      </w:r>
    </w:p>
    <w:p w14:paraId="4CC1544F">
      <w:pPr>
        <w:tabs>
          <w:tab w:val="left" w:pos="0"/>
        </w:tabs>
        <w:spacing w:line="360" w:lineRule="auto"/>
        <w:ind w:firstLine="211" w:firstLineChars="100"/>
        <w:rPr>
          <w:b/>
          <w:szCs w:val="21"/>
        </w:rPr>
      </w:pPr>
      <w:r>
        <w:rPr>
          <w:rFonts w:hint="eastAsia"/>
          <w:b/>
          <w:szCs w:val="21"/>
        </w:rPr>
        <w:t>（二）投标文件的组成</w:t>
      </w:r>
    </w:p>
    <w:p w14:paraId="2FCC42A0">
      <w:pPr>
        <w:spacing w:before="120" w:beforeLines="50" w:line="360" w:lineRule="auto"/>
        <w:ind w:firstLine="413" w:firstLineChars="196"/>
        <w:rPr>
          <w:rFonts w:ascii="宋体" w:hAnsi="Courier New"/>
          <w:szCs w:val="21"/>
        </w:rPr>
      </w:pPr>
      <w:r>
        <w:rPr>
          <w:rFonts w:hint="eastAsia" w:ascii="宋体" w:hAnsi="Courier New"/>
          <w:b/>
          <w:bCs/>
          <w:szCs w:val="21"/>
        </w:rPr>
        <w:t>投标文件由资格响应文件、商务及技术响应文件、报价文件三部份组成。</w:t>
      </w:r>
      <w:r>
        <w:rPr>
          <w:rFonts w:hint="eastAsia" w:ascii="宋体" w:hAnsi="Courier New"/>
          <w:szCs w:val="21"/>
        </w:rPr>
        <w:t>电子投标文件中所须加盖公章部分均采用CA签章。（以下投标文件的部分格式详见本招标文件第六章，如本招标文件没有提供相应的格式，投标人可自行制表填写）</w:t>
      </w:r>
    </w:p>
    <w:p w14:paraId="4A24CB7E">
      <w:pPr>
        <w:spacing w:before="120" w:beforeLines="50" w:line="360" w:lineRule="auto"/>
        <w:ind w:left="417"/>
        <w:rPr>
          <w:b/>
          <w:szCs w:val="21"/>
        </w:rPr>
      </w:pPr>
      <w:r>
        <w:rPr>
          <w:rFonts w:hint="eastAsia"/>
          <w:b/>
          <w:szCs w:val="21"/>
        </w:rPr>
        <w:t>资格响应部份：</w:t>
      </w:r>
    </w:p>
    <w:p w14:paraId="009F72AD">
      <w:pPr>
        <w:spacing w:line="360" w:lineRule="auto"/>
        <w:ind w:left="417"/>
      </w:pPr>
      <w:r>
        <w:t>1.</w:t>
      </w:r>
      <w:r>
        <w:rPr>
          <w:rFonts w:hint="eastAsia"/>
        </w:rPr>
        <w:t>基本资格条件：符合《中华人民共和国政府采购法》第二十二条的规定；</w:t>
      </w:r>
    </w:p>
    <w:p w14:paraId="7FFEF869">
      <w:pPr>
        <w:spacing w:line="360" w:lineRule="auto"/>
        <w:ind w:firstLine="420" w:firstLineChars="200"/>
      </w:pPr>
      <w:r>
        <w:rPr>
          <w:rFonts w:hint="eastAsia"/>
        </w:rPr>
        <w:t>（以下</w:t>
      </w:r>
      <w:r>
        <w:t>A~E</w:t>
      </w:r>
      <w:r>
        <w:rPr>
          <w:rFonts w:hint="eastAsia"/>
        </w:rPr>
        <w:t>项是第二十二条要求及对应证明材料的具体内容，各投标人须在投标文件中出具对应证明材料）</w:t>
      </w:r>
    </w:p>
    <w:p w14:paraId="738CE2BB">
      <w:pPr>
        <w:spacing w:line="360" w:lineRule="auto"/>
        <w:ind w:firstLine="482" w:firstLineChars="200"/>
        <w:rPr>
          <w:b/>
          <w:bCs/>
        </w:rPr>
      </w:pPr>
      <w:r>
        <w:rPr>
          <w:b/>
          <w:bCs/>
          <w:sz w:val="24"/>
        </w:rPr>
        <w:t>A.</w:t>
      </w:r>
      <w:r>
        <w:rPr>
          <w:rFonts w:hint="eastAsia"/>
          <w:b/>
          <w:bCs/>
        </w:rPr>
        <w:t>具有独立承担民事责任的能力：</w:t>
      </w:r>
    </w:p>
    <w:p w14:paraId="7EE31EC9">
      <w:pPr>
        <w:spacing w:line="360" w:lineRule="auto"/>
        <w:ind w:firstLine="420" w:firstLineChars="200"/>
        <w:rPr>
          <w:b/>
          <w:bCs/>
        </w:rPr>
      </w:pPr>
      <w:r>
        <w:rPr>
          <w:rFonts w:hint="eastAsia"/>
        </w:rPr>
        <w:t>投标人须在投标文件中出具符合以下情况的证明材料复印件</w:t>
      </w:r>
      <w:r>
        <w:rPr>
          <w:rFonts w:hint="eastAsia"/>
          <w:b/>
          <w:bCs/>
        </w:rPr>
        <w:t>（五选一）：</w:t>
      </w:r>
    </w:p>
    <w:p w14:paraId="6A20F2CA">
      <w:pPr>
        <w:spacing w:line="360" w:lineRule="auto"/>
        <w:ind w:firstLine="420" w:firstLineChars="200"/>
      </w:pPr>
      <w:r>
        <w:rPr>
          <w:rFonts w:hint="eastAsia"/>
        </w:rPr>
        <w:t>①如投标人是企业（包括合伙企业），提供在工商部门注册的有效</w:t>
      </w:r>
      <w:r>
        <w:t>“</w:t>
      </w:r>
      <w:r>
        <w:rPr>
          <w:rFonts w:hint="eastAsia"/>
        </w:rPr>
        <w:t>企业法人营业执照</w:t>
      </w:r>
      <w:r>
        <w:t>”</w:t>
      </w:r>
      <w:r>
        <w:rPr>
          <w:rFonts w:hint="eastAsia"/>
        </w:rPr>
        <w:t>或</w:t>
      </w:r>
      <w:r>
        <w:t>“</w:t>
      </w:r>
      <w:r>
        <w:rPr>
          <w:rFonts w:hint="eastAsia"/>
        </w:rPr>
        <w:t>营业执照</w:t>
      </w:r>
      <w:r>
        <w:t>”</w:t>
      </w:r>
      <w:r>
        <w:rPr>
          <w:rFonts w:hint="eastAsia"/>
        </w:rPr>
        <w:t>；</w:t>
      </w:r>
    </w:p>
    <w:p w14:paraId="0D0F0D45">
      <w:pPr>
        <w:spacing w:line="360" w:lineRule="auto"/>
        <w:ind w:firstLine="420" w:firstLineChars="200"/>
      </w:pPr>
      <w:r>
        <w:rPr>
          <w:rFonts w:hint="eastAsia"/>
        </w:rPr>
        <w:t>②如投标人是事业单位，提供有效的</w:t>
      </w:r>
      <w:r>
        <w:t>“</w:t>
      </w:r>
      <w:r>
        <w:rPr>
          <w:rFonts w:hint="eastAsia"/>
        </w:rPr>
        <w:t>事业单位法人证书</w:t>
      </w:r>
      <w:r>
        <w:t>”</w:t>
      </w:r>
      <w:r>
        <w:rPr>
          <w:rFonts w:hint="eastAsia"/>
        </w:rPr>
        <w:t>；</w:t>
      </w:r>
    </w:p>
    <w:p w14:paraId="157CDA66">
      <w:pPr>
        <w:spacing w:line="360" w:lineRule="auto"/>
        <w:ind w:firstLine="420" w:firstLineChars="200"/>
      </w:pPr>
      <w:r>
        <w:rPr>
          <w:rFonts w:hint="eastAsia"/>
        </w:rPr>
        <w:t>③如投标人是非企业专业服务机构的，提供执业许可证等证明文件；</w:t>
      </w:r>
    </w:p>
    <w:p w14:paraId="71D335B9">
      <w:pPr>
        <w:spacing w:line="360" w:lineRule="auto"/>
        <w:ind w:firstLine="420" w:firstLineChars="200"/>
      </w:pPr>
      <w:r>
        <w:rPr>
          <w:rFonts w:hint="eastAsia"/>
        </w:rPr>
        <w:t>④如投标人是个体工商户，提供有效的</w:t>
      </w:r>
      <w:r>
        <w:t>“</w:t>
      </w:r>
      <w:r>
        <w:rPr>
          <w:rFonts w:hint="eastAsia"/>
        </w:rPr>
        <w:t>个体工商户营业执照</w:t>
      </w:r>
      <w:r>
        <w:t>”</w:t>
      </w:r>
      <w:r>
        <w:rPr>
          <w:rFonts w:hint="eastAsia"/>
        </w:rPr>
        <w:t>；</w:t>
      </w:r>
    </w:p>
    <w:p w14:paraId="4EC0DCAA">
      <w:pPr>
        <w:spacing w:line="360" w:lineRule="auto"/>
        <w:ind w:firstLine="420" w:firstLineChars="200"/>
      </w:pPr>
      <w:r>
        <w:rPr>
          <w:rFonts w:hint="eastAsia"/>
        </w:rPr>
        <w:t>⑤如投标人是自然人，提供有效的自然人身份证明（居民身份证正反面或公安机关出具的临时居民身份证正反面或港澳台胞证或证照）。</w:t>
      </w:r>
    </w:p>
    <w:p w14:paraId="57DE334F">
      <w:pPr>
        <w:spacing w:line="360" w:lineRule="auto"/>
        <w:ind w:firstLine="422" w:firstLineChars="200"/>
        <w:rPr>
          <w:b/>
          <w:bCs/>
        </w:rPr>
      </w:pPr>
      <w:r>
        <w:rPr>
          <w:b/>
          <w:bCs/>
          <w:szCs w:val="21"/>
        </w:rPr>
        <w:t>B.</w:t>
      </w:r>
      <w:r>
        <w:rPr>
          <w:rFonts w:hint="eastAsia"/>
          <w:b/>
          <w:bCs/>
        </w:rPr>
        <w:t>具有良好的商业信誉和健全的财务会计制度：</w:t>
      </w:r>
    </w:p>
    <w:p w14:paraId="02633778">
      <w:pPr>
        <w:spacing w:line="360" w:lineRule="auto"/>
        <w:ind w:firstLine="420" w:firstLineChars="200"/>
      </w:pPr>
      <w:r>
        <w:rPr>
          <w:rFonts w:hint="eastAsia"/>
        </w:rPr>
        <w:t>①良好的商业信誉：</w:t>
      </w:r>
    </w:p>
    <w:p w14:paraId="33539AEF">
      <w:pPr>
        <w:spacing w:line="360" w:lineRule="auto"/>
        <w:ind w:firstLine="420" w:firstLineChars="200"/>
      </w:pPr>
      <w:r>
        <w:rPr>
          <w:rFonts w:hint="eastAsia"/>
        </w:rPr>
        <w:t>至本项目投标截止时间止未被</w:t>
      </w:r>
      <w:r>
        <w:t>“</w:t>
      </w:r>
      <w:r>
        <w:rPr>
          <w:rFonts w:hint="eastAsia"/>
        </w:rPr>
        <w:t>信用中国</w:t>
      </w:r>
      <w:r>
        <w:t>”</w:t>
      </w:r>
      <w:r>
        <w:rPr>
          <w:rFonts w:hint="eastAsia"/>
        </w:rPr>
        <w:t>（</w:t>
      </w:r>
      <w:r>
        <w:t>www.creditchina.gov.cn</w:t>
      </w:r>
      <w:r>
        <w:rPr>
          <w:rFonts w:hint="eastAsia"/>
        </w:rPr>
        <w:t>）、中国政府采购网（</w:t>
      </w:r>
      <w:r>
        <w:t>www.ccgp.gov.cn</w:t>
      </w:r>
      <w:r>
        <w:rPr>
          <w:rFonts w:hint="eastAsia"/>
        </w:rPr>
        <w:t>）列入失信被执行人、重大税收违法案件当事人名单、政府采购严重违法失信行为记录名单网页查询记录截图。</w:t>
      </w:r>
    </w:p>
    <w:p w14:paraId="296BA057">
      <w:pPr>
        <w:spacing w:line="360" w:lineRule="auto"/>
        <w:ind w:firstLine="420" w:firstLineChars="200"/>
      </w:pPr>
      <w:r>
        <w:rPr>
          <w:rFonts w:hint="eastAsia"/>
          <w:szCs w:val="21"/>
        </w:rPr>
        <w:t>提供</w:t>
      </w:r>
      <w:r>
        <w:rPr>
          <w:rFonts w:hint="eastAsia"/>
        </w:rPr>
        <w:t>查询截图，（截图查询网站时间须在开标截止前二个星期内）</w:t>
      </w:r>
    </w:p>
    <w:p w14:paraId="20F2E819">
      <w:pPr>
        <w:spacing w:line="360" w:lineRule="auto"/>
        <w:ind w:firstLine="420" w:firstLineChars="200"/>
      </w:pPr>
      <w:r>
        <w:rPr>
          <w:rFonts w:hint="eastAsia"/>
          <w:szCs w:val="21"/>
        </w:rPr>
        <w:t>对</w:t>
      </w:r>
      <w:r>
        <w:rPr>
          <w:rFonts w:hint="eastAsia"/>
        </w:rPr>
        <w:t>列入失信被执行人、重大税收违法案件当事人名单、政府采购严重违法失信行为记录名单的投标人，其投标将作无效标处理。</w:t>
      </w:r>
    </w:p>
    <w:p w14:paraId="21BECD4B">
      <w:pPr>
        <w:spacing w:line="360" w:lineRule="auto"/>
        <w:ind w:firstLine="420" w:firstLineChars="200"/>
      </w:pPr>
      <w:r>
        <w:rPr>
          <w:rFonts w:hint="eastAsia" w:ascii="宋体" w:hAnsi="宋体" w:cs="宋体"/>
        </w:rPr>
        <w:t>②</w:t>
      </w:r>
      <w:r>
        <w:rPr>
          <w:rFonts w:hint="eastAsia"/>
        </w:rPr>
        <w:t>健全的财务会计制度：</w:t>
      </w:r>
    </w:p>
    <w:p w14:paraId="2FD6714A">
      <w:pPr>
        <w:spacing w:line="360" w:lineRule="auto"/>
        <w:ind w:firstLine="420" w:firstLineChars="200"/>
      </w:pPr>
      <w:r>
        <w:rPr>
          <w:rFonts w:hint="eastAsia"/>
        </w:rPr>
        <w:t>投标人须在投标文件中出具符合以下情况的证明材料复印件</w:t>
      </w:r>
      <w:r>
        <w:rPr>
          <w:rFonts w:hint="eastAsia"/>
          <w:b/>
          <w:bCs/>
        </w:rPr>
        <w:t>（三选一）</w:t>
      </w:r>
      <w:r>
        <w:rPr>
          <w:rFonts w:hint="eastAsia"/>
        </w:rPr>
        <w:t>：</w:t>
      </w:r>
    </w:p>
    <w:p w14:paraId="50C502D1">
      <w:pPr>
        <w:tabs>
          <w:tab w:val="left" w:pos="735"/>
        </w:tabs>
        <w:spacing w:line="360" w:lineRule="auto"/>
        <w:ind w:firstLine="420" w:firstLineChars="200"/>
      </w:pPr>
      <w:r>
        <w:rPr>
          <w:rFonts w:hint="eastAsia"/>
        </w:rPr>
        <w:t>（一）投标人是法人的，应提供最近一个年度经审计的财务报告，包括资产负债表、利润表、现金流量表（执行《小企业会计准则》的提供资产负债表和利润表两张基本报表），未经审计的，提供资产负债表、利润表或损益表。</w:t>
      </w:r>
    </w:p>
    <w:p w14:paraId="3109EB16">
      <w:pPr>
        <w:numPr>
          <w:ilvl w:val="0"/>
          <w:numId w:val="9"/>
        </w:numPr>
        <w:tabs>
          <w:tab w:val="left" w:pos="735"/>
        </w:tabs>
        <w:spacing w:line="360" w:lineRule="auto"/>
      </w:pPr>
      <w:r>
        <w:rPr>
          <w:rFonts w:hint="eastAsia"/>
        </w:rPr>
        <w:t>其他组织和自然人如没有经审计的财务报告的，可以提供资产负债表、利润表、现金</w:t>
      </w:r>
    </w:p>
    <w:p w14:paraId="648C78B1">
      <w:pPr>
        <w:tabs>
          <w:tab w:val="left" w:pos="735"/>
        </w:tabs>
        <w:spacing w:line="360" w:lineRule="auto"/>
      </w:pPr>
      <w:r>
        <w:rPr>
          <w:rFonts w:hint="eastAsia"/>
        </w:rPr>
        <w:t>流量表。</w:t>
      </w:r>
    </w:p>
    <w:p w14:paraId="7BFF0600">
      <w:pPr>
        <w:numPr>
          <w:ilvl w:val="0"/>
          <w:numId w:val="9"/>
        </w:numPr>
        <w:tabs>
          <w:tab w:val="left" w:pos="735"/>
        </w:tabs>
        <w:spacing w:line="360" w:lineRule="auto"/>
      </w:pPr>
      <w:r>
        <w:rPr>
          <w:rFonts w:hint="eastAsia"/>
        </w:rPr>
        <w:t>新成立不足一年的公司须出具情况说明。</w:t>
      </w:r>
    </w:p>
    <w:p w14:paraId="019616D4">
      <w:pPr>
        <w:spacing w:line="360" w:lineRule="auto"/>
        <w:ind w:firstLine="413" w:firstLineChars="196"/>
        <w:rPr>
          <w:b/>
          <w:bCs/>
          <w:szCs w:val="21"/>
        </w:rPr>
      </w:pPr>
      <w:r>
        <w:rPr>
          <w:b/>
          <w:bCs/>
          <w:szCs w:val="21"/>
        </w:rPr>
        <w:t>C.</w:t>
      </w:r>
      <w:r>
        <w:rPr>
          <w:rFonts w:hint="eastAsia"/>
          <w:b/>
          <w:bCs/>
          <w:szCs w:val="21"/>
        </w:rPr>
        <w:t>具有履行合同所必需的设备和专业技术能力：</w:t>
      </w:r>
    </w:p>
    <w:p w14:paraId="75F67AFC">
      <w:pPr>
        <w:spacing w:line="360" w:lineRule="auto"/>
        <w:ind w:left="420"/>
        <w:rPr>
          <w:kern w:val="0"/>
          <w:szCs w:val="21"/>
        </w:rPr>
      </w:pPr>
      <w:r>
        <w:rPr>
          <w:rFonts w:hint="eastAsia"/>
          <w:kern w:val="0"/>
          <w:szCs w:val="21"/>
        </w:rPr>
        <w:t>投标人须在投标文件中出具具有履行合同所必需的设备和专业技术能力的《投标函》。</w:t>
      </w:r>
    </w:p>
    <w:p w14:paraId="0BD909B1">
      <w:pPr>
        <w:spacing w:line="360" w:lineRule="auto"/>
        <w:ind w:firstLine="413" w:firstLineChars="196"/>
        <w:rPr>
          <w:b/>
          <w:bCs/>
          <w:szCs w:val="21"/>
        </w:rPr>
      </w:pPr>
      <w:r>
        <w:rPr>
          <w:b/>
          <w:bCs/>
          <w:szCs w:val="21"/>
        </w:rPr>
        <w:t>D.</w:t>
      </w:r>
      <w:r>
        <w:rPr>
          <w:rFonts w:hint="eastAsia"/>
          <w:b/>
          <w:bCs/>
          <w:szCs w:val="21"/>
        </w:rPr>
        <w:t>有依法缴纳税收和社会保障资金的良好记录：（如有）</w:t>
      </w:r>
    </w:p>
    <w:p w14:paraId="205578C9">
      <w:pPr>
        <w:spacing w:line="360" w:lineRule="auto"/>
        <w:ind w:firstLine="420" w:firstLineChars="200"/>
      </w:pPr>
      <w:r>
        <w:t>1.</w:t>
      </w:r>
      <w:r>
        <w:rPr>
          <w:rFonts w:hint="eastAsia"/>
        </w:rPr>
        <w:t>投标人须在投标文件中同时出具满足以下要求的证明材料复印件：</w:t>
      </w:r>
    </w:p>
    <w:p w14:paraId="0A077451">
      <w:pPr>
        <w:spacing w:line="360" w:lineRule="auto"/>
        <w:ind w:firstLine="420" w:firstLineChars="200"/>
      </w:pPr>
      <w:r>
        <w:rPr>
          <w:rFonts w:hint="eastAsia"/>
        </w:rPr>
        <w:t>①投标人须提供由税务部门出具的最近一季度缴纳增值税和企业所得税的纳税证明。</w:t>
      </w:r>
    </w:p>
    <w:p w14:paraId="5B05EADE">
      <w:pPr>
        <w:spacing w:line="360" w:lineRule="auto"/>
        <w:ind w:firstLine="420" w:firstLineChars="200"/>
      </w:pPr>
      <w:r>
        <w:rPr>
          <w:rFonts w:hint="eastAsia" w:ascii="宋体" w:hAnsi="宋体" w:cs="宋体"/>
        </w:rPr>
        <w:t>②</w:t>
      </w:r>
      <w:r>
        <w:rPr>
          <w:rFonts w:hint="eastAsia"/>
        </w:rPr>
        <w:t>投标人须提供最近三个月内缴纳社会保险的凭据（缴税付款凭证或社会保险缴纳证明）</w:t>
      </w:r>
    </w:p>
    <w:p w14:paraId="0D101D45">
      <w:pPr>
        <w:spacing w:line="360" w:lineRule="auto"/>
        <w:ind w:firstLine="420" w:firstLineChars="200"/>
      </w:pPr>
      <w:r>
        <w:rPr>
          <w:rFonts w:hint="eastAsia"/>
        </w:rPr>
        <w:t>依法免税或不需要缴纳社会保障资金的投标人，应提供相应文件证明其依法免税或不需要缴纳社会保障资金。</w:t>
      </w:r>
    </w:p>
    <w:p w14:paraId="3E3F92A5">
      <w:pPr>
        <w:spacing w:line="360" w:lineRule="auto"/>
        <w:ind w:firstLine="422" w:firstLineChars="200"/>
        <w:rPr>
          <w:b/>
          <w:bCs/>
        </w:rPr>
      </w:pPr>
      <w:r>
        <w:rPr>
          <w:b/>
          <w:bCs/>
        </w:rPr>
        <w:t>E.</w:t>
      </w:r>
      <w:r>
        <w:rPr>
          <w:rFonts w:hint="eastAsia"/>
          <w:b/>
          <w:bCs/>
        </w:rPr>
        <w:t>参加政府采购活动前三年内，在经营活动中没有重大违法记录：</w:t>
      </w:r>
    </w:p>
    <w:p w14:paraId="27E98EB9">
      <w:pPr>
        <w:spacing w:line="360" w:lineRule="auto"/>
        <w:ind w:firstLine="420" w:firstLineChars="200"/>
      </w:pPr>
      <w:r>
        <w:rPr>
          <w:rFonts w:hint="eastAsia"/>
        </w:rPr>
        <w:t>投标人须在投标文件中出具《声明函》、廉政承诺书。（格式见附件）</w:t>
      </w:r>
    </w:p>
    <w:p w14:paraId="46150D53">
      <w:pPr>
        <w:snapToGrid w:val="0"/>
        <w:spacing w:before="120" w:beforeLines="50" w:line="336" w:lineRule="auto"/>
        <w:ind w:firstLine="415" w:firstLineChars="198"/>
        <w:rPr>
          <w:szCs w:val="21"/>
        </w:rPr>
      </w:pPr>
      <w:r>
        <w:rPr>
          <w:rFonts w:hint="eastAsia"/>
          <w:szCs w:val="21"/>
        </w:rPr>
        <w:t>注：证明材料均需加盖签章。</w:t>
      </w:r>
    </w:p>
    <w:p w14:paraId="30ACF2E2">
      <w:pPr>
        <w:snapToGrid w:val="0"/>
        <w:spacing w:before="120" w:beforeLines="50" w:after="120" w:afterLines="50" w:line="336" w:lineRule="auto"/>
        <w:ind w:left="417" w:right="-506" w:rightChars="-241"/>
        <w:rPr>
          <w:rFonts w:hint="eastAsia" w:ascii="宋体" w:hAnsi="宋体"/>
          <w:b/>
          <w:szCs w:val="21"/>
        </w:rPr>
      </w:pPr>
      <w:r>
        <w:rPr>
          <w:rFonts w:hint="eastAsia" w:ascii="宋体" w:hAnsi="宋体"/>
          <w:b/>
          <w:szCs w:val="21"/>
        </w:rPr>
        <w:t>2.商务及技术部分：</w:t>
      </w:r>
    </w:p>
    <w:p w14:paraId="75EE97BF">
      <w:pPr>
        <w:snapToGrid w:val="0"/>
        <w:spacing w:line="360" w:lineRule="auto"/>
        <w:ind w:firstLine="411" w:firstLineChars="196"/>
        <w:jc w:val="left"/>
        <w:rPr>
          <w:rFonts w:hint="eastAsia" w:ascii="宋体" w:hAnsi="宋体"/>
          <w:bCs/>
          <w:szCs w:val="21"/>
        </w:rPr>
      </w:pPr>
      <w:r>
        <w:rPr>
          <w:rFonts w:hint="eastAsia" w:ascii="宋体" w:hAnsi="宋体"/>
          <w:bCs/>
          <w:szCs w:val="21"/>
        </w:rPr>
        <w:t>2.1投标人基本情况表（如有）；</w:t>
      </w:r>
    </w:p>
    <w:p w14:paraId="5D407DCF">
      <w:pPr>
        <w:snapToGrid w:val="0"/>
        <w:spacing w:line="360" w:lineRule="auto"/>
        <w:ind w:firstLine="411" w:firstLineChars="196"/>
        <w:jc w:val="left"/>
        <w:rPr>
          <w:rFonts w:hint="eastAsia" w:ascii="宋体" w:hAnsi="宋体"/>
          <w:bCs/>
          <w:szCs w:val="21"/>
        </w:rPr>
      </w:pPr>
      <w:r>
        <w:rPr>
          <w:rFonts w:hint="eastAsia" w:ascii="宋体" w:hAnsi="宋体"/>
          <w:bCs/>
          <w:szCs w:val="21"/>
        </w:rPr>
        <w:t>2.2成功案例及业绩；</w:t>
      </w:r>
    </w:p>
    <w:p w14:paraId="0E275F1F">
      <w:pPr>
        <w:snapToGrid w:val="0"/>
        <w:spacing w:line="360" w:lineRule="auto"/>
        <w:ind w:firstLine="411" w:firstLineChars="196"/>
        <w:jc w:val="left"/>
        <w:rPr>
          <w:rFonts w:hint="eastAsia" w:ascii="宋体" w:hAnsi="宋体"/>
          <w:bCs/>
          <w:szCs w:val="21"/>
        </w:rPr>
      </w:pPr>
      <w:r>
        <w:rPr>
          <w:rFonts w:hint="eastAsia" w:ascii="宋体" w:hAnsi="宋体"/>
          <w:bCs/>
          <w:szCs w:val="21"/>
        </w:rPr>
        <w:t>2.3项目负责人简历表（须附相关证明材料）；项目实施人员一览表（须附职称证书复印件）；</w:t>
      </w:r>
    </w:p>
    <w:p w14:paraId="1778D17A">
      <w:pPr>
        <w:snapToGrid w:val="0"/>
        <w:spacing w:line="360" w:lineRule="auto"/>
        <w:ind w:firstLine="411" w:firstLineChars="196"/>
        <w:jc w:val="left"/>
        <w:rPr>
          <w:rFonts w:hint="eastAsia" w:ascii="宋体" w:hAnsi="宋体"/>
          <w:bCs/>
          <w:szCs w:val="21"/>
        </w:rPr>
      </w:pPr>
      <w:r>
        <w:rPr>
          <w:rFonts w:hint="eastAsia" w:ascii="宋体" w:hAnsi="宋体"/>
          <w:bCs/>
          <w:szCs w:val="21"/>
        </w:rPr>
        <w:t>2.4商务响应表；</w:t>
      </w:r>
    </w:p>
    <w:p w14:paraId="1108E50E">
      <w:pPr>
        <w:snapToGrid w:val="0"/>
        <w:spacing w:line="360" w:lineRule="auto"/>
        <w:ind w:firstLine="411" w:firstLineChars="196"/>
        <w:jc w:val="left"/>
        <w:rPr>
          <w:rFonts w:hint="eastAsia" w:ascii="宋体" w:hAnsi="宋体"/>
          <w:bCs/>
          <w:szCs w:val="21"/>
        </w:rPr>
      </w:pPr>
      <w:r>
        <w:rPr>
          <w:rFonts w:hint="eastAsia" w:ascii="宋体" w:hAnsi="宋体"/>
          <w:bCs/>
          <w:szCs w:val="21"/>
        </w:rPr>
        <w:t>2.5对本项目总体要求的理解（包括技术线路、需求分析、技术规范及标准、质量检查制度等，格式自拟）；</w:t>
      </w:r>
    </w:p>
    <w:p w14:paraId="1D47F240">
      <w:pPr>
        <w:snapToGrid w:val="0"/>
        <w:spacing w:line="360" w:lineRule="auto"/>
        <w:ind w:firstLine="411" w:firstLineChars="196"/>
        <w:jc w:val="left"/>
        <w:rPr>
          <w:rFonts w:hint="eastAsia" w:ascii="宋体" w:hAnsi="宋体"/>
          <w:bCs/>
          <w:szCs w:val="21"/>
        </w:rPr>
      </w:pPr>
      <w:r>
        <w:rPr>
          <w:rFonts w:hint="eastAsia" w:ascii="宋体" w:hAnsi="宋体"/>
          <w:bCs/>
          <w:szCs w:val="21"/>
        </w:rPr>
        <w:t>2.6服务方案</w:t>
      </w:r>
    </w:p>
    <w:p w14:paraId="6C254283">
      <w:pPr>
        <w:snapToGrid w:val="0"/>
        <w:spacing w:line="360" w:lineRule="auto"/>
        <w:ind w:firstLine="411" w:firstLineChars="196"/>
        <w:jc w:val="left"/>
        <w:rPr>
          <w:rFonts w:hint="eastAsia" w:ascii="宋体" w:hAnsi="宋体"/>
          <w:bCs/>
          <w:szCs w:val="21"/>
        </w:rPr>
      </w:pPr>
      <w:r>
        <w:rPr>
          <w:rFonts w:hint="eastAsia" w:ascii="宋体" w:hAnsi="宋体"/>
          <w:bCs/>
          <w:szCs w:val="21"/>
        </w:rPr>
        <w:t xml:space="preserve">2.7保证项目质量的技术力量及技术措施； </w:t>
      </w:r>
    </w:p>
    <w:p w14:paraId="6C757D72">
      <w:pPr>
        <w:snapToGrid w:val="0"/>
        <w:spacing w:line="360" w:lineRule="auto"/>
        <w:ind w:firstLine="411" w:firstLineChars="196"/>
        <w:jc w:val="left"/>
        <w:rPr>
          <w:rFonts w:hint="eastAsia" w:ascii="宋体" w:hAnsi="宋体"/>
          <w:bCs/>
          <w:szCs w:val="21"/>
        </w:rPr>
      </w:pPr>
      <w:r>
        <w:rPr>
          <w:rFonts w:hint="eastAsia" w:ascii="宋体" w:hAnsi="宋体"/>
          <w:bCs/>
          <w:szCs w:val="21"/>
        </w:rPr>
        <w:t>2.8保证项目的组织方案及人力资源安排；</w:t>
      </w:r>
    </w:p>
    <w:p w14:paraId="725A60F1">
      <w:pPr>
        <w:snapToGrid w:val="0"/>
        <w:spacing w:line="360" w:lineRule="auto"/>
        <w:ind w:firstLine="411" w:firstLineChars="196"/>
        <w:jc w:val="left"/>
        <w:rPr>
          <w:rFonts w:hint="eastAsia" w:ascii="宋体" w:hAnsi="宋体"/>
          <w:bCs/>
          <w:szCs w:val="21"/>
        </w:rPr>
      </w:pPr>
      <w:r>
        <w:rPr>
          <w:rFonts w:hint="eastAsia" w:ascii="宋体" w:hAnsi="宋体"/>
          <w:bCs/>
          <w:szCs w:val="21"/>
        </w:rPr>
        <w:t>2.9工作计划表和进度表, 拟投入的主要软硬件设备表</w:t>
      </w:r>
    </w:p>
    <w:p w14:paraId="1045F85D">
      <w:pPr>
        <w:snapToGrid w:val="0"/>
        <w:spacing w:line="360" w:lineRule="auto"/>
        <w:ind w:firstLine="411" w:firstLineChars="196"/>
        <w:jc w:val="left"/>
        <w:rPr>
          <w:rFonts w:hint="eastAsia" w:ascii="宋体" w:hAnsi="宋体"/>
          <w:bCs/>
          <w:szCs w:val="21"/>
        </w:rPr>
      </w:pPr>
      <w:r>
        <w:rPr>
          <w:rFonts w:hint="eastAsia" w:ascii="宋体" w:hAnsi="宋体"/>
          <w:bCs/>
          <w:szCs w:val="21"/>
        </w:rPr>
        <w:t>2.10技术响应表</w:t>
      </w:r>
    </w:p>
    <w:p w14:paraId="6755B02B">
      <w:pPr>
        <w:snapToGrid w:val="0"/>
        <w:spacing w:line="360" w:lineRule="auto"/>
        <w:ind w:firstLine="411" w:firstLineChars="196"/>
        <w:jc w:val="left"/>
        <w:rPr>
          <w:rFonts w:hint="eastAsia" w:ascii="宋体" w:hAnsi="宋体"/>
          <w:bCs/>
          <w:szCs w:val="21"/>
        </w:rPr>
      </w:pPr>
      <w:r>
        <w:rPr>
          <w:rFonts w:hint="eastAsia" w:ascii="宋体" w:hAnsi="宋体"/>
          <w:bCs/>
          <w:szCs w:val="21"/>
        </w:rPr>
        <w:t>2.11投标人对本项目的合理化建议和改进措施；</w:t>
      </w:r>
    </w:p>
    <w:p w14:paraId="5D545E27">
      <w:pPr>
        <w:snapToGrid w:val="0"/>
        <w:spacing w:line="360" w:lineRule="auto"/>
        <w:ind w:firstLine="411" w:firstLineChars="196"/>
        <w:jc w:val="left"/>
        <w:rPr>
          <w:rFonts w:hint="eastAsia" w:ascii="宋体" w:hAnsi="宋体"/>
          <w:bCs/>
          <w:szCs w:val="21"/>
        </w:rPr>
      </w:pPr>
      <w:r>
        <w:rPr>
          <w:rFonts w:hint="eastAsia" w:ascii="宋体" w:hAnsi="宋体"/>
          <w:bCs/>
          <w:szCs w:val="21"/>
        </w:rPr>
        <w:t>2.12评分规则中涉及的所需提交的材料（如有），投标人需要说明的其他文件和说明（如有）；</w:t>
      </w:r>
    </w:p>
    <w:p w14:paraId="788DA2C8">
      <w:pPr>
        <w:snapToGrid w:val="0"/>
        <w:spacing w:line="360" w:lineRule="auto"/>
        <w:ind w:firstLine="413" w:firstLineChars="196"/>
        <w:jc w:val="left"/>
        <w:rPr>
          <w:rFonts w:hint="eastAsia" w:ascii="宋体" w:hAnsi="宋体"/>
          <w:b/>
          <w:szCs w:val="21"/>
        </w:rPr>
      </w:pPr>
      <w:r>
        <w:rPr>
          <w:rFonts w:hint="eastAsia" w:ascii="宋体" w:hAnsi="宋体"/>
          <w:b/>
          <w:szCs w:val="21"/>
        </w:rPr>
        <w:t>3.报价部分：</w:t>
      </w:r>
    </w:p>
    <w:p w14:paraId="6CAAD7E0">
      <w:pPr>
        <w:snapToGrid w:val="0"/>
        <w:spacing w:line="336" w:lineRule="auto"/>
        <w:ind w:firstLine="420" w:firstLineChars="200"/>
        <w:jc w:val="left"/>
        <w:rPr>
          <w:rFonts w:hint="eastAsia" w:ascii="宋体" w:hAnsi="宋体"/>
          <w:szCs w:val="21"/>
        </w:rPr>
      </w:pPr>
      <w:r>
        <w:rPr>
          <w:rFonts w:hint="eastAsia" w:ascii="宋体" w:hAnsi="宋体"/>
          <w:szCs w:val="21"/>
        </w:rPr>
        <w:t>3.1投标报价一览表；</w:t>
      </w:r>
    </w:p>
    <w:p w14:paraId="7128AB13">
      <w:pPr>
        <w:tabs>
          <w:tab w:val="left" w:pos="3870"/>
          <w:tab w:val="left" w:pos="4085"/>
        </w:tabs>
        <w:snapToGrid w:val="0"/>
        <w:spacing w:line="336" w:lineRule="auto"/>
        <w:ind w:firstLine="420" w:firstLineChars="200"/>
        <w:jc w:val="left"/>
        <w:rPr>
          <w:rFonts w:hint="eastAsia" w:ascii="宋体" w:hAnsi="宋体"/>
          <w:szCs w:val="21"/>
        </w:rPr>
      </w:pPr>
      <w:r>
        <w:rPr>
          <w:rFonts w:hint="eastAsia" w:ascii="宋体" w:hAnsi="宋体"/>
          <w:szCs w:val="21"/>
        </w:rPr>
        <w:t>3.2报价明细表；</w:t>
      </w:r>
    </w:p>
    <w:p w14:paraId="4037FE19">
      <w:pPr>
        <w:snapToGrid w:val="0"/>
        <w:spacing w:line="336" w:lineRule="auto"/>
        <w:ind w:firstLine="420" w:firstLineChars="200"/>
        <w:jc w:val="left"/>
        <w:rPr>
          <w:rFonts w:hint="eastAsia" w:ascii="宋体" w:hAnsi="宋体"/>
          <w:szCs w:val="21"/>
        </w:rPr>
      </w:pPr>
      <w:r>
        <w:rPr>
          <w:rFonts w:hint="eastAsia" w:ascii="宋体" w:hAnsi="宋体"/>
          <w:szCs w:val="21"/>
        </w:rPr>
        <w:t>3.3投标人针对报价需要说明的其他文件和说明。</w:t>
      </w:r>
    </w:p>
    <w:p w14:paraId="3F1BEB36">
      <w:pPr>
        <w:spacing w:after="120"/>
        <w:ind w:firstLine="422" w:firstLineChars="200"/>
        <w:rPr>
          <w:rFonts w:hint="eastAsia" w:ascii="宋体" w:hAnsi="宋体"/>
          <w:b/>
          <w:bCs/>
        </w:rPr>
      </w:pPr>
      <w:r>
        <w:rPr>
          <w:rFonts w:hint="eastAsia" w:ascii="宋体" w:hAnsi="宋体"/>
          <w:b/>
          <w:bCs/>
        </w:rPr>
        <w:t>中小企业声明函（如是）；</w:t>
      </w:r>
    </w:p>
    <w:p w14:paraId="2D1B4033">
      <w:pPr>
        <w:spacing w:after="120"/>
        <w:ind w:firstLine="422" w:firstLineChars="200"/>
        <w:rPr>
          <w:rFonts w:hint="eastAsia" w:ascii="宋体" w:hAnsi="宋体"/>
          <w:b/>
          <w:bCs/>
        </w:rPr>
      </w:pPr>
      <w:r>
        <w:rPr>
          <w:rFonts w:hint="eastAsia" w:ascii="宋体" w:hAnsi="宋体"/>
          <w:b/>
          <w:bCs/>
        </w:rPr>
        <w:t>监狱企业声明函（如是）；</w:t>
      </w:r>
    </w:p>
    <w:p w14:paraId="097AA63E">
      <w:pPr>
        <w:spacing w:after="120"/>
        <w:ind w:firstLine="422" w:firstLineChars="200"/>
        <w:rPr>
          <w:rFonts w:hint="eastAsia" w:ascii="宋体" w:hAnsi="宋体"/>
          <w:b/>
          <w:bCs/>
          <w:szCs w:val="21"/>
        </w:rPr>
      </w:pPr>
      <w:r>
        <w:rPr>
          <w:rFonts w:hint="eastAsia" w:ascii="宋体" w:hAnsi="宋体"/>
          <w:b/>
          <w:bCs/>
        </w:rPr>
        <w:t>残疾人福利性单位声明函（如是）；</w:t>
      </w:r>
    </w:p>
    <w:p w14:paraId="41485777">
      <w:pPr>
        <w:snapToGrid w:val="0"/>
        <w:spacing w:line="360" w:lineRule="auto"/>
        <w:ind w:right="55"/>
        <w:jc w:val="left"/>
        <w:outlineLvl w:val="0"/>
        <w:rPr>
          <w:b/>
          <w:sz w:val="24"/>
        </w:rPr>
      </w:pPr>
      <w:r>
        <w:rPr>
          <w:rFonts w:hint="eastAsia"/>
          <w:b/>
          <w:szCs w:val="21"/>
        </w:rPr>
        <w:t>（二）投标文件的语言及计量</w:t>
      </w:r>
    </w:p>
    <w:p w14:paraId="0F5039E3">
      <w:pPr>
        <w:snapToGrid w:val="0"/>
        <w:spacing w:line="360" w:lineRule="auto"/>
        <w:ind w:firstLine="420" w:firstLineChars="200"/>
        <w:jc w:val="left"/>
        <w:rPr>
          <w:szCs w:val="21"/>
        </w:rPr>
      </w:pPr>
      <w:r>
        <w:rPr>
          <w:szCs w:val="21"/>
        </w:rPr>
        <w:t>1.</w:t>
      </w:r>
      <w:r>
        <w:rPr>
          <w:rFonts w:hint="eastAsia"/>
          <w:szCs w:val="21"/>
        </w:rPr>
        <w:t>投标文件以及投标人与采购人就有关投标事宜的所有来往函电，均应以中文汉语书写。除签名、盖章、专用名称等特殊情形外，以中文汉语以外的文字表述的投标文件视同未提供。</w:t>
      </w:r>
    </w:p>
    <w:p w14:paraId="13C98226">
      <w:pPr>
        <w:snapToGrid w:val="0"/>
        <w:spacing w:line="360" w:lineRule="auto"/>
        <w:ind w:firstLine="420" w:firstLineChars="200"/>
        <w:jc w:val="left"/>
        <w:rPr>
          <w:szCs w:val="21"/>
        </w:rPr>
      </w:pPr>
      <w:r>
        <w:rPr>
          <w:szCs w:val="21"/>
        </w:rPr>
        <w:t>2.</w:t>
      </w:r>
      <w:r>
        <w:rPr>
          <w:rFonts w:hint="eastAsia"/>
          <w:szCs w:val="21"/>
        </w:rPr>
        <w:t>投标计量单位，采购文件已有明确规定的，使用采购文件规定的计量单位；采购文件没有规定的，应采用中华人民共和国法定计量单位（货币单位：人民币元），否则视同未响应。</w:t>
      </w:r>
    </w:p>
    <w:p w14:paraId="3492A6A0">
      <w:pPr>
        <w:tabs>
          <w:tab w:val="left" w:pos="0"/>
        </w:tabs>
        <w:spacing w:line="360" w:lineRule="auto"/>
        <w:rPr>
          <w:b/>
          <w:szCs w:val="21"/>
        </w:rPr>
      </w:pPr>
      <w:r>
        <w:rPr>
          <w:rFonts w:hint="eastAsia"/>
          <w:b/>
          <w:szCs w:val="21"/>
        </w:rPr>
        <w:t>（三）响应报价</w:t>
      </w:r>
    </w:p>
    <w:p w14:paraId="790F1227">
      <w:pPr>
        <w:snapToGrid w:val="0"/>
        <w:spacing w:line="360" w:lineRule="auto"/>
        <w:ind w:firstLine="422" w:firstLineChars="200"/>
        <w:rPr>
          <w:b/>
          <w:bCs/>
          <w:szCs w:val="21"/>
        </w:rPr>
      </w:pPr>
      <w:r>
        <w:rPr>
          <w:b/>
          <w:bCs/>
          <w:szCs w:val="21"/>
        </w:rPr>
        <w:t>1.</w:t>
      </w:r>
      <w:r>
        <w:rPr>
          <w:rFonts w:hint="eastAsia"/>
          <w:b/>
          <w:bCs/>
          <w:szCs w:val="21"/>
        </w:rPr>
        <w:t>投标报价应以人民币报价，投标人报价应是包括为完成本项目服务、设备供应可能发生的全部费用及中标人的利润和应交纳的税金等一切费用。</w:t>
      </w:r>
    </w:p>
    <w:p w14:paraId="52384DB0">
      <w:pPr>
        <w:spacing w:line="360" w:lineRule="auto"/>
        <w:ind w:firstLine="420"/>
      </w:pPr>
      <w:r>
        <w:rPr>
          <w:b/>
          <w:bCs/>
          <w:szCs w:val="21"/>
        </w:rPr>
        <w:t>2.</w:t>
      </w:r>
      <w:r>
        <w:rPr>
          <w:rFonts w:hint="eastAsia"/>
          <w:b/>
          <w:bCs/>
          <w:szCs w:val="21"/>
        </w:rPr>
        <w:t>投标文件针对同一内容只允许有一个报价，有选择的或有条件的报价将不予接受。</w:t>
      </w:r>
    </w:p>
    <w:p w14:paraId="55094BF4">
      <w:pPr>
        <w:snapToGrid w:val="0"/>
        <w:spacing w:line="360" w:lineRule="auto"/>
        <w:jc w:val="left"/>
        <w:outlineLvl w:val="0"/>
        <w:rPr>
          <w:b/>
          <w:szCs w:val="21"/>
        </w:rPr>
      </w:pPr>
      <w:r>
        <w:rPr>
          <w:rFonts w:hint="eastAsia"/>
          <w:b/>
          <w:szCs w:val="21"/>
        </w:rPr>
        <w:t>（四）投标文件的有效期</w:t>
      </w:r>
    </w:p>
    <w:p w14:paraId="60B3A282">
      <w:pPr>
        <w:tabs>
          <w:tab w:val="left" w:pos="360"/>
          <w:tab w:val="left" w:pos="454"/>
          <w:tab w:val="left" w:pos="720"/>
          <w:tab w:val="left" w:pos="900"/>
        </w:tabs>
        <w:snapToGrid w:val="0"/>
        <w:spacing w:line="360" w:lineRule="auto"/>
        <w:ind w:right="-506" w:rightChars="-241" w:firstLine="420" w:firstLineChars="200"/>
      </w:pPr>
      <w:r>
        <w:t>1.</w:t>
      </w:r>
      <w:r>
        <w:rPr>
          <w:rFonts w:hint="eastAsia"/>
        </w:rPr>
        <w:t>自投标截止日起</w:t>
      </w:r>
      <w:r>
        <w:rPr>
          <w:b/>
          <w:u w:val="single"/>
        </w:rPr>
        <w:t>90</w:t>
      </w:r>
      <w:r>
        <w:rPr>
          <w:rFonts w:hint="eastAsia"/>
          <w:b/>
        </w:rPr>
        <w:t>天</w:t>
      </w:r>
      <w:r>
        <w:rPr>
          <w:rFonts w:hint="eastAsia"/>
        </w:rPr>
        <w:t>投标文件应保持有效。有效期不足的投标文件将被拒绝。</w:t>
      </w:r>
    </w:p>
    <w:p w14:paraId="666E5161">
      <w:pPr>
        <w:snapToGrid w:val="0"/>
        <w:spacing w:line="360" w:lineRule="auto"/>
        <w:ind w:right="-86" w:rightChars="-41" w:firstLine="420" w:firstLineChars="200"/>
        <w:jc w:val="left"/>
        <w:outlineLvl w:val="0"/>
      </w:pPr>
      <w:r>
        <w:t>2.</w:t>
      </w:r>
      <w:r>
        <w:rPr>
          <w:rFonts w:hint="eastAsia"/>
        </w:rPr>
        <w:t>在特殊情况下，采购人可与投标人协商延长投标书的有效期，这种要求和答复均以书面形式进行。</w:t>
      </w:r>
    </w:p>
    <w:p w14:paraId="3134F59E">
      <w:pPr>
        <w:snapToGrid w:val="0"/>
        <w:spacing w:line="360" w:lineRule="auto"/>
        <w:ind w:right="55" w:firstLine="420" w:firstLineChars="200"/>
        <w:jc w:val="left"/>
        <w:outlineLvl w:val="0"/>
      </w:pPr>
      <w:r>
        <w:t>3.</w:t>
      </w:r>
      <w:r>
        <w:rPr>
          <w:rFonts w:hint="eastAsia"/>
        </w:rPr>
        <w:t>中标人的投标文件自开标之日起至合同履行完毕止均应保持有效。</w:t>
      </w:r>
    </w:p>
    <w:p w14:paraId="57BF8025">
      <w:pPr>
        <w:snapToGrid w:val="0"/>
        <w:spacing w:line="360" w:lineRule="auto"/>
        <w:jc w:val="left"/>
        <w:rPr>
          <w:b/>
          <w:szCs w:val="21"/>
        </w:rPr>
      </w:pPr>
      <w:r>
        <w:rPr>
          <w:rFonts w:hint="eastAsia"/>
          <w:b/>
          <w:szCs w:val="21"/>
        </w:rPr>
        <w:t>（五）投标文件的包装、递交、修改和撤回</w:t>
      </w:r>
    </w:p>
    <w:p w14:paraId="68A3EBCC">
      <w:pPr>
        <w:snapToGrid w:val="0"/>
        <w:spacing w:line="360" w:lineRule="auto"/>
        <w:ind w:right="-86" w:rightChars="-41" w:firstLine="420" w:firstLineChars="200"/>
        <w:jc w:val="left"/>
      </w:pPr>
      <w:r>
        <w:t>1.</w:t>
      </w:r>
      <w:r>
        <w:rPr>
          <w:rFonts w:hint="eastAsia"/>
        </w:rPr>
        <w:t>投标人应当在投标截止时间前完成电子投标文件的传输递交，并可以补充、修改或者撤回电子投标文件。补充或者修改电子投标文件的，应当先行撤回原文件，补充、修改后重新传输递交。投标截止时间前未完成传输的，视为撤回投标文件。投标、响应截止时间后送达的投标、响应文件，将被政采云平台拒收。</w:t>
      </w:r>
    </w:p>
    <w:p w14:paraId="7399E193">
      <w:pPr>
        <w:snapToGrid w:val="0"/>
        <w:spacing w:line="360" w:lineRule="auto"/>
        <w:ind w:right="-86" w:rightChars="-41" w:firstLine="420" w:firstLineChars="200"/>
        <w:jc w:val="left"/>
      </w:pPr>
      <w:r>
        <w:t>2.</w:t>
      </w:r>
      <w:r>
        <w:rPr>
          <w:rFonts w:hint="eastAsia"/>
        </w:rPr>
        <w:t>投标人应当在投标截止时间前将以介质存储的数据电文形式的备份投标文件</w:t>
      </w:r>
      <w:r>
        <w:rPr>
          <w:rFonts w:hint="eastAsia"/>
          <w:szCs w:val="21"/>
        </w:rPr>
        <w:t>寄到或送达采购代理公司。地址：舟山市定海区昌国路</w:t>
      </w:r>
      <w:r>
        <w:rPr>
          <w:szCs w:val="21"/>
        </w:rPr>
        <w:t>232</w:t>
      </w:r>
      <w:r>
        <w:rPr>
          <w:rFonts w:hint="eastAsia"/>
          <w:szCs w:val="21"/>
        </w:rPr>
        <w:t>号中楼</w:t>
      </w:r>
      <w:r>
        <w:rPr>
          <w:szCs w:val="21"/>
        </w:rPr>
        <w:t>202</w:t>
      </w:r>
      <w:r>
        <w:rPr>
          <w:rFonts w:hint="eastAsia"/>
          <w:szCs w:val="21"/>
        </w:rPr>
        <w:t>深圳市国信招标有限公司舟山分公司。也可现场递交。</w:t>
      </w:r>
      <w:r>
        <w:rPr>
          <w:rFonts w:hint="eastAsia"/>
        </w:rPr>
        <w:t>逾期送达或未密封将被拒收。</w:t>
      </w:r>
    </w:p>
    <w:p w14:paraId="716FB6E4">
      <w:pPr>
        <w:snapToGrid w:val="0"/>
        <w:spacing w:line="360" w:lineRule="auto"/>
        <w:ind w:right="-86" w:rightChars="-41" w:firstLine="422" w:firstLineChars="200"/>
        <w:jc w:val="left"/>
      </w:pPr>
      <w:r>
        <w:rPr>
          <w:rFonts w:hint="eastAsia"/>
          <w:b/>
          <w:szCs w:val="21"/>
        </w:rPr>
        <w:t>投标人可以不提供备份投标文件，造成项目开评标活动无法进行下去的，投标无效，相关风险由投标人自行承担</w:t>
      </w:r>
    </w:p>
    <w:p w14:paraId="65C837A5">
      <w:pPr>
        <w:snapToGrid w:val="0"/>
        <w:spacing w:line="360" w:lineRule="auto"/>
        <w:ind w:right="-86" w:rightChars="-41" w:firstLine="420" w:firstLineChars="200"/>
        <w:jc w:val="left"/>
      </w:pPr>
      <w:r>
        <w:rPr>
          <w:rFonts w:hint="eastAsia"/>
        </w:rPr>
        <w:t>投标人递交以介质存储的数据电文形式的备份投标文件时，如出现下列情况之一的，将被拒收：</w:t>
      </w:r>
    </w:p>
    <w:p w14:paraId="4D0BA7A8">
      <w:pPr>
        <w:snapToGrid w:val="0"/>
        <w:spacing w:line="360" w:lineRule="auto"/>
        <w:ind w:right="-86" w:rightChars="-41" w:firstLine="420" w:firstLineChars="200"/>
        <w:jc w:val="left"/>
      </w:pPr>
      <w:r>
        <w:rPr>
          <w:rFonts w:hint="eastAsia"/>
        </w:rPr>
        <w:t>（</w:t>
      </w:r>
      <w:r>
        <w:t>1</w:t>
      </w:r>
      <w:r>
        <w:rPr>
          <w:rFonts w:hint="eastAsia"/>
        </w:rPr>
        <w:t>）未按规定密封或标记的投标文件；</w:t>
      </w:r>
    </w:p>
    <w:p w14:paraId="532BB564">
      <w:pPr>
        <w:snapToGrid w:val="0"/>
        <w:spacing w:line="360" w:lineRule="auto"/>
        <w:ind w:right="-86" w:rightChars="-41" w:firstLine="420" w:firstLineChars="200"/>
        <w:jc w:val="left"/>
      </w:pPr>
      <w:r>
        <w:rPr>
          <w:rFonts w:hint="eastAsia"/>
        </w:rPr>
        <w:t>（</w:t>
      </w:r>
      <w:r>
        <w:t>2</w:t>
      </w:r>
      <w:r>
        <w:rPr>
          <w:rFonts w:hint="eastAsia"/>
        </w:rPr>
        <w:t>）由于包装不妥，在送交途中严重破损或失散的；</w:t>
      </w:r>
    </w:p>
    <w:p w14:paraId="4EDAA39B">
      <w:pPr>
        <w:snapToGrid w:val="0"/>
        <w:spacing w:line="360" w:lineRule="auto"/>
        <w:ind w:right="-86" w:rightChars="-41" w:firstLine="420" w:firstLineChars="200"/>
        <w:jc w:val="left"/>
      </w:pPr>
      <w:r>
        <w:rPr>
          <w:rFonts w:hint="eastAsia"/>
        </w:rPr>
        <w:t>（</w:t>
      </w:r>
      <w:r>
        <w:t>3</w:t>
      </w:r>
      <w:r>
        <w:rPr>
          <w:rFonts w:hint="eastAsia"/>
        </w:rPr>
        <w:t>）未成功办理投标人报名手续的；</w:t>
      </w:r>
    </w:p>
    <w:p w14:paraId="34C348D3">
      <w:pPr>
        <w:snapToGrid w:val="0"/>
        <w:spacing w:line="360" w:lineRule="auto"/>
        <w:ind w:right="-86" w:rightChars="-41" w:firstLine="420" w:firstLineChars="200"/>
        <w:jc w:val="left"/>
      </w:pPr>
      <w:r>
        <w:rPr>
          <w:rFonts w:hint="eastAsia"/>
        </w:rPr>
        <w:t>（</w:t>
      </w:r>
      <w:r>
        <w:t>4</w:t>
      </w:r>
      <w:r>
        <w:rPr>
          <w:rFonts w:hint="eastAsia"/>
        </w:rPr>
        <w:t>）超过投标截止时间送达的；</w:t>
      </w:r>
    </w:p>
    <w:p w14:paraId="42CDA67C">
      <w:pPr>
        <w:snapToGrid w:val="0"/>
        <w:spacing w:line="360" w:lineRule="auto"/>
        <w:ind w:right="-86" w:rightChars="-41" w:firstLine="420" w:firstLineChars="200"/>
        <w:jc w:val="left"/>
      </w:pPr>
      <w:r>
        <w:rPr>
          <w:rFonts w:hint="eastAsia"/>
        </w:rPr>
        <w:t>仅提供备份投标文件的，投标无效。</w:t>
      </w:r>
    </w:p>
    <w:p w14:paraId="6678C919">
      <w:pPr>
        <w:snapToGrid w:val="0"/>
        <w:spacing w:line="360" w:lineRule="auto"/>
        <w:ind w:right="-86" w:rightChars="-41" w:firstLine="420" w:firstLineChars="200"/>
        <w:jc w:val="left"/>
      </w:pPr>
      <w:r>
        <w:t>3.</w:t>
      </w:r>
      <w:r>
        <w:rPr>
          <w:rFonts w:hint="eastAsia"/>
        </w:rPr>
        <w:t>投标、响应文件未按时解密，供应商提供了备份投标、响应文件的，以备份投标、响应文件作为依据，否则视为投标、响应文件撤回。投标、响应文件已按时解密的，备份投标、响应文件自动失效。</w:t>
      </w:r>
    </w:p>
    <w:p w14:paraId="42C7AD0F">
      <w:pPr>
        <w:snapToGrid w:val="0"/>
        <w:spacing w:line="360" w:lineRule="auto"/>
        <w:ind w:right="-86" w:rightChars="-41" w:firstLine="420" w:firstLineChars="200"/>
        <w:jc w:val="left"/>
      </w:pPr>
      <w:r>
        <w:t>4.</w:t>
      </w:r>
      <w:r>
        <w:rPr>
          <w:rFonts w:hint="eastAsia"/>
        </w:rPr>
        <w:t>备份投标文件须密封封装。包装封面上应注明投标人名称，封口处加盖投标人公章。</w:t>
      </w:r>
    </w:p>
    <w:p w14:paraId="0146DE49">
      <w:pPr>
        <w:spacing w:line="360" w:lineRule="auto"/>
      </w:pPr>
      <w:r>
        <w:rPr>
          <w:rFonts w:hint="eastAsia"/>
          <w:b/>
          <w:szCs w:val="21"/>
        </w:rPr>
        <w:t>（六）投标无效的情形</w:t>
      </w:r>
    </w:p>
    <w:p w14:paraId="16CA5516">
      <w:pPr>
        <w:snapToGrid w:val="0"/>
        <w:spacing w:before="120" w:beforeLines="50" w:after="120" w:afterLines="50" w:line="360" w:lineRule="auto"/>
        <w:ind w:right="-86" w:rightChars="-41" w:firstLine="415" w:firstLineChars="198"/>
        <w:rPr>
          <w:szCs w:val="21"/>
        </w:rPr>
      </w:pPr>
      <w:r>
        <w:rPr>
          <w:rFonts w:hint="eastAsia"/>
          <w:szCs w:val="21"/>
        </w:rPr>
        <w:t>实质上没有响应采购文件要求的投标将被视为无效投标。投标人不得通过修正或撤销不合要求的偏离或保留从而使其投标成为实质上响应的投标。经评标委员会认定属于投标人疏忽、笔误所造成的差错，应当允许其在评标结束之前进行修改或者补正（评审小组和投标人通过电子交易平台交换数据电文）。修改或者补正投标文件必须以书面形式进行，并应在中标结果公告之前查核原件。限期内不补正或经补正后仍不符合采购文件要求的，应认定其投标无效。投标人修改、补正投标文件后，不影响评标委员会对其投标文件所作的评价和评分结果。</w:t>
      </w:r>
    </w:p>
    <w:p w14:paraId="6B2EFA2B">
      <w:pPr>
        <w:snapToGrid w:val="0"/>
        <w:spacing w:before="120" w:beforeLines="50" w:after="120" w:afterLines="50" w:line="360" w:lineRule="auto"/>
        <w:ind w:firstLine="417" w:firstLineChars="198"/>
        <w:rPr>
          <w:szCs w:val="21"/>
        </w:rPr>
      </w:pPr>
      <w:r>
        <w:rPr>
          <w:b/>
          <w:bCs/>
          <w:szCs w:val="21"/>
        </w:rPr>
        <w:t>1.</w:t>
      </w:r>
      <w:r>
        <w:rPr>
          <w:rFonts w:hint="eastAsia"/>
          <w:b/>
          <w:bCs/>
          <w:szCs w:val="21"/>
        </w:rPr>
        <w:t>在符合性审查和商务评审时，如发现下列情形之一的，投标文件将被视为无效投标：</w:t>
      </w:r>
    </w:p>
    <w:p w14:paraId="04402C6A">
      <w:pPr>
        <w:snapToGrid w:val="0"/>
        <w:spacing w:before="120" w:beforeLines="50" w:after="120" w:afterLines="50" w:line="360" w:lineRule="auto"/>
        <w:ind w:firstLine="415" w:firstLineChars="198"/>
        <w:rPr>
          <w:bCs/>
          <w:szCs w:val="21"/>
        </w:rPr>
      </w:pPr>
      <w:r>
        <w:rPr>
          <w:bCs/>
          <w:szCs w:val="21"/>
        </w:rPr>
        <w:t>1.1</w:t>
      </w:r>
      <w:r>
        <w:rPr>
          <w:rFonts w:hint="eastAsia"/>
          <w:szCs w:val="21"/>
        </w:rPr>
        <w:t>资格证明文件不全的，或者不符合采购文件标明的资格要求的</w:t>
      </w:r>
      <w:r>
        <w:rPr>
          <w:rFonts w:hint="eastAsia"/>
          <w:bCs/>
          <w:szCs w:val="21"/>
        </w:rPr>
        <w:t>；</w:t>
      </w:r>
    </w:p>
    <w:p w14:paraId="2CF47FDA">
      <w:pPr>
        <w:snapToGrid w:val="0"/>
        <w:spacing w:before="120" w:beforeLines="50" w:line="360" w:lineRule="auto"/>
        <w:ind w:firstLine="415" w:firstLineChars="198"/>
        <w:rPr>
          <w:bCs/>
          <w:szCs w:val="21"/>
        </w:rPr>
      </w:pPr>
      <w:r>
        <w:rPr>
          <w:bCs/>
          <w:szCs w:val="21"/>
        </w:rPr>
        <w:t>1.</w:t>
      </w:r>
      <w:r>
        <w:rPr>
          <w:szCs w:val="21"/>
        </w:rPr>
        <w:t>2</w:t>
      </w:r>
      <w:r>
        <w:rPr>
          <w:rFonts w:hint="eastAsia"/>
          <w:szCs w:val="21"/>
        </w:rPr>
        <w:t>投标文件组成不全的；</w:t>
      </w:r>
    </w:p>
    <w:p w14:paraId="3AD9A184">
      <w:pPr>
        <w:snapToGrid w:val="0"/>
        <w:spacing w:before="120" w:beforeLines="50" w:after="120" w:afterLines="50" w:line="336" w:lineRule="auto"/>
        <w:ind w:firstLine="415" w:firstLineChars="198"/>
        <w:rPr>
          <w:bCs/>
          <w:szCs w:val="21"/>
        </w:rPr>
      </w:pPr>
      <w:r>
        <w:rPr>
          <w:bCs/>
          <w:szCs w:val="21"/>
        </w:rPr>
        <w:t>1.3</w:t>
      </w:r>
      <w:r>
        <w:rPr>
          <w:rFonts w:hint="eastAsia"/>
          <w:bCs/>
          <w:szCs w:val="21"/>
        </w:rPr>
        <w:t>投标文件的实质性内容未使用中文表述、意思表述不明确、前后矛盾或者使用计量单位不符合采购文件要求的；（</w:t>
      </w:r>
      <w:r>
        <w:rPr>
          <w:rFonts w:hint="eastAsia"/>
          <w:szCs w:val="21"/>
        </w:rPr>
        <w:t>经评审小组认定允许其在线更正的笔误除外</w:t>
      </w:r>
      <w:r>
        <w:rPr>
          <w:rFonts w:hint="eastAsia"/>
          <w:bCs/>
          <w:szCs w:val="21"/>
        </w:rPr>
        <w:t>）</w:t>
      </w:r>
    </w:p>
    <w:p w14:paraId="4A161E31">
      <w:pPr>
        <w:snapToGrid w:val="0"/>
        <w:spacing w:before="120" w:beforeLines="50" w:after="120" w:afterLines="50" w:line="336" w:lineRule="auto"/>
        <w:ind w:firstLine="415" w:firstLineChars="198"/>
        <w:rPr>
          <w:bCs/>
          <w:szCs w:val="21"/>
        </w:rPr>
      </w:pPr>
      <w:r>
        <w:rPr>
          <w:bCs/>
          <w:szCs w:val="21"/>
        </w:rPr>
        <w:t>1.4</w:t>
      </w:r>
      <w:r>
        <w:rPr>
          <w:rFonts w:hint="eastAsia"/>
          <w:bCs/>
          <w:szCs w:val="21"/>
        </w:rPr>
        <w:t>投标文件的关键内容字迹模糊、无法辨认的，或者投标文件中经修正的内容字迹模糊难以辩认或者修改处未按规定签名盖章的；</w:t>
      </w:r>
    </w:p>
    <w:p w14:paraId="4D912474">
      <w:pPr>
        <w:snapToGrid w:val="0"/>
        <w:spacing w:before="120" w:beforeLines="50" w:after="120" w:afterLines="50" w:line="336" w:lineRule="auto"/>
        <w:ind w:firstLine="415" w:firstLineChars="198"/>
        <w:rPr>
          <w:bCs/>
          <w:szCs w:val="21"/>
        </w:rPr>
      </w:pPr>
      <w:r>
        <w:rPr>
          <w:bCs/>
          <w:szCs w:val="21"/>
        </w:rPr>
        <w:t>1.5</w:t>
      </w:r>
      <w:r>
        <w:rPr>
          <w:rFonts w:hint="eastAsia"/>
          <w:bCs/>
          <w:szCs w:val="21"/>
        </w:rPr>
        <w:t>投标有效期、交货时间、质保期等商务条款不能满足采购文件要求的；</w:t>
      </w:r>
    </w:p>
    <w:p w14:paraId="54304A22">
      <w:pPr>
        <w:snapToGrid w:val="0"/>
        <w:spacing w:before="120" w:beforeLines="50" w:after="120" w:afterLines="50" w:line="336" w:lineRule="auto"/>
        <w:ind w:firstLine="415" w:firstLineChars="198"/>
        <w:rPr>
          <w:bCs/>
          <w:szCs w:val="21"/>
        </w:rPr>
      </w:pPr>
      <w:r>
        <w:rPr>
          <w:bCs/>
          <w:szCs w:val="21"/>
        </w:rPr>
        <w:t>1.6</w:t>
      </w:r>
      <w:r>
        <w:rPr>
          <w:rFonts w:hint="eastAsia"/>
          <w:bCs/>
          <w:szCs w:val="21"/>
        </w:rPr>
        <w:t>未响应采购文件实质性要求或者投标文件有采购人不能接受的附加条件的；</w:t>
      </w:r>
    </w:p>
    <w:p w14:paraId="5B98EBF1">
      <w:pPr>
        <w:snapToGrid w:val="0"/>
        <w:spacing w:line="360" w:lineRule="auto"/>
        <w:ind w:right="-86" w:rightChars="-41" w:firstLine="438" w:firstLineChars="209"/>
        <w:rPr>
          <w:bCs/>
          <w:szCs w:val="21"/>
        </w:rPr>
      </w:pPr>
      <w:r>
        <w:rPr>
          <w:bCs/>
          <w:szCs w:val="21"/>
        </w:rPr>
        <w:t>1.7</w:t>
      </w:r>
      <w:r>
        <w:rPr>
          <w:rFonts w:hint="eastAsia"/>
          <w:bCs/>
          <w:szCs w:val="21"/>
        </w:rPr>
        <w:t>投标文件没有按采购文件要求响应有标</w:t>
      </w:r>
      <w:r>
        <w:rPr>
          <w:bCs/>
          <w:szCs w:val="21"/>
        </w:rPr>
        <w:t>“</w:t>
      </w:r>
      <w:r>
        <w:rPr>
          <w:rFonts w:hint="eastAsia"/>
          <w:bCs/>
          <w:szCs w:val="21"/>
        </w:rPr>
        <w:t>★</w:t>
      </w:r>
      <w:r>
        <w:rPr>
          <w:bCs/>
          <w:szCs w:val="21"/>
        </w:rPr>
        <w:t>”</w:t>
      </w:r>
      <w:r>
        <w:rPr>
          <w:rFonts w:hint="eastAsia"/>
          <w:bCs/>
          <w:szCs w:val="21"/>
        </w:rPr>
        <w:t>的条款的资料和材料的；</w:t>
      </w:r>
    </w:p>
    <w:p w14:paraId="14A0647B">
      <w:pPr>
        <w:snapToGrid w:val="0"/>
        <w:spacing w:line="360" w:lineRule="auto"/>
        <w:ind w:right="-86" w:rightChars="-41" w:firstLine="441" w:firstLineChars="209"/>
        <w:rPr>
          <w:rFonts w:hint="eastAsia" w:ascii="宋体" w:hAnsi="宋体"/>
          <w:b/>
          <w:szCs w:val="20"/>
        </w:rPr>
      </w:pPr>
      <w:r>
        <w:rPr>
          <w:rFonts w:hint="eastAsia"/>
          <w:b/>
          <w:szCs w:val="21"/>
        </w:rPr>
        <w:t>1.8</w:t>
      </w:r>
      <w:r>
        <w:rPr>
          <w:rFonts w:hint="eastAsia" w:ascii="宋体" w:hAnsi="宋体"/>
          <w:b/>
          <w:szCs w:val="20"/>
        </w:rPr>
        <w:t>在不影响公平竞争的前提下，采购文件中参与同一标段（包）的供应商存在以下情形的，其投标文件相应无效：MAC地址相同、计算机硬盘序列号相同、采购文件细节错误一致且无合理解释的等情形。</w:t>
      </w:r>
    </w:p>
    <w:p w14:paraId="683B73AF">
      <w:pPr>
        <w:spacing w:line="336" w:lineRule="auto"/>
        <w:ind w:firstLine="420"/>
        <w:rPr>
          <w:szCs w:val="21"/>
        </w:rPr>
      </w:pPr>
      <w:r>
        <w:rPr>
          <w:b/>
          <w:bCs/>
        </w:rPr>
        <w:t>2.</w:t>
      </w:r>
      <w:r>
        <w:rPr>
          <w:rFonts w:hint="eastAsia"/>
          <w:b/>
          <w:bCs/>
        </w:rPr>
        <w:t>在技术评审时，如发现下列情形之一的，投标文件将被视为无效响应：</w:t>
      </w:r>
    </w:p>
    <w:p w14:paraId="4BD1F8D5">
      <w:pPr>
        <w:spacing w:line="336" w:lineRule="auto"/>
        <w:ind w:firstLine="420"/>
        <w:rPr>
          <w:szCs w:val="21"/>
        </w:rPr>
      </w:pPr>
      <w:r>
        <w:rPr>
          <w:szCs w:val="21"/>
        </w:rPr>
        <w:t>2.1</w:t>
      </w:r>
      <w:r>
        <w:rPr>
          <w:rFonts w:hint="eastAsia"/>
          <w:szCs w:val="21"/>
        </w:rPr>
        <w:t>投标文件标明的响应或偏离与事实不符或虚假投标的；</w:t>
      </w:r>
    </w:p>
    <w:p w14:paraId="5143F1AC">
      <w:pPr>
        <w:spacing w:line="336" w:lineRule="auto"/>
        <w:ind w:firstLine="420" w:firstLineChars="200"/>
        <w:rPr>
          <w:szCs w:val="21"/>
        </w:rPr>
      </w:pPr>
      <w:r>
        <w:rPr>
          <w:bCs/>
          <w:szCs w:val="21"/>
        </w:rPr>
        <w:t>2.2</w:t>
      </w:r>
      <w:r>
        <w:rPr>
          <w:rFonts w:hint="eastAsia"/>
          <w:bCs/>
          <w:szCs w:val="21"/>
        </w:rPr>
        <w:t>明显不符合采购文件标明的质量标准，或者采购文件中标</w:t>
      </w:r>
      <w:r>
        <w:rPr>
          <w:bCs/>
          <w:szCs w:val="21"/>
        </w:rPr>
        <w:t>“</w:t>
      </w:r>
      <w:r>
        <w:rPr>
          <w:rFonts w:hint="eastAsia"/>
          <w:b/>
        </w:rPr>
        <w:t>★</w:t>
      </w:r>
      <w:r>
        <w:rPr>
          <w:bCs/>
          <w:szCs w:val="21"/>
        </w:rPr>
        <w:t>”</w:t>
      </w:r>
      <w:r>
        <w:rPr>
          <w:rFonts w:hint="eastAsia"/>
          <w:bCs/>
          <w:szCs w:val="21"/>
        </w:rPr>
        <w:t>的技术参数、条款（如有）发生实质性偏离的；</w:t>
      </w:r>
    </w:p>
    <w:p w14:paraId="369B3BB6">
      <w:pPr>
        <w:spacing w:line="336" w:lineRule="auto"/>
        <w:ind w:firstLine="420"/>
      </w:pPr>
      <w:r>
        <w:rPr>
          <w:szCs w:val="21"/>
        </w:rPr>
        <w:t>2.3</w:t>
      </w:r>
      <w:r>
        <w:rPr>
          <w:rFonts w:hint="eastAsia"/>
          <w:szCs w:val="21"/>
        </w:rPr>
        <w:t>投标技术方案不明确，存在一个或一个以上备选（替代）投标方案的；</w:t>
      </w:r>
    </w:p>
    <w:p w14:paraId="7C4E81FE">
      <w:pPr>
        <w:spacing w:line="336" w:lineRule="auto"/>
        <w:ind w:firstLine="420"/>
        <w:rPr>
          <w:szCs w:val="21"/>
        </w:rPr>
      </w:pPr>
      <w:r>
        <w:rPr>
          <w:b/>
          <w:bCs/>
        </w:rPr>
        <w:t>3.</w:t>
      </w:r>
      <w:r>
        <w:rPr>
          <w:rFonts w:hint="eastAsia"/>
          <w:b/>
          <w:szCs w:val="21"/>
        </w:rPr>
        <w:t>在投标报价文件评审时</w:t>
      </w:r>
      <w:r>
        <w:rPr>
          <w:rFonts w:hint="eastAsia"/>
          <w:b/>
          <w:bCs/>
        </w:rPr>
        <w:t>，如发现下列情形之一的，投标文件将被视为无效响应：</w:t>
      </w:r>
    </w:p>
    <w:p w14:paraId="6ADDD50C">
      <w:pPr>
        <w:snapToGrid w:val="0"/>
        <w:spacing w:line="336" w:lineRule="auto"/>
        <w:ind w:right="-86" w:rightChars="-41" w:firstLine="438" w:firstLineChars="209"/>
        <w:rPr>
          <w:szCs w:val="20"/>
        </w:rPr>
      </w:pPr>
      <w:r>
        <w:rPr>
          <w:szCs w:val="20"/>
        </w:rPr>
        <w:t>3.1</w:t>
      </w:r>
      <w:r>
        <w:rPr>
          <w:rFonts w:hint="eastAsia"/>
          <w:szCs w:val="20"/>
        </w:rPr>
        <w:t>未采用人民币报价或者未按照采购文件标明的币种报价的；</w:t>
      </w:r>
    </w:p>
    <w:p w14:paraId="5B431D3A">
      <w:pPr>
        <w:snapToGrid w:val="0"/>
        <w:spacing w:line="336" w:lineRule="auto"/>
        <w:ind w:right="-86" w:rightChars="-41" w:firstLine="438" w:firstLineChars="209"/>
        <w:rPr>
          <w:szCs w:val="20"/>
        </w:rPr>
      </w:pPr>
      <w:r>
        <w:rPr>
          <w:szCs w:val="20"/>
        </w:rPr>
        <w:t>3.2</w:t>
      </w:r>
      <w:r>
        <w:rPr>
          <w:rFonts w:hint="eastAsia"/>
          <w:szCs w:val="20"/>
        </w:rPr>
        <w:t>报价超出最高限价，或者超出采购预算金额，采购人不能支付的；</w:t>
      </w:r>
    </w:p>
    <w:p w14:paraId="38C51B41">
      <w:pPr>
        <w:snapToGrid w:val="0"/>
        <w:spacing w:line="336" w:lineRule="auto"/>
        <w:ind w:right="-86" w:rightChars="-41" w:firstLine="438" w:firstLineChars="209"/>
        <w:rPr>
          <w:szCs w:val="20"/>
        </w:rPr>
      </w:pPr>
      <w:r>
        <w:rPr>
          <w:szCs w:val="20"/>
        </w:rPr>
        <w:t>3.3</w:t>
      </w:r>
      <w:r>
        <w:rPr>
          <w:rFonts w:hint="eastAsia"/>
          <w:szCs w:val="20"/>
        </w:rPr>
        <w:t>评标委员会认为投标人的报价明显低于其他通过符合性审查投标人的报价，有可能影响产品质量或者不能诚信履约的，应当要求其在合理的时间内提供书面说明，必要时提交相关证明材料；投标人不能证明其报价合理性的，评标委员会应当将其作为无效投标处理。</w:t>
      </w:r>
    </w:p>
    <w:p w14:paraId="7CB356A4">
      <w:pPr>
        <w:snapToGrid w:val="0"/>
        <w:spacing w:line="336" w:lineRule="auto"/>
        <w:ind w:right="-86" w:rightChars="-41" w:firstLine="438" w:firstLineChars="209"/>
        <w:rPr>
          <w:szCs w:val="20"/>
        </w:rPr>
      </w:pPr>
      <w:r>
        <w:rPr>
          <w:szCs w:val="20"/>
        </w:rPr>
        <w:t>3.4</w:t>
      </w:r>
      <w:r>
        <w:rPr>
          <w:rFonts w:hint="eastAsia"/>
          <w:szCs w:val="20"/>
        </w:rPr>
        <w:t>投标报价具有选择性，或者开标价格与投标文件承诺的优惠（折扣）价格不一致的；</w:t>
      </w:r>
    </w:p>
    <w:p w14:paraId="070FBD1B">
      <w:pPr>
        <w:snapToGrid w:val="0"/>
        <w:spacing w:line="360" w:lineRule="auto"/>
        <w:ind w:right="-86" w:rightChars="-41" w:firstLine="438" w:firstLineChars="209"/>
        <w:rPr>
          <w:rFonts w:hint="eastAsia" w:ascii="宋体" w:hAnsi="宋体"/>
          <w:szCs w:val="20"/>
        </w:rPr>
      </w:pPr>
      <w:r>
        <w:rPr>
          <w:rFonts w:hint="eastAsia" w:ascii="宋体" w:hAnsi="宋体"/>
          <w:szCs w:val="20"/>
        </w:rPr>
        <w:t>4.法律、法规和采购文件规定的其他无效情形。</w:t>
      </w:r>
    </w:p>
    <w:p w14:paraId="01D65B1A">
      <w:pPr>
        <w:snapToGrid w:val="0"/>
        <w:spacing w:line="336" w:lineRule="auto"/>
        <w:ind w:right="-86" w:rightChars="-41"/>
        <w:rPr>
          <w:szCs w:val="20"/>
        </w:rPr>
      </w:pPr>
      <w:r>
        <w:rPr>
          <w:rFonts w:hint="eastAsia"/>
          <w:b/>
          <w:szCs w:val="21"/>
        </w:rPr>
        <w:t>（七）</w:t>
      </w:r>
      <w:r>
        <w:rPr>
          <w:rFonts w:hint="eastAsia"/>
          <w:b/>
          <w:szCs w:val="20"/>
        </w:rPr>
        <w:t>出现以下情形，导致电子交易平台无法正常运行，或者无法保证电子交易的公平、公正和安全时，中止电子交易活动：</w:t>
      </w:r>
    </w:p>
    <w:p w14:paraId="1771A0F5">
      <w:pPr>
        <w:snapToGrid w:val="0"/>
        <w:spacing w:line="336" w:lineRule="auto"/>
        <w:ind w:right="-86" w:rightChars="-41" w:firstLine="438" w:firstLineChars="209"/>
        <w:rPr>
          <w:szCs w:val="20"/>
        </w:rPr>
      </w:pPr>
      <w:r>
        <w:rPr>
          <w:rFonts w:hint="eastAsia"/>
          <w:szCs w:val="20"/>
        </w:rPr>
        <w:t>（一）电子交易平台发生故障而无法登录访问的；</w:t>
      </w:r>
    </w:p>
    <w:p w14:paraId="7D38866F">
      <w:pPr>
        <w:snapToGrid w:val="0"/>
        <w:spacing w:line="336" w:lineRule="auto"/>
        <w:ind w:right="-86" w:rightChars="-41" w:firstLine="438" w:firstLineChars="209"/>
        <w:rPr>
          <w:szCs w:val="20"/>
        </w:rPr>
      </w:pPr>
      <w:r>
        <w:rPr>
          <w:rFonts w:hint="eastAsia"/>
          <w:szCs w:val="20"/>
        </w:rPr>
        <w:t>（二）电子交易平台应用或数据库出现错误，不能进行正常操作的；</w:t>
      </w:r>
    </w:p>
    <w:p w14:paraId="7C8A4057">
      <w:pPr>
        <w:snapToGrid w:val="0"/>
        <w:spacing w:line="336" w:lineRule="auto"/>
        <w:ind w:right="-86" w:rightChars="-41" w:firstLine="438" w:firstLineChars="209"/>
        <w:rPr>
          <w:szCs w:val="20"/>
        </w:rPr>
      </w:pPr>
      <w:r>
        <w:rPr>
          <w:rFonts w:hint="eastAsia"/>
          <w:szCs w:val="20"/>
        </w:rPr>
        <w:t>（三）电子交易平台发现严重安全漏洞，有潜在泄密危险的；</w:t>
      </w:r>
    </w:p>
    <w:p w14:paraId="5ED338B9">
      <w:pPr>
        <w:snapToGrid w:val="0"/>
        <w:spacing w:line="336" w:lineRule="auto"/>
        <w:ind w:right="-86" w:rightChars="-41" w:firstLine="438" w:firstLineChars="209"/>
        <w:rPr>
          <w:szCs w:val="20"/>
        </w:rPr>
      </w:pPr>
      <w:r>
        <w:rPr>
          <w:rFonts w:hint="eastAsia"/>
          <w:szCs w:val="20"/>
        </w:rPr>
        <w:t>（四）病毒发作导致不能进行正常操作的；</w:t>
      </w:r>
    </w:p>
    <w:p w14:paraId="6833F96E">
      <w:pPr>
        <w:snapToGrid w:val="0"/>
        <w:spacing w:line="336" w:lineRule="auto"/>
        <w:ind w:right="-86" w:rightChars="-41" w:firstLine="438" w:firstLineChars="209"/>
        <w:rPr>
          <w:szCs w:val="20"/>
        </w:rPr>
      </w:pPr>
      <w:r>
        <w:rPr>
          <w:rFonts w:hint="eastAsia"/>
          <w:szCs w:val="20"/>
        </w:rPr>
        <w:t>（五）其他无法保证电子交易的公平、公正和安全的情况。</w:t>
      </w:r>
    </w:p>
    <w:p w14:paraId="2CF4E434">
      <w:pPr>
        <w:snapToGrid w:val="0"/>
        <w:spacing w:line="336" w:lineRule="auto"/>
        <w:ind w:right="-86" w:rightChars="-41" w:firstLine="438" w:firstLineChars="209"/>
        <w:rPr>
          <w:szCs w:val="20"/>
        </w:rPr>
      </w:pPr>
      <w:r>
        <w:rPr>
          <w:rFonts w:hint="eastAsia"/>
          <w:szCs w:val="20"/>
        </w:rPr>
        <w:t>出现前款规定情形，不影响采购公平、公正性的，代理机构可以待上述情形消除后继续组织电子交易活动，也可以决定某些环节以纸质形式进行；影响或可能影响采购公平、公正性的，重新采购。</w:t>
      </w:r>
    </w:p>
    <w:p w14:paraId="49E3604E">
      <w:pPr>
        <w:widowControl/>
        <w:snapToGrid w:val="0"/>
        <w:spacing w:line="336" w:lineRule="auto"/>
        <w:ind w:right="55"/>
        <w:rPr>
          <w:b/>
          <w:bCs/>
          <w:spacing w:val="-4"/>
          <w:kern w:val="0"/>
          <w:szCs w:val="21"/>
        </w:rPr>
      </w:pPr>
      <w:r>
        <w:rPr>
          <w:rFonts w:hint="eastAsia"/>
          <w:b/>
          <w:bCs/>
          <w:spacing w:val="-4"/>
          <w:kern w:val="0"/>
          <w:szCs w:val="21"/>
        </w:rPr>
        <w:t>（八）报名不足三家的处理方式</w:t>
      </w:r>
    </w:p>
    <w:p w14:paraId="32F259C4">
      <w:pPr>
        <w:widowControl/>
        <w:snapToGrid w:val="0"/>
        <w:spacing w:line="336" w:lineRule="auto"/>
        <w:ind w:right="55" w:firstLine="470"/>
        <w:rPr>
          <w:bCs/>
          <w:spacing w:val="-4"/>
          <w:kern w:val="0"/>
          <w:szCs w:val="21"/>
        </w:rPr>
      </w:pPr>
      <w:r>
        <w:rPr>
          <w:rFonts w:hint="eastAsia"/>
          <w:bCs/>
          <w:spacing w:val="-4"/>
          <w:kern w:val="0"/>
          <w:szCs w:val="21"/>
        </w:rPr>
        <w:t>报名时间截止后，在开标时间前获取招标文件的潜在投标人不足三家的，采购代理机构可以顺延提供期限，并予公告。</w:t>
      </w:r>
    </w:p>
    <w:p w14:paraId="166A8E58">
      <w:pPr>
        <w:widowControl/>
        <w:snapToGrid w:val="0"/>
        <w:spacing w:line="336" w:lineRule="auto"/>
        <w:ind w:right="55"/>
        <w:jc w:val="left"/>
        <w:rPr>
          <w:rFonts w:ascii="宋体" w:hAnsi="Calibri"/>
          <w:b/>
          <w:bCs/>
          <w:kern w:val="0"/>
          <w:sz w:val="28"/>
          <w:szCs w:val="28"/>
        </w:rPr>
      </w:pPr>
      <w:r>
        <w:rPr>
          <w:rFonts w:hint="eastAsia"/>
          <w:b/>
          <w:spacing w:val="-4"/>
          <w:kern w:val="0"/>
          <w:szCs w:val="21"/>
        </w:rPr>
        <w:t>（九）被拒绝的投标文件为无效。</w:t>
      </w:r>
    </w:p>
    <w:p w14:paraId="10E38D27">
      <w:pPr>
        <w:spacing w:after="120"/>
        <w:jc w:val="center"/>
        <w:rPr>
          <w:rFonts w:ascii="宋体" w:hAnsi="Calibri"/>
          <w:b/>
          <w:bCs/>
          <w:kern w:val="0"/>
          <w:sz w:val="28"/>
          <w:szCs w:val="28"/>
        </w:rPr>
      </w:pPr>
      <w:r>
        <w:rPr>
          <w:rFonts w:hint="eastAsia" w:ascii="宋体" w:hAnsi="Calibri"/>
          <w:b/>
          <w:bCs/>
          <w:kern w:val="0"/>
          <w:sz w:val="28"/>
          <w:szCs w:val="28"/>
        </w:rPr>
        <w:t>四、开标</w:t>
      </w:r>
    </w:p>
    <w:p w14:paraId="04AADA14">
      <w:pPr>
        <w:spacing w:after="120" w:line="360" w:lineRule="auto"/>
        <w:ind w:firstLine="422" w:firstLineChars="200"/>
        <w:jc w:val="left"/>
        <w:rPr>
          <w:b/>
          <w:szCs w:val="21"/>
        </w:rPr>
      </w:pPr>
      <w:r>
        <w:rPr>
          <w:rFonts w:hint="eastAsia"/>
          <w:b/>
          <w:szCs w:val="21"/>
        </w:rPr>
        <w:t>电子招投标开标及评审程序</w:t>
      </w:r>
    </w:p>
    <w:p w14:paraId="297CDAA1">
      <w:pPr>
        <w:adjustRightInd w:val="0"/>
        <w:snapToGrid w:val="0"/>
        <w:spacing w:line="360" w:lineRule="auto"/>
        <w:ind w:firstLine="420" w:firstLineChars="200"/>
        <w:jc w:val="left"/>
        <w:rPr>
          <w:szCs w:val="21"/>
        </w:rPr>
      </w:pPr>
      <w:r>
        <w:rPr>
          <w:szCs w:val="21"/>
        </w:rPr>
        <w:t>1.</w:t>
      </w:r>
      <w:r>
        <w:rPr>
          <w:rFonts w:hint="eastAsia"/>
          <w:szCs w:val="21"/>
        </w:rPr>
        <w:t>采购组织机构按照规定的时间通过政采云系统组织开标、开启响应文件，所有投标人均应当准时在线参加。</w:t>
      </w:r>
    </w:p>
    <w:p w14:paraId="35DC1028">
      <w:pPr>
        <w:adjustRightInd w:val="0"/>
        <w:snapToGrid w:val="0"/>
        <w:spacing w:line="360" w:lineRule="auto"/>
        <w:ind w:firstLine="420" w:firstLineChars="200"/>
        <w:jc w:val="left"/>
        <w:rPr>
          <w:szCs w:val="21"/>
        </w:rPr>
      </w:pPr>
      <w:r>
        <w:rPr>
          <w:szCs w:val="21"/>
        </w:rPr>
        <w:t>2.</w:t>
      </w:r>
      <w:r>
        <w:rPr>
          <w:rFonts w:hint="eastAsia"/>
          <w:szCs w:val="21"/>
        </w:rPr>
        <w:t>投标截止时间后，投标人登录政采云平台，用</w:t>
      </w:r>
      <w:r>
        <w:rPr>
          <w:szCs w:val="21"/>
        </w:rPr>
        <w:t>“</w:t>
      </w:r>
      <w:r>
        <w:rPr>
          <w:rFonts w:hint="eastAsia"/>
          <w:szCs w:val="21"/>
        </w:rPr>
        <w:t>项目采购</w:t>
      </w:r>
      <w:r>
        <w:rPr>
          <w:szCs w:val="21"/>
        </w:rPr>
        <w:t>-</w:t>
      </w:r>
      <w:r>
        <w:rPr>
          <w:rFonts w:hint="eastAsia"/>
          <w:szCs w:val="21"/>
        </w:rPr>
        <w:t>开标评标</w:t>
      </w:r>
      <w:r>
        <w:rPr>
          <w:szCs w:val="21"/>
        </w:rPr>
        <w:t>”</w:t>
      </w:r>
      <w:r>
        <w:rPr>
          <w:rFonts w:hint="eastAsia"/>
          <w:szCs w:val="21"/>
        </w:rPr>
        <w:t>功能对电子投标文件进行</w:t>
      </w:r>
      <w:r>
        <w:rPr>
          <w:rFonts w:hint="eastAsia"/>
          <w:b/>
          <w:bCs/>
          <w:szCs w:val="21"/>
        </w:rPr>
        <w:t>在线解密。</w:t>
      </w:r>
      <w:r>
        <w:rPr>
          <w:rFonts w:hint="eastAsia"/>
          <w:szCs w:val="21"/>
        </w:rPr>
        <w:t>在线解密电子投标文件时间</w:t>
      </w:r>
      <w:r>
        <w:rPr>
          <w:rFonts w:hint="eastAsia"/>
          <w:b/>
          <w:bCs/>
          <w:szCs w:val="21"/>
        </w:rPr>
        <w:t>为开标时间起半个小时内；</w:t>
      </w:r>
    </w:p>
    <w:p w14:paraId="566494D0">
      <w:pPr>
        <w:adjustRightInd w:val="0"/>
        <w:snapToGrid w:val="0"/>
        <w:spacing w:line="360" w:lineRule="auto"/>
        <w:ind w:firstLine="420" w:firstLineChars="200"/>
        <w:jc w:val="left"/>
        <w:rPr>
          <w:szCs w:val="21"/>
        </w:rPr>
      </w:pPr>
      <w:r>
        <w:rPr>
          <w:szCs w:val="21"/>
        </w:rPr>
        <w:t>3.</w:t>
      </w:r>
      <w:r>
        <w:rPr>
          <w:rFonts w:hint="eastAsia"/>
          <w:szCs w:val="21"/>
        </w:rPr>
        <w:t>采购人或代理机构对资格文件进行评审，评标委员会对商务技术响应文件进行评审。</w:t>
      </w:r>
    </w:p>
    <w:p w14:paraId="6BADD7EF">
      <w:pPr>
        <w:adjustRightInd w:val="0"/>
        <w:snapToGrid w:val="0"/>
        <w:spacing w:line="360" w:lineRule="auto"/>
        <w:ind w:firstLine="420" w:firstLineChars="200"/>
        <w:jc w:val="left"/>
        <w:rPr>
          <w:szCs w:val="21"/>
        </w:rPr>
      </w:pPr>
      <w:r>
        <w:rPr>
          <w:szCs w:val="21"/>
        </w:rPr>
        <w:t>4.</w:t>
      </w:r>
      <w:r>
        <w:rPr>
          <w:rFonts w:hint="eastAsia"/>
          <w:szCs w:val="21"/>
        </w:rPr>
        <w:t>在系统上公开资格和商务技术评审结果；</w:t>
      </w:r>
    </w:p>
    <w:p w14:paraId="0741ED01">
      <w:pPr>
        <w:adjustRightInd w:val="0"/>
        <w:snapToGrid w:val="0"/>
        <w:spacing w:line="360" w:lineRule="auto"/>
        <w:ind w:firstLine="420" w:firstLineChars="200"/>
        <w:jc w:val="left"/>
        <w:rPr>
          <w:szCs w:val="21"/>
        </w:rPr>
      </w:pPr>
      <w:r>
        <w:rPr>
          <w:szCs w:val="21"/>
        </w:rPr>
        <w:t>5.</w:t>
      </w:r>
      <w:r>
        <w:rPr>
          <w:rFonts w:hint="eastAsia"/>
          <w:szCs w:val="21"/>
        </w:rPr>
        <w:t>在系统上公开报价开标情况；</w:t>
      </w:r>
    </w:p>
    <w:p w14:paraId="072DF88A">
      <w:pPr>
        <w:adjustRightInd w:val="0"/>
        <w:snapToGrid w:val="0"/>
        <w:spacing w:line="360" w:lineRule="auto"/>
        <w:ind w:firstLine="420" w:firstLineChars="200"/>
        <w:jc w:val="left"/>
        <w:rPr>
          <w:szCs w:val="21"/>
        </w:rPr>
      </w:pPr>
      <w:r>
        <w:rPr>
          <w:szCs w:val="21"/>
        </w:rPr>
        <w:t>6.</w:t>
      </w:r>
      <w:r>
        <w:rPr>
          <w:rFonts w:hint="eastAsia"/>
          <w:szCs w:val="21"/>
        </w:rPr>
        <w:t>评标委员会对报价情况进行评审；</w:t>
      </w:r>
    </w:p>
    <w:p w14:paraId="09A469F4">
      <w:pPr>
        <w:adjustRightInd w:val="0"/>
        <w:snapToGrid w:val="0"/>
        <w:spacing w:line="360" w:lineRule="auto"/>
        <w:ind w:firstLine="420" w:firstLineChars="200"/>
        <w:jc w:val="left"/>
        <w:rPr>
          <w:szCs w:val="21"/>
        </w:rPr>
      </w:pPr>
      <w:r>
        <w:rPr>
          <w:szCs w:val="21"/>
        </w:rPr>
        <w:t>7.</w:t>
      </w:r>
      <w:r>
        <w:rPr>
          <w:rFonts w:hint="eastAsia"/>
          <w:szCs w:val="21"/>
        </w:rPr>
        <w:t>在系统上公布评审结果。</w:t>
      </w:r>
    </w:p>
    <w:p w14:paraId="03816260">
      <w:pPr>
        <w:adjustRightInd w:val="0"/>
        <w:snapToGrid w:val="0"/>
        <w:spacing w:line="360" w:lineRule="auto"/>
        <w:ind w:firstLine="420" w:firstLineChars="200"/>
        <w:jc w:val="left"/>
        <w:rPr>
          <w:szCs w:val="20"/>
        </w:rPr>
      </w:pPr>
      <w:r>
        <w:rPr>
          <w:rFonts w:hint="eastAsia"/>
          <w:szCs w:val="21"/>
        </w:rPr>
        <w:t>特别说明：政采云公司如对电子化开标及评审程序有调整的，按调整后的程序操作。</w:t>
      </w:r>
    </w:p>
    <w:p w14:paraId="15A7C136">
      <w:pPr>
        <w:snapToGrid w:val="0"/>
        <w:spacing w:before="120" w:line="360" w:lineRule="auto"/>
        <w:ind w:right="-87" w:firstLine="3654" w:firstLineChars="1300"/>
        <w:outlineLvl w:val="1"/>
        <w:rPr>
          <w:b/>
          <w:sz w:val="28"/>
        </w:rPr>
      </w:pPr>
      <w:r>
        <w:rPr>
          <w:rFonts w:hint="eastAsia"/>
          <w:b/>
          <w:sz w:val="28"/>
        </w:rPr>
        <w:t>五、评标</w:t>
      </w:r>
    </w:p>
    <w:p w14:paraId="5FAC0144">
      <w:pPr>
        <w:snapToGrid w:val="0"/>
        <w:spacing w:before="120" w:line="360" w:lineRule="auto"/>
        <w:ind w:right="-87"/>
        <w:rPr>
          <w:b/>
        </w:rPr>
      </w:pPr>
      <w:r>
        <w:rPr>
          <w:rFonts w:hint="eastAsia"/>
          <w:b/>
        </w:rPr>
        <w:t>（一）组建评标委员会</w:t>
      </w:r>
    </w:p>
    <w:p w14:paraId="64B986EF">
      <w:pPr>
        <w:snapToGrid w:val="0"/>
        <w:spacing w:before="120" w:line="360" w:lineRule="auto"/>
        <w:ind w:right="-87" w:firstLine="420" w:firstLineChars="200"/>
      </w:pPr>
      <w:r>
        <w:rPr>
          <w:rFonts w:hint="eastAsia"/>
        </w:rPr>
        <w:t>评标委员会由采购人代表和评审专家组成，成员人数为5人（含）以上单数，其中评审专家不得少于成员总数的三分之二。</w:t>
      </w:r>
    </w:p>
    <w:p w14:paraId="3C7A7AFB">
      <w:pPr>
        <w:snapToGrid w:val="0"/>
        <w:spacing w:before="120" w:line="360" w:lineRule="auto"/>
        <w:ind w:right="-87"/>
        <w:rPr>
          <w:b/>
        </w:rPr>
      </w:pPr>
      <w:r>
        <w:rPr>
          <w:rFonts w:hint="eastAsia"/>
          <w:b/>
        </w:rPr>
        <w:t>（二）评标程序</w:t>
      </w:r>
    </w:p>
    <w:p w14:paraId="41CCC833">
      <w:pPr>
        <w:snapToGrid w:val="0"/>
        <w:spacing w:line="360" w:lineRule="auto"/>
        <w:ind w:right="-87"/>
        <w:rPr>
          <w:szCs w:val="21"/>
        </w:rPr>
      </w:pPr>
      <w:r>
        <w:rPr>
          <w:b/>
          <w:szCs w:val="21"/>
        </w:rPr>
        <w:t>1.</w:t>
      </w:r>
      <w:r>
        <w:rPr>
          <w:rFonts w:hint="eastAsia"/>
          <w:b/>
          <w:szCs w:val="21"/>
        </w:rPr>
        <w:t>投标文件初审。</w:t>
      </w:r>
    </w:p>
    <w:p w14:paraId="68291E46">
      <w:pPr>
        <w:snapToGrid w:val="0"/>
        <w:spacing w:line="360" w:lineRule="auto"/>
        <w:ind w:right="-87" w:firstLine="420" w:firstLineChars="200"/>
        <w:rPr>
          <w:b/>
          <w:szCs w:val="21"/>
        </w:rPr>
      </w:pPr>
      <w:r>
        <w:rPr>
          <w:rFonts w:hint="eastAsia"/>
          <w:szCs w:val="21"/>
        </w:rPr>
        <w:t>初审分为资格性检查和符合性检查。</w:t>
      </w:r>
    </w:p>
    <w:p w14:paraId="0C7B43CA">
      <w:pPr>
        <w:adjustRightInd w:val="0"/>
        <w:snapToGrid w:val="0"/>
        <w:spacing w:line="360" w:lineRule="auto"/>
        <w:ind w:firstLine="420" w:firstLineChars="200"/>
        <w:jc w:val="left"/>
        <w:rPr>
          <w:szCs w:val="21"/>
        </w:rPr>
      </w:pPr>
      <w:r>
        <w:rPr>
          <w:szCs w:val="21"/>
        </w:rPr>
        <w:t>1.1</w:t>
      </w:r>
      <w:r>
        <w:rPr>
          <w:rFonts w:hint="eastAsia"/>
          <w:szCs w:val="21"/>
        </w:rPr>
        <w:t>资格性检查。依据法律法规和采购文件的规定，对投标文件中的资格证明等进行审查，以确定投标投标人是否具备投标资格。</w:t>
      </w:r>
    </w:p>
    <w:p w14:paraId="6FE4667C">
      <w:pPr>
        <w:adjustRightInd w:val="0"/>
        <w:snapToGrid w:val="0"/>
        <w:spacing w:line="360" w:lineRule="auto"/>
        <w:ind w:firstLine="420" w:firstLineChars="200"/>
        <w:jc w:val="left"/>
        <w:rPr>
          <w:szCs w:val="21"/>
        </w:rPr>
      </w:pPr>
      <w:r>
        <w:rPr>
          <w:szCs w:val="21"/>
        </w:rPr>
        <w:t>1.2</w:t>
      </w:r>
      <w:r>
        <w:rPr>
          <w:rFonts w:hint="eastAsia"/>
          <w:szCs w:val="21"/>
        </w:rPr>
        <w:t>符合性检查。依据采购文件的规定，从投标文件的有效性、完整性和对采购文件的响应程度进行审查，以确定是否对采购文件的实质性要求作出响应。</w:t>
      </w:r>
    </w:p>
    <w:p w14:paraId="283C958A">
      <w:pPr>
        <w:snapToGrid w:val="0"/>
        <w:spacing w:line="360" w:lineRule="auto"/>
        <w:ind w:right="-87"/>
        <w:rPr>
          <w:b/>
          <w:sz w:val="24"/>
        </w:rPr>
      </w:pPr>
      <w:r>
        <w:rPr>
          <w:b/>
          <w:sz w:val="24"/>
        </w:rPr>
        <w:t>2.</w:t>
      </w:r>
      <w:r>
        <w:rPr>
          <w:rFonts w:hint="eastAsia"/>
          <w:b/>
          <w:szCs w:val="21"/>
        </w:rPr>
        <w:t>实质审查</w:t>
      </w:r>
    </w:p>
    <w:p w14:paraId="37419797">
      <w:pPr>
        <w:spacing w:line="360" w:lineRule="auto"/>
        <w:ind w:firstLine="420" w:firstLineChars="200"/>
        <w:rPr>
          <w:kern w:val="0"/>
          <w:szCs w:val="21"/>
        </w:rPr>
      </w:pPr>
      <w:r>
        <w:rPr>
          <w:rFonts w:hint="eastAsia"/>
          <w:kern w:val="0"/>
          <w:szCs w:val="21"/>
        </w:rPr>
        <w:t>（</w:t>
      </w:r>
      <w:r>
        <w:rPr>
          <w:kern w:val="0"/>
          <w:szCs w:val="21"/>
        </w:rPr>
        <w:t>1</w:t>
      </w:r>
      <w:r>
        <w:rPr>
          <w:rFonts w:hint="eastAsia"/>
          <w:kern w:val="0"/>
          <w:szCs w:val="21"/>
        </w:rPr>
        <w:t>）评标委员会审查投标文件的实质性内容是否符合采购文件的实质性要求。</w:t>
      </w:r>
    </w:p>
    <w:p w14:paraId="6A614821">
      <w:pPr>
        <w:spacing w:line="360" w:lineRule="auto"/>
        <w:ind w:firstLine="420" w:firstLineChars="200"/>
        <w:rPr>
          <w:kern w:val="0"/>
          <w:szCs w:val="21"/>
        </w:rPr>
      </w:pPr>
      <w:r>
        <w:rPr>
          <w:rFonts w:hint="eastAsia"/>
          <w:kern w:val="0"/>
          <w:szCs w:val="21"/>
        </w:rPr>
        <w:t>（</w:t>
      </w:r>
      <w:r>
        <w:rPr>
          <w:kern w:val="0"/>
          <w:szCs w:val="21"/>
        </w:rPr>
        <w:t>2</w:t>
      </w:r>
      <w:r>
        <w:rPr>
          <w:rFonts w:hint="eastAsia"/>
          <w:kern w:val="0"/>
          <w:szCs w:val="21"/>
        </w:rPr>
        <w:t>）评标委员会将根据投标人的投标文件进行审查、核对，如有疑问，将对投标人通过电子系统进行询标，投标人向评标委员会澄清有关问题，并最终以电子形式进行答复。投标人拒绝澄清或者澄清的内容改变了投标文件的实质性内容的，评标委员会有权对该投标文件作出不利于投标人的评判。</w:t>
      </w:r>
    </w:p>
    <w:p w14:paraId="311916BF">
      <w:pPr>
        <w:spacing w:line="360" w:lineRule="auto"/>
        <w:ind w:firstLine="420" w:firstLineChars="200"/>
        <w:rPr>
          <w:kern w:val="0"/>
          <w:szCs w:val="21"/>
        </w:rPr>
      </w:pPr>
      <w:r>
        <w:rPr>
          <w:rFonts w:hint="eastAsia"/>
          <w:kern w:val="0"/>
          <w:szCs w:val="21"/>
        </w:rPr>
        <w:t>（</w:t>
      </w:r>
      <w:r>
        <w:rPr>
          <w:kern w:val="0"/>
          <w:szCs w:val="21"/>
        </w:rPr>
        <w:t>3</w:t>
      </w:r>
      <w:r>
        <w:rPr>
          <w:rFonts w:hint="eastAsia"/>
          <w:kern w:val="0"/>
          <w:szCs w:val="21"/>
        </w:rPr>
        <w:t>）评审小组商务、技术方案响应性评定；</w:t>
      </w:r>
    </w:p>
    <w:p w14:paraId="2A8A616C">
      <w:pPr>
        <w:spacing w:line="360" w:lineRule="auto"/>
        <w:ind w:firstLine="420" w:firstLineChars="200"/>
        <w:rPr>
          <w:kern w:val="0"/>
          <w:szCs w:val="21"/>
        </w:rPr>
      </w:pPr>
      <w:r>
        <w:rPr>
          <w:rFonts w:hint="eastAsia"/>
          <w:kern w:val="0"/>
          <w:szCs w:val="21"/>
        </w:rPr>
        <w:t>（</w:t>
      </w:r>
      <w:r>
        <w:rPr>
          <w:kern w:val="0"/>
          <w:szCs w:val="21"/>
        </w:rPr>
        <w:t>4</w:t>
      </w:r>
      <w:r>
        <w:rPr>
          <w:rFonts w:hint="eastAsia"/>
          <w:kern w:val="0"/>
          <w:szCs w:val="21"/>
        </w:rPr>
        <w:t>）各投标人的技术得分为所有评委的有效评分的算术平均数，由指定专人进行计算复核。</w:t>
      </w:r>
    </w:p>
    <w:p w14:paraId="19C84361">
      <w:pPr>
        <w:spacing w:line="360" w:lineRule="auto"/>
        <w:ind w:firstLine="420" w:firstLineChars="200"/>
        <w:rPr>
          <w:b/>
          <w:szCs w:val="21"/>
        </w:rPr>
      </w:pPr>
      <w:r>
        <w:rPr>
          <w:rFonts w:hint="eastAsia"/>
          <w:kern w:val="0"/>
          <w:szCs w:val="21"/>
        </w:rPr>
        <w:t>（</w:t>
      </w:r>
      <w:r>
        <w:rPr>
          <w:kern w:val="0"/>
          <w:szCs w:val="21"/>
        </w:rPr>
        <w:t>5</w:t>
      </w:r>
      <w:r>
        <w:rPr>
          <w:rFonts w:hint="eastAsia"/>
          <w:kern w:val="0"/>
          <w:szCs w:val="21"/>
        </w:rPr>
        <w:t>）评标委员会完成评标后，评委对各部分得分汇总，计算出本项目综合评估分。评标委员会按评标原则通过电子系统向采购人及采购代理机构提交评审报告。</w:t>
      </w:r>
    </w:p>
    <w:p w14:paraId="32CD9D3B">
      <w:pPr>
        <w:spacing w:line="360" w:lineRule="auto"/>
        <w:rPr>
          <w:b/>
          <w:szCs w:val="21"/>
        </w:rPr>
      </w:pPr>
      <w:r>
        <w:rPr>
          <w:rFonts w:hint="eastAsia"/>
          <w:b/>
          <w:szCs w:val="21"/>
        </w:rPr>
        <w:t>（三）澄清问题的形式</w:t>
      </w:r>
    </w:p>
    <w:p w14:paraId="1515B4BB">
      <w:pPr>
        <w:snapToGrid w:val="0"/>
        <w:spacing w:line="360" w:lineRule="auto"/>
        <w:ind w:left="228" w:right="-87" w:firstLine="420" w:firstLineChars="200"/>
      </w:pPr>
      <w:r>
        <w:rPr>
          <w:rFonts w:hint="eastAsia"/>
        </w:rPr>
        <w:t>对投标文件中含义不明确、同类问题表述不一致或者有明显文字和计算错误的内容，评标委员会可要求投标人作出必要的澄清、说明或者纠正。投标人与评审小组</w:t>
      </w:r>
      <w:r>
        <w:rPr>
          <w:rFonts w:hint="eastAsia"/>
          <w:szCs w:val="21"/>
        </w:rPr>
        <w:t>通过电子交易平台交换数据电文的形式进行</w:t>
      </w:r>
      <w:r>
        <w:rPr>
          <w:rFonts w:hint="eastAsia"/>
        </w:rPr>
        <w:t>，给予投标人提交澄清说明或补正的时间不少于半个小时，投标人已经明确表示澄清说明或补正完毕的除外。不得超出投标文件的范围或者改变投标文件的实质性内容。</w:t>
      </w:r>
    </w:p>
    <w:p w14:paraId="7CC32AAB">
      <w:pPr>
        <w:snapToGrid w:val="0"/>
        <w:spacing w:before="120" w:beforeLines="50" w:after="120" w:afterLines="50" w:line="360" w:lineRule="auto"/>
        <w:rPr>
          <w:b/>
          <w:szCs w:val="21"/>
        </w:rPr>
      </w:pPr>
      <w:r>
        <w:rPr>
          <w:rFonts w:hint="eastAsia"/>
          <w:b/>
          <w:szCs w:val="21"/>
        </w:rPr>
        <w:t>（四）错误修正</w:t>
      </w:r>
    </w:p>
    <w:p w14:paraId="6648DFEC">
      <w:pPr>
        <w:snapToGrid w:val="0"/>
        <w:spacing w:before="120" w:beforeLines="50" w:line="360" w:lineRule="auto"/>
        <w:ind w:firstLine="415" w:firstLineChars="198"/>
        <w:rPr>
          <w:szCs w:val="21"/>
        </w:rPr>
      </w:pPr>
      <w:r>
        <w:rPr>
          <w:szCs w:val="21"/>
        </w:rPr>
        <w:t>投标文件如果出现计算或表达上的错误，修正错误的原则如下：</w:t>
      </w:r>
    </w:p>
    <w:p w14:paraId="14C3600A">
      <w:pPr>
        <w:snapToGrid w:val="0"/>
        <w:spacing w:before="120" w:beforeLines="50" w:line="360" w:lineRule="auto"/>
        <w:ind w:firstLine="415" w:firstLineChars="198"/>
        <w:rPr>
          <w:szCs w:val="21"/>
        </w:rPr>
      </w:pPr>
      <w:r>
        <w:rPr>
          <w:rFonts w:hint="eastAsia"/>
          <w:szCs w:val="21"/>
        </w:rPr>
        <w:t>1.投标文件中开标一览表（报价表）内容与投标文件中相应内容不一致的，以开标一览表（报价表）为准；</w:t>
      </w:r>
    </w:p>
    <w:p w14:paraId="26482A6A">
      <w:pPr>
        <w:snapToGrid w:val="0"/>
        <w:spacing w:before="120" w:beforeLines="50" w:line="360" w:lineRule="auto"/>
        <w:ind w:firstLine="420" w:firstLineChars="200"/>
        <w:rPr>
          <w:szCs w:val="21"/>
        </w:rPr>
      </w:pPr>
      <w:r>
        <w:rPr>
          <w:rFonts w:hint="eastAsia"/>
          <w:szCs w:val="21"/>
        </w:rPr>
        <w:t>2.大写金额和小写金额不一致的，以大写金额为准；</w:t>
      </w:r>
    </w:p>
    <w:p w14:paraId="398FE2A0">
      <w:pPr>
        <w:snapToGrid w:val="0"/>
        <w:spacing w:before="120" w:beforeLines="50" w:line="360" w:lineRule="auto"/>
        <w:ind w:firstLine="420" w:firstLineChars="200"/>
        <w:rPr>
          <w:szCs w:val="21"/>
        </w:rPr>
      </w:pPr>
      <w:r>
        <w:rPr>
          <w:rFonts w:hint="eastAsia"/>
          <w:szCs w:val="21"/>
        </w:rPr>
        <w:t>3.单价金额小数点或者百分比有明显错位的，以开标一览表的总价为准，并修改单价；</w:t>
      </w:r>
    </w:p>
    <w:p w14:paraId="5FF5DDDA">
      <w:pPr>
        <w:snapToGrid w:val="0"/>
        <w:spacing w:before="120" w:beforeLines="50" w:line="360" w:lineRule="auto"/>
        <w:ind w:firstLine="420" w:firstLineChars="200"/>
        <w:rPr>
          <w:szCs w:val="21"/>
        </w:rPr>
      </w:pPr>
      <w:r>
        <w:rPr>
          <w:rFonts w:hint="eastAsia"/>
          <w:szCs w:val="21"/>
        </w:rPr>
        <w:t>4.总价金额与按单价汇总金额不一致的，以单价金额计算结果为准。</w:t>
      </w:r>
    </w:p>
    <w:p w14:paraId="764CEA34">
      <w:pPr>
        <w:snapToGrid w:val="0"/>
        <w:spacing w:before="120" w:beforeLines="50" w:line="360" w:lineRule="auto"/>
        <w:ind w:firstLine="417" w:firstLineChars="198"/>
        <w:rPr>
          <w:b/>
          <w:bCs/>
          <w:szCs w:val="21"/>
        </w:rPr>
      </w:pPr>
      <w:r>
        <w:rPr>
          <w:rFonts w:hint="eastAsia"/>
          <w:b/>
          <w:bCs/>
          <w:szCs w:val="21"/>
        </w:rPr>
        <w:t>同时出现两种以上不一致的，按照前款规定的顺序修正。</w:t>
      </w:r>
    </w:p>
    <w:p w14:paraId="7FC1D050">
      <w:pPr>
        <w:snapToGrid w:val="0"/>
        <w:spacing w:before="120" w:beforeLines="50" w:line="360" w:lineRule="auto"/>
        <w:ind w:firstLine="417" w:firstLineChars="198"/>
        <w:rPr>
          <w:szCs w:val="21"/>
        </w:rPr>
      </w:pPr>
      <w:r>
        <w:rPr>
          <w:b/>
          <w:szCs w:val="21"/>
        </w:rPr>
        <w:t>按上述修正错误的原则及方法调整或修正投标文件的投标报价，投标人通过电文并签章确认后，调整后的投标报价对投标人具有约束作用。如果投标人不接受修正后的报价，则其投标将作为无效投标处理。</w:t>
      </w:r>
    </w:p>
    <w:p w14:paraId="49617DFB">
      <w:pPr>
        <w:snapToGrid w:val="0"/>
        <w:spacing w:before="120" w:beforeLines="50" w:after="120" w:afterLines="50" w:line="360" w:lineRule="auto"/>
        <w:jc w:val="left"/>
        <w:rPr>
          <w:b/>
          <w:szCs w:val="21"/>
        </w:rPr>
      </w:pPr>
      <w:r>
        <w:rPr>
          <w:rFonts w:hint="eastAsia"/>
          <w:b/>
          <w:szCs w:val="21"/>
        </w:rPr>
        <w:t>（五）评标原则和评标办法</w:t>
      </w:r>
    </w:p>
    <w:p w14:paraId="3C2AD5D5">
      <w:pPr>
        <w:snapToGrid w:val="0"/>
        <w:spacing w:before="120" w:beforeLines="50" w:line="360" w:lineRule="auto"/>
        <w:ind w:firstLine="420" w:firstLineChars="200"/>
        <w:rPr>
          <w:szCs w:val="21"/>
        </w:rPr>
      </w:pPr>
      <w:r>
        <w:rPr>
          <w:szCs w:val="21"/>
        </w:rPr>
        <w:t>1.</w:t>
      </w:r>
      <w:r>
        <w:rPr>
          <w:rFonts w:hint="eastAsia"/>
          <w:szCs w:val="21"/>
        </w:rPr>
        <w:t>评标委员会必须公平、公正、客观，不带任何倾向性和启发性；不得向外界透露任何与评标有关的内容；任何单位和个人不得干扰、影响评标的正常进行；评标委员会及有关工作人员不得私下与投标人接触。</w:t>
      </w:r>
    </w:p>
    <w:p w14:paraId="525A2970">
      <w:pPr>
        <w:snapToGrid w:val="0"/>
        <w:spacing w:before="120" w:beforeLines="50" w:line="360" w:lineRule="auto"/>
        <w:ind w:firstLine="420" w:firstLineChars="200"/>
        <w:rPr>
          <w:sz w:val="24"/>
        </w:rPr>
      </w:pPr>
      <w:r>
        <w:rPr>
          <w:szCs w:val="21"/>
        </w:rPr>
        <w:t>2.</w:t>
      </w:r>
      <w:r>
        <w:rPr>
          <w:rFonts w:hint="eastAsia"/>
          <w:szCs w:val="21"/>
        </w:rPr>
        <w:t>评标办法。本项目评标办法是</w:t>
      </w:r>
      <w:r>
        <w:rPr>
          <w:rFonts w:hint="eastAsia"/>
          <w:szCs w:val="21"/>
          <w:u w:val="single"/>
        </w:rPr>
        <w:t>综合评分法</w:t>
      </w:r>
      <w:r>
        <w:rPr>
          <w:rFonts w:hint="eastAsia"/>
          <w:szCs w:val="21"/>
        </w:rPr>
        <w:t>，具体评标内容及评分标准等详见《第四章：评标办法及评分标准》。</w:t>
      </w:r>
    </w:p>
    <w:p w14:paraId="67F49E74">
      <w:pPr>
        <w:widowControl/>
        <w:snapToGrid w:val="0"/>
        <w:spacing w:line="360" w:lineRule="auto"/>
        <w:ind w:right="-87"/>
        <w:rPr>
          <w:b/>
          <w:szCs w:val="21"/>
        </w:rPr>
      </w:pPr>
      <w:r>
        <w:rPr>
          <w:rFonts w:hint="eastAsia"/>
          <w:b/>
          <w:szCs w:val="21"/>
        </w:rPr>
        <w:t>（六）评标过程的监控</w:t>
      </w:r>
    </w:p>
    <w:p w14:paraId="1D428A5C">
      <w:pPr>
        <w:snapToGrid w:val="0"/>
        <w:spacing w:before="120" w:beforeLines="50" w:after="120" w:afterLines="50" w:line="360" w:lineRule="auto"/>
        <w:ind w:firstLine="420" w:firstLineChars="200"/>
        <w:rPr>
          <w:szCs w:val="24"/>
        </w:rPr>
      </w:pPr>
      <w:r>
        <w:rPr>
          <w:rFonts w:hint="eastAsia"/>
          <w:szCs w:val="24"/>
        </w:rPr>
        <w:t>本项目评标过程实行全程录音、录像监控。</w:t>
      </w:r>
    </w:p>
    <w:p w14:paraId="1CC2A3B2">
      <w:pPr>
        <w:widowControl/>
        <w:jc w:val="center"/>
        <w:rPr>
          <w:szCs w:val="20"/>
        </w:rPr>
      </w:pPr>
      <w:r>
        <w:rPr>
          <w:rFonts w:hint="eastAsia"/>
          <w:b/>
          <w:sz w:val="28"/>
        </w:rPr>
        <w:t>六、定标</w:t>
      </w:r>
    </w:p>
    <w:p w14:paraId="720EA6F2">
      <w:pPr>
        <w:snapToGrid w:val="0"/>
        <w:spacing w:before="120" w:beforeLines="50" w:line="360" w:lineRule="auto"/>
        <w:rPr>
          <w:b/>
          <w:szCs w:val="21"/>
        </w:rPr>
      </w:pPr>
      <w:r>
        <w:rPr>
          <w:rFonts w:hint="eastAsia"/>
          <w:b/>
          <w:szCs w:val="21"/>
        </w:rPr>
        <w:t>（一）确定中标人。</w:t>
      </w:r>
    </w:p>
    <w:p w14:paraId="37279677">
      <w:pPr>
        <w:snapToGrid w:val="0"/>
        <w:spacing w:before="120" w:beforeLines="50" w:line="360" w:lineRule="auto"/>
        <w:ind w:firstLine="415" w:firstLineChars="198"/>
        <w:rPr>
          <w:b/>
          <w:szCs w:val="21"/>
        </w:rPr>
      </w:pPr>
      <w:r>
        <w:rPr>
          <w:rFonts w:hint="eastAsia"/>
          <w:szCs w:val="21"/>
        </w:rPr>
        <w:t>本项目由采购人事先授权评审小组确定候选中标人</w:t>
      </w:r>
      <w:r>
        <w:rPr>
          <w:szCs w:val="21"/>
        </w:rPr>
        <w:t>1</w:t>
      </w:r>
      <w:r>
        <w:rPr>
          <w:rFonts w:hint="eastAsia"/>
          <w:szCs w:val="21"/>
        </w:rPr>
        <w:t>名。经采购人确认后，确定项目中标人，同时发布采购结果公告</w:t>
      </w:r>
      <w:r>
        <w:rPr>
          <w:rFonts w:hint="eastAsia"/>
          <w:b/>
          <w:szCs w:val="21"/>
        </w:rPr>
        <w:t>（中标人通过政采云系统领取中标通知书）。</w:t>
      </w:r>
    </w:p>
    <w:p w14:paraId="04C41326">
      <w:pPr>
        <w:snapToGrid w:val="0"/>
        <w:spacing w:before="120" w:beforeLines="50" w:line="360" w:lineRule="auto"/>
        <w:ind w:firstLine="415" w:firstLineChars="198"/>
        <w:rPr>
          <w:szCs w:val="21"/>
        </w:rPr>
      </w:pPr>
      <w:r>
        <w:rPr>
          <w:szCs w:val="21"/>
        </w:rPr>
        <w:t>1.</w:t>
      </w:r>
      <w:r>
        <w:rPr>
          <w:rFonts w:hint="eastAsia"/>
          <w:szCs w:val="21"/>
        </w:rPr>
        <w:t>采购代理机构在评标结束后在</w:t>
      </w:r>
      <w:r>
        <w:rPr>
          <w:szCs w:val="21"/>
        </w:rPr>
        <w:t>2</w:t>
      </w:r>
      <w:r>
        <w:rPr>
          <w:rFonts w:hint="eastAsia"/>
          <w:szCs w:val="21"/>
        </w:rPr>
        <w:t>个工作日内将评审报告交采购人确认。</w:t>
      </w:r>
    </w:p>
    <w:p w14:paraId="711F49F4">
      <w:pPr>
        <w:snapToGrid w:val="0"/>
        <w:spacing w:before="120" w:beforeLines="50" w:line="360" w:lineRule="auto"/>
        <w:ind w:firstLine="415" w:firstLineChars="198"/>
        <w:rPr>
          <w:szCs w:val="21"/>
        </w:rPr>
      </w:pPr>
      <w:r>
        <w:rPr>
          <w:szCs w:val="21"/>
        </w:rPr>
        <w:t>2.</w:t>
      </w:r>
      <w:r>
        <w:rPr>
          <w:rFonts w:hint="eastAsia"/>
          <w:szCs w:val="21"/>
        </w:rPr>
        <w:t>投标人对评审结果无异议的，采购人应在收到评审报告后</w:t>
      </w:r>
      <w:r>
        <w:rPr>
          <w:szCs w:val="21"/>
        </w:rPr>
        <w:t>5</w:t>
      </w:r>
      <w:r>
        <w:rPr>
          <w:rFonts w:hint="eastAsia"/>
          <w:szCs w:val="21"/>
        </w:rPr>
        <w:t>个工作日内对评审结果进行确认。如有投标人对评审结果提出质疑的，采购人可在质疑处理完毕后确定中标人。</w:t>
      </w:r>
    </w:p>
    <w:p w14:paraId="58651BD6">
      <w:pPr>
        <w:snapToGrid w:val="0"/>
        <w:spacing w:before="120" w:beforeLines="50" w:line="360" w:lineRule="auto"/>
        <w:ind w:firstLine="415" w:firstLineChars="198"/>
        <w:rPr>
          <w:szCs w:val="21"/>
        </w:rPr>
      </w:pPr>
      <w:r>
        <w:rPr>
          <w:szCs w:val="21"/>
        </w:rPr>
        <w:t>3.</w:t>
      </w:r>
      <w:r>
        <w:rPr>
          <w:rFonts w:hint="eastAsia"/>
          <w:szCs w:val="21"/>
        </w:rPr>
        <w:t>采购人依法确定中标人后</w:t>
      </w:r>
      <w:r>
        <w:rPr>
          <w:szCs w:val="21"/>
        </w:rPr>
        <w:t>2</w:t>
      </w:r>
      <w:r>
        <w:rPr>
          <w:rFonts w:hint="eastAsia"/>
          <w:szCs w:val="21"/>
        </w:rPr>
        <w:t>个工作日内，采购代理机构发出《中标通知书》</w:t>
      </w:r>
      <w:r>
        <w:rPr>
          <w:szCs w:val="21"/>
        </w:rPr>
        <w:t>,</w:t>
      </w:r>
      <w:r>
        <w:rPr>
          <w:rFonts w:hint="eastAsia"/>
          <w:szCs w:val="21"/>
        </w:rPr>
        <w:t>并同时在相关网站上发布中标公告。</w:t>
      </w:r>
    </w:p>
    <w:p w14:paraId="39E9C6DF">
      <w:pPr>
        <w:spacing w:line="380" w:lineRule="exact"/>
        <w:rPr>
          <w:b/>
        </w:rPr>
      </w:pPr>
      <w:r>
        <w:rPr>
          <w:rFonts w:hint="eastAsia"/>
          <w:szCs w:val="21"/>
        </w:rPr>
        <w:t>（二）</w:t>
      </w:r>
      <w:r>
        <w:rPr>
          <w:rFonts w:hint="eastAsia"/>
        </w:rPr>
        <w:t>根据《中华人民共和国招标投标法实施条例》（国务院第</w:t>
      </w:r>
      <w:r>
        <w:t>613</w:t>
      </w:r>
      <w:r>
        <w:rPr>
          <w:rFonts w:hint="eastAsia"/>
        </w:rPr>
        <w:t>号令）第四章第五十五条的规定，排名第一的中标候选人放弃中标、因不可抗力不能履行合同、不按照招标文件要求提交履约保证金，或者被查实存在影响中标结果的违法行为等情形，不符合中标条件的，经采购人书面确认，或者经专家论证，按照评标委员会提出的中标候选人名单排序依次确定其他中标候选人为中标人，也可以重新招标。</w:t>
      </w:r>
    </w:p>
    <w:p w14:paraId="587F2297">
      <w:pPr>
        <w:ind w:firstLine="420" w:firstLineChars="200"/>
        <w:rPr>
          <w:szCs w:val="20"/>
        </w:rPr>
      </w:pPr>
    </w:p>
    <w:p w14:paraId="205EE2EF">
      <w:pPr>
        <w:snapToGrid w:val="0"/>
        <w:spacing w:before="120" w:line="360" w:lineRule="auto"/>
        <w:ind w:right="-87" w:firstLine="3345" w:firstLineChars="1190"/>
        <w:outlineLvl w:val="1"/>
        <w:rPr>
          <w:b/>
          <w:sz w:val="28"/>
        </w:rPr>
      </w:pPr>
      <w:r>
        <w:rPr>
          <w:rFonts w:hint="eastAsia"/>
          <w:b/>
          <w:sz w:val="28"/>
        </w:rPr>
        <w:t>七、合同授予</w:t>
      </w:r>
    </w:p>
    <w:p w14:paraId="7334A9C3">
      <w:pPr>
        <w:widowControl/>
        <w:numPr>
          <w:ilvl w:val="0"/>
          <w:numId w:val="10"/>
        </w:numPr>
        <w:overflowPunct w:val="0"/>
        <w:autoSpaceDE w:val="0"/>
        <w:autoSpaceDN w:val="0"/>
        <w:adjustRightInd w:val="0"/>
        <w:snapToGrid w:val="0"/>
        <w:spacing w:line="336" w:lineRule="auto"/>
        <w:ind w:right="-87"/>
        <w:jc w:val="left"/>
        <w:rPr>
          <w:b/>
          <w:sz w:val="24"/>
        </w:rPr>
      </w:pPr>
      <w:r>
        <w:rPr>
          <w:rFonts w:hint="eastAsia"/>
          <w:b/>
          <w:sz w:val="24"/>
        </w:rPr>
        <w:t>签订合同</w:t>
      </w:r>
    </w:p>
    <w:p w14:paraId="46618DDC">
      <w:pPr>
        <w:snapToGrid w:val="0"/>
        <w:spacing w:line="336" w:lineRule="auto"/>
        <w:ind w:right="-87" w:firstLine="424" w:firstLineChars="202"/>
      </w:pPr>
      <w:r>
        <w:t>1.</w:t>
      </w:r>
      <w:r>
        <w:rPr>
          <w:rFonts w:hint="eastAsia"/>
        </w:rPr>
        <w:t>采购人与中标人应当在《中标通知书》发出之日起</w:t>
      </w:r>
      <w:r>
        <w:t>30</w:t>
      </w:r>
      <w:r>
        <w:rPr>
          <w:rFonts w:hint="eastAsia"/>
        </w:rPr>
        <w:t>日内签订政府采购合同。同时，采购代理机构对合同内容进行审查，如发现与采购结果和投标承诺内容不一致的，应予以纠正。</w:t>
      </w:r>
    </w:p>
    <w:p w14:paraId="278BF9AE">
      <w:pPr>
        <w:snapToGrid w:val="0"/>
        <w:spacing w:before="120" w:beforeLines="50" w:line="336" w:lineRule="auto"/>
        <w:ind w:firstLine="415" w:firstLineChars="198"/>
        <w:rPr>
          <w:szCs w:val="21"/>
        </w:rPr>
      </w:pPr>
      <w:r>
        <w:rPr>
          <w:szCs w:val="21"/>
        </w:rPr>
        <w:t>2.</w:t>
      </w:r>
      <w:r>
        <w:rPr>
          <w:rFonts w:hint="eastAsia"/>
          <w:szCs w:val="21"/>
        </w:rPr>
        <w:t>中标人拖延、拒签合同的，将上报监管部门并取消中标资格。</w:t>
      </w:r>
    </w:p>
    <w:p w14:paraId="3FF64A00">
      <w:pPr>
        <w:snapToGrid w:val="0"/>
        <w:spacing w:before="120" w:beforeLines="50" w:line="336" w:lineRule="auto"/>
        <w:ind w:firstLine="415" w:firstLineChars="198"/>
        <w:rPr>
          <w:szCs w:val="21"/>
        </w:rPr>
      </w:pPr>
      <w:r>
        <w:rPr>
          <w:szCs w:val="21"/>
        </w:rPr>
        <w:t>3.</w:t>
      </w:r>
      <w:r>
        <w:rPr>
          <w:rFonts w:hint="eastAsia"/>
          <w:szCs w:val="21"/>
        </w:rPr>
        <w:t>中标人和采购人签订合同，按合同规定的供货时间供货并安装调试完毕。</w:t>
      </w:r>
    </w:p>
    <w:p w14:paraId="6681A7E8">
      <w:pPr>
        <w:snapToGrid w:val="0"/>
        <w:spacing w:before="120" w:beforeLines="50" w:line="336" w:lineRule="auto"/>
        <w:ind w:firstLine="415" w:firstLineChars="198"/>
        <w:rPr>
          <w:szCs w:val="21"/>
        </w:rPr>
      </w:pPr>
      <w:r>
        <w:rPr>
          <w:szCs w:val="21"/>
        </w:rPr>
        <w:t>4.</w:t>
      </w:r>
      <w:r>
        <w:rPr>
          <w:rFonts w:hint="eastAsia"/>
          <w:szCs w:val="21"/>
        </w:rPr>
        <w:t>已确定中标或者成交供应商但尚未签订政府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14:paraId="17135B2E">
      <w:pPr>
        <w:snapToGrid w:val="0"/>
        <w:spacing w:before="120" w:beforeLines="50" w:line="336" w:lineRule="auto"/>
        <w:rPr>
          <w:b/>
          <w:bCs/>
          <w:sz w:val="24"/>
          <w:szCs w:val="24"/>
        </w:rPr>
      </w:pPr>
      <w:r>
        <w:rPr>
          <w:rFonts w:hint="eastAsia"/>
          <w:b/>
          <w:bCs/>
          <w:sz w:val="24"/>
          <w:szCs w:val="24"/>
        </w:rPr>
        <w:t>（二）合同公告</w:t>
      </w:r>
    </w:p>
    <w:p w14:paraId="5C9DBCC4">
      <w:pPr>
        <w:snapToGrid w:val="0"/>
        <w:spacing w:before="120" w:beforeLines="50" w:line="336" w:lineRule="auto"/>
        <w:ind w:firstLine="415" w:firstLineChars="198"/>
      </w:pPr>
      <w:r>
        <w:rPr>
          <w:rFonts w:hint="eastAsia"/>
          <w:szCs w:val="21"/>
        </w:rPr>
        <w:t>采购人应当自政府采购合同签订之日起</w:t>
      </w:r>
      <w:r>
        <w:rPr>
          <w:szCs w:val="21"/>
        </w:rPr>
        <w:t>2</w:t>
      </w:r>
      <w:r>
        <w:rPr>
          <w:rFonts w:hint="eastAsia"/>
          <w:szCs w:val="21"/>
        </w:rPr>
        <w:t>个工作日内，将政府采购合同在省级以上人民政府财政部门指定的媒体上公告，但政府采购合同中涉及国家秘密、商业秘密的内容除外。</w:t>
      </w:r>
    </w:p>
    <w:p w14:paraId="2A5F88DD">
      <w:pPr>
        <w:widowControl/>
        <w:jc w:val="left"/>
        <w:rPr>
          <w:rFonts w:eastAsia="黑体"/>
          <w:sz w:val="30"/>
        </w:rPr>
      </w:pPr>
      <w:r>
        <w:rPr>
          <w:rFonts w:eastAsia="黑体"/>
          <w:sz w:val="30"/>
        </w:rPr>
        <w:br w:type="page"/>
      </w:r>
    </w:p>
    <w:p w14:paraId="2E126213">
      <w:pPr>
        <w:snapToGrid w:val="0"/>
        <w:spacing w:before="120" w:line="360" w:lineRule="auto"/>
        <w:ind w:right="-87"/>
        <w:jc w:val="center"/>
        <w:rPr>
          <w:rFonts w:eastAsia="黑体"/>
          <w:sz w:val="30"/>
        </w:rPr>
      </w:pPr>
      <w:r>
        <w:rPr>
          <w:rFonts w:hint="eastAsia" w:eastAsia="黑体"/>
          <w:sz w:val="30"/>
        </w:rPr>
        <w:t>第四章 评标办法及评分标准</w:t>
      </w:r>
    </w:p>
    <w:p w14:paraId="124939F0">
      <w:pPr>
        <w:snapToGrid w:val="0"/>
        <w:spacing w:before="120" w:line="336" w:lineRule="auto"/>
        <w:ind w:right="-87" w:firstLine="103" w:firstLineChars="49"/>
        <w:outlineLvl w:val="0"/>
        <w:rPr>
          <w:rFonts w:hint="eastAsia" w:hAnsi="宋体"/>
        </w:rPr>
      </w:pPr>
      <w:r>
        <w:rPr>
          <w:rFonts w:hint="eastAsia" w:hAnsi="宋体"/>
          <w:b/>
        </w:rPr>
        <w:t>综合评分法</w:t>
      </w:r>
    </w:p>
    <w:p w14:paraId="1E406729">
      <w:pPr>
        <w:snapToGrid w:val="0"/>
        <w:spacing w:line="336" w:lineRule="auto"/>
        <w:ind w:right="-87"/>
        <w:jc w:val="center"/>
        <w:rPr>
          <w:rFonts w:hint="eastAsia" w:ascii="宋体" w:hAnsi="宋体"/>
          <w:b/>
          <w:sz w:val="24"/>
          <w:szCs w:val="24"/>
        </w:rPr>
      </w:pPr>
      <w:r>
        <w:rPr>
          <w:rFonts w:hint="eastAsia" w:ascii="宋体"/>
          <w:b/>
          <w:sz w:val="24"/>
          <w:szCs w:val="24"/>
        </w:rPr>
        <w:t>2025年嵊泗县市场监督管理局食品安全抽检检测项目</w:t>
      </w:r>
      <w:r>
        <w:rPr>
          <w:rFonts w:hint="eastAsia"/>
          <w:b/>
          <w:sz w:val="24"/>
          <w:szCs w:val="24"/>
        </w:rPr>
        <w:t>评标办法</w:t>
      </w:r>
    </w:p>
    <w:p w14:paraId="27C24180">
      <w:pPr>
        <w:snapToGrid w:val="0"/>
        <w:spacing w:line="336" w:lineRule="auto"/>
        <w:ind w:right="-87" w:firstLine="420"/>
        <w:rPr>
          <w:rFonts w:hint="eastAsia" w:ascii="宋体" w:hAnsi="宋体"/>
        </w:rPr>
      </w:pPr>
      <w:r>
        <w:rPr>
          <w:rFonts w:hint="eastAsia" w:ascii="宋体" w:hAnsi="宋体"/>
        </w:rPr>
        <w:t>为公正、公平、科学地选择中标人，根据《中华人民共和国政府采购法》等有关法律法规的规定，并结合本项目的实际，制定本办法。</w:t>
      </w:r>
    </w:p>
    <w:p w14:paraId="6257886A">
      <w:pPr>
        <w:snapToGrid w:val="0"/>
        <w:spacing w:line="336" w:lineRule="auto"/>
        <w:ind w:right="-87" w:firstLine="420"/>
        <w:rPr>
          <w:rFonts w:hint="eastAsia" w:ascii="宋体" w:hAnsi="宋体"/>
        </w:rPr>
      </w:pPr>
      <w:r>
        <w:rPr>
          <w:rFonts w:hint="eastAsia" w:ascii="宋体" w:hAnsi="宋体"/>
          <w:szCs w:val="21"/>
        </w:rPr>
        <w:t>本办法适用于</w:t>
      </w:r>
      <w:r>
        <w:rPr>
          <w:rFonts w:hint="eastAsia"/>
          <w:szCs w:val="21"/>
        </w:rPr>
        <w:t>2025年嵊泗县市场监督管理局食品安全抽检检测项目</w:t>
      </w:r>
      <w:r>
        <w:rPr>
          <w:rFonts w:hint="eastAsia" w:ascii="宋体" w:hAnsi="宋体"/>
          <w:szCs w:val="21"/>
        </w:rPr>
        <w:t>的评标。</w:t>
      </w:r>
    </w:p>
    <w:p w14:paraId="53193E32">
      <w:pPr>
        <w:snapToGrid w:val="0"/>
        <w:spacing w:line="336" w:lineRule="auto"/>
        <w:ind w:left="756" w:leftChars="114" w:right="-87" w:hanging="517" w:hangingChars="245"/>
        <w:rPr>
          <w:rFonts w:hint="eastAsia" w:ascii="宋体" w:hAnsi="宋体"/>
        </w:rPr>
      </w:pPr>
      <w:r>
        <w:rPr>
          <w:rFonts w:hint="eastAsia" w:ascii="宋体" w:hAnsi="宋体"/>
          <w:b/>
        </w:rPr>
        <w:t>中标依据：</w:t>
      </w:r>
      <w:r>
        <w:rPr>
          <w:rFonts w:hint="eastAsia" w:ascii="宋体" w:hAnsi="宋体"/>
        </w:rPr>
        <w:t>在不高于</w:t>
      </w:r>
      <w:r>
        <w:rPr>
          <w:rFonts w:hint="eastAsia" w:ascii="宋体" w:hAnsi="宋体"/>
          <w:u w:val="single"/>
        </w:rPr>
        <w:t>最高限价</w:t>
      </w:r>
      <w:r>
        <w:rPr>
          <w:rFonts w:hint="eastAsia" w:ascii="宋体" w:hAnsi="宋体"/>
        </w:rPr>
        <w:t>的前提下，</w:t>
      </w:r>
      <w:r>
        <w:rPr>
          <w:rFonts w:hint="eastAsia" w:ascii="宋体" w:hAnsi="宋体"/>
          <w:u w:val="single"/>
        </w:rPr>
        <w:t>综合评估分</w:t>
      </w:r>
      <w:r>
        <w:rPr>
          <w:rFonts w:hint="eastAsia" w:ascii="宋体" w:hAnsi="宋体"/>
        </w:rPr>
        <w:t xml:space="preserve">最高者为中标候选人。   </w:t>
      </w:r>
    </w:p>
    <w:p w14:paraId="0A73EF64">
      <w:pPr>
        <w:snapToGrid w:val="0"/>
        <w:spacing w:line="336" w:lineRule="auto"/>
        <w:ind w:left="756" w:leftChars="114" w:right="-87" w:hanging="517" w:hangingChars="245"/>
        <w:rPr>
          <w:rFonts w:hint="eastAsia" w:ascii="宋体" w:hAnsi="宋体"/>
          <w:b/>
          <w:u w:val="single"/>
        </w:rPr>
      </w:pPr>
      <w:r>
        <w:rPr>
          <w:rFonts w:hint="eastAsia" w:ascii="宋体" w:hAnsi="宋体"/>
          <w:b/>
          <w:u w:val="single"/>
        </w:rPr>
        <w:t xml:space="preserve">  最高限价：指预算金额。</w:t>
      </w:r>
    </w:p>
    <w:p w14:paraId="1CB38009">
      <w:pPr>
        <w:snapToGrid w:val="0"/>
        <w:spacing w:line="336" w:lineRule="auto"/>
        <w:ind w:right="-87" w:firstLine="517" w:firstLineChars="245"/>
        <w:rPr>
          <w:rFonts w:hint="eastAsia" w:ascii="宋体" w:hAnsi="宋体"/>
          <w:b/>
        </w:rPr>
      </w:pPr>
      <w:r>
        <w:rPr>
          <w:rFonts w:hint="eastAsia" w:ascii="宋体" w:hAnsi="宋体"/>
          <w:b/>
        </w:rPr>
        <w:t>报价的计分方法：</w:t>
      </w:r>
    </w:p>
    <w:p w14:paraId="2D438F4B">
      <w:pPr>
        <w:autoSpaceDE w:val="0"/>
        <w:autoSpaceDN w:val="0"/>
        <w:adjustRightInd w:val="0"/>
        <w:snapToGrid w:val="0"/>
        <w:spacing w:line="336" w:lineRule="auto"/>
        <w:ind w:right="-87" w:firstLine="411" w:firstLineChars="196"/>
        <w:rPr>
          <w:rFonts w:hint="eastAsia" w:ascii="宋体" w:hAnsi="宋体"/>
          <w:lang w:val="zh-CN"/>
        </w:rPr>
      </w:pPr>
      <w:r>
        <w:rPr>
          <w:rFonts w:hint="eastAsia" w:ascii="宋体" w:hAnsi="宋体"/>
          <w:lang w:val="zh-CN"/>
        </w:rPr>
        <w:t>满足招标文件要求且投标价格最低的投标报价为评标基准价，其价格分为满分，其他投标人的价格分按下列公式计算：</w:t>
      </w:r>
    </w:p>
    <w:p w14:paraId="13DD08AA">
      <w:pPr>
        <w:autoSpaceDE w:val="0"/>
        <w:autoSpaceDN w:val="0"/>
        <w:adjustRightInd w:val="0"/>
        <w:snapToGrid w:val="0"/>
        <w:spacing w:line="336" w:lineRule="auto"/>
        <w:ind w:right="-87" w:firstLine="550" w:firstLineChars="262"/>
        <w:rPr>
          <w:rFonts w:hint="eastAsia" w:ascii="宋体" w:hAnsi="宋体"/>
          <w:lang w:val="zh-CN"/>
        </w:rPr>
      </w:pPr>
      <w:r>
        <w:rPr>
          <w:rFonts w:hint="eastAsia" w:ascii="宋体" w:hAnsi="宋体"/>
          <w:lang w:val="zh-CN"/>
        </w:rPr>
        <w:t>价格得分＝（评标基准价/投标报价）×价格权重×100。</w:t>
      </w:r>
    </w:p>
    <w:tbl>
      <w:tblPr>
        <w:tblStyle w:val="60"/>
        <w:tblW w:w="7740" w:type="dxa"/>
        <w:tblInd w:w="6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40"/>
        <w:gridCol w:w="2700"/>
      </w:tblGrid>
      <w:tr w14:paraId="02D7A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5040" w:type="dxa"/>
            <w:tcBorders>
              <w:top w:val="single" w:color="auto" w:sz="4" w:space="0"/>
              <w:left w:val="single" w:color="auto" w:sz="4" w:space="0"/>
              <w:bottom w:val="single" w:color="auto" w:sz="4" w:space="0"/>
              <w:right w:val="single" w:color="auto" w:sz="4" w:space="0"/>
            </w:tcBorders>
            <w:vAlign w:val="center"/>
          </w:tcPr>
          <w:p w14:paraId="21A22220">
            <w:pPr>
              <w:spacing w:line="336" w:lineRule="auto"/>
              <w:ind w:right="-341"/>
              <w:jc w:val="center"/>
              <w:rPr>
                <w:rFonts w:hint="eastAsia" w:ascii="宋体" w:hAnsi="宋体"/>
              </w:rPr>
            </w:pPr>
            <w:r>
              <w:rPr>
                <w:rFonts w:hint="eastAsia" w:ascii="宋体" w:hAnsi="宋体"/>
                <w:lang w:val="zh-CN"/>
              </w:rPr>
              <w:t>评价指标和各评价权重指标：</w:t>
            </w:r>
            <w:r>
              <w:rPr>
                <w:rFonts w:hint="eastAsia" w:ascii="宋体" w:hAnsi="宋体"/>
              </w:rPr>
              <w:t>评标指标</w:t>
            </w:r>
          </w:p>
        </w:tc>
        <w:tc>
          <w:tcPr>
            <w:tcW w:w="2700" w:type="dxa"/>
            <w:tcBorders>
              <w:top w:val="single" w:color="auto" w:sz="4" w:space="0"/>
              <w:left w:val="single" w:color="auto" w:sz="4" w:space="0"/>
              <w:bottom w:val="single" w:color="auto" w:sz="4" w:space="0"/>
              <w:right w:val="single" w:color="auto" w:sz="4" w:space="0"/>
            </w:tcBorders>
            <w:vAlign w:val="center"/>
          </w:tcPr>
          <w:p w14:paraId="6403DA39">
            <w:pPr>
              <w:spacing w:line="336" w:lineRule="auto"/>
              <w:ind w:right="-341"/>
              <w:jc w:val="center"/>
              <w:rPr>
                <w:rFonts w:hint="eastAsia" w:ascii="宋体" w:hAnsi="宋体"/>
              </w:rPr>
            </w:pPr>
            <w:r>
              <w:rPr>
                <w:rFonts w:hint="eastAsia" w:ascii="宋体" w:hAnsi="宋体"/>
              </w:rPr>
              <w:t>权重（％）</w:t>
            </w:r>
          </w:p>
        </w:tc>
      </w:tr>
      <w:tr w14:paraId="577EB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 w:hRule="atLeast"/>
        </w:trPr>
        <w:tc>
          <w:tcPr>
            <w:tcW w:w="5040" w:type="dxa"/>
            <w:tcBorders>
              <w:top w:val="single" w:color="auto" w:sz="4" w:space="0"/>
              <w:left w:val="single" w:color="auto" w:sz="4" w:space="0"/>
              <w:right w:val="single" w:color="auto" w:sz="4" w:space="0"/>
            </w:tcBorders>
            <w:vAlign w:val="center"/>
          </w:tcPr>
          <w:p w14:paraId="26A868A6">
            <w:pPr>
              <w:spacing w:line="336" w:lineRule="auto"/>
              <w:ind w:right="-341"/>
              <w:jc w:val="center"/>
              <w:rPr>
                <w:rFonts w:hint="eastAsia" w:ascii="宋体" w:hAnsi="宋体"/>
              </w:rPr>
            </w:pPr>
            <w:r>
              <w:rPr>
                <w:rFonts w:hint="eastAsia" w:ascii="宋体" w:hAnsi="宋体"/>
              </w:rPr>
              <w:t>商务、技术部分</w:t>
            </w:r>
          </w:p>
        </w:tc>
        <w:tc>
          <w:tcPr>
            <w:tcW w:w="2700" w:type="dxa"/>
            <w:tcBorders>
              <w:top w:val="single" w:color="auto" w:sz="4" w:space="0"/>
              <w:left w:val="single" w:color="auto" w:sz="4" w:space="0"/>
              <w:right w:val="single" w:color="auto" w:sz="4" w:space="0"/>
            </w:tcBorders>
            <w:vAlign w:val="center"/>
          </w:tcPr>
          <w:p w14:paraId="25C37C27">
            <w:pPr>
              <w:spacing w:line="336" w:lineRule="auto"/>
              <w:ind w:right="-341"/>
              <w:jc w:val="center"/>
              <w:rPr>
                <w:rFonts w:hint="eastAsia" w:ascii="宋体" w:hAnsi="宋体"/>
              </w:rPr>
            </w:pPr>
            <w:r>
              <w:rPr>
                <w:rFonts w:hint="eastAsia" w:ascii="宋体" w:hAnsi="宋体"/>
              </w:rPr>
              <w:t>90</w:t>
            </w:r>
          </w:p>
        </w:tc>
      </w:tr>
      <w:tr w14:paraId="4FAF5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5040" w:type="dxa"/>
            <w:tcBorders>
              <w:top w:val="single" w:color="auto" w:sz="4" w:space="0"/>
              <w:left w:val="single" w:color="auto" w:sz="4" w:space="0"/>
              <w:bottom w:val="single" w:color="auto" w:sz="4" w:space="0"/>
              <w:right w:val="single" w:color="auto" w:sz="4" w:space="0"/>
            </w:tcBorders>
            <w:vAlign w:val="center"/>
          </w:tcPr>
          <w:p w14:paraId="33776DF8">
            <w:pPr>
              <w:spacing w:line="336" w:lineRule="auto"/>
              <w:ind w:right="-341"/>
              <w:jc w:val="center"/>
              <w:rPr>
                <w:rFonts w:hint="eastAsia" w:ascii="宋体" w:hAnsi="宋体"/>
              </w:rPr>
            </w:pPr>
            <w:r>
              <w:rPr>
                <w:rFonts w:hint="eastAsia" w:ascii="宋体" w:hAnsi="宋体"/>
              </w:rPr>
              <w:t>投标报价</w:t>
            </w:r>
          </w:p>
        </w:tc>
        <w:tc>
          <w:tcPr>
            <w:tcW w:w="2700" w:type="dxa"/>
            <w:tcBorders>
              <w:top w:val="single" w:color="auto" w:sz="4" w:space="0"/>
              <w:left w:val="single" w:color="auto" w:sz="4" w:space="0"/>
              <w:bottom w:val="single" w:color="auto" w:sz="4" w:space="0"/>
              <w:right w:val="single" w:color="auto" w:sz="4" w:space="0"/>
            </w:tcBorders>
            <w:vAlign w:val="center"/>
          </w:tcPr>
          <w:p w14:paraId="07C29A8A">
            <w:pPr>
              <w:spacing w:line="336" w:lineRule="auto"/>
              <w:ind w:right="-341"/>
              <w:jc w:val="center"/>
              <w:rPr>
                <w:rFonts w:hint="eastAsia" w:ascii="宋体" w:hAnsi="宋体"/>
              </w:rPr>
            </w:pPr>
            <w:r>
              <w:rPr>
                <w:rFonts w:hint="eastAsia" w:ascii="宋体" w:hAnsi="宋体"/>
              </w:rPr>
              <w:t>10</w:t>
            </w:r>
          </w:p>
        </w:tc>
      </w:tr>
      <w:tr w14:paraId="6C9FA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5040" w:type="dxa"/>
            <w:tcBorders>
              <w:top w:val="single" w:color="auto" w:sz="4" w:space="0"/>
              <w:left w:val="single" w:color="auto" w:sz="4" w:space="0"/>
              <w:bottom w:val="single" w:color="auto" w:sz="4" w:space="0"/>
              <w:right w:val="single" w:color="auto" w:sz="4" w:space="0"/>
            </w:tcBorders>
            <w:vAlign w:val="center"/>
          </w:tcPr>
          <w:p w14:paraId="1401FB07">
            <w:pPr>
              <w:spacing w:line="336" w:lineRule="auto"/>
              <w:ind w:right="-341"/>
              <w:jc w:val="center"/>
              <w:rPr>
                <w:rFonts w:hint="eastAsia" w:ascii="宋体" w:hAnsi="宋体"/>
              </w:rPr>
            </w:pPr>
            <w:r>
              <w:rPr>
                <w:rFonts w:hint="eastAsia" w:ascii="宋体" w:hAnsi="宋体"/>
              </w:rPr>
              <w:t>合计</w:t>
            </w:r>
          </w:p>
        </w:tc>
        <w:tc>
          <w:tcPr>
            <w:tcW w:w="2700" w:type="dxa"/>
            <w:tcBorders>
              <w:top w:val="single" w:color="auto" w:sz="4" w:space="0"/>
              <w:left w:val="single" w:color="auto" w:sz="4" w:space="0"/>
              <w:bottom w:val="single" w:color="auto" w:sz="4" w:space="0"/>
              <w:right w:val="single" w:color="auto" w:sz="4" w:space="0"/>
            </w:tcBorders>
            <w:vAlign w:val="center"/>
          </w:tcPr>
          <w:p w14:paraId="2B07FDC8">
            <w:pPr>
              <w:spacing w:line="336" w:lineRule="auto"/>
              <w:ind w:right="-341"/>
              <w:jc w:val="center"/>
              <w:rPr>
                <w:rFonts w:hint="eastAsia" w:ascii="宋体" w:hAnsi="宋体"/>
              </w:rPr>
            </w:pPr>
            <w:r>
              <w:rPr>
                <w:rFonts w:hint="eastAsia" w:ascii="宋体" w:hAnsi="宋体"/>
              </w:rPr>
              <w:t>100</w:t>
            </w:r>
          </w:p>
        </w:tc>
      </w:tr>
    </w:tbl>
    <w:p w14:paraId="44706543">
      <w:pPr>
        <w:autoSpaceDE w:val="0"/>
        <w:autoSpaceDN w:val="0"/>
        <w:adjustRightInd w:val="0"/>
        <w:spacing w:line="336" w:lineRule="auto"/>
        <w:ind w:right="-341" w:firstLine="424" w:firstLineChars="202"/>
        <w:rPr>
          <w:rFonts w:hint="eastAsia" w:ascii="宋体" w:hAnsi="宋体"/>
        </w:rPr>
      </w:pPr>
      <w:r>
        <w:rPr>
          <w:rFonts w:hint="eastAsia" w:ascii="宋体" w:hAnsi="宋体"/>
        </w:rPr>
        <w:t>综合评估分=商务技术得分＋价格得分(评分过程中采用四舍五入法，并保留小数2位)</w:t>
      </w:r>
    </w:p>
    <w:p w14:paraId="26E986CB">
      <w:pPr>
        <w:autoSpaceDE w:val="0"/>
        <w:autoSpaceDN w:val="0"/>
        <w:adjustRightInd w:val="0"/>
        <w:spacing w:line="336" w:lineRule="auto"/>
        <w:ind w:right="-341" w:firstLine="424" w:firstLineChars="202"/>
        <w:rPr>
          <w:rFonts w:hint="eastAsia" w:ascii="宋体" w:hAnsi="宋体"/>
        </w:rPr>
      </w:pPr>
      <w:r>
        <w:rPr>
          <w:rFonts w:hint="eastAsia" w:ascii="宋体" w:hAnsi="宋体"/>
        </w:rPr>
        <w:t>将综合评估分从高到低排序，得出参投标人名次。得分相同时，按投标报价由低到高顺序排列，得分且投标报价相同的，按技术指标优劣顺序排列</w:t>
      </w:r>
    </w:p>
    <w:p w14:paraId="67E4F036">
      <w:pPr>
        <w:tabs>
          <w:tab w:val="left" w:pos="1620"/>
        </w:tabs>
        <w:spacing w:line="336" w:lineRule="auto"/>
        <w:ind w:left="1111" w:leftChars="228" w:right="-341" w:hanging="632" w:hangingChars="300"/>
        <w:rPr>
          <w:rFonts w:hint="eastAsia" w:ascii="宋体" w:hAnsi="宋体"/>
          <w:b/>
        </w:rPr>
      </w:pPr>
      <w:r>
        <w:rPr>
          <w:rFonts w:hint="eastAsia" w:ascii="宋体" w:hAnsi="宋体"/>
          <w:b/>
        </w:rPr>
        <w:t xml:space="preserve"> 候选中标商的选取</w:t>
      </w:r>
    </w:p>
    <w:p w14:paraId="54E038FC">
      <w:pPr>
        <w:ind w:firstLine="420" w:firstLineChars="200"/>
        <w:rPr>
          <w:b/>
          <w:sz w:val="24"/>
          <w:szCs w:val="24"/>
        </w:rPr>
      </w:pPr>
      <w:r>
        <w:rPr>
          <w:rFonts w:hint="eastAsia" w:ascii="宋体" w:hAnsi="宋体"/>
        </w:rPr>
        <w:t>按照综合评估分名次推荐候选中标人1名。</w:t>
      </w:r>
    </w:p>
    <w:p w14:paraId="38F6EE91">
      <w:pPr>
        <w:spacing w:line="200" w:lineRule="exact"/>
        <w:ind w:firstLine="301"/>
        <w:rPr>
          <w:rFonts w:ascii="宋体" w:hAnsi="Courier New"/>
          <w:spacing w:val="-4"/>
          <w:kern w:val="0"/>
          <w:sz w:val="18"/>
        </w:rPr>
      </w:pPr>
    </w:p>
    <w:p w14:paraId="742B1467">
      <w:pPr>
        <w:rPr>
          <w:rFonts w:hint="eastAsia" w:ascii="等线" w:hAnsi="等线" w:eastAsia="等线"/>
        </w:rPr>
      </w:pPr>
    </w:p>
    <w:p w14:paraId="33BAAA8E">
      <w:pPr>
        <w:spacing w:line="200" w:lineRule="exact"/>
        <w:ind w:firstLine="301"/>
        <w:rPr>
          <w:rFonts w:ascii="宋体" w:hAnsi="Courier New"/>
          <w:spacing w:val="-4"/>
          <w:kern w:val="0"/>
          <w:sz w:val="18"/>
        </w:rPr>
      </w:pPr>
    </w:p>
    <w:p w14:paraId="1B2DDC3C">
      <w:pPr>
        <w:rPr>
          <w:rFonts w:hint="eastAsia" w:ascii="等线" w:hAnsi="等线" w:eastAsia="等线"/>
        </w:rPr>
      </w:pPr>
    </w:p>
    <w:p w14:paraId="4966AAAF">
      <w:pPr>
        <w:spacing w:line="200" w:lineRule="exact"/>
        <w:ind w:firstLine="301"/>
        <w:rPr>
          <w:rFonts w:ascii="宋体" w:hAnsi="Courier New"/>
          <w:spacing w:val="-4"/>
          <w:kern w:val="0"/>
          <w:sz w:val="18"/>
        </w:rPr>
      </w:pPr>
    </w:p>
    <w:p w14:paraId="02AEE0F5">
      <w:pPr>
        <w:rPr>
          <w:rFonts w:hint="eastAsia" w:ascii="等线" w:hAnsi="等线" w:eastAsia="等线"/>
        </w:rPr>
      </w:pPr>
    </w:p>
    <w:p w14:paraId="09F8C144">
      <w:pPr>
        <w:spacing w:line="200" w:lineRule="exact"/>
        <w:ind w:firstLine="301"/>
        <w:rPr>
          <w:rFonts w:ascii="宋体" w:hAnsi="Courier New"/>
          <w:spacing w:val="-4"/>
          <w:kern w:val="0"/>
          <w:sz w:val="18"/>
        </w:rPr>
      </w:pPr>
    </w:p>
    <w:p w14:paraId="271B1244">
      <w:pPr>
        <w:rPr>
          <w:rFonts w:hint="eastAsia" w:ascii="等线" w:hAnsi="等线" w:eastAsia="等线"/>
        </w:rPr>
      </w:pPr>
    </w:p>
    <w:p w14:paraId="54988CE4">
      <w:pPr>
        <w:widowControl/>
        <w:jc w:val="left"/>
        <w:rPr>
          <w:rFonts w:ascii="宋体" w:hAnsi="Courier New"/>
          <w:spacing w:val="-4"/>
          <w:kern w:val="0"/>
          <w:sz w:val="18"/>
        </w:rPr>
      </w:pPr>
      <w:r>
        <w:rPr>
          <w:rFonts w:ascii="等线" w:hAnsi="等线" w:eastAsia="等线"/>
        </w:rPr>
        <w:br w:type="page"/>
      </w:r>
    </w:p>
    <w:p w14:paraId="7B61DB62">
      <w:pPr>
        <w:spacing w:line="288" w:lineRule="auto"/>
        <w:ind w:right="-341"/>
        <w:jc w:val="center"/>
        <w:rPr>
          <w:szCs w:val="21"/>
        </w:rPr>
      </w:pPr>
      <w:r>
        <w:rPr>
          <w:rFonts w:hint="eastAsia"/>
          <w:b/>
          <w:sz w:val="24"/>
          <w:szCs w:val="24"/>
        </w:rPr>
        <w:t>2025年嵊泗县市场监督管理局食品安全抽检检测项目评分表</w:t>
      </w:r>
    </w:p>
    <w:p w14:paraId="742A2AF2">
      <w:pPr>
        <w:spacing w:line="288" w:lineRule="auto"/>
        <w:ind w:right="-341"/>
        <w:jc w:val="left"/>
        <w:rPr>
          <w:b/>
          <w:szCs w:val="21"/>
        </w:rPr>
      </w:pPr>
    </w:p>
    <w:p w14:paraId="10BE78EF">
      <w:pPr>
        <w:spacing w:line="288" w:lineRule="auto"/>
        <w:ind w:right="-341"/>
        <w:jc w:val="left"/>
        <w:rPr>
          <w:b/>
          <w:szCs w:val="21"/>
        </w:rPr>
      </w:pPr>
      <w:r>
        <w:rPr>
          <w:rFonts w:hint="eastAsia"/>
          <w:b/>
          <w:szCs w:val="21"/>
        </w:rPr>
        <w:t>项目名称：2025年嵊泗县市场监督管理局食品安全抽检检测项目</w:t>
      </w:r>
    </w:p>
    <w:p w14:paraId="76321567">
      <w:pPr>
        <w:spacing w:line="360" w:lineRule="auto"/>
        <w:ind w:right="-341"/>
        <w:jc w:val="left"/>
        <w:rPr>
          <w:b/>
          <w:szCs w:val="21"/>
        </w:rPr>
      </w:pPr>
      <w:r>
        <w:rPr>
          <w:rFonts w:hint="eastAsia" w:ascii="宋体" w:hAnsi="宋体"/>
          <w:b/>
          <w:szCs w:val="21"/>
        </w:rPr>
        <w:t>项目编号：SZGXZS2025008</w:t>
      </w:r>
    </w:p>
    <w:tbl>
      <w:tblPr>
        <w:tblStyle w:val="60"/>
        <w:tblW w:w="10044" w:type="dxa"/>
        <w:tblInd w:w="-4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Layout w:type="fixed"/>
        <w:tblCellMar>
          <w:top w:w="0" w:type="dxa"/>
          <w:left w:w="108" w:type="dxa"/>
          <w:bottom w:w="0" w:type="dxa"/>
          <w:right w:w="108" w:type="dxa"/>
        </w:tblCellMar>
      </w:tblPr>
      <w:tblGrid>
        <w:gridCol w:w="1092"/>
        <w:gridCol w:w="1092"/>
        <w:gridCol w:w="768"/>
        <w:gridCol w:w="6384"/>
        <w:gridCol w:w="708"/>
      </w:tblGrid>
      <w:tr w14:paraId="52D04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092" w:type="dxa"/>
            <w:vMerge w:val="restart"/>
            <w:shd w:val="clear" w:color="auto" w:fill="auto"/>
            <w:vAlign w:val="center"/>
          </w:tcPr>
          <w:p w14:paraId="7A6C138A">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评审项目</w:t>
            </w:r>
          </w:p>
        </w:tc>
        <w:tc>
          <w:tcPr>
            <w:tcW w:w="1092" w:type="dxa"/>
            <w:vMerge w:val="restart"/>
            <w:shd w:val="clear" w:color="auto" w:fill="auto"/>
            <w:vAlign w:val="center"/>
          </w:tcPr>
          <w:p w14:paraId="1F36908B">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评审内容</w:t>
            </w:r>
          </w:p>
        </w:tc>
        <w:tc>
          <w:tcPr>
            <w:tcW w:w="768" w:type="dxa"/>
            <w:vMerge w:val="restart"/>
            <w:shd w:val="clear" w:color="auto" w:fill="auto"/>
            <w:vAlign w:val="center"/>
          </w:tcPr>
          <w:p w14:paraId="0B53DE45">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得分</w:t>
            </w:r>
          </w:p>
        </w:tc>
        <w:tc>
          <w:tcPr>
            <w:tcW w:w="6384" w:type="dxa"/>
            <w:vMerge w:val="restart"/>
            <w:shd w:val="clear" w:color="auto" w:fill="auto"/>
            <w:noWrap/>
            <w:vAlign w:val="center"/>
          </w:tcPr>
          <w:p w14:paraId="2B82B244">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评分标准</w:t>
            </w:r>
          </w:p>
        </w:tc>
        <w:tc>
          <w:tcPr>
            <w:tcW w:w="708" w:type="dxa"/>
            <w:vMerge w:val="restart"/>
            <w:shd w:val="clear" w:color="auto" w:fill="auto"/>
            <w:noWrap/>
            <w:vAlign w:val="center"/>
          </w:tcPr>
          <w:p w14:paraId="4FFDB331">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得分</w:t>
            </w:r>
          </w:p>
        </w:tc>
      </w:tr>
      <w:tr w14:paraId="75DCB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396" w:hRule="atLeast"/>
        </w:trPr>
        <w:tc>
          <w:tcPr>
            <w:tcW w:w="1092" w:type="dxa"/>
            <w:vMerge w:val="continue"/>
            <w:shd w:val="clear" w:color="auto" w:fill="auto"/>
            <w:vAlign w:val="center"/>
          </w:tcPr>
          <w:p w14:paraId="1C137AFB">
            <w:pPr>
              <w:widowControl/>
              <w:jc w:val="left"/>
              <w:rPr>
                <w:rFonts w:hint="eastAsia" w:ascii="宋体" w:hAnsi="宋体" w:cs="宋体"/>
                <w:b/>
                <w:bCs/>
                <w:color w:val="000000"/>
                <w:kern w:val="0"/>
                <w:szCs w:val="21"/>
              </w:rPr>
            </w:pPr>
          </w:p>
        </w:tc>
        <w:tc>
          <w:tcPr>
            <w:tcW w:w="1092" w:type="dxa"/>
            <w:vMerge w:val="continue"/>
            <w:shd w:val="clear" w:color="auto" w:fill="auto"/>
            <w:vAlign w:val="center"/>
          </w:tcPr>
          <w:p w14:paraId="3261B6AB">
            <w:pPr>
              <w:widowControl/>
              <w:jc w:val="center"/>
              <w:rPr>
                <w:rFonts w:hint="eastAsia" w:ascii="宋体" w:hAnsi="宋体" w:cs="宋体"/>
                <w:b/>
                <w:bCs/>
                <w:color w:val="000000"/>
                <w:kern w:val="0"/>
                <w:szCs w:val="21"/>
              </w:rPr>
            </w:pPr>
          </w:p>
        </w:tc>
        <w:tc>
          <w:tcPr>
            <w:tcW w:w="768" w:type="dxa"/>
            <w:vMerge w:val="continue"/>
            <w:shd w:val="clear" w:color="auto" w:fill="auto"/>
            <w:vAlign w:val="center"/>
          </w:tcPr>
          <w:p w14:paraId="69A97C89">
            <w:pPr>
              <w:widowControl/>
              <w:jc w:val="left"/>
              <w:rPr>
                <w:rFonts w:hint="eastAsia" w:ascii="宋体" w:hAnsi="宋体" w:cs="宋体"/>
                <w:b/>
                <w:bCs/>
                <w:color w:val="000000"/>
                <w:kern w:val="0"/>
                <w:szCs w:val="21"/>
              </w:rPr>
            </w:pPr>
          </w:p>
        </w:tc>
        <w:tc>
          <w:tcPr>
            <w:tcW w:w="6384" w:type="dxa"/>
            <w:vMerge w:val="continue"/>
            <w:shd w:val="clear" w:color="auto" w:fill="auto"/>
            <w:vAlign w:val="center"/>
          </w:tcPr>
          <w:p w14:paraId="261B7960">
            <w:pPr>
              <w:widowControl/>
              <w:jc w:val="left"/>
              <w:rPr>
                <w:rFonts w:hint="eastAsia" w:ascii="宋体" w:hAnsi="宋体" w:cs="宋体"/>
                <w:b/>
                <w:bCs/>
                <w:color w:val="000000"/>
                <w:kern w:val="0"/>
                <w:szCs w:val="21"/>
              </w:rPr>
            </w:pPr>
          </w:p>
        </w:tc>
        <w:tc>
          <w:tcPr>
            <w:tcW w:w="708" w:type="dxa"/>
            <w:vMerge w:val="continue"/>
            <w:shd w:val="clear" w:color="auto" w:fill="auto"/>
            <w:vAlign w:val="center"/>
          </w:tcPr>
          <w:p w14:paraId="070C170B">
            <w:pPr>
              <w:widowControl/>
              <w:jc w:val="left"/>
              <w:rPr>
                <w:rFonts w:hint="eastAsia" w:ascii="宋体" w:hAnsi="宋体" w:cs="宋体"/>
                <w:b/>
                <w:bCs/>
                <w:color w:val="000000"/>
                <w:kern w:val="0"/>
                <w:szCs w:val="21"/>
              </w:rPr>
            </w:pPr>
          </w:p>
        </w:tc>
      </w:tr>
      <w:tr w14:paraId="71245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480" w:hRule="atLeast"/>
        </w:trPr>
        <w:tc>
          <w:tcPr>
            <w:tcW w:w="1092" w:type="dxa"/>
            <w:vMerge w:val="restart"/>
            <w:shd w:val="clear" w:color="auto" w:fill="auto"/>
            <w:vAlign w:val="center"/>
          </w:tcPr>
          <w:p w14:paraId="2FB96F7C">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商务技术</w:t>
            </w:r>
          </w:p>
          <w:p w14:paraId="77F6A410">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部分</w:t>
            </w:r>
          </w:p>
          <w:p w14:paraId="4C00E69C">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（90分）</w:t>
            </w:r>
          </w:p>
        </w:tc>
        <w:tc>
          <w:tcPr>
            <w:tcW w:w="1092" w:type="dxa"/>
            <w:shd w:val="clear" w:color="auto" w:fill="auto"/>
            <w:noWrap/>
            <w:vAlign w:val="center"/>
          </w:tcPr>
          <w:p w14:paraId="599BBE9E">
            <w:pPr>
              <w:widowControl/>
              <w:jc w:val="center"/>
              <w:rPr>
                <w:rFonts w:hint="eastAsia" w:ascii="宋体" w:hAnsi="宋体" w:cs="宋体"/>
                <w:color w:val="000000"/>
                <w:kern w:val="0"/>
                <w:szCs w:val="21"/>
              </w:rPr>
            </w:pPr>
            <w:r>
              <w:rPr>
                <w:rFonts w:hint="eastAsia" w:ascii="宋体" w:hAnsi="宋体" w:cs="宋体"/>
                <w:color w:val="000000"/>
                <w:kern w:val="0"/>
                <w:szCs w:val="21"/>
              </w:rPr>
              <w:t>成功案例</w:t>
            </w:r>
          </w:p>
        </w:tc>
        <w:tc>
          <w:tcPr>
            <w:tcW w:w="768" w:type="dxa"/>
            <w:shd w:val="clear" w:color="auto" w:fill="auto"/>
            <w:noWrap/>
            <w:vAlign w:val="center"/>
          </w:tcPr>
          <w:p w14:paraId="46ECAC55">
            <w:pPr>
              <w:widowControl/>
              <w:jc w:val="center"/>
              <w:rPr>
                <w:rFonts w:hint="eastAsia" w:ascii="宋体" w:hAnsi="宋体" w:cs="宋体"/>
                <w:color w:val="000000"/>
                <w:kern w:val="0"/>
                <w:szCs w:val="21"/>
              </w:rPr>
            </w:pPr>
            <w:r>
              <w:rPr>
                <w:rFonts w:hint="eastAsia" w:ascii="宋体" w:hAnsi="宋体" w:cs="宋体"/>
                <w:color w:val="000000"/>
                <w:kern w:val="0"/>
                <w:szCs w:val="21"/>
              </w:rPr>
              <w:t>1分</w:t>
            </w:r>
          </w:p>
        </w:tc>
        <w:tc>
          <w:tcPr>
            <w:tcW w:w="6384" w:type="dxa"/>
            <w:shd w:val="clear" w:color="auto" w:fill="auto"/>
            <w:vAlign w:val="center"/>
          </w:tcPr>
          <w:p w14:paraId="009C192A">
            <w:pPr>
              <w:widowControl/>
              <w:jc w:val="left"/>
              <w:rPr>
                <w:rFonts w:hint="eastAsia" w:ascii="宋体" w:hAnsi="宋体" w:cs="宋体"/>
                <w:color w:val="000000"/>
                <w:kern w:val="0"/>
                <w:szCs w:val="21"/>
              </w:rPr>
            </w:pPr>
            <w:r>
              <w:rPr>
                <w:rFonts w:hint="eastAsia" w:ascii="宋体" w:hAnsi="宋体" w:cs="宋体"/>
                <w:color w:val="000000"/>
                <w:kern w:val="0"/>
                <w:szCs w:val="21"/>
              </w:rPr>
              <w:t>投标人自 2021年1月1日至本项目截标时间止（日期以合同签订时间为准）</w:t>
            </w:r>
            <w:r>
              <w:rPr>
                <w:rFonts w:hint="eastAsia" w:ascii="宋体" w:hAnsi="宋体"/>
                <w:szCs w:val="21"/>
              </w:rPr>
              <w:t>同类项目业绩</w:t>
            </w:r>
            <w:r>
              <w:rPr>
                <w:rFonts w:hint="eastAsia" w:ascii="宋体" w:hAnsi="宋体" w:cs="宋体"/>
                <w:color w:val="000000"/>
                <w:kern w:val="0"/>
                <w:szCs w:val="21"/>
              </w:rPr>
              <w:t>，每提供1个合同得 0.5分，最高1分。</w:t>
            </w:r>
          </w:p>
          <w:p w14:paraId="7F7E2364">
            <w:pPr>
              <w:widowControl/>
              <w:jc w:val="left"/>
              <w:rPr>
                <w:rFonts w:hint="eastAsia" w:ascii="宋体" w:hAnsi="宋体" w:cs="宋体"/>
                <w:color w:val="000000"/>
                <w:kern w:val="0"/>
                <w:szCs w:val="21"/>
              </w:rPr>
            </w:pPr>
            <w:r>
              <w:rPr>
                <w:rFonts w:hint="eastAsia" w:ascii="宋体" w:hAnsi="宋体" w:cs="宋体"/>
                <w:b/>
                <w:bCs/>
                <w:color w:val="000000"/>
                <w:kern w:val="0"/>
                <w:szCs w:val="21"/>
              </w:rPr>
              <w:t>（提供中标通知书（如有）、合同协议书及投标人认为需要提交的其他证明材料证实，复印件加盖公章，须提供重要页面，能够体现项目内容）</w:t>
            </w:r>
          </w:p>
        </w:tc>
        <w:tc>
          <w:tcPr>
            <w:tcW w:w="708" w:type="dxa"/>
            <w:shd w:val="clear" w:color="auto" w:fill="auto"/>
            <w:noWrap/>
            <w:vAlign w:val="center"/>
          </w:tcPr>
          <w:p w14:paraId="2520A9F1">
            <w:pPr>
              <w:widowControl/>
              <w:jc w:val="left"/>
              <w:rPr>
                <w:rFonts w:hint="eastAsia" w:ascii="宋体" w:hAnsi="宋体" w:cs="宋体"/>
                <w:color w:val="000000"/>
                <w:kern w:val="0"/>
                <w:szCs w:val="21"/>
              </w:rPr>
            </w:pPr>
          </w:p>
        </w:tc>
      </w:tr>
      <w:tr w14:paraId="0E9F5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792" w:hRule="atLeast"/>
        </w:trPr>
        <w:tc>
          <w:tcPr>
            <w:tcW w:w="1092" w:type="dxa"/>
            <w:vMerge w:val="continue"/>
            <w:shd w:val="clear" w:color="auto" w:fill="auto"/>
            <w:vAlign w:val="center"/>
          </w:tcPr>
          <w:p w14:paraId="1A0D849B">
            <w:pPr>
              <w:widowControl/>
              <w:jc w:val="left"/>
              <w:rPr>
                <w:rFonts w:hint="eastAsia" w:ascii="宋体" w:hAnsi="宋体" w:cs="宋体"/>
                <w:b/>
                <w:bCs/>
                <w:color w:val="000000"/>
                <w:kern w:val="0"/>
                <w:szCs w:val="21"/>
              </w:rPr>
            </w:pPr>
          </w:p>
        </w:tc>
        <w:tc>
          <w:tcPr>
            <w:tcW w:w="1092" w:type="dxa"/>
            <w:shd w:val="clear" w:color="auto" w:fill="auto"/>
            <w:noWrap/>
            <w:vAlign w:val="center"/>
          </w:tcPr>
          <w:p w14:paraId="13A5005C">
            <w:pPr>
              <w:adjustRightInd w:val="0"/>
              <w:snapToGrid w:val="0"/>
              <w:jc w:val="center"/>
              <w:rPr>
                <w:rFonts w:hint="eastAsia" w:ascii="宋体" w:hAnsi="宋体" w:cs="宋体"/>
                <w:color w:val="000000"/>
                <w:kern w:val="0"/>
                <w:szCs w:val="21"/>
              </w:rPr>
            </w:pPr>
            <w:r>
              <w:rPr>
                <w:rFonts w:hint="eastAsia"/>
                <w:szCs w:val="21"/>
              </w:rPr>
              <w:t>综合实力</w:t>
            </w:r>
          </w:p>
        </w:tc>
        <w:tc>
          <w:tcPr>
            <w:tcW w:w="768" w:type="dxa"/>
            <w:shd w:val="clear" w:color="auto" w:fill="auto"/>
            <w:noWrap/>
            <w:vAlign w:val="center"/>
          </w:tcPr>
          <w:p w14:paraId="3C0B78ED">
            <w:pPr>
              <w:jc w:val="center"/>
              <w:rPr>
                <w:rFonts w:hint="eastAsia" w:ascii="宋体" w:hAnsi="宋体" w:cs="宋体"/>
                <w:color w:val="000000"/>
                <w:kern w:val="0"/>
                <w:szCs w:val="21"/>
              </w:rPr>
            </w:pPr>
            <w:r>
              <w:rPr>
                <w:rFonts w:hint="eastAsia" w:ascii="宋体" w:hAnsi="宋体" w:cs="宋体"/>
                <w:szCs w:val="21"/>
              </w:rPr>
              <w:t>10分</w:t>
            </w:r>
          </w:p>
        </w:tc>
        <w:tc>
          <w:tcPr>
            <w:tcW w:w="6384" w:type="dxa"/>
            <w:shd w:val="clear" w:color="auto" w:fill="auto"/>
            <w:vAlign w:val="center"/>
          </w:tcPr>
          <w:p w14:paraId="1F2AFC15">
            <w:pPr>
              <w:adjustRightInd w:val="0"/>
              <w:snapToGrid w:val="0"/>
              <w:spacing w:line="300" w:lineRule="exact"/>
              <w:rPr>
                <w:szCs w:val="21"/>
              </w:rPr>
            </w:pPr>
            <w:r>
              <w:rPr>
                <w:rFonts w:hint="eastAsia"/>
                <w:szCs w:val="21"/>
              </w:rPr>
              <w:t>投标人实验室具有CNAS资质得2分；</w:t>
            </w:r>
          </w:p>
          <w:p w14:paraId="4F157F41">
            <w:pPr>
              <w:adjustRightInd w:val="0"/>
              <w:snapToGrid w:val="0"/>
              <w:spacing w:line="300" w:lineRule="exact"/>
              <w:rPr>
                <w:szCs w:val="21"/>
              </w:rPr>
            </w:pPr>
            <w:r>
              <w:rPr>
                <w:rFonts w:hint="eastAsia"/>
                <w:szCs w:val="21"/>
              </w:rPr>
              <w:t>投标人实验室具有CATL资质得2分；</w:t>
            </w:r>
          </w:p>
          <w:p w14:paraId="06BFC159">
            <w:pPr>
              <w:adjustRightInd w:val="0"/>
              <w:snapToGrid w:val="0"/>
              <w:spacing w:line="300" w:lineRule="exact"/>
              <w:rPr>
                <w:szCs w:val="21"/>
              </w:rPr>
            </w:pPr>
            <w:r>
              <w:rPr>
                <w:szCs w:val="21"/>
              </w:rPr>
              <w:t>投标人在省、市应急检验实验室名录内，得</w:t>
            </w:r>
            <w:r>
              <w:rPr>
                <w:rFonts w:hint="eastAsia"/>
                <w:szCs w:val="21"/>
              </w:rPr>
              <w:t>2</w:t>
            </w:r>
            <w:r>
              <w:rPr>
                <w:szCs w:val="21"/>
              </w:rPr>
              <w:t>分</w:t>
            </w:r>
            <w:r>
              <w:rPr>
                <w:rFonts w:hint="eastAsia"/>
                <w:szCs w:val="21"/>
              </w:rPr>
              <w:t>；</w:t>
            </w:r>
          </w:p>
          <w:p w14:paraId="557B72F5">
            <w:pPr>
              <w:adjustRightInd w:val="0"/>
              <w:snapToGrid w:val="0"/>
              <w:spacing w:line="300" w:lineRule="exact"/>
              <w:rPr>
                <w:szCs w:val="21"/>
              </w:rPr>
            </w:pPr>
            <w:r>
              <w:rPr>
                <w:rFonts w:hint="eastAsia"/>
                <w:szCs w:val="21"/>
              </w:rPr>
              <w:t>投标人</w:t>
            </w:r>
            <w:r>
              <w:rPr>
                <w:szCs w:val="21"/>
              </w:rPr>
              <w:t>进入国家认证认可监督管理委员会、卫生部和农业部共同公布</w:t>
            </w:r>
            <w:r>
              <w:rPr>
                <w:rFonts w:hint="eastAsia"/>
                <w:szCs w:val="21"/>
              </w:rPr>
              <w:t>的</w:t>
            </w:r>
            <w:r>
              <w:rPr>
                <w:szCs w:val="21"/>
              </w:rPr>
              <w:t>复检机构名录的，得</w:t>
            </w:r>
            <w:r>
              <w:rPr>
                <w:rFonts w:hint="eastAsia"/>
                <w:szCs w:val="21"/>
              </w:rPr>
              <w:t>4</w:t>
            </w:r>
            <w:r>
              <w:rPr>
                <w:szCs w:val="21"/>
              </w:rPr>
              <w:t>分。</w:t>
            </w:r>
          </w:p>
          <w:p w14:paraId="056939EB">
            <w:pPr>
              <w:adjustRightInd w:val="0"/>
              <w:snapToGrid w:val="0"/>
              <w:spacing w:line="300" w:lineRule="exact"/>
              <w:rPr>
                <w:rFonts w:hint="eastAsia" w:ascii="宋体" w:hAnsi="宋体" w:cs="宋体"/>
                <w:color w:val="000000"/>
                <w:kern w:val="0"/>
                <w:szCs w:val="21"/>
              </w:rPr>
            </w:pPr>
            <w:r>
              <w:rPr>
                <w:rFonts w:hint="eastAsia"/>
                <w:b/>
                <w:bCs/>
                <w:szCs w:val="21"/>
              </w:rPr>
              <w:t>（</w:t>
            </w:r>
            <w:r>
              <w:rPr>
                <w:b/>
                <w:bCs/>
                <w:szCs w:val="21"/>
              </w:rPr>
              <w:t>提供相关证明材料</w:t>
            </w:r>
            <w:r>
              <w:rPr>
                <w:rFonts w:hint="eastAsia"/>
                <w:b/>
                <w:bCs/>
                <w:szCs w:val="21"/>
              </w:rPr>
              <w:t>，复印件加盖公章</w:t>
            </w:r>
            <w:r>
              <w:rPr>
                <w:b/>
                <w:bCs/>
                <w:szCs w:val="21"/>
              </w:rPr>
              <w:t>。）</w:t>
            </w:r>
          </w:p>
        </w:tc>
        <w:tc>
          <w:tcPr>
            <w:tcW w:w="708" w:type="dxa"/>
            <w:shd w:val="clear" w:color="auto" w:fill="auto"/>
            <w:noWrap/>
            <w:vAlign w:val="center"/>
          </w:tcPr>
          <w:p w14:paraId="30DFA3E5">
            <w:pPr>
              <w:widowControl/>
              <w:jc w:val="left"/>
              <w:rPr>
                <w:rFonts w:hint="eastAsia" w:ascii="宋体" w:hAnsi="宋体" w:cs="宋体"/>
                <w:color w:val="000000"/>
                <w:kern w:val="0"/>
                <w:szCs w:val="21"/>
              </w:rPr>
            </w:pPr>
          </w:p>
        </w:tc>
      </w:tr>
      <w:tr w14:paraId="5696D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792" w:hRule="atLeast"/>
        </w:trPr>
        <w:tc>
          <w:tcPr>
            <w:tcW w:w="1092" w:type="dxa"/>
            <w:vMerge w:val="continue"/>
            <w:shd w:val="clear" w:color="auto" w:fill="auto"/>
            <w:vAlign w:val="center"/>
          </w:tcPr>
          <w:p w14:paraId="112D995A">
            <w:pPr>
              <w:widowControl/>
              <w:jc w:val="left"/>
              <w:rPr>
                <w:rFonts w:hint="eastAsia" w:ascii="宋体" w:hAnsi="宋体" w:cs="宋体"/>
                <w:b/>
                <w:bCs/>
                <w:color w:val="000000"/>
                <w:kern w:val="0"/>
                <w:szCs w:val="21"/>
              </w:rPr>
            </w:pPr>
          </w:p>
        </w:tc>
        <w:tc>
          <w:tcPr>
            <w:tcW w:w="1092" w:type="dxa"/>
            <w:shd w:val="clear" w:color="auto" w:fill="auto"/>
            <w:noWrap/>
            <w:vAlign w:val="center"/>
          </w:tcPr>
          <w:p w14:paraId="1D60CDCA">
            <w:pPr>
              <w:adjustRightInd w:val="0"/>
              <w:snapToGrid w:val="0"/>
              <w:spacing w:line="300" w:lineRule="exact"/>
              <w:rPr>
                <w:szCs w:val="21"/>
              </w:rPr>
            </w:pPr>
            <w:r>
              <w:rPr>
                <w:rFonts w:hint="eastAsia"/>
                <w:szCs w:val="21"/>
              </w:rPr>
              <w:t xml:space="preserve">数字化实验室建设 </w:t>
            </w:r>
          </w:p>
        </w:tc>
        <w:tc>
          <w:tcPr>
            <w:tcW w:w="768" w:type="dxa"/>
            <w:shd w:val="clear" w:color="auto" w:fill="auto"/>
            <w:noWrap/>
            <w:vAlign w:val="center"/>
          </w:tcPr>
          <w:p w14:paraId="25C38BC9">
            <w:pPr>
              <w:adjustRightInd w:val="0"/>
              <w:snapToGrid w:val="0"/>
              <w:spacing w:line="300" w:lineRule="exact"/>
              <w:rPr>
                <w:szCs w:val="21"/>
              </w:rPr>
            </w:pPr>
            <w:r>
              <w:rPr>
                <w:rFonts w:hint="eastAsia"/>
                <w:szCs w:val="21"/>
              </w:rPr>
              <w:t>4分</w:t>
            </w:r>
          </w:p>
        </w:tc>
        <w:tc>
          <w:tcPr>
            <w:tcW w:w="6384" w:type="dxa"/>
            <w:shd w:val="clear" w:color="auto" w:fill="auto"/>
            <w:vAlign w:val="center"/>
          </w:tcPr>
          <w:p w14:paraId="59D669D9">
            <w:pPr>
              <w:adjustRightInd w:val="0"/>
              <w:snapToGrid w:val="0"/>
              <w:spacing w:line="300" w:lineRule="exact"/>
              <w:rPr>
                <w:szCs w:val="21"/>
              </w:rPr>
            </w:pPr>
            <w:r>
              <w:rPr>
                <w:rFonts w:hint="eastAsia"/>
                <w:szCs w:val="21"/>
              </w:rPr>
              <w:t>按照浙江省市场监管局《关于全面推进食品安全智慧检验体系建设的通知》实施数字化改造，取得B级实验室证明的，得4分；取得C级实验室证明的，得2分；未建成数字化实验室的，不得分。</w:t>
            </w:r>
          </w:p>
          <w:p w14:paraId="11A77CC8">
            <w:pPr>
              <w:adjustRightInd w:val="0"/>
              <w:snapToGrid w:val="0"/>
              <w:spacing w:line="300" w:lineRule="exact"/>
              <w:rPr>
                <w:szCs w:val="21"/>
              </w:rPr>
            </w:pPr>
            <w:r>
              <w:rPr>
                <w:rFonts w:hint="eastAsia"/>
                <w:b/>
                <w:bCs/>
                <w:szCs w:val="21"/>
              </w:rPr>
              <w:t>（提供省局抽检秘书处出具的相关证明材料复印件加盖公章。）</w:t>
            </w:r>
          </w:p>
        </w:tc>
        <w:tc>
          <w:tcPr>
            <w:tcW w:w="708" w:type="dxa"/>
            <w:shd w:val="clear" w:color="auto" w:fill="auto"/>
            <w:noWrap/>
            <w:vAlign w:val="center"/>
          </w:tcPr>
          <w:p w14:paraId="616ABB0D">
            <w:pPr>
              <w:widowControl/>
              <w:jc w:val="left"/>
              <w:rPr>
                <w:rFonts w:hint="eastAsia" w:ascii="宋体" w:hAnsi="宋体" w:cs="宋体"/>
                <w:color w:val="000000"/>
                <w:kern w:val="0"/>
                <w:szCs w:val="21"/>
              </w:rPr>
            </w:pPr>
          </w:p>
        </w:tc>
      </w:tr>
      <w:tr w14:paraId="3F0C1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792" w:hRule="atLeast"/>
        </w:trPr>
        <w:tc>
          <w:tcPr>
            <w:tcW w:w="1092" w:type="dxa"/>
            <w:vMerge w:val="continue"/>
            <w:shd w:val="clear" w:color="auto" w:fill="auto"/>
            <w:vAlign w:val="center"/>
          </w:tcPr>
          <w:p w14:paraId="74A85B4D">
            <w:pPr>
              <w:widowControl/>
              <w:jc w:val="left"/>
              <w:rPr>
                <w:rFonts w:hint="eastAsia" w:ascii="宋体" w:hAnsi="宋体" w:cs="宋体"/>
                <w:b/>
                <w:bCs/>
                <w:color w:val="000000"/>
                <w:kern w:val="0"/>
                <w:szCs w:val="21"/>
              </w:rPr>
            </w:pPr>
          </w:p>
        </w:tc>
        <w:tc>
          <w:tcPr>
            <w:tcW w:w="1092" w:type="dxa"/>
            <w:shd w:val="clear" w:color="auto" w:fill="auto"/>
            <w:noWrap/>
            <w:vAlign w:val="center"/>
          </w:tcPr>
          <w:p w14:paraId="79C39C2B">
            <w:pPr>
              <w:autoSpaceDE w:val="0"/>
              <w:autoSpaceDN w:val="0"/>
              <w:adjustRightInd w:val="0"/>
              <w:ind w:right="246"/>
              <w:jc w:val="center"/>
              <w:rPr>
                <w:szCs w:val="21"/>
              </w:rPr>
            </w:pPr>
            <w:r>
              <w:rPr>
                <w:rFonts w:hint="eastAsia"/>
                <w:szCs w:val="21"/>
              </w:rPr>
              <w:t>项目组</w:t>
            </w:r>
          </w:p>
          <w:p w14:paraId="604B1FEB">
            <w:pPr>
              <w:autoSpaceDE w:val="0"/>
              <w:autoSpaceDN w:val="0"/>
              <w:adjustRightInd w:val="0"/>
              <w:ind w:right="246"/>
              <w:jc w:val="center"/>
              <w:rPr>
                <w:szCs w:val="21"/>
              </w:rPr>
            </w:pPr>
            <w:r>
              <w:rPr>
                <w:rFonts w:hint="eastAsia"/>
                <w:szCs w:val="21"/>
              </w:rPr>
              <w:t>成员</w:t>
            </w:r>
          </w:p>
        </w:tc>
        <w:tc>
          <w:tcPr>
            <w:tcW w:w="768" w:type="dxa"/>
            <w:shd w:val="clear" w:color="auto" w:fill="auto"/>
            <w:noWrap/>
            <w:vAlign w:val="center"/>
          </w:tcPr>
          <w:p w14:paraId="3D1475C7">
            <w:pPr>
              <w:adjustRightInd w:val="0"/>
              <w:snapToGrid w:val="0"/>
              <w:jc w:val="left"/>
              <w:rPr>
                <w:szCs w:val="21"/>
              </w:rPr>
            </w:pPr>
            <w:r>
              <w:rPr>
                <w:rFonts w:hint="eastAsia"/>
                <w:szCs w:val="21"/>
              </w:rPr>
              <w:t>12分</w:t>
            </w:r>
          </w:p>
        </w:tc>
        <w:tc>
          <w:tcPr>
            <w:tcW w:w="6384" w:type="dxa"/>
            <w:shd w:val="clear" w:color="auto" w:fill="auto"/>
          </w:tcPr>
          <w:p w14:paraId="54F7335A">
            <w:pPr>
              <w:autoSpaceDE w:val="0"/>
              <w:autoSpaceDN w:val="0"/>
              <w:adjustRightInd w:val="0"/>
              <w:jc w:val="left"/>
              <w:rPr>
                <w:rFonts w:hint="eastAsia" w:ascii="宋体" w:hAnsi="宋体" w:cs="宋体"/>
                <w:szCs w:val="21"/>
              </w:rPr>
            </w:pPr>
            <w:r>
              <w:rPr>
                <w:rFonts w:ascii="宋体" w:hAnsi="宋体" w:cs="宋体"/>
                <w:szCs w:val="21"/>
              </w:rPr>
              <w:t>1</w:t>
            </w:r>
            <w:r>
              <w:rPr>
                <w:rFonts w:hint="eastAsia" w:ascii="宋体" w:hAnsi="宋体" w:cs="宋体"/>
                <w:szCs w:val="21"/>
              </w:rPr>
              <w:t>.</w:t>
            </w:r>
            <w:r>
              <w:rPr>
                <w:rFonts w:ascii="宋体" w:hAnsi="宋体" w:cs="宋体"/>
                <w:szCs w:val="21"/>
              </w:rPr>
              <w:t>配备的项目负责人具有</w:t>
            </w:r>
            <w:r>
              <w:rPr>
                <w:rFonts w:hint="eastAsia" w:ascii="宋体" w:hAnsi="宋体" w:cs="宋体"/>
                <w:szCs w:val="21"/>
              </w:rPr>
              <w:t>食品检测</w:t>
            </w:r>
            <w:r>
              <w:rPr>
                <w:rFonts w:ascii="宋体" w:hAnsi="宋体" w:cs="宋体"/>
                <w:szCs w:val="21"/>
              </w:rPr>
              <w:t>相关专业正高级职称的得</w:t>
            </w:r>
            <w:r>
              <w:rPr>
                <w:rFonts w:hint="eastAsia" w:ascii="宋体" w:hAnsi="宋体" w:cs="宋体"/>
                <w:szCs w:val="21"/>
              </w:rPr>
              <w:t>3</w:t>
            </w:r>
            <w:r>
              <w:rPr>
                <w:rFonts w:ascii="宋体" w:hAnsi="宋体" w:cs="宋体"/>
                <w:szCs w:val="21"/>
              </w:rPr>
              <w:t>分；</w:t>
            </w:r>
          </w:p>
          <w:p w14:paraId="2A79D84A">
            <w:pPr>
              <w:autoSpaceDE w:val="0"/>
              <w:autoSpaceDN w:val="0"/>
              <w:adjustRightInd w:val="0"/>
              <w:jc w:val="left"/>
              <w:rPr>
                <w:rFonts w:hint="eastAsia" w:ascii="宋体" w:hAnsi="宋体" w:cs="宋体"/>
                <w:szCs w:val="21"/>
              </w:rPr>
            </w:pPr>
            <w:r>
              <w:rPr>
                <w:rFonts w:ascii="宋体" w:hAnsi="宋体" w:cs="宋体"/>
                <w:szCs w:val="21"/>
              </w:rPr>
              <w:t>2</w:t>
            </w:r>
            <w:r>
              <w:rPr>
                <w:rFonts w:hint="eastAsia" w:ascii="宋体" w:hAnsi="宋体" w:cs="宋体"/>
                <w:szCs w:val="21"/>
              </w:rPr>
              <w:t>.配备的</w:t>
            </w:r>
            <w:r>
              <w:rPr>
                <w:rFonts w:ascii="宋体" w:hAnsi="宋体" w:cs="宋体"/>
                <w:szCs w:val="21"/>
              </w:rPr>
              <w:t>主要技术人员具有</w:t>
            </w:r>
            <w:r>
              <w:rPr>
                <w:rFonts w:hint="eastAsia" w:ascii="宋体" w:hAnsi="宋体" w:cs="宋体"/>
                <w:szCs w:val="21"/>
              </w:rPr>
              <w:t>食品检测</w:t>
            </w:r>
            <w:r>
              <w:rPr>
                <w:rFonts w:ascii="宋体" w:hAnsi="宋体" w:cs="宋体"/>
                <w:szCs w:val="21"/>
              </w:rPr>
              <w:t>相关专业高级职称（含副高），每</w:t>
            </w:r>
            <w:r>
              <w:rPr>
                <w:rFonts w:hint="eastAsia" w:ascii="宋体" w:hAnsi="宋体" w:cs="宋体"/>
                <w:szCs w:val="21"/>
              </w:rPr>
              <w:t>提供1</w:t>
            </w:r>
            <w:r>
              <w:rPr>
                <w:rFonts w:ascii="宋体" w:hAnsi="宋体" w:cs="宋体"/>
                <w:szCs w:val="21"/>
              </w:rPr>
              <w:t>人得1分，</w:t>
            </w:r>
            <w:r>
              <w:rPr>
                <w:rFonts w:hint="eastAsia" w:ascii="宋体" w:hAnsi="宋体" w:cs="宋体"/>
                <w:szCs w:val="21"/>
              </w:rPr>
              <w:t>最高得5</w:t>
            </w:r>
            <w:r>
              <w:rPr>
                <w:rFonts w:ascii="宋体" w:hAnsi="宋体" w:cs="宋体"/>
                <w:szCs w:val="21"/>
              </w:rPr>
              <w:t>分；</w:t>
            </w:r>
          </w:p>
          <w:p w14:paraId="1F6B6B7F">
            <w:pPr>
              <w:autoSpaceDE w:val="0"/>
              <w:autoSpaceDN w:val="0"/>
              <w:adjustRightInd w:val="0"/>
              <w:jc w:val="left"/>
              <w:rPr>
                <w:rFonts w:hint="eastAsia" w:ascii="宋体" w:hAnsi="宋体" w:cs="宋体"/>
                <w:szCs w:val="21"/>
              </w:rPr>
            </w:pPr>
            <w:r>
              <w:rPr>
                <w:rFonts w:ascii="宋体" w:hAnsi="宋体" w:cs="宋体"/>
                <w:szCs w:val="21"/>
              </w:rPr>
              <w:t>3</w:t>
            </w:r>
            <w:r>
              <w:rPr>
                <w:rFonts w:hint="eastAsia" w:ascii="宋体" w:hAnsi="宋体" w:cs="宋体"/>
                <w:szCs w:val="21"/>
              </w:rPr>
              <w:t>.</w:t>
            </w:r>
            <w:r>
              <w:rPr>
                <w:rFonts w:ascii="宋体" w:hAnsi="宋体" w:cs="宋体"/>
                <w:szCs w:val="21"/>
              </w:rPr>
              <w:t>配备的一线检测人员，在本单位从事检测岗位，且已满3年的工作人员，每提供</w:t>
            </w:r>
            <w:r>
              <w:rPr>
                <w:rFonts w:hint="eastAsia" w:ascii="宋体" w:hAnsi="宋体" w:cs="宋体"/>
                <w:szCs w:val="21"/>
              </w:rPr>
              <w:t>1</w:t>
            </w:r>
            <w:r>
              <w:rPr>
                <w:rFonts w:ascii="宋体" w:hAnsi="宋体" w:cs="宋体"/>
                <w:szCs w:val="21"/>
              </w:rPr>
              <w:t>人得0.5分，最高得</w:t>
            </w:r>
            <w:r>
              <w:rPr>
                <w:rFonts w:hint="eastAsia" w:ascii="宋体" w:hAnsi="宋体" w:cs="宋体"/>
                <w:szCs w:val="21"/>
              </w:rPr>
              <w:t>2</w:t>
            </w:r>
            <w:r>
              <w:rPr>
                <w:rFonts w:ascii="宋体" w:hAnsi="宋体" w:cs="宋体"/>
                <w:szCs w:val="21"/>
              </w:rPr>
              <w:t>分；</w:t>
            </w:r>
          </w:p>
          <w:p w14:paraId="7707AE17">
            <w:pPr>
              <w:adjustRightInd w:val="0"/>
              <w:snapToGrid w:val="0"/>
              <w:jc w:val="left"/>
              <w:rPr>
                <w:rFonts w:hint="eastAsia" w:ascii="宋体" w:hAnsi="宋体" w:cs="宋体"/>
                <w:szCs w:val="21"/>
              </w:rPr>
            </w:pPr>
            <w:r>
              <w:rPr>
                <w:rFonts w:ascii="宋体" w:hAnsi="宋体" w:cs="宋体"/>
                <w:szCs w:val="21"/>
              </w:rPr>
              <w:t>4</w:t>
            </w:r>
            <w:r>
              <w:rPr>
                <w:rFonts w:hint="eastAsia" w:ascii="宋体" w:hAnsi="宋体" w:cs="宋体"/>
                <w:szCs w:val="21"/>
              </w:rPr>
              <w:t>.</w:t>
            </w:r>
            <w:r>
              <w:rPr>
                <w:rFonts w:ascii="宋体" w:hAnsi="宋体" w:cs="宋体"/>
                <w:szCs w:val="21"/>
              </w:rPr>
              <w:t>配备的专职抽样人员数量，在本单位从事抽样岗位满1年以上工作人员，每提供</w:t>
            </w:r>
            <w:r>
              <w:rPr>
                <w:rFonts w:hint="eastAsia" w:ascii="宋体" w:hAnsi="宋体" w:cs="宋体"/>
                <w:szCs w:val="21"/>
              </w:rPr>
              <w:t>1</w:t>
            </w:r>
            <w:r>
              <w:rPr>
                <w:rFonts w:ascii="宋体" w:hAnsi="宋体" w:cs="宋体"/>
                <w:szCs w:val="21"/>
              </w:rPr>
              <w:t>人得0.5分，最高得</w:t>
            </w:r>
            <w:r>
              <w:rPr>
                <w:rFonts w:hint="eastAsia" w:ascii="宋体" w:hAnsi="宋体" w:cs="宋体"/>
                <w:szCs w:val="21"/>
              </w:rPr>
              <w:t>2</w:t>
            </w:r>
            <w:r>
              <w:rPr>
                <w:rFonts w:ascii="宋体" w:hAnsi="宋体" w:cs="宋体"/>
                <w:szCs w:val="21"/>
              </w:rPr>
              <w:t>分。</w:t>
            </w:r>
          </w:p>
          <w:p w14:paraId="7CAEA914">
            <w:pPr>
              <w:adjustRightInd w:val="0"/>
              <w:snapToGrid w:val="0"/>
              <w:jc w:val="left"/>
              <w:rPr>
                <w:rFonts w:hint="eastAsia" w:ascii="宋体" w:hAnsi="宋体" w:cs="宋体"/>
                <w:color w:val="000000"/>
                <w:kern w:val="0"/>
                <w:szCs w:val="21"/>
              </w:rPr>
            </w:pPr>
            <w:r>
              <w:rPr>
                <w:rFonts w:hint="eastAsia" w:ascii="宋体" w:hAnsi="宋体" w:cs="宋体"/>
                <w:b/>
                <w:bCs/>
                <w:kern w:val="0"/>
                <w:szCs w:val="21"/>
              </w:rPr>
              <w:t>（提供相关证书、开标前三个月（2024年9,10,11月）任意一个月的社保证明，复印件加盖公章）</w:t>
            </w:r>
          </w:p>
        </w:tc>
        <w:tc>
          <w:tcPr>
            <w:tcW w:w="708" w:type="dxa"/>
            <w:shd w:val="clear" w:color="auto" w:fill="auto"/>
            <w:noWrap/>
            <w:vAlign w:val="center"/>
          </w:tcPr>
          <w:p w14:paraId="539966DD">
            <w:pPr>
              <w:widowControl/>
              <w:jc w:val="left"/>
              <w:rPr>
                <w:rFonts w:hint="eastAsia" w:ascii="宋体" w:hAnsi="宋体" w:cs="宋体"/>
                <w:color w:val="000000"/>
                <w:kern w:val="0"/>
                <w:szCs w:val="21"/>
              </w:rPr>
            </w:pPr>
          </w:p>
        </w:tc>
      </w:tr>
      <w:tr w14:paraId="1E282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0" w:hRule="atLeast"/>
        </w:trPr>
        <w:tc>
          <w:tcPr>
            <w:tcW w:w="1092" w:type="dxa"/>
            <w:vMerge w:val="continue"/>
            <w:shd w:val="clear" w:color="auto" w:fill="auto"/>
            <w:vAlign w:val="center"/>
          </w:tcPr>
          <w:p w14:paraId="4EC92377">
            <w:pPr>
              <w:widowControl/>
              <w:jc w:val="left"/>
              <w:rPr>
                <w:rFonts w:hint="eastAsia" w:ascii="宋体" w:hAnsi="宋体" w:cs="宋体"/>
                <w:b/>
                <w:bCs/>
                <w:color w:val="000000"/>
                <w:kern w:val="0"/>
                <w:szCs w:val="21"/>
              </w:rPr>
            </w:pPr>
          </w:p>
        </w:tc>
        <w:tc>
          <w:tcPr>
            <w:tcW w:w="1092" w:type="dxa"/>
            <w:vMerge w:val="restart"/>
            <w:shd w:val="clear" w:color="auto" w:fill="auto"/>
            <w:noWrap/>
            <w:vAlign w:val="center"/>
          </w:tcPr>
          <w:p w14:paraId="15626253">
            <w:pPr>
              <w:autoSpaceDE w:val="0"/>
              <w:autoSpaceDN w:val="0"/>
              <w:adjustRightInd w:val="0"/>
              <w:ind w:right="246"/>
              <w:jc w:val="center"/>
              <w:rPr>
                <w:rFonts w:hint="eastAsia" w:ascii="宋体" w:hAnsi="宋体" w:cs="宋体"/>
                <w:color w:val="000000"/>
                <w:kern w:val="0"/>
                <w:sz w:val="24"/>
                <w:szCs w:val="21"/>
              </w:rPr>
            </w:pPr>
            <w:r>
              <w:rPr>
                <w:rFonts w:hint="eastAsia"/>
                <w:szCs w:val="21"/>
              </w:rPr>
              <w:t>项目实施方案</w:t>
            </w:r>
          </w:p>
        </w:tc>
        <w:tc>
          <w:tcPr>
            <w:tcW w:w="768" w:type="dxa"/>
            <w:shd w:val="clear" w:color="auto" w:fill="auto"/>
            <w:noWrap/>
            <w:vAlign w:val="center"/>
          </w:tcPr>
          <w:p w14:paraId="7A62D8AD">
            <w:pPr>
              <w:adjustRightInd w:val="0"/>
              <w:snapToGrid w:val="0"/>
              <w:spacing w:line="400" w:lineRule="exact"/>
              <w:jc w:val="center"/>
              <w:rPr>
                <w:rFonts w:hint="eastAsia" w:ascii="宋体" w:hAnsi="宋体" w:cs="宋体"/>
                <w:color w:val="000000"/>
                <w:kern w:val="0"/>
                <w:szCs w:val="21"/>
              </w:rPr>
            </w:pPr>
            <w:r>
              <w:rPr>
                <w:rFonts w:hint="eastAsia"/>
                <w:kern w:val="0"/>
                <w:szCs w:val="21"/>
              </w:rPr>
              <w:t>12分</w:t>
            </w:r>
          </w:p>
        </w:tc>
        <w:tc>
          <w:tcPr>
            <w:tcW w:w="6384" w:type="dxa"/>
            <w:shd w:val="clear" w:color="auto" w:fill="auto"/>
            <w:vAlign w:val="center"/>
          </w:tcPr>
          <w:p w14:paraId="3D1F4C79">
            <w:pPr>
              <w:adjustRightInd w:val="0"/>
              <w:snapToGrid w:val="0"/>
              <w:spacing w:line="300" w:lineRule="exact"/>
              <w:rPr>
                <w:szCs w:val="21"/>
                <w:lang w:val="zh-CN"/>
              </w:rPr>
            </w:pPr>
            <w:r>
              <w:rPr>
                <w:szCs w:val="21"/>
                <w:lang w:val="zh-CN"/>
              </w:rPr>
              <w:t>投标人根据招标文件提供的抽检清单，提供相对应的抽检服务方案（对本项目总体要求的理解，包括：针对本项目的工作实施方案，内容包含（包含不限于）工作目标、工作内容、工作方法、实施进程安排）</w:t>
            </w:r>
          </w:p>
          <w:p w14:paraId="74C59FE3">
            <w:pPr>
              <w:adjustRightInd w:val="0"/>
              <w:snapToGrid w:val="0"/>
              <w:spacing w:line="300" w:lineRule="exact"/>
              <w:rPr>
                <w:szCs w:val="21"/>
              </w:rPr>
            </w:pPr>
            <w:r>
              <w:rPr>
                <w:rFonts w:hint="eastAsia"/>
                <w:szCs w:val="21"/>
                <w:lang w:val="zh-CN"/>
              </w:rPr>
              <w:t>总体服务方案针对项目需求展开，内容全面切合项目实际、工作方法有效，详细阐述本项目各项任务的工作实施流程与时间进度安排，操作性强，能保障项目按时完成的，得</w:t>
            </w:r>
            <w:r>
              <w:rPr>
                <w:rFonts w:hint="eastAsia"/>
                <w:szCs w:val="21"/>
              </w:rPr>
              <w:t>12分；</w:t>
            </w:r>
          </w:p>
          <w:p w14:paraId="44113DF0">
            <w:pPr>
              <w:adjustRightInd w:val="0"/>
              <w:snapToGrid w:val="0"/>
              <w:spacing w:line="300" w:lineRule="exact"/>
              <w:rPr>
                <w:szCs w:val="21"/>
                <w:lang w:val="zh-CN"/>
              </w:rPr>
            </w:pPr>
            <w:r>
              <w:rPr>
                <w:rFonts w:hint="eastAsia"/>
                <w:szCs w:val="21"/>
                <w:lang w:val="zh-CN"/>
              </w:rPr>
              <w:t>总体服务方案针对性较好，基本满足项目实际需求的，得9分；</w:t>
            </w:r>
          </w:p>
          <w:p w14:paraId="5C93B0D0">
            <w:pPr>
              <w:adjustRightInd w:val="0"/>
              <w:snapToGrid w:val="0"/>
              <w:spacing w:line="300" w:lineRule="exact"/>
              <w:rPr>
                <w:szCs w:val="21"/>
              </w:rPr>
            </w:pPr>
            <w:r>
              <w:rPr>
                <w:rFonts w:hint="eastAsia"/>
                <w:szCs w:val="21"/>
                <w:lang w:val="zh-CN"/>
              </w:rPr>
              <w:t>总体方案有欠缺，实施流程较普通，针对性欠佳</w:t>
            </w:r>
            <w:r>
              <w:rPr>
                <w:rFonts w:hint="eastAsia"/>
                <w:szCs w:val="21"/>
              </w:rPr>
              <w:t>的，</w:t>
            </w:r>
            <w:r>
              <w:rPr>
                <w:rFonts w:hint="eastAsia"/>
                <w:szCs w:val="21"/>
                <w:lang w:val="zh-CN"/>
              </w:rPr>
              <w:t>得</w:t>
            </w:r>
            <w:r>
              <w:rPr>
                <w:rFonts w:hint="eastAsia"/>
                <w:szCs w:val="21"/>
              </w:rPr>
              <w:t>6分；</w:t>
            </w:r>
          </w:p>
          <w:p w14:paraId="28F30464">
            <w:pPr>
              <w:adjustRightInd w:val="0"/>
              <w:snapToGrid w:val="0"/>
              <w:spacing w:line="300" w:lineRule="exact"/>
              <w:rPr>
                <w:szCs w:val="21"/>
              </w:rPr>
            </w:pPr>
            <w:r>
              <w:rPr>
                <w:rFonts w:hint="eastAsia"/>
                <w:szCs w:val="21"/>
                <w:lang w:val="zh-CN"/>
              </w:rPr>
              <w:t>提供的服务方案简单，完成本项目各项任务的实施流程和进度安排描述简单、片面的，得</w:t>
            </w:r>
            <w:r>
              <w:rPr>
                <w:rFonts w:hint="eastAsia"/>
                <w:szCs w:val="21"/>
              </w:rPr>
              <w:t>3分；</w:t>
            </w:r>
          </w:p>
          <w:p w14:paraId="0DFC283A">
            <w:pPr>
              <w:adjustRightInd w:val="0"/>
              <w:snapToGrid w:val="0"/>
              <w:spacing w:line="300" w:lineRule="exact"/>
              <w:rPr>
                <w:rFonts w:hint="eastAsia" w:ascii="宋体" w:hAnsi="宋体" w:cs="宋体"/>
                <w:color w:val="000000"/>
                <w:kern w:val="0"/>
                <w:szCs w:val="21"/>
              </w:rPr>
            </w:pPr>
            <w:r>
              <w:rPr>
                <w:rFonts w:hint="eastAsia" w:ascii="宋体" w:hAnsi="宋体" w:cs="宋体"/>
                <w:color w:val="000000"/>
                <w:szCs w:val="21"/>
              </w:rPr>
              <w:t>未提及此项不得分。</w:t>
            </w:r>
          </w:p>
        </w:tc>
        <w:tc>
          <w:tcPr>
            <w:tcW w:w="708" w:type="dxa"/>
            <w:shd w:val="clear" w:color="auto" w:fill="auto"/>
            <w:noWrap/>
            <w:vAlign w:val="center"/>
          </w:tcPr>
          <w:p w14:paraId="1D9FFFE1">
            <w:pPr>
              <w:widowControl/>
              <w:jc w:val="left"/>
              <w:rPr>
                <w:rFonts w:hint="eastAsia" w:ascii="宋体" w:hAnsi="宋体" w:cs="宋体"/>
                <w:color w:val="000000"/>
                <w:kern w:val="0"/>
                <w:szCs w:val="21"/>
              </w:rPr>
            </w:pPr>
          </w:p>
        </w:tc>
      </w:tr>
      <w:tr w14:paraId="2317F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526" w:hRule="atLeast"/>
        </w:trPr>
        <w:tc>
          <w:tcPr>
            <w:tcW w:w="1092" w:type="dxa"/>
            <w:vMerge w:val="continue"/>
            <w:shd w:val="clear" w:color="auto" w:fill="auto"/>
            <w:vAlign w:val="center"/>
          </w:tcPr>
          <w:p w14:paraId="05735A97">
            <w:pPr>
              <w:widowControl/>
              <w:jc w:val="left"/>
              <w:rPr>
                <w:rFonts w:hint="eastAsia" w:ascii="宋体" w:hAnsi="宋体" w:cs="宋体"/>
                <w:b/>
                <w:bCs/>
                <w:color w:val="000000"/>
                <w:kern w:val="0"/>
                <w:szCs w:val="21"/>
              </w:rPr>
            </w:pPr>
          </w:p>
        </w:tc>
        <w:tc>
          <w:tcPr>
            <w:tcW w:w="1092" w:type="dxa"/>
            <w:vMerge w:val="continue"/>
            <w:shd w:val="clear" w:color="auto" w:fill="auto"/>
            <w:noWrap/>
            <w:vAlign w:val="center"/>
          </w:tcPr>
          <w:p w14:paraId="35670EA6">
            <w:pPr>
              <w:autoSpaceDE w:val="0"/>
              <w:autoSpaceDN w:val="0"/>
              <w:adjustRightInd w:val="0"/>
              <w:ind w:right="246"/>
              <w:jc w:val="center"/>
              <w:rPr>
                <w:rFonts w:hint="eastAsia" w:ascii="宋体" w:hAnsi="宋体" w:cs="宋体"/>
                <w:color w:val="000000"/>
                <w:kern w:val="0"/>
                <w:sz w:val="24"/>
                <w:szCs w:val="21"/>
              </w:rPr>
            </w:pPr>
          </w:p>
        </w:tc>
        <w:tc>
          <w:tcPr>
            <w:tcW w:w="768" w:type="dxa"/>
            <w:shd w:val="clear" w:color="auto" w:fill="auto"/>
            <w:noWrap/>
            <w:vAlign w:val="center"/>
          </w:tcPr>
          <w:p w14:paraId="4DA9CE32">
            <w:pPr>
              <w:adjustRightInd w:val="0"/>
              <w:snapToGrid w:val="0"/>
              <w:spacing w:line="400" w:lineRule="exact"/>
              <w:jc w:val="center"/>
              <w:rPr>
                <w:rFonts w:hint="eastAsia" w:ascii="宋体" w:hAnsi="宋体" w:cs="宋体"/>
                <w:color w:val="000000"/>
                <w:kern w:val="0"/>
                <w:szCs w:val="21"/>
              </w:rPr>
            </w:pPr>
            <w:r>
              <w:rPr>
                <w:rFonts w:hint="eastAsia"/>
                <w:szCs w:val="21"/>
              </w:rPr>
              <w:t>15分</w:t>
            </w:r>
          </w:p>
        </w:tc>
        <w:tc>
          <w:tcPr>
            <w:tcW w:w="6384" w:type="dxa"/>
            <w:shd w:val="clear" w:color="auto" w:fill="auto"/>
            <w:vAlign w:val="center"/>
          </w:tcPr>
          <w:p w14:paraId="0658307B">
            <w:pPr>
              <w:adjustRightInd w:val="0"/>
              <w:snapToGrid w:val="0"/>
              <w:spacing w:line="300" w:lineRule="exact"/>
              <w:rPr>
                <w:szCs w:val="21"/>
              </w:rPr>
            </w:pPr>
            <w:r>
              <w:rPr>
                <w:szCs w:val="21"/>
              </w:rPr>
              <w:t>本项目的工作实施方案和实施进度安排，包含抽样、样品</w:t>
            </w:r>
            <w:r>
              <w:rPr>
                <w:rFonts w:hint="eastAsia"/>
                <w:szCs w:val="21"/>
              </w:rPr>
              <w:t>管理</w:t>
            </w:r>
            <w:r>
              <w:rPr>
                <w:szCs w:val="21"/>
              </w:rPr>
              <w:t>、检测、数据</w:t>
            </w:r>
            <w:r>
              <w:rPr>
                <w:rFonts w:hint="eastAsia"/>
                <w:szCs w:val="21"/>
              </w:rPr>
              <w:t>报送、应急措施、</w:t>
            </w:r>
            <w:r>
              <w:rPr>
                <w:szCs w:val="21"/>
              </w:rPr>
              <w:t>安全保障</w:t>
            </w:r>
            <w:r>
              <w:rPr>
                <w:rFonts w:hint="eastAsia"/>
                <w:szCs w:val="21"/>
              </w:rPr>
              <w:t>等方面的工作</w:t>
            </w:r>
            <w:r>
              <w:rPr>
                <w:szCs w:val="21"/>
              </w:rPr>
              <w:t>方案</w:t>
            </w:r>
            <w:r>
              <w:rPr>
                <w:rFonts w:hint="eastAsia"/>
                <w:szCs w:val="21"/>
              </w:rPr>
              <w:t xml:space="preserve"> ：</w:t>
            </w:r>
          </w:p>
          <w:p w14:paraId="004889C6">
            <w:pPr>
              <w:adjustRightInd w:val="0"/>
              <w:snapToGrid w:val="0"/>
              <w:spacing w:line="300" w:lineRule="exact"/>
              <w:rPr>
                <w:szCs w:val="21"/>
              </w:rPr>
            </w:pPr>
            <w:r>
              <w:rPr>
                <w:rFonts w:hint="eastAsia"/>
                <w:szCs w:val="21"/>
              </w:rPr>
              <w:t>方案全面完整，满足招标文件要求的，得15分；</w:t>
            </w:r>
          </w:p>
          <w:p w14:paraId="79DA0F0C">
            <w:pPr>
              <w:adjustRightInd w:val="0"/>
              <w:snapToGrid w:val="0"/>
              <w:spacing w:line="300" w:lineRule="exact"/>
              <w:rPr>
                <w:szCs w:val="21"/>
              </w:rPr>
            </w:pPr>
            <w:r>
              <w:rPr>
                <w:rFonts w:hint="eastAsia"/>
                <w:szCs w:val="21"/>
              </w:rPr>
              <w:t>方案较全面，基本满足要求的，得11分；</w:t>
            </w:r>
          </w:p>
          <w:p w14:paraId="4D1A1A49">
            <w:pPr>
              <w:adjustRightInd w:val="0"/>
              <w:snapToGrid w:val="0"/>
              <w:spacing w:line="300" w:lineRule="exact"/>
              <w:rPr>
                <w:szCs w:val="21"/>
              </w:rPr>
            </w:pPr>
            <w:r>
              <w:rPr>
                <w:rFonts w:hint="eastAsia"/>
                <w:szCs w:val="21"/>
              </w:rPr>
              <w:t>方案较全面，满足程度一般的，得7分；</w:t>
            </w:r>
          </w:p>
          <w:p w14:paraId="3D804050">
            <w:pPr>
              <w:adjustRightInd w:val="0"/>
              <w:snapToGrid w:val="0"/>
              <w:spacing w:line="300" w:lineRule="exact"/>
              <w:rPr>
                <w:szCs w:val="21"/>
              </w:rPr>
            </w:pPr>
            <w:r>
              <w:rPr>
                <w:rFonts w:hint="eastAsia"/>
                <w:szCs w:val="21"/>
              </w:rPr>
              <w:t>方案简单的，得 3分；</w:t>
            </w:r>
          </w:p>
          <w:p w14:paraId="7C301626">
            <w:pPr>
              <w:adjustRightInd w:val="0"/>
              <w:snapToGrid w:val="0"/>
              <w:spacing w:line="300" w:lineRule="exact"/>
              <w:rPr>
                <w:rFonts w:hint="eastAsia" w:ascii="宋体" w:hAnsi="宋体" w:cs="宋体"/>
                <w:color w:val="000000"/>
                <w:kern w:val="0"/>
                <w:szCs w:val="21"/>
              </w:rPr>
            </w:pPr>
            <w:r>
              <w:rPr>
                <w:rFonts w:hint="eastAsia" w:ascii="宋体" w:hAnsi="宋体" w:cs="宋体"/>
                <w:color w:val="000000"/>
                <w:szCs w:val="21"/>
              </w:rPr>
              <w:t>未提及此项不得分。</w:t>
            </w:r>
          </w:p>
        </w:tc>
        <w:tc>
          <w:tcPr>
            <w:tcW w:w="708" w:type="dxa"/>
            <w:shd w:val="clear" w:color="auto" w:fill="auto"/>
            <w:noWrap/>
            <w:vAlign w:val="center"/>
          </w:tcPr>
          <w:p w14:paraId="5BCEAEE2">
            <w:pPr>
              <w:widowControl/>
              <w:jc w:val="left"/>
              <w:rPr>
                <w:rFonts w:hint="eastAsia" w:ascii="宋体" w:hAnsi="宋体" w:cs="宋体"/>
                <w:color w:val="000000"/>
                <w:kern w:val="0"/>
                <w:szCs w:val="21"/>
              </w:rPr>
            </w:pPr>
          </w:p>
        </w:tc>
      </w:tr>
      <w:tr w14:paraId="58A92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778" w:hRule="atLeast"/>
        </w:trPr>
        <w:tc>
          <w:tcPr>
            <w:tcW w:w="1092" w:type="dxa"/>
            <w:vMerge w:val="continue"/>
            <w:shd w:val="clear" w:color="auto" w:fill="auto"/>
            <w:vAlign w:val="center"/>
          </w:tcPr>
          <w:p w14:paraId="686C0415">
            <w:pPr>
              <w:widowControl/>
              <w:jc w:val="left"/>
              <w:rPr>
                <w:rFonts w:hint="eastAsia" w:ascii="宋体" w:hAnsi="宋体" w:cs="宋体"/>
                <w:b/>
                <w:bCs/>
                <w:color w:val="000000"/>
                <w:kern w:val="0"/>
                <w:szCs w:val="21"/>
              </w:rPr>
            </w:pPr>
          </w:p>
        </w:tc>
        <w:tc>
          <w:tcPr>
            <w:tcW w:w="1092" w:type="dxa"/>
            <w:shd w:val="clear" w:color="auto" w:fill="auto"/>
            <w:noWrap/>
            <w:vAlign w:val="center"/>
          </w:tcPr>
          <w:p w14:paraId="12E5889A">
            <w:pPr>
              <w:widowControl/>
              <w:jc w:val="center"/>
              <w:textAlignment w:val="center"/>
              <w:rPr>
                <w:szCs w:val="21"/>
              </w:rPr>
            </w:pPr>
            <w:r>
              <w:rPr>
                <w:rFonts w:hint="eastAsia" w:ascii="宋体" w:hAnsi="宋体" w:cs="宋体"/>
                <w:color w:val="000000"/>
                <w:kern w:val="0"/>
                <w:szCs w:val="21"/>
              </w:rPr>
              <w:t>服务质量保证措施</w:t>
            </w:r>
          </w:p>
        </w:tc>
        <w:tc>
          <w:tcPr>
            <w:tcW w:w="768" w:type="dxa"/>
            <w:shd w:val="clear" w:color="auto" w:fill="auto"/>
            <w:noWrap/>
            <w:vAlign w:val="center"/>
          </w:tcPr>
          <w:p w14:paraId="0AB62FCD">
            <w:pPr>
              <w:widowControl/>
              <w:jc w:val="center"/>
              <w:textAlignment w:val="center"/>
              <w:rPr>
                <w:rFonts w:hint="eastAsia" w:ascii="宋体" w:hAnsi="宋体" w:cs="宋体"/>
                <w:szCs w:val="21"/>
              </w:rPr>
            </w:pPr>
            <w:r>
              <w:rPr>
                <w:rFonts w:hint="eastAsia" w:ascii="宋体" w:hAnsi="宋体" w:cs="宋体"/>
                <w:color w:val="000000"/>
                <w:kern w:val="0"/>
                <w:szCs w:val="21"/>
              </w:rPr>
              <w:t>10分</w:t>
            </w:r>
          </w:p>
        </w:tc>
        <w:tc>
          <w:tcPr>
            <w:tcW w:w="6384" w:type="dxa"/>
            <w:shd w:val="clear" w:color="auto" w:fill="auto"/>
          </w:tcPr>
          <w:p w14:paraId="64D6961F">
            <w:pPr>
              <w:jc w:val="left"/>
              <w:rPr>
                <w:rFonts w:hint="eastAsia" w:ascii="宋体" w:hAnsi="宋体" w:cs="宋体"/>
                <w:szCs w:val="21"/>
              </w:rPr>
            </w:pPr>
            <w:r>
              <w:rPr>
                <w:rFonts w:hint="eastAsia" w:ascii="宋体" w:hAnsi="宋体" w:cs="宋体"/>
                <w:szCs w:val="21"/>
              </w:rPr>
              <w:t>服务质量保证制度建设情况的完善性、保障性、可行性：制度建设全面，合理有保障的，得10分；制度建设基本合理的，得7分；制度建设简单的，得4分</w:t>
            </w:r>
          </w:p>
          <w:p w14:paraId="174A19BA">
            <w:pPr>
              <w:jc w:val="left"/>
              <w:rPr>
                <w:rFonts w:hint="eastAsia" w:ascii="宋体" w:hAnsi="宋体" w:cs="宋体"/>
                <w:szCs w:val="21"/>
              </w:rPr>
            </w:pPr>
            <w:r>
              <w:rPr>
                <w:rFonts w:hint="eastAsia" w:ascii="宋体" w:hAnsi="宋体" w:cs="宋体"/>
                <w:szCs w:val="21"/>
              </w:rPr>
              <w:t>制度建设缺乏有效性的，得1分；</w:t>
            </w:r>
          </w:p>
          <w:p w14:paraId="10C9AEB8">
            <w:pPr>
              <w:jc w:val="left"/>
              <w:rPr>
                <w:szCs w:val="21"/>
              </w:rPr>
            </w:pPr>
            <w:r>
              <w:rPr>
                <w:rFonts w:hint="eastAsia" w:ascii="宋体" w:hAnsi="宋体" w:cs="宋体"/>
                <w:szCs w:val="21"/>
              </w:rPr>
              <w:t>未提及此项不得分。</w:t>
            </w:r>
          </w:p>
        </w:tc>
        <w:tc>
          <w:tcPr>
            <w:tcW w:w="708" w:type="dxa"/>
            <w:shd w:val="clear" w:color="auto" w:fill="auto"/>
            <w:noWrap/>
            <w:vAlign w:val="center"/>
          </w:tcPr>
          <w:p w14:paraId="24407A86">
            <w:pPr>
              <w:widowControl/>
              <w:jc w:val="left"/>
              <w:rPr>
                <w:rFonts w:hint="eastAsia" w:ascii="宋体" w:hAnsi="宋体" w:cs="宋体"/>
                <w:color w:val="000000"/>
                <w:kern w:val="0"/>
                <w:szCs w:val="21"/>
              </w:rPr>
            </w:pPr>
          </w:p>
        </w:tc>
      </w:tr>
      <w:tr w14:paraId="72DD5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778" w:hRule="atLeast"/>
        </w:trPr>
        <w:tc>
          <w:tcPr>
            <w:tcW w:w="1092" w:type="dxa"/>
            <w:vMerge w:val="continue"/>
            <w:shd w:val="clear" w:color="auto" w:fill="auto"/>
            <w:vAlign w:val="center"/>
          </w:tcPr>
          <w:p w14:paraId="6CD2C5E1">
            <w:pPr>
              <w:widowControl/>
              <w:jc w:val="left"/>
              <w:rPr>
                <w:rFonts w:hint="eastAsia" w:ascii="宋体" w:hAnsi="宋体" w:cs="宋体"/>
                <w:b/>
                <w:bCs/>
                <w:color w:val="000000"/>
                <w:kern w:val="0"/>
                <w:szCs w:val="21"/>
              </w:rPr>
            </w:pPr>
          </w:p>
        </w:tc>
        <w:tc>
          <w:tcPr>
            <w:tcW w:w="1092" w:type="dxa"/>
            <w:shd w:val="clear" w:color="auto" w:fill="auto"/>
            <w:noWrap/>
            <w:vAlign w:val="center"/>
          </w:tcPr>
          <w:p w14:paraId="6CFE3455">
            <w:pPr>
              <w:autoSpaceDE w:val="0"/>
              <w:autoSpaceDN w:val="0"/>
              <w:adjustRightInd w:val="0"/>
              <w:ind w:right="246"/>
              <w:jc w:val="center"/>
              <w:rPr>
                <w:rFonts w:hint="eastAsia" w:ascii="宋体" w:hAnsi="宋体" w:cs="宋体"/>
                <w:color w:val="000000"/>
                <w:kern w:val="0"/>
                <w:sz w:val="24"/>
                <w:szCs w:val="21"/>
              </w:rPr>
            </w:pPr>
            <w:r>
              <w:rPr>
                <w:rFonts w:hint="eastAsia"/>
                <w:szCs w:val="21"/>
              </w:rPr>
              <w:t>抽样车辆情况</w:t>
            </w:r>
          </w:p>
        </w:tc>
        <w:tc>
          <w:tcPr>
            <w:tcW w:w="768" w:type="dxa"/>
            <w:shd w:val="clear" w:color="auto" w:fill="auto"/>
            <w:noWrap/>
            <w:vAlign w:val="center"/>
          </w:tcPr>
          <w:p w14:paraId="6F2A9AC9">
            <w:pPr>
              <w:adjustRightInd w:val="0"/>
              <w:snapToGrid w:val="0"/>
              <w:jc w:val="center"/>
              <w:rPr>
                <w:rFonts w:hint="eastAsia" w:ascii="宋体" w:hAnsi="宋体" w:cs="宋体"/>
                <w:color w:val="000000"/>
                <w:kern w:val="0"/>
                <w:szCs w:val="21"/>
              </w:rPr>
            </w:pPr>
            <w:r>
              <w:rPr>
                <w:rFonts w:hint="eastAsia" w:ascii="宋体" w:hAnsi="宋体" w:cs="宋体"/>
                <w:szCs w:val="21"/>
              </w:rPr>
              <w:t>6分</w:t>
            </w:r>
          </w:p>
        </w:tc>
        <w:tc>
          <w:tcPr>
            <w:tcW w:w="6384" w:type="dxa"/>
            <w:shd w:val="clear" w:color="auto" w:fill="auto"/>
          </w:tcPr>
          <w:p w14:paraId="5080FF3D">
            <w:pPr>
              <w:adjustRightInd w:val="0"/>
              <w:snapToGrid w:val="0"/>
              <w:jc w:val="left"/>
              <w:rPr>
                <w:rFonts w:hint="eastAsia" w:ascii="宋体" w:hAnsi="宋体" w:cs="宋体"/>
                <w:szCs w:val="21"/>
              </w:rPr>
            </w:pPr>
            <w:r>
              <w:rPr>
                <w:rFonts w:hint="eastAsia" w:ascii="宋体" w:hAnsi="宋体" w:cs="宋体"/>
                <w:szCs w:val="21"/>
              </w:rPr>
              <w:t>投标人</w:t>
            </w:r>
            <w:r>
              <w:rPr>
                <w:rFonts w:ascii="宋体" w:hAnsi="宋体" w:cs="宋体"/>
                <w:szCs w:val="21"/>
              </w:rPr>
              <w:t>具有自有专用采样车，每</w:t>
            </w:r>
            <w:r>
              <w:rPr>
                <w:rFonts w:hint="eastAsia" w:ascii="宋体" w:hAnsi="宋体" w:cs="宋体"/>
                <w:szCs w:val="21"/>
              </w:rPr>
              <w:t>提供一</w:t>
            </w:r>
            <w:r>
              <w:rPr>
                <w:rFonts w:ascii="宋体" w:hAnsi="宋体" w:cs="宋体"/>
                <w:szCs w:val="21"/>
              </w:rPr>
              <w:t>辆得</w:t>
            </w:r>
            <w:r>
              <w:rPr>
                <w:rFonts w:hint="eastAsia" w:ascii="宋体" w:hAnsi="宋体" w:cs="宋体"/>
                <w:szCs w:val="21"/>
              </w:rPr>
              <w:t>2</w:t>
            </w:r>
            <w:r>
              <w:rPr>
                <w:rFonts w:ascii="宋体" w:hAnsi="宋体" w:cs="宋体"/>
                <w:szCs w:val="21"/>
              </w:rPr>
              <w:t>分，</w:t>
            </w:r>
            <w:r>
              <w:rPr>
                <w:rFonts w:hint="eastAsia" w:ascii="宋体" w:hAnsi="宋体" w:cs="宋体"/>
                <w:szCs w:val="21"/>
              </w:rPr>
              <w:t>最高得6</w:t>
            </w:r>
            <w:r>
              <w:rPr>
                <w:rFonts w:ascii="宋体" w:hAnsi="宋体" w:cs="宋体"/>
                <w:szCs w:val="21"/>
              </w:rPr>
              <w:t>分；</w:t>
            </w:r>
          </w:p>
          <w:p w14:paraId="7FCCA87D">
            <w:pPr>
              <w:adjustRightInd w:val="0"/>
              <w:snapToGrid w:val="0"/>
              <w:jc w:val="left"/>
              <w:rPr>
                <w:rFonts w:hint="eastAsia" w:ascii="宋体" w:hAnsi="宋体" w:cs="宋体"/>
                <w:color w:val="000000"/>
                <w:kern w:val="0"/>
                <w:szCs w:val="21"/>
              </w:rPr>
            </w:pPr>
            <w:r>
              <w:rPr>
                <w:szCs w:val="21"/>
              </w:rPr>
              <w:t>（</w:t>
            </w:r>
            <w:r>
              <w:rPr>
                <w:b/>
                <w:bCs/>
                <w:szCs w:val="21"/>
              </w:rPr>
              <w:t>提供车辆照片、行驶证</w:t>
            </w:r>
            <w:r>
              <w:rPr>
                <w:rFonts w:hint="eastAsia"/>
                <w:b/>
                <w:bCs/>
                <w:szCs w:val="21"/>
              </w:rPr>
              <w:t>及</w:t>
            </w:r>
            <w:r>
              <w:rPr>
                <w:b/>
                <w:bCs/>
                <w:szCs w:val="21"/>
              </w:rPr>
              <w:t>购置合同或购置发票等相关证明材料</w:t>
            </w:r>
            <w:r>
              <w:rPr>
                <w:rFonts w:hint="eastAsia"/>
                <w:b/>
                <w:bCs/>
                <w:szCs w:val="21"/>
              </w:rPr>
              <w:t>复印件加盖公章</w:t>
            </w:r>
            <w:r>
              <w:rPr>
                <w:b/>
                <w:bCs/>
                <w:szCs w:val="21"/>
              </w:rPr>
              <w:t>。</w:t>
            </w:r>
            <w:r>
              <w:rPr>
                <w:rFonts w:hint="eastAsia"/>
                <w:b/>
                <w:bCs/>
                <w:szCs w:val="21"/>
              </w:rPr>
              <w:t>）</w:t>
            </w:r>
          </w:p>
        </w:tc>
        <w:tc>
          <w:tcPr>
            <w:tcW w:w="708" w:type="dxa"/>
            <w:shd w:val="clear" w:color="auto" w:fill="auto"/>
            <w:noWrap/>
            <w:vAlign w:val="center"/>
          </w:tcPr>
          <w:p w14:paraId="6968C1BD">
            <w:pPr>
              <w:widowControl/>
              <w:jc w:val="left"/>
              <w:rPr>
                <w:rFonts w:hint="eastAsia" w:ascii="宋体" w:hAnsi="宋体" w:cs="宋体"/>
                <w:color w:val="000000"/>
                <w:kern w:val="0"/>
                <w:szCs w:val="21"/>
              </w:rPr>
            </w:pPr>
          </w:p>
        </w:tc>
      </w:tr>
      <w:tr w14:paraId="745A8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596" w:hRule="atLeast"/>
        </w:trPr>
        <w:tc>
          <w:tcPr>
            <w:tcW w:w="1092" w:type="dxa"/>
            <w:vMerge w:val="continue"/>
            <w:shd w:val="clear" w:color="auto" w:fill="auto"/>
            <w:vAlign w:val="center"/>
          </w:tcPr>
          <w:p w14:paraId="2FC9749F">
            <w:pPr>
              <w:widowControl/>
              <w:jc w:val="left"/>
              <w:rPr>
                <w:rFonts w:hint="eastAsia" w:ascii="宋体" w:hAnsi="宋体" w:cs="宋体"/>
                <w:b/>
                <w:bCs/>
                <w:color w:val="000000"/>
                <w:kern w:val="0"/>
                <w:szCs w:val="21"/>
              </w:rPr>
            </w:pPr>
          </w:p>
        </w:tc>
        <w:tc>
          <w:tcPr>
            <w:tcW w:w="1092" w:type="dxa"/>
            <w:shd w:val="clear" w:color="auto" w:fill="auto"/>
            <w:noWrap/>
            <w:vAlign w:val="center"/>
          </w:tcPr>
          <w:p w14:paraId="5E8BB487">
            <w:pPr>
              <w:autoSpaceDE w:val="0"/>
              <w:autoSpaceDN w:val="0"/>
              <w:adjustRightInd w:val="0"/>
              <w:ind w:right="246"/>
              <w:jc w:val="center"/>
              <w:rPr>
                <w:szCs w:val="21"/>
              </w:rPr>
            </w:pPr>
            <w:r>
              <w:rPr>
                <w:rFonts w:hint="eastAsia"/>
                <w:szCs w:val="21"/>
              </w:rPr>
              <w:t>检测设备情况</w:t>
            </w:r>
          </w:p>
        </w:tc>
        <w:tc>
          <w:tcPr>
            <w:tcW w:w="768" w:type="dxa"/>
            <w:shd w:val="clear" w:color="auto" w:fill="auto"/>
            <w:noWrap/>
            <w:vAlign w:val="center"/>
          </w:tcPr>
          <w:p w14:paraId="309984CC">
            <w:pPr>
              <w:adjustRightInd w:val="0"/>
              <w:snapToGrid w:val="0"/>
              <w:rPr>
                <w:rFonts w:hint="eastAsia" w:ascii="宋体" w:hAnsi="宋体" w:cs="宋体"/>
                <w:szCs w:val="21"/>
              </w:rPr>
            </w:pPr>
            <w:r>
              <w:rPr>
                <w:rFonts w:hint="eastAsia" w:ascii="宋体" w:hAnsi="宋体" w:cs="宋体"/>
                <w:szCs w:val="21"/>
              </w:rPr>
              <w:t>4分</w:t>
            </w:r>
          </w:p>
        </w:tc>
        <w:tc>
          <w:tcPr>
            <w:tcW w:w="6384" w:type="dxa"/>
            <w:shd w:val="clear" w:color="auto" w:fill="auto"/>
          </w:tcPr>
          <w:p w14:paraId="0C885337">
            <w:pPr>
              <w:adjustRightInd w:val="0"/>
              <w:snapToGrid w:val="0"/>
              <w:jc w:val="left"/>
              <w:rPr>
                <w:rFonts w:hint="eastAsia" w:ascii="宋体" w:hAnsi="宋体" w:cs="宋体"/>
                <w:szCs w:val="21"/>
              </w:rPr>
            </w:pPr>
            <w:r>
              <w:rPr>
                <w:rFonts w:hint="eastAsia" w:ascii="宋体" w:hAnsi="宋体" w:cs="宋体"/>
                <w:szCs w:val="21"/>
              </w:rPr>
              <w:t>投标人提供的</w:t>
            </w:r>
            <w:r>
              <w:rPr>
                <w:szCs w:val="21"/>
              </w:rPr>
              <w:t>实验室大型检验检测设备</w:t>
            </w:r>
            <w:r>
              <w:rPr>
                <w:rFonts w:hint="eastAsia"/>
                <w:szCs w:val="21"/>
              </w:rPr>
              <w:t>（</w:t>
            </w:r>
            <w:r>
              <w:rPr>
                <w:szCs w:val="21"/>
              </w:rPr>
              <w:t>在计量校准有效期内</w:t>
            </w:r>
            <w:r>
              <w:rPr>
                <w:rFonts w:hint="eastAsia"/>
                <w:szCs w:val="21"/>
              </w:rPr>
              <w:t>）</w:t>
            </w:r>
            <w:r>
              <w:rPr>
                <w:rFonts w:ascii="宋体" w:hAnsi="宋体" w:cs="宋体"/>
                <w:szCs w:val="21"/>
              </w:rPr>
              <w:t>：</w:t>
            </w:r>
          </w:p>
          <w:p w14:paraId="64ED14EF">
            <w:pPr>
              <w:adjustRightInd w:val="0"/>
              <w:snapToGrid w:val="0"/>
              <w:jc w:val="left"/>
              <w:rPr>
                <w:rFonts w:hint="eastAsia" w:ascii="宋体" w:hAnsi="宋体" w:cs="宋体"/>
                <w:szCs w:val="21"/>
              </w:rPr>
            </w:pPr>
            <w:r>
              <w:rPr>
                <w:rFonts w:ascii="宋体" w:hAnsi="宋体" w:cs="宋体"/>
                <w:szCs w:val="21"/>
              </w:rPr>
              <w:t>1</w:t>
            </w:r>
            <w:r>
              <w:rPr>
                <w:rFonts w:hint="eastAsia" w:ascii="宋体" w:hAnsi="宋体" w:cs="宋体"/>
                <w:szCs w:val="21"/>
              </w:rPr>
              <w:t>.</w:t>
            </w:r>
            <w:r>
              <w:rPr>
                <w:rFonts w:ascii="宋体" w:hAnsi="宋体" w:cs="宋体"/>
                <w:szCs w:val="21"/>
              </w:rPr>
              <w:t>设备原值</w:t>
            </w:r>
            <w:r>
              <w:rPr>
                <w:rFonts w:hint="eastAsia" w:ascii="宋体" w:hAnsi="宋体" w:cs="宋体"/>
                <w:szCs w:val="21"/>
              </w:rPr>
              <w:t>≥</w:t>
            </w:r>
            <w:r>
              <w:rPr>
                <w:rFonts w:ascii="宋体" w:hAnsi="宋体" w:cs="宋体"/>
                <w:szCs w:val="21"/>
              </w:rPr>
              <w:t>200万元的每1台得0.5分，共2分；</w:t>
            </w:r>
          </w:p>
          <w:p w14:paraId="7648F840">
            <w:pPr>
              <w:adjustRightInd w:val="0"/>
              <w:snapToGrid w:val="0"/>
              <w:jc w:val="left"/>
              <w:rPr>
                <w:rFonts w:hint="eastAsia" w:ascii="宋体" w:hAnsi="宋体" w:cs="宋体"/>
                <w:szCs w:val="21"/>
              </w:rPr>
            </w:pPr>
            <w:r>
              <w:rPr>
                <w:rFonts w:ascii="宋体" w:hAnsi="宋体" w:cs="宋体"/>
                <w:szCs w:val="21"/>
              </w:rPr>
              <w:t>2</w:t>
            </w:r>
            <w:r>
              <w:rPr>
                <w:rFonts w:hint="eastAsia" w:ascii="宋体" w:hAnsi="宋体" w:cs="宋体"/>
                <w:szCs w:val="21"/>
              </w:rPr>
              <w:t>.</w:t>
            </w:r>
            <w:r>
              <w:rPr>
                <w:rFonts w:ascii="宋体" w:hAnsi="宋体" w:cs="宋体"/>
                <w:szCs w:val="21"/>
              </w:rPr>
              <w:t>设备原值</w:t>
            </w:r>
            <w:r>
              <w:rPr>
                <w:rFonts w:hint="eastAsia" w:ascii="宋体" w:hAnsi="宋体" w:cs="宋体"/>
                <w:szCs w:val="21"/>
              </w:rPr>
              <w:t>≥</w:t>
            </w:r>
            <w:r>
              <w:rPr>
                <w:rFonts w:ascii="宋体" w:hAnsi="宋体" w:cs="宋体"/>
                <w:szCs w:val="21"/>
              </w:rPr>
              <w:t>100万元的每1台得0.</w:t>
            </w:r>
            <w:r>
              <w:rPr>
                <w:rFonts w:hint="eastAsia" w:ascii="宋体" w:hAnsi="宋体" w:cs="宋体"/>
                <w:szCs w:val="21"/>
              </w:rPr>
              <w:t>5</w:t>
            </w:r>
            <w:r>
              <w:rPr>
                <w:rFonts w:ascii="宋体" w:hAnsi="宋体" w:cs="宋体"/>
                <w:szCs w:val="21"/>
              </w:rPr>
              <w:t>分，共</w:t>
            </w:r>
            <w:r>
              <w:rPr>
                <w:rFonts w:hint="eastAsia" w:ascii="宋体" w:hAnsi="宋体" w:cs="宋体"/>
                <w:szCs w:val="21"/>
              </w:rPr>
              <w:t>2</w:t>
            </w:r>
            <w:r>
              <w:rPr>
                <w:rFonts w:ascii="宋体" w:hAnsi="宋体" w:cs="宋体"/>
                <w:szCs w:val="21"/>
              </w:rPr>
              <w:t>分</w:t>
            </w:r>
            <w:r>
              <w:rPr>
                <w:rFonts w:hint="eastAsia" w:ascii="宋体" w:hAnsi="宋体" w:cs="宋体"/>
                <w:szCs w:val="21"/>
              </w:rPr>
              <w:t>。</w:t>
            </w:r>
          </w:p>
          <w:p w14:paraId="6868B0E0">
            <w:pPr>
              <w:adjustRightInd w:val="0"/>
              <w:snapToGrid w:val="0"/>
              <w:jc w:val="left"/>
              <w:rPr>
                <w:rFonts w:hint="eastAsia" w:ascii="宋体" w:hAnsi="宋体" w:cs="宋体"/>
                <w:b/>
                <w:bCs/>
                <w:szCs w:val="21"/>
              </w:rPr>
            </w:pPr>
            <w:r>
              <w:rPr>
                <w:rFonts w:hint="eastAsia" w:ascii="宋体" w:hAnsi="宋体" w:cs="宋体"/>
                <w:b/>
                <w:bCs/>
                <w:szCs w:val="21"/>
              </w:rPr>
              <w:t>（需提供仪器清单、照片、购置发票或购置合同及计量校正证书等证明材料复印件加盖公章；一台仪器设备不重复计分。）</w:t>
            </w:r>
          </w:p>
        </w:tc>
        <w:tc>
          <w:tcPr>
            <w:tcW w:w="708" w:type="dxa"/>
            <w:shd w:val="clear" w:color="auto" w:fill="auto"/>
            <w:noWrap/>
            <w:vAlign w:val="center"/>
          </w:tcPr>
          <w:p w14:paraId="13566482">
            <w:pPr>
              <w:widowControl/>
              <w:jc w:val="left"/>
              <w:rPr>
                <w:rFonts w:hint="eastAsia" w:ascii="宋体" w:hAnsi="宋体" w:cs="宋体"/>
                <w:color w:val="000000"/>
                <w:kern w:val="0"/>
                <w:szCs w:val="21"/>
              </w:rPr>
            </w:pPr>
          </w:p>
        </w:tc>
      </w:tr>
      <w:tr w14:paraId="053AB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596" w:hRule="atLeast"/>
        </w:trPr>
        <w:tc>
          <w:tcPr>
            <w:tcW w:w="1092" w:type="dxa"/>
            <w:vMerge w:val="continue"/>
            <w:shd w:val="clear" w:color="auto" w:fill="auto"/>
            <w:vAlign w:val="center"/>
          </w:tcPr>
          <w:p w14:paraId="511E1080">
            <w:pPr>
              <w:widowControl/>
              <w:jc w:val="left"/>
              <w:rPr>
                <w:rFonts w:hint="eastAsia" w:ascii="宋体" w:hAnsi="宋体" w:cs="宋体"/>
                <w:b/>
                <w:bCs/>
                <w:color w:val="000000"/>
                <w:kern w:val="0"/>
                <w:szCs w:val="21"/>
              </w:rPr>
            </w:pPr>
          </w:p>
        </w:tc>
        <w:tc>
          <w:tcPr>
            <w:tcW w:w="1092" w:type="dxa"/>
            <w:shd w:val="clear" w:color="auto" w:fill="auto"/>
            <w:noWrap/>
            <w:vAlign w:val="center"/>
          </w:tcPr>
          <w:p w14:paraId="096BD4E5">
            <w:pPr>
              <w:adjustRightInd w:val="0"/>
              <w:snapToGrid w:val="0"/>
              <w:spacing w:line="360" w:lineRule="exact"/>
              <w:jc w:val="center"/>
              <w:rPr>
                <w:rFonts w:hint="eastAsia" w:ascii="宋体" w:hAnsi="宋体"/>
                <w:szCs w:val="21"/>
              </w:rPr>
            </w:pPr>
            <w:r>
              <w:rPr>
                <w:rFonts w:hint="eastAsia" w:ascii="宋体" w:hAnsi="宋体" w:cs="仿宋"/>
                <w:szCs w:val="21"/>
              </w:rPr>
              <w:t>实验室能力验证情况</w:t>
            </w:r>
          </w:p>
        </w:tc>
        <w:tc>
          <w:tcPr>
            <w:tcW w:w="768" w:type="dxa"/>
            <w:shd w:val="clear" w:color="auto" w:fill="auto"/>
            <w:noWrap/>
            <w:vAlign w:val="center"/>
          </w:tcPr>
          <w:p w14:paraId="08D3193B">
            <w:pPr>
              <w:adjustRightInd w:val="0"/>
              <w:snapToGrid w:val="0"/>
              <w:rPr>
                <w:rFonts w:hint="eastAsia" w:ascii="宋体" w:hAnsi="宋体" w:cs="宋体"/>
                <w:szCs w:val="21"/>
              </w:rPr>
            </w:pPr>
            <w:r>
              <w:rPr>
                <w:rFonts w:hint="eastAsia" w:ascii="宋体" w:hAnsi="宋体" w:cs="仿宋"/>
                <w:szCs w:val="21"/>
              </w:rPr>
              <w:t>6分</w:t>
            </w:r>
          </w:p>
        </w:tc>
        <w:tc>
          <w:tcPr>
            <w:tcW w:w="6384" w:type="dxa"/>
            <w:shd w:val="clear" w:color="auto" w:fill="auto"/>
          </w:tcPr>
          <w:p w14:paraId="257B9D37">
            <w:pPr>
              <w:adjustRightInd w:val="0"/>
              <w:snapToGrid w:val="0"/>
              <w:spacing w:line="300" w:lineRule="exact"/>
              <w:rPr>
                <w:rFonts w:hint="eastAsia" w:ascii="宋体" w:hAnsi="宋体"/>
                <w:szCs w:val="21"/>
              </w:rPr>
            </w:pPr>
            <w:r>
              <w:rPr>
                <w:rFonts w:hint="eastAsia" w:ascii="宋体" w:hAnsi="宋体"/>
                <w:szCs w:val="21"/>
              </w:rPr>
              <w:t>1.根据投标人提供的近3年参与国际相关机构组织的食品检测项目的实验室比对或能力验证情况获得的满意结果次数进行打分：每提供一个证明材料得1分，最高得2分；</w:t>
            </w:r>
          </w:p>
          <w:p w14:paraId="124B03FA">
            <w:pPr>
              <w:adjustRightInd w:val="0"/>
              <w:snapToGrid w:val="0"/>
              <w:spacing w:line="300" w:lineRule="exact"/>
              <w:rPr>
                <w:rFonts w:hint="eastAsia" w:ascii="宋体" w:hAnsi="宋体"/>
                <w:szCs w:val="21"/>
              </w:rPr>
            </w:pPr>
            <w:r>
              <w:rPr>
                <w:rFonts w:hint="eastAsia" w:ascii="宋体" w:hAnsi="宋体"/>
                <w:szCs w:val="21"/>
              </w:rPr>
              <w:t>2.根据投标人提供的近3年参与国内相关机构组织的实验室能力验证情况获得满意结果次数进行打分：每提供一个证明材料得0.5分，最高得2分；</w:t>
            </w:r>
          </w:p>
          <w:p w14:paraId="62E43BC0">
            <w:pPr>
              <w:adjustRightInd w:val="0"/>
              <w:snapToGrid w:val="0"/>
              <w:spacing w:line="300" w:lineRule="exact"/>
              <w:rPr>
                <w:rFonts w:hint="eastAsia" w:ascii="宋体" w:hAnsi="宋体"/>
                <w:szCs w:val="21"/>
              </w:rPr>
            </w:pPr>
            <w:r>
              <w:rPr>
                <w:rFonts w:hint="eastAsia" w:ascii="宋体" w:hAnsi="宋体"/>
                <w:szCs w:val="21"/>
              </w:rPr>
              <w:t>3.根据投标人提供的近3年参与各级市场监管部门组织的盲样考核、备样复测结果进行打分，盲样考核结果为一次通过且备样复测结果为满意的,每提供1份得0.5分，最高得2分。</w:t>
            </w:r>
          </w:p>
          <w:p w14:paraId="68D51BD9">
            <w:pPr>
              <w:adjustRightInd w:val="0"/>
              <w:snapToGrid w:val="0"/>
              <w:jc w:val="left"/>
              <w:rPr>
                <w:rFonts w:hint="eastAsia" w:ascii="宋体" w:hAnsi="宋体" w:cs="宋体"/>
                <w:b/>
                <w:bCs/>
                <w:szCs w:val="21"/>
              </w:rPr>
            </w:pPr>
            <w:r>
              <w:rPr>
                <w:rFonts w:hint="eastAsia" w:ascii="宋体" w:hAnsi="宋体" w:cs="宋体"/>
                <w:b/>
                <w:bCs/>
                <w:szCs w:val="21"/>
              </w:rPr>
              <w:t>(能力验证项目应是食品领域的，以投标人提供的能力验证证书、市场监管部门通报文件等相关证明材料复印件加盖公章，未提供或缺项不得分)</w:t>
            </w:r>
          </w:p>
        </w:tc>
        <w:tc>
          <w:tcPr>
            <w:tcW w:w="708" w:type="dxa"/>
            <w:shd w:val="clear" w:color="auto" w:fill="auto"/>
            <w:noWrap/>
            <w:vAlign w:val="center"/>
          </w:tcPr>
          <w:p w14:paraId="529A51A3">
            <w:pPr>
              <w:widowControl/>
              <w:jc w:val="left"/>
              <w:rPr>
                <w:rFonts w:hint="eastAsia" w:ascii="宋体" w:hAnsi="宋体" w:cs="宋体"/>
                <w:color w:val="000000"/>
                <w:kern w:val="0"/>
                <w:szCs w:val="21"/>
              </w:rPr>
            </w:pPr>
          </w:p>
        </w:tc>
      </w:tr>
      <w:tr w14:paraId="2754E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596" w:hRule="atLeast"/>
        </w:trPr>
        <w:tc>
          <w:tcPr>
            <w:tcW w:w="1092" w:type="dxa"/>
            <w:vMerge w:val="continue"/>
            <w:shd w:val="clear" w:color="auto" w:fill="auto"/>
            <w:vAlign w:val="center"/>
          </w:tcPr>
          <w:p w14:paraId="37F4F071">
            <w:pPr>
              <w:widowControl/>
              <w:jc w:val="left"/>
              <w:rPr>
                <w:rFonts w:hint="eastAsia" w:ascii="宋体" w:hAnsi="宋体" w:cs="宋体"/>
                <w:b/>
                <w:bCs/>
                <w:color w:val="000000"/>
                <w:kern w:val="0"/>
                <w:szCs w:val="21"/>
              </w:rPr>
            </w:pPr>
          </w:p>
        </w:tc>
        <w:tc>
          <w:tcPr>
            <w:tcW w:w="1092" w:type="dxa"/>
            <w:shd w:val="clear" w:color="auto" w:fill="auto"/>
            <w:noWrap/>
            <w:vAlign w:val="center"/>
          </w:tcPr>
          <w:p w14:paraId="4AB8E149">
            <w:pPr>
              <w:autoSpaceDE w:val="0"/>
              <w:autoSpaceDN w:val="0"/>
              <w:adjustRightInd w:val="0"/>
              <w:ind w:right="246"/>
              <w:jc w:val="center"/>
              <w:rPr>
                <w:szCs w:val="21"/>
              </w:rPr>
            </w:pPr>
            <w:r>
              <w:rPr>
                <w:rFonts w:hint="eastAsia"/>
                <w:szCs w:val="21"/>
              </w:rPr>
              <w:t>对抽样工作要 求的响应程度</w:t>
            </w:r>
          </w:p>
        </w:tc>
        <w:tc>
          <w:tcPr>
            <w:tcW w:w="768" w:type="dxa"/>
            <w:shd w:val="clear" w:color="auto" w:fill="auto"/>
            <w:noWrap/>
            <w:vAlign w:val="center"/>
          </w:tcPr>
          <w:p w14:paraId="31A79D3D">
            <w:pPr>
              <w:adjustRightInd w:val="0"/>
              <w:snapToGrid w:val="0"/>
              <w:spacing w:line="400" w:lineRule="exact"/>
              <w:jc w:val="center"/>
              <w:rPr>
                <w:szCs w:val="21"/>
              </w:rPr>
            </w:pPr>
            <w:r>
              <w:rPr>
                <w:rFonts w:hint="eastAsia"/>
                <w:szCs w:val="21"/>
              </w:rPr>
              <w:t>10分</w:t>
            </w:r>
          </w:p>
        </w:tc>
        <w:tc>
          <w:tcPr>
            <w:tcW w:w="6384" w:type="dxa"/>
            <w:shd w:val="clear" w:color="auto" w:fill="auto"/>
          </w:tcPr>
          <w:p w14:paraId="06480056">
            <w:pPr>
              <w:adjustRightInd w:val="0"/>
              <w:snapToGrid w:val="0"/>
              <w:spacing w:line="300" w:lineRule="exact"/>
              <w:rPr>
                <w:szCs w:val="21"/>
              </w:rPr>
            </w:pPr>
            <w:r>
              <w:rPr>
                <w:rFonts w:hint="eastAsia"/>
                <w:szCs w:val="21"/>
              </w:rPr>
              <w:t>投标人对招标文件中 “抽检工作”需求（包括内容要求、时限要求、应急响应能力等）的响应性：</w:t>
            </w:r>
          </w:p>
          <w:p w14:paraId="1341882F">
            <w:pPr>
              <w:adjustRightInd w:val="0"/>
              <w:snapToGrid w:val="0"/>
              <w:spacing w:line="300" w:lineRule="exact"/>
              <w:rPr>
                <w:szCs w:val="21"/>
              </w:rPr>
            </w:pPr>
            <w:r>
              <w:rPr>
                <w:rFonts w:hint="eastAsia"/>
                <w:szCs w:val="21"/>
              </w:rPr>
              <w:t>1.投标人距采购人的抽样工作响应距离，由采购人所在地到投标人食品检测实验室所在地，样品进入实验室的时间≤3小时的得5分；时间＞3小时，≤5小时，得3分；时间＞5小时的不得分。</w:t>
            </w:r>
          </w:p>
          <w:p w14:paraId="54123B9B">
            <w:pPr>
              <w:adjustRightInd w:val="0"/>
              <w:snapToGrid w:val="0"/>
              <w:spacing w:line="300" w:lineRule="exact"/>
              <w:rPr>
                <w:szCs w:val="21"/>
              </w:rPr>
            </w:pPr>
            <w:r>
              <w:rPr>
                <w:rFonts w:hint="eastAsia"/>
                <w:szCs w:val="21"/>
              </w:rPr>
              <w:t>注：提供投标人食品检测实验室资质证书复印件及该实验室所在地点距离嵊泗县市场监督管理局交通路程的百度等导航地图规划测算数据作为依据。投标人的子公司等具有独立的法人资格的机构所属实验室不予认可。</w:t>
            </w:r>
          </w:p>
          <w:p w14:paraId="5A857C8D">
            <w:pPr>
              <w:adjustRightInd w:val="0"/>
              <w:snapToGrid w:val="0"/>
              <w:spacing w:line="300" w:lineRule="exact"/>
              <w:rPr>
                <w:szCs w:val="21"/>
              </w:rPr>
            </w:pPr>
            <w:r>
              <w:rPr>
                <w:rFonts w:hint="eastAsia"/>
                <w:szCs w:val="21"/>
              </w:rPr>
              <w:t>2.在采购人日常检测过程中，遇到食品安全突发事件或紧急任务需投标方协助抽检样品或需要投标方技术人员配合时，投标人对采购人应急能力要求的响应：</w:t>
            </w:r>
          </w:p>
          <w:p w14:paraId="4E0825DB">
            <w:pPr>
              <w:adjustRightInd w:val="0"/>
              <w:snapToGrid w:val="0"/>
              <w:spacing w:line="300" w:lineRule="exact"/>
              <w:rPr>
                <w:szCs w:val="21"/>
              </w:rPr>
            </w:pPr>
            <w:r>
              <w:rPr>
                <w:rFonts w:hint="eastAsia"/>
                <w:szCs w:val="21"/>
              </w:rPr>
              <w:t>方案全面的，得5分；方案基本全面的，得2分；</w:t>
            </w:r>
            <w:r>
              <w:rPr>
                <w:rFonts w:hint="eastAsia" w:ascii="宋体" w:hAnsi="宋体" w:cs="宋体"/>
                <w:szCs w:val="21"/>
              </w:rPr>
              <w:t>未提及此项不得分</w:t>
            </w:r>
            <w:r>
              <w:rPr>
                <w:rFonts w:hint="eastAsia"/>
                <w:szCs w:val="21"/>
              </w:rPr>
              <w:t>。</w:t>
            </w:r>
          </w:p>
        </w:tc>
        <w:tc>
          <w:tcPr>
            <w:tcW w:w="708" w:type="dxa"/>
            <w:shd w:val="clear" w:color="auto" w:fill="auto"/>
            <w:noWrap/>
            <w:vAlign w:val="center"/>
          </w:tcPr>
          <w:p w14:paraId="29A12D55">
            <w:pPr>
              <w:widowControl/>
              <w:jc w:val="left"/>
              <w:rPr>
                <w:rFonts w:hint="eastAsia" w:ascii="宋体" w:hAnsi="宋体" w:cs="宋体"/>
                <w:color w:val="000000"/>
                <w:kern w:val="0"/>
                <w:szCs w:val="21"/>
              </w:rPr>
            </w:pPr>
          </w:p>
        </w:tc>
      </w:tr>
      <w:tr w14:paraId="4F5A4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1138" w:hRule="atLeast"/>
        </w:trPr>
        <w:tc>
          <w:tcPr>
            <w:tcW w:w="1092" w:type="dxa"/>
            <w:shd w:val="clear" w:color="auto" w:fill="auto"/>
            <w:vAlign w:val="center"/>
          </w:tcPr>
          <w:p w14:paraId="7F8EA23F">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报价部分（10分）</w:t>
            </w:r>
          </w:p>
        </w:tc>
        <w:tc>
          <w:tcPr>
            <w:tcW w:w="1092" w:type="dxa"/>
            <w:shd w:val="clear" w:color="auto" w:fill="auto"/>
            <w:noWrap/>
            <w:vAlign w:val="center"/>
          </w:tcPr>
          <w:p w14:paraId="1DF3476C">
            <w:pPr>
              <w:widowControl/>
              <w:jc w:val="center"/>
              <w:rPr>
                <w:rFonts w:hint="eastAsia" w:ascii="宋体" w:hAnsi="宋体" w:cs="宋体"/>
                <w:color w:val="000000"/>
                <w:kern w:val="0"/>
                <w:szCs w:val="21"/>
              </w:rPr>
            </w:pPr>
            <w:r>
              <w:rPr>
                <w:rFonts w:hint="eastAsia" w:ascii="宋体" w:hAnsi="宋体" w:cs="宋体"/>
                <w:color w:val="000000"/>
                <w:kern w:val="0"/>
                <w:szCs w:val="21"/>
              </w:rPr>
              <w:t>价格分</w:t>
            </w:r>
          </w:p>
        </w:tc>
        <w:tc>
          <w:tcPr>
            <w:tcW w:w="768" w:type="dxa"/>
            <w:shd w:val="clear" w:color="auto" w:fill="auto"/>
            <w:noWrap/>
            <w:vAlign w:val="center"/>
          </w:tcPr>
          <w:p w14:paraId="1907A984">
            <w:pPr>
              <w:widowControl/>
              <w:jc w:val="center"/>
              <w:rPr>
                <w:rFonts w:hint="eastAsia" w:ascii="宋体" w:hAnsi="宋体" w:cs="宋体"/>
                <w:color w:val="000000"/>
                <w:kern w:val="0"/>
                <w:szCs w:val="21"/>
              </w:rPr>
            </w:pPr>
            <w:r>
              <w:rPr>
                <w:rFonts w:hint="eastAsia" w:ascii="宋体" w:hAnsi="宋体" w:cs="宋体"/>
                <w:color w:val="000000"/>
                <w:kern w:val="0"/>
                <w:szCs w:val="21"/>
              </w:rPr>
              <w:t>10分</w:t>
            </w:r>
          </w:p>
        </w:tc>
        <w:tc>
          <w:tcPr>
            <w:tcW w:w="6384" w:type="dxa"/>
            <w:shd w:val="clear" w:color="auto" w:fill="auto"/>
            <w:vAlign w:val="center"/>
          </w:tcPr>
          <w:p w14:paraId="3136A022">
            <w:pPr>
              <w:widowControl/>
              <w:jc w:val="left"/>
              <w:rPr>
                <w:rFonts w:hint="eastAsia" w:ascii="宋体" w:hAnsi="宋体" w:eastAsia="宋体" w:cs="宋体"/>
                <w:color w:val="000000"/>
                <w:kern w:val="0"/>
                <w:szCs w:val="21"/>
                <w:lang w:eastAsia="zh-CN"/>
              </w:rPr>
            </w:pPr>
            <w:r>
              <w:rPr>
                <w:rFonts w:hint="eastAsia" w:ascii="宋体" w:hAnsi="宋体" w:cs="宋体"/>
                <w:color w:val="000000"/>
                <w:kern w:val="0"/>
                <w:szCs w:val="21"/>
              </w:rPr>
              <w:t>满足招标文件要求且有效投标价格最低的投标报价作为评标基准价，其价格分为满分；其他投标人的价格分统一按照下列公式计算：</w:t>
            </w:r>
          </w:p>
          <w:p w14:paraId="55FEF808">
            <w:pPr>
              <w:widowControl/>
              <w:jc w:val="left"/>
              <w:rPr>
                <w:rFonts w:hint="eastAsia" w:ascii="宋体" w:hAnsi="宋体" w:cs="宋体"/>
                <w:color w:val="000000"/>
                <w:kern w:val="0"/>
                <w:szCs w:val="21"/>
              </w:rPr>
            </w:pPr>
            <w:r>
              <w:rPr>
                <w:rFonts w:hint="eastAsia" w:ascii="宋体" w:hAnsi="宋体" w:cs="宋体"/>
                <w:color w:val="000000"/>
                <w:kern w:val="0"/>
                <w:szCs w:val="21"/>
              </w:rPr>
              <w:t>价格得分＝（评标基准价/投标报价）×价格权重×100。</w:t>
            </w:r>
          </w:p>
        </w:tc>
        <w:tc>
          <w:tcPr>
            <w:tcW w:w="708" w:type="dxa"/>
            <w:shd w:val="clear" w:color="auto" w:fill="auto"/>
            <w:noWrap/>
            <w:vAlign w:val="center"/>
          </w:tcPr>
          <w:p w14:paraId="317E24E5">
            <w:pPr>
              <w:widowControl/>
              <w:jc w:val="left"/>
              <w:rPr>
                <w:rFonts w:hint="eastAsia" w:ascii="宋体" w:hAnsi="宋体" w:cs="宋体"/>
                <w:color w:val="000000"/>
                <w:kern w:val="0"/>
                <w:szCs w:val="21"/>
              </w:rPr>
            </w:pPr>
          </w:p>
        </w:tc>
      </w:tr>
    </w:tbl>
    <w:p w14:paraId="550E3D9E">
      <w:pPr>
        <w:tabs>
          <w:tab w:val="left" w:pos="1020"/>
        </w:tabs>
        <w:spacing w:line="360" w:lineRule="auto"/>
        <w:ind w:right="-341"/>
        <w:jc w:val="left"/>
        <w:rPr>
          <w:rFonts w:hint="eastAsia" w:ascii="宋体" w:hAnsi="宋体"/>
          <w:b/>
          <w:bCs/>
          <w:color w:val="0000FF"/>
          <w:sz w:val="28"/>
          <w:szCs w:val="28"/>
        </w:rPr>
      </w:pPr>
      <w:r>
        <w:rPr>
          <w:rFonts w:hint="eastAsia" w:ascii="宋体" w:hAnsi="宋体"/>
          <w:b/>
          <w:bCs/>
          <w:sz w:val="28"/>
          <w:szCs w:val="28"/>
        </w:rPr>
        <w:t xml:space="preserve"> </w:t>
      </w:r>
      <w:bookmarkEnd w:id="0"/>
    </w:p>
    <w:p w14:paraId="1E5ECBBD">
      <w:pPr>
        <w:spacing w:line="520" w:lineRule="exact"/>
        <w:ind w:firstLine="3092" w:firstLineChars="1100"/>
        <w:rPr>
          <w:rFonts w:hint="eastAsia" w:ascii="宋体" w:hAnsi="宋体"/>
          <w:b/>
          <w:bCs/>
          <w:sz w:val="24"/>
          <w:szCs w:val="24"/>
        </w:rPr>
      </w:pPr>
      <w:r>
        <w:rPr>
          <w:rFonts w:hint="eastAsia" w:ascii="宋体" w:hAnsi="宋体"/>
          <w:b/>
          <w:bCs/>
          <w:sz w:val="28"/>
          <w:szCs w:val="28"/>
        </w:rPr>
        <w:t>第五章  合同主要条款</w:t>
      </w:r>
    </w:p>
    <w:p w14:paraId="35BAD65F">
      <w:pPr>
        <w:snapToGrid w:val="0"/>
        <w:spacing w:line="520" w:lineRule="exact"/>
        <w:jc w:val="center"/>
        <w:rPr>
          <w:rFonts w:hint="eastAsia" w:ascii="宋体" w:hAnsi="宋体"/>
          <w:b/>
          <w:sz w:val="24"/>
          <w:szCs w:val="24"/>
        </w:rPr>
      </w:pPr>
      <w:r>
        <w:rPr>
          <w:rFonts w:hint="eastAsia" w:ascii="宋体" w:hAnsi="宋体"/>
          <w:b/>
          <w:sz w:val="24"/>
          <w:szCs w:val="24"/>
        </w:rPr>
        <w:t>采购合同</w:t>
      </w:r>
      <w:r>
        <w:rPr>
          <w:rFonts w:ascii="宋体" w:hAnsi="宋体"/>
          <w:b/>
          <w:sz w:val="24"/>
          <w:szCs w:val="24"/>
        </w:rPr>
        <w:t>(</w:t>
      </w:r>
      <w:r>
        <w:rPr>
          <w:rFonts w:hint="eastAsia" w:ascii="宋体" w:hAnsi="宋体"/>
          <w:b/>
          <w:sz w:val="24"/>
          <w:szCs w:val="24"/>
        </w:rPr>
        <w:t>仅供参考</w:t>
      </w:r>
      <w:r>
        <w:rPr>
          <w:rFonts w:ascii="宋体" w:hAnsi="宋体"/>
          <w:b/>
          <w:sz w:val="24"/>
          <w:szCs w:val="24"/>
        </w:rPr>
        <w:t>)</w:t>
      </w:r>
    </w:p>
    <w:p w14:paraId="5BBEC3A4">
      <w:pPr>
        <w:spacing w:line="288" w:lineRule="auto"/>
        <w:jc w:val="center"/>
        <w:rPr>
          <w:b/>
          <w:szCs w:val="21"/>
        </w:rPr>
      </w:pPr>
    </w:p>
    <w:p w14:paraId="40644F35">
      <w:pPr>
        <w:spacing w:line="288" w:lineRule="auto"/>
        <w:jc w:val="center"/>
        <w:rPr>
          <w:b/>
          <w:szCs w:val="21"/>
        </w:rPr>
      </w:pPr>
    </w:p>
    <w:p w14:paraId="633F7BEB">
      <w:pPr>
        <w:spacing w:line="288" w:lineRule="auto"/>
        <w:jc w:val="center"/>
        <w:rPr>
          <w:rFonts w:hint="eastAsia" w:ascii="宋体" w:hAnsi="宋体"/>
        </w:rPr>
      </w:pPr>
      <w:r>
        <w:rPr>
          <w:rFonts w:hint="eastAsia"/>
          <w:b/>
          <w:szCs w:val="21"/>
        </w:rPr>
        <w:t>2025年嵊泗县市场监督管理局食品安全抽检检测项目</w:t>
      </w:r>
      <w:r>
        <w:rPr>
          <w:rFonts w:hint="eastAsia" w:ascii="宋体" w:hAnsi="宋体" w:cs="宋体"/>
          <w:b/>
          <w:szCs w:val="21"/>
        </w:rPr>
        <w:t>合同（范本）</w:t>
      </w:r>
    </w:p>
    <w:p w14:paraId="1581D425">
      <w:pPr>
        <w:spacing w:line="520" w:lineRule="exact"/>
        <w:ind w:firstLine="1256" w:firstLineChars="596"/>
        <w:rPr>
          <w:rFonts w:hint="eastAsia" w:ascii="宋体" w:hAnsi="宋体" w:cs="宋体"/>
          <w:szCs w:val="21"/>
        </w:rPr>
      </w:pPr>
      <w:r>
        <w:rPr>
          <w:rFonts w:hint="eastAsia" w:ascii="宋体" w:hAnsi="宋体"/>
          <w:b/>
          <w:kern w:val="0"/>
        </w:rPr>
        <w:t>招标文件、中标人的投标文件及其澄清文件等，均为合同的组成部分。</w:t>
      </w:r>
    </w:p>
    <w:p w14:paraId="30B446E4">
      <w:pPr>
        <w:spacing w:line="520" w:lineRule="exact"/>
        <w:ind w:firstLine="472" w:firstLineChars="225"/>
        <w:rPr>
          <w:rFonts w:hint="eastAsia" w:ascii="宋体" w:hAnsi="宋体" w:cs="宋体"/>
          <w:szCs w:val="21"/>
        </w:rPr>
      </w:pPr>
    </w:p>
    <w:p w14:paraId="0F105C31">
      <w:pPr>
        <w:spacing w:line="360" w:lineRule="auto"/>
        <w:ind w:firstLine="472" w:firstLineChars="225"/>
        <w:rPr>
          <w:rFonts w:hint="eastAsia" w:ascii="宋体" w:hAnsi="宋体" w:cs="宋体"/>
          <w:szCs w:val="21"/>
          <w:u w:val="single"/>
        </w:rPr>
      </w:pPr>
      <w:r>
        <w:rPr>
          <w:rFonts w:hint="eastAsia" w:ascii="宋体" w:hAnsi="宋体" w:cs="宋体"/>
          <w:szCs w:val="21"/>
        </w:rPr>
        <w:t>甲方：（全称）</w:t>
      </w:r>
    </w:p>
    <w:p w14:paraId="01AD8298">
      <w:pPr>
        <w:spacing w:line="360" w:lineRule="auto"/>
        <w:ind w:firstLine="472" w:firstLineChars="225"/>
        <w:rPr>
          <w:rFonts w:hint="eastAsia" w:ascii="宋体" w:hAnsi="宋体" w:cs="宋体"/>
          <w:szCs w:val="21"/>
          <w:u w:val="single"/>
        </w:rPr>
      </w:pPr>
      <w:r>
        <w:rPr>
          <w:rFonts w:hint="eastAsia" w:ascii="宋体" w:hAnsi="宋体" w:cs="宋体"/>
          <w:szCs w:val="21"/>
        </w:rPr>
        <w:t>乙方：（全称）</w:t>
      </w:r>
    </w:p>
    <w:p w14:paraId="7877BCEF">
      <w:pPr>
        <w:spacing w:line="360" w:lineRule="auto"/>
        <w:ind w:firstLine="472" w:firstLineChars="225"/>
        <w:rPr>
          <w:rFonts w:hint="eastAsia" w:ascii="宋体" w:hAnsi="宋体" w:cs="宋体"/>
          <w:szCs w:val="21"/>
        </w:rPr>
      </w:pPr>
      <w:r>
        <w:rPr>
          <w:rFonts w:hint="eastAsia" w:ascii="宋体" w:hAnsi="宋体" w:cs="宋体"/>
          <w:szCs w:val="21"/>
        </w:rPr>
        <w:t>依照《中华人民共和国民法典》及其他有关法律、行政法规，遵循平等、自愿、公平和诚实信用的原则，双方就本项目事项协商一致，订立本合同。</w:t>
      </w:r>
    </w:p>
    <w:p w14:paraId="7FC10191">
      <w:pPr>
        <w:spacing w:line="360" w:lineRule="auto"/>
        <w:ind w:firstLine="422" w:firstLineChars="200"/>
        <w:outlineLvl w:val="0"/>
        <w:rPr>
          <w:rFonts w:hint="eastAsia" w:ascii="宋体" w:hAnsi="宋体"/>
          <w:b/>
          <w:bCs/>
          <w:szCs w:val="21"/>
        </w:rPr>
      </w:pPr>
      <w:r>
        <w:rPr>
          <w:rFonts w:hint="eastAsia" w:ascii="宋体" w:hAnsi="宋体"/>
          <w:b/>
          <w:bCs/>
          <w:szCs w:val="21"/>
        </w:rPr>
        <w:t>1.项目背景</w:t>
      </w:r>
    </w:p>
    <w:p w14:paraId="28FCAC81">
      <w:pPr>
        <w:spacing w:line="312" w:lineRule="auto"/>
        <w:ind w:firstLine="420" w:firstLineChars="200"/>
        <w:outlineLvl w:val="0"/>
        <w:rPr>
          <w:rFonts w:hint="eastAsia" w:ascii="宋体" w:hAnsi="宋体"/>
          <w:b/>
          <w:bCs/>
          <w:szCs w:val="21"/>
        </w:rPr>
      </w:pPr>
      <w:r>
        <w:rPr>
          <w:rFonts w:hint="eastAsia" w:ascii="宋体" w:hAnsi="宋体" w:cs="宋体"/>
          <w:szCs w:val="21"/>
        </w:rPr>
        <w:t>为认真履行食品监管职能，及时发现并查处食品安全问题，切实排除各类食品安全风险隐患，提升食品安全监管的针对性和有效性。根据《中华人民共和国食品安全法》、《中华人民共和国食品安全法实施条例》以及《食品安全抽样检验管理办法》等有关要求，结合嵊泗县食品安全工作实际，现制定2025年食品安全监督抽检计划。</w:t>
      </w:r>
    </w:p>
    <w:p w14:paraId="0072A430">
      <w:pPr>
        <w:spacing w:line="360" w:lineRule="auto"/>
        <w:ind w:firstLine="422" w:firstLineChars="200"/>
        <w:outlineLvl w:val="0"/>
        <w:rPr>
          <w:rFonts w:hint="eastAsia" w:ascii="宋体" w:hAnsi="宋体"/>
          <w:b/>
          <w:bCs/>
          <w:szCs w:val="21"/>
        </w:rPr>
      </w:pPr>
      <w:r>
        <w:rPr>
          <w:rFonts w:hint="eastAsia" w:ascii="宋体" w:hAnsi="宋体"/>
          <w:b/>
          <w:bCs/>
          <w:szCs w:val="21"/>
        </w:rPr>
        <w:t>2.工作任务</w:t>
      </w:r>
    </w:p>
    <w:p w14:paraId="48D66315">
      <w:pPr>
        <w:spacing w:line="360" w:lineRule="auto"/>
        <w:ind w:firstLine="420" w:firstLineChars="200"/>
        <w:outlineLvl w:val="0"/>
        <w:rPr>
          <w:rFonts w:hint="eastAsia" w:ascii="宋体" w:hAnsi="宋体"/>
          <w:szCs w:val="21"/>
        </w:rPr>
      </w:pPr>
      <w:r>
        <w:rPr>
          <w:rFonts w:hint="eastAsia" w:ascii="宋体" w:hAnsi="宋体" w:cs="宋体"/>
          <w:szCs w:val="21"/>
        </w:rPr>
        <w:t>本年度监督抽检任务为“县级监督抽检”，2025 年计划完成普通食品抽检 380 批次，涵盖食品生产、流通、餐饮三个环节，并结合“百姓点检”、“你扫我检”和“你拍我检”。自消毒餐饮具抽检 40 户（每户至少 3 批次，并留有一份空白对照）。省级、市级抽检任务，按照省、市下达的相应监督抽检任务分配要求，配合有关承检机构落实抽样工作。</w:t>
      </w:r>
    </w:p>
    <w:p w14:paraId="63A3F3B2">
      <w:pPr>
        <w:spacing w:line="360" w:lineRule="auto"/>
        <w:ind w:firstLine="422" w:firstLineChars="200"/>
        <w:rPr>
          <w:rFonts w:hint="eastAsia" w:ascii="宋体" w:hAnsi="宋体" w:cs="宋体"/>
          <w:b/>
          <w:szCs w:val="21"/>
          <w:lang w:val="zh-TW" w:eastAsia="zh-TW"/>
        </w:rPr>
      </w:pPr>
      <w:r>
        <w:rPr>
          <w:rFonts w:hint="eastAsia" w:ascii="宋体" w:hAnsi="宋体" w:cs="宋体"/>
          <w:b/>
          <w:szCs w:val="21"/>
        </w:rPr>
        <w:t>3.</w:t>
      </w:r>
      <w:r>
        <w:rPr>
          <w:rFonts w:hint="eastAsia" w:ascii="宋体" w:hAnsi="宋体" w:cs="宋体"/>
          <w:b/>
          <w:szCs w:val="21"/>
          <w:lang w:val="zh-TW" w:eastAsia="zh-TW"/>
        </w:rPr>
        <w:t>费用及支付方式</w:t>
      </w:r>
    </w:p>
    <w:p w14:paraId="23C8D00D">
      <w:pPr>
        <w:spacing w:line="360" w:lineRule="auto"/>
        <w:ind w:firstLine="420" w:firstLineChars="200"/>
        <w:rPr>
          <w:rFonts w:hint="eastAsia" w:ascii="宋体" w:hAnsi="宋体" w:cs="宋体"/>
          <w:szCs w:val="21"/>
          <w:lang w:val="zh-TW"/>
        </w:rPr>
      </w:pPr>
      <w:r>
        <w:rPr>
          <w:rFonts w:hint="eastAsia" w:ascii="宋体" w:hAnsi="宋体" w:cs="宋体"/>
          <w:szCs w:val="21"/>
          <w:lang w:val="zh-TW"/>
        </w:rPr>
        <w:t>合同金额：人民币</w:t>
      </w:r>
      <w:r>
        <w:rPr>
          <w:rFonts w:hint="eastAsia" w:ascii="宋体" w:hAnsi="宋体" w:cs="宋体"/>
          <w:szCs w:val="21"/>
        </w:rPr>
        <w:t xml:space="preserve">       </w:t>
      </w:r>
      <w:r>
        <w:rPr>
          <w:rFonts w:hint="eastAsia" w:ascii="宋体" w:hAnsi="宋体" w:cs="宋体"/>
          <w:szCs w:val="21"/>
          <w:lang w:val="zh-TW"/>
        </w:rPr>
        <w:t>元整（ 大写：         元）。</w:t>
      </w:r>
    </w:p>
    <w:p w14:paraId="69E25B23">
      <w:pPr>
        <w:spacing w:line="360" w:lineRule="auto"/>
        <w:ind w:firstLine="420" w:firstLineChars="200"/>
        <w:rPr>
          <w:rFonts w:hint="eastAsia" w:ascii="宋体" w:hAnsi="宋体" w:cs="宋体"/>
          <w:szCs w:val="21"/>
          <w:lang w:val="zh-TW"/>
        </w:rPr>
      </w:pPr>
      <w:r>
        <w:rPr>
          <w:rFonts w:hint="eastAsia" w:ascii="宋体" w:hAnsi="宋体" w:cs="宋体"/>
          <w:szCs w:val="21"/>
          <w:lang w:val="zh-TW"/>
        </w:rPr>
        <w:t>支付方式：</w:t>
      </w:r>
    </w:p>
    <w:p w14:paraId="2BCF3471">
      <w:pPr>
        <w:spacing w:line="360" w:lineRule="auto"/>
        <w:ind w:firstLine="420" w:firstLineChars="200"/>
        <w:rPr>
          <w:rFonts w:hint="eastAsia" w:ascii="宋体" w:hAnsi="宋体" w:cs="宋体"/>
          <w:szCs w:val="21"/>
          <w:lang w:val="zh-TW"/>
        </w:rPr>
      </w:pPr>
      <w:r>
        <w:rPr>
          <w:rFonts w:hint="eastAsia" w:ascii="宋体" w:hAnsi="宋体" w:cs="宋体"/>
          <w:szCs w:val="21"/>
          <w:lang w:val="zh-TW"/>
        </w:rPr>
        <w:t>合同生效以及具备实施条件，自收到发票后7个工作日内，支付合同金额的</w:t>
      </w:r>
      <w:r>
        <w:rPr>
          <w:rFonts w:hint="eastAsia" w:ascii="宋体" w:hAnsi="宋体" w:cs="宋体"/>
          <w:szCs w:val="21"/>
        </w:rPr>
        <w:t>4</w:t>
      </w:r>
      <w:r>
        <w:rPr>
          <w:rFonts w:hint="eastAsia" w:ascii="宋体" w:hAnsi="宋体" w:cs="宋体"/>
          <w:szCs w:val="21"/>
          <w:lang w:val="zh-TW"/>
        </w:rPr>
        <w:t>0%作为预付款，即人民币     元整（      元）。</w:t>
      </w:r>
    </w:p>
    <w:p w14:paraId="471BAE03">
      <w:pPr>
        <w:spacing w:line="360" w:lineRule="auto"/>
        <w:ind w:firstLine="522" w:firstLineChars="249"/>
        <w:rPr>
          <w:rFonts w:hint="eastAsia" w:ascii="宋体" w:hAnsi="宋体" w:cs="宋体"/>
          <w:szCs w:val="21"/>
          <w:lang w:val="zh-TW"/>
        </w:rPr>
      </w:pPr>
      <w:r>
        <w:rPr>
          <w:rFonts w:hint="eastAsia" w:ascii="宋体" w:hAnsi="宋体" w:cs="宋体"/>
          <w:szCs w:val="21"/>
          <w:lang w:val="zh-TW"/>
        </w:rPr>
        <w:t>项目完成并通过验收合格后，自收到发票后7个工作日内，支付剩余款项，即人民币     元整（      元）。</w:t>
      </w:r>
    </w:p>
    <w:p w14:paraId="0BEF9690">
      <w:pPr>
        <w:spacing w:line="360" w:lineRule="auto"/>
        <w:ind w:firstLine="420" w:firstLineChars="200"/>
        <w:rPr>
          <w:rFonts w:hint="eastAsia" w:ascii="宋体" w:hAnsi="宋体" w:cs="宋体"/>
          <w:b/>
          <w:szCs w:val="21"/>
          <w:lang w:val="zh-TW"/>
        </w:rPr>
      </w:pPr>
      <w:r>
        <w:rPr>
          <w:rFonts w:hint="eastAsia" w:ascii="宋体" w:hAnsi="宋体"/>
          <w:szCs w:val="21"/>
          <w:lang w:val="zh-TW"/>
        </w:rPr>
        <w:t>由甲方决定是否需要提供预付款担保</w:t>
      </w:r>
      <w:r>
        <w:rPr>
          <w:rFonts w:ascii="宋体" w:hAnsi="宋体"/>
          <w:szCs w:val="21"/>
          <w:lang w:val="zh-TW"/>
        </w:rPr>
        <w:t>(预付款担保形式可以是银行保函、担保公司担保等)。</w:t>
      </w:r>
    </w:p>
    <w:p w14:paraId="016FD441">
      <w:pPr>
        <w:spacing w:line="360" w:lineRule="auto"/>
        <w:ind w:left="420" w:leftChars="200"/>
        <w:jc w:val="left"/>
        <w:rPr>
          <w:rFonts w:hint="eastAsia" w:ascii="宋体" w:hAnsi="宋体" w:cs="宋体"/>
          <w:b/>
          <w:szCs w:val="21"/>
          <w:lang w:val="zh-TW" w:eastAsia="zh-TW"/>
        </w:rPr>
      </w:pPr>
      <w:r>
        <w:rPr>
          <w:rFonts w:hint="eastAsia" w:ascii="宋体" w:hAnsi="宋体" w:cs="宋体"/>
          <w:b/>
          <w:szCs w:val="21"/>
        </w:rPr>
        <w:t>4.</w:t>
      </w:r>
      <w:r>
        <w:rPr>
          <w:rFonts w:hint="eastAsia" w:ascii="宋体" w:hAnsi="宋体" w:cs="宋体"/>
          <w:b/>
          <w:szCs w:val="21"/>
          <w:lang w:val="zh-TW" w:eastAsia="zh-TW"/>
        </w:rPr>
        <w:t>乙方项目组成员与合约履行期限：</w:t>
      </w:r>
    </w:p>
    <w:p w14:paraId="3A2E6F18">
      <w:pPr>
        <w:spacing w:before="120" w:after="120" w:line="360" w:lineRule="auto"/>
        <w:ind w:firstLine="630" w:firstLineChars="300"/>
        <w:rPr>
          <w:rFonts w:hint="eastAsia" w:ascii="宋体" w:hAnsi="宋体" w:cs="宋体"/>
          <w:b/>
          <w:sz w:val="24"/>
          <w:szCs w:val="24"/>
        </w:rPr>
      </w:pPr>
      <w:r>
        <w:rPr>
          <w:rFonts w:hint="eastAsia" w:ascii="宋体" w:hAnsi="宋体" w:cs="宋体"/>
          <w:szCs w:val="21"/>
        </w:rPr>
        <w:t>1.</w:t>
      </w:r>
      <w:r>
        <w:rPr>
          <w:rFonts w:hint="eastAsia" w:ascii="宋体" w:hAnsi="宋体" w:cs="宋体"/>
          <w:szCs w:val="21"/>
          <w:lang w:val="zh-TW" w:eastAsia="zh-TW"/>
        </w:rPr>
        <w:t>乙方项目组成员构成</w:t>
      </w:r>
    </w:p>
    <w:p w14:paraId="2268CF60">
      <w:pPr>
        <w:spacing w:line="360" w:lineRule="auto"/>
        <w:ind w:firstLine="480"/>
        <w:rPr>
          <w:rFonts w:hint="eastAsia" w:ascii="宋体" w:hAnsi="宋体" w:cs="宋体"/>
          <w:b/>
          <w:szCs w:val="21"/>
          <w:lang w:val="zh-TW"/>
        </w:rPr>
      </w:pPr>
      <w:r>
        <w:rPr>
          <w:rFonts w:hint="eastAsia" w:ascii="宋体" w:hAnsi="宋体" w:cs="宋体"/>
          <w:b/>
          <w:szCs w:val="21"/>
          <w:lang w:val="zh-TW"/>
        </w:rPr>
        <w:t>5.</w:t>
      </w:r>
      <w:r>
        <w:rPr>
          <w:rFonts w:hint="eastAsia" w:ascii="宋体" w:hAnsi="宋体" w:cs="宋体"/>
          <w:b/>
          <w:szCs w:val="21"/>
          <w:lang w:val="zh-TW" w:eastAsia="zh-TW"/>
        </w:rPr>
        <w:t>项目工作要求</w:t>
      </w:r>
    </w:p>
    <w:p w14:paraId="29E86B25">
      <w:pPr>
        <w:spacing w:line="360" w:lineRule="auto"/>
        <w:rPr>
          <w:rFonts w:hint="eastAsia" w:ascii="宋体" w:hAnsi="宋体" w:cs="宋体"/>
          <w:szCs w:val="21"/>
          <w:lang w:val="zh-TW"/>
        </w:rPr>
      </w:pPr>
    </w:p>
    <w:p w14:paraId="5463390A">
      <w:pPr>
        <w:spacing w:line="360" w:lineRule="auto"/>
        <w:ind w:firstLine="480"/>
        <w:rPr>
          <w:rFonts w:hint="eastAsia" w:ascii="宋体" w:hAnsi="宋体" w:cs="宋体"/>
          <w:b/>
          <w:szCs w:val="21"/>
          <w:lang w:val="zh-TW" w:eastAsia="zh-TW"/>
        </w:rPr>
      </w:pPr>
      <w:r>
        <w:rPr>
          <w:rFonts w:hint="eastAsia" w:ascii="宋体" w:hAnsi="宋体" w:cs="宋体"/>
          <w:b/>
          <w:szCs w:val="21"/>
          <w:lang w:val="zh-TW"/>
        </w:rPr>
        <w:t>6.</w:t>
      </w:r>
      <w:r>
        <w:rPr>
          <w:rFonts w:hint="eastAsia" w:ascii="宋体" w:hAnsi="宋体" w:cs="宋体"/>
          <w:b/>
          <w:szCs w:val="21"/>
          <w:lang w:val="zh-TW" w:eastAsia="zh-TW"/>
        </w:rPr>
        <w:t>权利与义务</w:t>
      </w:r>
    </w:p>
    <w:p w14:paraId="095E727C">
      <w:pPr>
        <w:spacing w:line="360" w:lineRule="auto"/>
        <w:ind w:firstLine="480"/>
        <w:rPr>
          <w:rFonts w:hint="eastAsia" w:ascii="宋体" w:hAnsi="宋体" w:cs="宋体"/>
          <w:bCs/>
          <w:szCs w:val="21"/>
          <w:lang w:val="zh-TW"/>
        </w:rPr>
      </w:pPr>
      <w:r>
        <w:rPr>
          <w:rFonts w:hint="eastAsia" w:ascii="宋体" w:hAnsi="宋体" w:cs="宋体"/>
          <w:bCs/>
          <w:szCs w:val="21"/>
          <w:lang w:val="zh-TW"/>
        </w:rPr>
        <w:t>1.乙方应按招标文件规定向甲方提供服务。</w:t>
      </w:r>
    </w:p>
    <w:p w14:paraId="075AA7C1">
      <w:pPr>
        <w:spacing w:line="360" w:lineRule="auto"/>
        <w:ind w:firstLine="480"/>
        <w:rPr>
          <w:rFonts w:hint="eastAsia" w:ascii="宋体" w:hAnsi="宋体" w:cs="宋体"/>
          <w:bCs/>
          <w:szCs w:val="21"/>
          <w:lang w:val="zh-TW"/>
        </w:rPr>
      </w:pPr>
      <w:r>
        <w:rPr>
          <w:rFonts w:hint="eastAsia" w:ascii="宋体" w:hAnsi="宋体" w:cs="宋体"/>
          <w:bCs/>
          <w:szCs w:val="21"/>
          <w:lang w:val="zh-TW"/>
        </w:rPr>
        <w:t>2.未经甲方事先书面同意，乙方不得将与本合同及有关的任何计划、图文或物料提供给任何第三方。即使向履行本合同有关的人员提供，也应注意保密并限于履行合同的必需范围。</w:t>
      </w:r>
    </w:p>
    <w:p w14:paraId="3BE25AF1">
      <w:pPr>
        <w:spacing w:line="360" w:lineRule="auto"/>
        <w:ind w:firstLine="480"/>
        <w:rPr>
          <w:rFonts w:hint="eastAsia" w:ascii="宋体" w:hAnsi="宋体" w:cs="宋体"/>
          <w:bCs/>
          <w:szCs w:val="21"/>
          <w:lang w:val="zh-TW"/>
        </w:rPr>
      </w:pPr>
      <w:r>
        <w:rPr>
          <w:rFonts w:hint="eastAsia" w:ascii="宋体" w:hAnsi="宋体" w:cs="宋体"/>
          <w:bCs/>
          <w:szCs w:val="21"/>
          <w:lang w:val="zh-TW"/>
        </w:rPr>
        <w:t>3.乙方应保证提供服务过程中不会侵犯任何第三方的知识产权，否则甲方有权解除本合同，拒绝支付合同价款，并要求乙方赔偿所有损失。</w:t>
      </w:r>
    </w:p>
    <w:p w14:paraId="75C7B04D">
      <w:pPr>
        <w:spacing w:line="360" w:lineRule="auto"/>
        <w:ind w:firstLine="480"/>
        <w:rPr>
          <w:rFonts w:hint="eastAsia" w:ascii="宋体" w:hAnsi="宋体" w:cs="宋体"/>
          <w:bCs/>
          <w:szCs w:val="21"/>
          <w:lang w:val="zh-TW"/>
        </w:rPr>
      </w:pPr>
      <w:r>
        <w:rPr>
          <w:rFonts w:hint="eastAsia" w:ascii="宋体" w:hAnsi="宋体" w:cs="宋体"/>
          <w:bCs/>
          <w:szCs w:val="21"/>
          <w:lang w:val="zh-TW"/>
        </w:rPr>
        <w:t>4.乙方提供的服务验收不合格的，或在服务保证期内出现问题，乙方应负责免费提供后续服务，给甲方造成损失的，乙方应当赔偿。</w:t>
      </w:r>
    </w:p>
    <w:p w14:paraId="7D902339">
      <w:pPr>
        <w:spacing w:line="360" w:lineRule="auto"/>
        <w:ind w:firstLine="480"/>
        <w:rPr>
          <w:rFonts w:hint="eastAsia" w:ascii="宋体" w:hAnsi="宋体" w:cs="宋体"/>
          <w:bCs/>
          <w:szCs w:val="21"/>
          <w:lang w:val="zh-TW"/>
        </w:rPr>
      </w:pPr>
      <w:r>
        <w:rPr>
          <w:rFonts w:hint="eastAsia" w:ascii="宋体" w:hAnsi="宋体" w:cs="宋体"/>
          <w:bCs/>
          <w:szCs w:val="21"/>
          <w:lang w:val="zh-TW"/>
        </w:rPr>
        <w:t>5.在服务保证期内，乙方应对出现的质量及安全问题负责处理解决并承担一切费用。</w:t>
      </w:r>
    </w:p>
    <w:p w14:paraId="1DA445CF">
      <w:pPr>
        <w:spacing w:line="360" w:lineRule="auto"/>
        <w:ind w:firstLine="480"/>
        <w:rPr>
          <w:rFonts w:hint="eastAsia" w:ascii="宋体" w:hAnsi="宋体" w:cs="宋体"/>
          <w:b/>
          <w:szCs w:val="21"/>
          <w:lang w:val="zh-TW" w:eastAsia="zh-TW"/>
        </w:rPr>
      </w:pPr>
      <w:r>
        <w:rPr>
          <w:rFonts w:hint="eastAsia" w:ascii="宋体" w:hAnsi="宋体" w:cs="宋体"/>
          <w:b/>
          <w:szCs w:val="21"/>
          <w:lang w:val="zh-TW"/>
        </w:rPr>
        <w:t>7.</w:t>
      </w:r>
      <w:r>
        <w:rPr>
          <w:rFonts w:hint="eastAsia" w:ascii="宋体" w:hAnsi="宋体" w:cs="宋体"/>
          <w:b/>
          <w:szCs w:val="21"/>
          <w:lang w:val="zh-TW" w:eastAsia="zh-TW"/>
        </w:rPr>
        <w:t>违约责任</w:t>
      </w:r>
    </w:p>
    <w:p w14:paraId="4216D2AB">
      <w:pPr>
        <w:spacing w:line="360" w:lineRule="auto"/>
        <w:ind w:firstLine="480"/>
        <w:rPr>
          <w:rFonts w:hint="eastAsia" w:ascii="宋体" w:hAnsi="宋体" w:cs="宋体"/>
          <w:szCs w:val="21"/>
        </w:rPr>
      </w:pPr>
      <w:r>
        <w:rPr>
          <w:rFonts w:hint="eastAsia" w:ascii="宋体" w:hAnsi="宋体" w:cs="宋体"/>
          <w:szCs w:val="21"/>
        </w:rPr>
        <w:t>1</w:t>
      </w:r>
      <w:r>
        <w:rPr>
          <w:rFonts w:hint="eastAsia" w:ascii="宋体" w:hAnsi="宋体" w:cs="宋体"/>
          <w:szCs w:val="21"/>
          <w:lang w:val="zh-TW"/>
        </w:rPr>
        <w:t>.</w:t>
      </w:r>
      <w:r>
        <w:rPr>
          <w:rFonts w:hint="eastAsia" w:ascii="宋体" w:hAnsi="宋体" w:cs="宋体"/>
          <w:szCs w:val="21"/>
          <w:lang w:val="zh-TW" w:eastAsia="zh-TW"/>
        </w:rPr>
        <w:t>甲方无正当理由逾期付款</w:t>
      </w:r>
      <w:r>
        <w:rPr>
          <w:rFonts w:hint="eastAsia" w:ascii="宋体" w:hAnsi="宋体" w:cs="宋体"/>
          <w:szCs w:val="21"/>
        </w:rPr>
        <w:t>1</w:t>
      </w:r>
      <w:r>
        <w:rPr>
          <w:rFonts w:hint="eastAsia" w:ascii="宋体" w:hAnsi="宋体" w:cs="宋体"/>
          <w:szCs w:val="21"/>
          <w:lang w:val="zh-TW" w:eastAsia="zh-TW"/>
        </w:rPr>
        <w:t>个月，乙方可终止合同。解除合同后费用的核算，以乙方完成且甲方确认的工作成果为准，多退少补。因地震、水灾、战争等不可抗力的因素或因政策、法律原因造成合同无法履行除外。</w:t>
      </w:r>
    </w:p>
    <w:p w14:paraId="009CB401">
      <w:pPr>
        <w:spacing w:line="360" w:lineRule="auto"/>
        <w:ind w:firstLine="480"/>
        <w:rPr>
          <w:rFonts w:hint="eastAsia" w:ascii="宋体" w:hAnsi="宋体" w:cs="宋体"/>
          <w:szCs w:val="21"/>
          <w:lang w:val="zh-TW" w:eastAsia="zh-TW"/>
        </w:rPr>
      </w:pPr>
      <w:r>
        <w:rPr>
          <w:rFonts w:hint="eastAsia" w:ascii="宋体" w:hAnsi="宋体" w:cs="宋体"/>
          <w:szCs w:val="21"/>
        </w:rPr>
        <w:t>2</w:t>
      </w:r>
      <w:r>
        <w:rPr>
          <w:rFonts w:hint="eastAsia" w:ascii="宋体" w:hAnsi="宋体" w:cs="宋体"/>
          <w:szCs w:val="21"/>
          <w:lang w:val="zh-TW"/>
        </w:rPr>
        <w:t>.</w:t>
      </w:r>
      <w:r>
        <w:rPr>
          <w:rFonts w:hint="eastAsia" w:ascii="宋体" w:hAnsi="宋体" w:cs="宋体"/>
          <w:szCs w:val="21"/>
          <w:lang w:val="zh-TW" w:eastAsia="zh-TW"/>
        </w:rPr>
        <w:t>乙方无正当理由未按时提交成果超过</w:t>
      </w:r>
      <w:r>
        <w:rPr>
          <w:rFonts w:hint="eastAsia" w:ascii="宋体" w:hAnsi="宋体" w:cs="宋体"/>
          <w:szCs w:val="21"/>
        </w:rPr>
        <w:t>1</w:t>
      </w:r>
      <w:r>
        <w:rPr>
          <w:rFonts w:hint="eastAsia" w:ascii="宋体" w:hAnsi="宋体" w:cs="宋体"/>
          <w:szCs w:val="21"/>
          <w:lang w:val="zh-TW" w:eastAsia="zh-TW"/>
        </w:rPr>
        <w:t>个月，甲方可终止合同。解除合同后费用的核算，以乙方完成且甲方确认的工作成果为准，多退少补。因地震、水灾、战争等不可抗力的因素或因政策、法律原因造成合同无法履行除外。</w:t>
      </w:r>
    </w:p>
    <w:p w14:paraId="16B24197">
      <w:pPr>
        <w:spacing w:line="360" w:lineRule="auto"/>
        <w:ind w:firstLine="480"/>
        <w:rPr>
          <w:rFonts w:hint="eastAsia" w:ascii="宋体" w:hAnsi="宋体" w:cs="宋体"/>
          <w:b/>
          <w:szCs w:val="21"/>
          <w:lang w:val="zh-TW" w:eastAsia="zh-TW"/>
        </w:rPr>
      </w:pPr>
      <w:r>
        <w:rPr>
          <w:rFonts w:hint="eastAsia" w:ascii="宋体" w:hAnsi="宋体" w:cs="宋体"/>
          <w:b/>
          <w:szCs w:val="21"/>
        </w:rPr>
        <w:t>8.</w:t>
      </w:r>
      <w:r>
        <w:rPr>
          <w:rFonts w:hint="eastAsia" w:ascii="宋体" w:hAnsi="宋体" w:cs="宋体"/>
          <w:b/>
          <w:szCs w:val="21"/>
          <w:lang w:val="zh-TW" w:eastAsia="zh-TW"/>
        </w:rPr>
        <w:t>争议的解决</w:t>
      </w:r>
    </w:p>
    <w:p w14:paraId="4F8AEC50">
      <w:pPr>
        <w:spacing w:line="360" w:lineRule="auto"/>
        <w:ind w:firstLine="480"/>
        <w:rPr>
          <w:rFonts w:hint="eastAsia" w:ascii="宋体" w:hAnsi="宋体" w:cs="宋体"/>
          <w:szCs w:val="21"/>
          <w:lang w:val="zh-TW" w:eastAsia="zh-TW"/>
        </w:rPr>
      </w:pPr>
      <w:r>
        <w:rPr>
          <w:rFonts w:hint="eastAsia" w:ascii="宋体" w:hAnsi="宋体" w:cs="宋体"/>
          <w:szCs w:val="21"/>
          <w:lang w:val="zh-TW" w:eastAsia="zh-TW"/>
        </w:rPr>
        <w:t>因本合同的解释或履行本合同如发生争议，甲乙双方应友好协商解决，协商不成，可以提交甲方所在地人民法院通过诉讼方式解决。</w:t>
      </w:r>
    </w:p>
    <w:p w14:paraId="1F988FB8">
      <w:pPr>
        <w:spacing w:line="360" w:lineRule="auto"/>
        <w:ind w:firstLine="480"/>
        <w:rPr>
          <w:rFonts w:hint="eastAsia" w:ascii="宋体" w:hAnsi="宋体" w:cs="宋体"/>
          <w:szCs w:val="21"/>
          <w:lang w:val="zh-TW" w:eastAsia="zh-TW"/>
        </w:rPr>
      </w:pPr>
      <w:r>
        <w:rPr>
          <w:rFonts w:hint="eastAsia" w:ascii="宋体" w:hAnsi="宋体" w:cs="宋体"/>
          <w:szCs w:val="21"/>
          <w:lang w:val="zh-TW"/>
        </w:rPr>
        <w:t>1.</w:t>
      </w:r>
      <w:r>
        <w:rPr>
          <w:rFonts w:hint="eastAsia" w:ascii="宋体" w:hAnsi="宋体" w:cs="宋体"/>
          <w:szCs w:val="21"/>
          <w:lang w:val="zh-TW" w:eastAsia="zh-TW"/>
        </w:rPr>
        <w:t>合同未尽事宜，双方可另行协商，并达成书面补充协议。补充协议与合同具有同</w:t>
      </w:r>
      <w:r>
        <w:rPr>
          <w:rFonts w:hint="eastAsia" w:ascii="宋体" w:hAnsi="宋体" w:cs="宋体"/>
          <w:szCs w:val="21"/>
        </w:rPr>
        <w:t>等</w:t>
      </w:r>
      <w:r>
        <w:rPr>
          <w:rFonts w:hint="eastAsia" w:ascii="宋体" w:hAnsi="宋体" w:cs="宋体"/>
          <w:szCs w:val="21"/>
          <w:lang w:val="zh-TW" w:eastAsia="zh-TW"/>
        </w:rPr>
        <w:t>法律效力。</w:t>
      </w:r>
    </w:p>
    <w:p w14:paraId="3ACE4F20">
      <w:pPr>
        <w:spacing w:line="360" w:lineRule="auto"/>
        <w:ind w:firstLine="480"/>
        <w:rPr>
          <w:rFonts w:hint="eastAsia" w:ascii="宋体" w:hAnsi="宋体" w:cs="宋体"/>
          <w:szCs w:val="21"/>
        </w:rPr>
      </w:pPr>
      <w:r>
        <w:rPr>
          <w:rFonts w:hint="eastAsia" w:ascii="宋体" w:hAnsi="宋体" w:cs="宋体"/>
          <w:szCs w:val="21"/>
          <w:lang w:val="zh-TW"/>
        </w:rPr>
        <w:t>2.</w:t>
      </w:r>
      <w:r>
        <w:rPr>
          <w:rFonts w:hint="eastAsia" w:ascii="宋体" w:hAnsi="宋体" w:cs="宋体"/>
          <w:szCs w:val="21"/>
        </w:rPr>
        <w:t>本合同壹式叁份，甲、乙双方和代理机构各执壹份，具有同等的法律效力。</w:t>
      </w:r>
    </w:p>
    <w:p w14:paraId="17BE4AD4">
      <w:pPr>
        <w:snapToGrid w:val="0"/>
        <w:spacing w:line="360" w:lineRule="auto"/>
        <w:ind w:right="-340" w:firstLine="1260" w:firstLineChars="600"/>
        <w:rPr>
          <w:rFonts w:hint="eastAsia" w:ascii="宋体" w:hAnsi="宋体" w:cs="宋体"/>
          <w:szCs w:val="21"/>
        </w:rPr>
      </w:pPr>
      <w:r>
        <w:rPr>
          <w:rFonts w:hint="eastAsia" w:ascii="宋体" w:hAnsi="宋体" w:cs="宋体"/>
          <w:szCs w:val="21"/>
        </w:rPr>
        <w:t>甲方：                          乙方：</w:t>
      </w:r>
    </w:p>
    <w:p w14:paraId="7A497670">
      <w:pPr>
        <w:snapToGrid w:val="0"/>
        <w:spacing w:line="360" w:lineRule="auto"/>
        <w:ind w:right="-340" w:firstLine="1260" w:firstLineChars="600"/>
        <w:rPr>
          <w:rFonts w:hint="eastAsia" w:ascii="宋体" w:hAnsi="宋体" w:cs="宋体"/>
          <w:szCs w:val="21"/>
        </w:rPr>
      </w:pPr>
      <w:r>
        <w:rPr>
          <w:rFonts w:hint="eastAsia" w:ascii="宋体" w:hAnsi="宋体" w:cs="宋体"/>
          <w:szCs w:val="21"/>
        </w:rPr>
        <w:t>地址：                          地址：</w:t>
      </w:r>
    </w:p>
    <w:p w14:paraId="6F519534">
      <w:pPr>
        <w:snapToGrid w:val="0"/>
        <w:spacing w:line="360" w:lineRule="auto"/>
        <w:ind w:right="-340" w:firstLine="1260" w:firstLineChars="600"/>
        <w:rPr>
          <w:rFonts w:hint="eastAsia" w:ascii="宋体" w:hAnsi="宋体" w:cs="宋体"/>
          <w:szCs w:val="21"/>
        </w:rPr>
      </w:pPr>
      <w:r>
        <w:rPr>
          <w:rFonts w:hint="eastAsia" w:ascii="宋体" w:hAnsi="宋体" w:cs="宋体"/>
          <w:szCs w:val="21"/>
        </w:rPr>
        <w:t>法人代表：                      法人代表：</w:t>
      </w:r>
    </w:p>
    <w:p w14:paraId="27D5E919">
      <w:pPr>
        <w:snapToGrid w:val="0"/>
        <w:spacing w:line="360" w:lineRule="auto"/>
        <w:ind w:right="-340" w:firstLine="1260" w:firstLineChars="600"/>
        <w:rPr>
          <w:rFonts w:hint="eastAsia" w:ascii="宋体" w:hAnsi="宋体" w:cs="宋体"/>
          <w:szCs w:val="21"/>
        </w:rPr>
      </w:pPr>
      <w:r>
        <w:rPr>
          <w:rFonts w:hint="eastAsia" w:ascii="宋体" w:hAnsi="宋体" w:cs="宋体"/>
          <w:szCs w:val="21"/>
        </w:rPr>
        <w:t>电话：                          电话：</w:t>
      </w:r>
    </w:p>
    <w:p w14:paraId="545C2BA3">
      <w:pPr>
        <w:snapToGrid w:val="0"/>
        <w:spacing w:line="360" w:lineRule="auto"/>
        <w:ind w:right="-340" w:firstLine="1260" w:firstLineChars="600"/>
        <w:rPr>
          <w:rFonts w:hint="eastAsia" w:ascii="宋体" w:hAnsi="宋体" w:cs="宋体"/>
          <w:szCs w:val="21"/>
        </w:rPr>
      </w:pPr>
      <w:r>
        <w:rPr>
          <w:rFonts w:hint="eastAsia" w:ascii="宋体" w:hAnsi="宋体" w:cs="宋体"/>
          <w:szCs w:val="21"/>
        </w:rPr>
        <w:t>电传：                          电传：</w:t>
      </w:r>
    </w:p>
    <w:p w14:paraId="6F02F7F6">
      <w:pPr>
        <w:snapToGrid w:val="0"/>
        <w:spacing w:line="360" w:lineRule="auto"/>
        <w:ind w:right="-340" w:firstLine="1260" w:firstLineChars="600"/>
        <w:rPr>
          <w:rFonts w:hint="eastAsia" w:ascii="宋体" w:hAnsi="宋体" w:cs="宋体"/>
          <w:szCs w:val="21"/>
        </w:rPr>
      </w:pPr>
      <w:r>
        <w:rPr>
          <w:rFonts w:hint="eastAsia" w:ascii="宋体" w:hAnsi="宋体" w:cs="宋体"/>
          <w:szCs w:val="21"/>
        </w:rPr>
        <w:t>开户银行：                      开户银行：</w:t>
      </w:r>
    </w:p>
    <w:p w14:paraId="5FEF79D9">
      <w:pPr>
        <w:snapToGrid w:val="0"/>
        <w:spacing w:line="360" w:lineRule="auto"/>
        <w:ind w:right="-340" w:firstLine="1260" w:firstLineChars="600"/>
        <w:rPr>
          <w:rFonts w:hint="eastAsia" w:ascii="宋体" w:hAnsi="宋体" w:cs="宋体"/>
          <w:szCs w:val="21"/>
        </w:rPr>
      </w:pPr>
      <w:r>
        <w:rPr>
          <w:rFonts w:hint="eastAsia" w:ascii="宋体" w:hAnsi="宋体" w:cs="宋体"/>
          <w:szCs w:val="21"/>
        </w:rPr>
        <w:t>账号：                           账号：</w:t>
      </w:r>
    </w:p>
    <w:p w14:paraId="01225FD0">
      <w:pPr>
        <w:snapToGrid w:val="0"/>
        <w:spacing w:line="360" w:lineRule="auto"/>
        <w:ind w:right="-340" w:firstLine="1260" w:firstLineChars="600"/>
        <w:rPr>
          <w:rFonts w:hint="eastAsia" w:ascii="宋体" w:hAnsi="宋体" w:cs="宋体"/>
          <w:szCs w:val="21"/>
        </w:rPr>
      </w:pPr>
      <w:r>
        <w:rPr>
          <w:rFonts w:hint="eastAsia" w:ascii="宋体" w:hAnsi="宋体" w:cs="宋体"/>
          <w:szCs w:val="21"/>
        </w:rPr>
        <w:t>日期：                           日期：</w:t>
      </w:r>
    </w:p>
    <w:p w14:paraId="1EC26A35">
      <w:pPr>
        <w:snapToGrid w:val="0"/>
        <w:spacing w:line="360" w:lineRule="auto"/>
        <w:rPr>
          <w:rFonts w:hint="eastAsia" w:ascii="宋体" w:hAnsi="宋体"/>
          <w:szCs w:val="21"/>
        </w:rPr>
      </w:pPr>
    </w:p>
    <w:p w14:paraId="23713D36">
      <w:pPr>
        <w:snapToGrid w:val="0"/>
        <w:spacing w:line="520" w:lineRule="exact"/>
        <w:rPr>
          <w:rFonts w:hint="eastAsia" w:ascii="宋体" w:hAnsi="宋体"/>
          <w:szCs w:val="21"/>
        </w:rPr>
      </w:pPr>
    </w:p>
    <w:p w14:paraId="4A460A4F">
      <w:pPr>
        <w:snapToGrid w:val="0"/>
        <w:spacing w:line="260" w:lineRule="exact"/>
        <w:rPr>
          <w:rFonts w:hint="eastAsia" w:ascii="宋体" w:hAnsi="宋体"/>
          <w:szCs w:val="21"/>
        </w:rPr>
      </w:pPr>
    </w:p>
    <w:p w14:paraId="7C06580B">
      <w:pPr>
        <w:snapToGrid w:val="0"/>
        <w:spacing w:line="260" w:lineRule="exact"/>
        <w:rPr>
          <w:rFonts w:hint="eastAsia" w:ascii="宋体" w:hAnsi="宋体"/>
          <w:szCs w:val="21"/>
        </w:rPr>
      </w:pPr>
    </w:p>
    <w:p w14:paraId="1E13483F">
      <w:pPr>
        <w:snapToGrid w:val="0"/>
        <w:spacing w:line="260" w:lineRule="exact"/>
        <w:rPr>
          <w:rFonts w:hint="eastAsia" w:ascii="宋体" w:hAnsi="宋体"/>
          <w:szCs w:val="21"/>
        </w:rPr>
      </w:pPr>
      <w:r>
        <w:rPr>
          <w:rFonts w:ascii="宋体" w:hAnsi="宋体"/>
          <w:szCs w:val="21"/>
        </w:rPr>
        <w:t>信贷政策</w:t>
      </w:r>
    </w:p>
    <w:p w14:paraId="64C74C36">
      <w:pPr>
        <w:spacing w:line="260" w:lineRule="exact"/>
        <w:rPr>
          <w:rFonts w:hint="eastAsia" w:ascii="宋体" w:hAnsi="宋体"/>
          <w:szCs w:val="21"/>
        </w:rPr>
      </w:pPr>
      <w:r>
        <w:rPr>
          <w:rFonts w:ascii="宋体" w:hAnsi="宋体"/>
          <w:szCs w:val="21"/>
        </w:rPr>
        <w:t>1．为有效破解当前中小微企业面临的“融资难、融资贵”困局，充分发挥好政府采购扶持小微企业发展的政策功能，属于舟山市内的各中小企业可凭政府采购项目中标通知书等材料向舟山市政府采购信用融资合作银行申请相关融资产品，有关的合作银行详见下表：</w:t>
      </w:r>
    </w:p>
    <w:p w14:paraId="4CC39DB7">
      <w:pPr>
        <w:spacing w:line="240" w:lineRule="exact"/>
        <w:contextualSpacing/>
        <w:rPr>
          <w:rFonts w:hint="eastAsia" w:ascii="宋体" w:hAnsi="宋体"/>
          <w:sz w:val="24"/>
          <w:szCs w:val="20"/>
        </w:rPr>
      </w:pPr>
    </w:p>
    <w:tbl>
      <w:tblPr>
        <w:tblStyle w:val="60"/>
        <w:tblW w:w="95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0"/>
        <w:gridCol w:w="3975"/>
        <w:gridCol w:w="2220"/>
        <w:gridCol w:w="1908"/>
      </w:tblGrid>
      <w:tr w14:paraId="47C8C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jc w:val="center"/>
        </w:trPr>
        <w:tc>
          <w:tcPr>
            <w:tcW w:w="9563" w:type="dxa"/>
            <w:gridSpan w:val="4"/>
            <w:vAlign w:val="center"/>
          </w:tcPr>
          <w:p w14:paraId="0786571E">
            <w:pPr>
              <w:spacing w:line="240" w:lineRule="exact"/>
              <w:contextualSpacing/>
              <w:rPr>
                <w:rFonts w:hint="eastAsia" w:ascii="宋体" w:hAnsi="宋体"/>
                <w:szCs w:val="21"/>
              </w:rPr>
            </w:pPr>
            <w:r>
              <w:rPr>
                <w:rFonts w:hint="eastAsia" w:ascii="宋体" w:hAnsi="宋体"/>
                <w:szCs w:val="21"/>
              </w:rPr>
              <w:t>舟山市政府采购信用融资合作银行</w:t>
            </w:r>
          </w:p>
        </w:tc>
      </w:tr>
      <w:tr w14:paraId="166E5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460" w:type="dxa"/>
            <w:vAlign w:val="center"/>
          </w:tcPr>
          <w:p w14:paraId="7BA162E2">
            <w:pPr>
              <w:spacing w:line="240" w:lineRule="exact"/>
              <w:contextualSpacing/>
              <w:jc w:val="center"/>
              <w:rPr>
                <w:rFonts w:hint="eastAsia" w:ascii="宋体" w:hAnsi="宋体"/>
                <w:szCs w:val="21"/>
              </w:rPr>
            </w:pPr>
            <w:r>
              <w:rPr>
                <w:rFonts w:hint="eastAsia" w:ascii="宋体" w:hAnsi="宋体"/>
                <w:szCs w:val="21"/>
              </w:rPr>
              <w:t>银行名称</w:t>
            </w:r>
          </w:p>
        </w:tc>
        <w:tc>
          <w:tcPr>
            <w:tcW w:w="3975" w:type="dxa"/>
            <w:vAlign w:val="center"/>
          </w:tcPr>
          <w:p w14:paraId="795B6D49">
            <w:pPr>
              <w:spacing w:line="240" w:lineRule="exact"/>
              <w:contextualSpacing/>
              <w:jc w:val="center"/>
              <w:rPr>
                <w:rFonts w:hint="eastAsia" w:ascii="宋体" w:hAnsi="宋体"/>
                <w:szCs w:val="21"/>
              </w:rPr>
            </w:pPr>
            <w:r>
              <w:rPr>
                <w:rFonts w:hint="eastAsia" w:ascii="宋体" w:hAnsi="宋体"/>
                <w:szCs w:val="21"/>
              </w:rPr>
              <w:t>各银行介绍的产品特点</w:t>
            </w:r>
          </w:p>
        </w:tc>
        <w:tc>
          <w:tcPr>
            <w:tcW w:w="2220" w:type="dxa"/>
            <w:vAlign w:val="center"/>
          </w:tcPr>
          <w:p w14:paraId="437C8D05">
            <w:pPr>
              <w:spacing w:line="240" w:lineRule="exact"/>
              <w:contextualSpacing/>
              <w:jc w:val="center"/>
              <w:rPr>
                <w:rFonts w:hint="eastAsia" w:ascii="宋体" w:hAnsi="宋体"/>
                <w:szCs w:val="21"/>
              </w:rPr>
            </w:pPr>
            <w:r>
              <w:rPr>
                <w:rFonts w:hint="eastAsia" w:ascii="宋体" w:hAnsi="宋体"/>
                <w:szCs w:val="21"/>
              </w:rPr>
              <w:t>经办人</w:t>
            </w:r>
          </w:p>
        </w:tc>
        <w:tc>
          <w:tcPr>
            <w:tcW w:w="1908" w:type="dxa"/>
            <w:vAlign w:val="center"/>
          </w:tcPr>
          <w:p w14:paraId="1C3ACA44">
            <w:pPr>
              <w:spacing w:line="240" w:lineRule="exact"/>
              <w:contextualSpacing/>
              <w:jc w:val="center"/>
              <w:rPr>
                <w:rFonts w:hint="eastAsia" w:ascii="宋体" w:hAnsi="宋体"/>
                <w:szCs w:val="21"/>
              </w:rPr>
            </w:pPr>
            <w:r>
              <w:rPr>
                <w:rFonts w:hint="eastAsia" w:ascii="宋体" w:hAnsi="宋体"/>
                <w:szCs w:val="21"/>
              </w:rPr>
              <w:t>联系方式</w:t>
            </w:r>
          </w:p>
        </w:tc>
      </w:tr>
      <w:tr w14:paraId="36E9A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2" w:hRule="atLeast"/>
          <w:jc w:val="center"/>
        </w:trPr>
        <w:tc>
          <w:tcPr>
            <w:tcW w:w="1460" w:type="dxa"/>
            <w:vAlign w:val="center"/>
          </w:tcPr>
          <w:p w14:paraId="2213A707">
            <w:pPr>
              <w:spacing w:line="240" w:lineRule="exact"/>
              <w:contextualSpacing/>
              <w:rPr>
                <w:rFonts w:hint="eastAsia" w:ascii="宋体" w:hAnsi="宋体"/>
                <w:szCs w:val="21"/>
              </w:rPr>
            </w:pPr>
            <w:r>
              <w:rPr>
                <w:rFonts w:hint="eastAsia" w:ascii="宋体" w:hAnsi="宋体"/>
                <w:szCs w:val="21"/>
              </w:rPr>
              <w:t>中国工商银行股份有限公司舟山分行</w:t>
            </w:r>
          </w:p>
        </w:tc>
        <w:tc>
          <w:tcPr>
            <w:tcW w:w="3975" w:type="dxa"/>
          </w:tcPr>
          <w:p w14:paraId="66FB822B">
            <w:pPr>
              <w:numPr>
                <w:ilvl w:val="0"/>
                <w:numId w:val="11"/>
              </w:numPr>
              <w:spacing w:line="240" w:lineRule="exact"/>
              <w:contextualSpacing/>
              <w:rPr>
                <w:rFonts w:hint="eastAsia" w:ascii="宋体" w:hAnsi="宋体" w:cs="仿宋_GB2312"/>
                <w:szCs w:val="21"/>
              </w:rPr>
            </w:pPr>
            <w:r>
              <w:rPr>
                <w:rFonts w:hint="eastAsia" w:ascii="宋体" w:hAnsi="宋体" w:cs="仿宋_GB2312"/>
                <w:szCs w:val="21"/>
              </w:rPr>
              <w:t>融资额度高，融资金额最高可至订单金额70%，线上申请，随借随还。2.融资利率低，最低可至当期LPR利率。</w:t>
            </w:r>
          </w:p>
          <w:p w14:paraId="59BDA886">
            <w:pPr>
              <w:spacing w:line="240" w:lineRule="exact"/>
              <w:contextualSpacing/>
              <w:rPr>
                <w:rFonts w:hint="eastAsia" w:ascii="宋体" w:hAnsi="宋体"/>
                <w:szCs w:val="21"/>
              </w:rPr>
            </w:pPr>
            <w:r>
              <w:rPr>
                <w:rFonts w:hint="eastAsia" w:ascii="宋体" w:hAnsi="宋体" w:cs="仿宋_GB2312"/>
                <w:szCs w:val="21"/>
              </w:rPr>
              <w:t>3.担保方式灵活，以政府采购合同进行融资，无需另外抵押。</w:t>
            </w:r>
          </w:p>
        </w:tc>
        <w:tc>
          <w:tcPr>
            <w:tcW w:w="2220" w:type="dxa"/>
            <w:vAlign w:val="center"/>
          </w:tcPr>
          <w:p w14:paraId="5BF71503">
            <w:pPr>
              <w:spacing w:line="240" w:lineRule="exact"/>
              <w:contextualSpacing/>
              <w:jc w:val="center"/>
              <w:rPr>
                <w:rFonts w:hint="eastAsia" w:ascii="宋体" w:hAnsi="宋体"/>
                <w:szCs w:val="21"/>
              </w:rPr>
            </w:pPr>
            <w:r>
              <w:rPr>
                <w:rFonts w:hint="eastAsia" w:ascii="宋体" w:hAnsi="宋体"/>
                <w:szCs w:val="21"/>
              </w:rPr>
              <w:t>柳超颖</w:t>
            </w:r>
          </w:p>
        </w:tc>
        <w:tc>
          <w:tcPr>
            <w:tcW w:w="1908" w:type="dxa"/>
            <w:vAlign w:val="center"/>
          </w:tcPr>
          <w:p w14:paraId="30EE095B">
            <w:pPr>
              <w:spacing w:line="240" w:lineRule="exact"/>
              <w:contextualSpacing/>
              <w:rPr>
                <w:rFonts w:hint="eastAsia" w:ascii="宋体" w:hAnsi="宋体"/>
                <w:szCs w:val="21"/>
              </w:rPr>
            </w:pPr>
            <w:r>
              <w:rPr>
                <w:rFonts w:hint="eastAsia" w:ascii="宋体" w:hAnsi="宋体"/>
                <w:szCs w:val="21"/>
              </w:rPr>
              <w:t>0580-2166242, 15858076468</w:t>
            </w:r>
          </w:p>
        </w:tc>
      </w:tr>
      <w:tr w14:paraId="530D5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460" w:type="dxa"/>
            <w:vAlign w:val="center"/>
          </w:tcPr>
          <w:p w14:paraId="3C8A76B9">
            <w:pPr>
              <w:spacing w:line="240" w:lineRule="exact"/>
              <w:contextualSpacing/>
              <w:rPr>
                <w:rFonts w:hint="eastAsia" w:ascii="宋体" w:hAnsi="宋体"/>
                <w:szCs w:val="21"/>
              </w:rPr>
            </w:pPr>
            <w:r>
              <w:rPr>
                <w:rFonts w:hint="eastAsia" w:ascii="宋体" w:hAnsi="宋体"/>
                <w:szCs w:val="21"/>
              </w:rPr>
              <w:t>中国建设银行股份有限公司舟山分行</w:t>
            </w:r>
          </w:p>
        </w:tc>
        <w:tc>
          <w:tcPr>
            <w:tcW w:w="3975" w:type="dxa"/>
          </w:tcPr>
          <w:p w14:paraId="26F97B77">
            <w:pPr>
              <w:numPr>
                <w:ilvl w:val="0"/>
                <w:numId w:val="12"/>
              </w:numPr>
              <w:spacing w:line="240" w:lineRule="exact"/>
              <w:contextualSpacing/>
              <w:rPr>
                <w:rFonts w:hint="eastAsia" w:ascii="宋体" w:hAnsi="宋体"/>
                <w:szCs w:val="21"/>
              </w:rPr>
            </w:pPr>
            <w:r>
              <w:rPr>
                <w:rFonts w:hint="eastAsia" w:ascii="宋体" w:hAnsi="宋体"/>
                <w:szCs w:val="21"/>
              </w:rPr>
              <w:t>快速便捷：全流程线上操作，通过浙江省政府采购网数据审核信用额度，建行供应链平台快速放款。</w:t>
            </w:r>
          </w:p>
          <w:p w14:paraId="4C02390E">
            <w:pPr>
              <w:numPr>
                <w:ilvl w:val="0"/>
                <w:numId w:val="12"/>
              </w:numPr>
              <w:spacing w:line="240" w:lineRule="exact"/>
              <w:contextualSpacing/>
              <w:rPr>
                <w:rFonts w:hint="eastAsia" w:ascii="宋体" w:hAnsi="宋体"/>
                <w:szCs w:val="21"/>
              </w:rPr>
            </w:pPr>
            <w:r>
              <w:rPr>
                <w:rFonts w:hint="eastAsia" w:ascii="宋体" w:hAnsi="宋体"/>
                <w:szCs w:val="21"/>
              </w:rPr>
              <w:t>申请额度高：单笔融资额度最高可达政府采购合同金额的90%，单户额度最高可达3000万。</w:t>
            </w:r>
          </w:p>
          <w:p w14:paraId="0C53AA1A">
            <w:pPr>
              <w:numPr>
                <w:ilvl w:val="0"/>
                <w:numId w:val="12"/>
              </w:numPr>
              <w:spacing w:line="240" w:lineRule="exact"/>
              <w:contextualSpacing/>
              <w:rPr>
                <w:rFonts w:hint="eastAsia" w:ascii="宋体" w:hAnsi="宋体"/>
                <w:szCs w:val="21"/>
              </w:rPr>
            </w:pPr>
            <w:r>
              <w:rPr>
                <w:rFonts w:hint="eastAsia" w:ascii="宋体" w:hAnsi="宋体"/>
                <w:szCs w:val="21"/>
              </w:rPr>
              <w:t>无需额外抵押：以浙江省政府采购网备案公示的政府采购合同进行融资，无需额外抵押担保。</w:t>
            </w:r>
          </w:p>
          <w:p w14:paraId="00B15D06">
            <w:pPr>
              <w:numPr>
                <w:ilvl w:val="0"/>
                <w:numId w:val="12"/>
              </w:numPr>
              <w:spacing w:line="240" w:lineRule="exact"/>
              <w:contextualSpacing/>
              <w:rPr>
                <w:rFonts w:hint="eastAsia" w:ascii="宋体" w:hAnsi="宋体"/>
                <w:szCs w:val="21"/>
              </w:rPr>
            </w:pPr>
            <w:r>
              <w:rPr>
                <w:rFonts w:hint="eastAsia" w:ascii="宋体" w:hAnsi="宋体"/>
                <w:szCs w:val="21"/>
              </w:rPr>
              <w:t>利率优惠：给予流动资金贷款最优惠利率。</w:t>
            </w:r>
          </w:p>
        </w:tc>
        <w:tc>
          <w:tcPr>
            <w:tcW w:w="2220" w:type="dxa"/>
            <w:vAlign w:val="center"/>
          </w:tcPr>
          <w:p w14:paraId="2F4A5DC9">
            <w:pPr>
              <w:spacing w:line="240" w:lineRule="exact"/>
              <w:contextualSpacing/>
              <w:jc w:val="center"/>
              <w:rPr>
                <w:rFonts w:hint="eastAsia" w:ascii="宋体" w:hAnsi="宋体"/>
                <w:szCs w:val="21"/>
              </w:rPr>
            </w:pPr>
            <w:r>
              <w:rPr>
                <w:rFonts w:hint="eastAsia" w:ascii="宋体" w:hAnsi="宋体"/>
                <w:szCs w:val="21"/>
              </w:rPr>
              <w:t>普陀片区：蔡妮妮</w:t>
            </w:r>
          </w:p>
          <w:p w14:paraId="52FCC11C">
            <w:pPr>
              <w:spacing w:line="240" w:lineRule="exact"/>
              <w:contextualSpacing/>
              <w:jc w:val="center"/>
              <w:rPr>
                <w:rFonts w:hint="eastAsia" w:ascii="宋体" w:hAnsi="宋体"/>
                <w:szCs w:val="21"/>
              </w:rPr>
            </w:pPr>
            <w:r>
              <w:rPr>
                <w:rFonts w:hint="eastAsia" w:ascii="宋体" w:hAnsi="宋体"/>
                <w:szCs w:val="21"/>
              </w:rPr>
              <w:t>定海片区：杨莹</w:t>
            </w:r>
          </w:p>
          <w:p w14:paraId="45893363">
            <w:pPr>
              <w:spacing w:line="240" w:lineRule="exact"/>
              <w:contextualSpacing/>
              <w:jc w:val="center"/>
              <w:rPr>
                <w:rFonts w:hint="eastAsia" w:ascii="宋体" w:hAnsi="宋体"/>
                <w:szCs w:val="21"/>
              </w:rPr>
            </w:pPr>
            <w:r>
              <w:rPr>
                <w:rFonts w:hint="eastAsia" w:ascii="宋体" w:hAnsi="宋体"/>
                <w:szCs w:val="21"/>
              </w:rPr>
              <w:t>自贸区片区：方晓</w:t>
            </w:r>
          </w:p>
        </w:tc>
        <w:tc>
          <w:tcPr>
            <w:tcW w:w="1908" w:type="dxa"/>
            <w:vAlign w:val="center"/>
          </w:tcPr>
          <w:p w14:paraId="3B8547D0">
            <w:pPr>
              <w:spacing w:line="240" w:lineRule="exact"/>
              <w:contextualSpacing/>
              <w:rPr>
                <w:rFonts w:hint="eastAsia" w:ascii="宋体" w:hAnsi="宋体"/>
                <w:szCs w:val="21"/>
              </w:rPr>
            </w:pPr>
            <w:r>
              <w:rPr>
                <w:rFonts w:hint="eastAsia" w:ascii="宋体" w:hAnsi="宋体"/>
                <w:szCs w:val="21"/>
              </w:rPr>
              <w:t>普陀片区：13957201791</w:t>
            </w:r>
          </w:p>
          <w:p w14:paraId="0320D128">
            <w:pPr>
              <w:spacing w:line="240" w:lineRule="exact"/>
              <w:contextualSpacing/>
              <w:rPr>
                <w:rFonts w:hint="eastAsia" w:ascii="宋体" w:hAnsi="宋体"/>
                <w:szCs w:val="21"/>
              </w:rPr>
            </w:pPr>
            <w:r>
              <w:rPr>
                <w:rFonts w:hint="eastAsia" w:ascii="宋体" w:hAnsi="宋体"/>
                <w:szCs w:val="21"/>
              </w:rPr>
              <w:t>定海片区：13655803997</w:t>
            </w:r>
          </w:p>
          <w:p w14:paraId="1D048FCD">
            <w:pPr>
              <w:spacing w:line="240" w:lineRule="exact"/>
              <w:contextualSpacing/>
              <w:rPr>
                <w:rFonts w:hint="eastAsia" w:ascii="宋体" w:hAnsi="宋体"/>
                <w:szCs w:val="21"/>
              </w:rPr>
            </w:pPr>
            <w:r>
              <w:rPr>
                <w:rFonts w:hint="eastAsia" w:ascii="宋体" w:hAnsi="宋体"/>
                <w:szCs w:val="21"/>
              </w:rPr>
              <w:t>自贸区片区：13587086324</w:t>
            </w:r>
          </w:p>
        </w:tc>
      </w:tr>
      <w:tr w14:paraId="4FF01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0" w:type="dxa"/>
            <w:vAlign w:val="center"/>
          </w:tcPr>
          <w:p w14:paraId="4281FEA5">
            <w:pPr>
              <w:spacing w:line="240" w:lineRule="exact"/>
              <w:contextualSpacing/>
              <w:rPr>
                <w:rFonts w:hint="eastAsia" w:ascii="宋体" w:hAnsi="宋体"/>
                <w:szCs w:val="21"/>
              </w:rPr>
            </w:pPr>
            <w:r>
              <w:rPr>
                <w:rFonts w:hint="eastAsia" w:ascii="宋体" w:hAnsi="宋体"/>
                <w:szCs w:val="21"/>
              </w:rPr>
              <w:t>杭州银行股份有限公司舟山市分行</w:t>
            </w:r>
          </w:p>
        </w:tc>
        <w:tc>
          <w:tcPr>
            <w:tcW w:w="3975" w:type="dxa"/>
          </w:tcPr>
          <w:p w14:paraId="1012C5C7">
            <w:pPr>
              <w:spacing w:line="240" w:lineRule="exact"/>
              <w:contextualSpacing/>
              <w:rPr>
                <w:rFonts w:hint="eastAsia" w:ascii="宋体" w:hAnsi="宋体"/>
                <w:szCs w:val="21"/>
              </w:rPr>
            </w:pPr>
            <w:r>
              <w:rPr>
                <w:rFonts w:hint="eastAsia" w:ascii="宋体" w:hAnsi="宋体"/>
                <w:szCs w:val="21"/>
              </w:rPr>
              <w:t>“云采贷”是杭州银行为政府采购供应商提供的纯信用贷款产品。客户申请、签约、放款全流程线上化，平台注册入库并取得采购合同即可申请，融资比例最高达采购订单的80%，单户、单笔最高可达3000万，最长期限一年。</w:t>
            </w:r>
          </w:p>
        </w:tc>
        <w:tc>
          <w:tcPr>
            <w:tcW w:w="2220" w:type="dxa"/>
            <w:vAlign w:val="center"/>
          </w:tcPr>
          <w:p w14:paraId="3B3A21DC">
            <w:pPr>
              <w:spacing w:line="240" w:lineRule="exact"/>
              <w:contextualSpacing/>
              <w:jc w:val="center"/>
              <w:rPr>
                <w:rFonts w:hint="eastAsia" w:ascii="宋体" w:hAnsi="宋体"/>
                <w:szCs w:val="21"/>
              </w:rPr>
            </w:pPr>
            <w:r>
              <w:rPr>
                <w:rFonts w:hint="eastAsia" w:ascii="宋体" w:hAnsi="宋体"/>
                <w:szCs w:val="21"/>
              </w:rPr>
              <w:t>方经理</w:t>
            </w:r>
          </w:p>
        </w:tc>
        <w:tc>
          <w:tcPr>
            <w:tcW w:w="1908" w:type="dxa"/>
            <w:vAlign w:val="center"/>
          </w:tcPr>
          <w:p w14:paraId="4031C219">
            <w:pPr>
              <w:spacing w:line="240" w:lineRule="exact"/>
              <w:contextualSpacing/>
              <w:rPr>
                <w:rFonts w:hint="eastAsia" w:ascii="宋体" w:hAnsi="宋体"/>
                <w:szCs w:val="21"/>
              </w:rPr>
            </w:pPr>
            <w:r>
              <w:rPr>
                <w:rFonts w:hint="eastAsia" w:ascii="宋体" w:hAnsi="宋体"/>
                <w:szCs w:val="21"/>
              </w:rPr>
              <w:t>0580-2185201，18205800451</w:t>
            </w:r>
          </w:p>
        </w:tc>
      </w:tr>
      <w:tr w14:paraId="774AC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0" w:type="dxa"/>
            <w:vAlign w:val="center"/>
          </w:tcPr>
          <w:p w14:paraId="4896F375">
            <w:pPr>
              <w:spacing w:line="240" w:lineRule="exact"/>
              <w:contextualSpacing/>
              <w:rPr>
                <w:rFonts w:hint="eastAsia" w:ascii="宋体" w:hAnsi="宋体"/>
                <w:szCs w:val="21"/>
              </w:rPr>
            </w:pPr>
            <w:r>
              <w:rPr>
                <w:rFonts w:hint="eastAsia" w:ascii="宋体" w:hAnsi="宋体"/>
                <w:szCs w:val="21"/>
              </w:rPr>
              <w:t>招商银行股份有限公司浙江自贸试验区舟山分行</w:t>
            </w:r>
          </w:p>
        </w:tc>
        <w:tc>
          <w:tcPr>
            <w:tcW w:w="3975" w:type="dxa"/>
          </w:tcPr>
          <w:p w14:paraId="6206AB24">
            <w:pPr>
              <w:spacing w:line="240" w:lineRule="exact"/>
              <w:rPr>
                <w:rFonts w:hint="eastAsia" w:ascii="宋体" w:hAnsi="宋体"/>
                <w:szCs w:val="21"/>
              </w:rPr>
            </w:pPr>
            <w:r>
              <w:rPr>
                <w:rFonts w:hint="eastAsia" w:ascii="宋体" w:hAnsi="宋体" w:cs="仿宋_GB2312"/>
                <w:szCs w:val="21"/>
              </w:rPr>
              <w:t>小企业政采贷是招商银行为政府采购成交供应商提供的用于履行政府采购合同的专属融资产品。优势：一、额度高。根据企业上一年或近一年获得政府采购成交及成交通知的一定比例给予额度，最高可达3000万元，单笔提款金额最高至合同金额的90%。二、操作简便、模式丰富。客户通过我行一网通等渠道在线申请。支持线上用款，按日计息，随借随还，利率最低至当期LPR。三、担保方式灵活。实际控制人夫妇担保＋融资项下应收账款质押作为辅助，无需抵押，一次性签署合作协议。</w:t>
            </w:r>
          </w:p>
        </w:tc>
        <w:tc>
          <w:tcPr>
            <w:tcW w:w="2220" w:type="dxa"/>
            <w:vAlign w:val="center"/>
          </w:tcPr>
          <w:p w14:paraId="34E0638A">
            <w:pPr>
              <w:spacing w:line="240" w:lineRule="exact"/>
              <w:contextualSpacing/>
              <w:jc w:val="center"/>
              <w:rPr>
                <w:rFonts w:hint="eastAsia" w:ascii="宋体" w:hAnsi="宋体"/>
                <w:szCs w:val="21"/>
              </w:rPr>
            </w:pPr>
            <w:r>
              <w:rPr>
                <w:rFonts w:hint="eastAsia" w:ascii="宋体" w:hAnsi="宋体"/>
                <w:szCs w:val="21"/>
              </w:rPr>
              <w:t>李玲</w:t>
            </w:r>
          </w:p>
        </w:tc>
        <w:tc>
          <w:tcPr>
            <w:tcW w:w="1908" w:type="dxa"/>
            <w:vAlign w:val="center"/>
          </w:tcPr>
          <w:p w14:paraId="1F576859">
            <w:pPr>
              <w:spacing w:line="240" w:lineRule="exact"/>
              <w:contextualSpacing/>
              <w:rPr>
                <w:rFonts w:hint="eastAsia" w:ascii="宋体" w:hAnsi="宋体"/>
                <w:szCs w:val="21"/>
              </w:rPr>
            </w:pPr>
            <w:r>
              <w:rPr>
                <w:rFonts w:hint="eastAsia" w:ascii="宋体" w:hAnsi="宋体"/>
                <w:szCs w:val="21"/>
              </w:rPr>
              <w:t>0580-2061710，13957227971</w:t>
            </w:r>
          </w:p>
        </w:tc>
      </w:tr>
      <w:tr w14:paraId="3D77B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460" w:type="dxa"/>
            <w:vAlign w:val="center"/>
          </w:tcPr>
          <w:p w14:paraId="0BFB2867">
            <w:pPr>
              <w:spacing w:line="240" w:lineRule="exact"/>
              <w:contextualSpacing/>
              <w:rPr>
                <w:rFonts w:hint="eastAsia" w:ascii="宋体" w:hAnsi="宋体"/>
                <w:szCs w:val="21"/>
              </w:rPr>
            </w:pPr>
            <w:r>
              <w:rPr>
                <w:rFonts w:hint="eastAsia" w:ascii="宋体" w:hAnsi="宋体"/>
                <w:szCs w:val="21"/>
              </w:rPr>
              <w:t>温州银行股份有限公司舟山市分行</w:t>
            </w:r>
          </w:p>
        </w:tc>
        <w:tc>
          <w:tcPr>
            <w:tcW w:w="3975" w:type="dxa"/>
          </w:tcPr>
          <w:p w14:paraId="3D49A14E">
            <w:pPr>
              <w:numPr>
                <w:ilvl w:val="0"/>
                <w:numId w:val="13"/>
              </w:numPr>
              <w:spacing w:line="240" w:lineRule="exact"/>
              <w:contextualSpacing/>
              <w:rPr>
                <w:rFonts w:hint="eastAsia" w:ascii="宋体" w:hAnsi="宋体"/>
                <w:szCs w:val="21"/>
              </w:rPr>
            </w:pPr>
            <w:r>
              <w:rPr>
                <w:rFonts w:hint="eastAsia" w:ascii="宋体" w:hAnsi="宋体"/>
                <w:szCs w:val="21"/>
              </w:rPr>
              <w:t>单户授信敞口最高不超过1000万元，且最高额度核定一般不超过借款人（含实际控制人控制的其他经营实体）最近13个月合计有效中标合同金额的70%。</w:t>
            </w:r>
          </w:p>
          <w:p w14:paraId="4CBDF56B">
            <w:pPr>
              <w:numPr>
                <w:ilvl w:val="0"/>
                <w:numId w:val="13"/>
              </w:numPr>
              <w:spacing w:line="240" w:lineRule="exact"/>
              <w:contextualSpacing/>
              <w:rPr>
                <w:rFonts w:hint="eastAsia" w:ascii="宋体" w:hAnsi="宋体"/>
                <w:szCs w:val="21"/>
              </w:rPr>
            </w:pPr>
            <w:r>
              <w:rPr>
                <w:rFonts w:hint="eastAsia" w:ascii="宋体" w:hAnsi="宋体"/>
                <w:szCs w:val="21"/>
              </w:rPr>
              <w:t>单笔借款额度最高不超过1000万元，单笔业务授信额度不超过“政采云平台”提供的中标通知书承载的中标金额或本次申请授信提供的采购合同金额的80%，且用信金额不超过采购合同未付金额的80%。</w:t>
            </w:r>
          </w:p>
          <w:p w14:paraId="2E7CD9AC">
            <w:pPr>
              <w:numPr>
                <w:ilvl w:val="0"/>
                <w:numId w:val="13"/>
              </w:numPr>
              <w:spacing w:line="240" w:lineRule="exact"/>
              <w:contextualSpacing/>
              <w:rPr>
                <w:rFonts w:hint="eastAsia" w:ascii="宋体" w:hAnsi="宋体"/>
                <w:szCs w:val="21"/>
              </w:rPr>
            </w:pPr>
            <w:r>
              <w:rPr>
                <w:rFonts w:hint="eastAsia" w:ascii="宋体" w:hAnsi="宋体"/>
                <w:szCs w:val="21"/>
              </w:rPr>
              <w:t>借款人中标采购人自行采购项目并向我行发起授信申请的，单笔业务授信敞口不超500万元，且不超过借款人中标通知书承载的中标金额或本次申请授信提供的采购合同的80%。</w:t>
            </w:r>
          </w:p>
          <w:p w14:paraId="06B7601F">
            <w:pPr>
              <w:numPr>
                <w:ilvl w:val="0"/>
                <w:numId w:val="13"/>
              </w:numPr>
              <w:spacing w:line="240" w:lineRule="exact"/>
              <w:contextualSpacing/>
              <w:rPr>
                <w:rFonts w:hint="eastAsia" w:ascii="宋体" w:hAnsi="宋体"/>
                <w:szCs w:val="21"/>
              </w:rPr>
            </w:pPr>
            <w:r>
              <w:rPr>
                <w:rFonts w:hint="eastAsia" w:ascii="宋体" w:hAnsi="宋体"/>
                <w:szCs w:val="21"/>
              </w:rPr>
              <w:t>符合我行采购人资质的，且负债率不超75%，配合应收账款质押登记确认的，并可出具确认函，单笔借款额度可按不超过采购合同的90%办理。</w:t>
            </w:r>
          </w:p>
        </w:tc>
        <w:tc>
          <w:tcPr>
            <w:tcW w:w="2220" w:type="dxa"/>
            <w:vAlign w:val="center"/>
          </w:tcPr>
          <w:p w14:paraId="43EF476C">
            <w:pPr>
              <w:spacing w:line="240" w:lineRule="exact"/>
              <w:contextualSpacing/>
              <w:jc w:val="center"/>
              <w:rPr>
                <w:rFonts w:hint="eastAsia" w:ascii="宋体" w:hAnsi="宋体"/>
                <w:szCs w:val="21"/>
              </w:rPr>
            </w:pPr>
            <w:r>
              <w:rPr>
                <w:rFonts w:hint="eastAsia" w:ascii="宋体" w:hAnsi="宋体"/>
                <w:szCs w:val="21"/>
              </w:rPr>
              <w:t>郑贤栋</w:t>
            </w:r>
          </w:p>
        </w:tc>
        <w:tc>
          <w:tcPr>
            <w:tcW w:w="1908" w:type="dxa"/>
            <w:vAlign w:val="center"/>
          </w:tcPr>
          <w:p w14:paraId="4D93E2FC">
            <w:pPr>
              <w:spacing w:line="240" w:lineRule="exact"/>
              <w:contextualSpacing/>
              <w:rPr>
                <w:rFonts w:hint="eastAsia" w:ascii="宋体" w:hAnsi="宋体"/>
                <w:szCs w:val="21"/>
              </w:rPr>
            </w:pPr>
            <w:r>
              <w:rPr>
                <w:rFonts w:hint="eastAsia" w:ascii="宋体" w:hAnsi="宋体"/>
                <w:szCs w:val="21"/>
              </w:rPr>
              <w:t>058—8866086</w:t>
            </w:r>
          </w:p>
        </w:tc>
      </w:tr>
      <w:tr w14:paraId="4334B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0" w:type="dxa"/>
            <w:vAlign w:val="center"/>
          </w:tcPr>
          <w:p w14:paraId="34616709">
            <w:pPr>
              <w:spacing w:line="240" w:lineRule="exact"/>
              <w:contextualSpacing/>
              <w:rPr>
                <w:rFonts w:hint="eastAsia" w:ascii="宋体" w:hAnsi="宋体"/>
                <w:szCs w:val="21"/>
              </w:rPr>
            </w:pPr>
            <w:r>
              <w:rPr>
                <w:rFonts w:hint="eastAsia" w:ascii="宋体" w:hAnsi="宋体"/>
                <w:szCs w:val="21"/>
              </w:rPr>
              <w:t>交通银行股份有限公司舟山分行</w:t>
            </w:r>
          </w:p>
        </w:tc>
        <w:tc>
          <w:tcPr>
            <w:tcW w:w="3975" w:type="dxa"/>
          </w:tcPr>
          <w:p w14:paraId="17BA9053">
            <w:pPr>
              <w:spacing w:line="240" w:lineRule="exact"/>
              <w:contextualSpacing/>
              <w:rPr>
                <w:rFonts w:hint="eastAsia" w:ascii="宋体" w:hAnsi="宋体"/>
                <w:szCs w:val="21"/>
              </w:rPr>
            </w:pPr>
            <w:r>
              <w:rPr>
                <w:rFonts w:hint="eastAsia" w:ascii="宋体" w:hAnsi="宋体" w:cs="仿宋_GB2312"/>
                <w:szCs w:val="21"/>
              </w:rPr>
              <w:t>交通银行政采贷，线上版本最长期限1年，融资金额一般不超过1000万；线下版本期限最长两年，额度最高2,000万，单笔提款金额最高至采购合同金额的70%。担保方式为信用（附加该笔业务项下未来应收账款质押、实际控制人及配偶个人保证），随借随还，利率最低至当期L</w:t>
            </w:r>
            <w:r>
              <w:rPr>
                <w:rFonts w:hint="eastAsia" w:ascii="宋体" w:hAnsi="宋体"/>
                <w:szCs w:val="21"/>
              </w:rPr>
              <w:t>PR</w:t>
            </w:r>
            <w:r>
              <w:rPr>
                <w:rFonts w:ascii="宋体" w:hAnsi="宋体"/>
                <w:szCs w:val="21"/>
              </w:rPr>
              <w:t>。</w:t>
            </w:r>
          </w:p>
        </w:tc>
        <w:tc>
          <w:tcPr>
            <w:tcW w:w="2220" w:type="dxa"/>
            <w:vAlign w:val="center"/>
          </w:tcPr>
          <w:p w14:paraId="6B3F81A3">
            <w:pPr>
              <w:spacing w:line="240" w:lineRule="exact"/>
              <w:contextualSpacing/>
              <w:jc w:val="center"/>
              <w:rPr>
                <w:rFonts w:hint="eastAsia" w:ascii="宋体" w:hAnsi="宋体"/>
                <w:szCs w:val="21"/>
              </w:rPr>
            </w:pPr>
            <w:r>
              <w:rPr>
                <w:rFonts w:hint="eastAsia" w:ascii="宋体" w:hAnsi="宋体"/>
                <w:szCs w:val="21"/>
              </w:rPr>
              <w:t>赵争艳</w:t>
            </w:r>
          </w:p>
        </w:tc>
        <w:tc>
          <w:tcPr>
            <w:tcW w:w="1908" w:type="dxa"/>
            <w:vAlign w:val="center"/>
          </w:tcPr>
          <w:p w14:paraId="7E5D40F9">
            <w:pPr>
              <w:spacing w:line="240" w:lineRule="exact"/>
              <w:contextualSpacing/>
              <w:rPr>
                <w:rFonts w:hint="eastAsia" w:ascii="宋体" w:hAnsi="宋体"/>
                <w:szCs w:val="21"/>
              </w:rPr>
            </w:pPr>
            <w:r>
              <w:rPr>
                <w:rFonts w:hint="eastAsia" w:ascii="宋体" w:hAnsi="宋体"/>
                <w:szCs w:val="21"/>
              </w:rPr>
              <w:t>0580-2260728</w:t>
            </w:r>
          </w:p>
          <w:p w14:paraId="5A928CE9">
            <w:pPr>
              <w:spacing w:line="240" w:lineRule="exact"/>
              <w:contextualSpacing/>
              <w:rPr>
                <w:rFonts w:hint="eastAsia" w:ascii="宋体" w:hAnsi="宋体"/>
                <w:szCs w:val="21"/>
              </w:rPr>
            </w:pPr>
            <w:r>
              <w:rPr>
                <w:rFonts w:hint="eastAsia" w:ascii="宋体" w:hAnsi="宋体"/>
                <w:szCs w:val="21"/>
              </w:rPr>
              <w:t>13758007280</w:t>
            </w:r>
          </w:p>
        </w:tc>
      </w:tr>
      <w:tr w14:paraId="2BD23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460" w:type="dxa"/>
            <w:vAlign w:val="center"/>
          </w:tcPr>
          <w:p w14:paraId="590E17E7">
            <w:pPr>
              <w:spacing w:line="240" w:lineRule="exact"/>
              <w:contextualSpacing/>
              <w:rPr>
                <w:rFonts w:hint="eastAsia" w:ascii="宋体" w:hAnsi="宋体"/>
                <w:szCs w:val="21"/>
              </w:rPr>
            </w:pPr>
            <w:r>
              <w:rPr>
                <w:rFonts w:hint="eastAsia" w:ascii="宋体" w:hAnsi="宋体"/>
                <w:szCs w:val="21"/>
              </w:rPr>
              <w:t>中信银行股份有限公司舟山分行</w:t>
            </w:r>
          </w:p>
        </w:tc>
        <w:tc>
          <w:tcPr>
            <w:tcW w:w="3975" w:type="dxa"/>
          </w:tcPr>
          <w:p w14:paraId="0CB7D6A8">
            <w:pPr>
              <w:spacing w:line="240" w:lineRule="exact"/>
              <w:contextualSpacing/>
              <w:rPr>
                <w:rFonts w:hint="eastAsia" w:ascii="宋体" w:hAnsi="宋体"/>
                <w:szCs w:val="21"/>
              </w:rPr>
            </w:pPr>
            <w:r>
              <w:rPr>
                <w:rFonts w:hint="eastAsia" w:ascii="宋体" w:hAnsi="宋体"/>
                <w:szCs w:val="21"/>
              </w:rPr>
              <w:t>中信银行“政采e贷”产品特点：根据政府采购成交通知书或合同，以政府财政支付资金为主要还款来源，为成交小微企业提供流动资金贷款。产品实现预授信、贷款申请、应收账款质押、授信审批、自助提款等环节的线上化、自动化处理，操作便利，授信额度最高不超过1000万元，贷款期限最长1年，利率低。</w:t>
            </w:r>
          </w:p>
        </w:tc>
        <w:tc>
          <w:tcPr>
            <w:tcW w:w="2220" w:type="dxa"/>
            <w:vAlign w:val="center"/>
          </w:tcPr>
          <w:p w14:paraId="03B2A76D">
            <w:pPr>
              <w:spacing w:line="240" w:lineRule="exact"/>
              <w:contextualSpacing/>
              <w:jc w:val="center"/>
              <w:rPr>
                <w:rFonts w:hint="eastAsia" w:ascii="宋体" w:hAnsi="宋体"/>
                <w:szCs w:val="21"/>
              </w:rPr>
            </w:pPr>
            <w:r>
              <w:rPr>
                <w:rFonts w:ascii="宋体" w:hAnsi="宋体"/>
                <w:szCs w:val="21"/>
              </w:rPr>
              <w:t>黄丽</w:t>
            </w:r>
          </w:p>
        </w:tc>
        <w:tc>
          <w:tcPr>
            <w:tcW w:w="1908" w:type="dxa"/>
            <w:vAlign w:val="center"/>
          </w:tcPr>
          <w:p w14:paraId="77CDC381">
            <w:pPr>
              <w:spacing w:line="240" w:lineRule="exact"/>
              <w:contextualSpacing/>
              <w:rPr>
                <w:rFonts w:hint="eastAsia" w:ascii="宋体" w:hAnsi="宋体"/>
                <w:szCs w:val="21"/>
              </w:rPr>
            </w:pPr>
            <w:r>
              <w:rPr>
                <w:rFonts w:ascii="宋体" w:hAnsi="宋体"/>
                <w:szCs w:val="21"/>
              </w:rPr>
              <w:t>13905808032</w:t>
            </w:r>
          </w:p>
        </w:tc>
      </w:tr>
      <w:tr w14:paraId="3DCAA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460" w:type="dxa"/>
            <w:vAlign w:val="center"/>
          </w:tcPr>
          <w:p w14:paraId="3A1F2C45">
            <w:pPr>
              <w:spacing w:line="240" w:lineRule="exact"/>
              <w:contextualSpacing/>
              <w:rPr>
                <w:rFonts w:hint="eastAsia" w:ascii="宋体" w:hAnsi="宋体"/>
                <w:szCs w:val="21"/>
              </w:rPr>
            </w:pPr>
            <w:r>
              <w:rPr>
                <w:rFonts w:hint="eastAsia" w:ascii="宋体" w:hAnsi="宋体"/>
                <w:szCs w:val="21"/>
              </w:rPr>
              <w:t>泰隆银行舟山市分行</w:t>
            </w:r>
          </w:p>
        </w:tc>
        <w:tc>
          <w:tcPr>
            <w:tcW w:w="3975" w:type="dxa"/>
          </w:tcPr>
          <w:p w14:paraId="58F221BD">
            <w:pPr>
              <w:spacing w:line="240" w:lineRule="exact"/>
              <w:contextualSpacing/>
              <w:rPr>
                <w:rFonts w:hint="eastAsia" w:ascii="宋体" w:hAnsi="宋体"/>
                <w:szCs w:val="21"/>
              </w:rPr>
            </w:pPr>
            <w:r>
              <w:rPr>
                <w:rFonts w:hint="eastAsia" w:ascii="宋体" w:hAnsi="宋体"/>
                <w:szCs w:val="21"/>
              </w:rPr>
              <w:t>符合我行基本准入，期限对照订单最长不超过1年，额度最高1000万，担保方式享受信用贷款执行，可由成交企业或其实际控制人出面申请，利率最低可至当期LPR ，对于合同期限确实超过一年的，可享受无还本续贷至合同付款日。</w:t>
            </w:r>
          </w:p>
        </w:tc>
        <w:tc>
          <w:tcPr>
            <w:tcW w:w="2220" w:type="dxa"/>
            <w:vAlign w:val="center"/>
          </w:tcPr>
          <w:p w14:paraId="5C054539">
            <w:pPr>
              <w:spacing w:line="240" w:lineRule="exact"/>
              <w:contextualSpacing/>
              <w:jc w:val="center"/>
              <w:rPr>
                <w:rFonts w:hint="eastAsia" w:ascii="宋体" w:hAnsi="宋体"/>
                <w:szCs w:val="21"/>
              </w:rPr>
            </w:pPr>
            <w:r>
              <w:rPr>
                <w:rFonts w:hint="eastAsia" w:ascii="宋体" w:hAnsi="宋体"/>
                <w:szCs w:val="21"/>
              </w:rPr>
              <w:t>胡亢宇</w:t>
            </w:r>
          </w:p>
        </w:tc>
        <w:tc>
          <w:tcPr>
            <w:tcW w:w="1908" w:type="dxa"/>
            <w:vAlign w:val="center"/>
          </w:tcPr>
          <w:p w14:paraId="513D7552">
            <w:pPr>
              <w:spacing w:line="240" w:lineRule="exact"/>
              <w:contextualSpacing/>
              <w:rPr>
                <w:rFonts w:hint="eastAsia" w:ascii="宋体" w:hAnsi="宋体"/>
                <w:szCs w:val="21"/>
              </w:rPr>
            </w:pPr>
            <w:r>
              <w:rPr>
                <w:rFonts w:hint="eastAsia" w:ascii="宋体" w:hAnsi="宋体"/>
                <w:szCs w:val="21"/>
              </w:rPr>
              <w:t>17605868703</w:t>
            </w:r>
          </w:p>
        </w:tc>
      </w:tr>
      <w:tr w14:paraId="3AD30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460" w:type="dxa"/>
            <w:vAlign w:val="center"/>
          </w:tcPr>
          <w:p w14:paraId="237EF620">
            <w:pPr>
              <w:spacing w:line="240" w:lineRule="exact"/>
              <w:contextualSpacing/>
              <w:rPr>
                <w:rFonts w:hint="eastAsia" w:ascii="宋体" w:hAnsi="宋体"/>
                <w:szCs w:val="21"/>
              </w:rPr>
            </w:pPr>
            <w:r>
              <w:rPr>
                <w:rFonts w:hint="eastAsia" w:ascii="宋体" w:hAnsi="宋体"/>
                <w:szCs w:val="21"/>
              </w:rPr>
              <w:t>中国农业银行股份有限公司舟山分行</w:t>
            </w:r>
          </w:p>
        </w:tc>
        <w:tc>
          <w:tcPr>
            <w:tcW w:w="3975" w:type="dxa"/>
          </w:tcPr>
          <w:p w14:paraId="58B4F6BA">
            <w:pPr>
              <w:spacing w:line="240" w:lineRule="exact"/>
              <w:contextualSpacing/>
              <w:rPr>
                <w:rFonts w:hint="eastAsia" w:ascii="宋体" w:hAnsi="宋体"/>
                <w:szCs w:val="21"/>
              </w:rPr>
            </w:pPr>
            <w:r>
              <w:rPr>
                <w:rFonts w:hint="eastAsia" w:ascii="宋体" w:hAnsi="宋体"/>
                <w:szCs w:val="21"/>
              </w:rPr>
              <w:t>“政采贷”业务原则上不超过政府采购合同实有金额的80%，单户借款额度不超过500万元。借款到期日不晚于合同约定付款日后90天，原则上不超过1年，最长可放宽至2年。应收账款形成前，可采用信用方式用信并追加供应商法定代表人或实际控制人连带责任保证担保；应收账款形成后，信用方式用信需变更为应收账款质押担保。</w:t>
            </w:r>
          </w:p>
        </w:tc>
        <w:tc>
          <w:tcPr>
            <w:tcW w:w="2220" w:type="dxa"/>
            <w:vAlign w:val="center"/>
          </w:tcPr>
          <w:p w14:paraId="316A13E4">
            <w:pPr>
              <w:spacing w:line="240" w:lineRule="exact"/>
              <w:contextualSpacing/>
              <w:jc w:val="center"/>
              <w:rPr>
                <w:rFonts w:hint="eastAsia" w:ascii="宋体" w:hAnsi="宋体"/>
                <w:szCs w:val="21"/>
              </w:rPr>
            </w:pPr>
            <w:r>
              <w:rPr>
                <w:rFonts w:hint="eastAsia" w:ascii="宋体" w:hAnsi="宋体"/>
                <w:szCs w:val="21"/>
              </w:rPr>
              <w:t>苏华瞻</w:t>
            </w:r>
          </w:p>
        </w:tc>
        <w:tc>
          <w:tcPr>
            <w:tcW w:w="1908" w:type="dxa"/>
            <w:vAlign w:val="center"/>
          </w:tcPr>
          <w:p w14:paraId="4D89CEE5">
            <w:pPr>
              <w:spacing w:line="240" w:lineRule="exact"/>
              <w:contextualSpacing/>
              <w:jc w:val="center"/>
              <w:rPr>
                <w:rFonts w:hint="eastAsia" w:ascii="宋体" w:hAnsi="宋体"/>
                <w:szCs w:val="21"/>
              </w:rPr>
            </w:pPr>
            <w:r>
              <w:rPr>
                <w:rFonts w:hint="eastAsia" w:ascii="宋体" w:hAnsi="宋体"/>
                <w:szCs w:val="21"/>
              </w:rPr>
              <w:t>13967228926</w:t>
            </w:r>
          </w:p>
        </w:tc>
      </w:tr>
      <w:tr w14:paraId="627CC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460" w:type="dxa"/>
            <w:vAlign w:val="center"/>
          </w:tcPr>
          <w:p w14:paraId="4C11FF1F">
            <w:pPr>
              <w:spacing w:line="240" w:lineRule="exact"/>
              <w:contextualSpacing/>
              <w:rPr>
                <w:rFonts w:hint="eastAsia" w:ascii="宋体" w:hAnsi="宋体"/>
                <w:szCs w:val="21"/>
              </w:rPr>
            </w:pPr>
            <w:r>
              <w:rPr>
                <w:rFonts w:hint="eastAsia" w:ascii="宋体" w:hAnsi="宋体"/>
                <w:szCs w:val="21"/>
              </w:rPr>
              <w:t>中国邮政储蓄银行股份有限公司舟山市分行</w:t>
            </w:r>
          </w:p>
        </w:tc>
        <w:tc>
          <w:tcPr>
            <w:tcW w:w="3975" w:type="dxa"/>
          </w:tcPr>
          <w:p w14:paraId="69752013">
            <w:pPr>
              <w:tabs>
                <w:tab w:val="left" w:pos="0"/>
              </w:tabs>
              <w:spacing w:line="240" w:lineRule="exact"/>
              <w:rPr>
                <w:rFonts w:hint="eastAsia" w:ascii="宋体" w:hAnsi="宋体"/>
                <w:szCs w:val="21"/>
              </w:rPr>
            </w:pPr>
            <w:r>
              <w:rPr>
                <w:rFonts w:hint="eastAsia" w:ascii="宋体" w:hAnsi="宋体"/>
                <w:szCs w:val="21"/>
              </w:rPr>
              <w:t>符合我行基本准入，授信额度使用期最高为2年，单户授信最高为500万，担保方式享受信用贷款执行，利率最低可至当期LPR ，有无还本续贷，12月份线上产品可以自主自贷。</w:t>
            </w:r>
          </w:p>
        </w:tc>
        <w:tc>
          <w:tcPr>
            <w:tcW w:w="2220" w:type="dxa"/>
            <w:vAlign w:val="center"/>
          </w:tcPr>
          <w:p w14:paraId="4D5C749C">
            <w:pPr>
              <w:spacing w:line="240" w:lineRule="exact"/>
              <w:contextualSpacing/>
              <w:jc w:val="center"/>
              <w:rPr>
                <w:rFonts w:hint="eastAsia" w:ascii="宋体" w:hAnsi="宋体"/>
                <w:szCs w:val="21"/>
              </w:rPr>
            </w:pPr>
            <w:r>
              <w:rPr>
                <w:rFonts w:hint="eastAsia" w:ascii="宋体" w:hAnsi="宋体"/>
                <w:szCs w:val="21"/>
              </w:rPr>
              <w:t>蒋志燕</w:t>
            </w:r>
          </w:p>
        </w:tc>
        <w:tc>
          <w:tcPr>
            <w:tcW w:w="1908" w:type="dxa"/>
            <w:vAlign w:val="center"/>
          </w:tcPr>
          <w:p w14:paraId="6EF25A3D">
            <w:pPr>
              <w:spacing w:line="240" w:lineRule="exact"/>
              <w:contextualSpacing/>
              <w:rPr>
                <w:rFonts w:hint="eastAsia" w:ascii="宋体" w:hAnsi="宋体"/>
                <w:szCs w:val="21"/>
              </w:rPr>
            </w:pPr>
            <w:r>
              <w:rPr>
                <w:rFonts w:hint="eastAsia" w:ascii="宋体" w:hAnsi="宋体"/>
                <w:szCs w:val="21"/>
              </w:rPr>
              <w:t>13732527321</w:t>
            </w:r>
          </w:p>
        </w:tc>
      </w:tr>
    </w:tbl>
    <w:p w14:paraId="66F6E509">
      <w:pPr>
        <w:spacing w:line="260" w:lineRule="exact"/>
        <w:ind w:firstLine="555"/>
        <w:rPr>
          <w:rFonts w:hint="eastAsia" w:ascii="宋体" w:hAnsi="宋体"/>
          <w:szCs w:val="21"/>
        </w:rPr>
      </w:pPr>
      <w:r>
        <w:rPr>
          <w:rFonts w:ascii="宋体" w:hAnsi="宋体"/>
          <w:szCs w:val="21"/>
        </w:rPr>
        <w:t>2.一般步骤</w:t>
      </w:r>
    </w:p>
    <w:p w14:paraId="28BD7079">
      <w:pPr>
        <w:spacing w:line="260" w:lineRule="exact"/>
        <w:ind w:firstLine="555"/>
        <w:rPr>
          <w:rFonts w:hint="eastAsia" w:ascii="宋体" w:hAnsi="宋体"/>
          <w:szCs w:val="21"/>
        </w:rPr>
      </w:pPr>
      <w:r>
        <w:rPr>
          <w:rFonts w:ascii="宋体" w:hAnsi="宋体"/>
          <w:szCs w:val="21"/>
        </w:rPr>
        <w:t>（1）供应商先与银行对接，办理融资前期手续；</w:t>
      </w:r>
    </w:p>
    <w:p w14:paraId="0690A282">
      <w:pPr>
        <w:spacing w:line="260" w:lineRule="exact"/>
        <w:ind w:firstLine="555"/>
        <w:rPr>
          <w:rFonts w:hint="eastAsia" w:ascii="宋体" w:hAnsi="宋体"/>
          <w:szCs w:val="21"/>
        </w:rPr>
      </w:pPr>
      <w:r>
        <w:rPr>
          <w:rFonts w:ascii="宋体" w:hAnsi="宋体"/>
          <w:szCs w:val="21"/>
        </w:rPr>
        <w:t>（2）供应商中标后，凭中标通知书等材料，向相关合作银行发出融资申请；</w:t>
      </w:r>
    </w:p>
    <w:p w14:paraId="75B712D1">
      <w:pPr>
        <w:spacing w:line="260" w:lineRule="exact"/>
        <w:ind w:firstLine="555"/>
        <w:rPr>
          <w:rFonts w:hint="eastAsia" w:ascii="宋体" w:hAnsi="宋体"/>
          <w:szCs w:val="21"/>
        </w:rPr>
      </w:pPr>
      <w:r>
        <w:rPr>
          <w:rFonts w:ascii="宋体" w:hAnsi="宋体"/>
          <w:szCs w:val="21"/>
        </w:rPr>
        <w:t>（3）银行、供应商线</w:t>
      </w:r>
      <w:r>
        <w:rPr>
          <w:rFonts w:hint="eastAsia" w:ascii="宋体" w:hAnsi="宋体"/>
          <w:szCs w:val="21"/>
        </w:rPr>
        <w:t>上</w:t>
      </w:r>
      <w:r>
        <w:rPr>
          <w:rFonts w:ascii="宋体" w:hAnsi="宋体"/>
          <w:szCs w:val="21"/>
        </w:rPr>
        <w:t>办理审批、放贷事宜。</w:t>
      </w:r>
    </w:p>
    <w:p w14:paraId="0B59C19B">
      <w:pPr>
        <w:spacing w:line="260" w:lineRule="exact"/>
        <w:ind w:firstLine="555"/>
        <w:rPr>
          <w:rFonts w:hint="eastAsia" w:ascii="宋体" w:hAnsi="宋体"/>
          <w:szCs w:val="21"/>
        </w:rPr>
      </w:pPr>
      <w:r>
        <w:rPr>
          <w:rFonts w:ascii="宋体" w:hAnsi="宋体"/>
          <w:szCs w:val="21"/>
        </w:rPr>
        <w:t>3.注意事项</w:t>
      </w:r>
    </w:p>
    <w:p w14:paraId="0D651D85">
      <w:pPr>
        <w:spacing w:line="260" w:lineRule="exact"/>
        <w:ind w:firstLine="555"/>
        <w:rPr>
          <w:rFonts w:hint="eastAsia" w:ascii="宋体" w:hAnsi="宋体"/>
          <w:szCs w:val="21"/>
        </w:rPr>
      </w:pPr>
      <w:r>
        <w:rPr>
          <w:rFonts w:ascii="宋体" w:hAnsi="宋体"/>
          <w:szCs w:val="21"/>
        </w:rPr>
        <w:t>（1）</w:t>
      </w:r>
      <w:r>
        <w:rPr>
          <w:rFonts w:hint="eastAsia" w:ascii="宋体" w:hAnsi="宋体"/>
          <w:szCs w:val="21"/>
        </w:rPr>
        <w:t>中标人</w:t>
      </w:r>
      <w:r>
        <w:rPr>
          <w:rFonts w:ascii="宋体" w:hAnsi="宋体"/>
          <w:szCs w:val="21"/>
        </w:rPr>
        <w:t>需确保政府采购合同的收款账户与融资银行开户账户一致。</w:t>
      </w:r>
    </w:p>
    <w:p w14:paraId="7B2A325B">
      <w:pPr>
        <w:spacing w:line="260" w:lineRule="exact"/>
        <w:ind w:firstLine="555"/>
        <w:rPr>
          <w:rFonts w:hint="eastAsia" w:ascii="宋体" w:hAnsi="宋体"/>
          <w:szCs w:val="21"/>
        </w:rPr>
      </w:pPr>
      <w:r>
        <w:rPr>
          <w:rFonts w:ascii="宋体" w:hAnsi="宋体"/>
          <w:szCs w:val="21"/>
        </w:rPr>
        <w:t>（2）用于政府采购信用融资的政府采购合同，应当包含如下条款：“第条：政府采购合同贷款</w:t>
      </w:r>
    </w:p>
    <w:p w14:paraId="1CDAD25C">
      <w:pPr>
        <w:spacing w:line="260" w:lineRule="exact"/>
        <w:ind w:firstLine="555"/>
        <w:rPr>
          <w:rFonts w:hint="eastAsia" w:ascii="宋体" w:hAnsi="宋体"/>
          <w:szCs w:val="21"/>
        </w:rPr>
      </w:pPr>
      <w:r>
        <w:rPr>
          <w:rFonts w:ascii="宋体" w:hAnsi="宋体"/>
          <w:szCs w:val="21"/>
        </w:rPr>
        <w:t>本合同同时用于乙方向银行（金融机构）申请政府采购信用贷款。</w:t>
      </w:r>
    </w:p>
    <w:p w14:paraId="11C4CC4C">
      <w:pPr>
        <w:spacing w:line="260" w:lineRule="exact"/>
        <w:ind w:firstLine="555"/>
        <w:rPr>
          <w:rFonts w:hint="eastAsia" w:ascii="宋体" w:hAnsi="宋体"/>
          <w:szCs w:val="21"/>
        </w:rPr>
      </w:pPr>
      <w:r>
        <w:rPr>
          <w:rFonts w:ascii="宋体" w:hAnsi="宋体"/>
          <w:szCs w:val="21"/>
        </w:rPr>
        <w:t>本合同一经签订，原则上不得更改乙方收款账户信息。确须更改的，乙方应取得原合同收款账户开户银行书面同意，否则修改后的合同不予备案，采购资金不予支付。”</w:t>
      </w:r>
    </w:p>
    <w:p w14:paraId="45DE2DEA">
      <w:pPr>
        <w:tabs>
          <w:tab w:val="left" w:pos="2472"/>
        </w:tabs>
        <w:snapToGrid w:val="0"/>
        <w:spacing w:before="120" w:line="312" w:lineRule="auto"/>
        <w:ind w:right="-87"/>
        <w:rPr>
          <w:rFonts w:eastAsia="黑体"/>
          <w:sz w:val="30"/>
        </w:rPr>
      </w:pPr>
    </w:p>
    <w:p w14:paraId="77944D96">
      <w:pPr>
        <w:tabs>
          <w:tab w:val="left" w:pos="2472"/>
        </w:tabs>
        <w:snapToGrid w:val="0"/>
        <w:spacing w:before="120" w:line="312" w:lineRule="auto"/>
        <w:ind w:right="-87"/>
        <w:jc w:val="center"/>
        <w:rPr>
          <w:rFonts w:eastAsia="黑体"/>
          <w:sz w:val="30"/>
        </w:rPr>
      </w:pPr>
    </w:p>
    <w:p w14:paraId="0F715CB2">
      <w:pPr>
        <w:tabs>
          <w:tab w:val="left" w:pos="2472"/>
        </w:tabs>
        <w:snapToGrid w:val="0"/>
        <w:spacing w:before="120" w:line="312" w:lineRule="auto"/>
        <w:ind w:right="-87"/>
        <w:jc w:val="center"/>
        <w:rPr>
          <w:rFonts w:eastAsia="黑体"/>
          <w:sz w:val="30"/>
        </w:rPr>
      </w:pPr>
    </w:p>
    <w:p w14:paraId="0AFDCD0B">
      <w:pPr>
        <w:tabs>
          <w:tab w:val="left" w:pos="2472"/>
        </w:tabs>
        <w:snapToGrid w:val="0"/>
        <w:spacing w:before="120" w:line="312" w:lineRule="auto"/>
        <w:ind w:right="-87"/>
        <w:jc w:val="center"/>
        <w:rPr>
          <w:rFonts w:eastAsia="黑体"/>
          <w:sz w:val="30"/>
        </w:rPr>
      </w:pPr>
      <w:r>
        <w:rPr>
          <w:rFonts w:hint="eastAsia" w:eastAsia="黑体"/>
          <w:sz w:val="30"/>
        </w:rPr>
        <w:t>第六章　投标文件格式</w:t>
      </w:r>
    </w:p>
    <w:p w14:paraId="45AFD133">
      <w:pPr>
        <w:tabs>
          <w:tab w:val="left" w:pos="2472"/>
        </w:tabs>
        <w:snapToGrid w:val="0"/>
        <w:spacing w:before="120" w:line="312" w:lineRule="auto"/>
        <w:ind w:right="-87"/>
        <w:jc w:val="center"/>
        <w:rPr>
          <w:rFonts w:eastAsia="黑体"/>
          <w:sz w:val="30"/>
        </w:rPr>
      </w:pPr>
    </w:p>
    <w:p w14:paraId="04F95FD5">
      <w:pPr>
        <w:snapToGrid w:val="0"/>
        <w:spacing w:line="360" w:lineRule="auto"/>
        <w:ind w:right="-85"/>
        <w:rPr>
          <w:sz w:val="24"/>
        </w:rPr>
      </w:pPr>
    </w:p>
    <w:p w14:paraId="6DDE1ABC">
      <w:pPr>
        <w:snapToGrid w:val="0"/>
        <w:spacing w:line="360" w:lineRule="auto"/>
        <w:ind w:right="-85"/>
        <w:rPr>
          <w:sz w:val="24"/>
        </w:rPr>
      </w:pPr>
    </w:p>
    <w:p w14:paraId="7CB48C83">
      <w:pPr>
        <w:snapToGrid w:val="0"/>
        <w:spacing w:line="360" w:lineRule="auto"/>
        <w:ind w:right="-85"/>
        <w:rPr>
          <w:sz w:val="24"/>
        </w:rPr>
      </w:pPr>
      <w:r>
        <w:rPr>
          <w:rFonts w:hint="eastAsia"/>
          <w:sz w:val="24"/>
        </w:rPr>
        <w:t>一、</w:t>
      </w:r>
      <w:r>
        <w:rPr>
          <w:rFonts w:hint="eastAsia"/>
          <w:b/>
          <w:sz w:val="24"/>
        </w:rPr>
        <w:t>备份文件包装封面（格式供参考）</w:t>
      </w:r>
      <w:r>
        <w:rPr>
          <w:rFonts w:hint="eastAsia"/>
          <w:sz w:val="24"/>
        </w:rPr>
        <w:t>：</w:t>
      </w:r>
    </w:p>
    <w:p w14:paraId="357F8549">
      <w:pPr>
        <w:snapToGrid w:val="0"/>
        <w:spacing w:line="360" w:lineRule="auto"/>
        <w:ind w:right="-85"/>
        <w:jc w:val="center"/>
        <w:rPr>
          <w:sz w:val="24"/>
        </w:rPr>
      </w:pPr>
    </w:p>
    <w:p w14:paraId="7829198F">
      <w:pPr>
        <w:snapToGrid w:val="0"/>
        <w:spacing w:line="360" w:lineRule="auto"/>
        <w:ind w:right="-85"/>
        <w:jc w:val="center"/>
        <w:rPr>
          <w:b/>
          <w:sz w:val="44"/>
        </w:rPr>
      </w:pPr>
      <w:r>
        <w:rPr>
          <w:rFonts w:hint="eastAsia"/>
          <w:b/>
          <w:sz w:val="44"/>
        </w:rPr>
        <w:t>投标文件</w:t>
      </w:r>
    </w:p>
    <w:p w14:paraId="5BC66D32">
      <w:pPr>
        <w:snapToGrid w:val="0"/>
        <w:spacing w:line="360" w:lineRule="auto"/>
        <w:ind w:right="-85"/>
        <w:rPr>
          <w:sz w:val="24"/>
        </w:rPr>
      </w:pPr>
    </w:p>
    <w:p w14:paraId="665806E1">
      <w:pPr>
        <w:snapToGrid w:val="0"/>
        <w:spacing w:line="360" w:lineRule="auto"/>
        <w:ind w:right="-85" w:firstLine="1124" w:firstLineChars="400"/>
        <w:rPr>
          <w:b/>
          <w:sz w:val="28"/>
        </w:rPr>
      </w:pPr>
      <w:r>
        <w:rPr>
          <w:rFonts w:hint="eastAsia"/>
          <w:b/>
          <w:sz w:val="28"/>
        </w:rPr>
        <w:t>项目名称：</w:t>
      </w:r>
    </w:p>
    <w:p w14:paraId="5A0CDF45">
      <w:pPr>
        <w:snapToGrid w:val="0"/>
        <w:spacing w:line="360" w:lineRule="auto"/>
        <w:ind w:right="-85" w:firstLine="1113" w:firstLineChars="396"/>
        <w:rPr>
          <w:b/>
          <w:sz w:val="28"/>
          <w:u w:val="single"/>
        </w:rPr>
      </w:pPr>
      <w:r>
        <w:rPr>
          <w:rFonts w:hint="eastAsia"/>
          <w:b/>
          <w:sz w:val="28"/>
        </w:rPr>
        <w:t>项目编号：</w:t>
      </w:r>
    </w:p>
    <w:p w14:paraId="3ADE4BBC">
      <w:pPr>
        <w:snapToGrid w:val="0"/>
        <w:spacing w:line="360" w:lineRule="auto"/>
        <w:ind w:right="-85" w:firstLine="1169" w:firstLineChars="416"/>
        <w:rPr>
          <w:b/>
          <w:sz w:val="28"/>
        </w:rPr>
      </w:pPr>
      <w:r>
        <w:rPr>
          <w:rFonts w:hint="eastAsia"/>
          <w:b/>
          <w:sz w:val="28"/>
        </w:rPr>
        <w:t>投标人名称：</w:t>
      </w:r>
      <w:r>
        <w:rPr>
          <w:rFonts w:hint="eastAsia"/>
          <w:b/>
          <w:sz w:val="28"/>
          <w:u w:val="single"/>
        </w:rPr>
        <w:t>（</w:t>
      </w:r>
      <w:r>
        <w:rPr>
          <w:rFonts w:hint="eastAsia"/>
          <w:b/>
          <w:sz w:val="28"/>
        </w:rPr>
        <w:t>加盖公章）</w:t>
      </w:r>
    </w:p>
    <w:p w14:paraId="7D0C33D3">
      <w:pPr>
        <w:snapToGrid w:val="0"/>
        <w:spacing w:line="360" w:lineRule="auto"/>
        <w:ind w:right="-85" w:firstLine="1169" w:firstLineChars="416"/>
        <w:rPr>
          <w:b/>
          <w:sz w:val="28"/>
          <w:u w:val="single"/>
        </w:rPr>
      </w:pPr>
      <w:r>
        <w:rPr>
          <w:rFonts w:hint="eastAsia"/>
          <w:b/>
          <w:sz w:val="28"/>
        </w:rPr>
        <w:t>投标人地址：</w:t>
      </w:r>
    </w:p>
    <w:p w14:paraId="582D1F43">
      <w:pPr>
        <w:snapToGrid w:val="0"/>
        <w:spacing w:line="360" w:lineRule="auto"/>
        <w:ind w:right="-85" w:firstLine="1124" w:firstLineChars="400"/>
        <w:rPr>
          <w:b/>
          <w:sz w:val="28"/>
          <w:u w:val="single"/>
        </w:rPr>
      </w:pPr>
      <w:r>
        <w:rPr>
          <w:rFonts w:hint="eastAsia"/>
          <w:b/>
          <w:sz w:val="28"/>
        </w:rPr>
        <w:t>投标联系人：电话</w:t>
      </w:r>
    </w:p>
    <w:p w14:paraId="56151FAF">
      <w:pPr>
        <w:snapToGrid w:val="0"/>
        <w:spacing w:line="360" w:lineRule="auto"/>
        <w:ind w:right="-85" w:firstLine="1124" w:firstLineChars="400"/>
        <w:rPr>
          <w:b/>
          <w:sz w:val="28"/>
          <w:u w:val="single"/>
        </w:rPr>
      </w:pPr>
      <w:r>
        <w:rPr>
          <w:rFonts w:hint="eastAsia"/>
          <w:b/>
          <w:sz w:val="28"/>
        </w:rPr>
        <w:t>启封时间：</w:t>
      </w:r>
      <w:r>
        <w:rPr>
          <w:rFonts w:hint="eastAsia"/>
          <w:b/>
          <w:sz w:val="28"/>
          <w:u w:val="single"/>
        </w:rPr>
        <w:t>在</w:t>
      </w:r>
      <w:r>
        <w:rPr>
          <w:b/>
          <w:sz w:val="28"/>
          <w:u w:val="single"/>
        </w:rPr>
        <w:t>20</w:t>
      </w:r>
      <w:r>
        <w:rPr>
          <w:rFonts w:hint="eastAsia"/>
          <w:b/>
          <w:sz w:val="28"/>
          <w:u w:val="single"/>
        </w:rPr>
        <w:t>年月日时分之前不得启封</w:t>
      </w:r>
    </w:p>
    <w:p w14:paraId="036D6E52">
      <w:pPr>
        <w:snapToGrid w:val="0"/>
        <w:spacing w:line="360" w:lineRule="auto"/>
        <w:ind w:right="-85" w:firstLine="4080" w:firstLineChars="1700"/>
        <w:rPr>
          <w:sz w:val="24"/>
        </w:rPr>
      </w:pPr>
    </w:p>
    <w:p w14:paraId="182DE8ED">
      <w:pPr>
        <w:snapToGrid w:val="0"/>
        <w:spacing w:line="360" w:lineRule="auto"/>
        <w:ind w:right="-85" w:firstLine="645"/>
        <w:jc w:val="center"/>
        <w:rPr>
          <w:sz w:val="24"/>
        </w:rPr>
      </w:pPr>
      <w:r>
        <w:rPr>
          <w:rFonts w:hint="eastAsia"/>
          <w:sz w:val="24"/>
        </w:rPr>
        <w:t>年月日</w:t>
      </w:r>
    </w:p>
    <w:p w14:paraId="344D9B39">
      <w:pPr>
        <w:snapToGrid w:val="0"/>
        <w:spacing w:line="360" w:lineRule="auto"/>
        <w:ind w:right="-85"/>
        <w:outlineLvl w:val="1"/>
        <w:rPr>
          <w:sz w:val="24"/>
          <w:u w:val="single"/>
        </w:rPr>
      </w:pPr>
    </w:p>
    <w:p w14:paraId="2048AC5B">
      <w:pPr>
        <w:snapToGrid w:val="0"/>
        <w:spacing w:before="120" w:beforeLines="50" w:line="312" w:lineRule="auto"/>
        <w:rPr>
          <w:b/>
          <w:sz w:val="32"/>
        </w:rPr>
      </w:pPr>
    </w:p>
    <w:p w14:paraId="1F08DFF3">
      <w:pPr>
        <w:snapToGrid w:val="0"/>
        <w:spacing w:before="120" w:beforeLines="50" w:line="312" w:lineRule="auto"/>
        <w:rPr>
          <w:b/>
          <w:sz w:val="32"/>
        </w:rPr>
      </w:pPr>
    </w:p>
    <w:p w14:paraId="32842C4B">
      <w:pPr>
        <w:spacing w:after="120"/>
        <w:jc w:val="center"/>
        <w:rPr>
          <w:rFonts w:ascii="宋体" w:hAnsi="Calibri"/>
          <w:b/>
          <w:bCs/>
          <w:kern w:val="0"/>
          <w:sz w:val="28"/>
          <w:szCs w:val="28"/>
        </w:rPr>
      </w:pPr>
    </w:p>
    <w:p w14:paraId="13A409DF">
      <w:pPr>
        <w:rPr>
          <w:b/>
          <w:sz w:val="32"/>
        </w:rPr>
      </w:pPr>
    </w:p>
    <w:p w14:paraId="171B7493">
      <w:pPr>
        <w:spacing w:after="120"/>
        <w:jc w:val="center"/>
        <w:rPr>
          <w:rFonts w:ascii="宋体" w:hAnsi="Calibri"/>
          <w:b/>
          <w:bCs/>
          <w:kern w:val="0"/>
          <w:sz w:val="28"/>
          <w:szCs w:val="28"/>
        </w:rPr>
      </w:pPr>
    </w:p>
    <w:p w14:paraId="1353E699">
      <w:pPr>
        <w:rPr>
          <w:b/>
          <w:sz w:val="32"/>
        </w:rPr>
      </w:pPr>
    </w:p>
    <w:p w14:paraId="14C24218">
      <w:pPr>
        <w:spacing w:after="120"/>
        <w:jc w:val="center"/>
        <w:rPr>
          <w:rFonts w:ascii="宋体" w:hAnsi="Calibri"/>
          <w:b/>
          <w:bCs/>
          <w:kern w:val="0"/>
          <w:sz w:val="28"/>
          <w:szCs w:val="28"/>
        </w:rPr>
      </w:pPr>
    </w:p>
    <w:p w14:paraId="7B6E4345">
      <w:pPr>
        <w:rPr>
          <w:b/>
          <w:sz w:val="32"/>
        </w:rPr>
      </w:pPr>
    </w:p>
    <w:p w14:paraId="5017A2E1">
      <w:pPr>
        <w:spacing w:after="120"/>
        <w:jc w:val="center"/>
        <w:rPr>
          <w:rFonts w:ascii="宋体" w:hAnsi="Calibri"/>
          <w:b/>
          <w:bCs/>
          <w:kern w:val="0"/>
          <w:sz w:val="28"/>
          <w:szCs w:val="28"/>
        </w:rPr>
      </w:pPr>
    </w:p>
    <w:p w14:paraId="35D07279">
      <w:pPr>
        <w:rPr>
          <w:rFonts w:hint="eastAsia" w:ascii="等线" w:hAnsi="等线" w:eastAsia="等线"/>
        </w:rPr>
      </w:pPr>
    </w:p>
    <w:p w14:paraId="18C4528B">
      <w:pPr>
        <w:snapToGrid w:val="0"/>
        <w:spacing w:before="120" w:beforeLines="50" w:line="312" w:lineRule="auto"/>
        <w:ind w:right="-341"/>
        <w:rPr>
          <w:rFonts w:hint="eastAsia" w:ascii="宋体" w:hAnsi="宋体"/>
          <w:b/>
          <w:sz w:val="28"/>
          <w:szCs w:val="28"/>
        </w:rPr>
      </w:pPr>
    </w:p>
    <w:p w14:paraId="3E9F5605">
      <w:pPr>
        <w:snapToGrid w:val="0"/>
        <w:spacing w:before="120" w:beforeLines="50" w:line="312" w:lineRule="auto"/>
        <w:ind w:right="-341"/>
        <w:rPr>
          <w:rFonts w:hint="eastAsia" w:ascii="宋体" w:hAnsi="宋体"/>
          <w:b/>
          <w:sz w:val="28"/>
          <w:szCs w:val="28"/>
        </w:rPr>
      </w:pPr>
      <w:r>
        <w:rPr>
          <w:rFonts w:hint="eastAsia" w:ascii="宋体" w:hAnsi="宋体"/>
          <w:b/>
          <w:sz w:val="28"/>
          <w:szCs w:val="28"/>
        </w:rPr>
        <w:t>二、</w:t>
      </w:r>
    </w:p>
    <w:p w14:paraId="01B3C826">
      <w:pPr>
        <w:snapToGrid w:val="0"/>
        <w:spacing w:before="120" w:beforeLines="50" w:line="312" w:lineRule="auto"/>
        <w:ind w:right="-341" w:firstLine="3678" w:firstLineChars="1145"/>
        <w:rPr>
          <w:rFonts w:hint="eastAsia" w:ascii="宋体" w:hAnsi="宋体"/>
          <w:b/>
          <w:sz w:val="32"/>
        </w:rPr>
      </w:pPr>
      <w:r>
        <w:rPr>
          <w:rFonts w:hint="eastAsia" w:ascii="宋体" w:hAnsi="宋体"/>
          <w:b/>
          <w:sz w:val="32"/>
        </w:rPr>
        <w:t>开标一览表</w:t>
      </w:r>
    </w:p>
    <w:p w14:paraId="69121479">
      <w:pPr>
        <w:spacing w:line="360" w:lineRule="auto"/>
        <w:rPr>
          <w:b/>
          <w:sz w:val="24"/>
          <w:szCs w:val="24"/>
        </w:rPr>
      </w:pPr>
    </w:p>
    <w:p w14:paraId="75A8486A">
      <w:pPr>
        <w:snapToGrid w:val="0"/>
        <w:spacing w:before="50" w:after="50"/>
        <w:rPr>
          <w:rFonts w:hint="eastAsia" w:ascii="宋体" w:hAnsi="宋体"/>
        </w:rPr>
      </w:pPr>
    </w:p>
    <w:p w14:paraId="53EEEEE9">
      <w:pPr>
        <w:snapToGrid w:val="0"/>
        <w:spacing w:before="50" w:after="50"/>
        <w:rPr>
          <w:rFonts w:hint="eastAsia" w:ascii="宋体" w:hAnsi="宋体"/>
        </w:rPr>
      </w:pPr>
      <w:r>
        <w:rPr>
          <w:rFonts w:hint="eastAsia" w:ascii="宋体" w:hAnsi="宋体"/>
        </w:rPr>
        <w:t>项目名称：</w:t>
      </w:r>
    </w:p>
    <w:p w14:paraId="105049C6">
      <w:pPr>
        <w:snapToGrid w:val="0"/>
        <w:spacing w:before="50" w:after="50"/>
        <w:rPr>
          <w:rFonts w:hint="eastAsia" w:ascii="宋体" w:hAnsi="宋体"/>
        </w:rPr>
      </w:pPr>
      <w:r>
        <w:rPr>
          <w:rFonts w:hint="eastAsia" w:ascii="宋体" w:hAnsi="宋体"/>
        </w:rPr>
        <w:t>项目编号：</w:t>
      </w:r>
    </w:p>
    <w:p w14:paraId="732ADE55">
      <w:pPr>
        <w:spacing w:before="120" w:beforeLines="50" w:line="360" w:lineRule="auto"/>
        <w:ind w:firstLine="5880" w:firstLineChars="2800"/>
        <w:rPr>
          <w:rFonts w:hint="eastAsia" w:ascii="宋体" w:hAnsi="宋体"/>
          <w:szCs w:val="21"/>
        </w:rPr>
      </w:pPr>
      <w:r>
        <w:rPr>
          <w:rFonts w:hint="eastAsia" w:ascii="宋体" w:hAnsi="宋体"/>
          <w:szCs w:val="21"/>
        </w:rPr>
        <w:t>单位：元</w:t>
      </w:r>
    </w:p>
    <w:tbl>
      <w:tblPr>
        <w:tblStyle w:val="60"/>
        <w:tblW w:w="9509"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7" w:type="dxa"/>
          <w:bottom w:w="0" w:type="dxa"/>
          <w:right w:w="57" w:type="dxa"/>
        </w:tblCellMar>
      </w:tblPr>
      <w:tblGrid>
        <w:gridCol w:w="1004"/>
        <w:gridCol w:w="2448"/>
        <w:gridCol w:w="4819"/>
        <w:gridCol w:w="1238"/>
      </w:tblGrid>
      <w:tr w14:paraId="3D6EEE1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7" w:type="dxa"/>
            <w:bottom w:w="0" w:type="dxa"/>
            <w:right w:w="57" w:type="dxa"/>
          </w:tblCellMar>
        </w:tblPrEx>
        <w:trPr>
          <w:trHeight w:val="495" w:hRule="atLeast"/>
          <w:jc w:val="center"/>
        </w:trPr>
        <w:tc>
          <w:tcPr>
            <w:tcW w:w="1004" w:type="dxa"/>
            <w:tcBorders>
              <w:right w:val="single" w:color="auto" w:sz="4" w:space="0"/>
            </w:tcBorders>
            <w:vAlign w:val="center"/>
          </w:tcPr>
          <w:p w14:paraId="4EA065EE">
            <w:pPr>
              <w:jc w:val="center"/>
              <w:rPr>
                <w:rFonts w:hint="eastAsia" w:ascii="宋体" w:hAnsi="宋体"/>
                <w:b/>
                <w:szCs w:val="21"/>
              </w:rPr>
            </w:pPr>
            <w:r>
              <w:rPr>
                <w:rFonts w:hint="eastAsia" w:ascii="宋体" w:hAnsi="宋体"/>
                <w:b/>
                <w:szCs w:val="21"/>
              </w:rPr>
              <w:t>序号</w:t>
            </w:r>
          </w:p>
        </w:tc>
        <w:tc>
          <w:tcPr>
            <w:tcW w:w="2448" w:type="dxa"/>
            <w:tcBorders>
              <w:left w:val="single" w:color="auto" w:sz="4" w:space="0"/>
              <w:right w:val="single" w:color="auto" w:sz="4" w:space="0"/>
            </w:tcBorders>
            <w:vAlign w:val="center"/>
          </w:tcPr>
          <w:p w14:paraId="7A732975">
            <w:pPr>
              <w:ind w:left="424" w:leftChars="202" w:firstLine="422" w:firstLineChars="200"/>
              <w:rPr>
                <w:rFonts w:hint="eastAsia" w:ascii="宋体" w:hAnsi="宋体"/>
                <w:b/>
                <w:szCs w:val="21"/>
              </w:rPr>
            </w:pPr>
            <w:r>
              <w:rPr>
                <w:rFonts w:hint="eastAsia" w:ascii="宋体" w:hAnsi="宋体"/>
                <w:b/>
                <w:szCs w:val="21"/>
              </w:rPr>
              <w:t>名称</w:t>
            </w:r>
          </w:p>
        </w:tc>
        <w:tc>
          <w:tcPr>
            <w:tcW w:w="4819" w:type="dxa"/>
            <w:tcBorders>
              <w:left w:val="single" w:color="auto" w:sz="4" w:space="0"/>
              <w:right w:val="single" w:color="auto" w:sz="4" w:space="0"/>
            </w:tcBorders>
            <w:vAlign w:val="center"/>
          </w:tcPr>
          <w:p w14:paraId="2F0A7114">
            <w:pPr>
              <w:jc w:val="center"/>
              <w:rPr>
                <w:rFonts w:hint="eastAsia" w:ascii="宋体" w:hAnsi="宋体"/>
                <w:b/>
                <w:szCs w:val="21"/>
              </w:rPr>
            </w:pPr>
            <w:r>
              <w:rPr>
                <w:rFonts w:hint="eastAsia" w:ascii="宋体" w:hAnsi="宋体"/>
                <w:b/>
                <w:szCs w:val="21"/>
              </w:rPr>
              <w:t xml:space="preserve"> 投标报价</w:t>
            </w:r>
          </w:p>
        </w:tc>
        <w:tc>
          <w:tcPr>
            <w:tcW w:w="1238" w:type="dxa"/>
            <w:tcBorders>
              <w:left w:val="single" w:color="auto" w:sz="4" w:space="0"/>
            </w:tcBorders>
            <w:vAlign w:val="center"/>
          </w:tcPr>
          <w:p w14:paraId="3EA0E49B">
            <w:pPr>
              <w:ind w:left="424" w:leftChars="202"/>
              <w:jc w:val="center"/>
              <w:rPr>
                <w:rFonts w:hint="eastAsia" w:ascii="宋体" w:hAnsi="宋体"/>
                <w:b/>
                <w:szCs w:val="21"/>
              </w:rPr>
            </w:pPr>
            <w:r>
              <w:rPr>
                <w:rFonts w:hint="eastAsia" w:ascii="宋体" w:hAnsi="宋体" w:cs="宋体"/>
                <w:b/>
                <w:szCs w:val="21"/>
              </w:rPr>
              <w:t>备注</w:t>
            </w:r>
          </w:p>
        </w:tc>
      </w:tr>
      <w:tr w14:paraId="76EA4DA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7" w:type="dxa"/>
            <w:bottom w:w="0" w:type="dxa"/>
            <w:right w:w="57" w:type="dxa"/>
          </w:tblCellMar>
        </w:tblPrEx>
        <w:trPr>
          <w:trHeight w:val="554" w:hRule="atLeast"/>
          <w:jc w:val="center"/>
        </w:trPr>
        <w:tc>
          <w:tcPr>
            <w:tcW w:w="1004" w:type="dxa"/>
            <w:tcBorders>
              <w:right w:val="single" w:color="auto" w:sz="4" w:space="0"/>
            </w:tcBorders>
            <w:vAlign w:val="center"/>
          </w:tcPr>
          <w:p w14:paraId="63AFE142">
            <w:pPr>
              <w:autoSpaceDE w:val="0"/>
              <w:autoSpaceDN w:val="0"/>
              <w:adjustRightInd w:val="0"/>
              <w:spacing w:line="400" w:lineRule="exact"/>
              <w:ind w:left="424" w:leftChars="202"/>
              <w:rPr>
                <w:rFonts w:hint="eastAsia" w:ascii="宋体" w:hAnsi="宋体"/>
                <w:szCs w:val="21"/>
                <w:lang w:val="zh-CN"/>
              </w:rPr>
            </w:pPr>
          </w:p>
        </w:tc>
        <w:tc>
          <w:tcPr>
            <w:tcW w:w="2448" w:type="dxa"/>
            <w:tcBorders>
              <w:left w:val="single" w:color="auto" w:sz="4" w:space="0"/>
              <w:right w:val="single" w:color="auto" w:sz="4" w:space="0"/>
            </w:tcBorders>
            <w:vAlign w:val="center"/>
          </w:tcPr>
          <w:p w14:paraId="6D618E12">
            <w:pPr>
              <w:ind w:left="424" w:leftChars="202"/>
              <w:jc w:val="center"/>
              <w:rPr>
                <w:rFonts w:hint="eastAsia" w:ascii="宋体" w:hAnsi="宋体"/>
                <w:szCs w:val="21"/>
              </w:rPr>
            </w:pPr>
          </w:p>
        </w:tc>
        <w:tc>
          <w:tcPr>
            <w:tcW w:w="4819" w:type="dxa"/>
            <w:tcBorders>
              <w:left w:val="single" w:color="auto" w:sz="4" w:space="0"/>
              <w:right w:val="single" w:color="auto" w:sz="4" w:space="0"/>
            </w:tcBorders>
            <w:vAlign w:val="center"/>
          </w:tcPr>
          <w:p w14:paraId="5294345C">
            <w:pPr>
              <w:ind w:left="424" w:leftChars="202"/>
              <w:jc w:val="center"/>
              <w:rPr>
                <w:rFonts w:hint="eastAsia" w:ascii="宋体" w:hAnsi="宋体"/>
                <w:szCs w:val="21"/>
              </w:rPr>
            </w:pPr>
          </w:p>
        </w:tc>
        <w:tc>
          <w:tcPr>
            <w:tcW w:w="1238" w:type="dxa"/>
            <w:tcBorders>
              <w:left w:val="single" w:color="auto" w:sz="4" w:space="0"/>
            </w:tcBorders>
            <w:vAlign w:val="center"/>
          </w:tcPr>
          <w:p w14:paraId="1AA995F3">
            <w:pPr>
              <w:ind w:left="424" w:leftChars="202"/>
              <w:jc w:val="center"/>
              <w:rPr>
                <w:rFonts w:hint="eastAsia" w:ascii="宋体" w:hAnsi="宋体"/>
                <w:szCs w:val="21"/>
              </w:rPr>
            </w:pPr>
          </w:p>
        </w:tc>
      </w:tr>
      <w:tr w14:paraId="7F2F759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7" w:type="dxa"/>
            <w:bottom w:w="0" w:type="dxa"/>
            <w:right w:w="57" w:type="dxa"/>
          </w:tblCellMar>
        </w:tblPrEx>
        <w:trPr>
          <w:trHeight w:val="554" w:hRule="atLeast"/>
          <w:jc w:val="center"/>
        </w:trPr>
        <w:tc>
          <w:tcPr>
            <w:tcW w:w="1004" w:type="dxa"/>
            <w:tcBorders>
              <w:right w:val="single" w:color="auto" w:sz="4" w:space="0"/>
            </w:tcBorders>
            <w:vAlign w:val="center"/>
          </w:tcPr>
          <w:p w14:paraId="15B24A0D">
            <w:pPr>
              <w:autoSpaceDE w:val="0"/>
              <w:autoSpaceDN w:val="0"/>
              <w:adjustRightInd w:val="0"/>
              <w:spacing w:line="400" w:lineRule="exact"/>
              <w:ind w:left="424" w:leftChars="202"/>
              <w:rPr>
                <w:rFonts w:hint="eastAsia" w:ascii="宋体" w:hAnsi="宋体"/>
                <w:szCs w:val="21"/>
                <w:lang w:val="zh-CN"/>
              </w:rPr>
            </w:pPr>
            <w:r>
              <w:rPr>
                <w:rFonts w:hint="eastAsia" w:ascii="宋体" w:hAnsi="宋体"/>
                <w:szCs w:val="21"/>
                <w:lang w:val="zh-CN"/>
              </w:rPr>
              <w:t>合计</w:t>
            </w:r>
          </w:p>
        </w:tc>
        <w:tc>
          <w:tcPr>
            <w:tcW w:w="8505" w:type="dxa"/>
            <w:gridSpan w:val="3"/>
            <w:tcBorders>
              <w:left w:val="single" w:color="auto" w:sz="4" w:space="0"/>
            </w:tcBorders>
            <w:vAlign w:val="center"/>
          </w:tcPr>
          <w:p w14:paraId="73CF9FB9">
            <w:pPr>
              <w:rPr>
                <w:rFonts w:hint="eastAsia" w:ascii="宋体" w:hAnsi="宋体"/>
                <w:szCs w:val="21"/>
              </w:rPr>
            </w:pPr>
            <w:r>
              <w:rPr>
                <w:rFonts w:hint="eastAsia" w:ascii="宋体" w:hAnsi="宋体"/>
                <w:szCs w:val="21"/>
              </w:rPr>
              <w:t>大写：</w:t>
            </w:r>
          </w:p>
        </w:tc>
      </w:tr>
    </w:tbl>
    <w:p w14:paraId="5ABF0595">
      <w:pPr>
        <w:spacing w:line="440" w:lineRule="exact"/>
        <w:ind w:firstLine="102" w:firstLineChars="49"/>
        <w:rPr>
          <w:rFonts w:hint="eastAsia" w:ascii="宋体" w:hAnsi="宋体"/>
          <w:szCs w:val="21"/>
        </w:rPr>
      </w:pPr>
      <w:r>
        <w:rPr>
          <w:rFonts w:hint="eastAsia" w:ascii="宋体" w:hAnsi="宋体"/>
          <w:szCs w:val="21"/>
        </w:rPr>
        <w:t>说明：</w:t>
      </w:r>
    </w:p>
    <w:p w14:paraId="6D461C56">
      <w:pPr>
        <w:snapToGrid w:val="0"/>
        <w:spacing w:line="360" w:lineRule="auto"/>
        <w:ind w:right="-340" w:firstLine="420" w:firstLineChars="200"/>
        <w:rPr>
          <w:rFonts w:ascii="宋体"/>
        </w:rPr>
      </w:pPr>
      <w:r>
        <w:rPr>
          <w:rFonts w:hint="eastAsia" w:ascii="宋体" w:hAnsi="宋体"/>
        </w:rPr>
        <w:t xml:space="preserve"> 项目费用包括项目实施所需的一切费用。</w:t>
      </w:r>
    </w:p>
    <w:p w14:paraId="35BA0F12">
      <w:pPr>
        <w:snapToGrid w:val="0"/>
        <w:spacing w:before="50" w:after="50"/>
        <w:rPr>
          <w:rFonts w:hint="eastAsia" w:ascii="宋体" w:hAnsi="宋体"/>
        </w:rPr>
      </w:pPr>
    </w:p>
    <w:p w14:paraId="3DE0FAE2">
      <w:pPr>
        <w:snapToGrid w:val="0"/>
        <w:ind w:left="2" w:right="-817" w:rightChars="-389"/>
        <w:rPr>
          <w:rFonts w:hint="eastAsia" w:ascii="宋体" w:hAnsi="宋体"/>
        </w:rPr>
      </w:pPr>
    </w:p>
    <w:p w14:paraId="7B0585AB">
      <w:pPr>
        <w:snapToGrid w:val="0"/>
        <w:ind w:left="2" w:right="-817" w:rightChars="-389"/>
        <w:rPr>
          <w:rFonts w:hint="eastAsia" w:ascii="宋体" w:hAnsi="宋体"/>
        </w:rPr>
      </w:pPr>
    </w:p>
    <w:p w14:paraId="1DE5DB99">
      <w:pPr>
        <w:snapToGrid w:val="0"/>
        <w:ind w:left="2" w:right="-817" w:rightChars="-389"/>
        <w:rPr>
          <w:rFonts w:hint="eastAsia" w:ascii="宋体" w:hAnsi="宋体"/>
        </w:rPr>
      </w:pPr>
      <w:r>
        <w:rPr>
          <w:rFonts w:hint="eastAsia" w:ascii="宋体" w:hAnsi="宋体"/>
        </w:rPr>
        <w:t>投标人名称（盖章）：                                                   日期：年月日</w:t>
      </w:r>
    </w:p>
    <w:p w14:paraId="16263468">
      <w:pPr>
        <w:snapToGrid w:val="0"/>
        <w:spacing w:before="50" w:after="50"/>
        <w:rPr>
          <w:spacing w:val="20"/>
          <w:u w:val="single"/>
        </w:rPr>
      </w:pPr>
    </w:p>
    <w:p w14:paraId="52B5399F">
      <w:pPr>
        <w:spacing w:after="120"/>
      </w:pPr>
    </w:p>
    <w:p w14:paraId="0D705950">
      <w:pPr>
        <w:snapToGrid w:val="0"/>
        <w:spacing w:before="120" w:line="312" w:lineRule="auto"/>
        <w:ind w:right="-341"/>
        <w:jc w:val="center"/>
        <w:rPr>
          <w:b/>
          <w:sz w:val="32"/>
        </w:rPr>
      </w:pPr>
    </w:p>
    <w:p w14:paraId="2A1F0FA8">
      <w:pPr>
        <w:snapToGrid w:val="0"/>
        <w:spacing w:before="120" w:line="312" w:lineRule="auto"/>
        <w:ind w:right="-341"/>
        <w:jc w:val="center"/>
        <w:rPr>
          <w:b/>
          <w:sz w:val="32"/>
        </w:rPr>
      </w:pPr>
    </w:p>
    <w:p w14:paraId="04A85F59">
      <w:pPr>
        <w:snapToGrid w:val="0"/>
        <w:spacing w:before="120" w:line="312" w:lineRule="auto"/>
        <w:ind w:right="-341"/>
        <w:rPr>
          <w:b/>
          <w:sz w:val="32"/>
        </w:rPr>
      </w:pPr>
    </w:p>
    <w:p w14:paraId="4A5E9F77">
      <w:pPr>
        <w:snapToGrid w:val="0"/>
        <w:spacing w:before="120" w:line="312" w:lineRule="auto"/>
        <w:ind w:right="-341"/>
        <w:jc w:val="center"/>
        <w:rPr>
          <w:b/>
          <w:sz w:val="32"/>
        </w:rPr>
      </w:pPr>
    </w:p>
    <w:p w14:paraId="2B1872AC">
      <w:pPr>
        <w:snapToGrid w:val="0"/>
        <w:spacing w:before="120" w:line="312" w:lineRule="auto"/>
        <w:ind w:right="-341"/>
        <w:jc w:val="center"/>
        <w:rPr>
          <w:b/>
          <w:sz w:val="32"/>
        </w:rPr>
      </w:pPr>
    </w:p>
    <w:p w14:paraId="63F3ED2D">
      <w:pPr>
        <w:snapToGrid w:val="0"/>
        <w:spacing w:before="120" w:line="312" w:lineRule="auto"/>
        <w:ind w:right="-341"/>
        <w:jc w:val="center"/>
        <w:rPr>
          <w:b/>
          <w:sz w:val="32"/>
        </w:rPr>
      </w:pPr>
    </w:p>
    <w:p w14:paraId="1FDEB622">
      <w:pPr>
        <w:snapToGrid w:val="0"/>
        <w:spacing w:before="120" w:line="312" w:lineRule="auto"/>
        <w:ind w:right="-341"/>
        <w:jc w:val="center"/>
        <w:rPr>
          <w:b/>
          <w:sz w:val="32"/>
        </w:rPr>
      </w:pPr>
    </w:p>
    <w:p w14:paraId="3DFE0793">
      <w:pPr>
        <w:snapToGrid w:val="0"/>
        <w:spacing w:before="120" w:line="312" w:lineRule="auto"/>
        <w:ind w:right="-341"/>
        <w:jc w:val="center"/>
        <w:rPr>
          <w:b/>
          <w:sz w:val="32"/>
        </w:rPr>
      </w:pPr>
    </w:p>
    <w:p w14:paraId="55756858">
      <w:pPr>
        <w:snapToGrid w:val="0"/>
        <w:spacing w:before="120" w:line="312" w:lineRule="auto"/>
        <w:ind w:right="-341"/>
        <w:jc w:val="center"/>
        <w:rPr>
          <w:b/>
          <w:sz w:val="32"/>
        </w:rPr>
      </w:pPr>
    </w:p>
    <w:p w14:paraId="1430DEEC">
      <w:pPr>
        <w:snapToGrid w:val="0"/>
        <w:spacing w:before="120" w:line="312" w:lineRule="auto"/>
        <w:ind w:right="-341"/>
        <w:jc w:val="center"/>
        <w:rPr>
          <w:b/>
          <w:sz w:val="32"/>
        </w:rPr>
      </w:pPr>
    </w:p>
    <w:p w14:paraId="31E4CD3D">
      <w:pPr>
        <w:snapToGrid w:val="0"/>
        <w:spacing w:before="120" w:line="312" w:lineRule="auto"/>
        <w:ind w:right="-341"/>
        <w:jc w:val="center"/>
        <w:rPr>
          <w:b/>
          <w:sz w:val="32"/>
        </w:rPr>
      </w:pPr>
    </w:p>
    <w:p w14:paraId="31A27E45">
      <w:pPr>
        <w:snapToGrid w:val="0"/>
        <w:spacing w:before="120" w:line="312" w:lineRule="auto"/>
        <w:ind w:right="-341"/>
        <w:jc w:val="center"/>
        <w:rPr>
          <w:b/>
          <w:sz w:val="32"/>
        </w:rPr>
      </w:pPr>
      <w:r>
        <w:rPr>
          <w:rFonts w:hint="eastAsia"/>
          <w:b/>
          <w:sz w:val="32"/>
        </w:rPr>
        <w:t>三、投标报价明细表</w:t>
      </w:r>
    </w:p>
    <w:p w14:paraId="41D2E021">
      <w:pPr>
        <w:snapToGrid w:val="0"/>
        <w:rPr>
          <w:b/>
          <w:sz w:val="28"/>
        </w:rPr>
      </w:pPr>
    </w:p>
    <w:p w14:paraId="51ED1B44">
      <w:pPr>
        <w:snapToGrid w:val="0"/>
        <w:rPr>
          <w:szCs w:val="21"/>
        </w:rPr>
      </w:pPr>
      <w:r>
        <w:rPr>
          <w:rFonts w:hint="eastAsia"/>
          <w:szCs w:val="21"/>
        </w:rPr>
        <w:t>项目名称：                                           金额单位：人民币（元）</w:t>
      </w:r>
    </w:p>
    <w:p w14:paraId="103BF246">
      <w:pPr>
        <w:snapToGrid w:val="0"/>
        <w:spacing w:before="120" w:beforeLines="50" w:after="120"/>
        <w:rPr>
          <w:szCs w:val="21"/>
        </w:rPr>
      </w:pPr>
      <w:r>
        <w:rPr>
          <w:rFonts w:hint="eastAsia"/>
          <w:szCs w:val="21"/>
        </w:rPr>
        <w:t>项目编号：</w:t>
      </w:r>
    </w:p>
    <w:tbl>
      <w:tblPr>
        <w:tblStyle w:val="60"/>
        <w:tblW w:w="9540" w:type="dxa"/>
        <w:tblInd w:w="-252"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84"/>
        <w:gridCol w:w="2194"/>
        <w:gridCol w:w="1080"/>
        <w:gridCol w:w="1440"/>
        <w:gridCol w:w="10"/>
        <w:gridCol w:w="1430"/>
        <w:gridCol w:w="1262"/>
        <w:gridCol w:w="1440"/>
      </w:tblGrid>
      <w:tr w14:paraId="00237EF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84" w:type="dxa"/>
            <w:tcBorders>
              <w:top w:val="single" w:color="auto" w:sz="4" w:space="0"/>
              <w:left w:val="single" w:color="auto" w:sz="4" w:space="0"/>
              <w:bottom w:val="single" w:color="auto" w:sz="4" w:space="0"/>
              <w:right w:val="single" w:color="auto" w:sz="4" w:space="0"/>
            </w:tcBorders>
            <w:vAlign w:val="center"/>
          </w:tcPr>
          <w:p w14:paraId="66CA107D">
            <w:pPr>
              <w:tabs>
                <w:tab w:val="left" w:pos="1418"/>
              </w:tabs>
              <w:snapToGrid w:val="0"/>
              <w:spacing w:before="50" w:after="50"/>
              <w:jc w:val="center"/>
              <w:rPr>
                <w:spacing w:val="20"/>
              </w:rPr>
            </w:pPr>
            <w:r>
              <w:rPr>
                <w:rFonts w:hint="eastAsia"/>
              </w:rPr>
              <w:t>序号</w:t>
            </w:r>
          </w:p>
        </w:tc>
        <w:tc>
          <w:tcPr>
            <w:tcW w:w="2194" w:type="dxa"/>
            <w:tcBorders>
              <w:top w:val="single" w:color="auto" w:sz="4" w:space="0"/>
              <w:left w:val="single" w:color="auto" w:sz="4" w:space="0"/>
              <w:bottom w:val="single" w:color="auto" w:sz="4" w:space="0"/>
              <w:right w:val="single" w:color="auto" w:sz="4" w:space="0"/>
            </w:tcBorders>
            <w:vAlign w:val="center"/>
          </w:tcPr>
          <w:p w14:paraId="70E779ED">
            <w:pPr>
              <w:tabs>
                <w:tab w:val="left" w:pos="1418"/>
              </w:tabs>
              <w:snapToGrid w:val="0"/>
              <w:spacing w:before="50" w:after="50"/>
              <w:jc w:val="center"/>
              <w:rPr>
                <w:spacing w:val="20"/>
              </w:rPr>
            </w:pPr>
            <w:r>
              <w:rPr>
                <w:rFonts w:hint="eastAsia"/>
              </w:rPr>
              <w:t>名称</w:t>
            </w:r>
          </w:p>
        </w:tc>
        <w:tc>
          <w:tcPr>
            <w:tcW w:w="1080" w:type="dxa"/>
            <w:tcBorders>
              <w:top w:val="single" w:color="auto" w:sz="4" w:space="0"/>
              <w:left w:val="single" w:color="auto" w:sz="4" w:space="0"/>
              <w:bottom w:val="single" w:color="auto" w:sz="4" w:space="0"/>
              <w:right w:val="single" w:color="auto" w:sz="4" w:space="0"/>
            </w:tcBorders>
            <w:vAlign w:val="center"/>
          </w:tcPr>
          <w:p w14:paraId="7B3D763A">
            <w:pPr>
              <w:tabs>
                <w:tab w:val="left" w:pos="1418"/>
              </w:tabs>
              <w:snapToGrid w:val="0"/>
              <w:spacing w:before="50" w:after="50"/>
              <w:jc w:val="center"/>
              <w:rPr>
                <w:kern w:val="0"/>
              </w:rPr>
            </w:pPr>
            <w:r>
              <w:rPr>
                <w:rFonts w:hint="eastAsia"/>
                <w:kern w:val="0"/>
              </w:rPr>
              <w:t xml:space="preserve"> </w:t>
            </w:r>
          </w:p>
        </w:tc>
        <w:tc>
          <w:tcPr>
            <w:tcW w:w="1440" w:type="dxa"/>
            <w:tcBorders>
              <w:top w:val="single" w:color="auto" w:sz="4" w:space="0"/>
              <w:left w:val="single" w:color="auto" w:sz="4" w:space="0"/>
              <w:bottom w:val="single" w:color="auto" w:sz="4" w:space="0"/>
              <w:right w:val="single" w:color="auto" w:sz="4" w:space="0"/>
            </w:tcBorders>
            <w:vAlign w:val="center"/>
          </w:tcPr>
          <w:p w14:paraId="7FED7618">
            <w:pPr>
              <w:tabs>
                <w:tab w:val="left" w:pos="1418"/>
              </w:tabs>
              <w:snapToGrid w:val="0"/>
              <w:spacing w:before="50" w:after="50"/>
              <w:jc w:val="center"/>
              <w:rPr>
                <w:spacing w:val="20"/>
              </w:rPr>
            </w:pPr>
            <w:r>
              <w:rPr>
                <w:rFonts w:hint="eastAsia"/>
                <w:spacing w:val="20"/>
              </w:rPr>
              <w:t xml:space="preserve"> </w:t>
            </w:r>
          </w:p>
        </w:tc>
        <w:tc>
          <w:tcPr>
            <w:tcW w:w="1440" w:type="dxa"/>
            <w:gridSpan w:val="2"/>
            <w:tcBorders>
              <w:top w:val="single" w:color="auto" w:sz="4" w:space="0"/>
              <w:left w:val="single" w:color="auto" w:sz="4" w:space="0"/>
              <w:bottom w:val="single" w:color="auto" w:sz="4" w:space="0"/>
              <w:right w:val="single" w:color="auto" w:sz="4" w:space="0"/>
            </w:tcBorders>
            <w:vAlign w:val="center"/>
          </w:tcPr>
          <w:p w14:paraId="53D86DA1">
            <w:pPr>
              <w:tabs>
                <w:tab w:val="left" w:pos="1418"/>
              </w:tabs>
              <w:snapToGrid w:val="0"/>
              <w:spacing w:before="50" w:after="50"/>
              <w:jc w:val="center"/>
              <w:rPr>
                <w:spacing w:val="20"/>
              </w:rPr>
            </w:pPr>
            <w:r>
              <w:rPr>
                <w:rFonts w:hint="eastAsia"/>
                <w:spacing w:val="20"/>
              </w:rPr>
              <w:t>单价</w:t>
            </w:r>
          </w:p>
        </w:tc>
        <w:tc>
          <w:tcPr>
            <w:tcW w:w="1262" w:type="dxa"/>
            <w:tcBorders>
              <w:top w:val="single" w:color="auto" w:sz="4" w:space="0"/>
              <w:left w:val="single" w:color="auto" w:sz="4" w:space="0"/>
              <w:bottom w:val="single" w:color="auto" w:sz="4" w:space="0"/>
              <w:right w:val="single" w:color="auto" w:sz="4" w:space="0"/>
            </w:tcBorders>
            <w:vAlign w:val="center"/>
          </w:tcPr>
          <w:p w14:paraId="30F29D85">
            <w:pPr>
              <w:tabs>
                <w:tab w:val="left" w:pos="1418"/>
              </w:tabs>
              <w:snapToGrid w:val="0"/>
              <w:spacing w:before="50" w:after="50"/>
              <w:jc w:val="center"/>
              <w:rPr>
                <w:spacing w:val="20"/>
              </w:rPr>
            </w:pPr>
            <w:r>
              <w:rPr>
                <w:rFonts w:hint="eastAsia"/>
              </w:rPr>
              <w:t>合价</w:t>
            </w:r>
          </w:p>
        </w:tc>
        <w:tc>
          <w:tcPr>
            <w:tcW w:w="1440" w:type="dxa"/>
            <w:tcBorders>
              <w:top w:val="single" w:color="auto" w:sz="4" w:space="0"/>
              <w:left w:val="single" w:color="auto" w:sz="4" w:space="0"/>
              <w:bottom w:val="single" w:color="auto" w:sz="4" w:space="0"/>
              <w:right w:val="single" w:color="auto" w:sz="4" w:space="0"/>
            </w:tcBorders>
            <w:vAlign w:val="center"/>
          </w:tcPr>
          <w:p w14:paraId="6691BD99">
            <w:pPr>
              <w:tabs>
                <w:tab w:val="left" w:pos="1418"/>
              </w:tabs>
              <w:snapToGrid w:val="0"/>
              <w:spacing w:before="50" w:after="50"/>
              <w:jc w:val="center"/>
              <w:rPr>
                <w:spacing w:val="20"/>
              </w:rPr>
            </w:pPr>
            <w:r>
              <w:rPr>
                <w:rFonts w:hint="eastAsia"/>
              </w:rPr>
              <w:t>备注</w:t>
            </w:r>
          </w:p>
        </w:tc>
      </w:tr>
      <w:tr w14:paraId="0E8097F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84" w:type="dxa"/>
            <w:tcBorders>
              <w:top w:val="single" w:color="auto" w:sz="4" w:space="0"/>
              <w:left w:val="single" w:color="auto" w:sz="4" w:space="0"/>
              <w:bottom w:val="single" w:color="auto" w:sz="4" w:space="0"/>
              <w:right w:val="single" w:color="auto" w:sz="4" w:space="0"/>
            </w:tcBorders>
          </w:tcPr>
          <w:p w14:paraId="6CCA57D1">
            <w:pPr>
              <w:tabs>
                <w:tab w:val="left" w:pos="1418"/>
              </w:tabs>
              <w:snapToGrid w:val="0"/>
              <w:spacing w:before="50" w:after="50"/>
              <w:jc w:val="center"/>
              <w:rPr>
                <w:spacing w:val="20"/>
              </w:rPr>
            </w:pPr>
          </w:p>
        </w:tc>
        <w:tc>
          <w:tcPr>
            <w:tcW w:w="2194" w:type="dxa"/>
            <w:tcBorders>
              <w:top w:val="single" w:color="auto" w:sz="4" w:space="0"/>
              <w:left w:val="single" w:color="auto" w:sz="4" w:space="0"/>
              <w:bottom w:val="single" w:color="auto" w:sz="4" w:space="0"/>
              <w:right w:val="single" w:color="auto" w:sz="4" w:space="0"/>
            </w:tcBorders>
          </w:tcPr>
          <w:p w14:paraId="2997CC76">
            <w:pPr>
              <w:tabs>
                <w:tab w:val="left" w:pos="1418"/>
              </w:tabs>
              <w:snapToGrid w:val="0"/>
              <w:spacing w:before="50" w:after="50"/>
              <w:jc w:val="center"/>
              <w:rPr>
                <w:spacing w:val="20"/>
              </w:rPr>
            </w:pPr>
          </w:p>
        </w:tc>
        <w:tc>
          <w:tcPr>
            <w:tcW w:w="1080" w:type="dxa"/>
            <w:tcBorders>
              <w:top w:val="single" w:color="auto" w:sz="4" w:space="0"/>
              <w:left w:val="single" w:color="auto" w:sz="4" w:space="0"/>
              <w:bottom w:val="single" w:color="auto" w:sz="4" w:space="0"/>
              <w:right w:val="single" w:color="auto" w:sz="4" w:space="0"/>
            </w:tcBorders>
          </w:tcPr>
          <w:p w14:paraId="3F8BA382">
            <w:pPr>
              <w:tabs>
                <w:tab w:val="left" w:pos="1418"/>
              </w:tabs>
              <w:snapToGrid w:val="0"/>
              <w:spacing w:before="50" w:after="50"/>
              <w:jc w:val="center"/>
              <w:rPr>
                <w:spacing w:val="20"/>
              </w:rPr>
            </w:pPr>
          </w:p>
        </w:tc>
        <w:tc>
          <w:tcPr>
            <w:tcW w:w="1440" w:type="dxa"/>
            <w:tcBorders>
              <w:top w:val="single" w:color="auto" w:sz="4" w:space="0"/>
              <w:left w:val="single" w:color="auto" w:sz="4" w:space="0"/>
              <w:bottom w:val="single" w:color="auto" w:sz="4" w:space="0"/>
              <w:right w:val="single" w:color="auto" w:sz="4" w:space="0"/>
            </w:tcBorders>
          </w:tcPr>
          <w:p w14:paraId="6B0C877E">
            <w:pPr>
              <w:tabs>
                <w:tab w:val="left" w:pos="1418"/>
              </w:tabs>
              <w:snapToGrid w:val="0"/>
              <w:spacing w:before="50" w:after="50"/>
              <w:jc w:val="center"/>
              <w:rPr>
                <w:spacing w:val="20"/>
              </w:rPr>
            </w:pPr>
          </w:p>
        </w:tc>
        <w:tc>
          <w:tcPr>
            <w:tcW w:w="1440" w:type="dxa"/>
            <w:gridSpan w:val="2"/>
            <w:tcBorders>
              <w:top w:val="single" w:color="auto" w:sz="4" w:space="0"/>
              <w:left w:val="single" w:color="auto" w:sz="4" w:space="0"/>
              <w:bottom w:val="single" w:color="auto" w:sz="4" w:space="0"/>
              <w:right w:val="single" w:color="auto" w:sz="4" w:space="0"/>
            </w:tcBorders>
          </w:tcPr>
          <w:p w14:paraId="5AB6E1BC">
            <w:pPr>
              <w:tabs>
                <w:tab w:val="left" w:pos="1418"/>
              </w:tabs>
              <w:snapToGrid w:val="0"/>
              <w:spacing w:before="50" w:after="50"/>
              <w:jc w:val="center"/>
              <w:rPr>
                <w:spacing w:val="20"/>
              </w:rPr>
            </w:pPr>
          </w:p>
        </w:tc>
        <w:tc>
          <w:tcPr>
            <w:tcW w:w="1262" w:type="dxa"/>
            <w:tcBorders>
              <w:top w:val="single" w:color="auto" w:sz="4" w:space="0"/>
              <w:left w:val="single" w:color="auto" w:sz="4" w:space="0"/>
              <w:bottom w:val="single" w:color="auto" w:sz="4" w:space="0"/>
              <w:right w:val="single" w:color="auto" w:sz="4" w:space="0"/>
            </w:tcBorders>
          </w:tcPr>
          <w:p w14:paraId="34FED7F8">
            <w:pPr>
              <w:tabs>
                <w:tab w:val="left" w:pos="1418"/>
              </w:tabs>
              <w:snapToGrid w:val="0"/>
              <w:spacing w:before="50" w:after="50"/>
              <w:jc w:val="center"/>
              <w:rPr>
                <w:spacing w:val="20"/>
              </w:rPr>
            </w:pPr>
          </w:p>
        </w:tc>
        <w:tc>
          <w:tcPr>
            <w:tcW w:w="1440" w:type="dxa"/>
            <w:tcBorders>
              <w:top w:val="single" w:color="auto" w:sz="4" w:space="0"/>
              <w:left w:val="single" w:color="auto" w:sz="4" w:space="0"/>
              <w:bottom w:val="single" w:color="auto" w:sz="4" w:space="0"/>
              <w:right w:val="single" w:color="auto" w:sz="4" w:space="0"/>
            </w:tcBorders>
          </w:tcPr>
          <w:p w14:paraId="2FB0036F">
            <w:pPr>
              <w:tabs>
                <w:tab w:val="left" w:pos="1418"/>
              </w:tabs>
              <w:snapToGrid w:val="0"/>
              <w:spacing w:before="50" w:after="50"/>
              <w:jc w:val="center"/>
              <w:rPr>
                <w:spacing w:val="20"/>
              </w:rPr>
            </w:pPr>
          </w:p>
        </w:tc>
      </w:tr>
      <w:tr w14:paraId="2852378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84" w:type="dxa"/>
            <w:tcBorders>
              <w:top w:val="single" w:color="auto" w:sz="4" w:space="0"/>
              <w:left w:val="single" w:color="auto" w:sz="4" w:space="0"/>
              <w:bottom w:val="single" w:color="auto" w:sz="4" w:space="0"/>
              <w:right w:val="single" w:color="auto" w:sz="4" w:space="0"/>
            </w:tcBorders>
          </w:tcPr>
          <w:p w14:paraId="76527BA6">
            <w:pPr>
              <w:tabs>
                <w:tab w:val="left" w:pos="1418"/>
              </w:tabs>
              <w:snapToGrid w:val="0"/>
              <w:spacing w:before="50" w:after="50"/>
              <w:jc w:val="center"/>
              <w:rPr>
                <w:spacing w:val="20"/>
              </w:rPr>
            </w:pPr>
          </w:p>
        </w:tc>
        <w:tc>
          <w:tcPr>
            <w:tcW w:w="2194" w:type="dxa"/>
            <w:tcBorders>
              <w:top w:val="single" w:color="auto" w:sz="4" w:space="0"/>
              <w:left w:val="single" w:color="auto" w:sz="4" w:space="0"/>
              <w:bottom w:val="single" w:color="auto" w:sz="4" w:space="0"/>
              <w:right w:val="single" w:color="auto" w:sz="4" w:space="0"/>
            </w:tcBorders>
          </w:tcPr>
          <w:p w14:paraId="555E93DA">
            <w:pPr>
              <w:tabs>
                <w:tab w:val="left" w:pos="1418"/>
              </w:tabs>
              <w:snapToGrid w:val="0"/>
              <w:spacing w:before="50" w:after="50"/>
              <w:jc w:val="center"/>
              <w:rPr>
                <w:spacing w:val="20"/>
              </w:rPr>
            </w:pPr>
          </w:p>
        </w:tc>
        <w:tc>
          <w:tcPr>
            <w:tcW w:w="1080" w:type="dxa"/>
            <w:tcBorders>
              <w:top w:val="single" w:color="auto" w:sz="4" w:space="0"/>
              <w:left w:val="single" w:color="auto" w:sz="4" w:space="0"/>
              <w:bottom w:val="single" w:color="auto" w:sz="4" w:space="0"/>
              <w:right w:val="single" w:color="auto" w:sz="4" w:space="0"/>
            </w:tcBorders>
          </w:tcPr>
          <w:p w14:paraId="285AF879">
            <w:pPr>
              <w:tabs>
                <w:tab w:val="left" w:pos="1418"/>
              </w:tabs>
              <w:snapToGrid w:val="0"/>
              <w:spacing w:before="50" w:after="50"/>
              <w:jc w:val="center"/>
              <w:rPr>
                <w:spacing w:val="20"/>
              </w:rPr>
            </w:pPr>
          </w:p>
        </w:tc>
        <w:tc>
          <w:tcPr>
            <w:tcW w:w="1440" w:type="dxa"/>
            <w:tcBorders>
              <w:top w:val="single" w:color="auto" w:sz="4" w:space="0"/>
              <w:left w:val="single" w:color="auto" w:sz="4" w:space="0"/>
              <w:bottom w:val="single" w:color="auto" w:sz="4" w:space="0"/>
              <w:right w:val="single" w:color="auto" w:sz="4" w:space="0"/>
            </w:tcBorders>
          </w:tcPr>
          <w:p w14:paraId="44FB1179">
            <w:pPr>
              <w:tabs>
                <w:tab w:val="left" w:pos="1418"/>
              </w:tabs>
              <w:snapToGrid w:val="0"/>
              <w:spacing w:before="50" w:after="50"/>
              <w:jc w:val="center"/>
              <w:rPr>
                <w:spacing w:val="20"/>
              </w:rPr>
            </w:pPr>
          </w:p>
        </w:tc>
        <w:tc>
          <w:tcPr>
            <w:tcW w:w="1440" w:type="dxa"/>
            <w:gridSpan w:val="2"/>
            <w:tcBorders>
              <w:top w:val="single" w:color="auto" w:sz="4" w:space="0"/>
              <w:left w:val="single" w:color="auto" w:sz="4" w:space="0"/>
              <w:bottom w:val="single" w:color="auto" w:sz="4" w:space="0"/>
              <w:right w:val="single" w:color="auto" w:sz="4" w:space="0"/>
            </w:tcBorders>
          </w:tcPr>
          <w:p w14:paraId="6EDA2ECA">
            <w:pPr>
              <w:tabs>
                <w:tab w:val="left" w:pos="1418"/>
              </w:tabs>
              <w:snapToGrid w:val="0"/>
              <w:spacing w:before="50" w:after="50"/>
              <w:jc w:val="center"/>
              <w:rPr>
                <w:spacing w:val="20"/>
              </w:rPr>
            </w:pPr>
          </w:p>
        </w:tc>
        <w:tc>
          <w:tcPr>
            <w:tcW w:w="1262" w:type="dxa"/>
            <w:tcBorders>
              <w:top w:val="single" w:color="auto" w:sz="4" w:space="0"/>
              <w:left w:val="single" w:color="auto" w:sz="4" w:space="0"/>
              <w:bottom w:val="single" w:color="auto" w:sz="4" w:space="0"/>
              <w:right w:val="single" w:color="auto" w:sz="4" w:space="0"/>
            </w:tcBorders>
          </w:tcPr>
          <w:p w14:paraId="4341E16F">
            <w:pPr>
              <w:tabs>
                <w:tab w:val="left" w:pos="1418"/>
              </w:tabs>
              <w:snapToGrid w:val="0"/>
              <w:spacing w:before="50" w:after="50"/>
              <w:jc w:val="center"/>
              <w:rPr>
                <w:spacing w:val="20"/>
              </w:rPr>
            </w:pPr>
          </w:p>
        </w:tc>
        <w:tc>
          <w:tcPr>
            <w:tcW w:w="1440" w:type="dxa"/>
            <w:tcBorders>
              <w:top w:val="single" w:color="auto" w:sz="4" w:space="0"/>
              <w:left w:val="single" w:color="auto" w:sz="4" w:space="0"/>
              <w:bottom w:val="single" w:color="auto" w:sz="4" w:space="0"/>
              <w:right w:val="single" w:color="auto" w:sz="4" w:space="0"/>
            </w:tcBorders>
          </w:tcPr>
          <w:p w14:paraId="51724873">
            <w:pPr>
              <w:tabs>
                <w:tab w:val="left" w:pos="1418"/>
              </w:tabs>
              <w:snapToGrid w:val="0"/>
              <w:spacing w:before="50" w:after="50"/>
              <w:jc w:val="center"/>
              <w:rPr>
                <w:spacing w:val="20"/>
              </w:rPr>
            </w:pPr>
          </w:p>
        </w:tc>
      </w:tr>
      <w:tr w14:paraId="064A1F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84" w:type="dxa"/>
            <w:tcBorders>
              <w:top w:val="single" w:color="auto" w:sz="4" w:space="0"/>
              <w:left w:val="single" w:color="auto" w:sz="4" w:space="0"/>
              <w:bottom w:val="single" w:color="auto" w:sz="4" w:space="0"/>
              <w:right w:val="single" w:color="auto" w:sz="4" w:space="0"/>
            </w:tcBorders>
          </w:tcPr>
          <w:p w14:paraId="7529D28B">
            <w:pPr>
              <w:tabs>
                <w:tab w:val="left" w:pos="1418"/>
              </w:tabs>
              <w:snapToGrid w:val="0"/>
              <w:spacing w:before="50" w:after="50"/>
              <w:jc w:val="center"/>
              <w:rPr>
                <w:spacing w:val="20"/>
              </w:rPr>
            </w:pPr>
          </w:p>
        </w:tc>
        <w:tc>
          <w:tcPr>
            <w:tcW w:w="2194" w:type="dxa"/>
            <w:tcBorders>
              <w:top w:val="single" w:color="auto" w:sz="4" w:space="0"/>
              <w:left w:val="single" w:color="auto" w:sz="4" w:space="0"/>
              <w:bottom w:val="single" w:color="auto" w:sz="4" w:space="0"/>
              <w:right w:val="single" w:color="auto" w:sz="4" w:space="0"/>
            </w:tcBorders>
          </w:tcPr>
          <w:p w14:paraId="607F12C8">
            <w:pPr>
              <w:tabs>
                <w:tab w:val="left" w:pos="1418"/>
              </w:tabs>
              <w:snapToGrid w:val="0"/>
              <w:spacing w:before="50" w:after="50"/>
              <w:jc w:val="center"/>
              <w:rPr>
                <w:spacing w:val="20"/>
              </w:rPr>
            </w:pPr>
          </w:p>
        </w:tc>
        <w:tc>
          <w:tcPr>
            <w:tcW w:w="1080" w:type="dxa"/>
            <w:tcBorders>
              <w:top w:val="single" w:color="auto" w:sz="4" w:space="0"/>
              <w:left w:val="single" w:color="auto" w:sz="4" w:space="0"/>
              <w:bottom w:val="single" w:color="auto" w:sz="4" w:space="0"/>
              <w:right w:val="single" w:color="auto" w:sz="4" w:space="0"/>
            </w:tcBorders>
          </w:tcPr>
          <w:p w14:paraId="06007F44">
            <w:pPr>
              <w:tabs>
                <w:tab w:val="left" w:pos="1418"/>
              </w:tabs>
              <w:snapToGrid w:val="0"/>
              <w:spacing w:before="50" w:after="50"/>
              <w:jc w:val="center"/>
              <w:rPr>
                <w:spacing w:val="20"/>
              </w:rPr>
            </w:pPr>
          </w:p>
        </w:tc>
        <w:tc>
          <w:tcPr>
            <w:tcW w:w="1440" w:type="dxa"/>
            <w:tcBorders>
              <w:top w:val="single" w:color="auto" w:sz="4" w:space="0"/>
              <w:left w:val="single" w:color="auto" w:sz="4" w:space="0"/>
              <w:bottom w:val="single" w:color="auto" w:sz="4" w:space="0"/>
              <w:right w:val="single" w:color="auto" w:sz="4" w:space="0"/>
            </w:tcBorders>
          </w:tcPr>
          <w:p w14:paraId="5C1F09CD">
            <w:pPr>
              <w:tabs>
                <w:tab w:val="left" w:pos="1418"/>
              </w:tabs>
              <w:snapToGrid w:val="0"/>
              <w:spacing w:before="50" w:after="50"/>
              <w:jc w:val="center"/>
              <w:rPr>
                <w:spacing w:val="20"/>
              </w:rPr>
            </w:pPr>
          </w:p>
        </w:tc>
        <w:tc>
          <w:tcPr>
            <w:tcW w:w="1440" w:type="dxa"/>
            <w:gridSpan w:val="2"/>
            <w:tcBorders>
              <w:top w:val="single" w:color="auto" w:sz="4" w:space="0"/>
              <w:left w:val="single" w:color="auto" w:sz="4" w:space="0"/>
              <w:bottom w:val="single" w:color="auto" w:sz="4" w:space="0"/>
              <w:right w:val="single" w:color="auto" w:sz="4" w:space="0"/>
            </w:tcBorders>
          </w:tcPr>
          <w:p w14:paraId="2DC7DCDC">
            <w:pPr>
              <w:tabs>
                <w:tab w:val="left" w:pos="1418"/>
              </w:tabs>
              <w:snapToGrid w:val="0"/>
              <w:spacing w:before="50" w:after="50"/>
              <w:jc w:val="center"/>
              <w:rPr>
                <w:spacing w:val="20"/>
              </w:rPr>
            </w:pPr>
          </w:p>
        </w:tc>
        <w:tc>
          <w:tcPr>
            <w:tcW w:w="1262" w:type="dxa"/>
            <w:tcBorders>
              <w:top w:val="single" w:color="auto" w:sz="4" w:space="0"/>
              <w:left w:val="single" w:color="auto" w:sz="4" w:space="0"/>
              <w:bottom w:val="single" w:color="auto" w:sz="4" w:space="0"/>
              <w:right w:val="single" w:color="auto" w:sz="4" w:space="0"/>
            </w:tcBorders>
          </w:tcPr>
          <w:p w14:paraId="6770A02A">
            <w:pPr>
              <w:tabs>
                <w:tab w:val="left" w:pos="1418"/>
              </w:tabs>
              <w:snapToGrid w:val="0"/>
              <w:spacing w:before="50" w:after="50"/>
              <w:jc w:val="center"/>
              <w:rPr>
                <w:spacing w:val="20"/>
              </w:rPr>
            </w:pPr>
          </w:p>
        </w:tc>
        <w:tc>
          <w:tcPr>
            <w:tcW w:w="1440" w:type="dxa"/>
            <w:tcBorders>
              <w:top w:val="single" w:color="auto" w:sz="4" w:space="0"/>
              <w:left w:val="single" w:color="auto" w:sz="4" w:space="0"/>
              <w:bottom w:val="single" w:color="auto" w:sz="4" w:space="0"/>
              <w:right w:val="single" w:color="auto" w:sz="4" w:space="0"/>
            </w:tcBorders>
          </w:tcPr>
          <w:p w14:paraId="66BD4698">
            <w:pPr>
              <w:tabs>
                <w:tab w:val="left" w:pos="1418"/>
              </w:tabs>
              <w:snapToGrid w:val="0"/>
              <w:spacing w:before="50" w:after="50"/>
              <w:jc w:val="center"/>
              <w:rPr>
                <w:spacing w:val="20"/>
              </w:rPr>
            </w:pPr>
          </w:p>
        </w:tc>
      </w:tr>
      <w:tr w14:paraId="50D82D2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84" w:type="dxa"/>
            <w:tcBorders>
              <w:top w:val="single" w:color="auto" w:sz="4" w:space="0"/>
              <w:left w:val="single" w:color="auto" w:sz="4" w:space="0"/>
              <w:bottom w:val="single" w:color="auto" w:sz="4" w:space="0"/>
              <w:right w:val="single" w:color="auto" w:sz="4" w:space="0"/>
            </w:tcBorders>
          </w:tcPr>
          <w:p w14:paraId="649A8850">
            <w:pPr>
              <w:tabs>
                <w:tab w:val="left" w:pos="1418"/>
              </w:tabs>
              <w:snapToGrid w:val="0"/>
              <w:spacing w:before="50" w:after="50"/>
              <w:jc w:val="center"/>
              <w:rPr>
                <w:spacing w:val="20"/>
              </w:rPr>
            </w:pPr>
          </w:p>
        </w:tc>
        <w:tc>
          <w:tcPr>
            <w:tcW w:w="2194" w:type="dxa"/>
            <w:tcBorders>
              <w:top w:val="single" w:color="auto" w:sz="4" w:space="0"/>
              <w:left w:val="single" w:color="auto" w:sz="4" w:space="0"/>
              <w:bottom w:val="single" w:color="auto" w:sz="4" w:space="0"/>
              <w:right w:val="single" w:color="auto" w:sz="4" w:space="0"/>
            </w:tcBorders>
          </w:tcPr>
          <w:p w14:paraId="176C6126">
            <w:pPr>
              <w:tabs>
                <w:tab w:val="left" w:pos="1418"/>
              </w:tabs>
              <w:snapToGrid w:val="0"/>
              <w:spacing w:before="50" w:after="50"/>
              <w:jc w:val="center"/>
              <w:rPr>
                <w:spacing w:val="20"/>
              </w:rPr>
            </w:pPr>
          </w:p>
        </w:tc>
        <w:tc>
          <w:tcPr>
            <w:tcW w:w="1080" w:type="dxa"/>
            <w:tcBorders>
              <w:top w:val="single" w:color="auto" w:sz="4" w:space="0"/>
              <w:left w:val="single" w:color="auto" w:sz="4" w:space="0"/>
              <w:bottom w:val="single" w:color="auto" w:sz="4" w:space="0"/>
              <w:right w:val="single" w:color="auto" w:sz="4" w:space="0"/>
            </w:tcBorders>
          </w:tcPr>
          <w:p w14:paraId="33D79A7D">
            <w:pPr>
              <w:tabs>
                <w:tab w:val="left" w:pos="1418"/>
              </w:tabs>
              <w:snapToGrid w:val="0"/>
              <w:spacing w:before="50" w:after="50"/>
              <w:jc w:val="center"/>
              <w:rPr>
                <w:spacing w:val="20"/>
              </w:rPr>
            </w:pPr>
          </w:p>
        </w:tc>
        <w:tc>
          <w:tcPr>
            <w:tcW w:w="1440" w:type="dxa"/>
            <w:tcBorders>
              <w:top w:val="single" w:color="auto" w:sz="4" w:space="0"/>
              <w:left w:val="single" w:color="auto" w:sz="4" w:space="0"/>
              <w:bottom w:val="single" w:color="auto" w:sz="4" w:space="0"/>
              <w:right w:val="single" w:color="auto" w:sz="4" w:space="0"/>
            </w:tcBorders>
          </w:tcPr>
          <w:p w14:paraId="714E8346">
            <w:pPr>
              <w:tabs>
                <w:tab w:val="left" w:pos="1418"/>
              </w:tabs>
              <w:snapToGrid w:val="0"/>
              <w:spacing w:before="50" w:after="50"/>
              <w:jc w:val="center"/>
              <w:rPr>
                <w:spacing w:val="20"/>
              </w:rPr>
            </w:pPr>
          </w:p>
        </w:tc>
        <w:tc>
          <w:tcPr>
            <w:tcW w:w="1440" w:type="dxa"/>
            <w:gridSpan w:val="2"/>
            <w:tcBorders>
              <w:top w:val="single" w:color="auto" w:sz="4" w:space="0"/>
              <w:left w:val="single" w:color="auto" w:sz="4" w:space="0"/>
              <w:bottom w:val="single" w:color="auto" w:sz="4" w:space="0"/>
              <w:right w:val="single" w:color="auto" w:sz="4" w:space="0"/>
            </w:tcBorders>
          </w:tcPr>
          <w:p w14:paraId="6C0F1AC6">
            <w:pPr>
              <w:tabs>
                <w:tab w:val="left" w:pos="1418"/>
              </w:tabs>
              <w:snapToGrid w:val="0"/>
              <w:spacing w:before="50" w:after="50"/>
              <w:jc w:val="center"/>
              <w:rPr>
                <w:spacing w:val="20"/>
              </w:rPr>
            </w:pPr>
          </w:p>
        </w:tc>
        <w:tc>
          <w:tcPr>
            <w:tcW w:w="1262" w:type="dxa"/>
            <w:tcBorders>
              <w:top w:val="single" w:color="auto" w:sz="4" w:space="0"/>
              <w:left w:val="single" w:color="auto" w:sz="4" w:space="0"/>
              <w:bottom w:val="single" w:color="auto" w:sz="4" w:space="0"/>
              <w:right w:val="single" w:color="auto" w:sz="4" w:space="0"/>
            </w:tcBorders>
          </w:tcPr>
          <w:p w14:paraId="1A8311FF">
            <w:pPr>
              <w:tabs>
                <w:tab w:val="left" w:pos="1418"/>
              </w:tabs>
              <w:snapToGrid w:val="0"/>
              <w:spacing w:before="50" w:after="50"/>
              <w:jc w:val="center"/>
              <w:rPr>
                <w:spacing w:val="20"/>
              </w:rPr>
            </w:pPr>
          </w:p>
        </w:tc>
        <w:tc>
          <w:tcPr>
            <w:tcW w:w="1440" w:type="dxa"/>
            <w:tcBorders>
              <w:top w:val="single" w:color="auto" w:sz="4" w:space="0"/>
              <w:left w:val="single" w:color="auto" w:sz="4" w:space="0"/>
              <w:bottom w:val="single" w:color="auto" w:sz="4" w:space="0"/>
              <w:right w:val="single" w:color="auto" w:sz="4" w:space="0"/>
            </w:tcBorders>
          </w:tcPr>
          <w:p w14:paraId="3156250D">
            <w:pPr>
              <w:tabs>
                <w:tab w:val="left" w:pos="1418"/>
              </w:tabs>
              <w:snapToGrid w:val="0"/>
              <w:spacing w:before="50" w:after="50"/>
              <w:jc w:val="center"/>
              <w:rPr>
                <w:spacing w:val="20"/>
              </w:rPr>
            </w:pPr>
          </w:p>
        </w:tc>
      </w:tr>
      <w:tr w14:paraId="27DBB00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84" w:type="dxa"/>
            <w:tcBorders>
              <w:top w:val="single" w:color="auto" w:sz="4" w:space="0"/>
              <w:left w:val="single" w:color="auto" w:sz="4" w:space="0"/>
              <w:bottom w:val="single" w:color="auto" w:sz="4" w:space="0"/>
              <w:right w:val="single" w:color="auto" w:sz="4" w:space="0"/>
            </w:tcBorders>
          </w:tcPr>
          <w:p w14:paraId="10490B4F">
            <w:pPr>
              <w:tabs>
                <w:tab w:val="left" w:pos="1418"/>
              </w:tabs>
              <w:snapToGrid w:val="0"/>
              <w:spacing w:before="50" w:after="50"/>
              <w:jc w:val="center"/>
              <w:rPr>
                <w:spacing w:val="20"/>
              </w:rPr>
            </w:pPr>
          </w:p>
        </w:tc>
        <w:tc>
          <w:tcPr>
            <w:tcW w:w="2194" w:type="dxa"/>
            <w:tcBorders>
              <w:top w:val="single" w:color="auto" w:sz="4" w:space="0"/>
              <w:left w:val="single" w:color="auto" w:sz="4" w:space="0"/>
              <w:bottom w:val="single" w:color="auto" w:sz="4" w:space="0"/>
              <w:right w:val="single" w:color="auto" w:sz="4" w:space="0"/>
            </w:tcBorders>
          </w:tcPr>
          <w:p w14:paraId="5D439CE1">
            <w:pPr>
              <w:tabs>
                <w:tab w:val="left" w:pos="1418"/>
              </w:tabs>
              <w:snapToGrid w:val="0"/>
              <w:spacing w:before="50" w:after="50"/>
              <w:jc w:val="center"/>
              <w:rPr>
                <w:spacing w:val="20"/>
              </w:rPr>
            </w:pPr>
          </w:p>
        </w:tc>
        <w:tc>
          <w:tcPr>
            <w:tcW w:w="1080" w:type="dxa"/>
            <w:tcBorders>
              <w:top w:val="single" w:color="auto" w:sz="4" w:space="0"/>
              <w:left w:val="single" w:color="auto" w:sz="4" w:space="0"/>
              <w:bottom w:val="single" w:color="auto" w:sz="4" w:space="0"/>
              <w:right w:val="single" w:color="auto" w:sz="4" w:space="0"/>
            </w:tcBorders>
          </w:tcPr>
          <w:p w14:paraId="05E65303">
            <w:pPr>
              <w:tabs>
                <w:tab w:val="left" w:pos="1418"/>
              </w:tabs>
              <w:snapToGrid w:val="0"/>
              <w:spacing w:before="50" w:after="50"/>
              <w:jc w:val="center"/>
              <w:rPr>
                <w:spacing w:val="20"/>
              </w:rPr>
            </w:pPr>
          </w:p>
        </w:tc>
        <w:tc>
          <w:tcPr>
            <w:tcW w:w="1440" w:type="dxa"/>
            <w:tcBorders>
              <w:top w:val="single" w:color="auto" w:sz="4" w:space="0"/>
              <w:left w:val="single" w:color="auto" w:sz="4" w:space="0"/>
              <w:bottom w:val="single" w:color="auto" w:sz="4" w:space="0"/>
              <w:right w:val="single" w:color="auto" w:sz="4" w:space="0"/>
            </w:tcBorders>
          </w:tcPr>
          <w:p w14:paraId="700B4373">
            <w:pPr>
              <w:tabs>
                <w:tab w:val="left" w:pos="1418"/>
              </w:tabs>
              <w:snapToGrid w:val="0"/>
              <w:spacing w:before="50" w:after="50"/>
              <w:jc w:val="center"/>
              <w:rPr>
                <w:spacing w:val="20"/>
              </w:rPr>
            </w:pPr>
          </w:p>
        </w:tc>
        <w:tc>
          <w:tcPr>
            <w:tcW w:w="1440" w:type="dxa"/>
            <w:gridSpan w:val="2"/>
            <w:tcBorders>
              <w:top w:val="single" w:color="auto" w:sz="4" w:space="0"/>
              <w:left w:val="single" w:color="auto" w:sz="4" w:space="0"/>
              <w:bottom w:val="single" w:color="auto" w:sz="4" w:space="0"/>
              <w:right w:val="single" w:color="auto" w:sz="4" w:space="0"/>
            </w:tcBorders>
          </w:tcPr>
          <w:p w14:paraId="7B2776CE">
            <w:pPr>
              <w:tabs>
                <w:tab w:val="left" w:pos="1418"/>
              </w:tabs>
              <w:snapToGrid w:val="0"/>
              <w:spacing w:before="50" w:after="50"/>
              <w:jc w:val="center"/>
              <w:rPr>
                <w:spacing w:val="20"/>
              </w:rPr>
            </w:pPr>
          </w:p>
        </w:tc>
        <w:tc>
          <w:tcPr>
            <w:tcW w:w="1262" w:type="dxa"/>
            <w:tcBorders>
              <w:top w:val="single" w:color="auto" w:sz="4" w:space="0"/>
              <w:left w:val="single" w:color="auto" w:sz="4" w:space="0"/>
              <w:bottom w:val="single" w:color="auto" w:sz="4" w:space="0"/>
              <w:right w:val="single" w:color="auto" w:sz="4" w:space="0"/>
            </w:tcBorders>
          </w:tcPr>
          <w:p w14:paraId="3405A98F">
            <w:pPr>
              <w:tabs>
                <w:tab w:val="left" w:pos="1418"/>
              </w:tabs>
              <w:snapToGrid w:val="0"/>
              <w:spacing w:before="50" w:after="50"/>
              <w:jc w:val="center"/>
              <w:rPr>
                <w:spacing w:val="20"/>
              </w:rPr>
            </w:pPr>
          </w:p>
        </w:tc>
        <w:tc>
          <w:tcPr>
            <w:tcW w:w="1440" w:type="dxa"/>
            <w:tcBorders>
              <w:top w:val="single" w:color="auto" w:sz="4" w:space="0"/>
              <w:left w:val="single" w:color="auto" w:sz="4" w:space="0"/>
              <w:bottom w:val="single" w:color="auto" w:sz="4" w:space="0"/>
              <w:right w:val="single" w:color="auto" w:sz="4" w:space="0"/>
            </w:tcBorders>
          </w:tcPr>
          <w:p w14:paraId="58469C01">
            <w:pPr>
              <w:tabs>
                <w:tab w:val="left" w:pos="1418"/>
              </w:tabs>
              <w:snapToGrid w:val="0"/>
              <w:spacing w:before="50" w:after="50"/>
              <w:jc w:val="center"/>
              <w:rPr>
                <w:spacing w:val="20"/>
              </w:rPr>
            </w:pPr>
          </w:p>
        </w:tc>
      </w:tr>
      <w:tr w14:paraId="5D13B8E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84" w:type="dxa"/>
            <w:tcBorders>
              <w:top w:val="single" w:color="auto" w:sz="4" w:space="0"/>
              <w:left w:val="single" w:color="auto" w:sz="4" w:space="0"/>
              <w:bottom w:val="single" w:color="auto" w:sz="4" w:space="0"/>
              <w:right w:val="single" w:color="auto" w:sz="4" w:space="0"/>
            </w:tcBorders>
          </w:tcPr>
          <w:p w14:paraId="31FCB1F8">
            <w:pPr>
              <w:tabs>
                <w:tab w:val="left" w:pos="1418"/>
              </w:tabs>
              <w:snapToGrid w:val="0"/>
              <w:spacing w:before="50" w:after="50"/>
              <w:jc w:val="center"/>
              <w:rPr>
                <w:spacing w:val="20"/>
              </w:rPr>
            </w:pPr>
          </w:p>
        </w:tc>
        <w:tc>
          <w:tcPr>
            <w:tcW w:w="2194" w:type="dxa"/>
            <w:tcBorders>
              <w:top w:val="single" w:color="auto" w:sz="4" w:space="0"/>
              <w:left w:val="single" w:color="auto" w:sz="4" w:space="0"/>
              <w:bottom w:val="single" w:color="auto" w:sz="4" w:space="0"/>
              <w:right w:val="single" w:color="auto" w:sz="4" w:space="0"/>
            </w:tcBorders>
          </w:tcPr>
          <w:p w14:paraId="46443E20">
            <w:pPr>
              <w:tabs>
                <w:tab w:val="left" w:pos="1418"/>
              </w:tabs>
              <w:snapToGrid w:val="0"/>
              <w:spacing w:before="50" w:after="50"/>
              <w:jc w:val="center"/>
              <w:rPr>
                <w:spacing w:val="20"/>
              </w:rPr>
            </w:pPr>
          </w:p>
        </w:tc>
        <w:tc>
          <w:tcPr>
            <w:tcW w:w="1080" w:type="dxa"/>
            <w:tcBorders>
              <w:top w:val="single" w:color="auto" w:sz="4" w:space="0"/>
              <w:left w:val="single" w:color="auto" w:sz="4" w:space="0"/>
              <w:bottom w:val="single" w:color="auto" w:sz="4" w:space="0"/>
              <w:right w:val="single" w:color="auto" w:sz="4" w:space="0"/>
            </w:tcBorders>
          </w:tcPr>
          <w:p w14:paraId="431032F5">
            <w:pPr>
              <w:tabs>
                <w:tab w:val="left" w:pos="1418"/>
              </w:tabs>
              <w:snapToGrid w:val="0"/>
              <w:spacing w:before="50" w:after="50"/>
              <w:jc w:val="center"/>
              <w:rPr>
                <w:spacing w:val="20"/>
              </w:rPr>
            </w:pPr>
          </w:p>
        </w:tc>
        <w:tc>
          <w:tcPr>
            <w:tcW w:w="1440" w:type="dxa"/>
            <w:tcBorders>
              <w:top w:val="single" w:color="auto" w:sz="4" w:space="0"/>
              <w:left w:val="single" w:color="auto" w:sz="4" w:space="0"/>
              <w:bottom w:val="single" w:color="auto" w:sz="4" w:space="0"/>
              <w:right w:val="single" w:color="auto" w:sz="4" w:space="0"/>
            </w:tcBorders>
          </w:tcPr>
          <w:p w14:paraId="5F7FB8F8">
            <w:pPr>
              <w:tabs>
                <w:tab w:val="left" w:pos="1418"/>
              </w:tabs>
              <w:snapToGrid w:val="0"/>
              <w:spacing w:before="50" w:after="50"/>
              <w:jc w:val="center"/>
              <w:rPr>
                <w:spacing w:val="20"/>
              </w:rPr>
            </w:pPr>
          </w:p>
        </w:tc>
        <w:tc>
          <w:tcPr>
            <w:tcW w:w="1440" w:type="dxa"/>
            <w:gridSpan w:val="2"/>
            <w:tcBorders>
              <w:top w:val="single" w:color="auto" w:sz="4" w:space="0"/>
              <w:left w:val="single" w:color="auto" w:sz="4" w:space="0"/>
              <w:bottom w:val="single" w:color="auto" w:sz="4" w:space="0"/>
              <w:right w:val="single" w:color="auto" w:sz="4" w:space="0"/>
            </w:tcBorders>
          </w:tcPr>
          <w:p w14:paraId="41E7E560">
            <w:pPr>
              <w:tabs>
                <w:tab w:val="left" w:pos="1418"/>
              </w:tabs>
              <w:snapToGrid w:val="0"/>
              <w:spacing w:before="50" w:after="50"/>
              <w:jc w:val="center"/>
              <w:rPr>
                <w:spacing w:val="20"/>
              </w:rPr>
            </w:pPr>
          </w:p>
        </w:tc>
        <w:tc>
          <w:tcPr>
            <w:tcW w:w="1262" w:type="dxa"/>
            <w:tcBorders>
              <w:top w:val="single" w:color="auto" w:sz="4" w:space="0"/>
              <w:left w:val="single" w:color="auto" w:sz="4" w:space="0"/>
              <w:bottom w:val="single" w:color="auto" w:sz="4" w:space="0"/>
              <w:right w:val="single" w:color="auto" w:sz="4" w:space="0"/>
            </w:tcBorders>
          </w:tcPr>
          <w:p w14:paraId="78576133">
            <w:pPr>
              <w:tabs>
                <w:tab w:val="left" w:pos="1418"/>
              </w:tabs>
              <w:snapToGrid w:val="0"/>
              <w:spacing w:before="50" w:after="50"/>
              <w:jc w:val="center"/>
              <w:rPr>
                <w:spacing w:val="20"/>
              </w:rPr>
            </w:pPr>
          </w:p>
        </w:tc>
        <w:tc>
          <w:tcPr>
            <w:tcW w:w="1440" w:type="dxa"/>
            <w:tcBorders>
              <w:top w:val="single" w:color="auto" w:sz="4" w:space="0"/>
              <w:left w:val="single" w:color="auto" w:sz="4" w:space="0"/>
              <w:bottom w:val="single" w:color="auto" w:sz="4" w:space="0"/>
              <w:right w:val="single" w:color="auto" w:sz="4" w:space="0"/>
            </w:tcBorders>
          </w:tcPr>
          <w:p w14:paraId="4B38CCC0">
            <w:pPr>
              <w:tabs>
                <w:tab w:val="left" w:pos="1418"/>
              </w:tabs>
              <w:snapToGrid w:val="0"/>
              <w:spacing w:before="50" w:after="50"/>
              <w:jc w:val="center"/>
              <w:rPr>
                <w:spacing w:val="20"/>
              </w:rPr>
            </w:pPr>
          </w:p>
        </w:tc>
      </w:tr>
      <w:tr w14:paraId="3129D5A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84" w:type="dxa"/>
            <w:tcBorders>
              <w:top w:val="single" w:color="auto" w:sz="4" w:space="0"/>
              <w:left w:val="single" w:color="auto" w:sz="4" w:space="0"/>
              <w:bottom w:val="single" w:color="auto" w:sz="4" w:space="0"/>
              <w:right w:val="single" w:color="auto" w:sz="4" w:space="0"/>
            </w:tcBorders>
          </w:tcPr>
          <w:p w14:paraId="58A8E62F">
            <w:pPr>
              <w:tabs>
                <w:tab w:val="left" w:pos="1418"/>
              </w:tabs>
              <w:snapToGrid w:val="0"/>
              <w:spacing w:before="50" w:after="50"/>
              <w:jc w:val="center"/>
              <w:rPr>
                <w:spacing w:val="20"/>
              </w:rPr>
            </w:pPr>
          </w:p>
        </w:tc>
        <w:tc>
          <w:tcPr>
            <w:tcW w:w="2194" w:type="dxa"/>
            <w:tcBorders>
              <w:top w:val="single" w:color="auto" w:sz="4" w:space="0"/>
              <w:left w:val="single" w:color="auto" w:sz="4" w:space="0"/>
              <w:bottom w:val="single" w:color="auto" w:sz="4" w:space="0"/>
              <w:right w:val="single" w:color="auto" w:sz="4" w:space="0"/>
            </w:tcBorders>
          </w:tcPr>
          <w:p w14:paraId="62936D5E">
            <w:pPr>
              <w:tabs>
                <w:tab w:val="left" w:pos="1418"/>
              </w:tabs>
              <w:snapToGrid w:val="0"/>
              <w:spacing w:before="50" w:after="50"/>
              <w:jc w:val="center"/>
              <w:rPr>
                <w:spacing w:val="20"/>
              </w:rPr>
            </w:pPr>
          </w:p>
        </w:tc>
        <w:tc>
          <w:tcPr>
            <w:tcW w:w="1080" w:type="dxa"/>
            <w:tcBorders>
              <w:top w:val="single" w:color="auto" w:sz="4" w:space="0"/>
              <w:left w:val="single" w:color="auto" w:sz="4" w:space="0"/>
              <w:bottom w:val="single" w:color="auto" w:sz="4" w:space="0"/>
              <w:right w:val="single" w:color="auto" w:sz="4" w:space="0"/>
            </w:tcBorders>
          </w:tcPr>
          <w:p w14:paraId="4CD79640">
            <w:pPr>
              <w:tabs>
                <w:tab w:val="left" w:pos="1418"/>
              </w:tabs>
              <w:snapToGrid w:val="0"/>
              <w:spacing w:before="50" w:after="50"/>
              <w:jc w:val="center"/>
              <w:rPr>
                <w:spacing w:val="20"/>
              </w:rPr>
            </w:pPr>
          </w:p>
        </w:tc>
        <w:tc>
          <w:tcPr>
            <w:tcW w:w="1440" w:type="dxa"/>
            <w:tcBorders>
              <w:top w:val="single" w:color="auto" w:sz="4" w:space="0"/>
              <w:left w:val="single" w:color="auto" w:sz="4" w:space="0"/>
              <w:bottom w:val="single" w:color="auto" w:sz="4" w:space="0"/>
              <w:right w:val="single" w:color="auto" w:sz="4" w:space="0"/>
            </w:tcBorders>
          </w:tcPr>
          <w:p w14:paraId="05ABECB2">
            <w:pPr>
              <w:tabs>
                <w:tab w:val="left" w:pos="1418"/>
              </w:tabs>
              <w:snapToGrid w:val="0"/>
              <w:spacing w:before="50" w:after="50"/>
              <w:jc w:val="center"/>
              <w:rPr>
                <w:spacing w:val="20"/>
              </w:rPr>
            </w:pPr>
          </w:p>
        </w:tc>
        <w:tc>
          <w:tcPr>
            <w:tcW w:w="1440" w:type="dxa"/>
            <w:gridSpan w:val="2"/>
            <w:tcBorders>
              <w:top w:val="single" w:color="auto" w:sz="4" w:space="0"/>
              <w:left w:val="single" w:color="auto" w:sz="4" w:space="0"/>
              <w:bottom w:val="single" w:color="auto" w:sz="4" w:space="0"/>
              <w:right w:val="single" w:color="auto" w:sz="4" w:space="0"/>
            </w:tcBorders>
          </w:tcPr>
          <w:p w14:paraId="2FA41B2B">
            <w:pPr>
              <w:tabs>
                <w:tab w:val="left" w:pos="1418"/>
              </w:tabs>
              <w:snapToGrid w:val="0"/>
              <w:spacing w:before="50" w:after="50"/>
              <w:jc w:val="center"/>
              <w:rPr>
                <w:spacing w:val="20"/>
              </w:rPr>
            </w:pPr>
          </w:p>
        </w:tc>
        <w:tc>
          <w:tcPr>
            <w:tcW w:w="1262" w:type="dxa"/>
            <w:tcBorders>
              <w:top w:val="single" w:color="auto" w:sz="4" w:space="0"/>
              <w:left w:val="single" w:color="auto" w:sz="4" w:space="0"/>
              <w:bottom w:val="single" w:color="auto" w:sz="4" w:space="0"/>
              <w:right w:val="single" w:color="auto" w:sz="4" w:space="0"/>
            </w:tcBorders>
          </w:tcPr>
          <w:p w14:paraId="45B3046E">
            <w:pPr>
              <w:tabs>
                <w:tab w:val="left" w:pos="1418"/>
              </w:tabs>
              <w:snapToGrid w:val="0"/>
              <w:spacing w:before="50" w:after="50"/>
              <w:jc w:val="center"/>
              <w:rPr>
                <w:spacing w:val="20"/>
              </w:rPr>
            </w:pPr>
          </w:p>
        </w:tc>
        <w:tc>
          <w:tcPr>
            <w:tcW w:w="1440" w:type="dxa"/>
            <w:tcBorders>
              <w:top w:val="single" w:color="auto" w:sz="4" w:space="0"/>
              <w:left w:val="single" w:color="auto" w:sz="4" w:space="0"/>
              <w:bottom w:val="single" w:color="auto" w:sz="4" w:space="0"/>
              <w:right w:val="single" w:color="auto" w:sz="4" w:space="0"/>
            </w:tcBorders>
          </w:tcPr>
          <w:p w14:paraId="7FBDD88F">
            <w:pPr>
              <w:tabs>
                <w:tab w:val="left" w:pos="1418"/>
              </w:tabs>
              <w:snapToGrid w:val="0"/>
              <w:spacing w:before="50" w:after="50"/>
              <w:jc w:val="center"/>
              <w:rPr>
                <w:spacing w:val="20"/>
              </w:rPr>
            </w:pPr>
          </w:p>
        </w:tc>
      </w:tr>
      <w:tr w14:paraId="39A5063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69" w:hRule="atLeast"/>
        </w:trPr>
        <w:tc>
          <w:tcPr>
            <w:tcW w:w="684" w:type="dxa"/>
            <w:tcBorders>
              <w:top w:val="single" w:color="auto" w:sz="4" w:space="0"/>
              <w:left w:val="single" w:color="auto" w:sz="4" w:space="0"/>
              <w:bottom w:val="single" w:color="auto" w:sz="4" w:space="0"/>
              <w:right w:val="single" w:color="auto" w:sz="4" w:space="0"/>
            </w:tcBorders>
          </w:tcPr>
          <w:p w14:paraId="2CF6D45E">
            <w:pPr>
              <w:tabs>
                <w:tab w:val="left" w:pos="1418"/>
              </w:tabs>
              <w:snapToGrid w:val="0"/>
              <w:spacing w:before="50" w:after="50"/>
              <w:jc w:val="center"/>
              <w:rPr>
                <w:spacing w:val="20"/>
              </w:rPr>
            </w:pPr>
          </w:p>
        </w:tc>
        <w:tc>
          <w:tcPr>
            <w:tcW w:w="2194" w:type="dxa"/>
            <w:tcBorders>
              <w:top w:val="single" w:color="auto" w:sz="4" w:space="0"/>
              <w:left w:val="single" w:color="auto" w:sz="4" w:space="0"/>
              <w:bottom w:val="single" w:color="auto" w:sz="4" w:space="0"/>
              <w:right w:val="single" w:color="auto" w:sz="4" w:space="0"/>
            </w:tcBorders>
          </w:tcPr>
          <w:p w14:paraId="143DEC6C">
            <w:pPr>
              <w:tabs>
                <w:tab w:val="left" w:pos="1418"/>
              </w:tabs>
              <w:snapToGrid w:val="0"/>
              <w:spacing w:before="50" w:after="50"/>
              <w:jc w:val="center"/>
              <w:rPr>
                <w:spacing w:val="20"/>
              </w:rPr>
            </w:pPr>
          </w:p>
        </w:tc>
        <w:tc>
          <w:tcPr>
            <w:tcW w:w="1080" w:type="dxa"/>
            <w:tcBorders>
              <w:top w:val="single" w:color="auto" w:sz="4" w:space="0"/>
              <w:left w:val="single" w:color="auto" w:sz="4" w:space="0"/>
              <w:bottom w:val="single" w:color="auto" w:sz="4" w:space="0"/>
              <w:right w:val="single" w:color="auto" w:sz="4" w:space="0"/>
            </w:tcBorders>
          </w:tcPr>
          <w:p w14:paraId="26A3AFA5">
            <w:pPr>
              <w:tabs>
                <w:tab w:val="left" w:pos="1418"/>
              </w:tabs>
              <w:snapToGrid w:val="0"/>
              <w:spacing w:before="50" w:after="50"/>
              <w:jc w:val="center"/>
              <w:rPr>
                <w:spacing w:val="20"/>
              </w:rPr>
            </w:pPr>
          </w:p>
        </w:tc>
        <w:tc>
          <w:tcPr>
            <w:tcW w:w="1440" w:type="dxa"/>
            <w:tcBorders>
              <w:top w:val="single" w:color="auto" w:sz="4" w:space="0"/>
              <w:left w:val="single" w:color="auto" w:sz="4" w:space="0"/>
              <w:bottom w:val="single" w:color="auto" w:sz="4" w:space="0"/>
              <w:right w:val="single" w:color="auto" w:sz="4" w:space="0"/>
            </w:tcBorders>
          </w:tcPr>
          <w:p w14:paraId="7096208F">
            <w:pPr>
              <w:tabs>
                <w:tab w:val="left" w:pos="1418"/>
              </w:tabs>
              <w:snapToGrid w:val="0"/>
              <w:spacing w:before="50" w:after="50"/>
              <w:jc w:val="center"/>
              <w:rPr>
                <w:spacing w:val="20"/>
              </w:rPr>
            </w:pPr>
          </w:p>
        </w:tc>
        <w:tc>
          <w:tcPr>
            <w:tcW w:w="1440" w:type="dxa"/>
            <w:gridSpan w:val="2"/>
            <w:tcBorders>
              <w:top w:val="single" w:color="auto" w:sz="4" w:space="0"/>
              <w:left w:val="single" w:color="auto" w:sz="4" w:space="0"/>
              <w:bottom w:val="single" w:color="auto" w:sz="4" w:space="0"/>
              <w:right w:val="single" w:color="auto" w:sz="4" w:space="0"/>
            </w:tcBorders>
          </w:tcPr>
          <w:p w14:paraId="4A6C0310">
            <w:pPr>
              <w:tabs>
                <w:tab w:val="left" w:pos="1418"/>
              </w:tabs>
              <w:snapToGrid w:val="0"/>
              <w:spacing w:before="50" w:after="50"/>
              <w:jc w:val="center"/>
              <w:rPr>
                <w:spacing w:val="20"/>
              </w:rPr>
            </w:pPr>
          </w:p>
        </w:tc>
        <w:tc>
          <w:tcPr>
            <w:tcW w:w="1262" w:type="dxa"/>
            <w:tcBorders>
              <w:top w:val="single" w:color="auto" w:sz="4" w:space="0"/>
              <w:left w:val="single" w:color="auto" w:sz="4" w:space="0"/>
              <w:bottom w:val="single" w:color="auto" w:sz="4" w:space="0"/>
              <w:right w:val="single" w:color="auto" w:sz="4" w:space="0"/>
            </w:tcBorders>
          </w:tcPr>
          <w:p w14:paraId="2CBE530E">
            <w:pPr>
              <w:tabs>
                <w:tab w:val="left" w:pos="1418"/>
              </w:tabs>
              <w:snapToGrid w:val="0"/>
              <w:spacing w:before="50" w:after="50"/>
              <w:jc w:val="center"/>
              <w:rPr>
                <w:spacing w:val="20"/>
              </w:rPr>
            </w:pPr>
          </w:p>
        </w:tc>
        <w:tc>
          <w:tcPr>
            <w:tcW w:w="1440" w:type="dxa"/>
            <w:tcBorders>
              <w:top w:val="single" w:color="auto" w:sz="4" w:space="0"/>
              <w:left w:val="single" w:color="auto" w:sz="4" w:space="0"/>
              <w:bottom w:val="single" w:color="auto" w:sz="4" w:space="0"/>
              <w:right w:val="single" w:color="auto" w:sz="4" w:space="0"/>
            </w:tcBorders>
          </w:tcPr>
          <w:p w14:paraId="1C851C8D">
            <w:pPr>
              <w:tabs>
                <w:tab w:val="left" w:pos="1418"/>
              </w:tabs>
              <w:snapToGrid w:val="0"/>
              <w:spacing w:before="50" w:after="50"/>
              <w:jc w:val="center"/>
              <w:rPr>
                <w:spacing w:val="20"/>
              </w:rPr>
            </w:pPr>
          </w:p>
        </w:tc>
      </w:tr>
      <w:tr w14:paraId="5D7CAA3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1" w:hRule="atLeast"/>
        </w:trPr>
        <w:tc>
          <w:tcPr>
            <w:tcW w:w="684" w:type="dxa"/>
            <w:tcBorders>
              <w:top w:val="single" w:color="auto" w:sz="4" w:space="0"/>
              <w:left w:val="single" w:color="auto" w:sz="4" w:space="0"/>
              <w:bottom w:val="single" w:color="auto" w:sz="4" w:space="0"/>
              <w:right w:val="single" w:color="auto" w:sz="4" w:space="0"/>
            </w:tcBorders>
          </w:tcPr>
          <w:p w14:paraId="0AED5B22">
            <w:pPr>
              <w:tabs>
                <w:tab w:val="left" w:pos="1418"/>
              </w:tabs>
              <w:snapToGrid w:val="0"/>
              <w:spacing w:before="50" w:after="50"/>
              <w:jc w:val="center"/>
              <w:rPr>
                <w:spacing w:val="20"/>
              </w:rPr>
            </w:pPr>
          </w:p>
        </w:tc>
        <w:tc>
          <w:tcPr>
            <w:tcW w:w="2194" w:type="dxa"/>
            <w:tcBorders>
              <w:top w:val="single" w:color="auto" w:sz="4" w:space="0"/>
              <w:left w:val="single" w:color="auto" w:sz="4" w:space="0"/>
              <w:bottom w:val="single" w:color="auto" w:sz="4" w:space="0"/>
              <w:right w:val="single" w:color="auto" w:sz="4" w:space="0"/>
            </w:tcBorders>
          </w:tcPr>
          <w:p w14:paraId="4ECDDC53">
            <w:pPr>
              <w:tabs>
                <w:tab w:val="left" w:pos="1418"/>
              </w:tabs>
              <w:snapToGrid w:val="0"/>
              <w:spacing w:before="50" w:after="50"/>
              <w:jc w:val="center"/>
              <w:rPr>
                <w:spacing w:val="20"/>
              </w:rPr>
            </w:pPr>
            <w:r>
              <w:rPr>
                <w:spacing w:val="20"/>
              </w:rPr>
              <w:t>……</w:t>
            </w:r>
          </w:p>
        </w:tc>
        <w:tc>
          <w:tcPr>
            <w:tcW w:w="1080" w:type="dxa"/>
            <w:tcBorders>
              <w:top w:val="single" w:color="auto" w:sz="4" w:space="0"/>
              <w:left w:val="single" w:color="auto" w:sz="4" w:space="0"/>
              <w:bottom w:val="single" w:color="auto" w:sz="4" w:space="0"/>
              <w:right w:val="single" w:color="auto" w:sz="4" w:space="0"/>
            </w:tcBorders>
          </w:tcPr>
          <w:p w14:paraId="4A8A461A">
            <w:pPr>
              <w:tabs>
                <w:tab w:val="left" w:pos="1418"/>
              </w:tabs>
              <w:snapToGrid w:val="0"/>
              <w:spacing w:before="50" w:after="50"/>
              <w:jc w:val="center"/>
              <w:rPr>
                <w:spacing w:val="20"/>
              </w:rPr>
            </w:pPr>
          </w:p>
        </w:tc>
        <w:tc>
          <w:tcPr>
            <w:tcW w:w="1440" w:type="dxa"/>
            <w:tcBorders>
              <w:top w:val="single" w:color="auto" w:sz="4" w:space="0"/>
              <w:left w:val="single" w:color="auto" w:sz="4" w:space="0"/>
              <w:bottom w:val="single" w:color="auto" w:sz="4" w:space="0"/>
              <w:right w:val="single" w:color="auto" w:sz="4" w:space="0"/>
            </w:tcBorders>
          </w:tcPr>
          <w:p w14:paraId="35B02724">
            <w:pPr>
              <w:tabs>
                <w:tab w:val="left" w:pos="1418"/>
              </w:tabs>
              <w:snapToGrid w:val="0"/>
              <w:spacing w:before="50" w:after="50"/>
              <w:jc w:val="center"/>
              <w:rPr>
                <w:spacing w:val="20"/>
              </w:rPr>
            </w:pPr>
          </w:p>
        </w:tc>
        <w:tc>
          <w:tcPr>
            <w:tcW w:w="1440" w:type="dxa"/>
            <w:gridSpan w:val="2"/>
            <w:tcBorders>
              <w:top w:val="single" w:color="auto" w:sz="4" w:space="0"/>
              <w:left w:val="single" w:color="auto" w:sz="4" w:space="0"/>
              <w:bottom w:val="single" w:color="auto" w:sz="4" w:space="0"/>
              <w:right w:val="single" w:color="auto" w:sz="4" w:space="0"/>
            </w:tcBorders>
          </w:tcPr>
          <w:p w14:paraId="41DA65CC">
            <w:pPr>
              <w:tabs>
                <w:tab w:val="left" w:pos="1418"/>
              </w:tabs>
              <w:snapToGrid w:val="0"/>
              <w:spacing w:before="50" w:after="50"/>
              <w:jc w:val="center"/>
              <w:rPr>
                <w:spacing w:val="20"/>
              </w:rPr>
            </w:pPr>
          </w:p>
        </w:tc>
        <w:tc>
          <w:tcPr>
            <w:tcW w:w="1262" w:type="dxa"/>
            <w:tcBorders>
              <w:top w:val="single" w:color="auto" w:sz="4" w:space="0"/>
              <w:left w:val="single" w:color="auto" w:sz="4" w:space="0"/>
              <w:bottom w:val="single" w:color="auto" w:sz="4" w:space="0"/>
              <w:right w:val="single" w:color="auto" w:sz="4" w:space="0"/>
            </w:tcBorders>
          </w:tcPr>
          <w:p w14:paraId="72801527">
            <w:pPr>
              <w:tabs>
                <w:tab w:val="left" w:pos="1418"/>
              </w:tabs>
              <w:snapToGrid w:val="0"/>
              <w:spacing w:before="50" w:after="50"/>
              <w:jc w:val="center"/>
              <w:rPr>
                <w:spacing w:val="20"/>
              </w:rPr>
            </w:pPr>
          </w:p>
        </w:tc>
        <w:tc>
          <w:tcPr>
            <w:tcW w:w="1440" w:type="dxa"/>
            <w:tcBorders>
              <w:top w:val="single" w:color="auto" w:sz="4" w:space="0"/>
              <w:left w:val="single" w:color="auto" w:sz="4" w:space="0"/>
              <w:bottom w:val="single" w:color="auto" w:sz="4" w:space="0"/>
              <w:right w:val="single" w:color="auto" w:sz="4" w:space="0"/>
            </w:tcBorders>
          </w:tcPr>
          <w:p w14:paraId="36B87566">
            <w:pPr>
              <w:tabs>
                <w:tab w:val="left" w:pos="1418"/>
              </w:tabs>
              <w:snapToGrid w:val="0"/>
              <w:spacing w:before="50" w:after="50"/>
              <w:jc w:val="center"/>
              <w:rPr>
                <w:spacing w:val="20"/>
              </w:rPr>
            </w:pPr>
          </w:p>
        </w:tc>
      </w:tr>
      <w:tr w14:paraId="1B1BC6A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5" w:hRule="atLeast"/>
        </w:trPr>
        <w:tc>
          <w:tcPr>
            <w:tcW w:w="684" w:type="dxa"/>
            <w:tcBorders>
              <w:top w:val="single" w:color="auto" w:sz="4" w:space="0"/>
              <w:left w:val="single" w:color="auto" w:sz="4" w:space="0"/>
              <w:bottom w:val="single" w:color="auto" w:sz="4" w:space="0"/>
              <w:right w:val="single" w:color="auto" w:sz="4" w:space="0"/>
            </w:tcBorders>
          </w:tcPr>
          <w:p w14:paraId="1299CF01">
            <w:pPr>
              <w:tabs>
                <w:tab w:val="left" w:pos="1418"/>
              </w:tabs>
              <w:snapToGrid w:val="0"/>
              <w:spacing w:before="50" w:after="50"/>
              <w:jc w:val="center"/>
              <w:rPr>
                <w:spacing w:val="20"/>
              </w:rPr>
            </w:pPr>
          </w:p>
        </w:tc>
        <w:tc>
          <w:tcPr>
            <w:tcW w:w="2194" w:type="dxa"/>
            <w:tcBorders>
              <w:top w:val="single" w:color="auto" w:sz="4" w:space="0"/>
              <w:left w:val="single" w:color="auto" w:sz="4" w:space="0"/>
              <w:bottom w:val="single" w:color="auto" w:sz="4" w:space="0"/>
              <w:right w:val="single" w:color="auto" w:sz="4" w:space="0"/>
            </w:tcBorders>
          </w:tcPr>
          <w:p w14:paraId="31A70B7E">
            <w:pPr>
              <w:tabs>
                <w:tab w:val="left" w:pos="1418"/>
              </w:tabs>
              <w:snapToGrid w:val="0"/>
              <w:spacing w:before="50" w:after="50"/>
              <w:jc w:val="center"/>
              <w:rPr>
                <w:spacing w:val="20"/>
              </w:rPr>
            </w:pPr>
          </w:p>
        </w:tc>
        <w:tc>
          <w:tcPr>
            <w:tcW w:w="1080" w:type="dxa"/>
            <w:tcBorders>
              <w:top w:val="single" w:color="auto" w:sz="4" w:space="0"/>
              <w:left w:val="single" w:color="auto" w:sz="4" w:space="0"/>
              <w:bottom w:val="single" w:color="auto" w:sz="4" w:space="0"/>
              <w:right w:val="single" w:color="auto" w:sz="4" w:space="0"/>
            </w:tcBorders>
          </w:tcPr>
          <w:p w14:paraId="7070A81A">
            <w:pPr>
              <w:tabs>
                <w:tab w:val="left" w:pos="1418"/>
              </w:tabs>
              <w:snapToGrid w:val="0"/>
              <w:spacing w:before="50" w:after="50"/>
              <w:jc w:val="center"/>
              <w:rPr>
                <w:spacing w:val="20"/>
              </w:rPr>
            </w:pPr>
          </w:p>
        </w:tc>
        <w:tc>
          <w:tcPr>
            <w:tcW w:w="1440" w:type="dxa"/>
            <w:tcBorders>
              <w:top w:val="single" w:color="auto" w:sz="4" w:space="0"/>
              <w:left w:val="single" w:color="auto" w:sz="4" w:space="0"/>
              <w:bottom w:val="single" w:color="auto" w:sz="4" w:space="0"/>
              <w:right w:val="single" w:color="auto" w:sz="4" w:space="0"/>
            </w:tcBorders>
          </w:tcPr>
          <w:p w14:paraId="2CEDEAA7">
            <w:pPr>
              <w:tabs>
                <w:tab w:val="left" w:pos="1418"/>
              </w:tabs>
              <w:snapToGrid w:val="0"/>
              <w:spacing w:before="50" w:after="50"/>
              <w:jc w:val="center"/>
              <w:rPr>
                <w:spacing w:val="20"/>
              </w:rPr>
            </w:pPr>
          </w:p>
        </w:tc>
        <w:tc>
          <w:tcPr>
            <w:tcW w:w="1440" w:type="dxa"/>
            <w:gridSpan w:val="2"/>
            <w:tcBorders>
              <w:top w:val="single" w:color="auto" w:sz="4" w:space="0"/>
              <w:left w:val="single" w:color="auto" w:sz="4" w:space="0"/>
              <w:bottom w:val="single" w:color="auto" w:sz="4" w:space="0"/>
              <w:right w:val="single" w:color="auto" w:sz="4" w:space="0"/>
            </w:tcBorders>
          </w:tcPr>
          <w:p w14:paraId="3E4FD03A">
            <w:pPr>
              <w:tabs>
                <w:tab w:val="left" w:pos="1418"/>
              </w:tabs>
              <w:snapToGrid w:val="0"/>
              <w:spacing w:before="50" w:after="50"/>
              <w:jc w:val="center"/>
              <w:rPr>
                <w:spacing w:val="20"/>
              </w:rPr>
            </w:pPr>
          </w:p>
        </w:tc>
        <w:tc>
          <w:tcPr>
            <w:tcW w:w="1262" w:type="dxa"/>
            <w:tcBorders>
              <w:top w:val="single" w:color="auto" w:sz="4" w:space="0"/>
              <w:left w:val="single" w:color="auto" w:sz="4" w:space="0"/>
              <w:bottom w:val="single" w:color="auto" w:sz="4" w:space="0"/>
              <w:right w:val="single" w:color="auto" w:sz="4" w:space="0"/>
            </w:tcBorders>
          </w:tcPr>
          <w:p w14:paraId="16F40675">
            <w:pPr>
              <w:tabs>
                <w:tab w:val="left" w:pos="1418"/>
              </w:tabs>
              <w:snapToGrid w:val="0"/>
              <w:spacing w:before="50" w:after="50"/>
              <w:jc w:val="center"/>
              <w:rPr>
                <w:spacing w:val="20"/>
              </w:rPr>
            </w:pPr>
          </w:p>
        </w:tc>
        <w:tc>
          <w:tcPr>
            <w:tcW w:w="1440" w:type="dxa"/>
            <w:tcBorders>
              <w:top w:val="single" w:color="auto" w:sz="4" w:space="0"/>
              <w:left w:val="single" w:color="auto" w:sz="4" w:space="0"/>
              <w:bottom w:val="single" w:color="auto" w:sz="4" w:space="0"/>
              <w:right w:val="single" w:color="auto" w:sz="4" w:space="0"/>
            </w:tcBorders>
          </w:tcPr>
          <w:p w14:paraId="2AA871A0">
            <w:pPr>
              <w:tabs>
                <w:tab w:val="left" w:pos="1418"/>
              </w:tabs>
              <w:snapToGrid w:val="0"/>
              <w:spacing w:before="50" w:after="50"/>
              <w:jc w:val="center"/>
              <w:rPr>
                <w:spacing w:val="20"/>
              </w:rPr>
            </w:pPr>
          </w:p>
        </w:tc>
      </w:tr>
      <w:tr w14:paraId="2C8C5A3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540" w:type="dxa"/>
            <w:gridSpan w:val="8"/>
            <w:tcBorders>
              <w:top w:val="single" w:color="auto" w:sz="4" w:space="0"/>
              <w:left w:val="single" w:color="auto" w:sz="4" w:space="0"/>
              <w:bottom w:val="single" w:color="auto" w:sz="4" w:space="0"/>
              <w:right w:val="single" w:color="auto" w:sz="4" w:space="0"/>
            </w:tcBorders>
          </w:tcPr>
          <w:p w14:paraId="13A142CC">
            <w:pPr>
              <w:tabs>
                <w:tab w:val="left" w:pos="1418"/>
              </w:tabs>
              <w:snapToGrid w:val="0"/>
              <w:spacing w:before="50" w:after="50"/>
              <w:jc w:val="center"/>
              <w:rPr>
                <w:spacing w:val="20"/>
              </w:rPr>
            </w:pPr>
          </w:p>
        </w:tc>
      </w:tr>
      <w:tr w14:paraId="37E394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84" w:type="dxa"/>
            <w:tcBorders>
              <w:top w:val="single" w:color="auto" w:sz="4" w:space="0"/>
              <w:left w:val="single" w:color="auto" w:sz="4" w:space="0"/>
              <w:bottom w:val="single" w:color="auto" w:sz="4" w:space="0"/>
              <w:right w:val="single" w:color="auto" w:sz="4" w:space="0"/>
            </w:tcBorders>
          </w:tcPr>
          <w:p w14:paraId="1F6CA141">
            <w:pPr>
              <w:tabs>
                <w:tab w:val="left" w:pos="1418"/>
              </w:tabs>
              <w:snapToGrid w:val="0"/>
              <w:spacing w:before="50" w:after="50"/>
              <w:jc w:val="center"/>
              <w:rPr>
                <w:spacing w:val="20"/>
              </w:rPr>
            </w:pPr>
          </w:p>
        </w:tc>
        <w:tc>
          <w:tcPr>
            <w:tcW w:w="4714" w:type="dxa"/>
            <w:gridSpan w:val="3"/>
            <w:tcBorders>
              <w:top w:val="single" w:color="auto" w:sz="4" w:space="0"/>
              <w:left w:val="single" w:color="auto" w:sz="4" w:space="0"/>
              <w:bottom w:val="single" w:color="auto" w:sz="4" w:space="0"/>
              <w:right w:val="single" w:color="auto" w:sz="4" w:space="0"/>
            </w:tcBorders>
          </w:tcPr>
          <w:p w14:paraId="25730ED6">
            <w:pPr>
              <w:tabs>
                <w:tab w:val="left" w:pos="1418"/>
              </w:tabs>
              <w:snapToGrid w:val="0"/>
              <w:spacing w:before="50" w:after="50"/>
              <w:rPr>
                <w:spacing w:val="20"/>
              </w:rPr>
            </w:pPr>
          </w:p>
        </w:tc>
        <w:tc>
          <w:tcPr>
            <w:tcW w:w="1440" w:type="dxa"/>
            <w:gridSpan w:val="2"/>
            <w:tcBorders>
              <w:top w:val="single" w:color="auto" w:sz="4" w:space="0"/>
              <w:left w:val="single" w:color="auto" w:sz="4" w:space="0"/>
              <w:bottom w:val="single" w:color="auto" w:sz="4" w:space="0"/>
              <w:right w:val="single" w:color="auto" w:sz="4" w:space="0"/>
            </w:tcBorders>
          </w:tcPr>
          <w:p w14:paraId="4A0CE183">
            <w:pPr>
              <w:tabs>
                <w:tab w:val="left" w:pos="1418"/>
              </w:tabs>
              <w:snapToGrid w:val="0"/>
              <w:spacing w:before="50" w:after="50"/>
              <w:jc w:val="center"/>
              <w:rPr>
                <w:spacing w:val="20"/>
              </w:rPr>
            </w:pPr>
          </w:p>
        </w:tc>
        <w:tc>
          <w:tcPr>
            <w:tcW w:w="1262" w:type="dxa"/>
            <w:tcBorders>
              <w:top w:val="single" w:color="auto" w:sz="4" w:space="0"/>
              <w:left w:val="single" w:color="auto" w:sz="4" w:space="0"/>
              <w:bottom w:val="single" w:color="auto" w:sz="4" w:space="0"/>
              <w:right w:val="single" w:color="auto" w:sz="4" w:space="0"/>
            </w:tcBorders>
          </w:tcPr>
          <w:p w14:paraId="6B343A26">
            <w:pPr>
              <w:tabs>
                <w:tab w:val="left" w:pos="1418"/>
              </w:tabs>
              <w:snapToGrid w:val="0"/>
              <w:spacing w:before="50" w:after="50"/>
              <w:jc w:val="center"/>
              <w:rPr>
                <w:spacing w:val="20"/>
              </w:rPr>
            </w:pPr>
          </w:p>
        </w:tc>
        <w:tc>
          <w:tcPr>
            <w:tcW w:w="1440" w:type="dxa"/>
            <w:tcBorders>
              <w:top w:val="single" w:color="auto" w:sz="4" w:space="0"/>
              <w:left w:val="single" w:color="auto" w:sz="4" w:space="0"/>
              <w:bottom w:val="single" w:color="auto" w:sz="4" w:space="0"/>
              <w:right w:val="single" w:color="auto" w:sz="4" w:space="0"/>
            </w:tcBorders>
          </w:tcPr>
          <w:p w14:paraId="4DA7C2A8">
            <w:pPr>
              <w:tabs>
                <w:tab w:val="left" w:pos="1418"/>
              </w:tabs>
              <w:snapToGrid w:val="0"/>
              <w:spacing w:before="50" w:after="50"/>
              <w:jc w:val="center"/>
              <w:rPr>
                <w:spacing w:val="20"/>
              </w:rPr>
            </w:pPr>
          </w:p>
        </w:tc>
      </w:tr>
      <w:tr w14:paraId="052A771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84" w:type="dxa"/>
            <w:tcBorders>
              <w:top w:val="single" w:color="auto" w:sz="4" w:space="0"/>
              <w:left w:val="single" w:color="auto" w:sz="4" w:space="0"/>
              <w:bottom w:val="single" w:color="auto" w:sz="4" w:space="0"/>
              <w:right w:val="single" w:color="auto" w:sz="4" w:space="0"/>
            </w:tcBorders>
          </w:tcPr>
          <w:p w14:paraId="30D05A49">
            <w:pPr>
              <w:tabs>
                <w:tab w:val="left" w:pos="1418"/>
              </w:tabs>
              <w:snapToGrid w:val="0"/>
              <w:spacing w:before="50" w:after="50"/>
              <w:jc w:val="center"/>
              <w:rPr>
                <w:spacing w:val="20"/>
              </w:rPr>
            </w:pPr>
          </w:p>
        </w:tc>
        <w:tc>
          <w:tcPr>
            <w:tcW w:w="4714" w:type="dxa"/>
            <w:gridSpan w:val="3"/>
            <w:tcBorders>
              <w:top w:val="single" w:color="auto" w:sz="4" w:space="0"/>
              <w:left w:val="single" w:color="auto" w:sz="4" w:space="0"/>
              <w:bottom w:val="single" w:color="auto" w:sz="4" w:space="0"/>
              <w:right w:val="single" w:color="auto" w:sz="4" w:space="0"/>
            </w:tcBorders>
          </w:tcPr>
          <w:p w14:paraId="442465E1">
            <w:pPr>
              <w:tabs>
                <w:tab w:val="left" w:pos="1418"/>
              </w:tabs>
              <w:snapToGrid w:val="0"/>
              <w:spacing w:before="50" w:after="50"/>
              <w:rPr>
                <w:spacing w:val="20"/>
              </w:rPr>
            </w:pPr>
          </w:p>
        </w:tc>
        <w:tc>
          <w:tcPr>
            <w:tcW w:w="1440" w:type="dxa"/>
            <w:gridSpan w:val="2"/>
            <w:tcBorders>
              <w:top w:val="single" w:color="auto" w:sz="4" w:space="0"/>
              <w:left w:val="single" w:color="auto" w:sz="4" w:space="0"/>
              <w:bottom w:val="single" w:color="auto" w:sz="4" w:space="0"/>
              <w:right w:val="single" w:color="auto" w:sz="4" w:space="0"/>
            </w:tcBorders>
          </w:tcPr>
          <w:p w14:paraId="43654DE4">
            <w:pPr>
              <w:tabs>
                <w:tab w:val="left" w:pos="1418"/>
              </w:tabs>
              <w:snapToGrid w:val="0"/>
              <w:spacing w:before="50" w:after="50"/>
              <w:jc w:val="center"/>
              <w:rPr>
                <w:spacing w:val="20"/>
              </w:rPr>
            </w:pPr>
          </w:p>
        </w:tc>
        <w:tc>
          <w:tcPr>
            <w:tcW w:w="1262" w:type="dxa"/>
            <w:tcBorders>
              <w:top w:val="single" w:color="auto" w:sz="4" w:space="0"/>
              <w:left w:val="single" w:color="auto" w:sz="4" w:space="0"/>
              <w:bottom w:val="single" w:color="auto" w:sz="4" w:space="0"/>
              <w:right w:val="single" w:color="auto" w:sz="4" w:space="0"/>
            </w:tcBorders>
          </w:tcPr>
          <w:p w14:paraId="206A05E9">
            <w:pPr>
              <w:tabs>
                <w:tab w:val="left" w:pos="1418"/>
              </w:tabs>
              <w:snapToGrid w:val="0"/>
              <w:spacing w:before="50" w:after="50"/>
              <w:jc w:val="center"/>
              <w:rPr>
                <w:spacing w:val="20"/>
              </w:rPr>
            </w:pPr>
          </w:p>
        </w:tc>
        <w:tc>
          <w:tcPr>
            <w:tcW w:w="1440" w:type="dxa"/>
            <w:tcBorders>
              <w:top w:val="single" w:color="auto" w:sz="4" w:space="0"/>
              <w:left w:val="single" w:color="auto" w:sz="4" w:space="0"/>
              <w:bottom w:val="single" w:color="auto" w:sz="4" w:space="0"/>
              <w:right w:val="single" w:color="auto" w:sz="4" w:space="0"/>
            </w:tcBorders>
          </w:tcPr>
          <w:p w14:paraId="1E718C92">
            <w:pPr>
              <w:tabs>
                <w:tab w:val="left" w:pos="1418"/>
              </w:tabs>
              <w:snapToGrid w:val="0"/>
              <w:spacing w:before="50" w:after="50"/>
              <w:jc w:val="center"/>
              <w:rPr>
                <w:spacing w:val="20"/>
              </w:rPr>
            </w:pPr>
          </w:p>
        </w:tc>
      </w:tr>
      <w:tr w14:paraId="1C1952B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684" w:type="dxa"/>
            <w:tcBorders>
              <w:top w:val="single" w:color="auto" w:sz="4" w:space="0"/>
              <w:left w:val="single" w:color="auto" w:sz="4" w:space="0"/>
              <w:bottom w:val="single" w:color="auto" w:sz="4" w:space="0"/>
              <w:right w:val="single" w:color="auto" w:sz="4" w:space="0"/>
            </w:tcBorders>
          </w:tcPr>
          <w:p w14:paraId="49283E3E">
            <w:pPr>
              <w:tabs>
                <w:tab w:val="left" w:pos="1418"/>
              </w:tabs>
              <w:snapToGrid w:val="0"/>
              <w:spacing w:before="50" w:after="50"/>
              <w:jc w:val="center"/>
              <w:rPr>
                <w:spacing w:val="20"/>
              </w:rPr>
            </w:pPr>
          </w:p>
        </w:tc>
        <w:tc>
          <w:tcPr>
            <w:tcW w:w="4714" w:type="dxa"/>
            <w:gridSpan w:val="3"/>
            <w:tcBorders>
              <w:top w:val="single" w:color="auto" w:sz="4" w:space="0"/>
              <w:left w:val="single" w:color="auto" w:sz="4" w:space="0"/>
              <w:bottom w:val="single" w:color="auto" w:sz="4" w:space="0"/>
              <w:right w:val="single" w:color="auto" w:sz="4" w:space="0"/>
            </w:tcBorders>
          </w:tcPr>
          <w:p w14:paraId="27E8BEE5">
            <w:pPr>
              <w:tabs>
                <w:tab w:val="left" w:pos="1418"/>
              </w:tabs>
              <w:snapToGrid w:val="0"/>
              <w:spacing w:before="50" w:after="50"/>
              <w:rPr>
                <w:spacing w:val="20"/>
              </w:rPr>
            </w:pPr>
          </w:p>
        </w:tc>
        <w:tc>
          <w:tcPr>
            <w:tcW w:w="1440" w:type="dxa"/>
            <w:gridSpan w:val="2"/>
            <w:tcBorders>
              <w:top w:val="single" w:color="auto" w:sz="4" w:space="0"/>
              <w:left w:val="single" w:color="auto" w:sz="4" w:space="0"/>
              <w:bottom w:val="single" w:color="auto" w:sz="4" w:space="0"/>
              <w:right w:val="single" w:color="auto" w:sz="4" w:space="0"/>
            </w:tcBorders>
          </w:tcPr>
          <w:p w14:paraId="26F02006">
            <w:pPr>
              <w:tabs>
                <w:tab w:val="left" w:pos="1418"/>
              </w:tabs>
              <w:snapToGrid w:val="0"/>
              <w:spacing w:before="50" w:after="50"/>
              <w:jc w:val="center"/>
              <w:rPr>
                <w:spacing w:val="20"/>
              </w:rPr>
            </w:pPr>
          </w:p>
        </w:tc>
        <w:tc>
          <w:tcPr>
            <w:tcW w:w="1262" w:type="dxa"/>
            <w:tcBorders>
              <w:top w:val="single" w:color="auto" w:sz="4" w:space="0"/>
              <w:left w:val="single" w:color="auto" w:sz="4" w:space="0"/>
              <w:bottom w:val="single" w:color="auto" w:sz="4" w:space="0"/>
              <w:right w:val="single" w:color="auto" w:sz="4" w:space="0"/>
            </w:tcBorders>
          </w:tcPr>
          <w:p w14:paraId="65094EEF">
            <w:pPr>
              <w:tabs>
                <w:tab w:val="left" w:pos="1418"/>
              </w:tabs>
              <w:snapToGrid w:val="0"/>
              <w:spacing w:before="50" w:after="50"/>
              <w:jc w:val="center"/>
              <w:rPr>
                <w:spacing w:val="20"/>
              </w:rPr>
            </w:pPr>
          </w:p>
        </w:tc>
        <w:tc>
          <w:tcPr>
            <w:tcW w:w="1440" w:type="dxa"/>
            <w:tcBorders>
              <w:top w:val="single" w:color="auto" w:sz="4" w:space="0"/>
              <w:left w:val="single" w:color="auto" w:sz="4" w:space="0"/>
              <w:bottom w:val="single" w:color="auto" w:sz="4" w:space="0"/>
              <w:right w:val="single" w:color="auto" w:sz="4" w:space="0"/>
            </w:tcBorders>
          </w:tcPr>
          <w:p w14:paraId="31260EFA">
            <w:pPr>
              <w:tabs>
                <w:tab w:val="left" w:pos="1418"/>
              </w:tabs>
              <w:snapToGrid w:val="0"/>
              <w:spacing w:before="50" w:after="50"/>
              <w:jc w:val="center"/>
              <w:rPr>
                <w:spacing w:val="20"/>
              </w:rPr>
            </w:pPr>
          </w:p>
        </w:tc>
      </w:tr>
      <w:tr w14:paraId="0881897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84" w:type="dxa"/>
            <w:tcBorders>
              <w:top w:val="single" w:color="auto" w:sz="4" w:space="0"/>
              <w:left w:val="single" w:color="auto" w:sz="4" w:space="0"/>
              <w:bottom w:val="single" w:color="auto" w:sz="4" w:space="0"/>
              <w:right w:val="single" w:color="auto" w:sz="4" w:space="0"/>
            </w:tcBorders>
          </w:tcPr>
          <w:p w14:paraId="12879578">
            <w:pPr>
              <w:tabs>
                <w:tab w:val="left" w:pos="1418"/>
              </w:tabs>
              <w:snapToGrid w:val="0"/>
              <w:spacing w:before="50" w:after="50"/>
              <w:jc w:val="center"/>
              <w:rPr>
                <w:spacing w:val="20"/>
              </w:rPr>
            </w:pPr>
          </w:p>
        </w:tc>
        <w:tc>
          <w:tcPr>
            <w:tcW w:w="4714" w:type="dxa"/>
            <w:gridSpan w:val="3"/>
            <w:tcBorders>
              <w:top w:val="single" w:color="auto" w:sz="4" w:space="0"/>
              <w:left w:val="single" w:color="auto" w:sz="4" w:space="0"/>
              <w:bottom w:val="single" w:color="auto" w:sz="4" w:space="0"/>
              <w:right w:val="single" w:color="auto" w:sz="4" w:space="0"/>
            </w:tcBorders>
          </w:tcPr>
          <w:p w14:paraId="767DE5A5">
            <w:pPr>
              <w:tabs>
                <w:tab w:val="left" w:pos="1418"/>
              </w:tabs>
              <w:snapToGrid w:val="0"/>
              <w:spacing w:before="50" w:after="50"/>
              <w:rPr>
                <w:spacing w:val="20"/>
              </w:rPr>
            </w:pPr>
          </w:p>
        </w:tc>
        <w:tc>
          <w:tcPr>
            <w:tcW w:w="1440" w:type="dxa"/>
            <w:gridSpan w:val="2"/>
            <w:tcBorders>
              <w:top w:val="single" w:color="auto" w:sz="4" w:space="0"/>
              <w:left w:val="single" w:color="auto" w:sz="4" w:space="0"/>
              <w:bottom w:val="single" w:color="auto" w:sz="4" w:space="0"/>
              <w:right w:val="single" w:color="auto" w:sz="4" w:space="0"/>
            </w:tcBorders>
          </w:tcPr>
          <w:p w14:paraId="56DFEEF7">
            <w:pPr>
              <w:tabs>
                <w:tab w:val="left" w:pos="1418"/>
              </w:tabs>
              <w:snapToGrid w:val="0"/>
              <w:spacing w:before="50" w:after="50"/>
              <w:jc w:val="center"/>
              <w:rPr>
                <w:spacing w:val="20"/>
              </w:rPr>
            </w:pPr>
          </w:p>
        </w:tc>
        <w:tc>
          <w:tcPr>
            <w:tcW w:w="1262" w:type="dxa"/>
            <w:tcBorders>
              <w:top w:val="single" w:color="auto" w:sz="4" w:space="0"/>
              <w:left w:val="single" w:color="auto" w:sz="4" w:space="0"/>
              <w:bottom w:val="single" w:color="auto" w:sz="4" w:space="0"/>
              <w:right w:val="single" w:color="auto" w:sz="4" w:space="0"/>
            </w:tcBorders>
          </w:tcPr>
          <w:p w14:paraId="67DF55AA">
            <w:pPr>
              <w:tabs>
                <w:tab w:val="left" w:pos="1418"/>
              </w:tabs>
              <w:snapToGrid w:val="0"/>
              <w:spacing w:before="50" w:after="50"/>
              <w:jc w:val="center"/>
              <w:rPr>
                <w:spacing w:val="20"/>
              </w:rPr>
            </w:pPr>
          </w:p>
        </w:tc>
        <w:tc>
          <w:tcPr>
            <w:tcW w:w="1440" w:type="dxa"/>
            <w:tcBorders>
              <w:top w:val="single" w:color="auto" w:sz="4" w:space="0"/>
              <w:left w:val="single" w:color="auto" w:sz="4" w:space="0"/>
              <w:bottom w:val="single" w:color="auto" w:sz="4" w:space="0"/>
              <w:right w:val="single" w:color="auto" w:sz="4" w:space="0"/>
            </w:tcBorders>
          </w:tcPr>
          <w:p w14:paraId="7DE65616">
            <w:pPr>
              <w:tabs>
                <w:tab w:val="left" w:pos="1418"/>
              </w:tabs>
              <w:snapToGrid w:val="0"/>
              <w:spacing w:before="50" w:after="50"/>
              <w:jc w:val="center"/>
              <w:rPr>
                <w:spacing w:val="20"/>
              </w:rPr>
            </w:pPr>
          </w:p>
        </w:tc>
      </w:tr>
      <w:tr w14:paraId="3166B77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84" w:type="dxa"/>
            <w:tcBorders>
              <w:top w:val="single" w:color="auto" w:sz="4" w:space="0"/>
              <w:left w:val="single" w:color="auto" w:sz="4" w:space="0"/>
              <w:bottom w:val="single" w:color="auto" w:sz="4" w:space="0"/>
              <w:right w:val="single" w:color="auto" w:sz="4" w:space="0"/>
            </w:tcBorders>
          </w:tcPr>
          <w:p w14:paraId="6C82B334">
            <w:pPr>
              <w:tabs>
                <w:tab w:val="left" w:pos="1418"/>
              </w:tabs>
              <w:snapToGrid w:val="0"/>
              <w:spacing w:before="50" w:after="50"/>
              <w:jc w:val="center"/>
              <w:rPr>
                <w:spacing w:val="20"/>
              </w:rPr>
            </w:pPr>
          </w:p>
        </w:tc>
        <w:tc>
          <w:tcPr>
            <w:tcW w:w="4724" w:type="dxa"/>
            <w:gridSpan w:val="4"/>
            <w:tcBorders>
              <w:top w:val="single" w:color="auto" w:sz="4" w:space="0"/>
              <w:left w:val="single" w:color="auto" w:sz="4" w:space="0"/>
              <w:bottom w:val="single" w:color="auto" w:sz="4" w:space="0"/>
              <w:right w:val="single" w:color="auto" w:sz="4" w:space="0"/>
            </w:tcBorders>
          </w:tcPr>
          <w:p w14:paraId="6D21B518">
            <w:pPr>
              <w:tabs>
                <w:tab w:val="left" w:pos="1418"/>
              </w:tabs>
              <w:snapToGrid w:val="0"/>
              <w:spacing w:before="50" w:after="50"/>
              <w:rPr>
                <w:spacing w:val="20"/>
              </w:rPr>
            </w:pPr>
          </w:p>
        </w:tc>
        <w:tc>
          <w:tcPr>
            <w:tcW w:w="2692" w:type="dxa"/>
            <w:gridSpan w:val="2"/>
            <w:tcBorders>
              <w:top w:val="single" w:color="auto" w:sz="4" w:space="0"/>
              <w:left w:val="single" w:color="auto" w:sz="4" w:space="0"/>
              <w:bottom w:val="single" w:color="auto" w:sz="4" w:space="0"/>
              <w:right w:val="single" w:color="auto" w:sz="4" w:space="0"/>
            </w:tcBorders>
          </w:tcPr>
          <w:p w14:paraId="412D4671">
            <w:pPr>
              <w:tabs>
                <w:tab w:val="left" w:pos="1418"/>
              </w:tabs>
              <w:snapToGrid w:val="0"/>
              <w:spacing w:before="50" w:after="50"/>
              <w:ind w:left="8"/>
              <w:rPr>
                <w:spacing w:val="20"/>
              </w:rPr>
            </w:pPr>
          </w:p>
        </w:tc>
        <w:tc>
          <w:tcPr>
            <w:tcW w:w="1440" w:type="dxa"/>
            <w:tcBorders>
              <w:top w:val="single" w:color="auto" w:sz="4" w:space="0"/>
              <w:left w:val="single" w:color="auto" w:sz="4" w:space="0"/>
              <w:bottom w:val="single" w:color="auto" w:sz="4" w:space="0"/>
              <w:right w:val="single" w:color="auto" w:sz="4" w:space="0"/>
            </w:tcBorders>
          </w:tcPr>
          <w:p w14:paraId="00F4261C">
            <w:pPr>
              <w:tabs>
                <w:tab w:val="left" w:pos="1418"/>
              </w:tabs>
              <w:snapToGrid w:val="0"/>
              <w:spacing w:before="50" w:after="50"/>
              <w:jc w:val="center"/>
              <w:rPr>
                <w:spacing w:val="20"/>
              </w:rPr>
            </w:pPr>
          </w:p>
        </w:tc>
      </w:tr>
      <w:tr w14:paraId="35B0641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84" w:type="dxa"/>
            <w:tcBorders>
              <w:top w:val="single" w:color="auto" w:sz="4" w:space="0"/>
              <w:left w:val="single" w:color="auto" w:sz="4" w:space="0"/>
              <w:bottom w:val="single" w:color="auto" w:sz="4" w:space="0"/>
              <w:right w:val="single" w:color="auto" w:sz="4" w:space="0"/>
            </w:tcBorders>
          </w:tcPr>
          <w:p w14:paraId="4C995262">
            <w:pPr>
              <w:tabs>
                <w:tab w:val="left" w:pos="1418"/>
              </w:tabs>
              <w:snapToGrid w:val="0"/>
              <w:spacing w:before="50" w:after="50"/>
              <w:jc w:val="center"/>
              <w:rPr>
                <w:spacing w:val="20"/>
              </w:rPr>
            </w:pPr>
          </w:p>
        </w:tc>
        <w:tc>
          <w:tcPr>
            <w:tcW w:w="4724" w:type="dxa"/>
            <w:gridSpan w:val="4"/>
            <w:tcBorders>
              <w:top w:val="single" w:color="auto" w:sz="4" w:space="0"/>
              <w:left w:val="single" w:color="auto" w:sz="4" w:space="0"/>
              <w:bottom w:val="single" w:color="auto" w:sz="4" w:space="0"/>
              <w:right w:val="single" w:color="auto" w:sz="4" w:space="0"/>
            </w:tcBorders>
          </w:tcPr>
          <w:p w14:paraId="30FA4C23">
            <w:pPr>
              <w:tabs>
                <w:tab w:val="left" w:pos="1418"/>
              </w:tabs>
              <w:snapToGrid w:val="0"/>
              <w:spacing w:before="50" w:after="50"/>
              <w:rPr>
                <w:spacing w:val="20"/>
              </w:rPr>
            </w:pPr>
          </w:p>
        </w:tc>
        <w:tc>
          <w:tcPr>
            <w:tcW w:w="2692" w:type="dxa"/>
            <w:gridSpan w:val="2"/>
            <w:tcBorders>
              <w:top w:val="single" w:color="auto" w:sz="4" w:space="0"/>
              <w:left w:val="single" w:color="auto" w:sz="4" w:space="0"/>
              <w:bottom w:val="single" w:color="auto" w:sz="4" w:space="0"/>
              <w:right w:val="single" w:color="auto" w:sz="4" w:space="0"/>
            </w:tcBorders>
          </w:tcPr>
          <w:p w14:paraId="0D47A44C">
            <w:pPr>
              <w:tabs>
                <w:tab w:val="left" w:pos="1418"/>
              </w:tabs>
              <w:snapToGrid w:val="0"/>
              <w:spacing w:before="50" w:after="50"/>
              <w:ind w:left="8"/>
              <w:rPr>
                <w:spacing w:val="20"/>
              </w:rPr>
            </w:pPr>
          </w:p>
        </w:tc>
        <w:tc>
          <w:tcPr>
            <w:tcW w:w="1440" w:type="dxa"/>
            <w:tcBorders>
              <w:top w:val="single" w:color="auto" w:sz="4" w:space="0"/>
              <w:left w:val="single" w:color="auto" w:sz="4" w:space="0"/>
              <w:bottom w:val="single" w:color="auto" w:sz="4" w:space="0"/>
              <w:right w:val="single" w:color="auto" w:sz="4" w:space="0"/>
            </w:tcBorders>
          </w:tcPr>
          <w:p w14:paraId="1076B953">
            <w:pPr>
              <w:tabs>
                <w:tab w:val="left" w:pos="1418"/>
              </w:tabs>
              <w:snapToGrid w:val="0"/>
              <w:spacing w:before="50" w:after="50"/>
              <w:jc w:val="center"/>
              <w:rPr>
                <w:spacing w:val="20"/>
              </w:rPr>
            </w:pPr>
          </w:p>
        </w:tc>
      </w:tr>
      <w:tr w14:paraId="392BADC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5408" w:type="dxa"/>
            <w:gridSpan w:val="5"/>
            <w:tcBorders>
              <w:top w:val="single" w:color="auto" w:sz="4" w:space="0"/>
              <w:left w:val="single" w:color="auto" w:sz="4" w:space="0"/>
              <w:bottom w:val="single" w:color="auto" w:sz="4" w:space="0"/>
              <w:right w:val="single" w:color="auto" w:sz="4" w:space="0"/>
            </w:tcBorders>
          </w:tcPr>
          <w:p w14:paraId="4AFCB65F">
            <w:pPr>
              <w:tabs>
                <w:tab w:val="left" w:pos="1418"/>
              </w:tabs>
              <w:snapToGrid w:val="0"/>
              <w:spacing w:before="50" w:after="50"/>
              <w:jc w:val="center"/>
              <w:rPr>
                <w:spacing w:val="20"/>
              </w:rPr>
            </w:pPr>
          </w:p>
        </w:tc>
        <w:tc>
          <w:tcPr>
            <w:tcW w:w="4132" w:type="dxa"/>
            <w:gridSpan w:val="3"/>
            <w:tcBorders>
              <w:top w:val="single" w:color="auto" w:sz="4" w:space="0"/>
              <w:left w:val="nil"/>
              <w:bottom w:val="single" w:color="auto" w:sz="4" w:space="0"/>
              <w:right w:val="single" w:color="auto" w:sz="4" w:space="0"/>
            </w:tcBorders>
          </w:tcPr>
          <w:p w14:paraId="5BED498E">
            <w:pPr>
              <w:tabs>
                <w:tab w:val="left" w:pos="1418"/>
              </w:tabs>
              <w:snapToGrid w:val="0"/>
              <w:spacing w:before="50" w:after="50"/>
              <w:jc w:val="center"/>
              <w:rPr>
                <w:spacing w:val="20"/>
              </w:rPr>
            </w:pPr>
          </w:p>
        </w:tc>
      </w:tr>
      <w:tr w14:paraId="76403AB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540" w:type="dxa"/>
            <w:gridSpan w:val="8"/>
            <w:tcBorders>
              <w:top w:val="single" w:color="auto" w:sz="4" w:space="0"/>
              <w:left w:val="single" w:color="auto" w:sz="4" w:space="0"/>
              <w:bottom w:val="single" w:color="auto" w:sz="4" w:space="0"/>
              <w:right w:val="single" w:color="auto" w:sz="4" w:space="0"/>
            </w:tcBorders>
          </w:tcPr>
          <w:p w14:paraId="5BB62898">
            <w:pPr>
              <w:tabs>
                <w:tab w:val="left" w:pos="1418"/>
              </w:tabs>
              <w:snapToGrid w:val="0"/>
              <w:spacing w:before="50" w:after="50"/>
              <w:rPr>
                <w:spacing w:val="20"/>
              </w:rPr>
            </w:pPr>
            <w:r>
              <w:rPr>
                <w:rFonts w:hint="eastAsia"/>
                <w:spacing w:val="20"/>
              </w:rPr>
              <w:t>合计（大写）</w:t>
            </w:r>
          </w:p>
        </w:tc>
      </w:tr>
    </w:tbl>
    <w:p w14:paraId="191A579A">
      <w:pPr>
        <w:snapToGrid w:val="0"/>
      </w:pPr>
    </w:p>
    <w:p w14:paraId="229F7B00">
      <w:pPr>
        <w:snapToGrid w:val="0"/>
        <w:spacing w:before="50" w:after="50"/>
      </w:pPr>
      <w:r>
        <w:rPr>
          <w:rFonts w:hint="eastAsia"/>
        </w:rPr>
        <w:t>投标人名称（盖章）：</w:t>
      </w:r>
    </w:p>
    <w:p w14:paraId="5B3E707C">
      <w:pPr>
        <w:snapToGrid w:val="0"/>
        <w:spacing w:before="50" w:after="50"/>
      </w:pPr>
    </w:p>
    <w:p w14:paraId="056E3BD0">
      <w:pPr>
        <w:snapToGrid w:val="0"/>
        <w:spacing w:before="50" w:after="50"/>
      </w:pPr>
    </w:p>
    <w:p w14:paraId="70F94A37">
      <w:pPr>
        <w:snapToGrid w:val="0"/>
        <w:spacing w:before="50" w:after="50"/>
        <w:rPr>
          <w:spacing w:val="20"/>
          <w:u w:val="single"/>
        </w:rPr>
      </w:pPr>
      <w:r>
        <w:rPr>
          <w:rFonts w:hint="eastAsia"/>
          <w:spacing w:val="20"/>
        </w:rPr>
        <w:t>日期：</w:t>
      </w:r>
    </w:p>
    <w:p w14:paraId="26A10DE7">
      <w:pPr>
        <w:snapToGrid w:val="0"/>
        <w:spacing w:before="50" w:after="50"/>
      </w:pPr>
    </w:p>
    <w:p w14:paraId="0B9F1C61">
      <w:pPr>
        <w:snapToGrid w:val="0"/>
        <w:spacing w:before="120" w:line="312" w:lineRule="auto"/>
        <w:ind w:right="-341"/>
        <w:rPr>
          <w:b/>
          <w:sz w:val="32"/>
        </w:rPr>
      </w:pPr>
    </w:p>
    <w:p w14:paraId="72107753">
      <w:pPr>
        <w:widowControl/>
        <w:jc w:val="left"/>
        <w:rPr>
          <w:b/>
          <w:sz w:val="28"/>
          <w:szCs w:val="28"/>
        </w:rPr>
      </w:pPr>
      <w:r>
        <w:rPr>
          <w:b/>
          <w:sz w:val="28"/>
          <w:szCs w:val="28"/>
        </w:rPr>
        <w:br w:type="page"/>
      </w:r>
    </w:p>
    <w:p w14:paraId="7CBE8CEE">
      <w:pPr>
        <w:snapToGrid w:val="0"/>
        <w:spacing w:before="120" w:line="312" w:lineRule="auto"/>
        <w:ind w:right="-341"/>
        <w:rPr>
          <w:b/>
          <w:sz w:val="28"/>
          <w:szCs w:val="28"/>
        </w:rPr>
      </w:pPr>
    </w:p>
    <w:p w14:paraId="35318850">
      <w:pPr>
        <w:snapToGrid w:val="0"/>
        <w:spacing w:line="360" w:lineRule="auto"/>
        <w:ind w:right="-341"/>
        <w:jc w:val="center"/>
        <w:rPr>
          <w:rFonts w:hint="eastAsia" w:ascii="宋体" w:hAnsi="宋体" w:cs="宋体"/>
          <w:b/>
          <w:kern w:val="0"/>
          <w:sz w:val="28"/>
          <w:szCs w:val="28"/>
        </w:rPr>
      </w:pPr>
      <w:r>
        <w:rPr>
          <w:rFonts w:hint="eastAsia" w:ascii="宋体" w:hAnsi="宋体" w:cs="宋体"/>
          <w:b/>
          <w:kern w:val="0"/>
          <w:sz w:val="28"/>
          <w:szCs w:val="28"/>
        </w:rPr>
        <w:t>四、中小企业声明函（工程、服务）</w:t>
      </w:r>
    </w:p>
    <w:p w14:paraId="484736A9">
      <w:pPr>
        <w:snapToGrid w:val="0"/>
        <w:spacing w:line="360" w:lineRule="auto"/>
        <w:ind w:right="-341"/>
        <w:rPr>
          <w:rFonts w:hint="eastAsia" w:ascii="宋体" w:hAnsi="宋体" w:cs="宋体"/>
          <w:kern w:val="0"/>
          <w:szCs w:val="21"/>
        </w:rPr>
      </w:pPr>
    </w:p>
    <w:p w14:paraId="6F08C3D0">
      <w:pPr>
        <w:snapToGrid w:val="0"/>
        <w:spacing w:line="360" w:lineRule="auto"/>
        <w:ind w:right="-341"/>
        <w:rPr>
          <w:rFonts w:hint="eastAsia" w:ascii="宋体" w:hAnsi="宋体" w:cs="宋体"/>
          <w:kern w:val="0"/>
          <w:szCs w:val="21"/>
        </w:rPr>
      </w:pPr>
    </w:p>
    <w:p w14:paraId="3E4CFB46">
      <w:pPr>
        <w:snapToGrid w:val="0"/>
        <w:spacing w:line="360" w:lineRule="auto"/>
        <w:ind w:right="-341" w:firstLine="420" w:firstLineChars="200"/>
        <w:rPr>
          <w:rFonts w:hint="eastAsia" w:ascii="宋体" w:hAnsi="宋体" w:cs="宋体"/>
          <w:kern w:val="0"/>
          <w:szCs w:val="21"/>
        </w:rPr>
      </w:pPr>
      <w:r>
        <w:rPr>
          <w:rFonts w:hint="eastAsia" w:ascii="宋体" w:hAnsi="宋体" w:cs="宋体"/>
          <w:kern w:val="0"/>
          <w:szCs w:val="21"/>
        </w:rPr>
        <w:t>本公司（联合体）郑重声明，根据《政府采购促进中小企业发展管理办法》（财库﹝2020﹞46号）的规定，本公司（联合体）参加（单位名称）的（项目名称）采购活动，服务全部由符合政策要求的中小企业承接。相关企业（含联合体中的中小企业</w:t>
      </w:r>
      <w:r>
        <w:rPr>
          <w:rFonts w:hint="eastAsia" w:ascii="宋体" w:hAnsi="宋体" w:cs="宋体"/>
          <w:strike w:val="0"/>
          <w:color w:val="auto"/>
          <w:kern w:val="0"/>
          <w:szCs w:val="21"/>
        </w:rPr>
        <w:t>、签订分包意向协议的中小企业</w:t>
      </w:r>
      <w:r>
        <w:rPr>
          <w:rFonts w:hint="eastAsia" w:ascii="宋体" w:hAnsi="宋体" w:cs="宋体"/>
          <w:kern w:val="0"/>
          <w:szCs w:val="21"/>
        </w:rPr>
        <w:t>）的具体情况如下：</w:t>
      </w:r>
    </w:p>
    <w:p w14:paraId="2A5077E2">
      <w:pPr>
        <w:snapToGrid w:val="0"/>
        <w:spacing w:line="360" w:lineRule="auto"/>
        <w:ind w:right="-341" w:firstLine="420" w:firstLineChars="200"/>
        <w:rPr>
          <w:rFonts w:hint="eastAsia" w:ascii="宋体" w:hAnsi="宋体" w:cs="宋体"/>
          <w:kern w:val="0"/>
          <w:szCs w:val="21"/>
        </w:rPr>
      </w:pPr>
      <w:r>
        <w:rPr>
          <w:rFonts w:hint="eastAsia" w:ascii="宋体" w:hAnsi="宋体" w:cs="宋体"/>
          <w:kern w:val="0"/>
          <w:szCs w:val="21"/>
        </w:rPr>
        <w:t>1.（标的名称），属于（采购文件中明确的所属行业）；承建（承接）企业为（企业名称），从业人员人，营业收入为万元，资产总额为万元，属于（中型企业、小型企业、微型企业）；</w:t>
      </w:r>
    </w:p>
    <w:p w14:paraId="6C13EF91">
      <w:pPr>
        <w:snapToGrid w:val="0"/>
        <w:spacing w:line="360" w:lineRule="auto"/>
        <w:ind w:right="-341" w:firstLine="420" w:firstLineChars="200"/>
        <w:rPr>
          <w:rFonts w:hint="eastAsia" w:ascii="宋体" w:hAnsi="宋体" w:cs="宋体"/>
          <w:kern w:val="0"/>
          <w:szCs w:val="21"/>
        </w:rPr>
      </w:pPr>
      <w:r>
        <w:rPr>
          <w:rFonts w:hint="eastAsia" w:ascii="宋体" w:hAnsi="宋体" w:cs="宋体"/>
          <w:kern w:val="0"/>
          <w:szCs w:val="21"/>
        </w:rPr>
        <w:t>2.（标的名称），属于（采购文件中明确的所属行业）；承建（承接）企业为（企业名称），从业人员人，营业收入为万元，资产总额为万元，属于（中型企业、小型企业、微型企业）；</w:t>
      </w:r>
    </w:p>
    <w:p w14:paraId="53DA7F0B">
      <w:pPr>
        <w:snapToGrid w:val="0"/>
        <w:spacing w:line="360" w:lineRule="auto"/>
        <w:ind w:right="-341"/>
        <w:rPr>
          <w:rFonts w:hint="eastAsia" w:ascii="宋体" w:hAnsi="宋体" w:cs="宋体"/>
          <w:kern w:val="0"/>
          <w:szCs w:val="21"/>
        </w:rPr>
      </w:pPr>
      <w:r>
        <w:rPr>
          <w:rFonts w:hint="eastAsia" w:ascii="宋体" w:hAnsi="宋体" w:cs="宋体"/>
          <w:kern w:val="0"/>
          <w:szCs w:val="21"/>
        </w:rPr>
        <w:t>……</w:t>
      </w:r>
    </w:p>
    <w:p w14:paraId="00489C19">
      <w:pPr>
        <w:snapToGrid w:val="0"/>
        <w:spacing w:line="360" w:lineRule="auto"/>
        <w:ind w:right="-341" w:firstLine="420" w:firstLineChars="200"/>
        <w:rPr>
          <w:rFonts w:hint="eastAsia" w:ascii="宋体" w:hAnsi="宋体" w:cs="宋体"/>
          <w:kern w:val="0"/>
          <w:szCs w:val="21"/>
        </w:rPr>
      </w:pPr>
      <w:r>
        <w:rPr>
          <w:rFonts w:hint="eastAsia" w:ascii="宋体" w:hAnsi="宋体" w:cs="宋体"/>
          <w:kern w:val="0"/>
          <w:szCs w:val="21"/>
        </w:rPr>
        <w:t>以上企业，不属于大企业的分支机构，不存在控股股东为大企业的情形，也不存在与大企业的负责人为同一人的情形。</w:t>
      </w:r>
    </w:p>
    <w:p w14:paraId="7C99090D">
      <w:pPr>
        <w:snapToGrid w:val="0"/>
        <w:spacing w:line="360" w:lineRule="auto"/>
        <w:ind w:right="-341" w:firstLine="420" w:firstLineChars="200"/>
        <w:rPr>
          <w:rFonts w:hint="eastAsia" w:ascii="宋体" w:hAnsi="宋体" w:cs="宋体"/>
          <w:kern w:val="0"/>
          <w:szCs w:val="21"/>
        </w:rPr>
      </w:pPr>
      <w:r>
        <w:rPr>
          <w:rFonts w:hint="eastAsia" w:ascii="宋体" w:hAnsi="宋体" w:cs="宋体"/>
          <w:kern w:val="0"/>
          <w:szCs w:val="21"/>
        </w:rPr>
        <w:t>本企业对上述声明内容的真实性负责。如有虚假，将依法承担相应责任。</w:t>
      </w:r>
    </w:p>
    <w:p w14:paraId="15FD2ABE">
      <w:pPr>
        <w:snapToGrid w:val="0"/>
        <w:spacing w:line="360" w:lineRule="auto"/>
        <w:ind w:right="-341"/>
        <w:rPr>
          <w:rFonts w:hint="eastAsia" w:ascii="宋体" w:hAnsi="宋体" w:cs="宋体"/>
          <w:kern w:val="0"/>
          <w:szCs w:val="21"/>
        </w:rPr>
      </w:pPr>
    </w:p>
    <w:p w14:paraId="2C5D75FE">
      <w:pPr>
        <w:snapToGrid w:val="0"/>
        <w:spacing w:line="360" w:lineRule="auto"/>
        <w:ind w:right="-341"/>
        <w:rPr>
          <w:rFonts w:hint="eastAsia" w:ascii="宋体" w:hAnsi="宋体" w:cs="宋体"/>
          <w:kern w:val="0"/>
          <w:szCs w:val="21"/>
        </w:rPr>
      </w:pPr>
      <w:r>
        <w:rPr>
          <w:rFonts w:hint="eastAsia" w:ascii="宋体" w:hAnsi="宋体" w:cs="宋体"/>
          <w:kern w:val="0"/>
          <w:szCs w:val="21"/>
        </w:rPr>
        <w:t>企业名称（盖章）：</w:t>
      </w:r>
    </w:p>
    <w:p w14:paraId="1884693E">
      <w:pPr>
        <w:snapToGrid w:val="0"/>
        <w:spacing w:line="360" w:lineRule="auto"/>
        <w:ind w:right="-341"/>
        <w:jc w:val="left"/>
        <w:rPr>
          <w:rFonts w:hint="eastAsia" w:ascii="宋体" w:hAnsi="宋体" w:cs="宋体"/>
          <w:kern w:val="0"/>
          <w:szCs w:val="21"/>
        </w:rPr>
      </w:pPr>
    </w:p>
    <w:p w14:paraId="03DF6B5F">
      <w:pPr>
        <w:spacing w:line="360" w:lineRule="auto"/>
        <w:ind w:firstLine="630" w:firstLineChars="300"/>
        <w:rPr>
          <w:rFonts w:hint="eastAsia" w:ascii="宋体" w:hAnsi="宋体" w:eastAsia="等线"/>
        </w:rPr>
        <w:sectPr>
          <w:pgSz w:w="11906" w:h="16838"/>
          <w:pgMar w:top="1304" w:right="1531" w:bottom="1304" w:left="1531" w:header="567" w:footer="1304" w:gutter="0"/>
          <w:cols w:space="720" w:num="1"/>
          <w:docGrid w:linePitch="286" w:charSpace="0"/>
        </w:sectPr>
      </w:pPr>
      <w:r>
        <w:rPr>
          <w:rFonts w:hint="eastAsia" w:ascii="宋体" w:hAnsi="宋体" w:cs="宋体"/>
          <w:kern w:val="0"/>
          <w:szCs w:val="21"/>
        </w:rPr>
        <w:t>日期：</w:t>
      </w:r>
    </w:p>
    <w:p w14:paraId="0FA3B861">
      <w:pPr>
        <w:snapToGrid w:val="0"/>
        <w:spacing w:line="360" w:lineRule="auto"/>
        <w:ind w:right="-341"/>
      </w:pPr>
    </w:p>
    <w:p w14:paraId="16E5261A">
      <w:pPr>
        <w:spacing w:after="120"/>
      </w:pPr>
    </w:p>
    <w:p w14:paraId="6FF36425">
      <w:pPr>
        <w:spacing w:line="360" w:lineRule="auto"/>
        <w:ind w:firstLine="3132" w:firstLineChars="1300"/>
        <w:rPr>
          <w:b/>
          <w:sz w:val="24"/>
          <w:szCs w:val="24"/>
        </w:rPr>
      </w:pPr>
      <w:r>
        <w:rPr>
          <w:rFonts w:hint="eastAsia"/>
          <w:b/>
          <w:sz w:val="24"/>
          <w:szCs w:val="24"/>
        </w:rPr>
        <w:t>监狱企业声明函</w:t>
      </w:r>
    </w:p>
    <w:p w14:paraId="6755E230">
      <w:pPr>
        <w:spacing w:line="360" w:lineRule="auto"/>
        <w:ind w:firstLine="2640" w:firstLineChars="1100"/>
        <w:rPr>
          <w:sz w:val="24"/>
          <w:szCs w:val="24"/>
        </w:rPr>
      </w:pPr>
      <w:r>
        <w:rPr>
          <w:rFonts w:hint="eastAsia"/>
          <w:sz w:val="24"/>
          <w:szCs w:val="24"/>
        </w:rPr>
        <w:t>【非监狱企业不用提供】</w:t>
      </w:r>
    </w:p>
    <w:p w14:paraId="64D34A4A">
      <w:pPr>
        <w:spacing w:line="360" w:lineRule="auto"/>
        <w:ind w:firstLine="480"/>
        <w:rPr>
          <w:szCs w:val="21"/>
        </w:rPr>
      </w:pPr>
    </w:p>
    <w:p w14:paraId="18D5E695">
      <w:pPr>
        <w:spacing w:line="360" w:lineRule="auto"/>
        <w:ind w:firstLine="525" w:firstLineChars="250"/>
        <w:rPr>
          <w:szCs w:val="21"/>
        </w:rPr>
      </w:pPr>
      <w:r>
        <w:rPr>
          <w:rFonts w:hint="eastAsia"/>
          <w:szCs w:val="21"/>
        </w:rPr>
        <w:t>监狱企业参加政府采购活动时，应当提供由省级以上监狱管理本企业郑重声明，根据《关于政府采购支持监狱企业发展有关问题的通知》（财库</w:t>
      </w:r>
      <w:r>
        <w:rPr>
          <w:szCs w:val="21"/>
        </w:rPr>
        <w:t>[2014]68</w:t>
      </w:r>
      <w:r>
        <w:rPr>
          <w:rFonts w:hint="eastAsia"/>
          <w:szCs w:val="21"/>
        </w:rPr>
        <w:t>号）的规定，本企业为监狱企业。</w:t>
      </w:r>
    </w:p>
    <w:p w14:paraId="60FB929B">
      <w:pPr>
        <w:spacing w:line="360" w:lineRule="auto"/>
        <w:ind w:firstLine="480"/>
        <w:rPr>
          <w:szCs w:val="21"/>
        </w:rPr>
      </w:pPr>
      <w:r>
        <w:rPr>
          <w:rFonts w:hint="eastAsia"/>
          <w:szCs w:val="21"/>
        </w:rPr>
        <w:t>根据上述标准，我企业属于监狱企业的理由为：。</w:t>
      </w:r>
    </w:p>
    <w:p w14:paraId="2E343228">
      <w:pPr>
        <w:spacing w:line="360" w:lineRule="auto"/>
        <w:ind w:firstLine="480"/>
        <w:rPr>
          <w:szCs w:val="21"/>
        </w:rPr>
      </w:pPr>
      <w:r>
        <w:rPr>
          <w:rFonts w:hint="eastAsia"/>
          <w:szCs w:val="21"/>
        </w:rPr>
        <w:t>本企业为参加（项目名称：）（项目编号：）采购活动提供本企业的产品。</w:t>
      </w:r>
    </w:p>
    <w:p w14:paraId="2374E6F3">
      <w:pPr>
        <w:spacing w:line="360" w:lineRule="auto"/>
        <w:ind w:firstLine="480"/>
        <w:rPr>
          <w:szCs w:val="21"/>
        </w:rPr>
      </w:pPr>
      <w:r>
        <w:rPr>
          <w:rFonts w:hint="eastAsia"/>
          <w:szCs w:val="21"/>
        </w:rPr>
        <w:t>本企业对上述声明的真实性负责。如有虚假，将依法承担相应责任。</w:t>
      </w:r>
    </w:p>
    <w:p w14:paraId="56CCB784">
      <w:pPr>
        <w:spacing w:line="360" w:lineRule="auto"/>
        <w:ind w:firstLine="480"/>
        <w:rPr>
          <w:szCs w:val="21"/>
        </w:rPr>
      </w:pPr>
    </w:p>
    <w:p w14:paraId="06A9287C">
      <w:pPr>
        <w:spacing w:line="360" w:lineRule="auto"/>
        <w:ind w:firstLine="480"/>
        <w:rPr>
          <w:szCs w:val="21"/>
        </w:rPr>
      </w:pPr>
      <w:r>
        <w:rPr>
          <w:rFonts w:hint="eastAsia"/>
          <w:szCs w:val="21"/>
        </w:rPr>
        <w:t>投标人名称（盖章）：</w:t>
      </w:r>
    </w:p>
    <w:p w14:paraId="2282D53F">
      <w:pPr>
        <w:spacing w:line="360" w:lineRule="auto"/>
        <w:ind w:firstLine="480"/>
        <w:rPr>
          <w:szCs w:val="21"/>
        </w:rPr>
      </w:pPr>
      <w:r>
        <w:rPr>
          <w:rFonts w:hint="eastAsia"/>
          <w:szCs w:val="21"/>
        </w:rPr>
        <w:t>日期：年月日</w:t>
      </w:r>
    </w:p>
    <w:p w14:paraId="103B8E35">
      <w:pPr>
        <w:spacing w:line="360" w:lineRule="auto"/>
        <w:ind w:firstLine="480"/>
        <w:rPr>
          <w:szCs w:val="21"/>
        </w:rPr>
      </w:pPr>
    </w:p>
    <w:p w14:paraId="57CB4332">
      <w:pPr>
        <w:spacing w:line="360" w:lineRule="auto"/>
        <w:ind w:firstLine="480"/>
        <w:rPr>
          <w:szCs w:val="21"/>
        </w:rPr>
      </w:pPr>
    </w:p>
    <w:p w14:paraId="2BDDBAFE">
      <w:pPr>
        <w:spacing w:line="360" w:lineRule="auto"/>
        <w:ind w:firstLine="480"/>
        <w:rPr>
          <w:szCs w:val="21"/>
        </w:rPr>
      </w:pPr>
      <w:r>
        <w:rPr>
          <w:rFonts w:hint="eastAsia"/>
          <w:szCs w:val="21"/>
        </w:rPr>
        <w:t>投标人为监狱企业的提供此函。</w:t>
      </w:r>
    </w:p>
    <w:p w14:paraId="745B7657">
      <w:pPr>
        <w:spacing w:line="360" w:lineRule="auto"/>
        <w:ind w:firstLine="480"/>
        <w:rPr>
          <w:szCs w:val="21"/>
        </w:rPr>
      </w:pPr>
      <w:r>
        <w:rPr>
          <w:rFonts w:hint="eastAsia"/>
          <w:szCs w:val="21"/>
        </w:rPr>
        <w:t>局、戒毒管理局（含新疆生产建设兵团）出具的属于监狱企业的证明文件。</w:t>
      </w:r>
    </w:p>
    <w:p w14:paraId="73D7E02A">
      <w:pPr>
        <w:spacing w:line="360" w:lineRule="auto"/>
        <w:ind w:firstLine="480"/>
        <w:rPr>
          <w:szCs w:val="21"/>
        </w:rPr>
      </w:pPr>
      <w:r>
        <w:rPr>
          <w:rFonts w:hint="eastAsia"/>
          <w:szCs w:val="21"/>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3BBF8F23">
      <w:pPr>
        <w:spacing w:line="360" w:lineRule="auto"/>
        <w:ind w:firstLine="480"/>
        <w:rPr>
          <w:szCs w:val="21"/>
        </w:rPr>
      </w:pPr>
    </w:p>
    <w:p w14:paraId="3EE31080">
      <w:pPr>
        <w:spacing w:line="360" w:lineRule="auto"/>
        <w:ind w:firstLine="480"/>
        <w:rPr>
          <w:szCs w:val="21"/>
        </w:rPr>
      </w:pPr>
    </w:p>
    <w:p w14:paraId="27FCCFB9">
      <w:pPr>
        <w:spacing w:line="360" w:lineRule="auto"/>
        <w:ind w:firstLine="480"/>
        <w:rPr>
          <w:szCs w:val="21"/>
        </w:rPr>
      </w:pPr>
    </w:p>
    <w:p w14:paraId="28B9C227">
      <w:pPr>
        <w:spacing w:line="360" w:lineRule="auto"/>
        <w:ind w:firstLine="480"/>
        <w:rPr>
          <w:szCs w:val="21"/>
        </w:rPr>
      </w:pPr>
    </w:p>
    <w:p w14:paraId="795A12C1">
      <w:pPr>
        <w:spacing w:line="360" w:lineRule="auto"/>
        <w:ind w:firstLine="480"/>
        <w:rPr>
          <w:szCs w:val="21"/>
        </w:rPr>
      </w:pPr>
    </w:p>
    <w:p w14:paraId="0F8E65FC">
      <w:pPr>
        <w:spacing w:line="360" w:lineRule="auto"/>
        <w:ind w:firstLine="480"/>
        <w:rPr>
          <w:szCs w:val="21"/>
        </w:rPr>
      </w:pPr>
    </w:p>
    <w:p w14:paraId="64EB2F5D">
      <w:pPr>
        <w:spacing w:line="360" w:lineRule="auto"/>
        <w:ind w:firstLine="480"/>
        <w:rPr>
          <w:szCs w:val="21"/>
        </w:rPr>
      </w:pPr>
    </w:p>
    <w:p w14:paraId="2D84F32E">
      <w:pPr>
        <w:spacing w:line="360" w:lineRule="auto"/>
        <w:ind w:firstLine="480"/>
        <w:rPr>
          <w:szCs w:val="21"/>
        </w:rPr>
      </w:pPr>
    </w:p>
    <w:p w14:paraId="6071F0DE">
      <w:pPr>
        <w:spacing w:line="360" w:lineRule="auto"/>
        <w:ind w:firstLine="480"/>
        <w:rPr>
          <w:szCs w:val="21"/>
        </w:rPr>
      </w:pPr>
    </w:p>
    <w:p w14:paraId="0E326798">
      <w:pPr>
        <w:spacing w:line="360" w:lineRule="auto"/>
        <w:ind w:firstLine="480"/>
        <w:rPr>
          <w:szCs w:val="21"/>
        </w:rPr>
      </w:pPr>
    </w:p>
    <w:p w14:paraId="3EBCD7C2">
      <w:pPr>
        <w:spacing w:line="360" w:lineRule="auto"/>
        <w:ind w:firstLine="480"/>
        <w:rPr>
          <w:szCs w:val="21"/>
        </w:rPr>
      </w:pPr>
    </w:p>
    <w:p w14:paraId="6DAE0763">
      <w:pPr>
        <w:spacing w:line="360" w:lineRule="auto"/>
        <w:ind w:firstLine="480"/>
        <w:rPr>
          <w:szCs w:val="21"/>
        </w:rPr>
      </w:pPr>
    </w:p>
    <w:p w14:paraId="485E5FF8">
      <w:pPr>
        <w:spacing w:line="360" w:lineRule="auto"/>
        <w:ind w:firstLine="480"/>
        <w:rPr>
          <w:szCs w:val="21"/>
        </w:rPr>
      </w:pPr>
    </w:p>
    <w:p w14:paraId="6794826F">
      <w:pPr>
        <w:spacing w:line="360" w:lineRule="auto"/>
        <w:ind w:firstLine="105" w:firstLineChars="50"/>
        <w:rPr>
          <w:szCs w:val="21"/>
        </w:rPr>
      </w:pPr>
    </w:p>
    <w:p w14:paraId="475CD841">
      <w:pPr>
        <w:spacing w:line="360" w:lineRule="auto"/>
        <w:rPr>
          <w:b/>
          <w:sz w:val="24"/>
          <w:szCs w:val="24"/>
        </w:rPr>
      </w:pPr>
    </w:p>
    <w:p w14:paraId="4FE12016">
      <w:pPr>
        <w:spacing w:line="360" w:lineRule="auto"/>
        <w:jc w:val="center"/>
        <w:rPr>
          <w:b/>
          <w:sz w:val="24"/>
          <w:szCs w:val="24"/>
        </w:rPr>
      </w:pPr>
    </w:p>
    <w:p w14:paraId="0A98CA1B">
      <w:pPr>
        <w:spacing w:line="360" w:lineRule="auto"/>
        <w:jc w:val="center"/>
        <w:rPr>
          <w:b/>
          <w:sz w:val="24"/>
          <w:szCs w:val="24"/>
        </w:rPr>
      </w:pPr>
      <w:r>
        <w:rPr>
          <w:rFonts w:hint="eastAsia"/>
          <w:b/>
          <w:sz w:val="24"/>
          <w:szCs w:val="24"/>
        </w:rPr>
        <w:t>残疾人福利性单位声明函</w:t>
      </w:r>
    </w:p>
    <w:p w14:paraId="228E26AE">
      <w:pPr>
        <w:spacing w:line="360" w:lineRule="auto"/>
        <w:ind w:firstLine="2835" w:firstLineChars="1350"/>
        <w:rPr>
          <w:szCs w:val="21"/>
        </w:rPr>
      </w:pPr>
      <w:r>
        <w:rPr>
          <w:rFonts w:hint="eastAsia"/>
          <w:szCs w:val="21"/>
        </w:rPr>
        <w:t>【非残疾人福利性单位不用提供】</w:t>
      </w:r>
    </w:p>
    <w:p w14:paraId="426EB5E1">
      <w:pPr>
        <w:spacing w:line="360" w:lineRule="auto"/>
        <w:rPr>
          <w:szCs w:val="21"/>
        </w:rPr>
      </w:pPr>
    </w:p>
    <w:p w14:paraId="2C445C52">
      <w:pPr>
        <w:spacing w:line="360" w:lineRule="auto"/>
        <w:ind w:firstLine="420" w:firstLineChars="200"/>
        <w:rPr>
          <w:szCs w:val="21"/>
        </w:rPr>
      </w:pPr>
      <w:r>
        <w:rPr>
          <w:rFonts w:hint="eastAsia"/>
          <w:szCs w:val="21"/>
        </w:rPr>
        <w:t>本单位郑重声明，根据《财政部民政部中国残疾人联合会关于促进残疾人就业政府采购政策的通知》（财库〔</w:t>
      </w:r>
      <w:r>
        <w:rPr>
          <w:szCs w:val="21"/>
        </w:rPr>
        <w:t>2017</w:t>
      </w:r>
      <w:r>
        <w:rPr>
          <w:rFonts w:hint="eastAsia"/>
          <w:szCs w:val="21"/>
        </w:rPr>
        <w:t>〕</w:t>
      </w:r>
      <w:r>
        <w:rPr>
          <w:szCs w:val="21"/>
        </w:rPr>
        <w:t>141</w:t>
      </w:r>
      <w:r>
        <w:rPr>
          <w:rFonts w:hint="eastAsia"/>
          <w:szCs w:val="21"/>
        </w:rPr>
        <w:t>号）的规定，本单位为符合条件的残疾人福利性单位，且本单位参加（采购人名称）单位的（项目名称）项目采购活动提供本单位制造的货物（由本单位承担工程</w:t>
      </w:r>
      <w:r>
        <w:rPr>
          <w:szCs w:val="21"/>
        </w:rPr>
        <w:t>/</w:t>
      </w:r>
      <w:r>
        <w:rPr>
          <w:rFonts w:hint="eastAsia"/>
          <w:szCs w:val="21"/>
        </w:rPr>
        <w:t>提供服务），或者提供其他残疾人福利性单位制造的货物（不包括使用非残疾人福利性单位注册商标的货物）。</w:t>
      </w:r>
    </w:p>
    <w:p w14:paraId="559678A0">
      <w:pPr>
        <w:spacing w:line="360" w:lineRule="auto"/>
        <w:ind w:firstLine="420" w:firstLineChars="200"/>
        <w:rPr>
          <w:szCs w:val="21"/>
        </w:rPr>
      </w:pPr>
      <w:r>
        <w:rPr>
          <w:rFonts w:hint="eastAsia"/>
          <w:szCs w:val="21"/>
        </w:rPr>
        <w:t>本单位对上述声明的真实性负责。如有虚假，将依法承担相应责任。</w:t>
      </w:r>
    </w:p>
    <w:p w14:paraId="089E6CDE">
      <w:pPr>
        <w:spacing w:line="360" w:lineRule="auto"/>
        <w:rPr>
          <w:szCs w:val="21"/>
        </w:rPr>
      </w:pPr>
    </w:p>
    <w:p w14:paraId="40C332DA">
      <w:pPr>
        <w:spacing w:line="360" w:lineRule="auto"/>
        <w:rPr>
          <w:szCs w:val="21"/>
        </w:rPr>
      </w:pPr>
    </w:p>
    <w:p w14:paraId="1B82A37F">
      <w:pPr>
        <w:spacing w:line="360" w:lineRule="auto"/>
        <w:rPr>
          <w:szCs w:val="21"/>
        </w:rPr>
      </w:pPr>
      <w:r>
        <w:rPr>
          <w:rFonts w:hint="eastAsia"/>
          <w:szCs w:val="21"/>
        </w:rPr>
        <w:t>投标人名称（盖章）：</w:t>
      </w:r>
    </w:p>
    <w:p w14:paraId="7DC711DB">
      <w:pPr>
        <w:spacing w:line="360" w:lineRule="auto"/>
        <w:rPr>
          <w:szCs w:val="21"/>
        </w:rPr>
      </w:pPr>
      <w:r>
        <w:rPr>
          <w:rFonts w:hint="eastAsia"/>
          <w:szCs w:val="21"/>
        </w:rPr>
        <w:t>日期：年月日</w:t>
      </w:r>
    </w:p>
    <w:p w14:paraId="5904ECC7">
      <w:pPr>
        <w:spacing w:line="360" w:lineRule="auto"/>
        <w:ind w:firstLine="480"/>
        <w:rPr>
          <w:szCs w:val="21"/>
        </w:rPr>
      </w:pPr>
      <w:r>
        <w:rPr>
          <w:rFonts w:hint="eastAsia"/>
          <w:szCs w:val="21"/>
        </w:rPr>
        <w:t>说明：投标人为残疾人福利性单位的提供此函。</w:t>
      </w:r>
    </w:p>
    <w:p w14:paraId="2CFC6FA0">
      <w:pPr>
        <w:snapToGrid w:val="0"/>
        <w:spacing w:line="360" w:lineRule="auto"/>
        <w:ind w:right="-341"/>
      </w:pPr>
    </w:p>
    <w:p w14:paraId="6B532517">
      <w:pPr>
        <w:snapToGrid w:val="0"/>
        <w:spacing w:line="360" w:lineRule="auto"/>
        <w:ind w:right="-341"/>
      </w:pPr>
    </w:p>
    <w:p w14:paraId="6FC2C6A2">
      <w:pPr>
        <w:snapToGrid w:val="0"/>
        <w:spacing w:line="360" w:lineRule="auto"/>
        <w:ind w:right="-341"/>
      </w:pPr>
    </w:p>
    <w:p w14:paraId="1E4B289E">
      <w:pPr>
        <w:snapToGrid w:val="0"/>
        <w:spacing w:line="360" w:lineRule="auto"/>
        <w:ind w:right="-341"/>
      </w:pPr>
    </w:p>
    <w:p w14:paraId="4462014D">
      <w:pPr>
        <w:snapToGrid w:val="0"/>
        <w:spacing w:line="312" w:lineRule="auto"/>
        <w:ind w:right="-341"/>
        <w:rPr>
          <w:b/>
        </w:rPr>
      </w:pPr>
    </w:p>
    <w:p w14:paraId="7ED8C0E2">
      <w:pPr>
        <w:snapToGrid w:val="0"/>
        <w:spacing w:line="312" w:lineRule="auto"/>
        <w:ind w:right="-341"/>
        <w:rPr>
          <w:b/>
        </w:rPr>
      </w:pPr>
    </w:p>
    <w:p w14:paraId="5C6C9D1B">
      <w:pPr>
        <w:snapToGrid w:val="0"/>
        <w:spacing w:line="312" w:lineRule="auto"/>
        <w:ind w:right="-341"/>
        <w:rPr>
          <w:b/>
        </w:rPr>
      </w:pPr>
    </w:p>
    <w:p w14:paraId="4DD3EA27">
      <w:pPr>
        <w:snapToGrid w:val="0"/>
        <w:spacing w:line="312" w:lineRule="auto"/>
        <w:ind w:right="-341"/>
        <w:rPr>
          <w:b/>
        </w:rPr>
      </w:pPr>
    </w:p>
    <w:p w14:paraId="55CAAFBC">
      <w:pPr>
        <w:snapToGrid w:val="0"/>
        <w:spacing w:line="312" w:lineRule="auto"/>
        <w:ind w:right="-341"/>
        <w:rPr>
          <w:b/>
        </w:rPr>
      </w:pPr>
    </w:p>
    <w:p w14:paraId="5BC4A9C5">
      <w:pPr>
        <w:snapToGrid w:val="0"/>
        <w:spacing w:line="312" w:lineRule="auto"/>
        <w:ind w:right="-341"/>
        <w:rPr>
          <w:b/>
        </w:rPr>
      </w:pPr>
    </w:p>
    <w:p w14:paraId="22B1C8AE">
      <w:pPr>
        <w:snapToGrid w:val="0"/>
        <w:spacing w:line="312" w:lineRule="auto"/>
        <w:ind w:right="-341"/>
        <w:rPr>
          <w:b/>
        </w:rPr>
      </w:pPr>
    </w:p>
    <w:p w14:paraId="196C7416">
      <w:pPr>
        <w:snapToGrid w:val="0"/>
        <w:spacing w:before="120" w:line="312" w:lineRule="auto"/>
        <w:ind w:right="-341"/>
        <w:rPr>
          <w:b/>
          <w:sz w:val="32"/>
        </w:rPr>
      </w:pPr>
    </w:p>
    <w:p w14:paraId="70AE1E4C">
      <w:pPr>
        <w:rPr>
          <w:sz w:val="18"/>
          <w:szCs w:val="24"/>
        </w:rPr>
      </w:pPr>
    </w:p>
    <w:p w14:paraId="62CD2D30">
      <w:pPr>
        <w:spacing w:after="120"/>
      </w:pPr>
    </w:p>
    <w:p w14:paraId="744B73B5">
      <w:pPr>
        <w:snapToGrid w:val="0"/>
        <w:spacing w:before="120" w:line="312" w:lineRule="auto"/>
        <w:ind w:right="-341"/>
        <w:jc w:val="center"/>
        <w:rPr>
          <w:b/>
          <w:sz w:val="32"/>
        </w:rPr>
      </w:pPr>
    </w:p>
    <w:p w14:paraId="0DA2EED4">
      <w:pPr>
        <w:snapToGrid w:val="0"/>
        <w:spacing w:before="120" w:line="312" w:lineRule="auto"/>
        <w:ind w:right="-341"/>
        <w:jc w:val="center"/>
        <w:rPr>
          <w:b/>
          <w:sz w:val="32"/>
        </w:rPr>
      </w:pPr>
    </w:p>
    <w:p w14:paraId="3EB0E919">
      <w:pPr>
        <w:snapToGrid w:val="0"/>
        <w:spacing w:before="120" w:line="312" w:lineRule="auto"/>
        <w:ind w:right="-341"/>
        <w:jc w:val="center"/>
        <w:rPr>
          <w:b/>
          <w:sz w:val="32"/>
        </w:rPr>
      </w:pPr>
    </w:p>
    <w:p w14:paraId="23EB32C2">
      <w:pPr>
        <w:snapToGrid w:val="0"/>
        <w:spacing w:before="120" w:line="312" w:lineRule="auto"/>
        <w:ind w:right="-341"/>
        <w:jc w:val="center"/>
        <w:rPr>
          <w:b/>
          <w:sz w:val="32"/>
        </w:rPr>
      </w:pPr>
    </w:p>
    <w:p w14:paraId="11070BAE">
      <w:pPr>
        <w:snapToGrid w:val="0"/>
        <w:spacing w:before="120" w:line="312" w:lineRule="auto"/>
        <w:ind w:right="-341"/>
        <w:jc w:val="center"/>
        <w:rPr>
          <w:b/>
          <w:sz w:val="32"/>
        </w:rPr>
      </w:pPr>
      <w:r>
        <w:rPr>
          <w:rFonts w:hint="eastAsia"/>
          <w:b/>
          <w:sz w:val="32"/>
        </w:rPr>
        <w:t>五、投标函</w:t>
      </w:r>
    </w:p>
    <w:p w14:paraId="5657C576">
      <w:pPr>
        <w:snapToGrid w:val="0"/>
        <w:spacing w:line="312" w:lineRule="auto"/>
        <w:ind w:right="-341"/>
      </w:pPr>
    </w:p>
    <w:p w14:paraId="003F2300">
      <w:pPr>
        <w:snapToGrid w:val="0"/>
        <w:spacing w:line="312" w:lineRule="auto"/>
        <w:ind w:right="-341"/>
      </w:pPr>
      <w:r>
        <w:rPr>
          <w:rFonts w:hint="eastAsia"/>
        </w:rPr>
        <w:t>致：</w:t>
      </w:r>
      <w:r>
        <w:t>_</w:t>
      </w:r>
      <w:r>
        <w:rPr>
          <w:rFonts w:hint="eastAsia"/>
          <w:u w:val="single"/>
        </w:rPr>
        <w:t>深圳市国信招标有限公司</w:t>
      </w:r>
      <w:r>
        <w:t>_</w:t>
      </w:r>
      <w:r>
        <w:rPr>
          <w:rFonts w:hint="eastAsia"/>
        </w:rPr>
        <w:t>：</w:t>
      </w:r>
    </w:p>
    <w:p w14:paraId="112E7664">
      <w:pPr>
        <w:snapToGrid w:val="0"/>
        <w:spacing w:line="312" w:lineRule="auto"/>
        <w:ind w:right="-341" w:firstLine="480"/>
        <w:rPr>
          <w:spacing w:val="-4"/>
          <w:kern w:val="0"/>
          <w:szCs w:val="21"/>
        </w:rPr>
      </w:pPr>
      <w:r>
        <w:rPr>
          <w:rFonts w:hint="eastAsia"/>
        </w:rPr>
        <w:t>根据贵方为</w:t>
      </w:r>
      <w:r>
        <w:rPr>
          <w:rFonts w:hint="eastAsia"/>
          <w:u w:val="single"/>
        </w:rPr>
        <w:t xml:space="preserve">        </w:t>
      </w:r>
      <w:r>
        <w:rPr>
          <w:rFonts w:hint="eastAsia"/>
        </w:rPr>
        <w:t>项目的招标公告（项目编号：</w:t>
      </w:r>
      <w:r>
        <w:t>____</w:t>
      </w:r>
      <w:r>
        <w:rPr>
          <w:u w:val="single"/>
        </w:rPr>
        <w:t>__</w:t>
      </w:r>
      <w:r>
        <w:t>_</w:t>
      </w:r>
      <w:r>
        <w:rPr>
          <w:rFonts w:hint="eastAsia"/>
        </w:rPr>
        <w:t>）</w:t>
      </w:r>
      <w:r>
        <w:rPr>
          <w:rFonts w:hint="eastAsia"/>
          <w:spacing w:val="-4"/>
          <w:kern w:val="0"/>
          <w:szCs w:val="21"/>
        </w:rPr>
        <w:t>，同意如下：</w:t>
      </w:r>
    </w:p>
    <w:p w14:paraId="3E80A76E">
      <w:pPr>
        <w:widowControl/>
        <w:spacing w:line="360" w:lineRule="auto"/>
        <w:ind w:right="-341" w:firstLine="387" w:firstLineChars="192"/>
        <w:rPr>
          <w:spacing w:val="-4"/>
          <w:kern w:val="0"/>
          <w:szCs w:val="21"/>
        </w:rPr>
      </w:pPr>
      <w:r>
        <w:rPr>
          <w:spacing w:val="-4"/>
          <w:kern w:val="0"/>
          <w:szCs w:val="21"/>
        </w:rPr>
        <w:t>1.</w:t>
      </w:r>
      <w:r>
        <w:rPr>
          <w:rFonts w:hint="eastAsia"/>
          <w:spacing w:val="-4"/>
          <w:kern w:val="0"/>
          <w:szCs w:val="21"/>
        </w:rPr>
        <w:t>我方已详细审查了采购文件的全部内容及其相关补充文件</w:t>
      </w:r>
      <w:r>
        <w:rPr>
          <w:rFonts w:hint="eastAsia"/>
          <w:b/>
          <w:spacing w:val="-4"/>
          <w:kern w:val="0"/>
          <w:szCs w:val="21"/>
        </w:rPr>
        <w:t>（如有）</w:t>
      </w:r>
      <w:r>
        <w:rPr>
          <w:rFonts w:hint="eastAsia"/>
          <w:spacing w:val="-4"/>
          <w:kern w:val="0"/>
          <w:szCs w:val="21"/>
        </w:rPr>
        <w:t>，并完全清晰理解全部内容及相关的补充文件</w:t>
      </w:r>
      <w:r>
        <w:rPr>
          <w:rFonts w:hint="eastAsia"/>
          <w:b/>
          <w:spacing w:val="-4"/>
          <w:kern w:val="0"/>
          <w:szCs w:val="21"/>
        </w:rPr>
        <w:t>（如有）</w:t>
      </w:r>
      <w:r>
        <w:rPr>
          <w:rFonts w:hint="eastAsia"/>
          <w:spacing w:val="-4"/>
          <w:kern w:val="0"/>
          <w:szCs w:val="21"/>
        </w:rPr>
        <w:t>，不存在任何误解之处，同意放弃提出异议和质疑的权利。</w:t>
      </w:r>
    </w:p>
    <w:p w14:paraId="68A40BA5">
      <w:pPr>
        <w:snapToGrid w:val="0"/>
        <w:spacing w:line="360" w:lineRule="auto"/>
        <w:ind w:right="-341" w:firstLine="404" w:firstLineChars="200"/>
        <w:rPr>
          <w:spacing w:val="-4"/>
          <w:szCs w:val="21"/>
        </w:rPr>
      </w:pPr>
      <w:r>
        <w:rPr>
          <w:spacing w:val="-4"/>
          <w:szCs w:val="21"/>
        </w:rPr>
        <w:t>2.</w:t>
      </w:r>
      <w:r>
        <w:rPr>
          <w:rFonts w:hint="eastAsia"/>
          <w:spacing w:val="-4"/>
          <w:szCs w:val="21"/>
        </w:rPr>
        <w:t>我方遵守《中华人民共和国政府采购法》及相关法律法规的规定。同意采购文件中所提到的无效标条款，并服从有关开标会议纪律。否则，同意被废除投标资格。</w:t>
      </w:r>
    </w:p>
    <w:p w14:paraId="785F9F71">
      <w:pPr>
        <w:spacing w:line="360" w:lineRule="auto"/>
        <w:ind w:right="-341" w:firstLine="404" w:firstLineChars="200"/>
        <w:rPr>
          <w:spacing w:val="-4"/>
          <w:szCs w:val="21"/>
        </w:rPr>
      </w:pPr>
      <w:r>
        <w:rPr>
          <w:spacing w:val="-4"/>
          <w:szCs w:val="21"/>
        </w:rPr>
        <w:t>3.</w:t>
      </w:r>
      <w:r>
        <w:rPr>
          <w:rFonts w:hint="eastAsia"/>
          <w:spacing w:val="-4"/>
          <w:szCs w:val="21"/>
        </w:rPr>
        <w:t>我方所提供的一次性投标产品报价均具充分的合理性和准确性，保证不存在低于成本的恶意报价行为，同时清楚理解到报价最低并非意味着必定获得合同授予资格。</w:t>
      </w:r>
    </w:p>
    <w:p w14:paraId="07749E7A">
      <w:pPr>
        <w:spacing w:line="360" w:lineRule="auto"/>
        <w:ind w:right="-341" w:firstLine="404" w:firstLineChars="200"/>
        <w:rPr>
          <w:spacing w:val="-4"/>
          <w:szCs w:val="21"/>
        </w:rPr>
      </w:pPr>
      <w:r>
        <w:rPr>
          <w:spacing w:val="-4"/>
          <w:szCs w:val="21"/>
        </w:rPr>
        <w:t>4.</w:t>
      </w:r>
      <w:r>
        <w:rPr>
          <w:rFonts w:hint="eastAsia"/>
          <w:spacing w:val="-4"/>
          <w:szCs w:val="21"/>
        </w:rPr>
        <w:t>投标有效期为自开标之日起</w:t>
      </w:r>
      <w:r>
        <w:rPr>
          <w:spacing w:val="-4"/>
          <w:szCs w:val="21"/>
        </w:rPr>
        <w:t>9</w:t>
      </w:r>
      <w:r>
        <w:rPr>
          <w:spacing w:val="-4"/>
          <w:szCs w:val="21"/>
          <w:u w:val="single"/>
        </w:rPr>
        <w:t>0</w:t>
      </w:r>
      <w:r>
        <w:rPr>
          <w:rFonts w:hint="eastAsia"/>
          <w:spacing w:val="-4"/>
          <w:szCs w:val="21"/>
        </w:rPr>
        <w:t>天内，如在投标有效期内撤回投标，我方同意被废除投标资格。</w:t>
      </w:r>
    </w:p>
    <w:p w14:paraId="1FF05B81">
      <w:pPr>
        <w:spacing w:line="360" w:lineRule="auto"/>
        <w:ind w:right="-341" w:firstLine="404" w:firstLineChars="200"/>
        <w:rPr>
          <w:spacing w:val="-4"/>
          <w:szCs w:val="21"/>
        </w:rPr>
      </w:pPr>
      <w:r>
        <w:rPr>
          <w:spacing w:val="-4"/>
          <w:szCs w:val="21"/>
        </w:rPr>
        <w:t>5.</w:t>
      </w:r>
      <w:r>
        <w:rPr>
          <w:rFonts w:hint="eastAsia"/>
          <w:spacing w:val="-4"/>
          <w:szCs w:val="21"/>
        </w:rPr>
        <w:t>我方承诺</w:t>
      </w:r>
      <w:r>
        <w:rPr>
          <w:rFonts w:hint="eastAsia"/>
          <w:szCs w:val="21"/>
        </w:rPr>
        <w:t>参加政府采购活动前</w:t>
      </w:r>
      <w:r>
        <w:rPr>
          <w:szCs w:val="21"/>
        </w:rPr>
        <w:t>3</w:t>
      </w:r>
      <w:r>
        <w:rPr>
          <w:rFonts w:hint="eastAsia"/>
          <w:szCs w:val="21"/>
        </w:rPr>
        <w:t>年内在经营活动中没有重大违法记录和依法缴纳了税收</w:t>
      </w:r>
      <w:r>
        <w:rPr>
          <w:rFonts w:hint="eastAsia"/>
          <w:spacing w:val="-4"/>
          <w:szCs w:val="21"/>
        </w:rPr>
        <w:t>（投标截止时间进行计算）。</w:t>
      </w:r>
    </w:p>
    <w:p w14:paraId="62F32BA5">
      <w:pPr>
        <w:spacing w:line="360" w:lineRule="auto"/>
        <w:ind w:right="-341" w:firstLine="404" w:firstLineChars="200"/>
        <w:rPr>
          <w:szCs w:val="21"/>
        </w:rPr>
      </w:pPr>
      <w:r>
        <w:rPr>
          <w:spacing w:val="-4"/>
          <w:szCs w:val="21"/>
        </w:rPr>
        <w:t>6.</w:t>
      </w:r>
      <w:r>
        <w:rPr>
          <w:rFonts w:hint="eastAsia"/>
          <w:spacing w:val="-4"/>
          <w:szCs w:val="21"/>
        </w:rPr>
        <w:t>我方承诺具备本项目</w:t>
      </w:r>
      <w:r>
        <w:rPr>
          <w:rFonts w:hint="eastAsia"/>
          <w:szCs w:val="21"/>
        </w:rPr>
        <w:t>履行合同所必需的设备和专业技术能力</w:t>
      </w:r>
    </w:p>
    <w:p w14:paraId="25DE333B">
      <w:pPr>
        <w:spacing w:line="360" w:lineRule="auto"/>
        <w:ind w:right="-341" w:firstLine="404" w:firstLineChars="200"/>
        <w:rPr>
          <w:spacing w:val="-4"/>
          <w:szCs w:val="21"/>
        </w:rPr>
      </w:pPr>
      <w:r>
        <w:rPr>
          <w:spacing w:val="-4"/>
          <w:szCs w:val="21"/>
        </w:rPr>
        <w:t>7.</w:t>
      </w:r>
      <w:r>
        <w:rPr>
          <w:rFonts w:hint="eastAsia"/>
          <w:spacing w:val="-4"/>
          <w:szCs w:val="21"/>
        </w:rPr>
        <w:t>我方承诺所提供的一切投标文件经已认真严格审核，内容均为全面真实、准确有效且毫无保留，绝无任何遗漏、虚假、伪造和夸大的成份，若出现违背诚实信用和无如实告知之处，同意被废除投标资格和相关的处罚。</w:t>
      </w:r>
    </w:p>
    <w:p w14:paraId="5860338D">
      <w:pPr>
        <w:spacing w:line="360" w:lineRule="auto"/>
        <w:ind w:right="-341" w:firstLine="404" w:firstLineChars="200"/>
        <w:rPr>
          <w:spacing w:val="-4"/>
          <w:szCs w:val="21"/>
        </w:rPr>
      </w:pPr>
      <w:r>
        <w:rPr>
          <w:spacing w:val="-4"/>
          <w:szCs w:val="21"/>
        </w:rPr>
        <w:t>8.</w:t>
      </w:r>
      <w:r>
        <w:rPr>
          <w:rFonts w:hint="eastAsia"/>
          <w:spacing w:val="-4"/>
          <w:szCs w:val="21"/>
        </w:rPr>
        <w:t>我方承诺至开标之日止，未被</w:t>
      </w:r>
      <w:r>
        <w:rPr>
          <w:spacing w:val="-4"/>
          <w:szCs w:val="21"/>
        </w:rPr>
        <w:t>“</w:t>
      </w:r>
      <w:r>
        <w:rPr>
          <w:rFonts w:hint="eastAsia"/>
          <w:spacing w:val="-4"/>
          <w:szCs w:val="21"/>
        </w:rPr>
        <w:t>信用中国</w:t>
      </w:r>
      <w:r>
        <w:rPr>
          <w:spacing w:val="-4"/>
          <w:szCs w:val="21"/>
        </w:rPr>
        <w:t>”</w:t>
      </w:r>
      <w:r>
        <w:rPr>
          <w:rFonts w:hint="eastAsia"/>
          <w:spacing w:val="-4"/>
          <w:szCs w:val="21"/>
        </w:rPr>
        <w:t>（</w:t>
      </w:r>
      <w:r>
        <w:rPr>
          <w:spacing w:val="-4"/>
          <w:szCs w:val="21"/>
        </w:rPr>
        <w:t>www.creditchina.gov.cn</w:t>
      </w:r>
      <w:r>
        <w:rPr>
          <w:rFonts w:hint="eastAsia"/>
          <w:spacing w:val="-4"/>
          <w:szCs w:val="21"/>
        </w:rPr>
        <w:t>）、中国政府采购网（</w:t>
      </w:r>
      <w:r>
        <w:rPr>
          <w:spacing w:val="-4"/>
          <w:szCs w:val="21"/>
        </w:rPr>
        <w:t>www.ccgp.gov.cn</w:t>
      </w:r>
      <w:r>
        <w:rPr>
          <w:rFonts w:hint="eastAsia"/>
          <w:spacing w:val="-4"/>
          <w:szCs w:val="21"/>
        </w:rPr>
        <w:t>）列入失信被执行人、重大税收违法案件当事人名单、政府采购严重违法失信行为记录名单。</w:t>
      </w:r>
    </w:p>
    <w:p w14:paraId="7DA68F3F">
      <w:pPr>
        <w:snapToGrid w:val="0"/>
        <w:spacing w:line="360" w:lineRule="auto"/>
        <w:ind w:right="-341" w:firstLine="420" w:firstLineChars="200"/>
      </w:pPr>
      <w:r>
        <w:t>9.</w:t>
      </w:r>
      <w:r>
        <w:rPr>
          <w:rFonts w:hint="eastAsia"/>
        </w:rPr>
        <w:t>与本投标有关的一切正式往来信函请寄：</w:t>
      </w:r>
    </w:p>
    <w:p w14:paraId="79D25AB8">
      <w:pPr>
        <w:snapToGrid w:val="0"/>
        <w:spacing w:line="312" w:lineRule="auto"/>
        <w:ind w:right="-341"/>
      </w:pPr>
      <w:r>
        <w:rPr>
          <w:rFonts w:hint="eastAsia"/>
        </w:rPr>
        <w:t>地址：</w:t>
      </w:r>
      <w:r>
        <w:t>__________</w:t>
      </w:r>
      <w:r>
        <w:rPr>
          <w:u w:val="single"/>
        </w:rPr>
        <w:t>_</w:t>
      </w:r>
      <w:r>
        <w:t>____</w:t>
      </w:r>
      <w:r>
        <w:rPr>
          <w:rFonts w:hint="eastAsia"/>
        </w:rPr>
        <w:t>邮编：</w:t>
      </w:r>
      <w:r>
        <w:t>__________</w:t>
      </w:r>
      <w:r>
        <w:rPr>
          <w:rFonts w:hint="eastAsia"/>
        </w:rPr>
        <w:t>电话：</w:t>
      </w:r>
      <w:r>
        <w:t>______________</w:t>
      </w:r>
    </w:p>
    <w:p w14:paraId="15EF4859">
      <w:pPr>
        <w:snapToGrid w:val="0"/>
        <w:spacing w:line="312" w:lineRule="auto"/>
        <w:ind w:right="-341"/>
      </w:pPr>
      <w:r>
        <w:rPr>
          <w:rFonts w:hint="eastAsia"/>
        </w:rPr>
        <w:t>传真：</w:t>
      </w:r>
      <w:r>
        <w:t>______________</w:t>
      </w:r>
      <w:r>
        <w:rPr>
          <w:rFonts w:hint="eastAsia"/>
        </w:rPr>
        <w:t>投标人代表姓名</w:t>
      </w:r>
      <w:r>
        <w:t>___________</w:t>
      </w:r>
      <w:r>
        <w:rPr>
          <w:rFonts w:hint="eastAsia"/>
        </w:rPr>
        <w:t>职务：</w:t>
      </w:r>
      <w:r>
        <w:t>_____________</w:t>
      </w:r>
    </w:p>
    <w:p w14:paraId="17B7296B">
      <w:pPr>
        <w:snapToGrid w:val="0"/>
        <w:spacing w:line="312" w:lineRule="auto"/>
        <w:ind w:right="-341"/>
      </w:pPr>
      <w:r>
        <w:rPr>
          <w:rFonts w:hint="eastAsia"/>
        </w:rPr>
        <w:t>投标人名称</w:t>
      </w:r>
      <w:r>
        <w:t>(</w:t>
      </w:r>
      <w:r>
        <w:rPr>
          <w:rFonts w:hint="eastAsia"/>
        </w:rPr>
        <w:t>公章</w:t>
      </w:r>
      <w:r>
        <w:t>):___________________</w:t>
      </w:r>
    </w:p>
    <w:p w14:paraId="68BCB25A">
      <w:pPr>
        <w:snapToGrid w:val="0"/>
        <w:spacing w:line="312" w:lineRule="auto"/>
        <w:ind w:right="-341"/>
      </w:pPr>
      <w:r>
        <w:rPr>
          <w:rFonts w:hint="eastAsia"/>
        </w:rPr>
        <w:t>开户银行：银行账号：</w:t>
      </w:r>
    </w:p>
    <w:p w14:paraId="2A1327A6">
      <w:pPr>
        <w:snapToGrid w:val="0"/>
        <w:ind w:right="-341"/>
      </w:pPr>
    </w:p>
    <w:p w14:paraId="3BE4D5EF">
      <w:pPr>
        <w:snapToGrid w:val="0"/>
        <w:spacing w:before="120" w:line="312" w:lineRule="auto"/>
        <w:ind w:right="-341" w:firstLine="2940" w:firstLineChars="1400"/>
      </w:pPr>
      <w:r>
        <w:rPr>
          <w:rFonts w:hint="eastAsia"/>
        </w:rPr>
        <w:t>日期</w:t>
      </w:r>
      <w:r>
        <w:t>:_____</w:t>
      </w:r>
      <w:r>
        <w:rPr>
          <w:rFonts w:hint="eastAsia"/>
        </w:rPr>
        <w:t>年</w:t>
      </w:r>
      <w:r>
        <w:t>___</w:t>
      </w:r>
      <w:r>
        <w:rPr>
          <w:rFonts w:hint="eastAsia"/>
        </w:rPr>
        <w:t>月</w:t>
      </w:r>
      <w:r>
        <w:t>___</w:t>
      </w:r>
      <w:r>
        <w:rPr>
          <w:rFonts w:hint="eastAsia"/>
        </w:rPr>
        <w:t>日</w:t>
      </w:r>
    </w:p>
    <w:p w14:paraId="54F0085E">
      <w:pPr>
        <w:snapToGrid w:val="0"/>
        <w:spacing w:line="312" w:lineRule="auto"/>
        <w:ind w:right="-341"/>
        <w:jc w:val="left"/>
        <w:rPr>
          <w:b/>
          <w:sz w:val="24"/>
        </w:rPr>
      </w:pPr>
      <w:r>
        <w:rPr>
          <w:kern w:val="0"/>
        </w:rPr>
        <w:br w:type="page"/>
      </w:r>
    </w:p>
    <w:p w14:paraId="177DD01F">
      <w:pPr>
        <w:snapToGrid w:val="0"/>
        <w:spacing w:before="120" w:line="312" w:lineRule="auto"/>
        <w:ind w:right="-341"/>
        <w:jc w:val="center"/>
        <w:rPr>
          <w:b/>
          <w:sz w:val="32"/>
        </w:rPr>
      </w:pPr>
    </w:p>
    <w:p w14:paraId="50A60429">
      <w:pPr>
        <w:snapToGrid w:val="0"/>
        <w:spacing w:before="120" w:beforeLines="50" w:after="50"/>
        <w:jc w:val="center"/>
        <w:rPr>
          <w:b/>
          <w:sz w:val="32"/>
          <w:szCs w:val="32"/>
        </w:rPr>
      </w:pPr>
      <w:r>
        <w:rPr>
          <w:rFonts w:hint="eastAsia"/>
          <w:b/>
          <w:sz w:val="32"/>
          <w:szCs w:val="32"/>
        </w:rPr>
        <w:t>六、声明函</w:t>
      </w:r>
    </w:p>
    <w:p w14:paraId="0BFA7D01">
      <w:pPr>
        <w:snapToGrid w:val="0"/>
        <w:spacing w:before="120" w:beforeLines="50" w:after="50" w:line="360" w:lineRule="auto"/>
        <w:rPr>
          <w:szCs w:val="21"/>
        </w:rPr>
      </w:pPr>
    </w:p>
    <w:p w14:paraId="239A3641">
      <w:pPr>
        <w:snapToGrid w:val="0"/>
        <w:spacing w:before="120" w:beforeLines="50" w:after="50" w:line="360" w:lineRule="auto"/>
        <w:rPr>
          <w:szCs w:val="21"/>
        </w:rPr>
      </w:pPr>
      <w:r>
        <w:rPr>
          <w:rFonts w:hint="eastAsia"/>
          <w:szCs w:val="21"/>
        </w:rPr>
        <w:t>致：</w:t>
      </w:r>
      <w:r>
        <w:rPr>
          <w:szCs w:val="21"/>
        </w:rPr>
        <w:t>_</w:t>
      </w:r>
      <w:r>
        <w:rPr>
          <w:rFonts w:hint="eastAsia"/>
          <w:u w:val="single"/>
        </w:rPr>
        <w:t>深圳市国信招标有限公司</w:t>
      </w:r>
      <w:r>
        <w:t>_</w:t>
      </w:r>
      <w:r>
        <w:rPr>
          <w:rFonts w:hint="eastAsia"/>
          <w:szCs w:val="21"/>
        </w:rPr>
        <w:t>：</w:t>
      </w:r>
    </w:p>
    <w:p w14:paraId="6E201980">
      <w:pPr>
        <w:spacing w:after="120" w:line="360" w:lineRule="auto"/>
        <w:ind w:firstLine="480"/>
        <w:rPr>
          <w:szCs w:val="21"/>
        </w:rPr>
      </w:pPr>
      <w:r>
        <w:rPr>
          <w:rFonts w:hint="eastAsia"/>
          <w:szCs w:val="21"/>
        </w:rPr>
        <w:t>我方在参加政府采购活动前三年内，具有良好的商业信誉，依法缴纳税收和社会保障资金，未被列入失信被执行人名单、重大税收违法案件当事人名单、政府采购严重违法失信行为记录名单，在经营活动中没有重大违法记录（没有因违法经营受到刑事处罚，没有被责令停产停业、被吊销许可证或者执照、被处以较大数额罚款等行政处罚，没有因违法经营被禁止参加政府采购活动的期限未满情形）。如有虚假，采购人可取消我方任何资格（投标</w:t>
      </w:r>
      <w:r>
        <w:rPr>
          <w:szCs w:val="21"/>
        </w:rPr>
        <w:t>/</w:t>
      </w:r>
      <w:r>
        <w:rPr>
          <w:rFonts w:hint="eastAsia"/>
          <w:szCs w:val="21"/>
        </w:rPr>
        <w:t>中标</w:t>
      </w:r>
      <w:r>
        <w:rPr>
          <w:szCs w:val="21"/>
        </w:rPr>
        <w:t>/</w:t>
      </w:r>
      <w:r>
        <w:rPr>
          <w:rFonts w:hint="eastAsia"/>
          <w:szCs w:val="21"/>
        </w:rPr>
        <w:t>签订合同），我方对此无任何异议。</w:t>
      </w:r>
    </w:p>
    <w:p w14:paraId="607F450D">
      <w:pPr>
        <w:spacing w:after="120" w:line="360" w:lineRule="auto"/>
        <w:ind w:firstLine="480"/>
        <w:rPr>
          <w:szCs w:val="21"/>
        </w:rPr>
      </w:pPr>
      <w:r>
        <w:rPr>
          <w:rFonts w:hint="eastAsia"/>
          <w:szCs w:val="21"/>
        </w:rPr>
        <w:t>特此声明！</w:t>
      </w:r>
    </w:p>
    <w:p w14:paraId="0D88DFD0">
      <w:pPr>
        <w:spacing w:after="120"/>
        <w:ind w:firstLine="480"/>
      </w:pPr>
    </w:p>
    <w:p w14:paraId="56FEEB1A">
      <w:pPr>
        <w:snapToGrid w:val="0"/>
        <w:spacing w:before="120" w:beforeLines="50"/>
        <w:ind w:firstLine="200"/>
      </w:pPr>
    </w:p>
    <w:p w14:paraId="0C8E3BA9">
      <w:pPr>
        <w:snapToGrid w:val="0"/>
        <w:spacing w:before="50" w:after="50"/>
      </w:pPr>
    </w:p>
    <w:p w14:paraId="4793757F">
      <w:pPr>
        <w:snapToGrid w:val="0"/>
        <w:ind w:left="2" w:right="-817" w:rightChars="-389"/>
      </w:pPr>
    </w:p>
    <w:p w14:paraId="7F0F5E54">
      <w:pPr>
        <w:snapToGrid w:val="0"/>
        <w:spacing w:before="50" w:line="312" w:lineRule="auto"/>
        <w:jc w:val="left"/>
        <w:rPr>
          <w:b/>
          <w:spacing w:val="20"/>
          <w:sz w:val="28"/>
        </w:rPr>
      </w:pPr>
      <w:r>
        <w:rPr>
          <w:rFonts w:hint="eastAsia"/>
        </w:rPr>
        <w:t>投标人名称（盖章）：日期：</w:t>
      </w:r>
    </w:p>
    <w:p w14:paraId="0BA2AA84">
      <w:pPr>
        <w:snapToGrid w:val="0"/>
        <w:spacing w:before="120" w:beforeLines="50"/>
        <w:ind w:firstLine="200"/>
        <w:jc w:val="right"/>
        <w:rPr>
          <w:szCs w:val="24"/>
        </w:rPr>
      </w:pPr>
    </w:p>
    <w:p w14:paraId="7A742FF0">
      <w:pPr>
        <w:snapToGrid w:val="0"/>
        <w:spacing w:before="120" w:beforeLines="50" w:after="50"/>
        <w:ind w:firstLine="482" w:firstLineChars="200"/>
        <w:jc w:val="left"/>
        <w:rPr>
          <w:b/>
          <w:bCs/>
          <w:sz w:val="24"/>
        </w:rPr>
      </w:pPr>
    </w:p>
    <w:p w14:paraId="56600DE9">
      <w:pPr>
        <w:snapToGrid w:val="0"/>
        <w:spacing w:before="120" w:beforeLines="50"/>
        <w:ind w:left="5250" w:firstLine="200"/>
        <w:jc w:val="right"/>
        <w:rPr>
          <w:szCs w:val="24"/>
        </w:rPr>
      </w:pPr>
    </w:p>
    <w:p w14:paraId="3E028A12">
      <w:pPr>
        <w:snapToGrid w:val="0"/>
        <w:spacing w:before="120" w:line="312" w:lineRule="auto"/>
        <w:ind w:right="-341"/>
        <w:jc w:val="center"/>
        <w:rPr>
          <w:b/>
          <w:sz w:val="32"/>
        </w:rPr>
      </w:pPr>
    </w:p>
    <w:p w14:paraId="0277B9FF">
      <w:pPr>
        <w:snapToGrid w:val="0"/>
        <w:spacing w:before="120" w:line="312" w:lineRule="auto"/>
        <w:ind w:right="-341"/>
        <w:jc w:val="center"/>
        <w:rPr>
          <w:b/>
          <w:sz w:val="32"/>
        </w:rPr>
      </w:pPr>
    </w:p>
    <w:p w14:paraId="46271CDD">
      <w:pPr>
        <w:snapToGrid w:val="0"/>
        <w:spacing w:before="120" w:line="312" w:lineRule="auto"/>
        <w:ind w:right="-341"/>
        <w:jc w:val="center"/>
        <w:rPr>
          <w:b/>
          <w:sz w:val="32"/>
        </w:rPr>
      </w:pPr>
    </w:p>
    <w:p w14:paraId="658B3116">
      <w:pPr>
        <w:snapToGrid w:val="0"/>
        <w:spacing w:before="120" w:line="312" w:lineRule="auto"/>
        <w:ind w:right="-341"/>
        <w:jc w:val="center"/>
        <w:rPr>
          <w:b/>
          <w:sz w:val="32"/>
        </w:rPr>
      </w:pPr>
    </w:p>
    <w:p w14:paraId="27E711EE">
      <w:pPr>
        <w:snapToGrid w:val="0"/>
        <w:spacing w:line="312" w:lineRule="auto"/>
        <w:jc w:val="left"/>
        <w:rPr>
          <w:b/>
          <w:sz w:val="32"/>
        </w:rPr>
      </w:pPr>
    </w:p>
    <w:p w14:paraId="66A79161">
      <w:pPr>
        <w:snapToGrid w:val="0"/>
        <w:spacing w:line="312" w:lineRule="auto"/>
        <w:jc w:val="left"/>
        <w:rPr>
          <w:b/>
          <w:sz w:val="32"/>
        </w:rPr>
      </w:pPr>
    </w:p>
    <w:p w14:paraId="45811FBD">
      <w:pPr>
        <w:snapToGrid w:val="0"/>
        <w:spacing w:line="312" w:lineRule="auto"/>
        <w:jc w:val="left"/>
        <w:rPr>
          <w:b/>
          <w:sz w:val="32"/>
        </w:rPr>
      </w:pPr>
    </w:p>
    <w:p w14:paraId="05AB65EA">
      <w:pPr>
        <w:snapToGrid w:val="0"/>
        <w:spacing w:line="312" w:lineRule="auto"/>
        <w:jc w:val="left"/>
        <w:rPr>
          <w:b/>
          <w:sz w:val="32"/>
        </w:rPr>
      </w:pPr>
    </w:p>
    <w:p w14:paraId="1B7163BA">
      <w:pPr>
        <w:snapToGrid w:val="0"/>
        <w:spacing w:line="312" w:lineRule="auto"/>
        <w:jc w:val="left"/>
        <w:rPr>
          <w:b/>
          <w:sz w:val="32"/>
        </w:rPr>
      </w:pPr>
    </w:p>
    <w:p w14:paraId="680BA65E">
      <w:pPr>
        <w:snapToGrid w:val="0"/>
        <w:spacing w:line="312" w:lineRule="auto"/>
        <w:jc w:val="left"/>
        <w:rPr>
          <w:b/>
          <w:sz w:val="32"/>
        </w:rPr>
      </w:pPr>
    </w:p>
    <w:p w14:paraId="21FA4F26">
      <w:pPr>
        <w:snapToGrid w:val="0"/>
        <w:spacing w:line="312" w:lineRule="auto"/>
        <w:jc w:val="left"/>
        <w:rPr>
          <w:b/>
          <w:sz w:val="24"/>
        </w:rPr>
      </w:pPr>
    </w:p>
    <w:p w14:paraId="1ABB26F8">
      <w:pPr>
        <w:snapToGrid w:val="0"/>
        <w:spacing w:line="312" w:lineRule="auto"/>
        <w:jc w:val="left"/>
        <w:rPr>
          <w:b/>
          <w:sz w:val="24"/>
        </w:rPr>
      </w:pPr>
    </w:p>
    <w:p w14:paraId="18D2BA7C">
      <w:pPr>
        <w:jc w:val="center"/>
        <w:rPr>
          <w:b/>
          <w:spacing w:val="20"/>
          <w:sz w:val="28"/>
        </w:rPr>
      </w:pPr>
    </w:p>
    <w:p w14:paraId="6748D7F9">
      <w:pPr>
        <w:jc w:val="center"/>
        <w:rPr>
          <w:sz w:val="30"/>
          <w:szCs w:val="30"/>
        </w:rPr>
      </w:pPr>
      <w:r>
        <w:rPr>
          <w:rFonts w:hint="eastAsia"/>
          <w:b/>
          <w:spacing w:val="20"/>
          <w:sz w:val="28"/>
        </w:rPr>
        <w:t>七、</w:t>
      </w:r>
      <w:r>
        <w:rPr>
          <w:rFonts w:hint="eastAsia"/>
          <w:b/>
          <w:bCs/>
          <w:sz w:val="30"/>
          <w:szCs w:val="30"/>
        </w:rPr>
        <w:t>廉政承诺书</w:t>
      </w:r>
    </w:p>
    <w:p w14:paraId="70925CBF">
      <w:pPr>
        <w:rPr>
          <w:b/>
          <w:bCs/>
          <w:sz w:val="28"/>
          <w:szCs w:val="28"/>
        </w:rPr>
      </w:pPr>
    </w:p>
    <w:p w14:paraId="39FCFDCE">
      <w:pPr>
        <w:rPr>
          <w:b/>
          <w:bCs/>
          <w:szCs w:val="21"/>
        </w:rPr>
      </w:pPr>
      <w:r>
        <w:rPr>
          <w:rFonts w:hint="eastAsia"/>
          <w:b/>
          <w:bCs/>
          <w:szCs w:val="21"/>
        </w:rPr>
        <w:t>致：</w:t>
      </w:r>
      <w:r>
        <w:rPr>
          <w:rFonts w:hint="eastAsia"/>
          <w:b/>
          <w:bCs/>
          <w:szCs w:val="21"/>
          <w:u w:val="single"/>
        </w:rPr>
        <w:t>深圳市国信招标有限公司</w:t>
      </w:r>
      <w:r>
        <w:rPr>
          <w:rFonts w:hint="eastAsia"/>
          <w:b/>
          <w:bCs/>
          <w:szCs w:val="21"/>
        </w:rPr>
        <w:t>：</w:t>
      </w:r>
    </w:p>
    <w:p w14:paraId="39A18966">
      <w:pPr>
        <w:spacing w:line="360" w:lineRule="auto"/>
        <w:ind w:firstLine="420" w:firstLineChars="200"/>
        <w:rPr>
          <w:szCs w:val="21"/>
        </w:rPr>
      </w:pPr>
    </w:p>
    <w:p w14:paraId="0520E56D">
      <w:pPr>
        <w:spacing w:line="360" w:lineRule="auto"/>
        <w:ind w:firstLine="420" w:firstLineChars="200"/>
        <w:rPr>
          <w:szCs w:val="21"/>
        </w:rPr>
      </w:pPr>
      <w:r>
        <w:rPr>
          <w:rFonts w:hint="eastAsia"/>
          <w:szCs w:val="21"/>
        </w:rPr>
        <w:t>我单位响应你单位</w:t>
      </w:r>
      <w:r>
        <w:rPr>
          <w:rFonts w:hint="eastAsia"/>
          <w:szCs w:val="21"/>
          <w:u w:val="single"/>
        </w:rPr>
        <w:t xml:space="preserve">       </w:t>
      </w:r>
      <w:r>
        <w:rPr>
          <w:rFonts w:hint="eastAsia"/>
          <w:szCs w:val="21"/>
        </w:rPr>
        <w:t>项目招标要求参加投标，在这次投标过程中和中标后，我们将严格遵守国家法律法规要求，并郑重承诺</w:t>
      </w:r>
      <w:r>
        <w:rPr>
          <w:szCs w:val="21"/>
        </w:rPr>
        <w:t>:</w:t>
      </w:r>
    </w:p>
    <w:p w14:paraId="5A0E3221">
      <w:pPr>
        <w:spacing w:line="360" w:lineRule="auto"/>
        <w:ind w:firstLine="420" w:firstLineChars="200"/>
        <w:rPr>
          <w:szCs w:val="21"/>
        </w:rPr>
      </w:pPr>
      <w:r>
        <w:rPr>
          <w:rFonts w:hint="eastAsia"/>
          <w:szCs w:val="21"/>
        </w:rPr>
        <w:t>一、不向项目有关人员及部门赠送礼金礼物、有价证券、回扣以及中介费、介绍费、咨询费等好处费。</w:t>
      </w:r>
    </w:p>
    <w:p w14:paraId="6DA60A48">
      <w:pPr>
        <w:spacing w:line="360" w:lineRule="auto"/>
        <w:ind w:firstLine="420" w:firstLineChars="200"/>
        <w:rPr>
          <w:szCs w:val="21"/>
        </w:rPr>
      </w:pPr>
      <w:r>
        <w:rPr>
          <w:rFonts w:hint="eastAsia"/>
          <w:szCs w:val="21"/>
        </w:rPr>
        <w:t>二、不为项目有关人员及部门报销应由你方单位或个人支付的费用</w:t>
      </w:r>
      <w:r>
        <w:rPr>
          <w:szCs w:val="21"/>
        </w:rPr>
        <w:t>;</w:t>
      </w:r>
    </w:p>
    <w:p w14:paraId="15E55462">
      <w:pPr>
        <w:spacing w:line="360" w:lineRule="auto"/>
        <w:ind w:firstLine="420" w:firstLineChars="200"/>
        <w:rPr>
          <w:szCs w:val="21"/>
        </w:rPr>
      </w:pPr>
      <w:r>
        <w:rPr>
          <w:rFonts w:hint="eastAsia"/>
          <w:szCs w:val="21"/>
        </w:rPr>
        <w:t>三、不向项目有关人员及部门提供有可能影响公正的宴请和健身娱乐等活动</w:t>
      </w:r>
      <w:r>
        <w:rPr>
          <w:szCs w:val="21"/>
        </w:rPr>
        <w:t>;</w:t>
      </w:r>
    </w:p>
    <w:p w14:paraId="19E3008E">
      <w:pPr>
        <w:spacing w:line="360" w:lineRule="auto"/>
        <w:ind w:firstLine="420" w:firstLineChars="200"/>
        <w:rPr>
          <w:szCs w:val="21"/>
        </w:rPr>
      </w:pPr>
      <w:r>
        <w:rPr>
          <w:rFonts w:hint="eastAsia"/>
          <w:szCs w:val="21"/>
        </w:rPr>
        <w:t>四、不为项目有关人员及部门出国</w:t>
      </w:r>
      <w:r>
        <w:rPr>
          <w:szCs w:val="21"/>
        </w:rPr>
        <w:t>(</w:t>
      </w:r>
      <w:r>
        <w:rPr>
          <w:rFonts w:hint="eastAsia"/>
          <w:szCs w:val="21"/>
        </w:rPr>
        <w:t>境</w:t>
      </w:r>
      <w:r>
        <w:rPr>
          <w:szCs w:val="21"/>
        </w:rPr>
        <w:t>)</w:t>
      </w:r>
      <w:r>
        <w:rPr>
          <w:rFonts w:hint="eastAsia"/>
          <w:szCs w:val="21"/>
        </w:rPr>
        <w:t>、旅游等提供方便；</w:t>
      </w:r>
    </w:p>
    <w:p w14:paraId="34990FF8">
      <w:pPr>
        <w:spacing w:line="360" w:lineRule="auto"/>
        <w:ind w:firstLine="420" w:firstLineChars="200"/>
        <w:rPr>
          <w:szCs w:val="21"/>
        </w:rPr>
      </w:pPr>
      <w:r>
        <w:rPr>
          <w:rFonts w:hint="eastAsia"/>
          <w:szCs w:val="21"/>
        </w:rPr>
        <w:t>五、不为项目有关人员个人装修住房、婚丧嫁娶、配偶子女工作安排等提供好处</w:t>
      </w:r>
      <w:r>
        <w:rPr>
          <w:szCs w:val="21"/>
        </w:rPr>
        <w:t>;</w:t>
      </w:r>
    </w:p>
    <w:p w14:paraId="6F066266">
      <w:pPr>
        <w:spacing w:line="360" w:lineRule="auto"/>
        <w:ind w:firstLine="420" w:firstLineChars="200"/>
        <w:rPr>
          <w:szCs w:val="21"/>
        </w:rPr>
      </w:pPr>
      <w:r>
        <w:rPr>
          <w:rFonts w:hint="eastAsia"/>
          <w:szCs w:val="21"/>
        </w:rPr>
        <w:t>六、严格遵守政府采购法、民法典等法律，诚实守信，合法经营，坚决抵制各种违法违纪行为。</w:t>
      </w:r>
    </w:p>
    <w:p w14:paraId="62F9E3EE">
      <w:pPr>
        <w:spacing w:line="360" w:lineRule="auto"/>
        <w:ind w:firstLine="420" w:firstLineChars="200"/>
        <w:rPr>
          <w:szCs w:val="21"/>
        </w:rPr>
      </w:pPr>
      <w:r>
        <w:rPr>
          <w:rFonts w:hint="eastAsia"/>
          <w:szCs w:val="21"/>
        </w:rPr>
        <w:t>如违反上述承诺，你单位有权立即取消我单位投标、中标资格，有权拒绝我单位在一定时期内进入你单位进行项目建设或其他经营活动，并通报政府采购监管部门，由此引起的相应损失均由我单位承担。</w:t>
      </w:r>
    </w:p>
    <w:p w14:paraId="27AA0B7C">
      <w:pPr>
        <w:rPr>
          <w:szCs w:val="21"/>
        </w:rPr>
      </w:pPr>
    </w:p>
    <w:p w14:paraId="41876EB6">
      <w:pPr>
        <w:rPr>
          <w:szCs w:val="21"/>
        </w:rPr>
      </w:pPr>
    </w:p>
    <w:p w14:paraId="03AF0DB8">
      <w:pPr>
        <w:rPr>
          <w:szCs w:val="21"/>
        </w:rPr>
      </w:pPr>
      <w:r>
        <w:rPr>
          <w:rFonts w:hint="eastAsia"/>
          <w:szCs w:val="21"/>
        </w:rPr>
        <w:t>投标人</w:t>
      </w:r>
      <w:r>
        <w:rPr>
          <w:szCs w:val="21"/>
        </w:rPr>
        <w:t>:(</w:t>
      </w:r>
      <w:r>
        <w:rPr>
          <w:rFonts w:hint="eastAsia"/>
          <w:szCs w:val="21"/>
        </w:rPr>
        <w:t>盖章</w:t>
      </w:r>
      <w:r>
        <w:rPr>
          <w:szCs w:val="21"/>
        </w:rPr>
        <w:t>)</w:t>
      </w:r>
    </w:p>
    <w:p w14:paraId="6DADF7E6">
      <w:pPr>
        <w:rPr>
          <w:szCs w:val="21"/>
        </w:rPr>
      </w:pPr>
    </w:p>
    <w:p w14:paraId="460C2B44">
      <w:pPr>
        <w:rPr>
          <w:szCs w:val="21"/>
        </w:rPr>
      </w:pPr>
    </w:p>
    <w:p w14:paraId="5BE49B28">
      <w:pPr>
        <w:rPr>
          <w:szCs w:val="21"/>
        </w:rPr>
      </w:pPr>
    </w:p>
    <w:p w14:paraId="6C2123FF">
      <w:pPr>
        <w:rPr>
          <w:szCs w:val="21"/>
        </w:rPr>
      </w:pPr>
    </w:p>
    <w:p w14:paraId="4E6EDF01">
      <w:pPr>
        <w:rPr>
          <w:szCs w:val="21"/>
        </w:rPr>
      </w:pPr>
    </w:p>
    <w:p w14:paraId="0E6DFC76">
      <w:pPr>
        <w:rPr>
          <w:szCs w:val="21"/>
        </w:rPr>
      </w:pPr>
      <w:r>
        <w:rPr>
          <w:rFonts w:hint="eastAsia"/>
          <w:szCs w:val="21"/>
        </w:rPr>
        <w:t>日期</w:t>
      </w:r>
      <w:r>
        <w:rPr>
          <w:szCs w:val="21"/>
        </w:rPr>
        <w:t>:</w:t>
      </w:r>
      <w:r>
        <w:rPr>
          <w:rFonts w:hint="eastAsia"/>
          <w:szCs w:val="21"/>
        </w:rPr>
        <w:t>年月日</w:t>
      </w:r>
    </w:p>
    <w:p w14:paraId="2C7AFF34">
      <w:pPr>
        <w:snapToGrid w:val="0"/>
        <w:spacing w:before="50" w:line="312" w:lineRule="auto"/>
        <w:jc w:val="left"/>
        <w:rPr>
          <w:b/>
          <w:spacing w:val="20"/>
          <w:sz w:val="28"/>
        </w:rPr>
      </w:pPr>
    </w:p>
    <w:p w14:paraId="059D3A8C">
      <w:pPr>
        <w:snapToGrid w:val="0"/>
        <w:spacing w:before="50" w:line="312" w:lineRule="auto"/>
        <w:jc w:val="left"/>
        <w:rPr>
          <w:b/>
          <w:spacing w:val="20"/>
          <w:sz w:val="28"/>
        </w:rPr>
      </w:pPr>
    </w:p>
    <w:p w14:paraId="7BDBB95D">
      <w:pPr>
        <w:snapToGrid w:val="0"/>
        <w:spacing w:before="50" w:line="312" w:lineRule="auto"/>
        <w:jc w:val="center"/>
        <w:rPr>
          <w:b/>
          <w:sz w:val="24"/>
        </w:rPr>
      </w:pPr>
    </w:p>
    <w:p w14:paraId="376320F1">
      <w:pPr>
        <w:snapToGrid w:val="0"/>
        <w:spacing w:before="50" w:line="312" w:lineRule="auto"/>
        <w:jc w:val="center"/>
        <w:rPr>
          <w:b/>
          <w:sz w:val="24"/>
        </w:rPr>
      </w:pPr>
    </w:p>
    <w:p w14:paraId="70F396A3">
      <w:pPr>
        <w:snapToGrid w:val="0"/>
        <w:spacing w:before="50" w:line="312" w:lineRule="auto"/>
        <w:jc w:val="center"/>
        <w:rPr>
          <w:b/>
          <w:sz w:val="24"/>
        </w:rPr>
      </w:pPr>
    </w:p>
    <w:p w14:paraId="4BE6EA4B">
      <w:pPr>
        <w:snapToGrid w:val="0"/>
        <w:spacing w:before="50" w:line="312" w:lineRule="auto"/>
        <w:jc w:val="center"/>
        <w:rPr>
          <w:b/>
          <w:sz w:val="24"/>
        </w:rPr>
      </w:pPr>
    </w:p>
    <w:p w14:paraId="74B71B7B">
      <w:pPr>
        <w:snapToGrid w:val="0"/>
        <w:spacing w:before="50" w:line="312" w:lineRule="auto"/>
        <w:jc w:val="center"/>
        <w:rPr>
          <w:b/>
          <w:sz w:val="24"/>
        </w:rPr>
      </w:pPr>
    </w:p>
    <w:p w14:paraId="2FA62E87">
      <w:pPr>
        <w:snapToGrid w:val="0"/>
        <w:spacing w:before="50" w:line="312" w:lineRule="auto"/>
        <w:jc w:val="center"/>
        <w:rPr>
          <w:b/>
          <w:sz w:val="24"/>
        </w:rPr>
      </w:pPr>
    </w:p>
    <w:p w14:paraId="1553B9CD">
      <w:pPr>
        <w:snapToGrid w:val="0"/>
        <w:spacing w:before="50" w:line="312" w:lineRule="auto"/>
        <w:jc w:val="center"/>
        <w:rPr>
          <w:b/>
          <w:sz w:val="24"/>
        </w:rPr>
      </w:pPr>
    </w:p>
    <w:p w14:paraId="480BAF42">
      <w:pPr>
        <w:snapToGrid w:val="0"/>
        <w:spacing w:before="50" w:line="312" w:lineRule="auto"/>
        <w:jc w:val="center"/>
        <w:rPr>
          <w:b/>
          <w:sz w:val="24"/>
        </w:rPr>
      </w:pPr>
    </w:p>
    <w:p w14:paraId="034F6341">
      <w:pPr>
        <w:snapToGrid w:val="0"/>
        <w:spacing w:before="50" w:line="312" w:lineRule="auto"/>
        <w:rPr>
          <w:b/>
          <w:sz w:val="24"/>
        </w:rPr>
      </w:pPr>
    </w:p>
    <w:p w14:paraId="179F53C9">
      <w:pPr>
        <w:snapToGrid w:val="0"/>
        <w:spacing w:before="50" w:line="312" w:lineRule="auto"/>
        <w:jc w:val="center"/>
        <w:rPr>
          <w:b/>
          <w:sz w:val="24"/>
        </w:rPr>
      </w:pPr>
      <w:r>
        <w:rPr>
          <w:rFonts w:hint="eastAsia"/>
          <w:b/>
          <w:sz w:val="24"/>
        </w:rPr>
        <w:t>八、商务响应表：</w:t>
      </w:r>
    </w:p>
    <w:p w14:paraId="565E0F13">
      <w:pPr>
        <w:snapToGrid w:val="0"/>
        <w:spacing w:before="50" w:line="312" w:lineRule="auto"/>
        <w:jc w:val="center"/>
        <w:rPr>
          <w:b/>
          <w:sz w:val="24"/>
        </w:rPr>
      </w:pPr>
    </w:p>
    <w:p w14:paraId="71754090">
      <w:pPr>
        <w:snapToGrid w:val="0"/>
        <w:spacing w:line="312" w:lineRule="auto"/>
      </w:pPr>
      <w:r>
        <w:rPr>
          <w:rFonts w:hint="eastAsia"/>
        </w:rPr>
        <w:t>项目名称：</w:t>
      </w:r>
    </w:p>
    <w:p w14:paraId="3A3ACD66">
      <w:pPr>
        <w:snapToGrid w:val="0"/>
        <w:spacing w:line="312" w:lineRule="auto"/>
      </w:pPr>
      <w:r>
        <w:rPr>
          <w:rFonts w:hint="eastAsia"/>
        </w:rPr>
        <w:t>项目编号：</w:t>
      </w:r>
    </w:p>
    <w:tbl>
      <w:tblPr>
        <w:tblStyle w:val="60"/>
        <w:tblW w:w="9068"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48"/>
        <w:gridCol w:w="3240"/>
        <w:gridCol w:w="1260"/>
        <w:gridCol w:w="3020"/>
      </w:tblGrid>
      <w:tr w14:paraId="6E35A2E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1548" w:type="dxa"/>
            <w:tcBorders>
              <w:top w:val="single" w:color="auto" w:sz="4" w:space="0"/>
              <w:left w:val="single" w:color="auto" w:sz="4" w:space="0"/>
              <w:bottom w:val="single" w:color="auto" w:sz="4" w:space="0"/>
              <w:right w:val="single" w:color="auto" w:sz="4" w:space="0"/>
            </w:tcBorders>
            <w:vAlign w:val="center"/>
          </w:tcPr>
          <w:p w14:paraId="7CE689E8">
            <w:pPr>
              <w:snapToGrid w:val="0"/>
              <w:spacing w:before="120" w:beforeLines="50" w:line="312" w:lineRule="auto"/>
              <w:jc w:val="center"/>
              <w:rPr>
                <w:b/>
              </w:rPr>
            </w:pPr>
            <w:r>
              <w:rPr>
                <w:rFonts w:hint="eastAsia"/>
                <w:b/>
              </w:rPr>
              <w:t>项目</w:t>
            </w:r>
          </w:p>
        </w:tc>
        <w:tc>
          <w:tcPr>
            <w:tcW w:w="3240" w:type="dxa"/>
            <w:tcBorders>
              <w:top w:val="single" w:color="auto" w:sz="4" w:space="0"/>
              <w:left w:val="single" w:color="auto" w:sz="4" w:space="0"/>
              <w:bottom w:val="single" w:color="auto" w:sz="4" w:space="0"/>
              <w:right w:val="single" w:color="auto" w:sz="4" w:space="0"/>
            </w:tcBorders>
            <w:vAlign w:val="center"/>
          </w:tcPr>
          <w:p w14:paraId="334590E7">
            <w:pPr>
              <w:snapToGrid w:val="0"/>
              <w:spacing w:before="120" w:beforeLines="50" w:line="312" w:lineRule="auto"/>
              <w:jc w:val="center"/>
              <w:rPr>
                <w:b/>
              </w:rPr>
            </w:pPr>
            <w:r>
              <w:rPr>
                <w:rFonts w:hint="eastAsia"/>
                <w:b/>
              </w:rPr>
              <w:t>招标文件要求</w:t>
            </w:r>
          </w:p>
        </w:tc>
        <w:tc>
          <w:tcPr>
            <w:tcW w:w="1260" w:type="dxa"/>
            <w:tcBorders>
              <w:top w:val="single" w:color="auto" w:sz="4" w:space="0"/>
              <w:left w:val="single" w:color="auto" w:sz="4" w:space="0"/>
              <w:bottom w:val="single" w:color="auto" w:sz="4" w:space="0"/>
              <w:right w:val="single" w:color="auto" w:sz="4" w:space="0"/>
            </w:tcBorders>
            <w:vAlign w:val="center"/>
          </w:tcPr>
          <w:p w14:paraId="0ED4BF12">
            <w:pPr>
              <w:snapToGrid w:val="0"/>
              <w:spacing w:before="120" w:beforeLines="50" w:line="312" w:lineRule="auto"/>
              <w:jc w:val="center"/>
              <w:rPr>
                <w:b/>
              </w:rPr>
            </w:pPr>
            <w:r>
              <w:rPr>
                <w:rFonts w:hint="eastAsia"/>
                <w:b/>
              </w:rPr>
              <w:t>是否响应</w:t>
            </w:r>
          </w:p>
        </w:tc>
        <w:tc>
          <w:tcPr>
            <w:tcW w:w="3020" w:type="dxa"/>
            <w:tcBorders>
              <w:top w:val="single" w:color="auto" w:sz="4" w:space="0"/>
              <w:left w:val="single" w:color="auto" w:sz="4" w:space="0"/>
              <w:bottom w:val="single" w:color="auto" w:sz="4" w:space="0"/>
              <w:right w:val="single" w:color="auto" w:sz="4" w:space="0"/>
            </w:tcBorders>
            <w:vAlign w:val="center"/>
          </w:tcPr>
          <w:p w14:paraId="12B2BE27">
            <w:pPr>
              <w:snapToGrid w:val="0"/>
              <w:spacing w:before="120" w:beforeLines="50" w:line="312" w:lineRule="auto"/>
              <w:jc w:val="center"/>
              <w:rPr>
                <w:b/>
              </w:rPr>
            </w:pPr>
            <w:r>
              <w:rPr>
                <w:rFonts w:hint="eastAsia"/>
                <w:b/>
              </w:rPr>
              <w:t>投标人的承诺或说明</w:t>
            </w:r>
          </w:p>
        </w:tc>
      </w:tr>
      <w:tr w14:paraId="2AEF133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1548" w:type="dxa"/>
            <w:tcBorders>
              <w:top w:val="single" w:color="auto" w:sz="4" w:space="0"/>
              <w:left w:val="single" w:color="auto" w:sz="4" w:space="0"/>
              <w:bottom w:val="single" w:color="auto" w:sz="4" w:space="0"/>
              <w:right w:val="single" w:color="auto" w:sz="4" w:space="0"/>
            </w:tcBorders>
          </w:tcPr>
          <w:p w14:paraId="1AB65ADF">
            <w:pPr>
              <w:snapToGrid w:val="0"/>
              <w:spacing w:before="120" w:beforeLines="50" w:line="312" w:lineRule="auto"/>
              <w:rPr>
                <w:sz w:val="24"/>
              </w:rPr>
            </w:pPr>
          </w:p>
        </w:tc>
        <w:tc>
          <w:tcPr>
            <w:tcW w:w="3240" w:type="dxa"/>
            <w:tcBorders>
              <w:top w:val="single" w:color="auto" w:sz="4" w:space="0"/>
              <w:left w:val="single" w:color="auto" w:sz="4" w:space="0"/>
              <w:bottom w:val="single" w:color="auto" w:sz="4" w:space="0"/>
              <w:right w:val="single" w:color="auto" w:sz="4" w:space="0"/>
            </w:tcBorders>
          </w:tcPr>
          <w:p w14:paraId="60C8DB47">
            <w:pPr>
              <w:snapToGrid w:val="0"/>
              <w:spacing w:before="120" w:beforeLines="50" w:after="360" w:line="312" w:lineRule="auto"/>
              <w:rPr>
                <w:b/>
                <w:bCs/>
                <w:kern w:val="44"/>
                <w:sz w:val="24"/>
                <w:szCs w:val="20"/>
              </w:rPr>
            </w:pPr>
          </w:p>
        </w:tc>
        <w:tc>
          <w:tcPr>
            <w:tcW w:w="1260" w:type="dxa"/>
            <w:tcBorders>
              <w:top w:val="single" w:color="auto" w:sz="4" w:space="0"/>
              <w:left w:val="single" w:color="auto" w:sz="4" w:space="0"/>
              <w:bottom w:val="single" w:color="auto" w:sz="4" w:space="0"/>
              <w:right w:val="single" w:color="auto" w:sz="4" w:space="0"/>
            </w:tcBorders>
          </w:tcPr>
          <w:p w14:paraId="14910A76">
            <w:pPr>
              <w:snapToGrid w:val="0"/>
              <w:spacing w:before="120" w:beforeLines="50" w:after="360" w:line="312" w:lineRule="auto"/>
              <w:rPr>
                <w:b/>
                <w:bCs/>
                <w:kern w:val="44"/>
                <w:sz w:val="24"/>
                <w:szCs w:val="20"/>
              </w:rPr>
            </w:pPr>
          </w:p>
        </w:tc>
        <w:tc>
          <w:tcPr>
            <w:tcW w:w="3020" w:type="dxa"/>
            <w:tcBorders>
              <w:top w:val="single" w:color="auto" w:sz="4" w:space="0"/>
              <w:left w:val="single" w:color="auto" w:sz="4" w:space="0"/>
              <w:bottom w:val="single" w:color="auto" w:sz="4" w:space="0"/>
              <w:right w:val="single" w:color="auto" w:sz="4" w:space="0"/>
            </w:tcBorders>
          </w:tcPr>
          <w:p w14:paraId="1B4B1847">
            <w:pPr>
              <w:snapToGrid w:val="0"/>
              <w:spacing w:before="120" w:beforeLines="50" w:after="360" w:line="312" w:lineRule="auto"/>
              <w:rPr>
                <w:b/>
                <w:bCs/>
                <w:kern w:val="44"/>
                <w:sz w:val="24"/>
                <w:szCs w:val="20"/>
              </w:rPr>
            </w:pPr>
          </w:p>
        </w:tc>
      </w:tr>
      <w:tr w14:paraId="0EF59DE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9" w:hRule="atLeast"/>
        </w:trPr>
        <w:tc>
          <w:tcPr>
            <w:tcW w:w="1548" w:type="dxa"/>
            <w:tcBorders>
              <w:top w:val="single" w:color="auto" w:sz="4" w:space="0"/>
              <w:left w:val="single" w:color="auto" w:sz="4" w:space="0"/>
              <w:bottom w:val="single" w:color="auto" w:sz="4" w:space="0"/>
              <w:right w:val="single" w:color="auto" w:sz="4" w:space="0"/>
            </w:tcBorders>
            <w:vAlign w:val="center"/>
          </w:tcPr>
          <w:p w14:paraId="30C1F4E3">
            <w:pPr>
              <w:widowControl/>
              <w:tabs>
                <w:tab w:val="left" w:pos="420"/>
                <w:tab w:val="left" w:pos="1418"/>
              </w:tabs>
              <w:overflowPunct w:val="0"/>
              <w:autoSpaceDE w:val="0"/>
              <w:autoSpaceDN w:val="0"/>
              <w:adjustRightInd w:val="0"/>
              <w:snapToGrid w:val="0"/>
              <w:spacing w:line="312" w:lineRule="auto"/>
              <w:jc w:val="center"/>
              <w:rPr>
                <w:kern w:val="0"/>
                <w:sz w:val="24"/>
              </w:rPr>
            </w:pPr>
          </w:p>
        </w:tc>
        <w:tc>
          <w:tcPr>
            <w:tcW w:w="3240" w:type="dxa"/>
            <w:tcBorders>
              <w:top w:val="single" w:color="auto" w:sz="4" w:space="0"/>
              <w:left w:val="single" w:color="auto" w:sz="4" w:space="0"/>
              <w:bottom w:val="single" w:color="auto" w:sz="4" w:space="0"/>
              <w:right w:val="single" w:color="auto" w:sz="4" w:space="0"/>
            </w:tcBorders>
          </w:tcPr>
          <w:p w14:paraId="1BDC6742">
            <w:pPr>
              <w:snapToGrid w:val="0"/>
              <w:spacing w:before="120" w:beforeLines="50" w:line="312" w:lineRule="auto"/>
              <w:rPr>
                <w:sz w:val="24"/>
              </w:rPr>
            </w:pPr>
          </w:p>
        </w:tc>
        <w:tc>
          <w:tcPr>
            <w:tcW w:w="1260" w:type="dxa"/>
            <w:tcBorders>
              <w:top w:val="single" w:color="auto" w:sz="4" w:space="0"/>
              <w:left w:val="single" w:color="auto" w:sz="4" w:space="0"/>
              <w:bottom w:val="single" w:color="auto" w:sz="4" w:space="0"/>
              <w:right w:val="single" w:color="auto" w:sz="4" w:space="0"/>
            </w:tcBorders>
          </w:tcPr>
          <w:p w14:paraId="71720AB1">
            <w:pPr>
              <w:snapToGrid w:val="0"/>
              <w:spacing w:before="120" w:beforeLines="50" w:after="360" w:line="312" w:lineRule="auto"/>
              <w:rPr>
                <w:b/>
                <w:bCs/>
                <w:kern w:val="44"/>
                <w:sz w:val="24"/>
                <w:szCs w:val="20"/>
              </w:rPr>
            </w:pPr>
          </w:p>
        </w:tc>
        <w:tc>
          <w:tcPr>
            <w:tcW w:w="3020" w:type="dxa"/>
            <w:tcBorders>
              <w:top w:val="single" w:color="auto" w:sz="4" w:space="0"/>
              <w:left w:val="single" w:color="auto" w:sz="4" w:space="0"/>
              <w:bottom w:val="single" w:color="auto" w:sz="4" w:space="0"/>
              <w:right w:val="single" w:color="auto" w:sz="4" w:space="0"/>
            </w:tcBorders>
          </w:tcPr>
          <w:p w14:paraId="3F111F96">
            <w:pPr>
              <w:snapToGrid w:val="0"/>
              <w:spacing w:before="120" w:beforeLines="50" w:after="360" w:line="312" w:lineRule="auto"/>
              <w:rPr>
                <w:b/>
                <w:bCs/>
                <w:kern w:val="44"/>
                <w:sz w:val="24"/>
                <w:szCs w:val="20"/>
              </w:rPr>
            </w:pPr>
          </w:p>
        </w:tc>
      </w:tr>
      <w:tr w14:paraId="540EE45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1" w:hRule="atLeast"/>
        </w:trPr>
        <w:tc>
          <w:tcPr>
            <w:tcW w:w="1548" w:type="dxa"/>
            <w:tcBorders>
              <w:top w:val="single" w:color="auto" w:sz="4" w:space="0"/>
              <w:left w:val="single" w:color="auto" w:sz="4" w:space="0"/>
              <w:bottom w:val="single" w:color="auto" w:sz="4" w:space="0"/>
              <w:right w:val="single" w:color="auto" w:sz="4" w:space="0"/>
            </w:tcBorders>
            <w:vAlign w:val="center"/>
          </w:tcPr>
          <w:p w14:paraId="7FB85E2B">
            <w:pPr>
              <w:snapToGrid w:val="0"/>
              <w:spacing w:line="312" w:lineRule="auto"/>
              <w:jc w:val="center"/>
              <w:rPr>
                <w:sz w:val="24"/>
              </w:rPr>
            </w:pPr>
          </w:p>
        </w:tc>
        <w:tc>
          <w:tcPr>
            <w:tcW w:w="3240" w:type="dxa"/>
            <w:tcBorders>
              <w:top w:val="single" w:color="auto" w:sz="4" w:space="0"/>
              <w:left w:val="single" w:color="auto" w:sz="4" w:space="0"/>
              <w:bottom w:val="single" w:color="auto" w:sz="4" w:space="0"/>
              <w:right w:val="single" w:color="auto" w:sz="4" w:space="0"/>
            </w:tcBorders>
          </w:tcPr>
          <w:p w14:paraId="5F0185FD">
            <w:pPr>
              <w:snapToGrid w:val="0"/>
              <w:spacing w:before="120" w:beforeLines="50" w:line="312" w:lineRule="auto"/>
              <w:rPr>
                <w:sz w:val="24"/>
              </w:rPr>
            </w:pPr>
          </w:p>
        </w:tc>
        <w:tc>
          <w:tcPr>
            <w:tcW w:w="1260" w:type="dxa"/>
            <w:tcBorders>
              <w:top w:val="single" w:color="auto" w:sz="4" w:space="0"/>
              <w:left w:val="single" w:color="auto" w:sz="4" w:space="0"/>
              <w:bottom w:val="single" w:color="auto" w:sz="4" w:space="0"/>
              <w:right w:val="single" w:color="auto" w:sz="4" w:space="0"/>
            </w:tcBorders>
          </w:tcPr>
          <w:p w14:paraId="587E2A2D">
            <w:pPr>
              <w:snapToGrid w:val="0"/>
              <w:spacing w:before="120" w:beforeLines="50" w:after="360" w:line="312" w:lineRule="auto"/>
              <w:ind w:left="43"/>
              <w:rPr>
                <w:b/>
                <w:bCs/>
                <w:kern w:val="44"/>
                <w:sz w:val="24"/>
                <w:szCs w:val="20"/>
              </w:rPr>
            </w:pPr>
          </w:p>
        </w:tc>
        <w:tc>
          <w:tcPr>
            <w:tcW w:w="3020" w:type="dxa"/>
            <w:tcBorders>
              <w:top w:val="single" w:color="auto" w:sz="4" w:space="0"/>
              <w:left w:val="single" w:color="auto" w:sz="4" w:space="0"/>
              <w:bottom w:val="single" w:color="auto" w:sz="4" w:space="0"/>
              <w:right w:val="single" w:color="auto" w:sz="4" w:space="0"/>
            </w:tcBorders>
          </w:tcPr>
          <w:p w14:paraId="7B24F66E">
            <w:pPr>
              <w:snapToGrid w:val="0"/>
              <w:spacing w:before="120" w:beforeLines="50" w:after="360" w:line="312" w:lineRule="auto"/>
              <w:ind w:left="43"/>
              <w:rPr>
                <w:b/>
                <w:bCs/>
                <w:kern w:val="44"/>
                <w:sz w:val="24"/>
                <w:szCs w:val="20"/>
              </w:rPr>
            </w:pPr>
          </w:p>
        </w:tc>
      </w:tr>
      <w:tr w14:paraId="06D6086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1548" w:type="dxa"/>
            <w:tcBorders>
              <w:top w:val="single" w:color="auto" w:sz="4" w:space="0"/>
              <w:left w:val="single" w:color="auto" w:sz="4" w:space="0"/>
              <w:bottom w:val="single" w:color="auto" w:sz="4" w:space="0"/>
              <w:right w:val="single" w:color="auto" w:sz="4" w:space="0"/>
            </w:tcBorders>
            <w:vAlign w:val="center"/>
          </w:tcPr>
          <w:p w14:paraId="5A5B3D6A">
            <w:pPr>
              <w:snapToGrid w:val="0"/>
              <w:spacing w:line="312" w:lineRule="auto"/>
              <w:jc w:val="center"/>
              <w:rPr>
                <w:sz w:val="24"/>
              </w:rPr>
            </w:pPr>
          </w:p>
        </w:tc>
        <w:tc>
          <w:tcPr>
            <w:tcW w:w="3240" w:type="dxa"/>
            <w:tcBorders>
              <w:top w:val="single" w:color="auto" w:sz="4" w:space="0"/>
              <w:left w:val="single" w:color="auto" w:sz="4" w:space="0"/>
              <w:bottom w:val="single" w:color="auto" w:sz="4" w:space="0"/>
              <w:right w:val="single" w:color="auto" w:sz="4" w:space="0"/>
            </w:tcBorders>
          </w:tcPr>
          <w:p w14:paraId="794FFAD9">
            <w:pPr>
              <w:snapToGrid w:val="0"/>
              <w:spacing w:before="120" w:beforeLines="50" w:line="312" w:lineRule="auto"/>
              <w:rPr>
                <w:sz w:val="24"/>
              </w:rPr>
            </w:pPr>
          </w:p>
        </w:tc>
        <w:tc>
          <w:tcPr>
            <w:tcW w:w="1260" w:type="dxa"/>
            <w:tcBorders>
              <w:top w:val="single" w:color="auto" w:sz="4" w:space="0"/>
              <w:left w:val="single" w:color="auto" w:sz="4" w:space="0"/>
              <w:bottom w:val="single" w:color="auto" w:sz="4" w:space="0"/>
              <w:right w:val="single" w:color="auto" w:sz="4" w:space="0"/>
            </w:tcBorders>
          </w:tcPr>
          <w:p w14:paraId="0C5753E4">
            <w:pPr>
              <w:snapToGrid w:val="0"/>
              <w:spacing w:before="120" w:beforeLines="50" w:after="360" w:line="312" w:lineRule="auto"/>
              <w:rPr>
                <w:b/>
                <w:bCs/>
                <w:kern w:val="44"/>
                <w:sz w:val="24"/>
                <w:szCs w:val="20"/>
              </w:rPr>
            </w:pPr>
          </w:p>
        </w:tc>
        <w:tc>
          <w:tcPr>
            <w:tcW w:w="3020" w:type="dxa"/>
            <w:tcBorders>
              <w:top w:val="single" w:color="auto" w:sz="4" w:space="0"/>
              <w:left w:val="single" w:color="auto" w:sz="4" w:space="0"/>
              <w:bottom w:val="single" w:color="auto" w:sz="4" w:space="0"/>
              <w:right w:val="single" w:color="auto" w:sz="4" w:space="0"/>
            </w:tcBorders>
          </w:tcPr>
          <w:p w14:paraId="0D3A0B74">
            <w:pPr>
              <w:snapToGrid w:val="0"/>
              <w:spacing w:before="120" w:beforeLines="50" w:after="360" w:line="312" w:lineRule="auto"/>
              <w:rPr>
                <w:b/>
                <w:bCs/>
                <w:kern w:val="44"/>
                <w:sz w:val="24"/>
                <w:szCs w:val="20"/>
              </w:rPr>
            </w:pPr>
          </w:p>
        </w:tc>
      </w:tr>
      <w:tr w14:paraId="70F8908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48" w:type="dxa"/>
            <w:tcBorders>
              <w:top w:val="single" w:color="auto" w:sz="4" w:space="0"/>
              <w:left w:val="single" w:color="auto" w:sz="4" w:space="0"/>
              <w:bottom w:val="single" w:color="auto" w:sz="4" w:space="0"/>
              <w:right w:val="single" w:color="auto" w:sz="4" w:space="0"/>
            </w:tcBorders>
          </w:tcPr>
          <w:p w14:paraId="5C0D3826">
            <w:pPr>
              <w:snapToGrid w:val="0"/>
              <w:spacing w:before="120" w:beforeLines="50" w:line="312" w:lineRule="auto"/>
              <w:rPr>
                <w:sz w:val="24"/>
              </w:rPr>
            </w:pPr>
          </w:p>
        </w:tc>
        <w:tc>
          <w:tcPr>
            <w:tcW w:w="3240" w:type="dxa"/>
            <w:tcBorders>
              <w:top w:val="single" w:color="auto" w:sz="4" w:space="0"/>
              <w:left w:val="single" w:color="auto" w:sz="4" w:space="0"/>
              <w:bottom w:val="single" w:color="auto" w:sz="4" w:space="0"/>
              <w:right w:val="single" w:color="auto" w:sz="4" w:space="0"/>
            </w:tcBorders>
          </w:tcPr>
          <w:p w14:paraId="022FF6C1">
            <w:pPr>
              <w:snapToGrid w:val="0"/>
              <w:spacing w:before="120" w:beforeLines="50" w:after="360" w:line="312" w:lineRule="auto"/>
              <w:rPr>
                <w:b/>
                <w:bCs/>
                <w:kern w:val="44"/>
                <w:sz w:val="24"/>
                <w:szCs w:val="20"/>
              </w:rPr>
            </w:pPr>
          </w:p>
        </w:tc>
        <w:tc>
          <w:tcPr>
            <w:tcW w:w="1260" w:type="dxa"/>
            <w:tcBorders>
              <w:top w:val="single" w:color="auto" w:sz="4" w:space="0"/>
              <w:left w:val="single" w:color="auto" w:sz="4" w:space="0"/>
              <w:bottom w:val="single" w:color="auto" w:sz="4" w:space="0"/>
              <w:right w:val="single" w:color="auto" w:sz="4" w:space="0"/>
            </w:tcBorders>
          </w:tcPr>
          <w:p w14:paraId="051A01A4">
            <w:pPr>
              <w:snapToGrid w:val="0"/>
              <w:spacing w:before="120" w:beforeLines="50" w:after="360" w:line="312" w:lineRule="auto"/>
              <w:rPr>
                <w:b/>
                <w:bCs/>
                <w:kern w:val="44"/>
                <w:sz w:val="24"/>
                <w:szCs w:val="20"/>
              </w:rPr>
            </w:pPr>
          </w:p>
        </w:tc>
        <w:tc>
          <w:tcPr>
            <w:tcW w:w="3020" w:type="dxa"/>
            <w:tcBorders>
              <w:top w:val="single" w:color="auto" w:sz="4" w:space="0"/>
              <w:left w:val="single" w:color="auto" w:sz="4" w:space="0"/>
              <w:bottom w:val="single" w:color="auto" w:sz="4" w:space="0"/>
              <w:right w:val="single" w:color="auto" w:sz="4" w:space="0"/>
            </w:tcBorders>
          </w:tcPr>
          <w:p w14:paraId="51BD948C">
            <w:pPr>
              <w:snapToGrid w:val="0"/>
              <w:spacing w:before="120" w:beforeLines="50" w:after="360" w:line="312" w:lineRule="auto"/>
              <w:rPr>
                <w:b/>
                <w:bCs/>
                <w:kern w:val="44"/>
                <w:sz w:val="24"/>
                <w:szCs w:val="20"/>
              </w:rPr>
            </w:pPr>
          </w:p>
        </w:tc>
      </w:tr>
      <w:tr w14:paraId="248780F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48" w:type="dxa"/>
            <w:tcBorders>
              <w:top w:val="single" w:color="auto" w:sz="4" w:space="0"/>
              <w:left w:val="single" w:color="auto" w:sz="4" w:space="0"/>
              <w:bottom w:val="single" w:color="auto" w:sz="4" w:space="0"/>
              <w:right w:val="single" w:color="auto" w:sz="4" w:space="0"/>
            </w:tcBorders>
          </w:tcPr>
          <w:p w14:paraId="0ACD2ECA">
            <w:pPr>
              <w:snapToGrid w:val="0"/>
              <w:spacing w:before="120" w:beforeLines="50" w:line="312" w:lineRule="auto"/>
              <w:rPr>
                <w:sz w:val="24"/>
              </w:rPr>
            </w:pPr>
          </w:p>
        </w:tc>
        <w:tc>
          <w:tcPr>
            <w:tcW w:w="3240" w:type="dxa"/>
            <w:tcBorders>
              <w:top w:val="single" w:color="auto" w:sz="4" w:space="0"/>
              <w:left w:val="single" w:color="auto" w:sz="4" w:space="0"/>
              <w:bottom w:val="single" w:color="auto" w:sz="4" w:space="0"/>
              <w:right w:val="single" w:color="auto" w:sz="4" w:space="0"/>
            </w:tcBorders>
          </w:tcPr>
          <w:p w14:paraId="7C88A138">
            <w:pPr>
              <w:snapToGrid w:val="0"/>
              <w:spacing w:before="120" w:beforeLines="50" w:after="360" w:line="312" w:lineRule="auto"/>
              <w:rPr>
                <w:b/>
                <w:bCs/>
                <w:kern w:val="44"/>
                <w:sz w:val="24"/>
                <w:szCs w:val="20"/>
              </w:rPr>
            </w:pPr>
          </w:p>
        </w:tc>
        <w:tc>
          <w:tcPr>
            <w:tcW w:w="1260" w:type="dxa"/>
            <w:tcBorders>
              <w:top w:val="single" w:color="auto" w:sz="4" w:space="0"/>
              <w:left w:val="single" w:color="auto" w:sz="4" w:space="0"/>
              <w:bottom w:val="single" w:color="auto" w:sz="4" w:space="0"/>
              <w:right w:val="single" w:color="auto" w:sz="4" w:space="0"/>
            </w:tcBorders>
          </w:tcPr>
          <w:p w14:paraId="209DD722">
            <w:pPr>
              <w:snapToGrid w:val="0"/>
              <w:spacing w:before="120" w:beforeLines="50" w:after="360" w:line="312" w:lineRule="auto"/>
              <w:rPr>
                <w:b/>
                <w:bCs/>
                <w:kern w:val="44"/>
                <w:sz w:val="24"/>
                <w:szCs w:val="20"/>
              </w:rPr>
            </w:pPr>
          </w:p>
        </w:tc>
        <w:tc>
          <w:tcPr>
            <w:tcW w:w="3020" w:type="dxa"/>
            <w:tcBorders>
              <w:top w:val="single" w:color="auto" w:sz="4" w:space="0"/>
              <w:left w:val="single" w:color="auto" w:sz="4" w:space="0"/>
              <w:bottom w:val="single" w:color="auto" w:sz="4" w:space="0"/>
              <w:right w:val="single" w:color="auto" w:sz="4" w:space="0"/>
            </w:tcBorders>
          </w:tcPr>
          <w:p w14:paraId="6252FB81">
            <w:pPr>
              <w:snapToGrid w:val="0"/>
              <w:spacing w:before="120" w:beforeLines="50" w:after="360" w:line="312" w:lineRule="auto"/>
              <w:rPr>
                <w:b/>
                <w:bCs/>
                <w:kern w:val="44"/>
                <w:sz w:val="24"/>
                <w:szCs w:val="20"/>
              </w:rPr>
            </w:pPr>
          </w:p>
        </w:tc>
      </w:tr>
    </w:tbl>
    <w:p w14:paraId="7D6C7726">
      <w:pPr>
        <w:snapToGrid w:val="0"/>
        <w:spacing w:line="312" w:lineRule="auto"/>
        <w:ind w:left="642" w:hanging="642"/>
        <w:rPr>
          <w:b/>
          <w:spacing w:val="20"/>
          <w:kern w:val="0"/>
          <w:sz w:val="28"/>
          <w:szCs w:val="20"/>
        </w:rPr>
      </w:pPr>
    </w:p>
    <w:p w14:paraId="226D28BC">
      <w:pPr>
        <w:widowControl/>
        <w:spacing w:line="312" w:lineRule="auto"/>
        <w:jc w:val="left"/>
        <w:rPr>
          <w:kern w:val="0"/>
          <w:sz w:val="24"/>
        </w:rPr>
        <w:sectPr>
          <w:pgSz w:w="11906" w:h="16838"/>
          <w:pgMar w:top="1304" w:right="1531" w:bottom="1304" w:left="1531" w:header="1304" w:footer="1304" w:gutter="0"/>
          <w:cols w:space="720" w:num="1"/>
        </w:sectPr>
      </w:pPr>
    </w:p>
    <w:p w14:paraId="0ACA3F9F">
      <w:pPr>
        <w:snapToGrid w:val="0"/>
        <w:spacing w:before="50" w:after="120" w:afterLines="50" w:line="312" w:lineRule="auto"/>
        <w:jc w:val="left"/>
        <w:rPr>
          <w:sz w:val="24"/>
        </w:rPr>
      </w:pPr>
      <w:r>
        <w:rPr>
          <w:rFonts w:hint="eastAsia"/>
          <w:b/>
          <w:sz w:val="24"/>
        </w:rPr>
        <w:t>九、投标人的类似案例的业绩证明文件：</w:t>
      </w:r>
    </w:p>
    <w:p w14:paraId="0BF77974">
      <w:pPr>
        <w:snapToGrid w:val="0"/>
        <w:spacing w:line="312" w:lineRule="auto"/>
        <w:ind w:left="420" w:hanging="420" w:hangingChars="200"/>
        <w:rPr>
          <w:sz w:val="24"/>
        </w:rPr>
      </w:pPr>
      <w:r>
        <w:rPr>
          <w:rFonts w:hint="eastAsia"/>
        </w:rPr>
        <w:t>投标人同类项目实施情况一览表格式：（投标人同类项目合同复印件、用户验收报告、用户评价意见格式自拟）</w:t>
      </w:r>
    </w:p>
    <w:tbl>
      <w:tblPr>
        <w:tblStyle w:val="60"/>
        <w:tblW w:w="139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626"/>
        <w:gridCol w:w="3419"/>
        <w:gridCol w:w="1080"/>
        <w:gridCol w:w="1080"/>
        <w:gridCol w:w="1440"/>
        <w:gridCol w:w="720"/>
        <w:gridCol w:w="720"/>
        <w:gridCol w:w="720"/>
        <w:gridCol w:w="2160"/>
      </w:tblGrid>
      <w:tr w14:paraId="7098209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87" w:hRule="atLeast"/>
        </w:trPr>
        <w:tc>
          <w:tcPr>
            <w:tcW w:w="2626" w:type="dxa"/>
            <w:vMerge w:val="restart"/>
            <w:tcBorders>
              <w:top w:val="single" w:color="auto" w:sz="4" w:space="0"/>
              <w:left w:val="single" w:color="auto" w:sz="4" w:space="0"/>
              <w:bottom w:val="single" w:color="auto" w:sz="4" w:space="0"/>
              <w:right w:val="single" w:color="auto" w:sz="4" w:space="0"/>
            </w:tcBorders>
            <w:vAlign w:val="center"/>
          </w:tcPr>
          <w:p w14:paraId="2FFAFD95">
            <w:pPr>
              <w:snapToGrid w:val="0"/>
              <w:spacing w:line="312" w:lineRule="auto"/>
              <w:jc w:val="center"/>
              <w:rPr>
                <w:szCs w:val="21"/>
              </w:rPr>
            </w:pPr>
            <w:r>
              <w:rPr>
                <w:rFonts w:hint="eastAsia"/>
                <w:szCs w:val="21"/>
              </w:rPr>
              <w:t>采购单位名称</w:t>
            </w:r>
          </w:p>
        </w:tc>
        <w:tc>
          <w:tcPr>
            <w:tcW w:w="3419" w:type="dxa"/>
            <w:vMerge w:val="restart"/>
            <w:tcBorders>
              <w:top w:val="single" w:color="auto" w:sz="4" w:space="0"/>
              <w:left w:val="single" w:color="auto" w:sz="4" w:space="0"/>
              <w:bottom w:val="single" w:color="auto" w:sz="4" w:space="0"/>
              <w:right w:val="single" w:color="auto" w:sz="4" w:space="0"/>
            </w:tcBorders>
            <w:vAlign w:val="center"/>
          </w:tcPr>
          <w:p w14:paraId="4ADEF793">
            <w:pPr>
              <w:snapToGrid w:val="0"/>
              <w:spacing w:line="312" w:lineRule="auto"/>
              <w:jc w:val="center"/>
              <w:rPr>
                <w:szCs w:val="21"/>
              </w:rPr>
            </w:pPr>
            <w:r>
              <w:rPr>
                <w:rFonts w:hint="eastAsia"/>
                <w:szCs w:val="21"/>
              </w:rPr>
              <w:t>项目名称</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14:paraId="66CC8FF3">
            <w:pPr>
              <w:snapToGrid w:val="0"/>
              <w:spacing w:line="312" w:lineRule="auto"/>
              <w:jc w:val="center"/>
              <w:rPr>
                <w:szCs w:val="21"/>
              </w:rPr>
            </w:pPr>
            <w:r>
              <w:rPr>
                <w:rFonts w:hint="eastAsia"/>
                <w:szCs w:val="21"/>
              </w:rPr>
              <w:t>采购</w:t>
            </w:r>
          </w:p>
          <w:p w14:paraId="50BB5D67">
            <w:pPr>
              <w:snapToGrid w:val="0"/>
              <w:spacing w:line="312" w:lineRule="auto"/>
              <w:jc w:val="center"/>
              <w:rPr>
                <w:szCs w:val="21"/>
              </w:rPr>
            </w:pPr>
            <w:r>
              <w:rPr>
                <w:rFonts w:hint="eastAsia"/>
                <w:szCs w:val="21"/>
              </w:rPr>
              <w:t>数量</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14:paraId="3EFB297C">
            <w:pPr>
              <w:snapToGrid w:val="0"/>
              <w:spacing w:line="312" w:lineRule="auto"/>
              <w:jc w:val="center"/>
              <w:rPr>
                <w:szCs w:val="21"/>
              </w:rPr>
            </w:pPr>
            <w:r>
              <w:rPr>
                <w:rFonts w:hint="eastAsia"/>
                <w:szCs w:val="21"/>
              </w:rPr>
              <w:t>单价</w:t>
            </w:r>
          </w:p>
        </w:tc>
        <w:tc>
          <w:tcPr>
            <w:tcW w:w="1440" w:type="dxa"/>
            <w:vMerge w:val="restart"/>
            <w:tcBorders>
              <w:top w:val="single" w:color="auto" w:sz="4" w:space="0"/>
              <w:left w:val="single" w:color="auto" w:sz="4" w:space="0"/>
              <w:bottom w:val="single" w:color="auto" w:sz="4" w:space="0"/>
              <w:right w:val="single" w:color="auto" w:sz="4" w:space="0"/>
            </w:tcBorders>
            <w:vAlign w:val="center"/>
          </w:tcPr>
          <w:p w14:paraId="4473578F">
            <w:pPr>
              <w:snapToGrid w:val="0"/>
              <w:spacing w:line="312" w:lineRule="auto"/>
              <w:jc w:val="center"/>
              <w:rPr>
                <w:szCs w:val="21"/>
              </w:rPr>
            </w:pPr>
            <w:r>
              <w:rPr>
                <w:rFonts w:hint="eastAsia"/>
                <w:szCs w:val="21"/>
              </w:rPr>
              <w:t>合同金额</w:t>
            </w:r>
          </w:p>
          <w:p w14:paraId="17F2D6CD">
            <w:pPr>
              <w:snapToGrid w:val="0"/>
              <w:spacing w:line="312" w:lineRule="auto"/>
              <w:jc w:val="center"/>
              <w:rPr>
                <w:szCs w:val="21"/>
              </w:rPr>
            </w:pPr>
            <w:r>
              <w:rPr>
                <w:rFonts w:hint="eastAsia"/>
                <w:szCs w:val="21"/>
              </w:rPr>
              <w:t>（万元）</w:t>
            </w:r>
          </w:p>
        </w:tc>
        <w:tc>
          <w:tcPr>
            <w:tcW w:w="2160" w:type="dxa"/>
            <w:gridSpan w:val="3"/>
            <w:tcBorders>
              <w:top w:val="single" w:color="auto" w:sz="4" w:space="0"/>
              <w:left w:val="single" w:color="auto" w:sz="4" w:space="0"/>
              <w:bottom w:val="single" w:color="auto" w:sz="4" w:space="0"/>
              <w:right w:val="single" w:color="auto" w:sz="4" w:space="0"/>
            </w:tcBorders>
            <w:vAlign w:val="center"/>
          </w:tcPr>
          <w:p w14:paraId="5A2745BF">
            <w:pPr>
              <w:snapToGrid w:val="0"/>
              <w:spacing w:line="312" w:lineRule="auto"/>
              <w:jc w:val="center"/>
              <w:rPr>
                <w:szCs w:val="21"/>
              </w:rPr>
            </w:pPr>
            <w:r>
              <w:rPr>
                <w:rFonts w:hint="eastAsia"/>
                <w:szCs w:val="21"/>
              </w:rPr>
              <w:t>附件页码</w:t>
            </w:r>
          </w:p>
        </w:tc>
        <w:tc>
          <w:tcPr>
            <w:tcW w:w="2160" w:type="dxa"/>
            <w:vMerge w:val="restart"/>
            <w:tcBorders>
              <w:top w:val="single" w:color="auto" w:sz="4" w:space="0"/>
              <w:left w:val="single" w:color="auto" w:sz="4" w:space="0"/>
              <w:bottom w:val="single" w:color="auto" w:sz="4" w:space="0"/>
              <w:right w:val="single" w:color="auto" w:sz="4" w:space="0"/>
            </w:tcBorders>
            <w:vAlign w:val="center"/>
          </w:tcPr>
          <w:p w14:paraId="2FAB90F8">
            <w:pPr>
              <w:snapToGrid w:val="0"/>
              <w:spacing w:line="312" w:lineRule="auto"/>
              <w:jc w:val="center"/>
              <w:rPr>
                <w:szCs w:val="21"/>
              </w:rPr>
            </w:pPr>
            <w:r>
              <w:rPr>
                <w:rFonts w:hint="eastAsia"/>
                <w:szCs w:val="21"/>
              </w:rPr>
              <w:t>采购单位联系人及</w:t>
            </w:r>
          </w:p>
          <w:p w14:paraId="63E5591A">
            <w:pPr>
              <w:snapToGrid w:val="0"/>
              <w:spacing w:line="312" w:lineRule="auto"/>
              <w:jc w:val="center"/>
              <w:rPr>
                <w:szCs w:val="21"/>
              </w:rPr>
            </w:pPr>
            <w:r>
              <w:rPr>
                <w:rFonts w:hint="eastAsia"/>
                <w:szCs w:val="21"/>
              </w:rPr>
              <w:t>联系电话</w:t>
            </w:r>
          </w:p>
        </w:tc>
      </w:tr>
      <w:tr w14:paraId="6E3BC3E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36" w:hRule="atLeast"/>
        </w:trPr>
        <w:tc>
          <w:tcPr>
            <w:tcW w:w="2626" w:type="dxa"/>
            <w:vMerge w:val="continue"/>
            <w:tcBorders>
              <w:top w:val="single" w:color="auto" w:sz="4" w:space="0"/>
              <w:left w:val="single" w:color="auto" w:sz="4" w:space="0"/>
              <w:bottom w:val="single" w:color="auto" w:sz="4" w:space="0"/>
              <w:right w:val="single" w:color="auto" w:sz="4" w:space="0"/>
            </w:tcBorders>
            <w:vAlign w:val="center"/>
          </w:tcPr>
          <w:p w14:paraId="172670FC">
            <w:pPr>
              <w:widowControl/>
              <w:jc w:val="left"/>
              <w:rPr>
                <w:szCs w:val="21"/>
              </w:rPr>
            </w:pPr>
          </w:p>
        </w:tc>
        <w:tc>
          <w:tcPr>
            <w:tcW w:w="3419" w:type="dxa"/>
            <w:vMerge w:val="continue"/>
            <w:tcBorders>
              <w:top w:val="single" w:color="auto" w:sz="4" w:space="0"/>
              <w:left w:val="single" w:color="auto" w:sz="4" w:space="0"/>
              <w:bottom w:val="single" w:color="auto" w:sz="4" w:space="0"/>
              <w:right w:val="single" w:color="auto" w:sz="4" w:space="0"/>
            </w:tcBorders>
            <w:vAlign w:val="center"/>
          </w:tcPr>
          <w:p w14:paraId="38C93569">
            <w:pPr>
              <w:widowControl/>
              <w:jc w:val="left"/>
              <w:rPr>
                <w:szCs w:val="21"/>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14:paraId="1A12CA06">
            <w:pPr>
              <w:widowControl/>
              <w:jc w:val="left"/>
              <w:rPr>
                <w:szCs w:val="21"/>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14:paraId="5DDD0997">
            <w:pPr>
              <w:widowControl/>
              <w:jc w:val="left"/>
              <w:rPr>
                <w:szCs w:val="21"/>
              </w:rPr>
            </w:pPr>
          </w:p>
        </w:tc>
        <w:tc>
          <w:tcPr>
            <w:tcW w:w="1440" w:type="dxa"/>
            <w:vMerge w:val="continue"/>
            <w:tcBorders>
              <w:top w:val="single" w:color="auto" w:sz="4" w:space="0"/>
              <w:left w:val="single" w:color="auto" w:sz="4" w:space="0"/>
              <w:bottom w:val="single" w:color="auto" w:sz="4" w:space="0"/>
              <w:right w:val="single" w:color="auto" w:sz="4" w:space="0"/>
            </w:tcBorders>
            <w:vAlign w:val="center"/>
          </w:tcPr>
          <w:p w14:paraId="03C5D5A7">
            <w:pPr>
              <w:widowControl/>
              <w:jc w:val="left"/>
              <w:rPr>
                <w:szCs w:val="21"/>
              </w:rPr>
            </w:pPr>
          </w:p>
        </w:tc>
        <w:tc>
          <w:tcPr>
            <w:tcW w:w="720" w:type="dxa"/>
            <w:tcBorders>
              <w:top w:val="single" w:color="auto" w:sz="4" w:space="0"/>
              <w:left w:val="single" w:color="auto" w:sz="4" w:space="0"/>
              <w:bottom w:val="single" w:color="auto" w:sz="4" w:space="0"/>
              <w:right w:val="single" w:color="auto" w:sz="4" w:space="0"/>
            </w:tcBorders>
            <w:vAlign w:val="center"/>
          </w:tcPr>
          <w:p w14:paraId="57A21B71">
            <w:pPr>
              <w:snapToGrid w:val="0"/>
              <w:spacing w:line="312" w:lineRule="auto"/>
              <w:jc w:val="center"/>
              <w:rPr>
                <w:szCs w:val="21"/>
              </w:rPr>
            </w:pPr>
            <w:r>
              <w:rPr>
                <w:rFonts w:hint="eastAsia"/>
                <w:szCs w:val="21"/>
              </w:rPr>
              <w:t>合同</w:t>
            </w:r>
          </w:p>
        </w:tc>
        <w:tc>
          <w:tcPr>
            <w:tcW w:w="720" w:type="dxa"/>
            <w:tcBorders>
              <w:top w:val="single" w:color="auto" w:sz="4" w:space="0"/>
              <w:left w:val="single" w:color="auto" w:sz="4" w:space="0"/>
              <w:bottom w:val="single" w:color="auto" w:sz="4" w:space="0"/>
              <w:right w:val="single" w:color="auto" w:sz="4" w:space="0"/>
            </w:tcBorders>
            <w:vAlign w:val="center"/>
          </w:tcPr>
          <w:p w14:paraId="0103AB9A">
            <w:pPr>
              <w:snapToGrid w:val="0"/>
              <w:spacing w:line="312" w:lineRule="auto"/>
              <w:jc w:val="center"/>
              <w:rPr>
                <w:szCs w:val="21"/>
              </w:rPr>
            </w:pPr>
            <w:r>
              <w:rPr>
                <w:rFonts w:hint="eastAsia"/>
                <w:szCs w:val="21"/>
              </w:rPr>
              <w:t>验收报告</w:t>
            </w:r>
          </w:p>
        </w:tc>
        <w:tc>
          <w:tcPr>
            <w:tcW w:w="720" w:type="dxa"/>
            <w:tcBorders>
              <w:top w:val="single" w:color="auto" w:sz="4" w:space="0"/>
              <w:left w:val="single" w:color="auto" w:sz="4" w:space="0"/>
              <w:bottom w:val="single" w:color="auto" w:sz="4" w:space="0"/>
              <w:right w:val="single" w:color="auto" w:sz="4" w:space="0"/>
            </w:tcBorders>
            <w:vAlign w:val="center"/>
          </w:tcPr>
          <w:p w14:paraId="04DAD57E">
            <w:pPr>
              <w:snapToGrid w:val="0"/>
              <w:spacing w:line="312" w:lineRule="auto"/>
              <w:jc w:val="center"/>
              <w:rPr>
                <w:szCs w:val="21"/>
              </w:rPr>
            </w:pPr>
            <w:r>
              <w:rPr>
                <w:rFonts w:hint="eastAsia"/>
                <w:szCs w:val="21"/>
              </w:rPr>
              <w:t>用户评价</w:t>
            </w:r>
          </w:p>
        </w:tc>
        <w:tc>
          <w:tcPr>
            <w:tcW w:w="2160" w:type="dxa"/>
            <w:vMerge w:val="continue"/>
            <w:tcBorders>
              <w:top w:val="single" w:color="auto" w:sz="4" w:space="0"/>
              <w:left w:val="single" w:color="auto" w:sz="4" w:space="0"/>
              <w:bottom w:val="single" w:color="auto" w:sz="4" w:space="0"/>
              <w:right w:val="single" w:color="auto" w:sz="4" w:space="0"/>
            </w:tcBorders>
            <w:vAlign w:val="center"/>
          </w:tcPr>
          <w:p w14:paraId="5A3CEC22">
            <w:pPr>
              <w:widowControl/>
              <w:jc w:val="left"/>
              <w:rPr>
                <w:szCs w:val="21"/>
              </w:rPr>
            </w:pPr>
          </w:p>
        </w:tc>
      </w:tr>
      <w:tr w14:paraId="52E3C16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9" w:hRule="atLeast"/>
        </w:trPr>
        <w:tc>
          <w:tcPr>
            <w:tcW w:w="2626" w:type="dxa"/>
            <w:tcBorders>
              <w:top w:val="single" w:color="auto" w:sz="4" w:space="0"/>
              <w:left w:val="single" w:color="auto" w:sz="4" w:space="0"/>
              <w:bottom w:val="single" w:color="auto" w:sz="4" w:space="0"/>
              <w:right w:val="single" w:color="auto" w:sz="4" w:space="0"/>
            </w:tcBorders>
          </w:tcPr>
          <w:p w14:paraId="05D65C11">
            <w:pPr>
              <w:snapToGrid w:val="0"/>
              <w:spacing w:line="312" w:lineRule="auto"/>
              <w:jc w:val="left"/>
              <w:rPr>
                <w:szCs w:val="21"/>
              </w:rPr>
            </w:pPr>
          </w:p>
        </w:tc>
        <w:tc>
          <w:tcPr>
            <w:tcW w:w="3419" w:type="dxa"/>
            <w:tcBorders>
              <w:top w:val="single" w:color="auto" w:sz="4" w:space="0"/>
              <w:left w:val="single" w:color="auto" w:sz="4" w:space="0"/>
              <w:bottom w:val="single" w:color="auto" w:sz="4" w:space="0"/>
              <w:right w:val="single" w:color="auto" w:sz="4" w:space="0"/>
            </w:tcBorders>
          </w:tcPr>
          <w:p w14:paraId="0B96BD0A">
            <w:pPr>
              <w:snapToGrid w:val="0"/>
              <w:spacing w:line="312" w:lineRule="auto"/>
              <w:jc w:val="left"/>
              <w:rPr>
                <w:szCs w:val="21"/>
              </w:rPr>
            </w:pPr>
          </w:p>
        </w:tc>
        <w:tc>
          <w:tcPr>
            <w:tcW w:w="1080" w:type="dxa"/>
            <w:tcBorders>
              <w:top w:val="single" w:color="auto" w:sz="4" w:space="0"/>
              <w:left w:val="single" w:color="auto" w:sz="4" w:space="0"/>
              <w:bottom w:val="single" w:color="auto" w:sz="4" w:space="0"/>
              <w:right w:val="single" w:color="auto" w:sz="4" w:space="0"/>
            </w:tcBorders>
          </w:tcPr>
          <w:p w14:paraId="30DED956">
            <w:pPr>
              <w:snapToGrid w:val="0"/>
              <w:spacing w:line="312" w:lineRule="auto"/>
              <w:jc w:val="left"/>
              <w:rPr>
                <w:szCs w:val="21"/>
              </w:rPr>
            </w:pPr>
          </w:p>
        </w:tc>
        <w:tc>
          <w:tcPr>
            <w:tcW w:w="1080" w:type="dxa"/>
            <w:tcBorders>
              <w:top w:val="single" w:color="auto" w:sz="4" w:space="0"/>
              <w:left w:val="single" w:color="auto" w:sz="4" w:space="0"/>
              <w:bottom w:val="single" w:color="auto" w:sz="4" w:space="0"/>
              <w:right w:val="single" w:color="auto" w:sz="4" w:space="0"/>
            </w:tcBorders>
          </w:tcPr>
          <w:p w14:paraId="704494A0">
            <w:pPr>
              <w:snapToGrid w:val="0"/>
              <w:spacing w:line="312" w:lineRule="auto"/>
              <w:jc w:val="left"/>
              <w:rPr>
                <w:szCs w:val="21"/>
              </w:rPr>
            </w:pPr>
          </w:p>
        </w:tc>
        <w:tc>
          <w:tcPr>
            <w:tcW w:w="1440" w:type="dxa"/>
            <w:tcBorders>
              <w:top w:val="single" w:color="auto" w:sz="4" w:space="0"/>
              <w:left w:val="single" w:color="auto" w:sz="4" w:space="0"/>
              <w:bottom w:val="single" w:color="auto" w:sz="4" w:space="0"/>
              <w:right w:val="single" w:color="auto" w:sz="4" w:space="0"/>
            </w:tcBorders>
          </w:tcPr>
          <w:p w14:paraId="1206BCE8">
            <w:pPr>
              <w:snapToGrid w:val="0"/>
              <w:spacing w:line="312" w:lineRule="auto"/>
              <w:jc w:val="left"/>
              <w:rPr>
                <w:szCs w:val="21"/>
              </w:rPr>
            </w:pPr>
          </w:p>
        </w:tc>
        <w:tc>
          <w:tcPr>
            <w:tcW w:w="720" w:type="dxa"/>
            <w:tcBorders>
              <w:top w:val="single" w:color="auto" w:sz="4" w:space="0"/>
              <w:left w:val="single" w:color="auto" w:sz="4" w:space="0"/>
              <w:bottom w:val="single" w:color="auto" w:sz="4" w:space="0"/>
              <w:right w:val="single" w:color="auto" w:sz="4" w:space="0"/>
            </w:tcBorders>
          </w:tcPr>
          <w:p w14:paraId="2789D0A5">
            <w:pPr>
              <w:snapToGrid w:val="0"/>
              <w:spacing w:line="312" w:lineRule="auto"/>
              <w:jc w:val="left"/>
              <w:rPr>
                <w:szCs w:val="21"/>
              </w:rPr>
            </w:pPr>
          </w:p>
        </w:tc>
        <w:tc>
          <w:tcPr>
            <w:tcW w:w="720" w:type="dxa"/>
            <w:tcBorders>
              <w:top w:val="single" w:color="auto" w:sz="4" w:space="0"/>
              <w:left w:val="single" w:color="auto" w:sz="4" w:space="0"/>
              <w:bottom w:val="single" w:color="auto" w:sz="4" w:space="0"/>
              <w:right w:val="single" w:color="auto" w:sz="4" w:space="0"/>
            </w:tcBorders>
          </w:tcPr>
          <w:p w14:paraId="6D1624E7">
            <w:pPr>
              <w:snapToGrid w:val="0"/>
              <w:spacing w:line="312" w:lineRule="auto"/>
              <w:jc w:val="left"/>
              <w:rPr>
                <w:szCs w:val="21"/>
              </w:rPr>
            </w:pPr>
          </w:p>
        </w:tc>
        <w:tc>
          <w:tcPr>
            <w:tcW w:w="720" w:type="dxa"/>
            <w:tcBorders>
              <w:top w:val="single" w:color="auto" w:sz="4" w:space="0"/>
              <w:left w:val="single" w:color="auto" w:sz="4" w:space="0"/>
              <w:bottom w:val="single" w:color="auto" w:sz="4" w:space="0"/>
              <w:right w:val="single" w:color="auto" w:sz="4" w:space="0"/>
            </w:tcBorders>
          </w:tcPr>
          <w:p w14:paraId="05929F64">
            <w:pPr>
              <w:snapToGrid w:val="0"/>
              <w:spacing w:line="312" w:lineRule="auto"/>
              <w:jc w:val="left"/>
              <w:rPr>
                <w:szCs w:val="21"/>
              </w:rPr>
            </w:pPr>
          </w:p>
        </w:tc>
        <w:tc>
          <w:tcPr>
            <w:tcW w:w="2160" w:type="dxa"/>
            <w:tcBorders>
              <w:top w:val="single" w:color="auto" w:sz="4" w:space="0"/>
              <w:left w:val="single" w:color="auto" w:sz="4" w:space="0"/>
              <w:bottom w:val="single" w:color="auto" w:sz="4" w:space="0"/>
              <w:right w:val="single" w:color="auto" w:sz="4" w:space="0"/>
            </w:tcBorders>
          </w:tcPr>
          <w:p w14:paraId="64F98157">
            <w:pPr>
              <w:snapToGrid w:val="0"/>
              <w:spacing w:line="312" w:lineRule="auto"/>
              <w:jc w:val="left"/>
              <w:rPr>
                <w:szCs w:val="21"/>
              </w:rPr>
            </w:pPr>
          </w:p>
        </w:tc>
      </w:tr>
      <w:tr w14:paraId="4619B4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626" w:type="dxa"/>
            <w:tcBorders>
              <w:top w:val="single" w:color="auto" w:sz="4" w:space="0"/>
              <w:left w:val="single" w:color="auto" w:sz="4" w:space="0"/>
              <w:bottom w:val="single" w:color="auto" w:sz="4" w:space="0"/>
              <w:right w:val="single" w:color="auto" w:sz="4" w:space="0"/>
            </w:tcBorders>
          </w:tcPr>
          <w:p w14:paraId="06800569">
            <w:pPr>
              <w:snapToGrid w:val="0"/>
              <w:spacing w:before="50" w:after="120" w:afterLines="50" w:line="312" w:lineRule="auto"/>
              <w:jc w:val="left"/>
              <w:rPr>
                <w:sz w:val="24"/>
              </w:rPr>
            </w:pPr>
          </w:p>
        </w:tc>
        <w:tc>
          <w:tcPr>
            <w:tcW w:w="3419" w:type="dxa"/>
            <w:tcBorders>
              <w:top w:val="single" w:color="auto" w:sz="4" w:space="0"/>
              <w:left w:val="single" w:color="auto" w:sz="4" w:space="0"/>
              <w:bottom w:val="single" w:color="auto" w:sz="4" w:space="0"/>
              <w:right w:val="single" w:color="auto" w:sz="4" w:space="0"/>
            </w:tcBorders>
          </w:tcPr>
          <w:p w14:paraId="785C30F5">
            <w:pPr>
              <w:snapToGrid w:val="0"/>
              <w:spacing w:before="600" w:after="120" w:afterLines="50" w:line="312" w:lineRule="auto"/>
              <w:jc w:val="left"/>
              <w:rPr>
                <w:b/>
                <w:bCs/>
                <w:kern w:val="44"/>
                <w:sz w:val="24"/>
                <w:szCs w:val="20"/>
              </w:rPr>
            </w:pPr>
          </w:p>
        </w:tc>
        <w:tc>
          <w:tcPr>
            <w:tcW w:w="1080" w:type="dxa"/>
            <w:tcBorders>
              <w:top w:val="single" w:color="auto" w:sz="4" w:space="0"/>
              <w:left w:val="single" w:color="auto" w:sz="4" w:space="0"/>
              <w:bottom w:val="single" w:color="auto" w:sz="4" w:space="0"/>
              <w:right w:val="single" w:color="auto" w:sz="4" w:space="0"/>
            </w:tcBorders>
          </w:tcPr>
          <w:p w14:paraId="03CF2077">
            <w:pPr>
              <w:snapToGrid w:val="0"/>
              <w:spacing w:before="600" w:after="120" w:afterLines="50" w:line="312" w:lineRule="auto"/>
              <w:jc w:val="left"/>
              <w:rPr>
                <w:b/>
                <w:bCs/>
                <w:kern w:val="44"/>
                <w:sz w:val="24"/>
                <w:szCs w:val="20"/>
              </w:rPr>
            </w:pPr>
          </w:p>
        </w:tc>
        <w:tc>
          <w:tcPr>
            <w:tcW w:w="1080" w:type="dxa"/>
            <w:tcBorders>
              <w:top w:val="single" w:color="auto" w:sz="4" w:space="0"/>
              <w:left w:val="single" w:color="auto" w:sz="4" w:space="0"/>
              <w:bottom w:val="single" w:color="auto" w:sz="4" w:space="0"/>
              <w:right w:val="single" w:color="auto" w:sz="4" w:space="0"/>
            </w:tcBorders>
          </w:tcPr>
          <w:p w14:paraId="3C1D39A4">
            <w:pPr>
              <w:snapToGrid w:val="0"/>
              <w:spacing w:before="600" w:after="120" w:afterLines="50" w:line="312" w:lineRule="auto"/>
              <w:jc w:val="left"/>
              <w:rPr>
                <w:b/>
                <w:bCs/>
                <w:kern w:val="44"/>
                <w:sz w:val="24"/>
                <w:szCs w:val="20"/>
              </w:rPr>
            </w:pPr>
          </w:p>
        </w:tc>
        <w:tc>
          <w:tcPr>
            <w:tcW w:w="1440" w:type="dxa"/>
            <w:tcBorders>
              <w:top w:val="single" w:color="auto" w:sz="4" w:space="0"/>
              <w:left w:val="single" w:color="auto" w:sz="4" w:space="0"/>
              <w:bottom w:val="single" w:color="auto" w:sz="4" w:space="0"/>
              <w:right w:val="single" w:color="auto" w:sz="4" w:space="0"/>
            </w:tcBorders>
          </w:tcPr>
          <w:p w14:paraId="48391C33">
            <w:pPr>
              <w:snapToGrid w:val="0"/>
              <w:spacing w:before="600" w:after="120" w:afterLines="50" w:line="312" w:lineRule="auto"/>
              <w:jc w:val="left"/>
              <w:rPr>
                <w:b/>
                <w:bCs/>
                <w:kern w:val="44"/>
                <w:sz w:val="24"/>
                <w:szCs w:val="20"/>
              </w:rPr>
            </w:pPr>
          </w:p>
        </w:tc>
        <w:tc>
          <w:tcPr>
            <w:tcW w:w="720" w:type="dxa"/>
            <w:tcBorders>
              <w:top w:val="single" w:color="auto" w:sz="4" w:space="0"/>
              <w:left w:val="single" w:color="auto" w:sz="4" w:space="0"/>
              <w:bottom w:val="single" w:color="auto" w:sz="4" w:space="0"/>
              <w:right w:val="single" w:color="auto" w:sz="4" w:space="0"/>
            </w:tcBorders>
          </w:tcPr>
          <w:p w14:paraId="51FB9F47">
            <w:pPr>
              <w:snapToGrid w:val="0"/>
              <w:spacing w:before="600" w:after="120" w:afterLines="50" w:line="312" w:lineRule="auto"/>
              <w:jc w:val="left"/>
              <w:rPr>
                <w:b/>
                <w:bCs/>
                <w:kern w:val="44"/>
                <w:sz w:val="24"/>
                <w:szCs w:val="20"/>
              </w:rPr>
            </w:pPr>
          </w:p>
        </w:tc>
        <w:tc>
          <w:tcPr>
            <w:tcW w:w="720" w:type="dxa"/>
            <w:tcBorders>
              <w:top w:val="single" w:color="auto" w:sz="4" w:space="0"/>
              <w:left w:val="single" w:color="auto" w:sz="4" w:space="0"/>
              <w:bottom w:val="single" w:color="auto" w:sz="4" w:space="0"/>
              <w:right w:val="single" w:color="auto" w:sz="4" w:space="0"/>
            </w:tcBorders>
          </w:tcPr>
          <w:p w14:paraId="3D1A3CF6">
            <w:pPr>
              <w:snapToGrid w:val="0"/>
              <w:spacing w:before="600" w:after="120" w:afterLines="50" w:line="312" w:lineRule="auto"/>
              <w:jc w:val="left"/>
              <w:rPr>
                <w:b/>
                <w:bCs/>
                <w:kern w:val="44"/>
                <w:sz w:val="24"/>
                <w:szCs w:val="20"/>
              </w:rPr>
            </w:pPr>
          </w:p>
        </w:tc>
        <w:tc>
          <w:tcPr>
            <w:tcW w:w="720" w:type="dxa"/>
            <w:tcBorders>
              <w:top w:val="single" w:color="auto" w:sz="4" w:space="0"/>
              <w:left w:val="single" w:color="auto" w:sz="4" w:space="0"/>
              <w:bottom w:val="single" w:color="auto" w:sz="4" w:space="0"/>
              <w:right w:val="single" w:color="auto" w:sz="4" w:space="0"/>
            </w:tcBorders>
          </w:tcPr>
          <w:p w14:paraId="32A17EDD">
            <w:pPr>
              <w:snapToGrid w:val="0"/>
              <w:spacing w:before="600" w:after="120" w:afterLines="50" w:line="312" w:lineRule="auto"/>
              <w:jc w:val="left"/>
              <w:rPr>
                <w:b/>
                <w:bCs/>
                <w:kern w:val="44"/>
                <w:sz w:val="24"/>
                <w:szCs w:val="20"/>
              </w:rPr>
            </w:pPr>
          </w:p>
        </w:tc>
        <w:tc>
          <w:tcPr>
            <w:tcW w:w="2160" w:type="dxa"/>
            <w:tcBorders>
              <w:top w:val="single" w:color="auto" w:sz="4" w:space="0"/>
              <w:left w:val="single" w:color="auto" w:sz="4" w:space="0"/>
              <w:bottom w:val="single" w:color="auto" w:sz="4" w:space="0"/>
              <w:right w:val="single" w:color="auto" w:sz="4" w:space="0"/>
            </w:tcBorders>
          </w:tcPr>
          <w:p w14:paraId="788CA16C">
            <w:pPr>
              <w:snapToGrid w:val="0"/>
              <w:spacing w:before="600" w:after="120" w:afterLines="50" w:line="312" w:lineRule="auto"/>
              <w:jc w:val="left"/>
              <w:rPr>
                <w:b/>
                <w:bCs/>
                <w:kern w:val="44"/>
                <w:sz w:val="24"/>
                <w:szCs w:val="20"/>
              </w:rPr>
            </w:pPr>
          </w:p>
        </w:tc>
      </w:tr>
      <w:tr w14:paraId="3F44C0B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0" w:hRule="atLeast"/>
        </w:trPr>
        <w:tc>
          <w:tcPr>
            <w:tcW w:w="2626" w:type="dxa"/>
            <w:tcBorders>
              <w:top w:val="single" w:color="auto" w:sz="4" w:space="0"/>
              <w:left w:val="single" w:color="auto" w:sz="4" w:space="0"/>
              <w:bottom w:val="single" w:color="auto" w:sz="4" w:space="0"/>
              <w:right w:val="single" w:color="auto" w:sz="4" w:space="0"/>
            </w:tcBorders>
          </w:tcPr>
          <w:p w14:paraId="633B07F3">
            <w:pPr>
              <w:snapToGrid w:val="0"/>
              <w:spacing w:before="50" w:after="120" w:afterLines="50" w:line="312" w:lineRule="auto"/>
              <w:jc w:val="left"/>
              <w:rPr>
                <w:sz w:val="24"/>
              </w:rPr>
            </w:pPr>
          </w:p>
        </w:tc>
        <w:tc>
          <w:tcPr>
            <w:tcW w:w="3419" w:type="dxa"/>
            <w:tcBorders>
              <w:top w:val="single" w:color="auto" w:sz="4" w:space="0"/>
              <w:left w:val="single" w:color="auto" w:sz="4" w:space="0"/>
              <w:bottom w:val="single" w:color="auto" w:sz="4" w:space="0"/>
              <w:right w:val="single" w:color="auto" w:sz="4" w:space="0"/>
            </w:tcBorders>
          </w:tcPr>
          <w:p w14:paraId="6AACD46F">
            <w:pPr>
              <w:snapToGrid w:val="0"/>
              <w:spacing w:before="600" w:after="120" w:afterLines="50" w:line="312" w:lineRule="auto"/>
              <w:jc w:val="left"/>
              <w:rPr>
                <w:b/>
                <w:bCs/>
                <w:kern w:val="44"/>
                <w:sz w:val="24"/>
                <w:szCs w:val="20"/>
              </w:rPr>
            </w:pPr>
          </w:p>
        </w:tc>
        <w:tc>
          <w:tcPr>
            <w:tcW w:w="1080" w:type="dxa"/>
            <w:tcBorders>
              <w:top w:val="single" w:color="auto" w:sz="4" w:space="0"/>
              <w:left w:val="single" w:color="auto" w:sz="4" w:space="0"/>
              <w:bottom w:val="single" w:color="auto" w:sz="4" w:space="0"/>
              <w:right w:val="single" w:color="auto" w:sz="4" w:space="0"/>
            </w:tcBorders>
          </w:tcPr>
          <w:p w14:paraId="035E9A64">
            <w:pPr>
              <w:snapToGrid w:val="0"/>
              <w:spacing w:before="600" w:after="120" w:afterLines="50" w:line="312" w:lineRule="auto"/>
              <w:jc w:val="left"/>
              <w:rPr>
                <w:b/>
                <w:bCs/>
                <w:kern w:val="44"/>
                <w:sz w:val="24"/>
                <w:szCs w:val="20"/>
              </w:rPr>
            </w:pPr>
          </w:p>
        </w:tc>
        <w:tc>
          <w:tcPr>
            <w:tcW w:w="1080" w:type="dxa"/>
            <w:tcBorders>
              <w:top w:val="single" w:color="auto" w:sz="4" w:space="0"/>
              <w:left w:val="single" w:color="auto" w:sz="4" w:space="0"/>
              <w:bottom w:val="single" w:color="auto" w:sz="4" w:space="0"/>
              <w:right w:val="single" w:color="auto" w:sz="4" w:space="0"/>
            </w:tcBorders>
          </w:tcPr>
          <w:p w14:paraId="5F55AFAA">
            <w:pPr>
              <w:snapToGrid w:val="0"/>
              <w:spacing w:before="600" w:after="120" w:afterLines="50" w:line="312" w:lineRule="auto"/>
              <w:jc w:val="left"/>
              <w:rPr>
                <w:b/>
                <w:bCs/>
                <w:kern w:val="44"/>
                <w:sz w:val="24"/>
                <w:szCs w:val="20"/>
              </w:rPr>
            </w:pPr>
          </w:p>
        </w:tc>
        <w:tc>
          <w:tcPr>
            <w:tcW w:w="1440" w:type="dxa"/>
            <w:tcBorders>
              <w:top w:val="single" w:color="auto" w:sz="4" w:space="0"/>
              <w:left w:val="single" w:color="auto" w:sz="4" w:space="0"/>
              <w:bottom w:val="single" w:color="auto" w:sz="4" w:space="0"/>
              <w:right w:val="single" w:color="auto" w:sz="4" w:space="0"/>
            </w:tcBorders>
          </w:tcPr>
          <w:p w14:paraId="7540F594">
            <w:pPr>
              <w:snapToGrid w:val="0"/>
              <w:spacing w:before="600" w:after="120" w:afterLines="50" w:line="312" w:lineRule="auto"/>
              <w:jc w:val="left"/>
              <w:rPr>
                <w:b/>
                <w:bCs/>
                <w:kern w:val="44"/>
                <w:sz w:val="24"/>
                <w:szCs w:val="20"/>
              </w:rPr>
            </w:pPr>
          </w:p>
        </w:tc>
        <w:tc>
          <w:tcPr>
            <w:tcW w:w="720" w:type="dxa"/>
            <w:tcBorders>
              <w:top w:val="single" w:color="auto" w:sz="4" w:space="0"/>
              <w:left w:val="single" w:color="auto" w:sz="4" w:space="0"/>
              <w:bottom w:val="single" w:color="auto" w:sz="4" w:space="0"/>
              <w:right w:val="single" w:color="auto" w:sz="4" w:space="0"/>
            </w:tcBorders>
          </w:tcPr>
          <w:p w14:paraId="581A3363">
            <w:pPr>
              <w:snapToGrid w:val="0"/>
              <w:spacing w:before="600" w:after="120" w:afterLines="50" w:line="312" w:lineRule="auto"/>
              <w:jc w:val="left"/>
              <w:rPr>
                <w:b/>
                <w:bCs/>
                <w:kern w:val="44"/>
                <w:sz w:val="24"/>
                <w:szCs w:val="20"/>
              </w:rPr>
            </w:pPr>
          </w:p>
        </w:tc>
        <w:tc>
          <w:tcPr>
            <w:tcW w:w="720" w:type="dxa"/>
            <w:tcBorders>
              <w:top w:val="single" w:color="auto" w:sz="4" w:space="0"/>
              <w:left w:val="single" w:color="auto" w:sz="4" w:space="0"/>
              <w:bottom w:val="single" w:color="auto" w:sz="4" w:space="0"/>
              <w:right w:val="single" w:color="auto" w:sz="4" w:space="0"/>
            </w:tcBorders>
          </w:tcPr>
          <w:p w14:paraId="00324A4A">
            <w:pPr>
              <w:snapToGrid w:val="0"/>
              <w:spacing w:before="600" w:after="120" w:afterLines="50" w:line="312" w:lineRule="auto"/>
              <w:jc w:val="left"/>
              <w:rPr>
                <w:b/>
                <w:bCs/>
                <w:kern w:val="44"/>
                <w:sz w:val="24"/>
                <w:szCs w:val="20"/>
              </w:rPr>
            </w:pPr>
          </w:p>
        </w:tc>
        <w:tc>
          <w:tcPr>
            <w:tcW w:w="720" w:type="dxa"/>
            <w:tcBorders>
              <w:top w:val="single" w:color="auto" w:sz="4" w:space="0"/>
              <w:left w:val="single" w:color="auto" w:sz="4" w:space="0"/>
              <w:bottom w:val="single" w:color="auto" w:sz="4" w:space="0"/>
              <w:right w:val="single" w:color="auto" w:sz="4" w:space="0"/>
            </w:tcBorders>
          </w:tcPr>
          <w:p w14:paraId="2458ACE3">
            <w:pPr>
              <w:snapToGrid w:val="0"/>
              <w:spacing w:before="600" w:after="120" w:afterLines="50" w:line="312" w:lineRule="auto"/>
              <w:jc w:val="left"/>
              <w:rPr>
                <w:b/>
                <w:bCs/>
                <w:kern w:val="44"/>
                <w:sz w:val="24"/>
                <w:szCs w:val="20"/>
              </w:rPr>
            </w:pPr>
          </w:p>
        </w:tc>
        <w:tc>
          <w:tcPr>
            <w:tcW w:w="2160" w:type="dxa"/>
            <w:tcBorders>
              <w:top w:val="single" w:color="auto" w:sz="4" w:space="0"/>
              <w:left w:val="single" w:color="auto" w:sz="4" w:space="0"/>
              <w:bottom w:val="single" w:color="auto" w:sz="4" w:space="0"/>
              <w:right w:val="single" w:color="auto" w:sz="4" w:space="0"/>
            </w:tcBorders>
          </w:tcPr>
          <w:p w14:paraId="78ED3630">
            <w:pPr>
              <w:snapToGrid w:val="0"/>
              <w:spacing w:before="600" w:after="120" w:afterLines="50" w:line="312" w:lineRule="auto"/>
              <w:jc w:val="left"/>
              <w:rPr>
                <w:b/>
                <w:bCs/>
                <w:kern w:val="44"/>
                <w:sz w:val="24"/>
                <w:szCs w:val="20"/>
              </w:rPr>
            </w:pPr>
          </w:p>
        </w:tc>
      </w:tr>
      <w:tr w14:paraId="3758187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626" w:type="dxa"/>
            <w:tcBorders>
              <w:top w:val="single" w:color="auto" w:sz="4" w:space="0"/>
              <w:left w:val="single" w:color="auto" w:sz="4" w:space="0"/>
              <w:bottom w:val="single" w:color="auto" w:sz="4" w:space="0"/>
              <w:right w:val="single" w:color="auto" w:sz="4" w:space="0"/>
            </w:tcBorders>
          </w:tcPr>
          <w:p w14:paraId="4BA291FC">
            <w:pPr>
              <w:snapToGrid w:val="0"/>
              <w:spacing w:before="50" w:after="120" w:afterLines="50" w:line="312" w:lineRule="auto"/>
              <w:jc w:val="left"/>
              <w:rPr>
                <w:sz w:val="24"/>
              </w:rPr>
            </w:pPr>
          </w:p>
        </w:tc>
        <w:tc>
          <w:tcPr>
            <w:tcW w:w="3419" w:type="dxa"/>
            <w:tcBorders>
              <w:top w:val="single" w:color="auto" w:sz="4" w:space="0"/>
              <w:left w:val="single" w:color="auto" w:sz="4" w:space="0"/>
              <w:bottom w:val="single" w:color="auto" w:sz="4" w:space="0"/>
              <w:right w:val="single" w:color="auto" w:sz="4" w:space="0"/>
            </w:tcBorders>
          </w:tcPr>
          <w:p w14:paraId="36C75866">
            <w:pPr>
              <w:snapToGrid w:val="0"/>
              <w:spacing w:before="600" w:after="120" w:afterLines="50" w:line="312" w:lineRule="auto"/>
              <w:jc w:val="left"/>
              <w:rPr>
                <w:b/>
                <w:bCs/>
                <w:kern w:val="44"/>
                <w:sz w:val="24"/>
                <w:szCs w:val="20"/>
              </w:rPr>
            </w:pPr>
          </w:p>
        </w:tc>
        <w:tc>
          <w:tcPr>
            <w:tcW w:w="1080" w:type="dxa"/>
            <w:tcBorders>
              <w:top w:val="single" w:color="auto" w:sz="4" w:space="0"/>
              <w:left w:val="single" w:color="auto" w:sz="4" w:space="0"/>
              <w:bottom w:val="single" w:color="auto" w:sz="4" w:space="0"/>
              <w:right w:val="single" w:color="auto" w:sz="4" w:space="0"/>
            </w:tcBorders>
          </w:tcPr>
          <w:p w14:paraId="18971175">
            <w:pPr>
              <w:snapToGrid w:val="0"/>
              <w:spacing w:before="600" w:after="120" w:afterLines="50" w:line="312" w:lineRule="auto"/>
              <w:jc w:val="left"/>
              <w:rPr>
                <w:b/>
                <w:bCs/>
                <w:kern w:val="44"/>
                <w:sz w:val="24"/>
                <w:szCs w:val="20"/>
              </w:rPr>
            </w:pPr>
          </w:p>
        </w:tc>
        <w:tc>
          <w:tcPr>
            <w:tcW w:w="1080" w:type="dxa"/>
            <w:tcBorders>
              <w:top w:val="single" w:color="auto" w:sz="4" w:space="0"/>
              <w:left w:val="single" w:color="auto" w:sz="4" w:space="0"/>
              <w:bottom w:val="single" w:color="auto" w:sz="4" w:space="0"/>
              <w:right w:val="single" w:color="auto" w:sz="4" w:space="0"/>
            </w:tcBorders>
          </w:tcPr>
          <w:p w14:paraId="76856528">
            <w:pPr>
              <w:snapToGrid w:val="0"/>
              <w:spacing w:before="600" w:after="120" w:afterLines="50" w:line="312" w:lineRule="auto"/>
              <w:jc w:val="left"/>
              <w:rPr>
                <w:b/>
                <w:bCs/>
                <w:kern w:val="44"/>
                <w:sz w:val="24"/>
                <w:szCs w:val="20"/>
              </w:rPr>
            </w:pPr>
          </w:p>
        </w:tc>
        <w:tc>
          <w:tcPr>
            <w:tcW w:w="1440" w:type="dxa"/>
            <w:tcBorders>
              <w:top w:val="single" w:color="auto" w:sz="4" w:space="0"/>
              <w:left w:val="single" w:color="auto" w:sz="4" w:space="0"/>
              <w:bottom w:val="single" w:color="auto" w:sz="4" w:space="0"/>
              <w:right w:val="single" w:color="auto" w:sz="4" w:space="0"/>
            </w:tcBorders>
          </w:tcPr>
          <w:p w14:paraId="76869D73">
            <w:pPr>
              <w:snapToGrid w:val="0"/>
              <w:spacing w:before="600" w:after="120" w:afterLines="50" w:line="312" w:lineRule="auto"/>
              <w:jc w:val="left"/>
              <w:rPr>
                <w:b/>
                <w:bCs/>
                <w:kern w:val="44"/>
                <w:sz w:val="24"/>
                <w:szCs w:val="20"/>
              </w:rPr>
            </w:pPr>
          </w:p>
        </w:tc>
        <w:tc>
          <w:tcPr>
            <w:tcW w:w="720" w:type="dxa"/>
            <w:tcBorders>
              <w:top w:val="single" w:color="auto" w:sz="4" w:space="0"/>
              <w:left w:val="single" w:color="auto" w:sz="4" w:space="0"/>
              <w:bottom w:val="single" w:color="auto" w:sz="4" w:space="0"/>
              <w:right w:val="single" w:color="auto" w:sz="4" w:space="0"/>
            </w:tcBorders>
          </w:tcPr>
          <w:p w14:paraId="2553309A">
            <w:pPr>
              <w:snapToGrid w:val="0"/>
              <w:spacing w:before="600" w:after="120" w:afterLines="50" w:line="312" w:lineRule="auto"/>
              <w:jc w:val="left"/>
              <w:rPr>
                <w:b/>
                <w:bCs/>
                <w:kern w:val="44"/>
                <w:sz w:val="24"/>
                <w:szCs w:val="20"/>
              </w:rPr>
            </w:pPr>
          </w:p>
        </w:tc>
        <w:tc>
          <w:tcPr>
            <w:tcW w:w="720" w:type="dxa"/>
            <w:tcBorders>
              <w:top w:val="single" w:color="auto" w:sz="4" w:space="0"/>
              <w:left w:val="single" w:color="auto" w:sz="4" w:space="0"/>
              <w:bottom w:val="single" w:color="auto" w:sz="4" w:space="0"/>
              <w:right w:val="single" w:color="auto" w:sz="4" w:space="0"/>
            </w:tcBorders>
          </w:tcPr>
          <w:p w14:paraId="037C461C">
            <w:pPr>
              <w:snapToGrid w:val="0"/>
              <w:spacing w:before="600" w:after="120" w:afterLines="50" w:line="312" w:lineRule="auto"/>
              <w:jc w:val="left"/>
              <w:rPr>
                <w:b/>
                <w:bCs/>
                <w:kern w:val="44"/>
                <w:sz w:val="24"/>
                <w:szCs w:val="20"/>
              </w:rPr>
            </w:pPr>
          </w:p>
        </w:tc>
        <w:tc>
          <w:tcPr>
            <w:tcW w:w="720" w:type="dxa"/>
            <w:tcBorders>
              <w:top w:val="single" w:color="auto" w:sz="4" w:space="0"/>
              <w:left w:val="single" w:color="auto" w:sz="4" w:space="0"/>
              <w:bottom w:val="single" w:color="auto" w:sz="4" w:space="0"/>
              <w:right w:val="single" w:color="auto" w:sz="4" w:space="0"/>
            </w:tcBorders>
          </w:tcPr>
          <w:p w14:paraId="519A628F">
            <w:pPr>
              <w:snapToGrid w:val="0"/>
              <w:spacing w:before="600" w:after="120" w:afterLines="50" w:line="312" w:lineRule="auto"/>
              <w:jc w:val="left"/>
              <w:rPr>
                <w:b/>
                <w:bCs/>
                <w:kern w:val="44"/>
                <w:sz w:val="24"/>
                <w:szCs w:val="20"/>
              </w:rPr>
            </w:pPr>
          </w:p>
        </w:tc>
        <w:tc>
          <w:tcPr>
            <w:tcW w:w="2160" w:type="dxa"/>
            <w:tcBorders>
              <w:top w:val="single" w:color="auto" w:sz="4" w:space="0"/>
              <w:left w:val="single" w:color="auto" w:sz="4" w:space="0"/>
              <w:bottom w:val="single" w:color="auto" w:sz="4" w:space="0"/>
              <w:right w:val="single" w:color="auto" w:sz="4" w:space="0"/>
            </w:tcBorders>
          </w:tcPr>
          <w:p w14:paraId="2AC3DF3E">
            <w:pPr>
              <w:snapToGrid w:val="0"/>
              <w:spacing w:before="600" w:after="120" w:afterLines="50" w:line="312" w:lineRule="auto"/>
              <w:jc w:val="left"/>
              <w:rPr>
                <w:b/>
                <w:bCs/>
                <w:kern w:val="44"/>
                <w:sz w:val="24"/>
                <w:szCs w:val="20"/>
              </w:rPr>
            </w:pPr>
          </w:p>
        </w:tc>
      </w:tr>
      <w:tr w14:paraId="2863AE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626" w:type="dxa"/>
            <w:tcBorders>
              <w:top w:val="single" w:color="auto" w:sz="4" w:space="0"/>
              <w:left w:val="single" w:color="auto" w:sz="4" w:space="0"/>
              <w:bottom w:val="single" w:color="auto" w:sz="4" w:space="0"/>
              <w:right w:val="single" w:color="auto" w:sz="4" w:space="0"/>
            </w:tcBorders>
          </w:tcPr>
          <w:p w14:paraId="49AEE631">
            <w:pPr>
              <w:snapToGrid w:val="0"/>
              <w:spacing w:before="50" w:after="120" w:afterLines="50" w:line="312" w:lineRule="auto"/>
              <w:jc w:val="left"/>
              <w:rPr>
                <w:sz w:val="24"/>
              </w:rPr>
            </w:pPr>
          </w:p>
        </w:tc>
        <w:tc>
          <w:tcPr>
            <w:tcW w:w="3419" w:type="dxa"/>
            <w:tcBorders>
              <w:top w:val="single" w:color="auto" w:sz="4" w:space="0"/>
              <w:left w:val="single" w:color="auto" w:sz="4" w:space="0"/>
              <w:bottom w:val="single" w:color="auto" w:sz="4" w:space="0"/>
              <w:right w:val="single" w:color="auto" w:sz="4" w:space="0"/>
            </w:tcBorders>
          </w:tcPr>
          <w:p w14:paraId="55C1CDA6">
            <w:pPr>
              <w:snapToGrid w:val="0"/>
              <w:spacing w:before="600" w:after="120" w:afterLines="50" w:line="312" w:lineRule="auto"/>
              <w:jc w:val="left"/>
              <w:rPr>
                <w:b/>
                <w:bCs/>
                <w:kern w:val="44"/>
                <w:sz w:val="24"/>
                <w:szCs w:val="20"/>
              </w:rPr>
            </w:pPr>
          </w:p>
        </w:tc>
        <w:tc>
          <w:tcPr>
            <w:tcW w:w="1080" w:type="dxa"/>
            <w:tcBorders>
              <w:top w:val="single" w:color="auto" w:sz="4" w:space="0"/>
              <w:left w:val="single" w:color="auto" w:sz="4" w:space="0"/>
              <w:bottom w:val="single" w:color="auto" w:sz="4" w:space="0"/>
              <w:right w:val="single" w:color="auto" w:sz="4" w:space="0"/>
            </w:tcBorders>
          </w:tcPr>
          <w:p w14:paraId="06FB5012">
            <w:pPr>
              <w:snapToGrid w:val="0"/>
              <w:spacing w:before="600" w:after="120" w:afterLines="50" w:line="312" w:lineRule="auto"/>
              <w:jc w:val="left"/>
              <w:rPr>
                <w:b/>
                <w:bCs/>
                <w:kern w:val="44"/>
                <w:sz w:val="24"/>
                <w:szCs w:val="20"/>
              </w:rPr>
            </w:pPr>
          </w:p>
        </w:tc>
        <w:tc>
          <w:tcPr>
            <w:tcW w:w="1080" w:type="dxa"/>
            <w:tcBorders>
              <w:top w:val="single" w:color="auto" w:sz="4" w:space="0"/>
              <w:left w:val="single" w:color="auto" w:sz="4" w:space="0"/>
              <w:bottom w:val="single" w:color="auto" w:sz="4" w:space="0"/>
              <w:right w:val="single" w:color="auto" w:sz="4" w:space="0"/>
            </w:tcBorders>
          </w:tcPr>
          <w:p w14:paraId="723B7231">
            <w:pPr>
              <w:snapToGrid w:val="0"/>
              <w:spacing w:before="600" w:after="120" w:afterLines="50" w:line="312" w:lineRule="auto"/>
              <w:jc w:val="left"/>
              <w:rPr>
                <w:b/>
                <w:bCs/>
                <w:kern w:val="44"/>
                <w:sz w:val="24"/>
                <w:szCs w:val="20"/>
              </w:rPr>
            </w:pPr>
          </w:p>
        </w:tc>
        <w:tc>
          <w:tcPr>
            <w:tcW w:w="1440" w:type="dxa"/>
            <w:tcBorders>
              <w:top w:val="single" w:color="auto" w:sz="4" w:space="0"/>
              <w:left w:val="single" w:color="auto" w:sz="4" w:space="0"/>
              <w:bottom w:val="single" w:color="auto" w:sz="4" w:space="0"/>
              <w:right w:val="single" w:color="auto" w:sz="4" w:space="0"/>
            </w:tcBorders>
          </w:tcPr>
          <w:p w14:paraId="6D98AFB8">
            <w:pPr>
              <w:snapToGrid w:val="0"/>
              <w:spacing w:before="600" w:after="120" w:afterLines="50" w:line="312" w:lineRule="auto"/>
              <w:jc w:val="left"/>
              <w:rPr>
                <w:b/>
                <w:bCs/>
                <w:kern w:val="44"/>
                <w:sz w:val="24"/>
                <w:szCs w:val="20"/>
              </w:rPr>
            </w:pPr>
          </w:p>
        </w:tc>
        <w:tc>
          <w:tcPr>
            <w:tcW w:w="720" w:type="dxa"/>
            <w:tcBorders>
              <w:top w:val="single" w:color="auto" w:sz="4" w:space="0"/>
              <w:left w:val="single" w:color="auto" w:sz="4" w:space="0"/>
              <w:bottom w:val="single" w:color="auto" w:sz="4" w:space="0"/>
              <w:right w:val="single" w:color="auto" w:sz="4" w:space="0"/>
            </w:tcBorders>
          </w:tcPr>
          <w:p w14:paraId="159A11AB">
            <w:pPr>
              <w:snapToGrid w:val="0"/>
              <w:spacing w:before="600" w:after="120" w:afterLines="50" w:line="312" w:lineRule="auto"/>
              <w:jc w:val="left"/>
              <w:rPr>
                <w:b/>
                <w:bCs/>
                <w:kern w:val="44"/>
                <w:sz w:val="24"/>
                <w:szCs w:val="20"/>
              </w:rPr>
            </w:pPr>
          </w:p>
        </w:tc>
        <w:tc>
          <w:tcPr>
            <w:tcW w:w="720" w:type="dxa"/>
            <w:tcBorders>
              <w:top w:val="single" w:color="auto" w:sz="4" w:space="0"/>
              <w:left w:val="single" w:color="auto" w:sz="4" w:space="0"/>
              <w:bottom w:val="single" w:color="auto" w:sz="4" w:space="0"/>
              <w:right w:val="single" w:color="auto" w:sz="4" w:space="0"/>
            </w:tcBorders>
          </w:tcPr>
          <w:p w14:paraId="52A48F48">
            <w:pPr>
              <w:snapToGrid w:val="0"/>
              <w:spacing w:before="600" w:after="120" w:afterLines="50" w:line="312" w:lineRule="auto"/>
              <w:jc w:val="left"/>
              <w:rPr>
                <w:b/>
                <w:bCs/>
                <w:kern w:val="44"/>
                <w:sz w:val="24"/>
                <w:szCs w:val="20"/>
              </w:rPr>
            </w:pPr>
          </w:p>
        </w:tc>
        <w:tc>
          <w:tcPr>
            <w:tcW w:w="720" w:type="dxa"/>
            <w:tcBorders>
              <w:top w:val="single" w:color="auto" w:sz="4" w:space="0"/>
              <w:left w:val="single" w:color="auto" w:sz="4" w:space="0"/>
              <w:bottom w:val="single" w:color="auto" w:sz="4" w:space="0"/>
              <w:right w:val="single" w:color="auto" w:sz="4" w:space="0"/>
            </w:tcBorders>
          </w:tcPr>
          <w:p w14:paraId="0E19A5E9">
            <w:pPr>
              <w:snapToGrid w:val="0"/>
              <w:spacing w:before="600" w:after="120" w:afterLines="50" w:line="312" w:lineRule="auto"/>
              <w:jc w:val="left"/>
              <w:rPr>
                <w:b/>
                <w:bCs/>
                <w:kern w:val="44"/>
                <w:sz w:val="24"/>
                <w:szCs w:val="20"/>
              </w:rPr>
            </w:pPr>
          </w:p>
        </w:tc>
        <w:tc>
          <w:tcPr>
            <w:tcW w:w="2160" w:type="dxa"/>
            <w:tcBorders>
              <w:top w:val="single" w:color="auto" w:sz="4" w:space="0"/>
              <w:left w:val="single" w:color="auto" w:sz="4" w:space="0"/>
              <w:bottom w:val="single" w:color="auto" w:sz="4" w:space="0"/>
              <w:right w:val="single" w:color="auto" w:sz="4" w:space="0"/>
            </w:tcBorders>
          </w:tcPr>
          <w:p w14:paraId="08FE8C94">
            <w:pPr>
              <w:snapToGrid w:val="0"/>
              <w:spacing w:before="600" w:after="120" w:afterLines="50" w:line="312" w:lineRule="auto"/>
              <w:jc w:val="left"/>
              <w:rPr>
                <w:b/>
                <w:bCs/>
                <w:kern w:val="44"/>
                <w:sz w:val="24"/>
                <w:szCs w:val="20"/>
              </w:rPr>
            </w:pPr>
          </w:p>
        </w:tc>
      </w:tr>
    </w:tbl>
    <w:p w14:paraId="1323BEEF">
      <w:pPr>
        <w:snapToGrid w:val="0"/>
        <w:spacing w:before="152" w:after="160" w:line="312" w:lineRule="auto"/>
        <w:rPr>
          <w:kern w:val="0"/>
          <w:sz w:val="20"/>
          <w:szCs w:val="20"/>
        </w:rPr>
      </w:pPr>
    </w:p>
    <w:p w14:paraId="5D60984F">
      <w:pPr>
        <w:snapToGrid w:val="0"/>
        <w:spacing w:before="50" w:after="50"/>
      </w:pPr>
    </w:p>
    <w:p w14:paraId="5DC00576">
      <w:pPr>
        <w:snapToGrid w:val="0"/>
        <w:ind w:left="2" w:right="-817" w:rightChars="-389"/>
      </w:pPr>
    </w:p>
    <w:p w14:paraId="2A9E55E3">
      <w:pPr>
        <w:snapToGrid w:val="0"/>
        <w:spacing w:before="50" w:line="312" w:lineRule="auto"/>
        <w:jc w:val="left"/>
      </w:pPr>
      <w:r>
        <w:rPr>
          <w:rFonts w:hint="eastAsia"/>
        </w:rPr>
        <w:t>投标人名称（盖章）：年月日</w:t>
      </w:r>
    </w:p>
    <w:p w14:paraId="69456E3C">
      <w:pPr>
        <w:widowControl/>
        <w:spacing w:line="312" w:lineRule="auto"/>
        <w:jc w:val="left"/>
        <w:rPr>
          <w:kern w:val="0"/>
          <w:sz w:val="30"/>
        </w:rPr>
        <w:sectPr>
          <w:pgSz w:w="16838" w:h="11906" w:orient="landscape"/>
          <w:pgMar w:top="1418" w:right="1361" w:bottom="924" w:left="1134" w:header="851" w:footer="992" w:gutter="0"/>
          <w:cols w:space="720" w:num="1"/>
        </w:sectPr>
      </w:pPr>
    </w:p>
    <w:p w14:paraId="33678490">
      <w:pPr>
        <w:snapToGrid w:val="0"/>
        <w:spacing w:before="156" w:beforeLines="50" w:after="50" w:line="312" w:lineRule="auto"/>
        <w:jc w:val="center"/>
        <w:rPr>
          <w:b/>
          <w:sz w:val="24"/>
        </w:rPr>
      </w:pPr>
      <w:r>
        <w:rPr>
          <w:rFonts w:hint="eastAsia"/>
          <w:b/>
          <w:sz w:val="24"/>
        </w:rPr>
        <w:t>十、项目实施人员（主要从业人员及其技术资格）一览表</w:t>
      </w:r>
    </w:p>
    <w:p w14:paraId="255569CC">
      <w:pPr>
        <w:snapToGrid w:val="0"/>
        <w:spacing w:before="156" w:beforeLines="50" w:after="50" w:line="312" w:lineRule="auto"/>
      </w:pPr>
    </w:p>
    <w:p w14:paraId="58C876A6">
      <w:pPr>
        <w:snapToGrid w:val="0"/>
        <w:spacing w:line="312" w:lineRule="auto"/>
      </w:pPr>
      <w:r>
        <w:rPr>
          <w:rFonts w:hint="eastAsia"/>
        </w:rPr>
        <w:t>项目名称：</w:t>
      </w:r>
    </w:p>
    <w:p w14:paraId="1D7C9958">
      <w:pPr>
        <w:snapToGrid w:val="0"/>
        <w:spacing w:line="312" w:lineRule="auto"/>
      </w:pPr>
      <w:r>
        <w:rPr>
          <w:rFonts w:hint="eastAsia"/>
        </w:rPr>
        <w:t>项目编号：</w:t>
      </w:r>
    </w:p>
    <w:tbl>
      <w:tblPr>
        <w:tblStyle w:val="60"/>
        <w:tblW w:w="9248" w:type="dxa"/>
        <w:tblInd w:w="-143"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04"/>
        <w:gridCol w:w="1004"/>
        <w:gridCol w:w="1662"/>
        <w:gridCol w:w="1260"/>
        <w:gridCol w:w="1619"/>
        <w:gridCol w:w="2699"/>
      </w:tblGrid>
      <w:tr w14:paraId="6896E24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vAlign w:val="bottom"/>
          </w:tcPr>
          <w:p w14:paraId="5013930B">
            <w:pPr>
              <w:snapToGrid w:val="0"/>
              <w:spacing w:before="156" w:beforeLines="50" w:after="50" w:line="312" w:lineRule="auto"/>
            </w:pPr>
            <w:r>
              <w:rPr>
                <w:rFonts w:hint="eastAsia"/>
              </w:rPr>
              <w:t>姓名</w:t>
            </w:r>
          </w:p>
        </w:tc>
        <w:tc>
          <w:tcPr>
            <w:tcW w:w="1004" w:type="dxa"/>
            <w:tcBorders>
              <w:top w:val="single" w:color="auto" w:sz="4" w:space="0"/>
              <w:left w:val="single" w:color="auto" w:sz="4" w:space="0"/>
              <w:bottom w:val="single" w:color="auto" w:sz="4" w:space="0"/>
              <w:right w:val="single" w:color="auto" w:sz="4" w:space="0"/>
            </w:tcBorders>
            <w:vAlign w:val="bottom"/>
          </w:tcPr>
          <w:p w14:paraId="19FCF12E">
            <w:pPr>
              <w:snapToGrid w:val="0"/>
              <w:spacing w:before="156" w:beforeLines="50" w:after="50" w:line="312" w:lineRule="auto"/>
            </w:pPr>
            <w:r>
              <w:rPr>
                <w:rFonts w:hint="eastAsia"/>
              </w:rPr>
              <w:t>职务</w:t>
            </w:r>
          </w:p>
        </w:tc>
        <w:tc>
          <w:tcPr>
            <w:tcW w:w="1662" w:type="dxa"/>
            <w:tcBorders>
              <w:top w:val="single" w:color="auto" w:sz="4" w:space="0"/>
              <w:left w:val="single" w:color="auto" w:sz="4" w:space="0"/>
              <w:bottom w:val="single" w:color="auto" w:sz="4" w:space="0"/>
              <w:right w:val="single" w:color="auto" w:sz="4" w:space="0"/>
            </w:tcBorders>
            <w:vAlign w:val="bottom"/>
          </w:tcPr>
          <w:p w14:paraId="17BD1F92">
            <w:pPr>
              <w:snapToGrid w:val="0"/>
              <w:spacing w:before="156" w:beforeLines="50" w:after="50" w:line="312" w:lineRule="auto"/>
              <w:jc w:val="center"/>
            </w:pPr>
            <w:r>
              <w:rPr>
                <w:rFonts w:hint="eastAsia"/>
              </w:rPr>
              <w:t>专业技术资格</w:t>
            </w:r>
          </w:p>
        </w:tc>
        <w:tc>
          <w:tcPr>
            <w:tcW w:w="1260" w:type="dxa"/>
            <w:tcBorders>
              <w:top w:val="single" w:color="auto" w:sz="4" w:space="0"/>
              <w:left w:val="single" w:color="auto" w:sz="4" w:space="0"/>
              <w:bottom w:val="single" w:color="auto" w:sz="4" w:space="0"/>
              <w:right w:val="single" w:color="auto" w:sz="4" w:space="0"/>
            </w:tcBorders>
            <w:vAlign w:val="bottom"/>
          </w:tcPr>
          <w:p w14:paraId="4D70DDCF">
            <w:pPr>
              <w:snapToGrid w:val="0"/>
              <w:spacing w:before="156" w:beforeLines="50" w:after="50" w:line="312" w:lineRule="auto"/>
            </w:pPr>
            <w:r>
              <w:rPr>
                <w:rFonts w:hint="eastAsia"/>
              </w:rPr>
              <w:t>证书编号</w:t>
            </w:r>
          </w:p>
        </w:tc>
        <w:tc>
          <w:tcPr>
            <w:tcW w:w="1619" w:type="dxa"/>
            <w:tcBorders>
              <w:top w:val="single" w:color="auto" w:sz="4" w:space="0"/>
              <w:left w:val="single" w:color="auto" w:sz="4" w:space="0"/>
              <w:bottom w:val="single" w:color="auto" w:sz="4" w:space="0"/>
              <w:right w:val="single" w:color="auto" w:sz="4" w:space="0"/>
            </w:tcBorders>
            <w:vAlign w:val="bottom"/>
          </w:tcPr>
          <w:p w14:paraId="7DFA29C2">
            <w:pPr>
              <w:snapToGrid w:val="0"/>
              <w:spacing w:before="156" w:beforeLines="50" w:after="50" w:line="312" w:lineRule="auto"/>
            </w:pPr>
            <w:r>
              <w:rPr>
                <w:rFonts w:hint="eastAsia"/>
              </w:rPr>
              <w:t>参加本单位工作时间</w:t>
            </w:r>
          </w:p>
        </w:tc>
        <w:tc>
          <w:tcPr>
            <w:tcW w:w="2699" w:type="dxa"/>
            <w:tcBorders>
              <w:top w:val="single" w:color="auto" w:sz="4" w:space="0"/>
              <w:left w:val="single" w:color="auto" w:sz="4" w:space="0"/>
              <w:bottom w:val="single" w:color="auto" w:sz="4" w:space="0"/>
              <w:right w:val="single" w:color="auto" w:sz="4" w:space="0"/>
            </w:tcBorders>
            <w:vAlign w:val="bottom"/>
          </w:tcPr>
          <w:p w14:paraId="0120F656">
            <w:pPr>
              <w:snapToGrid w:val="0"/>
              <w:spacing w:before="156" w:beforeLines="50" w:after="50" w:line="312" w:lineRule="auto"/>
            </w:pPr>
            <w:r>
              <w:rPr>
                <w:rFonts w:hint="eastAsia"/>
              </w:rPr>
              <w:t>劳动合同编号</w:t>
            </w:r>
          </w:p>
        </w:tc>
      </w:tr>
      <w:tr w14:paraId="58748D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14:paraId="7F73E854">
            <w:pPr>
              <w:snapToGrid w:val="0"/>
              <w:spacing w:before="156" w:beforeLines="50" w:after="50" w:line="312" w:lineRule="auto"/>
              <w:rPr>
                <w:sz w:val="24"/>
              </w:rPr>
            </w:pPr>
          </w:p>
        </w:tc>
        <w:tc>
          <w:tcPr>
            <w:tcW w:w="1004" w:type="dxa"/>
            <w:tcBorders>
              <w:top w:val="single" w:color="auto" w:sz="4" w:space="0"/>
              <w:left w:val="single" w:color="auto" w:sz="4" w:space="0"/>
              <w:bottom w:val="single" w:color="auto" w:sz="4" w:space="0"/>
              <w:right w:val="single" w:color="auto" w:sz="4" w:space="0"/>
            </w:tcBorders>
          </w:tcPr>
          <w:p w14:paraId="1CA4D3B5">
            <w:pPr>
              <w:snapToGrid w:val="0"/>
              <w:spacing w:before="156" w:beforeLines="50" w:after="120" w:line="312" w:lineRule="auto"/>
              <w:rPr>
                <w:b/>
                <w:bCs/>
                <w:sz w:val="24"/>
                <w:szCs w:val="36"/>
              </w:rPr>
            </w:pPr>
          </w:p>
        </w:tc>
        <w:tc>
          <w:tcPr>
            <w:tcW w:w="1662" w:type="dxa"/>
            <w:tcBorders>
              <w:top w:val="single" w:color="auto" w:sz="4" w:space="0"/>
              <w:left w:val="single" w:color="auto" w:sz="4" w:space="0"/>
              <w:bottom w:val="single" w:color="auto" w:sz="4" w:space="0"/>
              <w:right w:val="single" w:color="auto" w:sz="4" w:space="0"/>
            </w:tcBorders>
          </w:tcPr>
          <w:p w14:paraId="7A5A7D86">
            <w:pPr>
              <w:snapToGrid w:val="0"/>
              <w:spacing w:before="156" w:beforeLines="50" w:after="120" w:line="312" w:lineRule="auto"/>
              <w:rPr>
                <w:b/>
                <w:bCs/>
                <w:sz w:val="24"/>
                <w:szCs w:val="36"/>
              </w:rPr>
            </w:pPr>
          </w:p>
        </w:tc>
        <w:tc>
          <w:tcPr>
            <w:tcW w:w="1260" w:type="dxa"/>
            <w:tcBorders>
              <w:top w:val="single" w:color="auto" w:sz="4" w:space="0"/>
              <w:left w:val="single" w:color="auto" w:sz="4" w:space="0"/>
              <w:bottom w:val="single" w:color="auto" w:sz="4" w:space="0"/>
              <w:right w:val="single" w:color="auto" w:sz="4" w:space="0"/>
            </w:tcBorders>
          </w:tcPr>
          <w:p w14:paraId="7C8E7569">
            <w:pPr>
              <w:snapToGrid w:val="0"/>
              <w:spacing w:before="156" w:beforeLines="50" w:after="120" w:line="312" w:lineRule="auto"/>
              <w:rPr>
                <w:b/>
                <w:bCs/>
                <w:sz w:val="24"/>
                <w:szCs w:val="36"/>
              </w:rPr>
            </w:pPr>
          </w:p>
        </w:tc>
        <w:tc>
          <w:tcPr>
            <w:tcW w:w="1619" w:type="dxa"/>
            <w:tcBorders>
              <w:top w:val="single" w:color="auto" w:sz="4" w:space="0"/>
              <w:left w:val="single" w:color="auto" w:sz="4" w:space="0"/>
              <w:bottom w:val="single" w:color="auto" w:sz="4" w:space="0"/>
              <w:right w:val="single" w:color="auto" w:sz="4" w:space="0"/>
            </w:tcBorders>
          </w:tcPr>
          <w:p w14:paraId="003B478B">
            <w:pPr>
              <w:snapToGrid w:val="0"/>
              <w:spacing w:before="156" w:beforeLines="50" w:after="120" w:line="312" w:lineRule="auto"/>
              <w:rPr>
                <w:b/>
                <w:bCs/>
                <w:sz w:val="24"/>
                <w:szCs w:val="36"/>
              </w:rPr>
            </w:pPr>
          </w:p>
        </w:tc>
        <w:tc>
          <w:tcPr>
            <w:tcW w:w="2699" w:type="dxa"/>
            <w:tcBorders>
              <w:top w:val="single" w:color="auto" w:sz="4" w:space="0"/>
              <w:left w:val="single" w:color="auto" w:sz="4" w:space="0"/>
              <w:bottom w:val="single" w:color="auto" w:sz="4" w:space="0"/>
              <w:right w:val="single" w:color="auto" w:sz="4" w:space="0"/>
            </w:tcBorders>
          </w:tcPr>
          <w:p w14:paraId="7D343F7D">
            <w:pPr>
              <w:snapToGrid w:val="0"/>
              <w:spacing w:before="156" w:beforeLines="50" w:after="120" w:line="312" w:lineRule="auto"/>
              <w:rPr>
                <w:b/>
                <w:bCs/>
                <w:sz w:val="24"/>
                <w:szCs w:val="36"/>
              </w:rPr>
            </w:pPr>
          </w:p>
        </w:tc>
      </w:tr>
      <w:tr w14:paraId="62BCC53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14:paraId="0A6F0A32">
            <w:pPr>
              <w:snapToGrid w:val="0"/>
              <w:spacing w:before="156" w:beforeLines="50" w:after="50" w:line="312" w:lineRule="auto"/>
              <w:rPr>
                <w:sz w:val="24"/>
              </w:rPr>
            </w:pPr>
          </w:p>
        </w:tc>
        <w:tc>
          <w:tcPr>
            <w:tcW w:w="1004" w:type="dxa"/>
            <w:tcBorders>
              <w:top w:val="single" w:color="auto" w:sz="4" w:space="0"/>
              <w:left w:val="single" w:color="auto" w:sz="4" w:space="0"/>
              <w:bottom w:val="single" w:color="auto" w:sz="4" w:space="0"/>
              <w:right w:val="single" w:color="auto" w:sz="4" w:space="0"/>
            </w:tcBorders>
          </w:tcPr>
          <w:p w14:paraId="60E6D4E9">
            <w:pPr>
              <w:snapToGrid w:val="0"/>
              <w:spacing w:before="156" w:beforeLines="50" w:after="120" w:line="312" w:lineRule="auto"/>
              <w:rPr>
                <w:b/>
                <w:bCs/>
                <w:sz w:val="24"/>
                <w:szCs w:val="36"/>
              </w:rPr>
            </w:pPr>
          </w:p>
        </w:tc>
        <w:tc>
          <w:tcPr>
            <w:tcW w:w="1662" w:type="dxa"/>
            <w:tcBorders>
              <w:top w:val="single" w:color="auto" w:sz="4" w:space="0"/>
              <w:left w:val="single" w:color="auto" w:sz="4" w:space="0"/>
              <w:bottom w:val="single" w:color="auto" w:sz="4" w:space="0"/>
              <w:right w:val="single" w:color="auto" w:sz="4" w:space="0"/>
            </w:tcBorders>
          </w:tcPr>
          <w:p w14:paraId="1282EA0E">
            <w:pPr>
              <w:snapToGrid w:val="0"/>
              <w:spacing w:before="156" w:beforeLines="50" w:after="120" w:line="312" w:lineRule="auto"/>
              <w:rPr>
                <w:b/>
                <w:bCs/>
                <w:sz w:val="24"/>
                <w:szCs w:val="36"/>
              </w:rPr>
            </w:pPr>
          </w:p>
        </w:tc>
        <w:tc>
          <w:tcPr>
            <w:tcW w:w="1260" w:type="dxa"/>
            <w:tcBorders>
              <w:top w:val="single" w:color="auto" w:sz="4" w:space="0"/>
              <w:left w:val="single" w:color="auto" w:sz="4" w:space="0"/>
              <w:bottom w:val="single" w:color="auto" w:sz="4" w:space="0"/>
              <w:right w:val="single" w:color="auto" w:sz="4" w:space="0"/>
            </w:tcBorders>
          </w:tcPr>
          <w:p w14:paraId="4359D4C8">
            <w:pPr>
              <w:snapToGrid w:val="0"/>
              <w:spacing w:before="156" w:beforeLines="50" w:after="120" w:line="312" w:lineRule="auto"/>
              <w:rPr>
                <w:b/>
                <w:bCs/>
                <w:sz w:val="24"/>
                <w:szCs w:val="36"/>
              </w:rPr>
            </w:pPr>
          </w:p>
        </w:tc>
        <w:tc>
          <w:tcPr>
            <w:tcW w:w="1619" w:type="dxa"/>
            <w:tcBorders>
              <w:top w:val="single" w:color="auto" w:sz="4" w:space="0"/>
              <w:left w:val="single" w:color="auto" w:sz="4" w:space="0"/>
              <w:bottom w:val="single" w:color="auto" w:sz="4" w:space="0"/>
              <w:right w:val="single" w:color="auto" w:sz="4" w:space="0"/>
            </w:tcBorders>
          </w:tcPr>
          <w:p w14:paraId="6844D140">
            <w:pPr>
              <w:snapToGrid w:val="0"/>
              <w:spacing w:before="156" w:beforeLines="50" w:after="120" w:line="312" w:lineRule="auto"/>
              <w:rPr>
                <w:b/>
                <w:bCs/>
                <w:sz w:val="24"/>
                <w:szCs w:val="36"/>
              </w:rPr>
            </w:pPr>
          </w:p>
        </w:tc>
        <w:tc>
          <w:tcPr>
            <w:tcW w:w="2699" w:type="dxa"/>
            <w:tcBorders>
              <w:top w:val="single" w:color="auto" w:sz="4" w:space="0"/>
              <w:left w:val="single" w:color="auto" w:sz="4" w:space="0"/>
              <w:bottom w:val="single" w:color="auto" w:sz="4" w:space="0"/>
              <w:right w:val="single" w:color="auto" w:sz="4" w:space="0"/>
            </w:tcBorders>
          </w:tcPr>
          <w:p w14:paraId="331C60DD">
            <w:pPr>
              <w:snapToGrid w:val="0"/>
              <w:spacing w:before="156" w:beforeLines="50" w:after="120" w:line="312" w:lineRule="auto"/>
              <w:rPr>
                <w:b/>
                <w:bCs/>
                <w:sz w:val="24"/>
                <w:szCs w:val="36"/>
              </w:rPr>
            </w:pPr>
          </w:p>
        </w:tc>
      </w:tr>
      <w:tr w14:paraId="0D5266C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14:paraId="7EE7B5E2">
            <w:pPr>
              <w:snapToGrid w:val="0"/>
              <w:spacing w:before="156" w:beforeLines="50" w:after="50" w:line="312" w:lineRule="auto"/>
              <w:rPr>
                <w:sz w:val="24"/>
              </w:rPr>
            </w:pPr>
          </w:p>
        </w:tc>
        <w:tc>
          <w:tcPr>
            <w:tcW w:w="1004" w:type="dxa"/>
            <w:tcBorders>
              <w:top w:val="single" w:color="auto" w:sz="4" w:space="0"/>
              <w:left w:val="single" w:color="auto" w:sz="4" w:space="0"/>
              <w:bottom w:val="single" w:color="auto" w:sz="4" w:space="0"/>
              <w:right w:val="single" w:color="auto" w:sz="4" w:space="0"/>
            </w:tcBorders>
          </w:tcPr>
          <w:p w14:paraId="1A39A18E">
            <w:pPr>
              <w:snapToGrid w:val="0"/>
              <w:spacing w:before="156" w:beforeLines="50" w:after="120" w:line="312" w:lineRule="auto"/>
              <w:rPr>
                <w:b/>
                <w:bCs/>
                <w:sz w:val="24"/>
                <w:szCs w:val="36"/>
              </w:rPr>
            </w:pPr>
          </w:p>
        </w:tc>
        <w:tc>
          <w:tcPr>
            <w:tcW w:w="1662" w:type="dxa"/>
            <w:tcBorders>
              <w:top w:val="single" w:color="auto" w:sz="4" w:space="0"/>
              <w:left w:val="single" w:color="auto" w:sz="4" w:space="0"/>
              <w:bottom w:val="single" w:color="auto" w:sz="4" w:space="0"/>
              <w:right w:val="single" w:color="auto" w:sz="4" w:space="0"/>
            </w:tcBorders>
          </w:tcPr>
          <w:p w14:paraId="2FF78134">
            <w:pPr>
              <w:snapToGrid w:val="0"/>
              <w:spacing w:before="156" w:beforeLines="50" w:after="120" w:line="312" w:lineRule="auto"/>
              <w:ind w:left="5250" w:leftChars="2500"/>
              <w:rPr>
                <w:b/>
                <w:bCs/>
                <w:kern w:val="0"/>
                <w:sz w:val="24"/>
                <w:szCs w:val="36"/>
              </w:rPr>
            </w:pPr>
          </w:p>
        </w:tc>
        <w:tc>
          <w:tcPr>
            <w:tcW w:w="1260" w:type="dxa"/>
            <w:tcBorders>
              <w:top w:val="single" w:color="auto" w:sz="4" w:space="0"/>
              <w:left w:val="single" w:color="auto" w:sz="4" w:space="0"/>
              <w:bottom w:val="single" w:color="auto" w:sz="4" w:space="0"/>
              <w:right w:val="single" w:color="auto" w:sz="4" w:space="0"/>
            </w:tcBorders>
          </w:tcPr>
          <w:p w14:paraId="45247FB5">
            <w:pPr>
              <w:snapToGrid w:val="0"/>
              <w:spacing w:before="156" w:beforeLines="50" w:after="120" w:line="312" w:lineRule="auto"/>
              <w:rPr>
                <w:b/>
                <w:bCs/>
                <w:sz w:val="24"/>
                <w:szCs w:val="36"/>
              </w:rPr>
            </w:pPr>
          </w:p>
        </w:tc>
        <w:tc>
          <w:tcPr>
            <w:tcW w:w="1619" w:type="dxa"/>
            <w:tcBorders>
              <w:top w:val="single" w:color="auto" w:sz="4" w:space="0"/>
              <w:left w:val="single" w:color="auto" w:sz="4" w:space="0"/>
              <w:bottom w:val="single" w:color="auto" w:sz="4" w:space="0"/>
              <w:right w:val="single" w:color="auto" w:sz="4" w:space="0"/>
            </w:tcBorders>
          </w:tcPr>
          <w:p w14:paraId="24441819">
            <w:pPr>
              <w:snapToGrid w:val="0"/>
              <w:spacing w:before="156" w:beforeLines="50" w:after="120" w:line="312" w:lineRule="auto"/>
              <w:rPr>
                <w:b/>
                <w:bCs/>
                <w:sz w:val="24"/>
                <w:szCs w:val="36"/>
              </w:rPr>
            </w:pPr>
          </w:p>
        </w:tc>
        <w:tc>
          <w:tcPr>
            <w:tcW w:w="2699" w:type="dxa"/>
            <w:tcBorders>
              <w:top w:val="single" w:color="auto" w:sz="4" w:space="0"/>
              <w:left w:val="single" w:color="auto" w:sz="4" w:space="0"/>
              <w:bottom w:val="single" w:color="auto" w:sz="4" w:space="0"/>
              <w:right w:val="single" w:color="auto" w:sz="4" w:space="0"/>
            </w:tcBorders>
          </w:tcPr>
          <w:p w14:paraId="635D4CA6">
            <w:pPr>
              <w:snapToGrid w:val="0"/>
              <w:spacing w:before="156" w:beforeLines="50" w:after="120" w:line="312" w:lineRule="auto"/>
              <w:rPr>
                <w:b/>
                <w:bCs/>
                <w:sz w:val="24"/>
                <w:szCs w:val="36"/>
              </w:rPr>
            </w:pPr>
          </w:p>
        </w:tc>
      </w:tr>
      <w:tr w14:paraId="715E9E5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14:paraId="2D3DBE68">
            <w:pPr>
              <w:snapToGrid w:val="0"/>
              <w:spacing w:before="156" w:beforeLines="50" w:after="50" w:line="312" w:lineRule="auto"/>
              <w:rPr>
                <w:sz w:val="24"/>
              </w:rPr>
            </w:pPr>
          </w:p>
        </w:tc>
        <w:tc>
          <w:tcPr>
            <w:tcW w:w="1004" w:type="dxa"/>
            <w:tcBorders>
              <w:top w:val="single" w:color="auto" w:sz="4" w:space="0"/>
              <w:left w:val="single" w:color="auto" w:sz="4" w:space="0"/>
              <w:bottom w:val="single" w:color="auto" w:sz="4" w:space="0"/>
              <w:right w:val="single" w:color="auto" w:sz="4" w:space="0"/>
            </w:tcBorders>
          </w:tcPr>
          <w:p w14:paraId="34BE54A7">
            <w:pPr>
              <w:snapToGrid w:val="0"/>
              <w:spacing w:before="156" w:beforeLines="50" w:after="120" w:line="312" w:lineRule="auto"/>
              <w:rPr>
                <w:b/>
                <w:bCs/>
                <w:sz w:val="24"/>
                <w:szCs w:val="36"/>
              </w:rPr>
            </w:pPr>
          </w:p>
        </w:tc>
        <w:tc>
          <w:tcPr>
            <w:tcW w:w="1662" w:type="dxa"/>
            <w:tcBorders>
              <w:top w:val="single" w:color="auto" w:sz="4" w:space="0"/>
              <w:left w:val="single" w:color="auto" w:sz="4" w:space="0"/>
              <w:bottom w:val="single" w:color="auto" w:sz="4" w:space="0"/>
              <w:right w:val="single" w:color="auto" w:sz="4" w:space="0"/>
            </w:tcBorders>
          </w:tcPr>
          <w:p w14:paraId="04C25F57">
            <w:pPr>
              <w:snapToGrid w:val="0"/>
              <w:spacing w:before="156" w:beforeLines="50" w:after="120" w:line="312" w:lineRule="auto"/>
              <w:rPr>
                <w:b/>
                <w:bCs/>
                <w:sz w:val="24"/>
                <w:szCs w:val="36"/>
              </w:rPr>
            </w:pPr>
          </w:p>
        </w:tc>
        <w:tc>
          <w:tcPr>
            <w:tcW w:w="1260" w:type="dxa"/>
            <w:tcBorders>
              <w:top w:val="single" w:color="auto" w:sz="4" w:space="0"/>
              <w:left w:val="single" w:color="auto" w:sz="4" w:space="0"/>
              <w:bottom w:val="single" w:color="auto" w:sz="4" w:space="0"/>
              <w:right w:val="single" w:color="auto" w:sz="4" w:space="0"/>
            </w:tcBorders>
          </w:tcPr>
          <w:p w14:paraId="2FD049D3">
            <w:pPr>
              <w:snapToGrid w:val="0"/>
              <w:spacing w:before="156" w:beforeLines="50" w:after="120" w:line="312" w:lineRule="auto"/>
              <w:rPr>
                <w:b/>
                <w:bCs/>
                <w:sz w:val="24"/>
                <w:szCs w:val="36"/>
              </w:rPr>
            </w:pPr>
          </w:p>
        </w:tc>
        <w:tc>
          <w:tcPr>
            <w:tcW w:w="1619" w:type="dxa"/>
            <w:tcBorders>
              <w:top w:val="single" w:color="auto" w:sz="4" w:space="0"/>
              <w:left w:val="single" w:color="auto" w:sz="4" w:space="0"/>
              <w:bottom w:val="single" w:color="auto" w:sz="4" w:space="0"/>
              <w:right w:val="single" w:color="auto" w:sz="4" w:space="0"/>
            </w:tcBorders>
          </w:tcPr>
          <w:p w14:paraId="64ACE67D">
            <w:pPr>
              <w:snapToGrid w:val="0"/>
              <w:spacing w:before="156" w:beforeLines="50" w:after="120" w:line="312" w:lineRule="auto"/>
              <w:rPr>
                <w:b/>
                <w:bCs/>
                <w:sz w:val="24"/>
                <w:szCs w:val="36"/>
              </w:rPr>
            </w:pPr>
          </w:p>
        </w:tc>
        <w:tc>
          <w:tcPr>
            <w:tcW w:w="2699" w:type="dxa"/>
            <w:tcBorders>
              <w:top w:val="single" w:color="auto" w:sz="4" w:space="0"/>
              <w:left w:val="single" w:color="auto" w:sz="4" w:space="0"/>
              <w:bottom w:val="single" w:color="auto" w:sz="4" w:space="0"/>
              <w:right w:val="single" w:color="auto" w:sz="4" w:space="0"/>
            </w:tcBorders>
          </w:tcPr>
          <w:p w14:paraId="58132426">
            <w:pPr>
              <w:snapToGrid w:val="0"/>
              <w:spacing w:before="156" w:beforeLines="50" w:after="120" w:line="312" w:lineRule="auto"/>
              <w:rPr>
                <w:b/>
                <w:bCs/>
                <w:sz w:val="24"/>
                <w:szCs w:val="36"/>
              </w:rPr>
            </w:pPr>
          </w:p>
        </w:tc>
      </w:tr>
      <w:tr w14:paraId="65D8B7F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14:paraId="55EE70D0">
            <w:pPr>
              <w:snapToGrid w:val="0"/>
              <w:spacing w:before="156" w:beforeLines="50" w:after="50" w:line="312" w:lineRule="auto"/>
              <w:rPr>
                <w:sz w:val="24"/>
              </w:rPr>
            </w:pPr>
          </w:p>
        </w:tc>
        <w:tc>
          <w:tcPr>
            <w:tcW w:w="1004" w:type="dxa"/>
            <w:tcBorders>
              <w:top w:val="single" w:color="auto" w:sz="4" w:space="0"/>
              <w:left w:val="single" w:color="auto" w:sz="4" w:space="0"/>
              <w:bottom w:val="single" w:color="auto" w:sz="4" w:space="0"/>
              <w:right w:val="single" w:color="auto" w:sz="4" w:space="0"/>
            </w:tcBorders>
          </w:tcPr>
          <w:p w14:paraId="376AAE5C">
            <w:pPr>
              <w:snapToGrid w:val="0"/>
              <w:spacing w:before="156" w:beforeLines="50" w:after="120" w:line="312" w:lineRule="auto"/>
              <w:rPr>
                <w:b/>
                <w:bCs/>
                <w:sz w:val="24"/>
                <w:szCs w:val="36"/>
              </w:rPr>
            </w:pPr>
          </w:p>
        </w:tc>
        <w:tc>
          <w:tcPr>
            <w:tcW w:w="1662" w:type="dxa"/>
            <w:tcBorders>
              <w:top w:val="single" w:color="auto" w:sz="4" w:space="0"/>
              <w:left w:val="single" w:color="auto" w:sz="4" w:space="0"/>
              <w:bottom w:val="single" w:color="auto" w:sz="4" w:space="0"/>
              <w:right w:val="single" w:color="auto" w:sz="4" w:space="0"/>
            </w:tcBorders>
          </w:tcPr>
          <w:p w14:paraId="12AFCE40">
            <w:pPr>
              <w:snapToGrid w:val="0"/>
              <w:spacing w:before="156" w:beforeLines="50" w:after="120" w:line="312" w:lineRule="auto"/>
              <w:rPr>
                <w:b/>
                <w:bCs/>
                <w:sz w:val="24"/>
                <w:szCs w:val="36"/>
              </w:rPr>
            </w:pPr>
          </w:p>
        </w:tc>
        <w:tc>
          <w:tcPr>
            <w:tcW w:w="1260" w:type="dxa"/>
            <w:tcBorders>
              <w:top w:val="single" w:color="auto" w:sz="4" w:space="0"/>
              <w:left w:val="single" w:color="auto" w:sz="4" w:space="0"/>
              <w:bottom w:val="single" w:color="auto" w:sz="4" w:space="0"/>
              <w:right w:val="single" w:color="auto" w:sz="4" w:space="0"/>
            </w:tcBorders>
          </w:tcPr>
          <w:p w14:paraId="7D882405">
            <w:pPr>
              <w:snapToGrid w:val="0"/>
              <w:spacing w:before="156" w:beforeLines="50" w:after="120" w:line="312" w:lineRule="auto"/>
              <w:rPr>
                <w:b/>
                <w:bCs/>
                <w:sz w:val="24"/>
                <w:szCs w:val="36"/>
              </w:rPr>
            </w:pPr>
          </w:p>
        </w:tc>
        <w:tc>
          <w:tcPr>
            <w:tcW w:w="1619" w:type="dxa"/>
            <w:tcBorders>
              <w:top w:val="single" w:color="auto" w:sz="4" w:space="0"/>
              <w:left w:val="single" w:color="auto" w:sz="4" w:space="0"/>
              <w:bottom w:val="single" w:color="auto" w:sz="4" w:space="0"/>
              <w:right w:val="single" w:color="auto" w:sz="4" w:space="0"/>
            </w:tcBorders>
          </w:tcPr>
          <w:p w14:paraId="6ADACB8D">
            <w:pPr>
              <w:snapToGrid w:val="0"/>
              <w:spacing w:before="156" w:beforeLines="50" w:after="120" w:line="312" w:lineRule="auto"/>
              <w:rPr>
                <w:b/>
                <w:bCs/>
                <w:sz w:val="24"/>
                <w:szCs w:val="36"/>
              </w:rPr>
            </w:pPr>
          </w:p>
        </w:tc>
        <w:tc>
          <w:tcPr>
            <w:tcW w:w="2699" w:type="dxa"/>
            <w:tcBorders>
              <w:top w:val="single" w:color="auto" w:sz="4" w:space="0"/>
              <w:left w:val="single" w:color="auto" w:sz="4" w:space="0"/>
              <w:bottom w:val="single" w:color="auto" w:sz="4" w:space="0"/>
              <w:right w:val="single" w:color="auto" w:sz="4" w:space="0"/>
            </w:tcBorders>
          </w:tcPr>
          <w:p w14:paraId="66BFC440">
            <w:pPr>
              <w:snapToGrid w:val="0"/>
              <w:spacing w:before="156" w:beforeLines="50" w:after="120" w:line="312" w:lineRule="auto"/>
              <w:rPr>
                <w:b/>
                <w:bCs/>
                <w:sz w:val="24"/>
                <w:szCs w:val="36"/>
              </w:rPr>
            </w:pPr>
          </w:p>
        </w:tc>
      </w:tr>
      <w:tr w14:paraId="1BDC73C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14:paraId="46169470">
            <w:pPr>
              <w:snapToGrid w:val="0"/>
              <w:spacing w:before="156" w:beforeLines="50" w:after="50" w:line="312" w:lineRule="auto"/>
              <w:rPr>
                <w:sz w:val="24"/>
              </w:rPr>
            </w:pPr>
          </w:p>
        </w:tc>
        <w:tc>
          <w:tcPr>
            <w:tcW w:w="1004" w:type="dxa"/>
            <w:tcBorders>
              <w:top w:val="single" w:color="auto" w:sz="4" w:space="0"/>
              <w:left w:val="single" w:color="auto" w:sz="4" w:space="0"/>
              <w:bottom w:val="single" w:color="auto" w:sz="4" w:space="0"/>
              <w:right w:val="single" w:color="auto" w:sz="4" w:space="0"/>
            </w:tcBorders>
          </w:tcPr>
          <w:p w14:paraId="6B496361">
            <w:pPr>
              <w:snapToGrid w:val="0"/>
              <w:spacing w:before="156" w:beforeLines="50" w:after="120" w:line="312" w:lineRule="auto"/>
              <w:rPr>
                <w:b/>
                <w:bCs/>
                <w:sz w:val="24"/>
                <w:szCs w:val="36"/>
              </w:rPr>
            </w:pPr>
          </w:p>
        </w:tc>
        <w:tc>
          <w:tcPr>
            <w:tcW w:w="1662" w:type="dxa"/>
            <w:tcBorders>
              <w:top w:val="single" w:color="auto" w:sz="4" w:space="0"/>
              <w:left w:val="single" w:color="auto" w:sz="4" w:space="0"/>
              <w:bottom w:val="single" w:color="auto" w:sz="4" w:space="0"/>
              <w:right w:val="single" w:color="auto" w:sz="4" w:space="0"/>
            </w:tcBorders>
          </w:tcPr>
          <w:p w14:paraId="79766025">
            <w:pPr>
              <w:snapToGrid w:val="0"/>
              <w:spacing w:before="156" w:beforeLines="50" w:after="120" w:line="312" w:lineRule="auto"/>
              <w:rPr>
                <w:b/>
                <w:bCs/>
                <w:sz w:val="24"/>
                <w:szCs w:val="36"/>
              </w:rPr>
            </w:pPr>
          </w:p>
        </w:tc>
        <w:tc>
          <w:tcPr>
            <w:tcW w:w="1260" w:type="dxa"/>
            <w:tcBorders>
              <w:top w:val="single" w:color="auto" w:sz="4" w:space="0"/>
              <w:left w:val="single" w:color="auto" w:sz="4" w:space="0"/>
              <w:bottom w:val="single" w:color="auto" w:sz="4" w:space="0"/>
              <w:right w:val="single" w:color="auto" w:sz="4" w:space="0"/>
            </w:tcBorders>
          </w:tcPr>
          <w:p w14:paraId="4D535876">
            <w:pPr>
              <w:snapToGrid w:val="0"/>
              <w:spacing w:before="156" w:beforeLines="50" w:after="120" w:line="312" w:lineRule="auto"/>
              <w:rPr>
                <w:b/>
                <w:bCs/>
                <w:sz w:val="24"/>
                <w:szCs w:val="36"/>
              </w:rPr>
            </w:pPr>
          </w:p>
        </w:tc>
        <w:tc>
          <w:tcPr>
            <w:tcW w:w="1619" w:type="dxa"/>
            <w:tcBorders>
              <w:top w:val="single" w:color="auto" w:sz="4" w:space="0"/>
              <w:left w:val="single" w:color="auto" w:sz="4" w:space="0"/>
              <w:bottom w:val="single" w:color="auto" w:sz="4" w:space="0"/>
              <w:right w:val="single" w:color="auto" w:sz="4" w:space="0"/>
            </w:tcBorders>
          </w:tcPr>
          <w:p w14:paraId="11758BCC">
            <w:pPr>
              <w:snapToGrid w:val="0"/>
              <w:spacing w:before="156" w:beforeLines="50" w:after="120" w:line="312" w:lineRule="auto"/>
              <w:rPr>
                <w:b/>
                <w:bCs/>
                <w:sz w:val="24"/>
                <w:szCs w:val="36"/>
              </w:rPr>
            </w:pPr>
          </w:p>
        </w:tc>
        <w:tc>
          <w:tcPr>
            <w:tcW w:w="2699" w:type="dxa"/>
            <w:tcBorders>
              <w:top w:val="single" w:color="auto" w:sz="4" w:space="0"/>
              <w:left w:val="single" w:color="auto" w:sz="4" w:space="0"/>
              <w:bottom w:val="single" w:color="auto" w:sz="4" w:space="0"/>
              <w:right w:val="single" w:color="auto" w:sz="4" w:space="0"/>
            </w:tcBorders>
          </w:tcPr>
          <w:p w14:paraId="6580DE49">
            <w:pPr>
              <w:snapToGrid w:val="0"/>
              <w:spacing w:before="156" w:beforeLines="50" w:after="120" w:line="312" w:lineRule="auto"/>
              <w:rPr>
                <w:b/>
                <w:bCs/>
                <w:sz w:val="24"/>
                <w:szCs w:val="36"/>
              </w:rPr>
            </w:pPr>
          </w:p>
        </w:tc>
      </w:tr>
      <w:tr w14:paraId="1723B2C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14:paraId="73538524">
            <w:pPr>
              <w:snapToGrid w:val="0"/>
              <w:spacing w:before="156" w:beforeLines="50" w:after="50" w:line="312" w:lineRule="auto"/>
              <w:rPr>
                <w:sz w:val="24"/>
              </w:rPr>
            </w:pPr>
          </w:p>
        </w:tc>
        <w:tc>
          <w:tcPr>
            <w:tcW w:w="1004" w:type="dxa"/>
            <w:tcBorders>
              <w:top w:val="single" w:color="auto" w:sz="4" w:space="0"/>
              <w:left w:val="single" w:color="auto" w:sz="4" w:space="0"/>
              <w:bottom w:val="single" w:color="auto" w:sz="4" w:space="0"/>
              <w:right w:val="single" w:color="auto" w:sz="4" w:space="0"/>
            </w:tcBorders>
          </w:tcPr>
          <w:p w14:paraId="6627B814">
            <w:pPr>
              <w:snapToGrid w:val="0"/>
              <w:spacing w:before="156" w:beforeLines="50" w:after="120" w:line="312" w:lineRule="auto"/>
              <w:rPr>
                <w:b/>
                <w:bCs/>
                <w:sz w:val="24"/>
                <w:szCs w:val="36"/>
              </w:rPr>
            </w:pPr>
          </w:p>
        </w:tc>
        <w:tc>
          <w:tcPr>
            <w:tcW w:w="1662" w:type="dxa"/>
            <w:tcBorders>
              <w:top w:val="single" w:color="auto" w:sz="4" w:space="0"/>
              <w:left w:val="single" w:color="auto" w:sz="4" w:space="0"/>
              <w:bottom w:val="single" w:color="auto" w:sz="4" w:space="0"/>
              <w:right w:val="single" w:color="auto" w:sz="4" w:space="0"/>
            </w:tcBorders>
          </w:tcPr>
          <w:p w14:paraId="1CCDB6CD">
            <w:pPr>
              <w:snapToGrid w:val="0"/>
              <w:spacing w:before="156" w:beforeLines="50" w:after="120" w:line="312" w:lineRule="auto"/>
              <w:rPr>
                <w:b/>
                <w:bCs/>
                <w:sz w:val="24"/>
                <w:szCs w:val="36"/>
              </w:rPr>
            </w:pPr>
          </w:p>
        </w:tc>
        <w:tc>
          <w:tcPr>
            <w:tcW w:w="1260" w:type="dxa"/>
            <w:tcBorders>
              <w:top w:val="single" w:color="auto" w:sz="4" w:space="0"/>
              <w:left w:val="single" w:color="auto" w:sz="4" w:space="0"/>
              <w:bottom w:val="single" w:color="auto" w:sz="4" w:space="0"/>
              <w:right w:val="single" w:color="auto" w:sz="4" w:space="0"/>
            </w:tcBorders>
          </w:tcPr>
          <w:p w14:paraId="1AEAA0A7">
            <w:pPr>
              <w:snapToGrid w:val="0"/>
              <w:spacing w:before="156" w:beforeLines="50" w:after="120" w:line="312" w:lineRule="auto"/>
              <w:rPr>
                <w:b/>
                <w:bCs/>
                <w:sz w:val="24"/>
                <w:szCs w:val="36"/>
              </w:rPr>
            </w:pPr>
          </w:p>
        </w:tc>
        <w:tc>
          <w:tcPr>
            <w:tcW w:w="1619" w:type="dxa"/>
            <w:tcBorders>
              <w:top w:val="single" w:color="auto" w:sz="4" w:space="0"/>
              <w:left w:val="single" w:color="auto" w:sz="4" w:space="0"/>
              <w:bottom w:val="single" w:color="auto" w:sz="4" w:space="0"/>
              <w:right w:val="single" w:color="auto" w:sz="4" w:space="0"/>
            </w:tcBorders>
          </w:tcPr>
          <w:p w14:paraId="3621F9C4">
            <w:pPr>
              <w:snapToGrid w:val="0"/>
              <w:spacing w:before="156" w:beforeLines="50" w:after="120" w:line="312" w:lineRule="auto"/>
              <w:rPr>
                <w:b/>
                <w:bCs/>
                <w:sz w:val="24"/>
                <w:szCs w:val="36"/>
              </w:rPr>
            </w:pPr>
          </w:p>
        </w:tc>
        <w:tc>
          <w:tcPr>
            <w:tcW w:w="2699" w:type="dxa"/>
            <w:tcBorders>
              <w:top w:val="single" w:color="auto" w:sz="4" w:space="0"/>
              <w:left w:val="single" w:color="auto" w:sz="4" w:space="0"/>
              <w:bottom w:val="single" w:color="auto" w:sz="4" w:space="0"/>
              <w:right w:val="single" w:color="auto" w:sz="4" w:space="0"/>
            </w:tcBorders>
          </w:tcPr>
          <w:p w14:paraId="50779889">
            <w:pPr>
              <w:snapToGrid w:val="0"/>
              <w:spacing w:before="156" w:beforeLines="50" w:after="120" w:line="312" w:lineRule="auto"/>
              <w:rPr>
                <w:b/>
                <w:bCs/>
                <w:sz w:val="24"/>
                <w:szCs w:val="36"/>
              </w:rPr>
            </w:pPr>
          </w:p>
        </w:tc>
      </w:tr>
      <w:tr w14:paraId="0AD5E1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14:paraId="4F8E9BE4">
            <w:pPr>
              <w:snapToGrid w:val="0"/>
              <w:spacing w:before="156" w:beforeLines="50" w:after="50" w:line="312" w:lineRule="auto"/>
              <w:rPr>
                <w:sz w:val="24"/>
              </w:rPr>
            </w:pPr>
          </w:p>
        </w:tc>
        <w:tc>
          <w:tcPr>
            <w:tcW w:w="1004" w:type="dxa"/>
            <w:tcBorders>
              <w:top w:val="single" w:color="auto" w:sz="4" w:space="0"/>
              <w:left w:val="single" w:color="auto" w:sz="4" w:space="0"/>
              <w:bottom w:val="single" w:color="auto" w:sz="4" w:space="0"/>
              <w:right w:val="single" w:color="auto" w:sz="4" w:space="0"/>
            </w:tcBorders>
          </w:tcPr>
          <w:p w14:paraId="2CFF4F9F">
            <w:pPr>
              <w:snapToGrid w:val="0"/>
              <w:spacing w:before="156" w:beforeLines="50" w:after="120" w:line="312" w:lineRule="auto"/>
              <w:rPr>
                <w:b/>
                <w:bCs/>
                <w:sz w:val="24"/>
                <w:szCs w:val="36"/>
              </w:rPr>
            </w:pPr>
          </w:p>
        </w:tc>
        <w:tc>
          <w:tcPr>
            <w:tcW w:w="1662" w:type="dxa"/>
            <w:tcBorders>
              <w:top w:val="single" w:color="auto" w:sz="4" w:space="0"/>
              <w:left w:val="single" w:color="auto" w:sz="4" w:space="0"/>
              <w:bottom w:val="single" w:color="auto" w:sz="4" w:space="0"/>
              <w:right w:val="single" w:color="auto" w:sz="4" w:space="0"/>
            </w:tcBorders>
          </w:tcPr>
          <w:p w14:paraId="599E5FC6">
            <w:pPr>
              <w:snapToGrid w:val="0"/>
              <w:spacing w:before="156" w:beforeLines="50" w:after="120" w:line="312" w:lineRule="auto"/>
              <w:rPr>
                <w:b/>
                <w:bCs/>
                <w:sz w:val="24"/>
                <w:szCs w:val="36"/>
              </w:rPr>
            </w:pPr>
          </w:p>
        </w:tc>
        <w:tc>
          <w:tcPr>
            <w:tcW w:w="1260" w:type="dxa"/>
            <w:tcBorders>
              <w:top w:val="single" w:color="auto" w:sz="4" w:space="0"/>
              <w:left w:val="single" w:color="auto" w:sz="4" w:space="0"/>
              <w:bottom w:val="single" w:color="auto" w:sz="4" w:space="0"/>
              <w:right w:val="single" w:color="auto" w:sz="4" w:space="0"/>
            </w:tcBorders>
          </w:tcPr>
          <w:p w14:paraId="2BCD270B">
            <w:pPr>
              <w:snapToGrid w:val="0"/>
              <w:spacing w:before="156" w:beforeLines="50" w:after="120" w:line="312" w:lineRule="auto"/>
              <w:rPr>
                <w:b/>
                <w:bCs/>
                <w:sz w:val="24"/>
                <w:szCs w:val="36"/>
              </w:rPr>
            </w:pPr>
          </w:p>
        </w:tc>
        <w:tc>
          <w:tcPr>
            <w:tcW w:w="1619" w:type="dxa"/>
            <w:tcBorders>
              <w:top w:val="single" w:color="auto" w:sz="4" w:space="0"/>
              <w:left w:val="single" w:color="auto" w:sz="4" w:space="0"/>
              <w:bottom w:val="single" w:color="auto" w:sz="4" w:space="0"/>
              <w:right w:val="single" w:color="auto" w:sz="4" w:space="0"/>
            </w:tcBorders>
          </w:tcPr>
          <w:p w14:paraId="785F8AFD">
            <w:pPr>
              <w:snapToGrid w:val="0"/>
              <w:spacing w:before="156" w:beforeLines="50" w:after="120" w:line="312" w:lineRule="auto"/>
              <w:rPr>
                <w:b/>
                <w:bCs/>
                <w:sz w:val="24"/>
                <w:szCs w:val="36"/>
              </w:rPr>
            </w:pPr>
          </w:p>
        </w:tc>
        <w:tc>
          <w:tcPr>
            <w:tcW w:w="2699" w:type="dxa"/>
            <w:tcBorders>
              <w:top w:val="single" w:color="auto" w:sz="4" w:space="0"/>
              <w:left w:val="single" w:color="auto" w:sz="4" w:space="0"/>
              <w:bottom w:val="single" w:color="auto" w:sz="4" w:space="0"/>
              <w:right w:val="single" w:color="auto" w:sz="4" w:space="0"/>
            </w:tcBorders>
          </w:tcPr>
          <w:p w14:paraId="0463FC62">
            <w:pPr>
              <w:snapToGrid w:val="0"/>
              <w:spacing w:before="156" w:beforeLines="50" w:after="120" w:line="312" w:lineRule="auto"/>
              <w:rPr>
                <w:b/>
                <w:bCs/>
                <w:sz w:val="24"/>
                <w:szCs w:val="36"/>
              </w:rPr>
            </w:pPr>
          </w:p>
        </w:tc>
      </w:tr>
      <w:tr w14:paraId="231F060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4" w:type="dxa"/>
            <w:tcBorders>
              <w:top w:val="single" w:color="auto" w:sz="4" w:space="0"/>
              <w:left w:val="single" w:color="auto" w:sz="4" w:space="0"/>
              <w:bottom w:val="single" w:color="auto" w:sz="4" w:space="0"/>
              <w:right w:val="single" w:color="auto" w:sz="4" w:space="0"/>
            </w:tcBorders>
          </w:tcPr>
          <w:p w14:paraId="4A367B79">
            <w:pPr>
              <w:snapToGrid w:val="0"/>
              <w:spacing w:before="156" w:beforeLines="50" w:after="50" w:line="312" w:lineRule="auto"/>
              <w:rPr>
                <w:sz w:val="24"/>
              </w:rPr>
            </w:pPr>
          </w:p>
        </w:tc>
        <w:tc>
          <w:tcPr>
            <w:tcW w:w="1004" w:type="dxa"/>
            <w:tcBorders>
              <w:top w:val="single" w:color="auto" w:sz="4" w:space="0"/>
              <w:left w:val="single" w:color="auto" w:sz="4" w:space="0"/>
              <w:bottom w:val="single" w:color="auto" w:sz="4" w:space="0"/>
              <w:right w:val="single" w:color="auto" w:sz="4" w:space="0"/>
            </w:tcBorders>
          </w:tcPr>
          <w:p w14:paraId="272BBF7A">
            <w:pPr>
              <w:snapToGrid w:val="0"/>
              <w:spacing w:before="156" w:beforeLines="50" w:after="120" w:line="312" w:lineRule="auto"/>
              <w:rPr>
                <w:b/>
                <w:bCs/>
                <w:sz w:val="24"/>
                <w:szCs w:val="36"/>
              </w:rPr>
            </w:pPr>
          </w:p>
        </w:tc>
        <w:tc>
          <w:tcPr>
            <w:tcW w:w="1662" w:type="dxa"/>
            <w:tcBorders>
              <w:top w:val="single" w:color="auto" w:sz="4" w:space="0"/>
              <w:left w:val="single" w:color="auto" w:sz="4" w:space="0"/>
              <w:bottom w:val="single" w:color="auto" w:sz="4" w:space="0"/>
              <w:right w:val="single" w:color="auto" w:sz="4" w:space="0"/>
            </w:tcBorders>
          </w:tcPr>
          <w:p w14:paraId="545D8216">
            <w:pPr>
              <w:snapToGrid w:val="0"/>
              <w:spacing w:before="156" w:beforeLines="50" w:after="120" w:line="312" w:lineRule="auto"/>
              <w:rPr>
                <w:b/>
                <w:bCs/>
                <w:sz w:val="24"/>
                <w:szCs w:val="36"/>
              </w:rPr>
            </w:pPr>
          </w:p>
        </w:tc>
        <w:tc>
          <w:tcPr>
            <w:tcW w:w="1260" w:type="dxa"/>
            <w:tcBorders>
              <w:top w:val="single" w:color="auto" w:sz="4" w:space="0"/>
              <w:left w:val="single" w:color="auto" w:sz="4" w:space="0"/>
              <w:bottom w:val="single" w:color="auto" w:sz="4" w:space="0"/>
              <w:right w:val="single" w:color="auto" w:sz="4" w:space="0"/>
            </w:tcBorders>
          </w:tcPr>
          <w:p w14:paraId="22546CDF">
            <w:pPr>
              <w:snapToGrid w:val="0"/>
              <w:spacing w:before="156" w:beforeLines="50" w:after="120" w:line="312" w:lineRule="auto"/>
              <w:rPr>
                <w:b/>
                <w:bCs/>
                <w:sz w:val="24"/>
                <w:szCs w:val="36"/>
              </w:rPr>
            </w:pPr>
          </w:p>
        </w:tc>
        <w:tc>
          <w:tcPr>
            <w:tcW w:w="1619" w:type="dxa"/>
            <w:tcBorders>
              <w:top w:val="single" w:color="auto" w:sz="4" w:space="0"/>
              <w:left w:val="single" w:color="auto" w:sz="4" w:space="0"/>
              <w:bottom w:val="single" w:color="auto" w:sz="4" w:space="0"/>
              <w:right w:val="single" w:color="auto" w:sz="4" w:space="0"/>
            </w:tcBorders>
          </w:tcPr>
          <w:p w14:paraId="1BE1698D">
            <w:pPr>
              <w:snapToGrid w:val="0"/>
              <w:spacing w:before="156" w:beforeLines="50" w:after="120" w:line="312" w:lineRule="auto"/>
              <w:rPr>
                <w:b/>
                <w:bCs/>
                <w:sz w:val="24"/>
                <w:szCs w:val="36"/>
              </w:rPr>
            </w:pPr>
          </w:p>
        </w:tc>
        <w:tc>
          <w:tcPr>
            <w:tcW w:w="2699" w:type="dxa"/>
            <w:tcBorders>
              <w:top w:val="single" w:color="auto" w:sz="4" w:space="0"/>
              <w:left w:val="single" w:color="auto" w:sz="4" w:space="0"/>
              <w:bottom w:val="single" w:color="auto" w:sz="4" w:space="0"/>
              <w:right w:val="single" w:color="auto" w:sz="4" w:space="0"/>
            </w:tcBorders>
          </w:tcPr>
          <w:p w14:paraId="319B0517">
            <w:pPr>
              <w:snapToGrid w:val="0"/>
              <w:spacing w:before="156" w:beforeLines="50" w:after="120" w:line="312" w:lineRule="auto"/>
              <w:rPr>
                <w:b/>
                <w:bCs/>
                <w:sz w:val="24"/>
                <w:szCs w:val="36"/>
              </w:rPr>
            </w:pPr>
          </w:p>
        </w:tc>
      </w:tr>
    </w:tbl>
    <w:p w14:paraId="7837A0CB">
      <w:pPr>
        <w:snapToGrid w:val="0"/>
        <w:spacing w:before="50" w:after="156" w:afterLines="50" w:line="312" w:lineRule="auto"/>
        <w:jc w:val="left"/>
      </w:pPr>
      <w:r>
        <w:rPr>
          <w:rFonts w:hint="eastAsia"/>
        </w:rPr>
        <w:t>注：在填写时，如本表格不适合投标单位的实际情况，可根据本表格式自行划表填写。</w:t>
      </w:r>
    </w:p>
    <w:p w14:paraId="092092EC">
      <w:pPr>
        <w:snapToGrid w:val="0"/>
        <w:spacing w:before="50" w:after="50" w:line="312" w:lineRule="auto"/>
        <w:rPr>
          <w:spacing w:val="20"/>
          <w:sz w:val="24"/>
        </w:rPr>
      </w:pPr>
    </w:p>
    <w:p w14:paraId="41B10EEC">
      <w:pPr>
        <w:snapToGrid w:val="0"/>
        <w:spacing w:before="50" w:after="50" w:line="312" w:lineRule="auto"/>
        <w:rPr>
          <w:spacing w:val="20"/>
          <w:sz w:val="24"/>
        </w:rPr>
      </w:pPr>
    </w:p>
    <w:p w14:paraId="40964D80">
      <w:pPr>
        <w:snapToGrid w:val="0"/>
        <w:ind w:left="2" w:right="-817" w:rightChars="-389"/>
      </w:pPr>
    </w:p>
    <w:p w14:paraId="6127F234">
      <w:pPr>
        <w:snapToGrid w:val="0"/>
        <w:spacing w:before="50" w:after="156" w:afterLines="50" w:line="312" w:lineRule="auto"/>
        <w:jc w:val="left"/>
        <w:rPr>
          <w:spacing w:val="20"/>
          <w:sz w:val="24"/>
          <w:u w:val="single"/>
        </w:rPr>
      </w:pPr>
      <w:r>
        <w:rPr>
          <w:rFonts w:hint="eastAsia"/>
        </w:rPr>
        <w:t>投标人名称（盖章）：</w:t>
      </w:r>
      <w:r>
        <w:rPr>
          <w:rFonts w:hint="eastAsia"/>
          <w:spacing w:val="20"/>
          <w:sz w:val="24"/>
        </w:rPr>
        <w:t>日期：</w:t>
      </w:r>
    </w:p>
    <w:p w14:paraId="54839266">
      <w:pPr>
        <w:snapToGrid w:val="0"/>
        <w:spacing w:before="50" w:after="156" w:afterLines="50" w:line="312" w:lineRule="auto"/>
        <w:jc w:val="left"/>
        <w:rPr>
          <w:sz w:val="24"/>
        </w:rPr>
      </w:pPr>
    </w:p>
    <w:p w14:paraId="56944744">
      <w:pPr>
        <w:snapToGrid w:val="0"/>
        <w:spacing w:before="50" w:after="156" w:afterLines="50" w:line="312" w:lineRule="auto"/>
        <w:jc w:val="left"/>
        <w:rPr>
          <w:sz w:val="24"/>
        </w:rPr>
      </w:pPr>
    </w:p>
    <w:p w14:paraId="117EF158">
      <w:pPr>
        <w:snapToGrid w:val="0"/>
        <w:spacing w:before="50" w:after="156" w:afterLines="50" w:line="312" w:lineRule="auto"/>
        <w:jc w:val="left"/>
        <w:rPr>
          <w:sz w:val="24"/>
        </w:rPr>
      </w:pPr>
    </w:p>
    <w:p w14:paraId="4DFD7730">
      <w:pPr>
        <w:snapToGrid w:val="0"/>
        <w:spacing w:before="50" w:after="156" w:afterLines="50"/>
        <w:ind w:firstLine="241" w:firstLineChars="100"/>
        <w:jc w:val="left"/>
        <w:rPr>
          <w:b/>
          <w:sz w:val="24"/>
        </w:rPr>
      </w:pPr>
    </w:p>
    <w:p w14:paraId="0FD24B73">
      <w:pPr>
        <w:snapToGrid w:val="0"/>
        <w:spacing w:before="50" w:after="156" w:afterLines="50"/>
        <w:ind w:firstLine="241" w:firstLineChars="100"/>
        <w:jc w:val="left"/>
        <w:rPr>
          <w:b/>
          <w:sz w:val="24"/>
        </w:rPr>
      </w:pPr>
    </w:p>
    <w:p w14:paraId="11A53A8B">
      <w:pPr>
        <w:snapToGrid w:val="0"/>
        <w:spacing w:before="50" w:after="156" w:afterLines="50"/>
        <w:ind w:firstLine="241" w:firstLineChars="100"/>
        <w:jc w:val="left"/>
        <w:rPr>
          <w:b/>
          <w:sz w:val="24"/>
        </w:rPr>
      </w:pPr>
    </w:p>
    <w:p w14:paraId="0AC3B014">
      <w:pPr>
        <w:snapToGrid w:val="0"/>
        <w:spacing w:before="50" w:after="156" w:afterLines="50"/>
        <w:ind w:firstLine="241" w:firstLineChars="100"/>
        <w:jc w:val="left"/>
        <w:rPr>
          <w:b/>
          <w:sz w:val="24"/>
        </w:rPr>
      </w:pPr>
    </w:p>
    <w:p w14:paraId="1046B0FB">
      <w:pPr>
        <w:ind w:firstLine="420"/>
        <w:rPr>
          <w:b/>
          <w:kern w:val="0"/>
          <w:sz w:val="24"/>
          <w:szCs w:val="20"/>
        </w:rPr>
      </w:pPr>
    </w:p>
    <w:p w14:paraId="03004C21">
      <w:pPr>
        <w:snapToGrid w:val="0"/>
        <w:spacing w:before="50" w:after="156" w:afterLines="50"/>
        <w:ind w:firstLine="241" w:firstLineChars="100"/>
        <w:jc w:val="left"/>
        <w:rPr>
          <w:rFonts w:hint="eastAsia" w:ascii="宋体" w:hAnsi="宋体"/>
          <w:b/>
          <w:sz w:val="24"/>
        </w:rPr>
      </w:pPr>
      <w:r>
        <w:rPr>
          <w:rFonts w:hint="eastAsia" w:ascii="宋体" w:hAnsi="宋体"/>
          <w:b/>
          <w:sz w:val="24"/>
        </w:rPr>
        <w:t>十一、技术响应表格式：</w:t>
      </w:r>
    </w:p>
    <w:p w14:paraId="3D753148">
      <w:pPr>
        <w:rPr>
          <w:rFonts w:hint="eastAsia" w:ascii="宋体" w:hAnsi="宋体"/>
        </w:rPr>
      </w:pPr>
      <w:r>
        <w:rPr>
          <w:rFonts w:hint="eastAsia" w:ascii="宋体" w:hAnsi="宋体"/>
        </w:rPr>
        <w:t>项目名称：</w:t>
      </w:r>
    </w:p>
    <w:p w14:paraId="53F05FD7">
      <w:pPr>
        <w:snapToGrid w:val="0"/>
        <w:spacing w:line="360" w:lineRule="auto"/>
        <w:rPr>
          <w:rFonts w:ascii="宋体"/>
        </w:rPr>
      </w:pPr>
      <w:r>
        <w:rPr>
          <w:rFonts w:hint="eastAsia" w:ascii="宋体" w:hAnsi="宋体"/>
        </w:rPr>
        <w:t>项目编号：</w:t>
      </w:r>
    </w:p>
    <w:tbl>
      <w:tblPr>
        <w:tblStyle w:val="60"/>
        <w:tblW w:w="901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68"/>
        <w:gridCol w:w="2280"/>
        <w:gridCol w:w="2040"/>
        <w:gridCol w:w="1604"/>
        <w:gridCol w:w="1423"/>
      </w:tblGrid>
      <w:tr w14:paraId="731AAEA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948" w:type="dxa"/>
            <w:gridSpan w:val="2"/>
            <w:tcBorders>
              <w:top w:val="single" w:color="auto" w:sz="4" w:space="0"/>
              <w:left w:val="single" w:color="auto" w:sz="4" w:space="0"/>
              <w:bottom w:val="single" w:color="auto" w:sz="4" w:space="0"/>
              <w:right w:val="single" w:color="auto" w:sz="4" w:space="0"/>
            </w:tcBorders>
            <w:vAlign w:val="center"/>
          </w:tcPr>
          <w:p w14:paraId="47998CED">
            <w:pPr>
              <w:snapToGrid w:val="0"/>
              <w:spacing w:after="295"/>
              <w:jc w:val="center"/>
              <w:outlineLvl w:val="0"/>
              <w:rPr>
                <w:rFonts w:hint="eastAsia" w:ascii="宋体" w:hAnsi="宋体"/>
                <w:sz w:val="24"/>
              </w:rPr>
            </w:pPr>
            <w:r>
              <w:rPr>
                <w:rFonts w:hint="eastAsia" w:ascii="宋体" w:hAnsi="宋体"/>
                <w:sz w:val="24"/>
              </w:rPr>
              <w:t>招标文件要求</w:t>
            </w:r>
          </w:p>
        </w:tc>
        <w:tc>
          <w:tcPr>
            <w:tcW w:w="3644" w:type="dxa"/>
            <w:gridSpan w:val="2"/>
            <w:tcBorders>
              <w:top w:val="single" w:color="auto" w:sz="4" w:space="0"/>
              <w:left w:val="single" w:color="auto" w:sz="4" w:space="0"/>
              <w:bottom w:val="single" w:color="auto" w:sz="4" w:space="0"/>
              <w:right w:val="single" w:color="auto" w:sz="4" w:space="0"/>
            </w:tcBorders>
            <w:vAlign w:val="center"/>
          </w:tcPr>
          <w:p w14:paraId="68C0476C">
            <w:pPr>
              <w:snapToGrid w:val="0"/>
              <w:spacing w:after="295"/>
              <w:jc w:val="center"/>
              <w:outlineLvl w:val="0"/>
              <w:rPr>
                <w:rFonts w:hint="eastAsia" w:ascii="宋体" w:hAnsi="宋体"/>
                <w:sz w:val="24"/>
              </w:rPr>
            </w:pPr>
            <w:r>
              <w:rPr>
                <w:rFonts w:hint="eastAsia" w:ascii="宋体" w:hAnsi="宋体"/>
                <w:sz w:val="24"/>
              </w:rPr>
              <w:t>投标文件响应</w:t>
            </w:r>
          </w:p>
        </w:tc>
        <w:tc>
          <w:tcPr>
            <w:tcW w:w="1423" w:type="dxa"/>
            <w:vMerge w:val="restart"/>
            <w:tcBorders>
              <w:top w:val="single" w:color="auto" w:sz="4" w:space="0"/>
              <w:left w:val="single" w:color="auto" w:sz="4" w:space="0"/>
              <w:bottom w:val="single" w:color="auto" w:sz="4" w:space="0"/>
              <w:right w:val="single" w:color="auto" w:sz="4" w:space="0"/>
            </w:tcBorders>
            <w:vAlign w:val="center"/>
          </w:tcPr>
          <w:p w14:paraId="3380E695">
            <w:pPr>
              <w:snapToGrid w:val="0"/>
              <w:spacing w:after="295"/>
              <w:jc w:val="center"/>
              <w:outlineLvl w:val="0"/>
              <w:rPr>
                <w:rFonts w:hint="eastAsia" w:ascii="宋体" w:hAnsi="宋体"/>
                <w:sz w:val="24"/>
              </w:rPr>
            </w:pPr>
            <w:r>
              <w:rPr>
                <w:rFonts w:hint="eastAsia" w:ascii="宋体" w:hAnsi="宋体"/>
                <w:sz w:val="24"/>
              </w:rPr>
              <w:t>偏离情况</w:t>
            </w:r>
          </w:p>
        </w:tc>
      </w:tr>
      <w:tr w14:paraId="559347F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1668" w:type="dxa"/>
            <w:tcBorders>
              <w:top w:val="single" w:color="auto" w:sz="4" w:space="0"/>
              <w:left w:val="single" w:color="auto" w:sz="4" w:space="0"/>
              <w:bottom w:val="single" w:color="auto" w:sz="4" w:space="0"/>
              <w:right w:val="single" w:color="auto" w:sz="4" w:space="0"/>
            </w:tcBorders>
            <w:vAlign w:val="center"/>
          </w:tcPr>
          <w:p w14:paraId="61AA41C9">
            <w:pPr>
              <w:snapToGrid w:val="0"/>
              <w:spacing w:after="295"/>
              <w:jc w:val="center"/>
              <w:outlineLvl w:val="0"/>
              <w:rPr>
                <w:rFonts w:hint="eastAsia" w:ascii="宋体" w:hAnsi="宋体"/>
                <w:sz w:val="24"/>
              </w:rPr>
            </w:pPr>
            <w:r>
              <w:rPr>
                <w:rFonts w:hint="eastAsia" w:ascii="宋体" w:hAnsi="宋体"/>
                <w:sz w:val="24"/>
              </w:rPr>
              <w:t>项目</w:t>
            </w:r>
          </w:p>
        </w:tc>
        <w:tc>
          <w:tcPr>
            <w:tcW w:w="2280" w:type="dxa"/>
            <w:tcBorders>
              <w:top w:val="single" w:color="auto" w:sz="4" w:space="0"/>
              <w:left w:val="single" w:color="auto" w:sz="4" w:space="0"/>
              <w:bottom w:val="single" w:color="auto" w:sz="4" w:space="0"/>
              <w:right w:val="single" w:color="auto" w:sz="4" w:space="0"/>
            </w:tcBorders>
            <w:vAlign w:val="center"/>
          </w:tcPr>
          <w:p w14:paraId="5BAA9A0E">
            <w:pPr>
              <w:snapToGrid w:val="0"/>
              <w:spacing w:after="295"/>
              <w:jc w:val="center"/>
              <w:outlineLvl w:val="0"/>
              <w:rPr>
                <w:rFonts w:hint="eastAsia" w:ascii="宋体" w:hAnsi="宋体"/>
                <w:sz w:val="24"/>
              </w:rPr>
            </w:pPr>
            <w:r>
              <w:rPr>
                <w:rFonts w:hint="eastAsia" w:ascii="宋体" w:hAnsi="宋体"/>
                <w:sz w:val="24"/>
              </w:rPr>
              <w:t>要求</w:t>
            </w:r>
          </w:p>
        </w:tc>
        <w:tc>
          <w:tcPr>
            <w:tcW w:w="2040" w:type="dxa"/>
            <w:tcBorders>
              <w:top w:val="single" w:color="auto" w:sz="4" w:space="0"/>
              <w:left w:val="single" w:color="auto" w:sz="4" w:space="0"/>
              <w:bottom w:val="single" w:color="auto" w:sz="4" w:space="0"/>
              <w:right w:val="single" w:color="auto" w:sz="4" w:space="0"/>
            </w:tcBorders>
            <w:vAlign w:val="center"/>
          </w:tcPr>
          <w:p w14:paraId="3AE4E35A">
            <w:pPr>
              <w:snapToGrid w:val="0"/>
              <w:spacing w:after="295"/>
              <w:jc w:val="center"/>
              <w:outlineLvl w:val="0"/>
              <w:rPr>
                <w:rFonts w:hint="eastAsia" w:ascii="宋体" w:hAnsi="宋体"/>
                <w:sz w:val="24"/>
              </w:rPr>
            </w:pPr>
            <w:r>
              <w:rPr>
                <w:rFonts w:hint="eastAsia" w:ascii="宋体" w:hAnsi="宋体"/>
                <w:sz w:val="24"/>
              </w:rPr>
              <w:t>项目</w:t>
            </w:r>
          </w:p>
        </w:tc>
        <w:tc>
          <w:tcPr>
            <w:tcW w:w="1604" w:type="dxa"/>
            <w:tcBorders>
              <w:top w:val="single" w:color="auto" w:sz="4" w:space="0"/>
              <w:left w:val="single" w:color="auto" w:sz="4" w:space="0"/>
              <w:bottom w:val="single" w:color="auto" w:sz="4" w:space="0"/>
              <w:right w:val="single" w:color="auto" w:sz="4" w:space="0"/>
            </w:tcBorders>
            <w:vAlign w:val="center"/>
          </w:tcPr>
          <w:p w14:paraId="79F2CC7B">
            <w:pPr>
              <w:snapToGrid w:val="0"/>
              <w:spacing w:after="295"/>
              <w:jc w:val="center"/>
              <w:outlineLvl w:val="0"/>
              <w:rPr>
                <w:rFonts w:hint="eastAsia" w:ascii="宋体" w:hAnsi="宋体"/>
                <w:sz w:val="24"/>
              </w:rPr>
            </w:pPr>
            <w:r>
              <w:rPr>
                <w:rFonts w:hint="eastAsia" w:ascii="宋体" w:hAnsi="宋体"/>
                <w:sz w:val="24"/>
              </w:rPr>
              <w:t>要求</w:t>
            </w:r>
          </w:p>
        </w:tc>
        <w:tc>
          <w:tcPr>
            <w:tcW w:w="1423" w:type="dxa"/>
            <w:vMerge w:val="continue"/>
            <w:tcBorders>
              <w:top w:val="single" w:color="auto" w:sz="4" w:space="0"/>
              <w:left w:val="single" w:color="auto" w:sz="4" w:space="0"/>
              <w:bottom w:val="single" w:color="auto" w:sz="4" w:space="0"/>
              <w:right w:val="single" w:color="auto" w:sz="4" w:space="0"/>
            </w:tcBorders>
            <w:vAlign w:val="center"/>
          </w:tcPr>
          <w:p w14:paraId="729B9440">
            <w:pPr>
              <w:widowControl/>
              <w:jc w:val="left"/>
              <w:rPr>
                <w:rFonts w:hint="eastAsia" w:ascii="宋体" w:hAnsi="宋体"/>
                <w:sz w:val="24"/>
              </w:rPr>
            </w:pPr>
          </w:p>
        </w:tc>
      </w:tr>
      <w:tr w14:paraId="7C1C515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trPr>
        <w:tc>
          <w:tcPr>
            <w:tcW w:w="1668" w:type="dxa"/>
            <w:tcBorders>
              <w:top w:val="single" w:color="auto" w:sz="4" w:space="0"/>
              <w:left w:val="single" w:color="auto" w:sz="4" w:space="0"/>
              <w:bottom w:val="single" w:color="auto" w:sz="4" w:space="0"/>
              <w:right w:val="single" w:color="auto" w:sz="4" w:space="0"/>
            </w:tcBorders>
            <w:vAlign w:val="center"/>
          </w:tcPr>
          <w:p w14:paraId="0E3CE484">
            <w:pPr>
              <w:snapToGrid w:val="0"/>
              <w:spacing w:after="295"/>
              <w:jc w:val="center"/>
              <w:outlineLvl w:val="0"/>
              <w:rPr>
                <w:rFonts w:hint="eastAsia" w:ascii="宋体" w:hAnsi="宋体"/>
                <w:sz w:val="24"/>
              </w:rPr>
            </w:pPr>
          </w:p>
        </w:tc>
        <w:tc>
          <w:tcPr>
            <w:tcW w:w="2280" w:type="dxa"/>
            <w:tcBorders>
              <w:top w:val="single" w:color="auto" w:sz="4" w:space="0"/>
              <w:left w:val="single" w:color="auto" w:sz="4" w:space="0"/>
              <w:bottom w:val="single" w:color="auto" w:sz="4" w:space="0"/>
              <w:right w:val="single" w:color="auto" w:sz="4" w:space="0"/>
            </w:tcBorders>
            <w:vAlign w:val="center"/>
          </w:tcPr>
          <w:p w14:paraId="51175340">
            <w:pPr>
              <w:snapToGrid w:val="0"/>
              <w:spacing w:after="295" w:line="120" w:lineRule="exact"/>
              <w:jc w:val="center"/>
              <w:outlineLvl w:val="0"/>
              <w:rPr>
                <w:rFonts w:hint="eastAsia" w:ascii="宋体" w:hAnsi="宋体"/>
                <w:sz w:val="24"/>
              </w:rPr>
            </w:pPr>
          </w:p>
        </w:tc>
        <w:tc>
          <w:tcPr>
            <w:tcW w:w="2040" w:type="dxa"/>
            <w:tcBorders>
              <w:top w:val="single" w:color="auto" w:sz="4" w:space="0"/>
              <w:left w:val="single" w:color="auto" w:sz="4" w:space="0"/>
              <w:bottom w:val="single" w:color="auto" w:sz="4" w:space="0"/>
              <w:right w:val="single" w:color="auto" w:sz="4" w:space="0"/>
            </w:tcBorders>
            <w:vAlign w:val="center"/>
          </w:tcPr>
          <w:p w14:paraId="06E19A0A">
            <w:pPr>
              <w:snapToGrid w:val="0"/>
              <w:spacing w:after="295" w:line="120" w:lineRule="exact"/>
              <w:jc w:val="center"/>
              <w:outlineLvl w:val="0"/>
              <w:rPr>
                <w:rFonts w:hint="eastAsia" w:ascii="宋体" w:hAnsi="宋体"/>
                <w:sz w:val="24"/>
              </w:rPr>
            </w:pPr>
          </w:p>
        </w:tc>
        <w:tc>
          <w:tcPr>
            <w:tcW w:w="1604" w:type="dxa"/>
            <w:tcBorders>
              <w:top w:val="single" w:color="auto" w:sz="4" w:space="0"/>
              <w:left w:val="single" w:color="auto" w:sz="4" w:space="0"/>
              <w:bottom w:val="single" w:color="auto" w:sz="4" w:space="0"/>
              <w:right w:val="single" w:color="auto" w:sz="4" w:space="0"/>
            </w:tcBorders>
            <w:vAlign w:val="center"/>
          </w:tcPr>
          <w:p w14:paraId="17DF38AB">
            <w:pPr>
              <w:snapToGrid w:val="0"/>
              <w:spacing w:after="295" w:line="120" w:lineRule="exact"/>
              <w:jc w:val="center"/>
              <w:outlineLvl w:val="0"/>
              <w:rPr>
                <w:rFonts w:hint="eastAsia" w:ascii="宋体" w:hAnsi="宋体"/>
                <w:sz w:val="24"/>
              </w:rPr>
            </w:pPr>
          </w:p>
        </w:tc>
        <w:tc>
          <w:tcPr>
            <w:tcW w:w="1423" w:type="dxa"/>
            <w:tcBorders>
              <w:top w:val="single" w:color="auto" w:sz="4" w:space="0"/>
              <w:left w:val="single" w:color="auto" w:sz="4" w:space="0"/>
              <w:bottom w:val="single" w:color="auto" w:sz="4" w:space="0"/>
              <w:right w:val="single" w:color="auto" w:sz="4" w:space="0"/>
            </w:tcBorders>
            <w:vAlign w:val="center"/>
          </w:tcPr>
          <w:p w14:paraId="698DB316">
            <w:pPr>
              <w:snapToGrid w:val="0"/>
              <w:spacing w:after="295" w:line="120" w:lineRule="exact"/>
              <w:jc w:val="center"/>
              <w:outlineLvl w:val="0"/>
              <w:rPr>
                <w:rFonts w:hint="eastAsia" w:ascii="宋体" w:hAnsi="宋体"/>
                <w:sz w:val="24"/>
              </w:rPr>
            </w:pPr>
          </w:p>
        </w:tc>
      </w:tr>
      <w:tr w14:paraId="60C6BB8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668" w:type="dxa"/>
            <w:tcBorders>
              <w:top w:val="single" w:color="auto" w:sz="4" w:space="0"/>
              <w:left w:val="single" w:color="auto" w:sz="4" w:space="0"/>
              <w:bottom w:val="single" w:color="auto" w:sz="4" w:space="0"/>
              <w:right w:val="single" w:color="auto" w:sz="4" w:space="0"/>
            </w:tcBorders>
            <w:vAlign w:val="center"/>
          </w:tcPr>
          <w:p w14:paraId="65689A11">
            <w:pPr>
              <w:rPr>
                <w:rFonts w:hint="eastAsia" w:ascii="宋体" w:hAnsi="宋体"/>
              </w:rPr>
            </w:pPr>
          </w:p>
        </w:tc>
        <w:tc>
          <w:tcPr>
            <w:tcW w:w="2280" w:type="dxa"/>
            <w:tcBorders>
              <w:top w:val="single" w:color="auto" w:sz="4" w:space="0"/>
              <w:left w:val="single" w:color="auto" w:sz="4" w:space="0"/>
              <w:bottom w:val="single" w:color="auto" w:sz="4" w:space="0"/>
              <w:right w:val="single" w:color="auto" w:sz="4" w:space="0"/>
            </w:tcBorders>
            <w:vAlign w:val="center"/>
          </w:tcPr>
          <w:p w14:paraId="78EB71F0">
            <w:pPr>
              <w:snapToGrid w:val="0"/>
              <w:spacing w:after="295" w:line="120" w:lineRule="exact"/>
              <w:outlineLvl w:val="0"/>
              <w:rPr>
                <w:rFonts w:hint="eastAsia" w:ascii="宋体" w:hAnsi="宋体"/>
                <w:sz w:val="24"/>
              </w:rPr>
            </w:pPr>
          </w:p>
        </w:tc>
        <w:tc>
          <w:tcPr>
            <w:tcW w:w="2040" w:type="dxa"/>
            <w:tcBorders>
              <w:top w:val="single" w:color="auto" w:sz="4" w:space="0"/>
              <w:left w:val="single" w:color="auto" w:sz="4" w:space="0"/>
              <w:bottom w:val="single" w:color="auto" w:sz="4" w:space="0"/>
              <w:right w:val="single" w:color="auto" w:sz="4" w:space="0"/>
            </w:tcBorders>
          </w:tcPr>
          <w:p w14:paraId="7B7EF660">
            <w:pPr>
              <w:snapToGrid w:val="0"/>
              <w:spacing w:after="295" w:line="120" w:lineRule="exact"/>
              <w:outlineLvl w:val="0"/>
              <w:rPr>
                <w:rFonts w:hint="eastAsia" w:ascii="宋体" w:hAnsi="宋体"/>
                <w:sz w:val="24"/>
              </w:rPr>
            </w:pPr>
          </w:p>
        </w:tc>
        <w:tc>
          <w:tcPr>
            <w:tcW w:w="1604" w:type="dxa"/>
            <w:tcBorders>
              <w:top w:val="single" w:color="auto" w:sz="4" w:space="0"/>
              <w:left w:val="single" w:color="auto" w:sz="4" w:space="0"/>
              <w:bottom w:val="single" w:color="auto" w:sz="4" w:space="0"/>
              <w:right w:val="single" w:color="auto" w:sz="4" w:space="0"/>
            </w:tcBorders>
          </w:tcPr>
          <w:p w14:paraId="50BEBA2F">
            <w:pPr>
              <w:snapToGrid w:val="0"/>
              <w:spacing w:after="295" w:line="120" w:lineRule="exact"/>
              <w:outlineLvl w:val="0"/>
              <w:rPr>
                <w:rFonts w:hint="eastAsia" w:ascii="宋体" w:hAnsi="宋体"/>
                <w:sz w:val="24"/>
              </w:rPr>
            </w:pPr>
          </w:p>
        </w:tc>
        <w:tc>
          <w:tcPr>
            <w:tcW w:w="1423" w:type="dxa"/>
            <w:tcBorders>
              <w:top w:val="single" w:color="auto" w:sz="4" w:space="0"/>
              <w:left w:val="single" w:color="auto" w:sz="4" w:space="0"/>
              <w:bottom w:val="single" w:color="auto" w:sz="4" w:space="0"/>
              <w:right w:val="single" w:color="auto" w:sz="4" w:space="0"/>
            </w:tcBorders>
          </w:tcPr>
          <w:p w14:paraId="3FF979E9">
            <w:pPr>
              <w:snapToGrid w:val="0"/>
              <w:spacing w:after="295" w:line="120" w:lineRule="exact"/>
              <w:outlineLvl w:val="0"/>
              <w:rPr>
                <w:rFonts w:hint="eastAsia" w:ascii="宋体" w:hAnsi="宋体"/>
                <w:sz w:val="24"/>
              </w:rPr>
            </w:pPr>
          </w:p>
        </w:tc>
      </w:tr>
      <w:tr w14:paraId="2CD2936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1" w:hRule="atLeast"/>
        </w:trPr>
        <w:tc>
          <w:tcPr>
            <w:tcW w:w="1668" w:type="dxa"/>
            <w:tcBorders>
              <w:top w:val="single" w:color="auto" w:sz="4" w:space="0"/>
              <w:left w:val="single" w:color="auto" w:sz="4" w:space="0"/>
              <w:bottom w:val="single" w:color="auto" w:sz="4" w:space="0"/>
              <w:right w:val="single" w:color="auto" w:sz="4" w:space="0"/>
            </w:tcBorders>
            <w:vAlign w:val="center"/>
          </w:tcPr>
          <w:p w14:paraId="4314383A">
            <w:pPr>
              <w:rPr>
                <w:rFonts w:hint="eastAsia" w:ascii="宋体" w:hAnsi="宋体"/>
              </w:rPr>
            </w:pPr>
          </w:p>
        </w:tc>
        <w:tc>
          <w:tcPr>
            <w:tcW w:w="2280" w:type="dxa"/>
            <w:tcBorders>
              <w:top w:val="single" w:color="auto" w:sz="4" w:space="0"/>
              <w:left w:val="single" w:color="auto" w:sz="4" w:space="0"/>
              <w:bottom w:val="single" w:color="auto" w:sz="4" w:space="0"/>
              <w:right w:val="single" w:color="auto" w:sz="4" w:space="0"/>
            </w:tcBorders>
            <w:vAlign w:val="center"/>
          </w:tcPr>
          <w:p w14:paraId="79BDE647">
            <w:pPr>
              <w:snapToGrid w:val="0"/>
              <w:spacing w:after="295" w:line="120" w:lineRule="exact"/>
              <w:rPr>
                <w:rFonts w:hint="eastAsia" w:ascii="宋体" w:hAnsi="宋体"/>
                <w:sz w:val="24"/>
              </w:rPr>
            </w:pPr>
          </w:p>
        </w:tc>
        <w:tc>
          <w:tcPr>
            <w:tcW w:w="2040" w:type="dxa"/>
            <w:tcBorders>
              <w:top w:val="single" w:color="auto" w:sz="4" w:space="0"/>
              <w:left w:val="single" w:color="auto" w:sz="4" w:space="0"/>
              <w:bottom w:val="single" w:color="auto" w:sz="4" w:space="0"/>
              <w:right w:val="single" w:color="auto" w:sz="4" w:space="0"/>
            </w:tcBorders>
          </w:tcPr>
          <w:p w14:paraId="05383080">
            <w:pPr>
              <w:snapToGrid w:val="0"/>
              <w:spacing w:after="295" w:line="120" w:lineRule="exact"/>
              <w:rPr>
                <w:rFonts w:hint="eastAsia" w:ascii="宋体" w:hAnsi="宋体"/>
                <w:sz w:val="24"/>
              </w:rPr>
            </w:pPr>
          </w:p>
        </w:tc>
        <w:tc>
          <w:tcPr>
            <w:tcW w:w="1604" w:type="dxa"/>
            <w:tcBorders>
              <w:top w:val="single" w:color="auto" w:sz="4" w:space="0"/>
              <w:left w:val="single" w:color="auto" w:sz="4" w:space="0"/>
              <w:bottom w:val="single" w:color="auto" w:sz="4" w:space="0"/>
              <w:right w:val="single" w:color="auto" w:sz="4" w:space="0"/>
            </w:tcBorders>
          </w:tcPr>
          <w:p w14:paraId="57A957F8">
            <w:pPr>
              <w:snapToGrid w:val="0"/>
              <w:spacing w:after="295" w:line="120" w:lineRule="exact"/>
              <w:rPr>
                <w:rFonts w:hint="eastAsia" w:ascii="宋体" w:hAnsi="宋体"/>
                <w:sz w:val="24"/>
              </w:rPr>
            </w:pPr>
          </w:p>
        </w:tc>
        <w:tc>
          <w:tcPr>
            <w:tcW w:w="1423" w:type="dxa"/>
            <w:tcBorders>
              <w:top w:val="single" w:color="auto" w:sz="4" w:space="0"/>
              <w:left w:val="single" w:color="auto" w:sz="4" w:space="0"/>
              <w:bottom w:val="single" w:color="auto" w:sz="4" w:space="0"/>
              <w:right w:val="single" w:color="auto" w:sz="4" w:space="0"/>
            </w:tcBorders>
          </w:tcPr>
          <w:p w14:paraId="16A0AB26">
            <w:pPr>
              <w:snapToGrid w:val="0"/>
              <w:spacing w:after="295" w:line="120" w:lineRule="exact"/>
              <w:rPr>
                <w:rFonts w:hint="eastAsia" w:ascii="宋体" w:hAnsi="宋体"/>
                <w:sz w:val="24"/>
              </w:rPr>
            </w:pPr>
          </w:p>
        </w:tc>
      </w:tr>
      <w:tr w14:paraId="4FA4127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left w:val="single" w:color="auto" w:sz="4" w:space="0"/>
              <w:bottom w:val="single" w:color="auto" w:sz="4" w:space="0"/>
              <w:right w:val="single" w:color="auto" w:sz="4" w:space="0"/>
            </w:tcBorders>
            <w:vAlign w:val="center"/>
          </w:tcPr>
          <w:p w14:paraId="256E35B5">
            <w:pPr>
              <w:rPr>
                <w:rFonts w:hint="eastAsia" w:ascii="宋体" w:hAnsi="宋体"/>
              </w:rPr>
            </w:pPr>
          </w:p>
        </w:tc>
        <w:tc>
          <w:tcPr>
            <w:tcW w:w="2280" w:type="dxa"/>
            <w:tcBorders>
              <w:top w:val="single" w:color="auto" w:sz="4" w:space="0"/>
              <w:left w:val="single" w:color="auto" w:sz="4" w:space="0"/>
              <w:bottom w:val="single" w:color="auto" w:sz="4" w:space="0"/>
              <w:right w:val="single" w:color="auto" w:sz="4" w:space="0"/>
            </w:tcBorders>
            <w:vAlign w:val="center"/>
          </w:tcPr>
          <w:p w14:paraId="100F1F53">
            <w:pPr>
              <w:snapToGrid w:val="0"/>
              <w:spacing w:after="295" w:line="120" w:lineRule="exact"/>
              <w:outlineLvl w:val="0"/>
              <w:rPr>
                <w:rFonts w:hint="eastAsia" w:ascii="宋体" w:hAnsi="宋体"/>
                <w:sz w:val="24"/>
              </w:rPr>
            </w:pPr>
          </w:p>
        </w:tc>
        <w:tc>
          <w:tcPr>
            <w:tcW w:w="2040" w:type="dxa"/>
            <w:tcBorders>
              <w:top w:val="single" w:color="auto" w:sz="4" w:space="0"/>
              <w:left w:val="single" w:color="auto" w:sz="4" w:space="0"/>
              <w:bottom w:val="single" w:color="auto" w:sz="4" w:space="0"/>
              <w:right w:val="single" w:color="auto" w:sz="4" w:space="0"/>
            </w:tcBorders>
          </w:tcPr>
          <w:p w14:paraId="2F3159F7">
            <w:pPr>
              <w:snapToGrid w:val="0"/>
              <w:spacing w:after="295" w:line="120" w:lineRule="exact"/>
              <w:outlineLvl w:val="0"/>
              <w:rPr>
                <w:rFonts w:hint="eastAsia" w:ascii="宋体" w:hAnsi="宋体"/>
                <w:sz w:val="24"/>
              </w:rPr>
            </w:pPr>
          </w:p>
        </w:tc>
        <w:tc>
          <w:tcPr>
            <w:tcW w:w="1604" w:type="dxa"/>
            <w:tcBorders>
              <w:top w:val="single" w:color="auto" w:sz="4" w:space="0"/>
              <w:left w:val="single" w:color="auto" w:sz="4" w:space="0"/>
              <w:bottom w:val="single" w:color="auto" w:sz="4" w:space="0"/>
              <w:right w:val="single" w:color="auto" w:sz="4" w:space="0"/>
            </w:tcBorders>
          </w:tcPr>
          <w:p w14:paraId="13553605">
            <w:pPr>
              <w:snapToGrid w:val="0"/>
              <w:spacing w:after="295" w:line="120" w:lineRule="exact"/>
              <w:outlineLvl w:val="0"/>
              <w:rPr>
                <w:rFonts w:hint="eastAsia" w:ascii="宋体" w:hAnsi="宋体"/>
                <w:sz w:val="24"/>
              </w:rPr>
            </w:pPr>
          </w:p>
        </w:tc>
        <w:tc>
          <w:tcPr>
            <w:tcW w:w="1423" w:type="dxa"/>
            <w:tcBorders>
              <w:top w:val="single" w:color="auto" w:sz="4" w:space="0"/>
              <w:left w:val="single" w:color="auto" w:sz="4" w:space="0"/>
              <w:bottom w:val="single" w:color="auto" w:sz="4" w:space="0"/>
              <w:right w:val="single" w:color="auto" w:sz="4" w:space="0"/>
            </w:tcBorders>
          </w:tcPr>
          <w:p w14:paraId="470616C3">
            <w:pPr>
              <w:snapToGrid w:val="0"/>
              <w:spacing w:after="295" w:line="120" w:lineRule="exact"/>
              <w:outlineLvl w:val="0"/>
              <w:rPr>
                <w:rFonts w:hint="eastAsia" w:ascii="宋体" w:hAnsi="宋体"/>
                <w:sz w:val="24"/>
              </w:rPr>
            </w:pPr>
          </w:p>
        </w:tc>
      </w:tr>
      <w:tr w14:paraId="1CBE0CF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left w:val="single" w:color="auto" w:sz="4" w:space="0"/>
              <w:bottom w:val="single" w:color="auto" w:sz="4" w:space="0"/>
              <w:right w:val="single" w:color="auto" w:sz="4" w:space="0"/>
            </w:tcBorders>
            <w:vAlign w:val="center"/>
          </w:tcPr>
          <w:p w14:paraId="6465B1C7">
            <w:pPr>
              <w:rPr>
                <w:rFonts w:hint="eastAsia" w:ascii="宋体" w:hAnsi="宋体"/>
              </w:rPr>
            </w:pPr>
          </w:p>
        </w:tc>
        <w:tc>
          <w:tcPr>
            <w:tcW w:w="2280" w:type="dxa"/>
            <w:tcBorders>
              <w:top w:val="single" w:color="auto" w:sz="4" w:space="0"/>
              <w:left w:val="single" w:color="auto" w:sz="4" w:space="0"/>
              <w:bottom w:val="single" w:color="auto" w:sz="4" w:space="0"/>
              <w:right w:val="single" w:color="auto" w:sz="4" w:space="0"/>
            </w:tcBorders>
            <w:vAlign w:val="center"/>
          </w:tcPr>
          <w:p w14:paraId="2C6208DE">
            <w:pPr>
              <w:snapToGrid w:val="0"/>
              <w:spacing w:after="295" w:line="120" w:lineRule="exact"/>
              <w:outlineLvl w:val="0"/>
              <w:rPr>
                <w:rFonts w:hint="eastAsia" w:ascii="宋体" w:hAnsi="宋体"/>
                <w:sz w:val="24"/>
              </w:rPr>
            </w:pPr>
          </w:p>
        </w:tc>
        <w:tc>
          <w:tcPr>
            <w:tcW w:w="2040" w:type="dxa"/>
            <w:tcBorders>
              <w:top w:val="single" w:color="auto" w:sz="4" w:space="0"/>
              <w:left w:val="single" w:color="auto" w:sz="4" w:space="0"/>
              <w:bottom w:val="single" w:color="auto" w:sz="4" w:space="0"/>
              <w:right w:val="single" w:color="auto" w:sz="4" w:space="0"/>
            </w:tcBorders>
          </w:tcPr>
          <w:p w14:paraId="47FB03DD">
            <w:pPr>
              <w:snapToGrid w:val="0"/>
              <w:spacing w:after="295" w:line="120" w:lineRule="exact"/>
              <w:outlineLvl w:val="0"/>
              <w:rPr>
                <w:rFonts w:hint="eastAsia" w:ascii="宋体" w:hAnsi="宋体"/>
                <w:sz w:val="24"/>
              </w:rPr>
            </w:pPr>
          </w:p>
        </w:tc>
        <w:tc>
          <w:tcPr>
            <w:tcW w:w="1604" w:type="dxa"/>
            <w:tcBorders>
              <w:top w:val="single" w:color="auto" w:sz="4" w:space="0"/>
              <w:left w:val="single" w:color="auto" w:sz="4" w:space="0"/>
              <w:bottom w:val="single" w:color="auto" w:sz="4" w:space="0"/>
              <w:right w:val="single" w:color="auto" w:sz="4" w:space="0"/>
            </w:tcBorders>
          </w:tcPr>
          <w:p w14:paraId="03D01F9D">
            <w:pPr>
              <w:snapToGrid w:val="0"/>
              <w:spacing w:after="295" w:line="120" w:lineRule="exact"/>
              <w:outlineLvl w:val="0"/>
              <w:rPr>
                <w:rFonts w:hint="eastAsia" w:ascii="宋体" w:hAnsi="宋体"/>
                <w:sz w:val="24"/>
              </w:rPr>
            </w:pPr>
          </w:p>
        </w:tc>
        <w:tc>
          <w:tcPr>
            <w:tcW w:w="1423" w:type="dxa"/>
            <w:tcBorders>
              <w:top w:val="single" w:color="auto" w:sz="4" w:space="0"/>
              <w:left w:val="single" w:color="auto" w:sz="4" w:space="0"/>
              <w:bottom w:val="single" w:color="auto" w:sz="4" w:space="0"/>
              <w:right w:val="single" w:color="auto" w:sz="4" w:space="0"/>
            </w:tcBorders>
          </w:tcPr>
          <w:p w14:paraId="625973D8">
            <w:pPr>
              <w:snapToGrid w:val="0"/>
              <w:spacing w:after="295" w:line="120" w:lineRule="exact"/>
              <w:outlineLvl w:val="0"/>
              <w:rPr>
                <w:rFonts w:hint="eastAsia" w:ascii="宋体" w:hAnsi="宋体"/>
                <w:sz w:val="24"/>
              </w:rPr>
            </w:pPr>
          </w:p>
        </w:tc>
      </w:tr>
      <w:tr w14:paraId="729CC31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left w:val="single" w:color="auto" w:sz="4" w:space="0"/>
              <w:bottom w:val="single" w:color="auto" w:sz="4" w:space="0"/>
              <w:right w:val="single" w:color="auto" w:sz="4" w:space="0"/>
            </w:tcBorders>
            <w:vAlign w:val="center"/>
          </w:tcPr>
          <w:p w14:paraId="420373D5">
            <w:pPr>
              <w:rPr>
                <w:rFonts w:hint="eastAsia" w:ascii="宋体" w:hAnsi="宋体"/>
              </w:rPr>
            </w:pPr>
          </w:p>
        </w:tc>
        <w:tc>
          <w:tcPr>
            <w:tcW w:w="2280" w:type="dxa"/>
            <w:tcBorders>
              <w:top w:val="single" w:color="auto" w:sz="4" w:space="0"/>
              <w:left w:val="single" w:color="auto" w:sz="4" w:space="0"/>
              <w:bottom w:val="single" w:color="auto" w:sz="4" w:space="0"/>
              <w:right w:val="single" w:color="auto" w:sz="4" w:space="0"/>
            </w:tcBorders>
            <w:vAlign w:val="center"/>
          </w:tcPr>
          <w:p w14:paraId="197F9D01">
            <w:pPr>
              <w:snapToGrid w:val="0"/>
              <w:spacing w:after="295" w:line="120" w:lineRule="exact"/>
              <w:outlineLvl w:val="0"/>
              <w:rPr>
                <w:rFonts w:hint="eastAsia" w:ascii="宋体" w:hAnsi="宋体"/>
                <w:sz w:val="24"/>
              </w:rPr>
            </w:pPr>
          </w:p>
        </w:tc>
        <w:tc>
          <w:tcPr>
            <w:tcW w:w="2040" w:type="dxa"/>
            <w:tcBorders>
              <w:top w:val="single" w:color="auto" w:sz="4" w:space="0"/>
              <w:left w:val="single" w:color="auto" w:sz="4" w:space="0"/>
              <w:bottom w:val="single" w:color="auto" w:sz="4" w:space="0"/>
              <w:right w:val="single" w:color="auto" w:sz="4" w:space="0"/>
            </w:tcBorders>
          </w:tcPr>
          <w:p w14:paraId="4FB6F50C">
            <w:pPr>
              <w:snapToGrid w:val="0"/>
              <w:spacing w:after="295" w:line="120" w:lineRule="exact"/>
              <w:outlineLvl w:val="0"/>
              <w:rPr>
                <w:rFonts w:hint="eastAsia" w:ascii="宋体" w:hAnsi="宋体"/>
                <w:sz w:val="24"/>
              </w:rPr>
            </w:pPr>
          </w:p>
        </w:tc>
        <w:tc>
          <w:tcPr>
            <w:tcW w:w="1604" w:type="dxa"/>
            <w:tcBorders>
              <w:top w:val="single" w:color="auto" w:sz="4" w:space="0"/>
              <w:left w:val="single" w:color="auto" w:sz="4" w:space="0"/>
              <w:bottom w:val="single" w:color="auto" w:sz="4" w:space="0"/>
              <w:right w:val="single" w:color="auto" w:sz="4" w:space="0"/>
            </w:tcBorders>
          </w:tcPr>
          <w:p w14:paraId="38E3A45A">
            <w:pPr>
              <w:snapToGrid w:val="0"/>
              <w:spacing w:after="295" w:line="120" w:lineRule="exact"/>
              <w:outlineLvl w:val="0"/>
              <w:rPr>
                <w:rFonts w:hint="eastAsia" w:ascii="宋体" w:hAnsi="宋体"/>
                <w:sz w:val="24"/>
              </w:rPr>
            </w:pPr>
          </w:p>
        </w:tc>
        <w:tc>
          <w:tcPr>
            <w:tcW w:w="1423" w:type="dxa"/>
            <w:tcBorders>
              <w:top w:val="single" w:color="auto" w:sz="4" w:space="0"/>
              <w:left w:val="single" w:color="auto" w:sz="4" w:space="0"/>
              <w:bottom w:val="single" w:color="auto" w:sz="4" w:space="0"/>
              <w:right w:val="single" w:color="auto" w:sz="4" w:space="0"/>
            </w:tcBorders>
          </w:tcPr>
          <w:p w14:paraId="1024E61E">
            <w:pPr>
              <w:snapToGrid w:val="0"/>
              <w:spacing w:after="295" w:line="120" w:lineRule="exact"/>
              <w:outlineLvl w:val="0"/>
              <w:rPr>
                <w:rFonts w:hint="eastAsia" w:ascii="宋体" w:hAnsi="宋体"/>
                <w:sz w:val="24"/>
              </w:rPr>
            </w:pPr>
          </w:p>
        </w:tc>
      </w:tr>
      <w:tr w14:paraId="3433EC3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left w:val="single" w:color="auto" w:sz="4" w:space="0"/>
              <w:bottom w:val="single" w:color="auto" w:sz="4" w:space="0"/>
              <w:right w:val="single" w:color="auto" w:sz="4" w:space="0"/>
            </w:tcBorders>
            <w:vAlign w:val="center"/>
          </w:tcPr>
          <w:p w14:paraId="02F46FE5">
            <w:pPr>
              <w:rPr>
                <w:rFonts w:hint="eastAsia" w:ascii="宋体" w:hAnsi="宋体"/>
              </w:rPr>
            </w:pPr>
          </w:p>
        </w:tc>
        <w:tc>
          <w:tcPr>
            <w:tcW w:w="2280" w:type="dxa"/>
            <w:tcBorders>
              <w:top w:val="single" w:color="auto" w:sz="4" w:space="0"/>
              <w:left w:val="single" w:color="auto" w:sz="4" w:space="0"/>
              <w:bottom w:val="single" w:color="auto" w:sz="4" w:space="0"/>
              <w:right w:val="single" w:color="auto" w:sz="4" w:space="0"/>
            </w:tcBorders>
            <w:vAlign w:val="center"/>
          </w:tcPr>
          <w:p w14:paraId="76755C76">
            <w:pPr>
              <w:snapToGrid w:val="0"/>
              <w:spacing w:after="295" w:line="120" w:lineRule="exact"/>
              <w:outlineLvl w:val="0"/>
              <w:rPr>
                <w:rFonts w:hint="eastAsia" w:ascii="宋体" w:hAnsi="宋体"/>
                <w:sz w:val="24"/>
              </w:rPr>
            </w:pPr>
          </w:p>
        </w:tc>
        <w:tc>
          <w:tcPr>
            <w:tcW w:w="2040" w:type="dxa"/>
            <w:tcBorders>
              <w:top w:val="single" w:color="auto" w:sz="4" w:space="0"/>
              <w:left w:val="single" w:color="auto" w:sz="4" w:space="0"/>
              <w:bottom w:val="single" w:color="auto" w:sz="4" w:space="0"/>
              <w:right w:val="single" w:color="auto" w:sz="4" w:space="0"/>
            </w:tcBorders>
          </w:tcPr>
          <w:p w14:paraId="0F690486">
            <w:pPr>
              <w:snapToGrid w:val="0"/>
              <w:spacing w:after="295" w:line="120" w:lineRule="exact"/>
              <w:outlineLvl w:val="0"/>
              <w:rPr>
                <w:rFonts w:hint="eastAsia" w:ascii="宋体" w:hAnsi="宋体"/>
                <w:sz w:val="24"/>
              </w:rPr>
            </w:pPr>
          </w:p>
        </w:tc>
        <w:tc>
          <w:tcPr>
            <w:tcW w:w="1604" w:type="dxa"/>
            <w:tcBorders>
              <w:top w:val="single" w:color="auto" w:sz="4" w:space="0"/>
              <w:left w:val="single" w:color="auto" w:sz="4" w:space="0"/>
              <w:bottom w:val="single" w:color="auto" w:sz="4" w:space="0"/>
              <w:right w:val="single" w:color="auto" w:sz="4" w:space="0"/>
            </w:tcBorders>
          </w:tcPr>
          <w:p w14:paraId="4ADF3137">
            <w:pPr>
              <w:snapToGrid w:val="0"/>
              <w:spacing w:after="295" w:line="120" w:lineRule="exact"/>
              <w:outlineLvl w:val="0"/>
              <w:rPr>
                <w:rFonts w:hint="eastAsia" w:ascii="宋体" w:hAnsi="宋体"/>
                <w:sz w:val="24"/>
              </w:rPr>
            </w:pPr>
          </w:p>
        </w:tc>
        <w:tc>
          <w:tcPr>
            <w:tcW w:w="1423" w:type="dxa"/>
            <w:tcBorders>
              <w:top w:val="single" w:color="auto" w:sz="4" w:space="0"/>
              <w:left w:val="single" w:color="auto" w:sz="4" w:space="0"/>
              <w:bottom w:val="single" w:color="auto" w:sz="4" w:space="0"/>
              <w:right w:val="single" w:color="auto" w:sz="4" w:space="0"/>
            </w:tcBorders>
          </w:tcPr>
          <w:p w14:paraId="6F6FEF15">
            <w:pPr>
              <w:snapToGrid w:val="0"/>
              <w:spacing w:after="295" w:line="120" w:lineRule="exact"/>
              <w:outlineLvl w:val="0"/>
              <w:rPr>
                <w:rFonts w:hint="eastAsia" w:ascii="宋体" w:hAnsi="宋体"/>
                <w:sz w:val="24"/>
              </w:rPr>
            </w:pPr>
          </w:p>
        </w:tc>
      </w:tr>
      <w:tr w14:paraId="04848E0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left w:val="single" w:color="auto" w:sz="4" w:space="0"/>
              <w:bottom w:val="single" w:color="auto" w:sz="4" w:space="0"/>
              <w:right w:val="single" w:color="auto" w:sz="4" w:space="0"/>
            </w:tcBorders>
            <w:vAlign w:val="center"/>
          </w:tcPr>
          <w:p w14:paraId="46FAEADA">
            <w:pPr>
              <w:rPr>
                <w:rFonts w:hint="eastAsia" w:ascii="宋体" w:hAnsi="宋体"/>
              </w:rPr>
            </w:pPr>
          </w:p>
        </w:tc>
        <w:tc>
          <w:tcPr>
            <w:tcW w:w="2280" w:type="dxa"/>
            <w:tcBorders>
              <w:top w:val="single" w:color="auto" w:sz="4" w:space="0"/>
              <w:left w:val="single" w:color="auto" w:sz="4" w:space="0"/>
              <w:bottom w:val="single" w:color="auto" w:sz="4" w:space="0"/>
              <w:right w:val="single" w:color="auto" w:sz="4" w:space="0"/>
            </w:tcBorders>
            <w:vAlign w:val="center"/>
          </w:tcPr>
          <w:p w14:paraId="23108F5A">
            <w:pPr>
              <w:snapToGrid w:val="0"/>
              <w:spacing w:after="295" w:line="120" w:lineRule="exact"/>
              <w:outlineLvl w:val="0"/>
              <w:rPr>
                <w:rFonts w:hint="eastAsia" w:ascii="宋体" w:hAnsi="宋体"/>
                <w:sz w:val="24"/>
              </w:rPr>
            </w:pPr>
          </w:p>
        </w:tc>
        <w:tc>
          <w:tcPr>
            <w:tcW w:w="2040" w:type="dxa"/>
            <w:tcBorders>
              <w:top w:val="single" w:color="auto" w:sz="4" w:space="0"/>
              <w:left w:val="single" w:color="auto" w:sz="4" w:space="0"/>
              <w:bottom w:val="single" w:color="auto" w:sz="4" w:space="0"/>
              <w:right w:val="single" w:color="auto" w:sz="4" w:space="0"/>
            </w:tcBorders>
          </w:tcPr>
          <w:p w14:paraId="4D584796">
            <w:pPr>
              <w:snapToGrid w:val="0"/>
              <w:spacing w:after="295" w:line="120" w:lineRule="exact"/>
              <w:outlineLvl w:val="0"/>
              <w:rPr>
                <w:rFonts w:hint="eastAsia" w:ascii="宋体" w:hAnsi="宋体"/>
                <w:sz w:val="24"/>
              </w:rPr>
            </w:pPr>
          </w:p>
        </w:tc>
        <w:tc>
          <w:tcPr>
            <w:tcW w:w="1604" w:type="dxa"/>
            <w:tcBorders>
              <w:top w:val="single" w:color="auto" w:sz="4" w:space="0"/>
              <w:left w:val="single" w:color="auto" w:sz="4" w:space="0"/>
              <w:bottom w:val="single" w:color="auto" w:sz="4" w:space="0"/>
              <w:right w:val="single" w:color="auto" w:sz="4" w:space="0"/>
            </w:tcBorders>
          </w:tcPr>
          <w:p w14:paraId="4EBF21CE">
            <w:pPr>
              <w:snapToGrid w:val="0"/>
              <w:spacing w:after="295" w:line="120" w:lineRule="exact"/>
              <w:outlineLvl w:val="0"/>
              <w:rPr>
                <w:rFonts w:hint="eastAsia" w:ascii="宋体" w:hAnsi="宋体"/>
                <w:sz w:val="24"/>
              </w:rPr>
            </w:pPr>
          </w:p>
        </w:tc>
        <w:tc>
          <w:tcPr>
            <w:tcW w:w="1423" w:type="dxa"/>
            <w:tcBorders>
              <w:top w:val="single" w:color="auto" w:sz="4" w:space="0"/>
              <w:left w:val="single" w:color="auto" w:sz="4" w:space="0"/>
              <w:bottom w:val="single" w:color="auto" w:sz="4" w:space="0"/>
              <w:right w:val="single" w:color="auto" w:sz="4" w:space="0"/>
            </w:tcBorders>
          </w:tcPr>
          <w:p w14:paraId="1580AD49">
            <w:pPr>
              <w:snapToGrid w:val="0"/>
              <w:spacing w:after="295" w:line="120" w:lineRule="exact"/>
              <w:outlineLvl w:val="0"/>
              <w:rPr>
                <w:rFonts w:hint="eastAsia" w:ascii="宋体" w:hAnsi="宋体"/>
                <w:sz w:val="24"/>
              </w:rPr>
            </w:pPr>
          </w:p>
        </w:tc>
      </w:tr>
      <w:tr w14:paraId="0A33D03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left w:val="single" w:color="auto" w:sz="4" w:space="0"/>
              <w:bottom w:val="single" w:color="auto" w:sz="4" w:space="0"/>
              <w:right w:val="single" w:color="auto" w:sz="4" w:space="0"/>
            </w:tcBorders>
            <w:vAlign w:val="center"/>
          </w:tcPr>
          <w:p w14:paraId="6C4896F3">
            <w:pPr>
              <w:rPr>
                <w:rFonts w:hint="eastAsia" w:ascii="宋体" w:hAnsi="宋体"/>
              </w:rPr>
            </w:pPr>
          </w:p>
        </w:tc>
        <w:tc>
          <w:tcPr>
            <w:tcW w:w="2280" w:type="dxa"/>
            <w:tcBorders>
              <w:top w:val="single" w:color="auto" w:sz="4" w:space="0"/>
              <w:left w:val="single" w:color="auto" w:sz="4" w:space="0"/>
              <w:bottom w:val="single" w:color="auto" w:sz="4" w:space="0"/>
              <w:right w:val="single" w:color="auto" w:sz="4" w:space="0"/>
            </w:tcBorders>
            <w:vAlign w:val="center"/>
          </w:tcPr>
          <w:p w14:paraId="37D3D945">
            <w:pPr>
              <w:snapToGrid w:val="0"/>
              <w:spacing w:after="295" w:line="120" w:lineRule="exact"/>
              <w:outlineLvl w:val="0"/>
              <w:rPr>
                <w:rFonts w:hint="eastAsia" w:ascii="宋体" w:hAnsi="宋体"/>
                <w:sz w:val="24"/>
              </w:rPr>
            </w:pPr>
          </w:p>
        </w:tc>
        <w:tc>
          <w:tcPr>
            <w:tcW w:w="2040" w:type="dxa"/>
            <w:tcBorders>
              <w:top w:val="single" w:color="auto" w:sz="4" w:space="0"/>
              <w:left w:val="single" w:color="auto" w:sz="4" w:space="0"/>
              <w:bottom w:val="single" w:color="auto" w:sz="4" w:space="0"/>
              <w:right w:val="single" w:color="auto" w:sz="4" w:space="0"/>
            </w:tcBorders>
          </w:tcPr>
          <w:p w14:paraId="5543029C">
            <w:pPr>
              <w:snapToGrid w:val="0"/>
              <w:spacing w:after="295" w:line="120" w:lineRule="exact"/>
              <w:outlineLvl w:val="0"/>
              <w:rPr>
                <w:rFonts w:hint="eastAsia" w:ascii="宋体" w:hAnsi="宋体"/>
                <w:sz w:val="24"/>
              </w:rPr>
            </w:pPr>
          </w:p>
        </w:tc>
        <w:tc>
          <w:tcPr>
            <w:tcW w:w="1604" w:type="dxa"/>
            <w:tcBorders>
              <w:top w:val="single" w:color="auto" w:sz="4" w:space="0"/>
              <w:left w:val="single" w:color="auto" w:sz="4" w:space="0"/>
              <w:bottom w:val="single" w:color="auto" w:sz="4" w:space="0"/>
              <w:right w:val="single" w:color="auto" w:sz="4" w:space="0"/>
            </w:tcBorders>
          </w:tcPr>
          <w:p w14:paraId="06C7ECA6">
            <w:pPr>
              <w:snapToGrid w:val="0"/>
              <w:spacing w:after="295" w:line="120" w:lineRule="exact"/>
              <w:outlineLvl w:val="0"/>
              <w:rPr>
                <w:rFonts w:hint="eastAsia" w:ascii="宋体" w:hAnsi="宋体"/>
                <w:sz w:val="24"/>
              </w:rPr>
            </w:pPr>
          </w:p>
        </w:tc>
        <w:tc>
          <w:tcPr>
            <w:tcW w:w="1423" w:type="dxa"/>
            <w:tcBorders>
              <w:top w:val="single" w:color="auto" w:sz="4" w:space="0"/>
              <w:left w:val="single" w:color="auto" w:sz="4" w:space="0"/>
              <w:bottom w:val="single" w:color="auto" w:sz="4" w:space="0"/>
              <w:right w:val="single" w:color="auto" w:sz="4" w:space="0"/>
            </w:tcBorders>
          </w:tcPr>
          <w:p w14:paraId="3ECE44D7">
            <w:pPr>
              <w:snapToGrid w:val="0"/>
              <w:spacing w:after="295" w:line="120" w:lineRule="exact"/>
              <w:outlineLvl w:val="0"/>
              <w:rPr>
                <w:rFonts w:hint="eastAsia" w:ascii="宋体" w:hAnsi="宋体"/>
                <w:sz w:val="24"/>
              </w:rPr>
            </w:pPr>
          </w:p>
        </w:tc>
      </w:tr>
      <w:tr w14:paraId="0D2CEF1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left w:val="single" w:color="auto" w:sz="4" w:space="0"/>
              <w:bottom w:val="single" w:color="auto" w:sz="4" w:space="0"/>
              <w:right w:val="single" w:color="auto" w:sz="4" w:space="0"/>
            </w:tcBorders>
            <w:vAlign w:val="center"/>
          </w:tcPr>
          <w:p w14:paraId="00C774DF">
            <w:pPr>
              <w:rPr>
                <w:rFonts w:hint="eastAsia" w:ascii="宋体" w:hAnsi="宋体"/>
              </w:rPr>
            </w:pPr>
          </w:p>
        </w:tc>
        <w:tc>
          <w:tcPr>
            <w:tcW w:w="2280" w:type="dxa"/>
            <w:tcBorders>
              <w:top w:val="single" w:color="auto" w:sz="4" w:space="0"/>
              <w:left w:val="single" w:color="auto" w:sz="4" w:space="0"/>
              <w:bottom w:val="single" w:color="auto" w:sz="4" w:space="0"/>
              <w:right w:val="single" w:color="auto" w:sz="4" w:space="0"/>
            </w:tcBorders>
            <w:vAlign w:val="center"/>
          </w:tcPr>
          <w:p w14:paraId="7EDB4CE6">
            <w:pPr>
              <w:snapToGrid w:val="0"/>
              <w:spacing w:after="295" w:line="120" w:lineRule="exact"/>
              <w:outlineLvl w:val="0"/>
              <w:rPr>
                <w:rFonts w:hint="eastAsia" w:ascii="宋体" w:hAnsi="宋体"/>
                <w:sz w:val="24"/>
              </w:rPr>
            </w:pPr>
          </w:p>
        </w:tc>
        <w:tc>
          <w:tcPr>
            <w:tcW w:w="2040" w:type="dxa"/>
            <w:tcBorders>
              <w:top w:val="single" w:color="auto" w:sz="4" w:space="0"/>
              <w:left w:val="single" w:color="auto" w:sz="4" w:space="0"/>
              <w:bottom w:val="single" w:color="auto" w:sz="4" w:space="0"/>
              <w:right w:val="single" w:color="auto" w:sz="4" w:space="0"/>
            </w:tcBorders>
          </w:tcPr>
          <w:p w14:paraId="3E22151B">
            <w:pPr>
              <w:snapToGrid w:val="0"/>
              <w:spacing w:after="295" w:line="120" w:lineRule="exact"/>
              <w:outlineLvl w:val="0"/>
              <w:rPr>
                <w:rFonts w:hint="eastAsia" w:ascii="宋体" w:hAnsi="宋体"/>
                <w:sz w:val="24"/>
              </w:rPr>
            </w:pPr>
          </w:p>
        </w:tc>
        <w:tc>
          <w:tcPr>
            <w:tcW w:w="1604" w:type="dxa"/>
            <w:tcBorders>
              <w:top w:val="single" w:color="auto" w:sz="4" w:space="0"/>
              <w:left w:val="single" w:color="auto" w:sz="4" w:space="0"/>
              <w:bottom w:val="single" w:color="auto" w:sz="4" w:space="0"/>
              <w:right w:val="single" w:color="auto" w:sz="4" w:space="0"/>
            </w:tcBorders>
          </w:tcPr>
          <w:p w14:paraId="3C90946F">
            <w:pPr>
              <w:snapToGrid w:val="0"/>
              <w:spacing w:after="295" w:line="120" w:lineRule="exact"/>
              <w:outlineLvl w:val="0"/>
              <w:rPr>
                <w:rFonts w:hint="eastAsia" w:ascii="宋体" w:hAnsi="宋体"/>
                <w:sz w:val="24"/>
              </w:rPr>
            </w:pPr>
          </w:p>
        </w:tc>
        <w:tc>
          <w:tcPr>
            <w:tcW w:w="1423" w:type="dxa"/>
            <w:tcBorders>
              <w:top w:val="single" w:color="auto" w:sz="4" w:space="0"/>
              <w:left w:val="single" w:color="auto" w:sz="4" w:space="0"/>
              <w:bottom w:val="single" w:color="auto" w:sz="4" w:space="0"/>
              <w:right w:val="single" w:color="auto" w:sz="4" w:space="0"/>
            </w:tcBorders>
          </w:tcPr>
          <w:p w14:paraId="119B482F">
            <w:pPr>
              <w:snapToGrid w:val="0"/>
              <w:spacing w:after="295" w:line="120" w:lineRule="exact"/>
              <w:outlineLvl w:val="0"/>
              <w:rPr>
                <w:rFonts w:hint="eastAsia" w:ascii="宋体" w:hAnsi="宋体"/>
                <w:sz w:val="24"/>
              </w:rPr>
            </w:pPr>
          </w:p>
        </w:tc>
      </w:tr>
      <w:tr w14:paraId="6306AD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668" w:type="dxa"/>
            <w:tcBorders>
              <w:top w:val="single" w:color="auto" w:sz="4" w:space="0"/>
              <w:left w:val="single" w:color="auto" w:sz="4" w:space="0"/>
              <w:bottom w:val="single" w:color="auto" w:sz="4" w:space="0"/>
              <w:right w:val="single" w:color="auto" w:sz="4" w:space="0"/>
            </w:tcBorders>
            <w:vAlign w:val="center"/>
          </w:tcPr>
          <w:p w14:paraId="0FDD3228">
            <w:pPr>
              <w:rPr>
                <w:rFonts w:hint="eastAsia" w:ascii="宋体" w:hAnsi="宋体"/>
              </w:rPr>
            </w:pPr>
          </w:p>
        </w:tc>
        <w:tc>
          <w:tcPr>
            <w:tcW w:w="2280" w:type="dxa"/>
            <w:tcBorders>
              <w:top w:val="single" w:color="auto" w:sz="4" w:space="0"/>
              <w:left w:val="single" w:color="auto" w:sz="4" w:space="0"/>
              <w:bottom w:val="single" w:color="auto" w:sz="4" w:space="0"/>
              <w:right w:val="single" w:color="auto" w:sz="4" w:space="0"/>
            </w:tcBorders>
            <w:vAlign w:val="center"/>
          </w:tcPr>
          <w:p w14:paraId="33D9D21E">
            <w:pPr>
              <w:snapToGrid w:val="0"/>
              <w:spacing w:after="295" w:line="120" w:lineRule="exact"/>
              <w:outlineLvl w:val="0"/>
              <w:rPr>
                <w:rFonts w:hint="eastAsia" w:ascii="宋体" w:hAnsi="宋体"/>
                <w:sz w:val="24"/>
              </w:rPr>
            </w:pPr>
          </w:p>
        </w:tc>
        <w:tc>
          <w:tcPr>
            <w:tcW w:w="2040" w:type="dxa"/>
            <w:tcBorders>
              <w:top w:val="single" w:color="auto" w:sz="4" w:space="0"/>
              <w:left w:val="single" w:color="auto" w:sz="4" w:space="0"/>
              <w:bottom w:val="single" w:color="auto" w:sz="4" w:space="0"/>
              <w:right w:val="single" w:color="auto" w:sz="4" w:space="0"/>
            </w:tcBorders>
          </w:tcPr>
          <w:p w14:paraId="465E9B78">
            <w:pPr>
              <w:snapToGrid w:val="0"/>
              <w:spacing w:after="295" w:line="120" w:lineRule="exact"/>
              <w:outlineLvl w:val="0"/>
              <w:rPr>
                <w:rFonts w:hint="eastAsia" w:ascii="宋体" w:hAnsi="宋体"/>
                <w:sz w:val="24"/>
              </w:rPr>
            </w:pPr>
          </w:p>
        </w:tc>
        <w:tc>
          <w:tcPr>
            <w:tcW w:w="1604" w:type="dxa"/>
            <w:tcBorders>
              <w:top w:val="single" w:color="auto" w:sz="4" w:space="0"/>
              <w:left w:val="single" w:color="auto" w:sz="4" w:space="0"/>
              <w:bottom w:val="single" w:color="auto" w:sz="4" w:space="0"/>
              <w:right w:val="single" w:color="auto" w:sz="4" w:space="0"/>
            </w:tcBorders>
          </w:tcPr>
          <w:p w14:paraId="367F2AE1">
            <w:pPr>
              <w:snapToGrid w:val="0"/>
              <w:spacing w:after="295" w:line="120" w:lineRule="exact"/>
              <w:outlineLvl w:val="0"/>
              <w:rPr>
                <w:rFonts w:hint="eastAsia" w:ascii="宋体" w:hAnsi="宋体"/>
                <w:sz w:val="24"/>
              </w:rPr>
            </w:pPr>
          </w:p>
        </w:tc>
        <w:tc>
          <w:tcPr>
            <w:tcW w:w="1423" w:type="dxa"/>
            <w:tcBorders>
              <w:top w:val="single" w:color="auto" w:sz="4" w:space="0"/>
              <w:left w:val="single" w:color="auto" w:sz="4" w:space="0"/>
              <w:bottom w:val="single" w:color="auto" w:sz="4" w:space="0"/>
              <w:right w:val="single" w:color="auto" w:sz="4" w:space="0"/>
            </w:tcBorders>
          </w:tcPr>
          <w:p w14:paraId="479CBCE0">
            <w:pPr>
              <w:snapToGrid w:val="0"/>
              <w:spacing w:after="295" w:line="120" w:lineRule="exact"/>
              <w:outlineLvl w:val="0"/>
              <w:rPr>
                <w:rFonts w:hint="eastAsia" w:ascii="宋体" w:hAnsi="宋体"/>
                <w:sz w:val="24"/>
              </w:rPr>
            </w:pPr>
          </w:p>
        </w:tc>
      </w:tr>
    </w:tbl>
    <w:p w14:paraId="123F9B36">
      <w:pPr>
        <w:snapToGrid w:val="0"/>
        <w:spacing w:before="50" w:after="50"/>
        <w:rPr>
          <w:rFonts w:hint="eastAsia" w:ascii="宋体" w:hAnsi="宋体"/>
          <w:b/>
        </w:rPr>
      </w:pPr>
    </w:p>
    <w:p w14:paraId="2D32100E">
      <w:pPr>
        <w:snapToGrid w:val="0"/>
        <w:spacing w:before="50" w:after="50"/>
        <w:rPr>
          <w:rFonts w:hint="eastAsia" w:ascii="宋体" w:hAnsi="宋体"/>
          <w:b/>
          <w:spacing w:val="20"/>
          <w:sz w:val="24"/>
        </w:rPr>
      </w:pPr>
    </w:p>
    <w:p w14:paraId="749EADB8">
      <w:pPr>
        <w:snapToGrid w:val="0"/>
        <w:spacing w:before="50" w:after="50"/>
        <w:rPr>
          <w:rFonts w:hint="eastAsia" w:ascii="宋体" w:hAnsi="宋体"/>
        </w:rPr>
      </w:pPr>
    </w:p>
    <w:p w14:paraId="067B545F">
      <w:pPr>
        <w:snapToGrid w:val="0"/>
        <w:ind w:left="2" w:right="-817" w:rightChars="-389"/>
        <w:rPr>
          <w:rFonts w:hint="eastAsia" w:ascii="宋体" w:hAnsi="宋体"/>
        </w:rPr>
      </w:pPr>
    </w:p>
    <w:p w14:paraId="446082F9">
      <w:pPr>
        <w:snapToGrid w:val="0"/>
        <w:spacing w:before="50" w:after="50"/>
        <w:rPr>
          <w:rFonts w:hint="eastAsia" w:ascii="宋体" w:hAnsi="宋体"/>
          <w:sz w:val="24"/>
        </w:rPr>
      </w:pPr>
      <w:r>
        <w:rPr>
          <w:rFonts w:hint="eastAsia" w:ascii="宋体" w:hAnsi="宋体"/>
        </w:rPr>
        <w:t>投标人名称（盖章）：</w:t>
      </w:r>
      <w:r>
        <w:rPr>
          <w:rFonts w:hint="eastAsia" w:ascii="宋体" w:hAnsi="宋体"/>
          <w:spacing w:val="20"/>
        </w:rPr>
        <w:t>日期：</w:t>
      </w:r>
    </w:p>
    <w:p w14:paraId="458D68B8">
      <w:pPr>
        <w:snapToGrid w:val="0"/>
        <w:spacing w:before="50" w:after="156" w:afterLines="50"/>
        <w:jc w:val="left"/>
        <w:rPr>
          <w:rFonts w:hint="eastAsia" w:ascii="宋体" w:hAnsi="宋体"/>
          <w:b/>
          <w:sz w:val="24"/>
        </w:rPr>
      </w:pPr>
    </w:p>
    <w:p w14:paraId="5CF721A6">
      <w:pPr>
        <w:snapToGrid w:val="0"/>
        <w:spacing w:before="50" w:after="156" w:afterLines="50"/>
        <w:jc w:val="left"/>
        <w:rPr>
          <w:rFonts w:hint="eastAsia" w:ascii="宋体" w:hAnsi="宋体"/>
          <w:b/>
          <w:sz w:val="24"/>
        </w:rPr>
      </w:pPr>
    </w:p>
    <w:p w14:paraId="0FD2D019">
      <w:pPr>
        <w:rPr>
          <w:rFonts w:ascii="Calibri" w:hAnsi="Calibri"/>
        </w:rPr>
      </w:pPr>
    </w:p>
    <w:p w14:paraId="4F19B61A">
      <w:pPr>
        <w:pStyle w:val="59"/>
        <w:rPr>
          <w:rFonts w:ascii="Calibri" w:hAnsi="Calibri"/>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2OcuAe">
    <w:altName w:val="MingLiU-ExtB"/>
    <w:panose1 w:val="00000000000000000000"/>
    <w:charset w:val="88"/>
    <w:family w:val="auto"/>
    <w:pitch w:val="default"/>
    <w:sig w:usb0="00000000" w:usb1="00000000" w:usb2="00000010" w:usb3="00000000" w:csb0="00100000"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使用中文字体)">
    <w:altName w:val="宋体"/>
    <w:panose1 w:val="00000000000000000000"/>
    <w:charset w:val="86"/>
    <w:family w:val="roman"/>
    <w:pitch w:val="default"/>
    <w:sig w:usb0="00000000" w:usb1="00000000" w:usb2="00000010" w:usb3="00000000" w:csb0="00040000" w:csb1="00000000"/>
  </w:font>
  <w:font w:name="Marlett">
    <w:panose1 w:val="00000000000000000000"/>
    <w:charset w:val="02"/>
    <w:family w:val="auto"/>
    <w:pitch w:val="default"/>
    <w:sig w:usb0="00000000" w:usb1="00000000" w:usb2="00000000" w:usb3="00000000" w:csb0="80000000"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Algerian">
    <w:panose1 w:val="04020705040A02060702"/>
    <w:charset w:val="00"/>
    <w:family w:val="decorative"/>
    <w:pitch w:val="default"/>
    <w:sig w:usb0="00000003" w:usb1="00000000" w:usb2="00000000" w:usb3="00000000" w:csb0="20000001" w:csb1="00000000"/>
  </w:font>
  <w:font w:name="Arial Narrow">
    <w:panose1 w:val="020B0606020202030204"/>
    <w:charset w:val="00"/>
    <w:family w:val="swiss"/>
    <w:pitch w:val="default"/>
    <w:sig w:usb0="00000287" w:usb1="00000800" w:usb2="00000000" w:usb3="00000000" w:csb0="2000009F" w:csb1="DFD7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黑体简体">
    <w:altName w:val="微软雅黑"/>
    <w:panose1 w:val="00000000000000000000"/>
    <w:charset w:val="86"/>
    <w:family w:val="auto"/>
    <w:pitch w:val="default"/>
    <w:sig w:usb0="00000000" w:usb1="00000000" w:usb2="00000010" w:usb3="00000000" w:csb0="00040000" w:csb1="00000000"/>
  </w:font>
  <w:font w:name="Chiller">
    <w:panose1 w:val="04020404031007020602"/>
    <w:charset w:val="00"/>
    <w:family w:val="decorative"/>
    <w:pitch w:val="default"/>
    <w:sig w:usb0="00000003" w:usb1="00000000" w:usb2="00000000" w:usb3="00000000" w:csb0="20000001" w:csb1="00000000"/>
  </w:font>
  <w:font w:name="Arial Unicode MS">
    <w:altName w:val="宋体"/>
    <w:panose1 w:val="020B0604020202020204"/>
    <w:charset w:val="86"/>
    <w:family w:val="roman"/>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方正大黑简体">
    <w:altName w:val="黑体"/>
    <w:panose1 w:val="00000000000000000000"/>
    <w:charset w:val="86"/>
    <w:family w:val="auto"/>
    <w:pitch w:val="default"/>
    <w:sig w:usb0="00000000" w:usb1="00000000" w:usb2="00000010" w:usb3="00000000" w:csb0="00040000" w:csb1="00000000"/>
  </w:font>
  <w:font w:name="Century Gothic">
    <w:panose1 w:val="020B0502020202020204"/>
    <w:charset w:val="00"/>
    <w:family w:val="swiss"/>
    <w:pitch w:val="default"/>
    <w:sig w:usb0="00000287" w:usb1="00000000" w:usb2="00000000" w:usb3="00000000" w:csb0="2000009F" w:csb1="DFD70000"/>
  </w:font>
  <w:font w:name="???">
    <w:altName w:val="微软雅黑"/>
    <w:panose1 w:val="00000000000000000000"/>
    <w:charset w:val="00"/>
    <w:family w:val="roman"/>
    <w:pitch w:val="default"/>
    <w:sig w:usb0="00000000" w:usb1="00000000" w:usb2="00000000"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Stone Sans">
    <w:altName w:val="宋体"/>
    <w:panose1 w:val="00000000000000000000"/>
    <w:charset w:val="86"/>
    <w:family w:val="auto"/>
    <w:pitch w:val="default"/>
    <w:sig w:usb0="00000000" w:usb1="00000000" w:usb2="00000010" w:usb3="00000000" w:csb0="00040000" w:csb1="00000000"/>
  </w:font>
  <w:font w:name="華康細圓體">
    <w:altName w:val="Microsoft JhengHei"/>
    <w:panose1 w:val="00000000000000000000"/>
    <w:charset w:val="88"/>
    <w:family w:val="auto"/>
    <w:pitch w:val="default"/>
    <w:sig w:usb0="00000000" w:usb1="00000000" w:usb2="00000010" w:usb3="00000000" w:csb0="00100000" w:csb1="00000000"/>
  </w:font>
  <w:font w:name="文鼎粗黑">
    <w:altName w:val="黑体"/>
    <w:panose1 w:val="00000000000000000000"/>
    <w:charset w:val="86"/>
    <w:family w:val="auto"/>
    <w:pitch w:val="default"/>
    <w:sig w:usb0="00000000" w:usb1="00000000" w:usb2="00000010" w:usb3="00000000" w:csb0="00040000" w:csb1="00000000"/>
  </w:font>
  <w:font w:name="H Yg 2gj">
    <w:altName w:val="宋体"/>
    <w:panose1 w:val="00000000000000000000"/>
    <w:charset w:val="86"/>
    <w:family w:val="swiss"/>
    <w:pitch w:val="default"/>
    <w:sig w:usb0="00000000" w:usb1="00000000" w:usb2="00000010" w:usb3="00000000" w:csb0="00040000" w:csb1="00000000"/>
  </w:font>
  <w:font w:name="PMingLiU">
    <w:altName w:val="Microsoft JhengHei UI"/>
    <w:panose1 w:val="02010601000101010101"/>
    <w:charset w:val="88"/>
    <w:family w:val="roman"/>
    <w:pitch w:val="default"/>
    <w:sig w:usb0="00000000" w:usb1="00000000" w:usb2="00000016" w:usb3="00000000" w:csb0="00100001" w:csb1="00000000"/>
  </w:font>
  <w:font w:name="HP Simplified Hans Light">
    <w:altName w:val="宋体"/>
    <w:panose1 w:val="00000000000000000000"/>
    <w:charset w:val="86"/>
    <w:family w:val="swiss"/>
    <w:pitch w:val="default"/>
    <w:sig w:usb0="00000000" w:usb1="00000000" w:usb2="00000010" w:usb3="00000000" w:csb0="00040000" w:csb1="00000000"/>
  </w:font>
  <w:font w:name="華康粗圓體">
    <w:altName w:val="Microsoft JhengHei"/>
    <w:panose1 w:val="00000000000000000000"/>
    <w:charset w:val="88"/>
    <w:family w:val="auto"/>
    <w:pitch w:val="default"/>
    <w:sig w:usb0="00000000" w:usb1="00000000" w:usb2="00000010" w:usb3="00000000" w:csb0="00100000" w:csb1="00000000"/>
  </w:font>
  <w:font w:name="Calibri Light">
    <w:panose1 w:val="020F0302020204030204"/>
    <w:charset w:val="00"/>
    <w:family w:val="swiss"/>
    <w:pitch w:val="default"/>
    <w:sig w:usb0="E4002EFF" w:usb1="C000247B" w:usb2="00000009" w:usb3="00000000" w:csb0="200001FF" w:csb1="00000000"/>
  </w:font>
  <w:font w:name="华文新魏">
    <w:panose1 w:val="02010800040101010101"/>
    <w:charset w:val="86"/>
    <w:family w:val="auto"/>
    <w:pitch w:val="default"/>
    <w:sig w:usb0="00000001" w:usb1="080F0000" w:usb2="00000000" w:usb3="00000000" w:csb0="00040000" w:csb1="00000000"/>
  </w:font>
  <w:font w:name="创艺简标宋">
    <w:altName w:val="黑体"/>
    <w:panose1 w:val="00000000000000000000"/>
    <w:charset w:val="86"/>
    <w:family w:val="auto"/>
    <w:pitch w:val="default"/>
    <w:sig w:usb0="00000000" w:usb1="00000000" w:usb2="00000010" w:usb3="00000000" w:csb0="00040000" w:csb1="00000000"/>
  </w:font>
  <w:font w:name="MingLiU-ExtB">
    <w:panose1 w:val="02020500000000000000"/>
    <w:charset w:val="88"/>
    <w:family w:val="auto"/>
    <w:pitch w:val="default"/>
    <w:sig w:usb0="8000002F" w:usb1="02000008" w:usb2="00000000" w:usb3="00000000" w:csb0="0010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Microsoft JhengHei">
    <w:panose1 w:val="020B0604030504040204"/>
    <w:charset w:val="88"/>
    <w:family w:val="auto"/>
    <w:pitch w:val="default"/>
    <w:sig w:usb0="000002A7" w:usb1="28CF4400" w:usb2="00000016" w:usb3="00000000" w:csb0="00100009"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33785737"/>
    </w:sdtPr>
    <w:sdtContent>
      <w:p w14:paraId="041E99D7">
        <w:pPr>
          <w:pStyle w:val="41"/>
          <w:jc w:val="right"/>
        </w:pPr>
        <w:r>
          <w:fldChar w:fldCharType="begin"/>
        </w:r>
        <w:r>
          <w:instrText xml:space="preserve">PAGE   \* MERGEFORMAT</w:instrText>
        </w:r>
        <w:r>
          <w:fldChar w:fldCharType="separate"/>
        </w:r>
        <w:r>
          <w:rPr>
            <w:lang w:val="zh-CN"/>
          </w:rPr>
          <w:t>2</w:t>
        </w:r>
        <w:r>
          <w:fldChar w:fldCharType="end"/>
        </w:r>
      </w:p>
    </w:sdtContent>
  </w:sdt>
  <w:p w14:paraId="25007A71">
    <w:pPr>
      <w:pStyle w:val="4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523EFE">
    <w:pPr>
      <w:pStyle w:val="42"/>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decimal"/>
      <w:pStyle w:val="27"/>
      <w:lvlText w:val="%1."/>
      <w:lvlJc w:val="left"/>
      <w:pPr>
        <w:tabs>
          <w:tab w:val="left" w:pos="360"/>
        </w:tabs>
        <w:ind w:left="360" w:hanging="360"/>
      </w:pPr>
      <w:rPr>
        <w:rFonts w:cs="Times New Roman"/>
      </w:rPr>
    </w:lvl>
  </w:abstractNum>
  <w:abstractNum w:abstractNumId="1">
    <w:nsid w:val="00000002"/>
    <w:multiLevelType w:val="singleLevel"/>
    <w:tmpl w:val="00000002"/>
    <w:lvl w:ilvl="0" w:tentative="0">
      <w:start w:val="1"/>
      <w:numFmt w:val="bullet"/>
      <w:pStyle w:val="139"/>
      <w:lvlText w:val=""/>
      <w:lvlJc w:val="left"/>
      <w:pPr>
        <w:tabs>
          <w:tab w:val="left" w:pos="360"/>
        </w:tabs>
        <w:ind w:left="360" w:hanging="360"/>
      </w:pPr>
      <w:rPr>
        <w:rFonts w:hint="default" w:ascii="Wingdings" w:hAnsi="Wingdings"/>
      </w:rPr>
    </w:lvl>
  </w:abstractNum>
  <w:abstractNum w:abstractNumId="2">
    <w:nsid w:val="00000003"/>
    <w:multiLevelType w:val="multilevel"/>
    <w:tmpl w:val="00000003"/>
    <w:lvl w:ilvl="0" w:tentative="0">
      <w:start w:val="1"/>
      <w:numFmt w:val="japaneseCounting"/>
      <w:lvlText w:val="（%1）"/>
      <w:lvlJc w:val="left"/>
      <w:pPr>
        <w:tabs>
          <w:tab w:val="left" w:pos="735"/>
        </w:tabs>
        <w:ind w:left="735" w:hanging="735"/>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
    <w:nsid w:val="00000004"/>
    <w:multiLevelType w:val="multilevel"/>
    <w:tmpl w:val="00000004"/>
    <w:lvl w:ilvl="0" w:tentative="0">
      <w:start w:val="1"/>
      <w:numFmt w:val="japaneseCounting"/>
      <w:lvlText w:val="第%1章"/>
      <w:lvlJc w:val="left"/>
      <w:pPr>
        <w:tabs>
          <w:tab w:val="left" w:pos="1440"/>
        </w:tabs>
        <w:ind w:left="1440" w:hanging="1275"/>
      </w:pPr>
      <w:rPr>
        <w:rFonts w:cs="Times New Roman"/>
      </w:rPr>
    </w:lvl>
    <w:lvl w:ilvl="1" w:tentative="0">
      <w:start w:val="1"/>
      <w:numFmt w:val="japaneseCounting"/>
      <w:lvlText w:val="%2、"/>
      <w:lvlJc w:val="left"/>
      <w:pPr>
        <w:tabs>
          <w:tab w:val="left" w:pos="1305"/>
        </w:tabs>
        <w:ind w:left="1305" w:hanging="720"/>
      </w:pPr>
      <w:rPr>
        <w:rFonts w:cs="Times New Roman"/>
      </w:rPr>
    </w:lvl>
    <w:lvl w:ilvl="2" w:tentative="0">
      <w:start w:val="1"/>
      <w:numFmt w:val="lowerRoman"/>
      <w:lvlText w:val="%3."/>
      <w:lvlJc w:val="right"/>
      <w:pPr>
        <w:tabs>
          <w:tab w:val="left" w:pos="1425"/>
        </w:tabs>
        <w:ind w:left="1425" w:hanging="420"/>
      </w:pPr>
      <w:rPr>
        <w:rFonts w:cs="Times New Roman"/>
      </w:rPr>
    </w:lvl>
    <w:lvl w:ilvl="3" w:tentative="0">
      <w:start w:val="1"/>
      <w:numFmt w:val="decimal"/>
      <w:lvlText w:val="%4."/>
      <w:lvlJc w:val="left"/>
      <w:pPr>
        <w:tabs>
          <w:tab w:val="left" w:pos="1845"/>
        </w:tabs>
        <w:ind w:left="1845" w:hanging="420"/>
      </w:pPr>
      <w:rPr>
        <w:rFonts w:cs="Times New Roman"/>
      </w:rPr>
    </w:lvl>
    <w:lvl w:ilvl="4" w:tentative="0">
      <w:start w:val="1"/>
      <w:numFmt w:val="lowerLetter"/>
      <w:lvlText w:val="%5)"/>
      <w:lvlJc w:val="left"/>
      <w:pPr>
        <w:tabs>
          <w:tab w:val="left" w:pos="2265"/>
        </w:tabs>
        <w:ind w:left="2265" w:hanging="420"/>
      </w:pPr>
      <w:rPr>
        <w:rFonts w:cs="Times New Roman"/>
      </w:rPr>
    </w:lvl>
    <w:lvl w:ilvl="5" w:tentative="0">
      <w:start w:val="1"/>
      <w:numFmt w:val="lowerRoman"/>
      <w:lvlText w:val="%6."/>
      <w:lvlJc w:val="right"/>
      <w:pPr>
        <w:tabs>
          <w:tab w:val="left" w:pos="2685"/>
        </w:tabs>
        <w:ind w:left="2685" w:hanging="420"/>
      </w:pPr>
      <w:rPr>
        <w:rFonts w:cs="Times New Roman"/>
      </w:rPr>
    </w:lvl>
    <w:lvl w:ilvl="6" w:tentative="0">
      <w:start w:val="1"/>
      <w:numFmt w:val="decimal"/>
      <w:lvlText w:val="%7."/>
      <w:lvlJc w:val="left"/>
      <w:pPr>
        <w:tabs>
          <w:tab w:val="left" w:pos="3105"/>
        </w:tabs>
        <w:ind w:left="3105" w:hanging="420"/>
      </w:pPr>
      <w:rPr>
        <w:rFonts w:cs="Times New Roman"/>
      </w:rPr>
    </w:lvl>
    <w:lvl w:ilvl="7" w:tentative="0">
      <w:start w:val="1"/>
      <w:numFmt w:val="lowerLetter"/>
      <w:lvlText w:val="%8)"/>
      <w:lvlJc w:val="left"/>
      <w:pPr>
        <w:tabs>
          <w:tab w:val="left" w:pos="3525"/>
        </w:tabs>
        <w:ind w:left="3525" w:hanging="420"/>
      </w:pPr>
      <w:rPr>
        <w:rFonts w:cs="Times New Roman"/>
      </w:rPr>
    </w:lvl>
    <w:lvl w:ilvl="8" w:tentative="0">
      <w:start w:val="1"/>
      <w:numFmt w:val="lowerRoman"/>
      <w:lvlText w:val="%9."/>
      <w:lvlJc w:val="right"/>
      <w:pPr>
        <w:tabs>
          <w:tab w:val="left" w:pos="3945"/>
        </w:tabs>
        <w:ind w:left="3945" w:hanging="420"/>
      </w:pPr>
      <w:rPr>
        <w:rFonts w:cs="Times New Roman"/>
      </w:rPr>
    </w:lvl>
  </w:abstractNum>
  <w:abstractNum w:abstractNumId="4">
    <w:nsid w:val="00000009"/>
    <w:multiLevelType w:val="multilevel"/>
    <w:tmpl w:val="00000009"/>
    <w:lvl w:ilvl="0" w:tentative="0">
      <w:start w:val="1"/>
      <w:numFmt w:val="japaneseCounting"/>
      <w:pStyle w:val="409"/>
      <w:suff w:val="nothing"/>
      <w:lvlText w:val="%1、"/>
      <w:lvlJc w:val="left"/>
      <w:pPr>
        <w:ind w:left="0" w:firstLine="0"/>
      </w:pPr>
      <w:rPr>
        <w:rFonts w:hint="eastAsia" w:ascii="宋体" w:eastAsia="宋体"/>
        <w:b/>
        <w:i w:val="0"/>
        <w:sz w:val="28"/>
      </w:rPr>
    </w:lvl>
    <w:lvl w:ilvl="1" w:tentative="0">
      <w:start w:val="1"/>
      <w:numFmt w:val="japaneseCounting"/>
      <w:pStyle w:val="407"/>
      <w:suff w:val="nothing"/>
      <w:lvlText w:val="（%2）"/>
      <w:lvlJc w:val="left"/>
      <w:pPr>
        <w:ind w:left="0" w:firstLine="0"/>
      </w:pPr>
      <w:rPr>
        <w:rFonts w:hint="eastAsia" w:ascii="宋体" w:eastAsia="宋体"/>
        <w:b/>
        <w:i w:val="0"/>
        <w:sz w:val="24"/>
      </w:rPr>
    </w:lvl>
    <w:lvl w:ilvl="2" w:tentative="0">
      <w:start w:val="1"/>
      <w:numFmt w:val="decimal"/>
      <w:pStyle w:val="405"/>
      <w:lvlText w:val="%1.%2.%3"/>
      <w:lvlJc w:val="left"/>
      <w:pPr>
        <w:ind w:left="0" w:firstLine="0"/>
      </w:pPr>
      <w:rPr>
        <w:rFonts w:hint="eastAsia" w:ascii="宋体" w:eastAsia="宋体"/>
        <w:b/>
        <w:i w:val="0"/>
        <w:sz w:val="24"/>
      </w:rPr>
    </w:lvl>
    <w:lvl w:ilvl="3" w:tentative="0">
      <w:start w:val="1"/>
      <w:numFmt w:val="decimal"/>
      <w:pStyle w:val="404"/>
      <w:lvlText w:val="%1.%2.%3.%4"/>
      <w:lvlJc w:val="left"/>
      <w:pPr>
        <w:ind w:left="0" w:firstLine="0"/>
      </w:pPr>
      <w:rPr>
        <w:rFonts w:hint="eastAsia" w:ascii="宋体" w:eastAsia="宋体"/>
        <w:b/>
        <w:i w:val="0"/>
        <w:sz w:val="21"/>
      </w:rPr>
    </w:lvl>
    <w:lvl w:ilvl="4" w:tentative="0">
      <w:start w:val="1"/>
      <w:numFmt w:val="lowerLetter"/>
      <w:pStyle w:val="713"/>
      <w:lvlText w:val="%5)"/>
      <w:lvlJc w:val="left"/>
      <w:pPr>
        <w:ind w:left="2520" w:hanging="420"/>
      </w:pPr>
      <w:rPr>
        <w:rFonts w:hint="eastAsia"/>
      </w:rPr>
    </w:lvl>
    <w:lvl w:ilvl="5" w:tentative="0">
      <w:start w:val="1"/>
      <w:numFmt w:val="lowerRoman"/>
      <w:lvlText w:val="%6."/>
      <w:lvlJc w:val="right"/>
      <w:pPr>
        <w:ind w:left="2940" w:hanging="420"/>
      </w:pPr>
      <w:rPr>
        <w:rFonts w:hint="eastAsia"/>
      </w:rPr>
    </w:lvl>
    <w:lvl w:ilvl="6" w:tentative="0">
      <w:start w:val="1"/>
      <w:numFmt w:val="decimal"/>
      <w:lvlText w:val="%7."/>
      <w:lvlJc w:val="left"/>
      <w:pPr>
        <w:ind w:left="3360" w:hanging="420"/>
      </w:pPr>
      <w:rPr>
        <w:rFonts w:hint="eastAsia"/>
      </w:rPr>
    </w:lvl>
    <w:lvl w:ilvl="7" w:tentative="0">
      <w:start w:val="1"/>
      <w:numFmt w:val="lowerLetter"/>
      <w:lvlText w:val="%8)"/>
      <w:lvlJc w:val="left"/>
      <w:pPr>
        <w:ind w:left="3780" w:hanging="420"/>
      </w:pPr>
      <w:rPr>
        <w:rFonts w:hint="eastAsia"/>
      </w:rPr>
    </w:lvl>
    <w:lvl w:ilvl="8" w:tentative="0">
      <w:start w:val="1"/>
      <w:numFmt w:val="lowerRoman"/>
      <w:lvlText w:val="%9."/>
      <w:lvlJc w:val="right"/>
      <w:pPr>
        <w:ind w:left="4200" w:hanging="420"/>
      </w:pPr>
      <w:rPr>
        <w:rFonts w:hint="eastAsia"/>
      </w:rPr>
    </w:lvl>
  </w:abstractNum>
  <w:abstractNum w:abstractNumId="5">
    <w:nsid w:val="0000000A"/>
    <w:multiLevelType w:val="multilevel"/>
    <w:tmpl w:val="0000000A"/>
    <w:lvl w:ilvl="0" w:tentative="0">
      <w:start w:val="1"/>
      <w:numFmt w:val="decimal"/>
      <w:pStyle w:val="381"/>
      <w:suff w:val="space"/>
      <w:lvlText w:val="%1."/>
      <w:lvlJc w:val="left"/>
      <w:pPr>
        <w:ind w:left="0" w:firstLine="403"/>
      </w:pPr>
      <w:rPr>
        <w:rFonts w:hint="eastAsia" w:ascii="宋体" w:eastAsia="宋体"/>
        <w:b/>
        <w:i w:val="0"/>
        <w:vanish/>
        <w:color w:val="000000"/>
        <w:spacing w:val="0"/>
        <w:w w:val="100"/>
        <w:kern w:val="0"/>
        <w:sz w:val="21"/>
        <w:u w:val="none"/>
        <w:vertAlign w:val="baseline"/>
      </w:rPr>
    </w:lvl>
    <w:lvl w:ilvl="1" w:tentative="0">
      <w:start w:val="1"/>
      <w:numFmt w:val="decimal"/>
      <w:suff w:val="space"/>
      <w:lvlText w:val="%1.%2"/>
      <w:lvlJc w:val="left"/>
      <w:pPr>
        <w:ind w:left="0" w:firstLine="403"/>
      </w:pPr>
      <w:rPr>
        <w:rFonts w:hint="eastAsia" w:ascii="宋体" w:eastAsia="宋体"/>
        <w:b w:val="0"/>
        <w:i w:val="0"/>
        <w:vanish/>
        <w:color w:val="000000"/>
        <w:sz w:val="21"/>
        <w:vertAlign w:val="baseline"/>
      </w:rPr>
    </w:lvl>
    <w:lvl w:ilvl="2" w:tentative="0">
      <w:start w:val="1"/>
      <w:numFmt w:val="decimal"/>
      <w:pStyle w:val="667"/>
      <w:suff w:val="nothing"/>
      <w:lvlText w:val="%1.%2.%3"/>
      <w:lvlJc w:val="left"/>
      <w:pPr>
        <w:ind w:left="0" w:firstLine="400"/>
      </w:pPr>
      <w:rPr>
        <w:rFonts w:hint="eastAsia" w:ascii="宋体" w:eastAsia="宋体"/>
        <w:b w:val="0"/>
        <w:i w:val="0"/>
        <w:sz w:val="21"/>
      </w:rPr>
    </w:lvl>
    <w:lvl w:ilvl="3" w:tentative="0">
      <w:start w:val="1"/>
      <w:numFmt w:val="decimal"/>
      <w:suff w:val="nothing"/>
      <w:lvlText w:val="%1.%2.%3.%4"/>
      <w:lvlJc w:val="left"/>
      <w:pPr>
        <w:ind w:left="0" w:firstLine="403"/>
      </w:pPr>
      <w:rPr>
        <w:rFonts w:hint="eastAsia"/>
      </w:rPr>
    </w:lvl>
    <w:lvl w:ilvl="4" w:tentative="0">
      <w:start w:val="1"/>
      <w:numFmt w:val="decimal"/>
      <w:suff w:val="nothing"/>
      <w:lvlText w:val="%1.%2.%3.%4.%5"/>
      <w:lvlJc w:val="left"/>
      <w:pPr>
        <w:ind w:left="0" w:firstLine="403"/>
      </w:pPr>
      <w:rPr>
        <w:rFonts w:hint="eastAsia"/>
      </w:rPr>
    </w:lvl>
    <w:lvl w:ilvl="5" w:tentative="0">
      <w:start w:val="1"/>
      <w:numFmt w:val="decimal"/>
      <w:suff w:val="nothing"/>
      <w:lvlText w:val="%1.%2.%3.%4.%5.%6"/>
      <w:lvlJc w:val="left"/>
      <w:pPr>
        <w:ind w:left="0" w:firstLine="403"/>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6">
    <w:nsid w:val="0AADC6A9"/>
    <w:multiLevelType w:val="singleLevel"/>
    <w:tmpl w:val="0AADC6A9"/>
    <w:lvl w:ilvl="0" w:tentative="0">
      <w:start w:val="2"/>
      <w:numFmt w:val="chineseCounting"/>
      <w:suff w:val="space"/>
      <w:lvlText w:val="第%1章"/>
      <w:lvlJc w:val="left"/>
      <w:rPr>
        <w:rFonts w:hint="eastAsia"/>
      </w:rPr>
    </w:lvl>
  </w:abstractNum>
  <w:abstractNum w:abstractNumId="7">
    <w:nsid w:val="0C34DE15"/>
    <w:multiLevelType w:val="singleLevel"/>
    <w:tmpl w:val="0C34DE15"/>
    <w:lvl w:ilvl="0" w:tentative="0">
      <w:start w:val="1"/>
      <w:numFmt w:val="decimal"/>
      <w:lvlText w:val="%1."/>
      <w:lvlJc w:val="left"/>
      <w:pPr>
        <w:tabs>
          <w:tab w:val="left" w:pos="312"/>
        </w:tabs>
      </w:pPr>
    </w:lvl>
  </w:abstractNum>
  <w:abstractNum w:abstractNumId="8">
    <w:nsid w:val="225A8346"/>
    <w:multiLevelType w:val="singleLevel"/>
    <w:tmpl w:val="225A8346"/>
    <w:lvl w:ilvl="0" w:tentative="0">
      <w:start w:val="1"/>
      <w:numFmt w:val="decimal"/>
      <w:lvlText w:val="%1."/>
      <w:lvlJc w:val="left"/>
      <w:pPr>
        <w:tabs>
          <w:tab w:val="left" w:pos="312"/>
        </w:tabs>
      </w:pPr>
    </w:lvl>
  </w:abstractNum>
  <w:abstractNum w:abstractNumId="9">
    <w:nsid w:val="2811445A"/>
    <w:multiLevelType w:val="multilevel"/>
    <w:tmpl w:val="2811445A"/>
    <w:lvl w:ilvl="0" w:tentative="0">
      <w:start w:val="1"/>
      <w:numFmt w:val="decimalEnclosedCircle"/>
      <w:pStyle w:val="154"/>
      <w:lvlText w:val="%1"/>
      <w:lvlJc w:val="left"/>
      <w:pPr>
        <w:tabs>
          <w:tab w:val="left" w:pos="840"/>
        </w:tabs>
        <w:ind w:left="840" w:hanging="360"/>
      </w:pPr>
      <w:rPr>
        <w:rFonts w:hint="eastAsia" w:ascii="宋体" w:hAnsi="宋体" w:eastAsia="Times New Roman" w:cs="Times New Roman"/>
      </w:rPr>
    </w:lvl>
    <w:lvl w:ilvl="1" w:tentative="0">
      <w:start w:val="1"/>
      <w:numFmt w:val="lowerLetter"/>
      <w:lvlText w:val="%2)"/>
      <w:lvlJc w:val="left"/>
      <w:pPr>
        <w:tabs>
          <w:tab w:val="left" w:pos="1320"/>
        </w:tabs>
        <w:ind w:left="1320" w:hanging="420"/>
      </w:pPr>
      <w:rPr>
        <w:rFonts w:cs="Times New Roman"/>
      </w:rPr>
    </w:lvl>
    <w:lvl w:ilvl="2" w:tentative="0">
      <w:start w:val="1"/>
      <w:numFmt w:val="lowerRoman"/>
      <w:lvlText w:val="%3."/>
      <w:lvlJc w:val="right"/>
      <w:pPr>
        <w:tabs>
          <w:tab w:val="left" w:pos="1740"/>
        </w:tabs>
        <w:ind w:left="1740" w:hanging="420"/>
      </w:pPr>
      <w:rPr>
        <w:rFonts w:cs="Times New Roman"/>
      </w:rPr>
    </w:lvl>
    <w:lvl w:ilvl="3" w:tentative="0">
      <w:start w:val="1"/>
      <w:numFmt w:val="decimal"/>
      <w:lvlText w:val="%4."/>
      <w:lvlJc w:val="left"/>
      <w:pPr>
        <w:tabs>
          <w:tab w:val="left" w:pos="2160"/>
        </w:tabs>
        <w:ind w:left="2160" w:hanging="420"/>
      </w:pPr>
      <w:rPr>
        <w:rFonts w:cs="Times New Roman"/>
      </w:rPr>
    </w:lvl>
    <w:lvl w:ilvl="4" w:tentative="0">
      <w:start w:val="1"/>
      <w:numFmt w:val="lowerLetter"/>
      <w:lvlText w:val="%5)"/>
      <w:lvlJc w:val="left"/>
      <w:pPr>
        <w:tabs>
          <w:tab w:val="left" w:pos="2580"/>
        </w:tabs>
        <w:ind w:left="2580" w:hanging="420"/>
      </w:pPr>
      <w:rPr>
        <w:rFonts w:cs="Times New Roman"/>
      </w:rPr>
    </w:lvl>
    <w:lvl w:ilvl="5" w:tentative="0">
      <w:start w:val="1"/>
      <w:numFmt w:val="lowerRoman"/>
      <w:lvlText w:val="%6."/>
      <w:lvlJc w:val="right"/>
      <w:pPr>
        <w:tabs>
          <w:tab w:val="left" w:pos="3000"/>
        </w:tabs>
        <w:ind w:left="3000" w:hanging="420"/>
      </w:pPr>
      <w:rPr>
        <w:rFonts w:cs="Times New Roman"/>
      </w:rPr>
    </w:lvl>
    <w:lvl w:ilvl="6" w:tentative="0">
      <w:start w:val="1"/>
      <w:numFmt w:val="decimal"/>
      <w:lvlText w:val="%7."/>
      <w:lvlJc w:val="left"/>
      <w:pPr>
        <w:tabs>
          <w:tab w:val="left" w:pos="3420"/>
        </w:tabs>
        <w:ind w:left="3420" w:hanging="420"/>
      </w:pPr>
      <w:rPr>
        <w:rFonts w:cs="Times New Roman"/>
      </w:rPr>
    </w:lvl>
    <w:lvl w:ilvl="7" w:tentative="0">
      <w:start w:val="1"/>
      <w:numFmt w:val="lowerLetter"/>
      <w:lvlText w:val="%8)"/>
      <w:lvlJc w:val="left"/>
      <w:pPr>
        <w:tabs>
          <w:tab w:val="left" w:pos="3840"/>
        </w:tabs>
        <w:ind w:left="3840" w:hanging="420"/>
      </w:pPr>
      <w:rPr>
        <w:rFonts w:cs="Times New Roman"/>
      </w:rPr>
    </w:lvl>
    <w:lvl w:ilvl="8" w:tentative="0">
      <w:start w:val="1"/>
      <w:numFmt w:val="lowerRoman"/>
      <w:lvlText w:val="%9."/>
      <w:lvlJc w:val="right"/>
      <w:pPr>
        <w:tabs>
          <w:tab w:val="left" w:pos="4260"/>
        </w:tabs>
        <w:ind w:left="4260" w:hanging="420"/>
      </w:pPr>
      <w:rPr>
        <w:rFonts w:cs="Times New Roman"/>
      </w:rPr>
    </w:lvl>
  </w:abstractNum>
  <w:abstractNum w:abstractNumId="10">
    <w:nsid w:val="35512D0E"/>
    <w:multiLevelType w:val="singleLevel"/>
    <w:tmpl w:val="35512D0E"/>
    <w:lvl w:ilvl="0" w:tentative="0">
      <w:start w:val="2"/>
      <w:numFmt w:val="chineseCounting"/>
      <w:suff w:val="nothing"/>
      <w:lvlText w:val="（%1）"/>
      <w:lvlJc w:val="left"/>
      <w:rPr>
        <w:rFonts w:hint="eastAsia"/>
      </w:rPr>
    </w:lvl>
  </w:abstractNum>
  <w:abstractNum w:abstractNumId="11">
    <w:nsid w:val="4DD4552D"/>
    <w:multiLevelType w:val="singleLevel"/>
    <w:tmpl w:val="4DD4552D"/>
    <w:lvl w:ilvl="0" w:tentative="0">
      <w:start w:val="1"/>
      <w:numFmt w:val="decimal"/>
      <w:lvlText w:val="%1."/>
      <w:lvlJc w:val="left"/>
      <w:pPr>
        <w:tabs>
          <w:tab w:val="left" w:pos="312"/>
        </w:tabs>
      </w:pPr>
    </w:lvl>
  </w:abstractNum>
  <w:abstractNum w:abstractNumId="12">
    <w:nsid w:val="6A5C2BDB"/>
    <w:multiLevelType w:val="multilevel"/>
    <w:tmpl w:val="6A5C2BDB"/>
    <w:lvl w:ilvl="0" w:tentative="0">
      <w:start w:val="2"/>
      <w:numFmt w:val="japaneseCounting"/>
      <w:lvlText w:val="（%1）"/>
      <w:lvlJc w:val="left"/>
      <w:pPr>
        <w:ind w:left="1140" w:hanging="7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1"/>
  </w:num>
  <w:num w:numId="3">
    <w:abstractNumId w:val="9"/>
  </w:num>
  <w:num w:numId="4">
    <w:abstractNumId w:val="5"/>
  </w:num>
  <w:num w:numId="5">
    <w:abstractNumId w:val="4"/>
  </w:num>
  <w:num w:numId="6">
    <w:abstractNumId w:val="3"/>
  </w:num>
  <w:num w:numId="7">
    <w:abstractNumId w:val="6"/>
  </w:num>
  <w:num w:numId="8">
    <w:abstractNumId w:val="10"/>
  </w:num>
  <w:num w:numId="9">
    <w:abstractNumId w:val="12"/>
  </w:num>
  <w:num w:numId="10">
    <w:abstractNumId w:val="2"/>
  </w:num>
  <w:num w:numId="11">
    <w:abstractNumId w:val="8"/>
  </w:num>
  <w:num w:numId="12">
    <w:abstractNumId w:val="1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VlZDNiNjc4N2Y5YzJiNWY0NjQxMTBmZmRlYWU5ZTMifQ=="/>
  </w:docVars>
  <w:rsids>
    <w:rsidRoot w:val="00870543"/>
    <w:rsid w:val="00002F7A"/>
    <w:rsid w:val="000C4C9A"/>
    <w:rsid w:val="00190CED"/>
    <w:rsid w:val="001D590A"/>
    <w:rsid w:val="002032EF"/>
    <w:rsid w:val="002A265E"/>
    <w:rsid w:val="00317195"/>
    <w:rsid w:val="003577A2"/>
    <w:rsid w:val="00361144"/>
    <w:rsid w:val="00391EBB"/>
    <w:rsid w:val="003F76DB"/>
    <w:rsid w:val="004D227C"/>
    <w:rsid w:val="005065E3"/>
    <w:rsid w:val="00511C7A"/>
    <w:rsid w:val="00593528"/>
    <w:rsid w:val="005B4958"/>
    <w:rsid w:val="005D0186"/>
    <w:rsid w:val="0060644A"/>
    <w:rsid w:val="0064025D"/>
    <w:rsid w:val="006A09B5"/>
    <w:rsid w:val="00701E16"/>
    <w:rsid w:val="00732951"/>
    <w:rsid w:val="00762C56"/>
    <w:rsid w:val="007B700F"/>
    <w:rsid w:val="00870543"/>
    <w:rsid w:val="008918D5"/>
    <w:rsid w:val="008C42AC"/>
    <w:rsid w:val="009137E8"/>
    <w:rsid w:val="00944583"/>
    <w:rsid w:val="00977A59"/>
    <w:rsid w:val="009D373B"/>
    <w:rsid w:val="00A102A3"/>
    <w:rsid w:val="00A13FC2"/>
    <w:rsid w:val="00A2052A"/>
    <w:rsid w:val="00A4309C"/>
    <w:rsid w:val="00A5335D"/>
    <w:rsid w:val="00A859D0"/>
    <w:rsid w:val="00AA3968"/>
    <w:rsid w:val="00AC0D40"/>
    <w:rsid w:val="00AF19F5"/>
    <w:rsid w:val="00B27A30"/>
    <w:rsid w:val="00B47108"/>
    <w:rsid w:val="00B937B4"/>
    <w:rsid w:val="00BF5A71"/>
    <w:rsid w:val="00C033F8"/>
    <w:rsid w:val="00C130B7"/>
    <w:rsid w:val="00C452D6"/>
    <w:rsid w:val="00C61D75"/>
    <w:rsid w:val="00C62906"/>
    <w:rsid w:val="00D87A1A"/>
    <w:rsid w:val="00E05D61"/>
    <w:rsid w:val="00ED0039"/>
    <w:rsid w:val="00EE241A"/>
    <w:rsid w:val="00EE7D64"/>
    <w:rsid w:val="00F94E34"/>
    <w:rsid w:val="00FA0B5E"/>
    <w:rsid w:val="00FD526E"/>
    <w:rsid w:val="025760E2"/>
    <w:rsid w:val="099C2B5A"/>
    <w:rsid w:val="0C54647D"/>
    <w:rsid w:val="0D647845"/>
    <w:rsid w:val="0F340C24"/>
    <w:rsid w:val="0F582C67"/>
    <w:rsid w:val="11BD43A5"/>
    <w:rsid w:val="130D404D"/>
    <w:rsid w:val="138F0B1F"/>
    <w:rsid w:val="1404150D"/>
    <w:rsid w:val="1853036D"/>
    <w:rsid w:val="19854A2E"/>
    <w:rsid w:val="1A8567D8"/>
    <w:rsid w:val="1CA7512B"/>
    <w:rsid w:val="1CB02232"/>
    <w:rsid w:val="21FC3824"/>
    <w:rsid w:val="290D3741"/>
    <w:rsid w:val="2ACD3FAF"/>
    <w:rsid w:val="2BA70961"/>
    <w:rsid w:val="2BBE7D9C"/>
    <w:rsid w:val="304D2105"/>
    <w:rsid w:val="3115736C"/>
    <w:rsid w:val="32084ED8"/>
    <w:rsid w:val="36257395"/>
    <w:rsid w:val="3775199E"/>
    <w:rsid w:val="38635F53"/>
    <w:rsid w:val="3B6C6EB9"/>
    <w:rsid w:val="3CD70CBD"/>
    <w:rsid w:val="43CF6B92"/>
    <w:rsid w:val="4488746D"/>
    <w:rsid w:val="468E4AE3"/>
    <w:rsid w:val="46CB5413"/>
    <w:rsid w:val="46F13F2C"/>
    <w:rsid w:val="48B9571B"/>
    <w:rsid w:val="49496A9F"/>
    <w:rsid w:val="498D2E30"/>
    <w:rsid w:val="499110A5"/>
    <w:rsid w:val="4EE05822"/>
    <w:rsid w:val="54971B66"/>
    <w:rsid w:val="54A82FD9"/>
    <w:rsid w:val="563C6326"/>
    <w:rsid w:val="5AB26B9A"/>
    <w:rsid w:val="5AE623A0"/>
    <w:rsid w:val="5B9D54A6"/>
    <w:rsid w:val="5C58551F"/>
    <w:rsid w:val="5DB1138B"/>
    <w:rsid w:val="5F861C93"/>
    <w:rsid w:val="60956D42"/>
    <w:rsid w:val="67A3188D"/>
    <w:rsid w:val="685F42C9"/>
    <w:rsid w:val="69564B94"/>
    <w:rsid w:val="6A3179FB"/>
    <w:rsid w:val="6C77554D"/>
    <w:rsid w:val="71DA2E8A"/>
    <w:rsid w:val="73223D80"/>
    <w:rsid w:val="743D64BB"/>
    <w:rsid w:val="754937FF"/>
    <w:rsid w:val="75A31161"/>
    <w:rsid w:val="7E644B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semiHidden="0" w:name="heading 3"/>
    <w:lsdException w:qFormat="1" w:uiPriority="0" w:semiHidden="0" w:name="heading 4"/>
    <w:lsdException w:qFormat="1" w:uiPriority="0"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qFormat="1"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iPriority="0" w:semiHidden="0" w:name="Normal Indent"/>
    <w:lsdException w:qFormat="1" w:unhideWhenUsed="0" w:uiPriority="0" w:semiHidden="0"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iPriority="0" w:semiHidden="0" w:name="annotation reference"/>
    <w:lsdException w:uiPriority="99" w:name="line number"/>
    <w:lsdException w:qFormat="1" w:uiPriority="0" w:semiHidden="0" w:name="page number"/>
    <w:lsdException w:uiPriority="99" w:name="endnote reference"/>
    <w:lsdException w:qFormat="1" w:unhideWhenUsed="0" w:uiPriority="0" w:semiHidden="0" w:name="endnote text"/>
    <w:lsdException w:uiPriority="99" w:name="table of authorities"/>
    <w:lsdException w:uiPriority="99" w:name="macro"/>
    <w:lsdException w:uiPriority="99" w:name="toa heading"/>
    <w:lsdException w:qFormat="1" w:uiPriority="99" w:name="List"/>
    <w:lsdException w:qFormat="1" w:uiPriority="0" w:semiHidden="0" w:name="List Bullet"/>
    <w:lsdException w:qFormat="1" w:unhideWhenUsed="0" w:uiPriority="0" w:semiHidden="0" w:name="List Number"/>
    <w:lsdException w:qFormat="1" w:uiPriority="0" w:semiHidden="0" w:name="List 2"/>
    <w:lsdException w:qFormat="1" w:unhideWhenUsed="0" w:uiPriority="0" w:semiHidden="0" w:name="List 3"/>
    <w:lsdException w:uiPriority="99" w:name="List 4"/>
    <w:lsdException w:uiPriority="99"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uiPriority="99" w:name="Closing"/>
    <w:lsdException w:uiPriority="99" w:name="Signature"/>
    <w:lsdException w:uiPriority="1" w:name="Default Paragraph Font"/>
    <w:lsdException w:qFormat="1" w:uiPriority="1"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iPriority="99" w:semiHidden="0" w:name="Date"/>
    <w:lsdException w:qFormat="1" w:uiPriority="0" w:semiHidden="0" w:name="Body Text First Indent"/>
    <w:lsdException w:qFormat="1" w:uiPriority="99" w:semiHidden="0" w:name="Body Text First Indent 2"/>
    <w:lsdException w:uiPriority="99" w:name="Note Heading"/>
    <w:lsdException w:qFormat="1" w:uiPriority="0" w:semiHidden="0" w:name="Body Text 2"/>
    <w:lsdException w:qFormat="1" w:uiPriority="0" w:semiHidden="0" w:name="Body Text 3"/>
    <w:lsdException w:qFormat="1" w:uiPriority="0" w:semiHidden="0" w:name="Body Text Indent 2"/>
    <w:lsdException w:qFormat="1" w:uiPriority="0" w:semiHidden="0" w:name="Body Text Indent 3"/>
    <w:lsdException w:qFormat="1" w:unhideWhenUsed="0" w:uiPriority="0" w:semiHidden="0" w:name="Block Text"/>
    <w:lsdException w:qFormat="1" w:uiPriority="99" w:semiHidden="0" w:name="Hyperlink"/>
    <w:lsdException w:qFormat="1" w:uiPriority="0" w:semiHidden="0" w:name="FollowedHyperlink"/>
    <w:lsdException w:qFormat="1" w:unhideWhenUsed="0" w:uiPriority="0" w:semiHidden="0" w:name="Strong"/>
    <w:lsdException w:qFormat="1" w:unhideWhenUsed="0" w:uiPriority="0" w:semiHidden="0" w:name="Emphasis"/>
    <w:lsdException w:qFormat="1"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qFormat="1" w:uiPriority="0" w:name="HTML Code"/>
    <w:lsdException w:qFormat="1" w:uiPriority="0" w:name="HTML Definition"/>
    <w:lsdException w:qFormat="1" w:uiPriority="0" w:name="HTML Keyboard"/>
    <w:lsdException w:qFormat="1" w:uiPriority="0" w:semiHidden="0" w:name="HTML Preformatted"/>
    <w:lsdException w:qFormat="1" w:uiPriority="0" w:name="HTML Sample"/>
    <w:lsdException w:uiPriority="99" w:name="HTML Typewriter"/>
    <w:lsdException w:uiPriority="99" w:name="HTML Variable"/>
    <w:lsdException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qFormat="1" w:unhideWhenUsed="0" w:uiPriority="0" w:semiHidden="0"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qFormat="1" w:uiPriority="99" w:name="Table Theme"/>
    <w:lsdException w:qFormat="1" w:unhideWhenUsed="0" w:uiPriority="99" w:semiHidden="0" w:name="Placeholder Text"/>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qFormat="1" w:unhideWhenUsed="0" w:uiPriority="0"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qFormat="1" w:unhideWhenUsed="0" w:uiPriority="0"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qFormat="1" w:unhideWhenUsed="0" w:uiPriority="0"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qFormat="1" w:unhideWhenUsed="0" w:uiPriority="0"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qFormat="1" w:unhideWhenUsed="0" w:uiPriority="0"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91"/>
    <w:qFormat/>
    <w:uiPriority w:val="0"/>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4">
    <w:name w:val="heading 2"/>
    <w:basedOn w:val="1"/>
    <w:next w:val="1"/>
    <w:link w:val="87"/>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5">
    <w:name w:val="heading 3"/>
    <w:basedOn w:val="1"/>
    <w:next w:val="1"/>
    <w:link w:val="92"/>
    <w:unhideWhenUsed/>
    <w:qFormat/>
    <w:uiPriority w:val="0"/>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6">
    <w:name w:val="heading 4"/>
    <w:basedOn w:val="1"/>
    <w:next w:val="1"/>
    <w:link w:val="93"/>
    <w:unhideWhenUsed/>
    <w:qFormat/>
    <w:uiPriority w:val="0"/>
    <w:pPr>
      <w:keepNext/>
      <w:keepLines/>
      <w:spacing w:before="80" w:after="40"/>
      <w:outlineLvl w:val="3"/>
    </w:pPr>
    <w:rPr>
      <w:rFonts w:asciiTheme="minorHAnsi" w:hAnsiTheme="minorHAnsi" w:eastAsiaTheme="minorEastAsia" w:cstheme="majorBidi"/>
      <w:color w:val="104862" w:themeColor="accent1" w:themeShade="BF"/>
      <w:sz w:val="28"/>
      <w:szCs w:val="28"/>
    </w:rPr>
  </w:style>
  <w:style w:type="paragraph" w:styleId="7">
    <w:name w:val="heading 5"/>
    <w:basedOn w:val="1"/>
    <w:next w:val="1"/>
    <w:link w:val="94"/>
    <w:unhideWhenUsed/>
    <w:qFormat/>
    <w:uiPriority w:val="0"/>
    <w:pPr>
      <w:keepNext/>
      <w:keepLines/>
      <w:spacing w:before="80" w:after="40"/>
      <w:outlineLvl w:val="4"/>
    </w:pPr>
    <w:rPr>
      <w:rFonts w:asciiTheme="minorHAnsi" w:hAnsiTheme="minorHAnsi" w:eastAsiaTheme="minorEastAsia" w:cstheme="majorBidi"/>
      <w:color w:val="104862" w:themeColor="accent1" w:themeShade="BF"/>
      <w:sz w:val="24"/>
      <w:szCs w:val="24"/>
    </w:rPr>
  </w:style>
  <w:style w:type="paragraph" w:styleId="8">
    <w:name w:val="heading 6"/>
    <w:basedOn w:val="1"/>
    <w:next w:val="1"/>
    <w:link w:val="95"/>
    <w:unhideWhenUsed/>
    <w:qFormat/>
    <w:uiPriority w:val="9"/>
    <w:pPr>
      <w:keepNext/>
      <w:keepLines/>
      <w:spacing w:before="40"/>
      <w:outlineLvl w:val="5"/>
    </w:pPr>
    <w:rPr>
      <w:rFonts w:asciiTheme="minorHAnsi" w:hAnsiTheme="minorHAnsi" w:eastAsiaTheme="minorEastAsia" w:cstheme="majorBidi"/>
      <w:b/>
      <w:bCs/>
      <w:color w:val="104862" w:themeColor="accent1" w:themeShade="BF"/>
    </w:rPr>
  </w:style>
  <w:style w:type="paragraph" w:styleId="9">
    <w:name w:val="heading 7"/>
    <w:basedOn w:val="1"/>
    <w:next w:val="1"/>
    <w:link w:val="96"/>
    <w:unhideWhenUsed/>
    <w:qFormat/>
    <w:uiPriority w:val="9"/>
    <w:pPr>
      <w:keepNext/>
      <w:keepLines/>
      <w:spacing w:before="40"/>
      <w:outlineLvl w:val="6"/>
    </w:pPr>
    <w:rPr>
      <w:rFonts w:asciiTheme="minorHAnsi" w:hAnsiTheme="minorHAnsi" w:eastAsiaTheme="minorEastAsia" w:cstheme="majorBidi"/>
      <w:b/>
      <w:bCs/>
      <w:color w:val="595959" w:themeColor="text1" w:themeTint="A6"/>
      <w14:textFill>
        <w14:solidFill>
          <w14:schemeClr w14:val="tx1">
            <w14:lumMod w14:val="65000"/>
            <w14:lumOff w14:val="35000"/>
          </w14:schemeClr>
        </w14:solidFill>
      </w14:textFill>
    </w:rPr>
  </w:style>
  <w:style w:type="paragraph" w:styleId="10">
    <w:name w:val="heading 8"/>
    <w:basedOn w:val="1"/>
    <w:next w:val="1"/>
    <w:link w:val="97"/>
    <w:unhideWhenUsed/>
    <w:qFormat/>
    <w:uiPriority w:val="9"/>
    <w:pPr>
      <w:keepNext/>
      <w:keepLines/>
      <w:outlineLvl w:val="7"/>
    </w:pPr>
    <w:rPr>
      <w:rFonts w:asciiTheme="minorHAnsi" w:hAnsiTheme="minorHAnsi" w:eastAsiaTheme="minorEastAsia" w:cstheme="majorBidi"/>
      <w:color w:val="595959" w:themeColor="text1" w:themeTint="A6"/>
      <w14:textFill>
        <w14:solidFill>
          <w14:schemeClr w14:val="tx1">
            <w14:lumMod w14:val="65000"/>
            <w14:lumOff w14:val="35000"/>
          </w14:schemeClr>
        </w14:solidFill>
      </w14:textFill>
    </w:rPr>
  </w:style>
  <w:style w:type="paragraph" w:styleId="11">
    <w:name w:val="heading 9"/>
    <w:basedOn w:val="1"/>
    <w:next w:val="1"/>
    <w:link w:val="98"/>
    <w:unhideWhenUsed/>
    <w:qFormat/>
    <w:uiPriority w:val="9"/>
    <w:pPr>
      <w:keepNext/>
      <w:keepLines/>
      <w:outlineLvl w:val="8"/>
    </w:pPr>
    <w:rPr>
      <w:rFonts w:asciiTheme="minorHAnsi" w:hAnsiTheme="minorHAnsi" w:eastAsiaTheme="majorEastAsia" w:cstheme="majorBidi"/>
      <w:color w:val="595959" w:themeColor="text1" w:themeTint="A6"/>
      <w14:textFill>
        <w14:solidFill>
          <w14:schemeClr w14:val="tx1">
            <w14:lumMod w14:val="65000"/>
            <w14:lumOff w14:val="35000"/>
          </w14:schemeClr>
        </w14:solidFill>
      </w14:textFill>
    </w:rPr>
  </w:style>
  <w:style w:type="character" w:default="1" w:styleId="69">
    <w:name w:val="Default Paragraph Font"/>
    <w:semiHidden/>
    <w:unhideWhenUsed/>
    <w:uiPriority w:val="1"/>
  </w:style>
  <w:style w:type="table" w:default="1" w:styleId="60">
    <w:name w:val="Normal Table"/>
    <w:semiHidden/>
    <w:unhideWhenUsed/>
    <w:uiPriority w:val="99"/>
    <w:tblPr>
      <w:tblCellMar>
        <w:top w:w="0" w:type="dxa"/>
        <w:left w:w="108" w:type="dxa"/>
        <w:bottom w:w="0" w:type="dxa"/>
        <w:right w:w="108" w:type="dxa"/>
      </w:tblCellMar>
    </w:tblPr>
  </w:style>
  <w:style w:type="paragraph" w:styleId="2">
    <w:name w:val="Body Text Indent"/>
    <w:basedOn w:val="1"/>
    <w:next w:val="1"/>
    <w:link w:val="88"/>
    <w:unhideWhenUsed/>
    <w:qFormat/>
    <w:uiPriority w:val="99"/>
    <w:pPr>
      <w:spacing w:after="120"/>
      <w:ind w:left="420" w:leftChars="200"/>
    </w:pPr>
  </w:style>
  <w:style w:type="paragraph" w:styleId="12">
    <w:name w:val="List 3"/>
    <w:basedOn w:val="1"/>
    <w:qFormat/>
    <w:uiPriority w:val="0"/>
    <w:pPr>
      <w:widowControl/>
      <w:ind w:left="100" w:leftChars="400" w:hanging="200" w:hangingChars="200"/>
      <w:jc w:val="left"/>
    </w:pPr>
    <w:rPr>
      <w:rFonts w:ascii="Calibri" w:hAnsi="Calibri"/>
      <w:szCs w:val="24"/>
    </w:rPr>
  </w:style>
  <w:style w:type="paragraph" w:styleId="13">
    <w:name w:val="toc 7"/>
    <w:basedOn w:val="1"/>
    <w:next w:val="1"/>
    <w:qFormat/>
    <w:uiPriority w:val="39"/>
    <w:pPr>
      <w:ind w:left="1260"/>
      <w:jc w:val="left"/>
    </w:pPr>
    <w:rPr>
      <w:rFonts w:ascii="Calibri" w:hAnsi="Calibri" w:cs="Calibri"/>
      <w:sz w:val="18"/>
      <w:szCs w:val="18"/>
    </w:rPr>
  </w:style>
  <w:style w:type="paragraph" w:styleId="14">
    <w:name w:val="List Number 2"/>
    <w:basedOn w:val="1"/>
    <w:qFormat/>
    <w:uiPriority w:val="0"/>
    <w:pPr>
      <w:widowControl/>
      <w:tabs>
        <w:tab w:val="left" w:pos="360"/>
      </w:tabs>
      <w:snapToGrid w:val="0"/>
      <w:ind w:left="360" w:right="709" w:hanging="360"/>
      <w:jc w:val="left"/>
    </w:pPr>
    <w:rPr>
      <w:rFonts w:ascii="Calibri" w:hAnsi="Calibri" w:eastAsia="2OcuAe"/>
      <w:spacing w:val="2"/>
      <w:kern w:val="0"/>
      <w:sz w:val="20"/>
      <w:szCs w:val="20"/>
      <w:lang w:eastAsia="zh-TW"/>
    </w:rPr>
  </w:style>
  <w:style w:type="paragraph" w:styleId="15">
    <w:name w:val="List Bullet 4"/>
    <w:basedOn w:val="1"/>
    <w:qFormat/>
    <w:uiPriority w:val="0"/>
    <w:pPr>
      <w:widowControl/>
      <w:tabs>
        <w:tab w:val="left" w:pos="885"/>
      </w:tabs>
      <w:snapToGrid w:val="0"/>
      <w:ind w:left="885" w:right="709" w:hanging="885"/>
      <w:jc w:val="left"/>
    </w:pPr>
    <w:rPr>
      <w:rFonts w:ascii="Calibri" w:hAnsi="Calibri" w:eastAsia="2OcuAe"/>
      <w:spacing w:val="2"/>
      <w:kern w:val="0"/>
      <w:sz w:val="20"/>
      <w:szCs w:val="20"/>
      <w:lang w:eastAsia="zh-TW"/>
    </w:rPr>
  </w:style>
  <w:style w:type="paragraph" w:styleId="16">
    <w:name w:val="List Number"/>
    <w:basedOn w:val="1"/>
    <w:qFormat/>
    <w:uiPriority w:val="0"/>
    <w:pPr>
      <w:tabs>
        <w:tab w:val="left" w:pos="360"/>
        <w:tab w:val="left" w:pos="454"/>
        <w:tab w:val="left" w:pos="720"/>
        <w:tab w:val="left" w:pos="900"/>
      </w:tabs>
      <w:snapToGrid w:val="0"/>
      <w:spacing w:line="336" w:lineRule="auto"/>
      <w:ind w:right="55"/>
    </w:pPr>
  </w:style>
  <w:style w:type="paragraph" w:styleId="17">
    <w:name w:val="Normal Indent"/>
    <w:basedOn w:val="1"/>
    <w:link w:val="125"/>
    <w:unhideWhenUsed/>
    <w:qFormat/>
    <w:uiPriority w:val="0"/>
    <w:pPr>
      <w:ind w:firstLine="420"/>
    </w:pPr>
    <w:rPr>
      <w:kern w:val="0"/>
      <w:sz w:val="20"/>
      <w:szCs w:val="20"/>
    </w:rPr>
  </w:style>
  <w:style w:type="paragraph" w:styleId="18">
    <w:name w:val="caption"/>
    <w:basedOn w:val="1"/>
    <w:next w:val="1"/>
    <w:link w:val="126"/>
    <w:unhideWhenUsed/>
    <w:qFormat/>
    <w:uiPriority w:val="0"/>
    <w:pPr>
      <w:spacing w:before="152" w:after="160"/>
    </w:pPr>
    <w:rPr>
      <w:rFonts w:ascii="Arial" w:hAnsi="Arial" w:eastAsia="黑体"/>
      <w:kern w:val="0"/>
      <w:sz w:val="20"/>
      <w:szCs w:val="20"/>
    </w:rPr>
  </w:style>
  <w:style w:type="paragraph" w:styleId="19">
    <w:name w:val="List Bullet"/>
    <w:basedOn w:val="1"/>
    <w:unhideWhenUsed/>
    <w:qFormat/>
    <w:uiPriority w:val="0"/>
    <w:pPr>
      <w:tabs>
        <w:tab w:val="left" w:pos="360"/>
      </w:tabs>
      <w:ind w:left="360" w:hanging="360"/>
    </w:pPr>
  </w:style>
  <w:style w:type="paragraph" w:styleId="20">
    <w:name w:val="Document Map"/>
    <w:basedOn w:val="1"/>
    <w:link w:val="110"/>
    <w:unhideWhenUsed/>
    <w:qFormat/>
    <w:uiPriority w:val="0"/>
    <w:pPr>
      <w:shd w:val="clear" w:color="auto" w:fill="000080"/>
    </w:pPr>
    <w:rPr>
      <w:rFonts w:cs="宋体"/>
    </w:rPr>
  </w:style>
  <w:style w:type="paragraph" w:styleId="21">
    <w:name w:val="annotation text"/>
    <w:basedOn w:val="5"/>
    <w:link w:val="111"/>
    <w:unhideWhenUsed/>
    <w:qFormat/>
    <w:uiPriority w:val="0"/>
    <w:pPr>
      <w:widowControl/>
      <w:tabs>
        <w:tab w:val="left" w:pos="567"/>
      </w:tabs>
      <w:spacing w:before="0" w:beforeLines="50" w:after="0" w:line="360" w:lineRule="auto"/>
      <w:jc w:val="left"/>
    </w:pPr>
    <w:rPr>
      <w:rFonts w:ascii="Times New Roman" w:hAnsi="Times New Roman" w:eastAsia="宋体" w:cs="Times New Roman"/>
      <w:b/>
      <w:bCs/>
      <w:color w:val="auto"/>
      <w:sz w:val="36"/>
      <w:szCs w:val="36"/>
    </w:rPr>
  </w:style>
  <w:style w:type="paragraph" w:styleId="22">
    <w:name w:val="Salutation"/>
    <w:basedOn w:val="1"/>
    <w:next w:val="1"/>
    <w:link w:val="112"/>
    <w:qFormat/>
    <w:uiPriority w:val="0"/>
    <w:pPr>
      <w:widowControl/>
      <w:jc w:val="left"/>
    </w:pPr>
    <w:rPr>
      <w:kern w:val="0"/>
      <w:sz w:val="20"/>
      <w:szCs w:val="24"/>
    </w:rPr>
  </w:style>
  <w:style w:type="paragraph" w:styleId="23">
    <w:name w:val="Body Text 3"/>
    <w:basedOn w:val="1"/>
    <w:link w:val="113"/>
    <w:unhideWhenUsed/>
    <w:qFormat/>
    <w:uiPriority w:val="0"/>
    <w:pPr>
      <w:snapToGrid w:val="0"/>
      <w:spacing w:before="50" w:after="50"/>
    </w:pPr>
    <w:rPr>
      <w:rFonts w:hAnsi="宋体" w:eastAsia="Times New Roman"/>
      <w:b/>
      <w:sz w:val="24"/>
    </w:rPr>
  </w:style>
  <w:style w:type="paragraph" w:styleId="24">
    <w:name w:val="List Bullet 3"/>
    <w:basedOn w:val="1"/>
    <w:qFormat/>
    <w:uiPriority w:val="0"/>
    <w:pPr>
      <w:widowControl/>
      <w:tabs>
        <w:tab w:val="left" w:pos="1800"/>
      </w:tabs>
      <w:snapToGrid w:val="0"/>
      <w:ind w:left="1800" w:right="709" w:hanging="420"/>
      <w:jc w:val="left"/>
    </w:pPr>
    <w:rPr>
      <w:rFonts w:ascii="Calibri" w:hAnsi="Calibri" w:eastAsia="2OcuAe"/>
      <w:spacing w:val="2"/>
      <w:kern w:val="0"/>
      <w:sz w:val="20"/>
      <w:szCs w:val="20"/>
      <w:lang w:eastAsia="zh-TW"/>
    </w:rPr>
  </w:style>
  <w:style w:type="paragraph" w:styleId="25">
    <w:name w:val="Body Text"/>
    <w:basedOn w:val="1"/>
    <w:next w:val="26"/>
    <w:link w:val="82"/>
    <w:unhideWhenUsed/>
    <w:qFormat/>
    <w:uiPriority w:val="1"/>
    <w:pPr>
      <w:spacing w:after="120"/>
    </w:pPr>
    <w:rPr>
      <w:sz w:val="22"/>
      <w:szCs w:val="24"/>
      <w14:ligatures w14:val="standardContextual"/>
    </w:rPr>
  </w:style>
  <w:style w:type="paragraph" w:styleId="26">
    <w:name w:val="Body Text First Indent"/>
    <w:basedOn w:val="25"/>
    <w:next w:val="1"/>
    <w:link w:val="83"/>
    <w:unhideWhenUsed/>
    <w:qFormat/>
    <w:uiPriority w:val="0"/>
    <w:pPr>
      <w:ind w:firstLine="420" w:firstLineChars="100"/>
    </w:pPr>
  </w:style>
  <w:style w:type="paragraph" w:styleId="27">
    <w:name w:val="List Number 3"/>
    <w:basedOn w:val="1"/>
    <w:unhideWhenUsed/>
    <w:qFormat/>
    <w:uiPriority w:val="0"/>
    <w:pPr>
      <w:numPr>
        <w:ilvl w:val="0"/>
        <w:numId w:val="1"/>
      </w:numPr>
    </w:pPr>
    <w:rPr>
      <w:szCs w:val="24"/>
    </w:rPr>
  </w:style>
  <w:style w:type="paragraph" w:styleId="28">
    <w:name w:val="List 2"/>
    <w:basedOn w:val="1"/>
    <w:unhideWhenUsed/>
    <w:qFormat/>
    <w:uiPriority w:val="0"/>
    <w:pPr>
      <w:ind w:left="100" w:leftChars="200" w:hanging="200" w:hangingChars="200"/>
    </w:pPr>
    <w:rPr>
      <w:sz w:val="28"/>
      <w:szCs w:val="24"/>
    </w:rPr>
  </w:style>
  <w:style w:type="paragraph" w:styleId="29">
    <w:name w:val="Block Text"/>
    <w:basedOn w:val="1"/>
    <w:qFormat/>
    <w:uiPriority w:val="0"/>
    <w:pPr>
      <w:widowControl/>
      <w:snapToGrid w:val="0"/>
      <w:spacing w:line="400" w:lineRule="exact"/>
      <w:ind w:left="2" w:right="105" w:firstLine="538"/>
      <w:jc w:val="left"/>
    </w:pPr>
    <w:rPr>
      <w:rFonts w:ascii="Calibri" w:hAnsi="Calibri"/>
      <w:b/>
      <w:szCs w:val="20"/>
    </w:rPr>
  </w:style>
  <w:style w:type="paragraph" w:styleId="30">
    <w:name w:val="List Bullet 2"/>
    <w:basedOn w:val="1"/>
    <w:qFormat/>
    <w:uiPriority w:val="0"/>
    <w:pPr>
      <w:widowControl/>
      <w:tabs>
        <w:tab w:val="left" w:pos="780"/>
      </w:tabs>
      <w:spacing w:line="480" w:lineRule="exact"/>
      <w:ind w:left="680" w:leftChars="10" w:right="170" w:hanging="659" w:hangingChars="270"/>
      <w:jc w:val="left"/>
    </w:pPr>
    <w:rPr>
      <w:rFonts w:ascii="宋体" w:hAnsi="宋体"/>
      <w:b/>
      <w:color w:val="0000FF"/>
      <w:spacing w:val="2"/>
      <w:kern w:val="0"/>
      <w:sz w:val="24"/>
      <w:szCs w:val="24"/>
      <w:lang w:eastAsia="zh-TW"/>
    </w:rPr>
  </w:style>
  <w:style w:type="paragraph" w:styleId="31">
    <w:name w:val="toc 5"/>
    <w:basedOn w:val="1"/>
    <w:next w:val="1"/>
    <w:qFormat/>
    <w:uiPriority w:val="39"/>
    <w:pPr>
      <w:ind w:left="840"/>
      <w:jc w:val="left"/>
    </w:pPr>
    <w:rPr>
      <w:rFonts w:ascii="Calibri" w:hAnsi="Calibri" w:cs="Calibri"/>
      <w:sz w:val="18"/>
      <w:szCs w:val="18"/>
    </w:rPr>
  </w:style>
  <w:style w:type="paragraph" w:styleId="32">
    <w:name w:val="toc 3"/>
    <w:basedOn w:val="1"/>
    <w:next w:val="1"/>
    <w:qFormat/>
    <w:uiPriority w:val="39"/>
    <w:pPr>
      <w:ind w:left="420"/>
      <w:jc w:val="left"/>
    </w:pPr>
    <w:rPr>
      <w:rFonts w:ascii="Calibri" w:hAnsi="Calibri" w:cs="Calibri"/>
      <w:i/>
      <w:iCs/>
      <w:sz w:val="20"/>
      <w:szCs w:val="20"/>
    </w:rPr>
  </w:style>
  <w:style w:type="paragraph" w:styleId="33">
    <w:name w:val="Plain Text"/>
    <w:basedOn w:val="1"/>
    <w:link w:val="86"/>
    <w:qFormat/>
    <w:uiPriority w:val="0"/>
    <w:pPr>
      <w:spacing w:beforeLines="50" w:line="400" w:lineRule="exact"/>
    </w:pPr>
    <w:rPr>
      <w:rFonts w:ascii="宋体" w:hAnsi="Courier New"/>
      <w:kern w:val="0"/>
      <w:sz w:val="24"/>
      <w:szCs w:val="20"/>
      <w14:ligatures w14:val="standardContextual"/>
    </w:rPr>
  </w:style>
  <w:style w:type="paragraph" w:styleId="34">
    <w:name w:val="List Bullet 5"/>
    <w:basedOn w:val="1"/>
    <w:qFormat/>
    <w:uiPriority w:val="0"/>
    <w:pPr>
      <w:widowControl/>
      <w:tabs>
        <w:tab w:val="left" w:pos="2040"/>
      </w:tabs>
      <w:snapToGrid w:val="0"/>
      <w:ind w:left="2040" w:right="709" w:hanging="360"/>
      <w:jc w:val="left"/>
    </w:pPr>
    <w:rPr>
      <w:rFonts w:ascii="Calibri" w:hAnsi="Calibri" w:eastAsia="2OcuAe"/>
      <w:spacing w:val="2"/>
      <w:kern w:val="0"/>
      <w:sz w:val="20"/>
      <w:szCs w:val="20"/>
      <w:lang w:eastAsia="zh-TW"/>
    </w:rPr>
  </w:style>
  <w:style w:type="paragraph" w:styleId="35">
    <w:name w:val="List Number 4"/>
    <w:basedOn w:val="1"/>
    <w:qFormat/>
    <w:uiPriority w:val="0"/>
    <w:pPr>
      <w:tabs>
        <w:tab w:val="left" w:pos="840"/>
      </w:tabs>
      <w:autoSpaceDE w:val="0"/>
      <w:autoSpaceDN w:val="0"/>
      <w:adjustRightInd w:val="0"/>
      <w:spacing w:line="360" w:lineRule="atLeast"/>
      <w:ind w:left="840" w:hanging="420"/>
    </w:pPr>
    <w:rPr>
      <w:rFonts w:ascii="Calibri" w:hAnsi="Calibri"/>
      <w:kern w:val="0"/>
      <w:sz w:val="24"/>
      <w:szCs w:val="24"/>
    </w:rPr>
  </w:style>
  <w:style w:type="paragraph" w:styleId="36">
    <w:name w:val="toc 8"/>
    <w:basedOn w:val="1"/>
    <w:next w:val="1"/>
    <w:qFormat/>
    <w:uiPriority w:val="39"/>
    <w:pPr>
      <w:ind w:left="1470"/>
      <w:jc w:val="left"/>
    </w:pPr>
    <w:rPr>
      <w:rFonts w:ascii="Calibri" w:hAnsi="Calibri" w:cs="Calibri"/>
      <w:sz w:val="18"/>
      <w:szCs w:val="18"/>
    </w:rPr>
  </w:style>
  <w:style w:type="paragraph" w:styleId="37">
    <w:name w:val="Date"/>
    <w:basedOn w:val="1"/>
    <w:next w:val="1"/>
    <w:link w:val="114"/>
    <w:unhideWhenUsed/>
    <w:qFormat/>
    <w:uiPriority w:val="99"/>
    <w:pPr>
      <w:ind w:left="2500" w:leftChars="2500"/>
    </w:pPr>
    <w:rPr>
      <w:rFonts w:ascii="Calibri" w:hAnsi="Calibri" w:eastAsia="楷体_GB2312"/>
      <w:kern w:val="0"/>
      <w:sz w:val="32"/>
    </w:rPr>
  </w:style>
  <w:style w:type="paragraph" w:styleId="38">
    <w:name w:val="Body Text Indent 2"/>
    <w:basedOn w:val="1"/>
    <w:link w:val="115"/>
    <w:unhideWhenUsed/>
    <w:qFormat/>
    <w:uiPriority w:val="0"/>
    <w:pPr>
      <w:snapToGrid w:val="0"/>
      <w:ind w:firstLine="542" w:firstLineChars="225"/>
    </w:pPr>
    <w:rPr>
      <w:rFonts w:ascii="仿宋_GB2312" w:hAnsi="宋体"/>
      <w:b/>
      <w:color w:val="000000"/>
      <w:kern w:val="0"/>
      <w:sz w:val="24"/>
    </w:rPr>
  </w:style>
  <w:style w:type="paragraph" w:styleId="39">
    <w:name w:val="endnote text"/>
    <w:basedOn w:val="1"/>
    <w:link w:val="116"/>
    <w:qFormat/>
    <w:uiPriority w:val="0"/>
    <w:pPr>
      <w:widowControl/>
      <w:adjustRightInd w:val="0"/>
      <w:spacing w:line="360" w:lineRule="atLeast"/>
      <w:jc w:val="left"/>
    </w:pPr>
    <w:rPr>
      <w:kern w:val="0"/>
      <w:sz w:val="24"/>
      <w:szCs w:val="20"/>
    </w:rPr>
  </w:style>
  <w:style w:type="paragraph" w:styleId="40">
    <w:name w:val="Balloon Text"/>
    <w:basedOn w:val="1"/>
    <w:link w:val="117"/>
    <w:unhideWhenUsed/>
    <w:qFormat/>
    <w:uiPriority w:val="0"/>
    <w:rPr>
      <w:rFonts w:ascii="Calibri" w:hAnsi="Calibri"/>
      <w:sz w:val="18"/>
      <w:szCs w:val="18"/>
    </w:rPr>
  </w:style>
  <w:style w:type="paragraph" w:styleId="41">
    <w:name w:val="footer"/>
    <w:basedOn w:val="1"/>
    <w:link w:val="109"/>
    <w:unhideWhenUsed/>
    <w:qFormat/>
    <w:uiPriority w:val="99"/>
    <w:pPr>
      <w:tabs>
        <w:tab w:val="center" w:pos="4153"/>
        <w:tab w:val="right" w:pos="8306"/>
      </w:tabs>
      <w:snapToGrid w:val="0"/>
      <w:jc w:val="left"/>
    </w:pPr>
    <w:rPr>
      <w:sz w:val="18"/>
      <w:szCs w:val="18"/>
    </w:rPr>
  </w:style>
  <w:style w:type="paragraph" w:styleId="42">
    <w:name w:val="header"/>
    <w:basedOn w:val="1"/>
    <w:link w:val="108"/>
    <w:unhideWhenUsed/>
    <w:qFormat/>
    <w:uiPriority w:val="99"/>
    <w:pPr>
      <w:tabs>
        <w:tab w:val="center" w:pos="4153"/>
        <w:tab w:val="right" w:pos="8306"/>
      </w:tabs>
      <w:snapToGrid w:val="0"/>
      <w:jc w:val="center"/>
    </w:pPr>
    <w:rPr>
      <w:sz w:val="18"/>
      <w:szCs w:val="18"/>
    </w:rPr>
  </w:style>
  <w:style w:type="paragraph" w:styleId="43">
    <w:name w:val="toc 1"/>
    <w:basedOn w:val="1"/>
    <w:next w:val="1"/>
    <w:link w:val="375"/>
    <w:unhideWhenUsed/>
    <w:qFormat/>
    <w:uiPriority w:val="39"/>
  </w:style>
  <w:style w:type="paragraph" w:styleId="44">
    <w:name w:val="toc 4"/>
    <w:basedOn w:val="1"/>
    <w:next w:val="1"/>
    <w:qFormat/>
    <w:uiPriority w:val="39"/>
    <w:pPr>
      <w:ind w:left="630"/>
      <w:jc w:val="left"/>
    </w:pPr>
    <w:rPr>
      <w:rFonts w:ascii="Calibri" w:hAnsi="Calibri" w:cs="Calibri"/>
      <w:sz w:val="18"/>
      <w:szCs w:val="18"/>
    </w:rPr>
  </w:style>
  <w:style w:type="paragraph" w:styleId="45">
    <w:name w:val="Subtitle"/>
    <w:basedOn w:val="1"/>
    <w:next w:val="1"/>
    <w:link w:val="100"/>
    <w:qFormat/>
    <w:uiPriority w:val="0"/>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46">
    <w:name w:val="List Number 5"/>
    <w:basedOn w:val="1"/>
    <w:qFormat/>
    <w:uiPriority w:val="0"/>
    <w:pPr>
      <w:widowControl/>
      <w:tabs>
        <w:tab w:val="left" w:pos="420"/>
      </w:tabs>
      <w:snapToGrid w:val="0"/>
      <w:ind w:left="420" w:right="709" w:hanging="420"/>
      <w:jc w:val="left"/>
    </w:pPr>
    <w:rPr>
      <w:rFonts w:ascii="Calibri" w:hAnsi="Calibri" w:eastAsia="2OcuAe"/>
      <w:spacing w:val="2"/>
      <w:kern w:val="0"/>
      <w:sz w:val="20"/>
      <w:szCs w:val="20"/>
      <w:lang w:eastAsia="zh-TW"/>
    </w:rPr>
  </w:style>
  <w:style w:type="paragraph" w:styleId="47">
    <w:name w:val="List"/>
    <w:basedOn w:val="1"/>
    <w:semiHidden/>
    <w:unhideWhenUsed/>
    <w:qFormat/>
    <w:uiPriority w:val="99"/>
    <w:pPr>
      <w:ind w:left="200" w:hanging="200" w:hangingChars="200"/>
    </w:pPr>
    <w:rPr>
      <w:sz w:val="28"/>
    </w:rPr>
  </w:style>
  <w:style w:type="paragraph" w:styleId="48">
    <w:name w:val="footnote text"/>
    <w:basedOn w:val="1"/>
    <w:link w:val="118"/>
    <w:qFormat/>
    <w:uiPriority w:val="0"/>
    <w:pPr>
      <w:wordWrap w:val="0"/>
      <w:snapToGrid w:val="0"/>
      <w:spacing w:line="360" w:lineRule="auto"/>
      <w:ind w:firstLine="200" w:firstLineChars="200"/>
      <w:jc w:val="left"/>
    </w:pPr>
    <w:rPr>
      <w:rFonts w:ascii="宋体" w:hAnsi="Calibri" w:cs="宋体"/>
      <w:sz w:val="18"/>
      <w:szCs w:val="18"/>
    </w:rPr>
  </w:style>
  <w:style w:type="paragraph" w:styleId="49">
    <w:name w:val="toc 6"/>
    <w:basedOn w:val="1"/>
    <w:next w:val="1"/>
    <w:qFormat/>
    <w:uiPriority w:val="39"/>
    <w:pPr>
      <w:ind w:left="1050"/>
      <w:jc w:val="left"/>
    </w:pPr>
    <w:rPr>
      <w:rFonts w:ascii="Calibri" w:hAnsi="Calibri" w:cs="Calibri"/>
      <w:sz w:val="18"/>
      <w:szCs w:val="18"/>
    </w:rPr>
  </w:style>
  <w:style w:type="paragraph" w:styleId="50">
    <w:name w:val="Body Text Indent 3"/>
    <w:basedOn w:val="1"/>
    <w:link w:val="119"/>
    <w:unhideWhenUsed/>
    <w:qFormat/>
    <w:uiPriority w:val="0"/>
    <w:pPr>
      <w:snapToGrid w:val="0"/>
      <w:ind w:firstLine="480" w:firstLineChars="200"/>
      <w:jc w:val="left"/>
    </w:pPr>
    <w:rPr>
      <w:rFonts w:ascii="仿宋_GB2312" w:hAnsi="宋体" w:eastAsia="Times New Roman"/>
      <w:color w:val="000000"/>
      <w:kern w:val="0"/>
      <w:sz w:val="24"/>
    </w:rPr>
  </w:style>
  <w:style w:type="paragraph" w:styleId="51">
    <w:name w:val="toc 2"/>
    <w:basedOn w:val="1"/>
    <w:next w:val="1"/>
    <w:autoRedefine/>
    <w:unhideWhenUsed/>
    <w:qFormat/>
    <w:uiPriority w:val="39"/>
    <w:pPr>
      <w:ind w:left="420" w:leftChars="200"/>
    </w:pPr>
  </w:style>
  <w:style w:type="paragraph" w:styleId="52">
    <w:name w:val="toc 9"/>
    <w:basedOn w:val="1"/>
    <w:next w:val="1"/>
    <w:qFormat/>
    <w:uiPriority w:val="39"/>
    <w:pPr>
      <w:ind w:left="1680"/>
      <w:jc w:val="left"/>
    </w:pPr>
    <w:rPr>
      <w:rFonts w:ascii="Calibri" w:hAnsi="Calibri" w:cs="Calibri"/>
      <w:sz w:val="18"/>
      <w:szCs w:val="18"/>
    </w:rPr>
  </w:style>
  <w:style w:type="paragraph" w:styleId="53">
    <w:name w:val="Body Text 2"/>
    <w:basedOn w:val="1"/>
    <w:link w:val="120"/>
    <w:unhideWhenUsed/>
    <w:qFormat/>
    <w:uiPriority w:val="0"/>
    <w:pPr>
      <w:widowControl/>
      <w:overflowPunct w:val="0"/>
      <w:autoSpaceDE w:val="0"/>
      <w:autoSpaceDN w:val="0"/>
      <w:adjustRightInd w:val="0"/>
      <w:spacing w:line="280" w:lineRule="exact"/>
      <w:jc w:val="center"/>
    </w:pPr>
    <w:rPr>
      <w:rFonts w:ascii="宋体" w:hAnsi="宋体" w:cs="宋体"/>
      <w:bCs/>
    </w:rPr>
  </w:style>
  <w:style w:type="paragraph" w:styleId="54">
    <w:name w:val="HTML Preformatted"/>
    <w:basedOn w:val="1"/>
    <w:link w:val="121"/>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kern w:val="0"/>
      <w:sz w:val="20"/>
      <w:szCs w:val="20"/>
    </w:rPr>
  </w:style>
  <w:style w:type="paragraph" w:styleId="55">
    <w:name w:val="Normal (Web)"/>
    <w:basedOn w:val="1"/>
    <w:link w:val="728"/>
    <w:unhideWhenUsed/>
    <w:qFormat/>
    <w:uiPriority w:val="0"/>
    <w:pPr>
      <w:widowControl/>
      <w:spacing w:before="100" w:beforeAutospacing="1" w:after="100" w:afterAutospacing="1"/>
      <w:jc w:val="left"/>
    </w:pPr>
    <w:rPr>
      <w:rFonts w:ascii="(使用中文字体)" w:hAnsi="(使用中文字体)" w:cs="(使用中文字体)"/>
      <w:kern w:val="0"/>
      <w:sz w:val="24"/>
      <w:szCs w:val="24"/>
    </w:rPr>
  </w:style>
  <w:style w:type="paragraph" w:styleId="56">
    <w:name w:val="index 1"/>
    <w:basedOn w:val="1"/>
    <w:next w:val="1"/>
    <w:unhideWhenUsed/>
    <w:qFormat/>
    <w:uiPriority w:val="0"/>
    <w:pPr>
      <w:tabs>
        <w:tab w:val="left" w:pos="900"/>
      </w:tabs>
      <w:adjustRightInd w:val="0"/>
      <w:ind w:firstLine="420" w:firstLineChars="200"/>
    </w:pPr>
    <w:rPr>
      <w:rFonts w:ascii="宋体" w:hAnsi="宋体"/>
    </w:rPr>
  </w:style>
  <w:style w:type="paragraph" w:styleId="57">
    <w:name w:val="Title"/>
    <w:basedOn w:val="1"/>
    <w:next w:val="1"/>
    <w:link w:val="99"/>
    <w:qFormat/>
    <w:uiPriority w:val="0"/>
    <w:pPr>
      <w:spacing w:after="80"/>
      <w:contextualSpacing/>
      <w:jc w:val="center"/>
    </w:pPr>
    <w:rPr>
      <w:rFonts w:asciiTheme="majorHAnsi" w:hAnsiTheme="majorHAnsi" w:eastAsiaTheme="majorEastAsia" w:cstheme="majorBidi"/>
      <w:spacing w:val="-10"/>
      <w:kern w:val="28"/>
      <w:sz w:val="56"/>
      <w:szCs w:val="56"/>
    </w:rPr>
  </w:style>
  <w:style w:type="paragraph" w:styleId="58">
    <w:name w:val="annotation subject"/>
    <w:basedOn w:val="21"/>
    <w:next w:val="21"/>
    <w:link w:val="122"/>
    <w:unhideWhenUsed/>
    <w:qFormat/>
    <w:uiPriority w:val="0"/>
    <w:rPr>
      <w:rFonts w:cs="宋体"/>
    </w:rPr>
  </w:style>
  <w:style w:type="paragraph" w:styleId="59">
    <w:name w:val="Body Text First Indent 2"/>
    <w:basedOn w:val="2"/>
    <w:link w:val="89"/>
    <w:unhideWhenUsed/>
    <w:qFormat/>
    <w:uiPriority w:val="99"/>
    <w:pPr>
      <w:ind w:firstLine="420" w:firstLineChars="200"/>
    </w:pPr>
  </w:style>
  <w:style w:type="table" w:styleId="61">
    <w:name w:val="Table Grid"/>
    <w:basedOn w:val="60"/>
    <w:qFormat/>
    <w:uiPriority w:val="0"/>
    <w:rPr>
      <w:rFonts w:ascii="Times New Roman" w:hAnsi="Times New Roman"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62">
    <w:name w:val="Table Theme"/>
    <w:basedOn w:val="60"/>
    <w:semiHidden/>
    <w:unhideWhenUsed/>
    <w:qFormat/>
    <w:uiPriority w:val="9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63">
    <w:name w:val="Table Elegant"/>
    <w:basedOn w:val="60"/>
    <w:qFormat/>
    <w:uiPriority w:val="0"/>
    <w:pPr>
      <w:widowControl w:val="0"/>
      <w:jc w:val="both"/>
    </w:pPr>
    <w:rPr>
      <w:rFonts w:ascii="Times New Roman" w:hAnsi="Times New Roman" w:eastAsia="宋体" w:cs="Times New Roman"/>
    </w:rPr>
    <w:tblPr>
      <w:tblBorders>
        <w:top w:val="double" w:color="auto" w:sz="6" w:space="0"/>
        <w:left w:val="double" w:color="auto" w:sz="6" w:space="0"/>
        <w:bottom w:val="double" w:color="auto" w:sz="6" w:space="0"/>
        <w:right w:val="double" w:color="auto" w:sz="6" w:space="0"/>
        <w:insideH w:val="single" w:color="auto" w:sz="6" w:space="0"/>
        <w:insideV w:val="single" w:color="auto" w:sz="6" w:space="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64">
    <w:name w:val="Medium Shading 2 Accent 2"/>
    <w:basedOn w:val="60"/>
    <w:qFormat/>
    <w:uiPriority w:val="0"/>
    <w:rPr>
      <w:rFonts w:ascii="Times New Roman" w:hAnsi="Times New Roman" w:eastAsia="宋体" w:cs="Times New Roman"/>
    </w:rPr>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D3DFEE"/>
    </w:tcPr>
    <w:tblStylePr w:type="firstRow">
      <w:rPr>
        <w:b/>
        <w:bCs/>
        <w:color w:val="FFFFFF"/>
      </w:rPr>
      <w:tblPr/>
      <w:tcPr>
        <w:tcBorders>
          <w:top w:val="single" w:color="CCE8CF" w:sz="8" w:space="0"/>
          <w:left w:val="single" w:color="CCE8CF" w:sz="8" w:space="0"/>
          <w:bottom w:val="single" w:color="CCE8CF" w:sz="24" w:space="0"/>
          <w:right w:val="single" w:color="CCE8CF" w:sz="8" w:space="0"/>
          <w:insideH w:val="nil"/>
          <w:insideV w:val="single" w:sz="8" w:space="0"/>
          <w:tl2br w:val="nil"/>
          <w:tr2bl w:val="nil"/>
        </w:tcBorders>
        <w:shd w:val="clear" w:color="auto" w:fill="4F81BD"/>
      </w:tcPr>
    </w:tblStylePr>
    <w:tblStylePr w:type="lastRow">
      <w:rPr>
        <w:color w:val="auto"/>
      </w:rPr>
      <w:tblPr/>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4F81BD"/>
      </w:tcPr>
    </w:tblStylePr>
    <w:tblStylePr w:type="firstCol">
      <w:rPr>
        <w:b/>
        <w:bCs/>
        <w:color w:val="FFFFFF"/>
      </w:rPr>
      <w:tblPr/>
      <w:tcPr>
        <w:tcBorders>
          <w:top w:val="nil"/>
          <w:left w:val="single" w:color="CCE8CF" w:sz="8" w:space="0"/>
          <w:bottom w:val="nil"/>
          <w:right w:val="single" w:color="CCE8CF" w:sz="24" w:space="0"/>
          <w:insideH w:val="nil"/>
          <w:insideV w:val="nil"/>
          <w:tl2br w:val="nil"/>
          <w:tr2bl w:val="nil"/>
        </w:tcBorders>
        <w:shd w:val="clear" w:color="auto" w:fill="4F81BD"/>
      </w:tcPr>
    </w:tblStylePr>
    <w:tblStylePr w:type="lastCol">
      <w:rPr>
        <w:b/>
        <w:bCs/>
        <w:color w:val="FFFFFF"/>
      </w:rPr>
      <w:tblPr/>
      <w:tcPr>
        <w:tcBorders>
          <w:top w:val="nil"/>
          <w:left w:val="single" w:color="CCE8CF" w:sz="24" w:space="0"/>
          <w:bottom w:val="nil"/>
          <w:right w:val="nil"/>
          <w:insideH w:val="nil"/>
          <w:insideV w:val="nil"/>
          <w:tl2br w:val="nil"/>
          <w:tr2bl w:val="nil"/>
        </w:tcBorders>
        <w:shd w:val="clear" w:color="auto" w:fill="4F81B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A7BFDE"/>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A7BFDE"/>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65">
    <w:name w:val="Medium Shading 2 Accent 3"/>
    <w:basedOn w:val="60"/>
    <w:qFormat/>
    <w:uiPriority w:val="0"/>
    <w:rPr>
      <w:rFonts w:ascii="Times New Roman" w:hAnsi="Times New Roman" w:eastAsia="宋体" w:cs="Times New Roman"/>
    </w:rPr>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EFD3D2"/>
    </w:tcPr>
    <w:tblStylePr w:type="firstRow">
      <w:rPr>
        <w:b/>
        <w:bCs/>
        <w:color w:val="FFFFFF"/>
      </w:rPr>
      <w:tblPr/>
      <w:tcPr>
        <w:tcBorders>
          <w:top w:val="single" w:color="CCE8CF" w:sz="8" w:space="0"/>
          <w:left w:val="single" w:color="CCE8CF" w:sz="8" w:space="0"/>
          <w:bottom w:val="single" w:color="CCE8CF" w:sz="24" w:space="0"/>
          <w:right w:val="single" w:color="CCE8CF" w:sz="8" w:space="0"/>
          <w:insideH w:val="nil"/>
          <w:insideV w:val="single" w:sz="8" w:space="0"/>
          <w:tl2br w:val="nil"/>
          <w:tr2bl w:val="nil"/>
        </w:tcBorders>
        <w:shd w:val="clear" w:color="auto" w:fill="C0504D"/>
      </w:tcPr>
    </w:tblStylePr>
    <w:tblStylePr w:type="lastRow">
      <w:rPr>
        <w:color w:val="auto"/>
      </w:rPr>
      <w:tblPr/>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C0504D"/>
      </w:tcPr>
    </w:tblStylePr>
    <w:tblStylePr w:type="firstCol">
      <w:rPr>
        <w:b/>
        <w:bCs/>
        <w:color w:val="FFFFFF"/>
      </w:rPr>
      <w:tblPr/>
      <w:tcPr>
        <w:tcBorders>
          <w:top w:val="nil"/>
          <w:left w:val="single" w:color="CCE8CF" w:sz="8" w:space="0"/>
          <w:bottom w:val="nil"/>
          <w:right w:val="single" w:color="CCE8CF" w:sz="24" w:space="0"/>
          <w:insideH w:val="nil"/>
          <w:insideV w:val="nil"/>
          <w:tl2br w:val="nil"/>
          <w:tr2bl w:val="nil"/>
        </w:tcBorders>
        <w:shd w:val="clear" w:color="auto" w:fill="C0504D"/>
      </w:tcPr>
    </w:tblStylePr>
    <w:tblStylePr w:type="lastCol">
      <w:rPr>
        <w:b/>
        <w:bCs/>
        <w:color w:val="FFFFFF"/>
      </w:rPr>
      <w:tblPr/>
      <w:tcPr>
        <w:tcBorders>
          <w:top w:val="nil"/>
          <w:left w:val="single" w:color="CCE8CF" w:sz="24" w:space="0"/>
          <w:bottom w:val="nil"/>
          <w:right w:val="nil"/>
          <w:insideH w:val="nil"/>
          <w:insideV w:val="nil"/>
          <w:tl2br w:val="nil"/>
          <w:tr2bl w:val="nil"/>
        </w:tcBorders>
        <w:shd w:val="clear" w:color="auto" w:fill="C0504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DFA7A6"/>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DFA7A6"/>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66">
    <w:name w:val="Medium Shading 2 Accent 4"/>
    <w:basedOn w:val="60"/>
    <w:qFormat/>
    <w:uiPriority w:val="0"/>
    <w:rPr>
      <w:rFonts w:ascii="Times New Roman" w:hAnsi="Times New Roman" w:eastAsia="宋体" w:cs="Times New Roman"/>
    </w:rPr>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E6EED5"/>
    </w:tcPr>
    <w:tblStylePr w:type="firstRow">
      <w:rPr>
        <w:b/>
        <w:bCs/>
        <w:color w:val="FFFFFF"/>
      </w:rPr>
      <w:tblPr/>
      <w:tcPr>
        <w:tcBorders>
          <w:top w:val="single" w:color="CCE8CF" w:sz="8" w:space="0"/>
          <w:left w:val="single" w:color="CCE8CF" w:sz="8" w:space="0"/>
          <w:bottom w:val="single" w:color="CCE8CF" w:sz="24" w:space="0"/>
          <w:right w:val="single" w:color="CCE8CF" w:sz="8" w:space="0"/>
          <w:insideH w:val="nil"/>
          <w:insideV w:val="single" w:sz="8" w:space="0"/>
          <w:tl2br w:val="nil"/>
          <w:tr2bl w:val="nil"/>
        </w:tcBorders>
        <w:shd w:val="clear" w:color="auto" w:fill="9BBB59"/>
      </w:tcPr>
    </w:tblStylePr>
    <w:tblStylePr w:type="lastRow">
      <w:rPr>
        <w:color w:val="auto"/>
      </w:rPr>
      <w:tblPr/>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9BBB59"/>
      </w:tcPr>
    </w:tblStylePr>
    <w:tblStylePr w:type="firstCol">
      <w:rPr>
        <w:b/>
        <w:bCs/>
        <w:color w:val="FFFFFF"/>
      </w:rPr>
      <w:tblPr/>
      <w:tcPr>
        <w:tcBorders>
          <w:top w:val="nil"/>
          <w:left w:val="single" w:color="CCE8CF" w:sz="8" w:space="0"/>
          <w:bottom w:val="nil"/>
          <w:right w:val="single" w:color="CCE8CF" w:sz="24" w:space="0"/>
          <w:insideH w:val="nil"/>
          <w:insideV w:val="nil"/>
          <w:tl2br w:val="nil"/>
          <w:tr2bl w:val="nil"/>
        </w:tcBorders>
        <w:shd w:val="clear" w:color="auto" w:fill="9BBB59"/>
      </w:tcPr>
    </w:tblStylePr>
    <w:tblStylePr w:type="lastCol">
      <w:rPr>
        <w:b/>
        <w:bCs/>
        <w:color w:val="FFFFFF"/>
      </w:rPr>
      <w:tblPr/>
      <w:tcPr>
        <w:tcBorders>
          <w:top w:val="nil"/>
          <w:left w:val="single" w:color="CCE8CF" w:sz="24" w:space="0"/>
          <w:bottom w:val="nil"/>
          <w:right w:val="nil"/>
          <w:insideH w:val="nil"/>
          <w:insideV w:val="nil"/>
          <w:tl2br w:val="nil"/>
          <w:tr2bl w:val="nil"/>
        </w:tcBorders>
        <w:shd w:val="clear" w:color="auto" w:fill="9BBB59"/>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CDDDAC"/>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CDDDAC"/>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67">
    <w:name w:val="Medium Shading 2 Accent 5"/>
    <w:basedOn w:val="60"/>
    <w:qFormat/>
    <w:uiPriority w:val="0"/>
    <w:rPr>
      <w:rFonts w:ascii="Times New Roman" w:hAnsi="Times New Roman" w:eastAsia="宋体" w:cs="Times New Roman"/>
    </w:rPr>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DFD8E8"/>
    </w:tcPr>
    <w:tblStylePr w:type="firstRow">
      <w:rPr>
        <w:b/>
        <w:bCs/>
        <w:color w:val="FFFFFF"/>
      </w:rPr>
      <w:tblPr/>
      <w:tcPr>
        <w:tcBorders>
          <w:top w:val="single" w:color="CCE8CF" w:sz="8" w:space="0"/>
          <w:left w:val="single" w:color="CCE8CF" w:sz="8" w:space="0"/>
          <w:bottom w:val="single" w:color="CCE8CF" w:sz="24" w:space="0"/>
          <w:right w:val="single" w:color="CCE8CF" w:sz="8" w:space="0"/>
          <w:insideH w:val="nil"/>
          <w:insideV w:val="single" w:sz="8" w:space="0"/>
          <w:tl2br w:val="nil"/>
          <w:tr2bl w:val="nil"/>
        </w:tcBorders>
        <w:shd w:val="clear" w:color="auto" w:fill="8064A2"/>
      </w:tcPr>
    </w:tblStylePr>
    <w:tblStylePr w:type="lastRow">
      <w:rPr>
        <w:color w:val="auto"/>
      </w:rPr>
      <w:tblPr/>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8064A2"/>
      </w:tcPr>
    </w:tblStylePr>
    <w:tblStylePr w:type="firstCol">
      <w:rPr>
        <w:b/>
        <w:bCs/>
        <w:color w:val="FFFFFF"/>
      </w:rPr>
      <w:tblPr/>
      <w:tcPr>
        <w:tcBorders>
          <w:top w:val="nil"/>
          <w:left w:val="single" w:color="CCE8CF" w:sz="8" w:space="0"/>
          <w:bottom w:val="nil"/>
          <w:right w:val="single" w:color="CCE8CF" w:sz="24" w:space="0"/>
          <w:insideH w:val="nil"/>
          <w:insideV w:val="nil"/>
          <w:tl2br w:val="nil"/>
          <w:tr2bl w:val="nil"/>
        </w:tcBorders>
        <w:shd w:val="clear" w:color="auto" w:fill="8064A2"/>
      </w:tcPr>
    </w:tblStylePr>
    <w:tblStylePr w:type="lastCol">
      <w:rPr>
        <w:b/>
        <w:bCs/>
        <w:color w:val="FFFFFF"/>
      </w:rPr>
      <w:tblPr/>
      <w:tcPr>
        <w:tcBorders>
          <w:top w:val="nil"/>
          <w:left w:val="single" w:color="CCE8CF" w:sz="24" w:space="0"/>
          <w:bottom w:val="nil"/>
          <w:right w:val="nil"/>
          <w:insideH w:val="nil"/>
          <w:insideV w:val="nil"/>
          <w:tl2br w:val="nil"/>
          <w:tr2bl w:val="nil"/>
        </w:tcBorders>
        <w:shd w:val="clear" w:color="auto" w:fill="8064A2"/>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BFB1D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BFB1D0"/>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68">
    <w:name w:val="Medium Shading 2 Accent 6"/>
    <w:basedOn w:val="60"/>
    <w:qFormat/>
    <w:uiPriority w:val="0"/>
    <w:rPr>
      <w:rFonts w:ascii="Times New Roman" w:hAnsi="Times New Roman" w:eastAsia="宋体" w:cs="Times New Roman"/>
    </w:rPr>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D2EAF1"/>
    </w:tcPr>
    <w:tblStylePr w:type="firstRow">
      <w:rPr>
        <w:b/>
        <w:bCs/>
        <w:color w:val="FFFFFF"/>
      </w:rPr>
      <w:tblPr/>
      <w:tcPr>
        <w:tcBorders>
          <w:top w:val="single" w:color="CCE8CF" w:sz="8" w:space="0"/>
          <w:left w:val="single" w:color="CCE8CF" w:sz="8" w:space="0"/>
          <w:bottom w:val="single" w:color="CCE8CF" w:sz="24" w:space="0"/>
          <w:right w:val="single" w:color="CCE8CF" w:sz="8" w:space="0"/>
          <w:insideH w:val="nil"/>
          <w:insideV w:val="single" w:sz="8" w:space="0"/>
          <w:tl2br w:val="nil"/>
          <w:tr2bl w:val="nil"/>
        </w:tcBorders>
        <w:shd w:val="clear" w:color="auto" w:fill="4BACC6"/>
      </w:tcPr>
    </w:tblStylePr>
    <w:tblStylePr w:type="lastRow">
      <w:rPr>
        <w:color w:val="auto"/>
      </w:rPr>
      <w:tblPr/>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4BACC6"/>
      </w:tcPr>
    </w:tblStylePr>
    <w:tblStylePr w:type="firstCol">
      <w:rPr>
        <w:b/>
        <w:bCs/>
        <w:color w:val="FFFFFF"/>
      </w:rPr>
      <w:tblPr/>
      <w:tcPr>
        <w:tcBorders>
          <w:top w:val="nil"/>
          <w:left w:val="single" w:color="CCE8CF" w:sz="8" w:space="0"/>
          <w:bottom w:val="nil"/>
          <w:right w:val="single" w:color="CCE8CF" w:sz="24" w:space="0"/>
          <w:insideH w:val="nil"/>
          <w:insideV w:val="nil"/>
          <w:tl2br w:val="nil"/>
          <w:tr2bl w:val="nil"/>
        </w:tcBorders>
        <w:shd w:val="clear" w:color="auto" w:fill="4BACC6"/>
      </w:tcPr>
    </w:tblStylePr>
    <w:tblStylePr w:type="lastCol">
      <w:rPr>
        <w:b/>
        <w:bCs/>
        <w:color w:val="FFFFFF"/>
      </w:rPr>
      <w:tblPr/>
      <w:tcPr>
        <w:tcBorders>
          <w:top w:val="nil"/>
          <w:left w:val="single" w:color="CCE8CF" w:sz="24" w:space="0"/>
          <w:bottom w:val="nil"/>
          <w:right w:val="nil"/>
          <w:insideH w:val="nil"/>
          <w:insideV w:val="nil"/>
          <w:tl2br w:val="nil"/>
          <w:tr2bl w:val="nil"/>
        </w:tcBorders>
        <w:shd w:val="clear" w:color="auto" w:fill="4BACC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A5D5E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A5D5E2"/>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character" w:styleId="70">
    <w:name w:val="Strong"/>
    <w:basedOn w:val="69"/>
    <w:qFormat/>
    <w:uiPriority w:val="0"/>
    <w:rPr>
      <w:rFonts w:hint="default" w:ascii="Times New Roman" w:hAnsi="Times New Roman" w:cs="Times New Roman"/>
      <w:b/>
    </w:rPr>
  </w:style>
  <w:style w:type="character" w:styleId="71">
    <w:name w:val="page number"/>
    <w:basedOn w:val="69"/>
    <w:unhideWhenUsed/>
    <w:qFormat/>
    <w:uiPriority w:val="0"/>
    <w:rPr>
      <w:rFonts w:hint="default" w:ascii="Times New Roman" w:hAnsi="Times New Roman" w:cs="Times New Roman"/>
    </w:rPr>
  </w:style>
  <w:style w:type="character" w:styleId="72">
    <w:name w:val="FollowedHyperlink"/>
    <w:basedOn w:val="69"/>
    <w:unhideWhenUsed/>
    <w:qFormat/>
    <w:uiPriority w:val="0"/>
    <w:rPr>
      <w:rFonts w:hint="default" w:ascii="Times New Roman" w:hAnsi="Times New Roman" w:cs="Times New Roman"/>
      <w:color w:val="800080"/>
      <w:u w:val="single"/>
    </w:rPr>
  </w:style>
  <w:style w:type="character" w:styleId="73">
    <w:name w:val="Emphasis"/>
    <w:qFormat/>
    <w:uiPriority w:val="0"/>
    <w:rPr>
      <w:rFonts w:ascii="Calibri" w:hAnsi="Calibri" w:eastAsia="宋体" w:cs="Times New Roman"/>
    </w:rPr>
  </w:style>
  <w:style w:type="character" w:styleId="74">
    <w:name w:val="HTML Definition"/>
    <w:basedOn w:val="69"/>
    <w:semiHidden/>
    <w:unhideWhenUsed/>
    <w:qFormat/>
    <w:uiPriority w:val="0"/>
    <w:rPr>
      <w:rFonts w:hint="default" w:ascii="Times New Roman" w:hAnsi="Times New Roman" w:cs="Times New Roman"/>
      <w:i/>
    </w:rPr>
  </w:style>
  <w:style w:type="character" w:styleId="75">
    <w:name w:val="Hyperlink"/>
    <w:basedOn w:val="69"/>
    <w:unhideWhenUsed/>
    <w:qFormat/>
    <w:uiPriority w:val="99"/>
    <w:rPr>
      <w:rFonts w:hint="default" w:ascii="Times New Roman" w:hAnsi="Times New Roman" w:cs="Times New Roman"/>
      <w:color w:val="0000FF"/>
      <w:u w:val="single"/>
    </w:rPr>
  </w:style>
  <w:style w:type="character" w:styleId="76">
    <w:name w:val="HTML Code"/>
    <w:basedOn w:val="69"/>
    <w:semiHidden/>
    <w:unhideWhenUsed/>
    <w:qFormat/>
    <w:uiPriority w:val="0"/>
    <w:rPr>
      <w:rFonts w:hint="default" w:ascii="Marlett" w:hAnsi="Marlett" w:eastAsia="Times New Roman" w:cs="Times New Roman"/>
      <w:sz w:val="21"/>
      <w:szCs w:val="24"/>
    </w:rPr>
  </w:style>
  <w:style w:type="character" w:styleId="77">
    <w:name w:val="annotation reference"/>
    <w:basedOn w:val="69"/>
    <w:unhideWhenUsed/>
    <w:qFormat/>
    <w:uiPriority w:val="0"/>
    <w:rPr>
      <w:rFonts w:hint="default" w:ascii="Times New Roman" w:hAnsi="Times New Roman" w:cs="Times New Roman"/>
      <w:sz w:val="21"/>
    </w:rPr>
  </w:style>
  <w:style w:type="character" w:styleId="78">
    <w:name w:val="footnote reference"/>
    <w:basedOn w:val="69"/>
    <w:qFormat/>
    <w:uiPriority w:val="0"/>
    <w:rPr>
      <w:vertAlign w:val="superscript"/>
    </w:rPr>
  </w:style>
  <w:style w:type="character" w:styleId="79">
    <w:name w:val="HTML Keyboard"/>
    <w:basedOn w:val="69"/>
    <w:semiHidden/>
    <w:unhideWhenUsed/>
    <w:qFormat/>
    <w:uiPriority w:val="0"/>
    <w:rPr>
      <w:rFonts w:hint="default" w:ascii="Marlett" w:hAnsi="Marlett" w:eastAsia="Times New Roman" w:cs="Times New Roman"/>
      <w:sz w:val="21"/>
      <w:szCs w:val="24"/>
    </w:rPr>
  </w:style>
  <w:style w:type="character" w:styleId="80">
    <w:name w:val="HTML Sample"/>
    <w:basedOn w:val="69"/>
    <w:semiHidden/>
    <w:unhideWhenUsed/>
    <w:qFormat/>
    <w:uiPriority w:val="0"/>
    <w:rPr>
      <w:rFonts w:hint="default" w:ascii="Marlett" w:hAnsi="Marlett" w:eastAsia="Times New Roman" w:cs="Times New Roman"/>
      <w:sz w:val="21"/>
    </w:rPr>
  </w:style>
  <w:style w:type="paragraph" w:customStyle="1" w:styleId="81">
    <w:name w:val="普通(网站)11"/>
    <w:basedOn w:val="1"/>
    <w:qFormat/>
    <w:uiPriority w:val="0"/>
    <w:pPr>
      <w:widowControl/>
      <w:spacing w:before="100" w:beforeAutospacing="1" w:after="100" w:afterAutospacing="1"/>
      <w:jc w:val="left"/>
    </w:pPr>
    <w:rPr>
      <w:rFonts w:ascii="宋体" w:hAnsi="宋体"/>
      <w:kern w:val="0"/>
      <w:sz w:val="24"/>
      <w:szCs w:val="24"/>
    </w:rPr>
  </w:style>
  <w:style w:type="character" w:customStyle="1" w:styleId="82">
    <w:name w:val="正文文本 字符"/>
    <w:basedOn w:val="69"/>
    <w:link w:val="25"/>
    <w:autoRedefine/>
    <w:qFormat/>
    <w:uiPriority w:val="1"/>
  </w:style>
  <w:style w:type="character" w:customStyle="1" w:styleId="83">
    <w:name w:val="正文文本首行缩进 字符"/>
    <w:basedOn w:val="82"/>
    <w:link w:val="26"/>
    <w:qFormat/>
    <w:uiPriority w:val="0"/>
    <w:rPr>
      <w:rFonts w:ascii="Calibri" w:hAnsi="Calibri" w:eastAsia="宋体" w:cs="Times New Roman"/>
      <w:kern w:val="0"/>
      <w:sz w:val="21"/>
      <w:szCs w:val="22"/>
      <w14:ligatures w14:val="none"/>
    </w:rPr>
  </w:style>
  <w:style w:type="paragraph" w:customStyle="1" w:styleId="84">
    <w:name w:val="首行缩进"/>
    <w:basedOn w:val="1"/>
    <w:qFormat/>
    <w:uiPriority w:val="0"/>
    <w:pPr>
      <w:spacing w:line="360" w:lineRule="auto"/>
      <w:ind w:firstLine="480" w:firstLineChars="200"/>
      <w:jc w:val="left"/>
    </w:pPr>
    <w:rPr>
      <w:rFonts w:ascii="宋体" w:hAnsi="宋体"/>
      <w:sz w:val="24"/>
    </w:rPr>
  </w:style>
  <w:style w:type="paragraph" w:customStyle="1" w:styleId="85">
    <w:name w:val="自动更正"/>
    <w:qFormat/>
    <w:uiPriority w:val="0"/>
    <w:pPr>
      <w:widowControl w:val="0"/>
      <w:jc w:val="both"/>
    </w:pPr>
    <w:rPr>
      <w:rFonts w:ascii="Calibri" w:hAnsi="Calibri" w:eastAsia="宋体" w:cs="Times New Roman"/>
      <w:kern w:val="2"/>
      <w:sz w:val="21"/>
      <w:szCs w:val="24"/>
      <w:lang w:val="en-US" w:eastAsia="zh-CN" w:bidi="ar-SA"/>
    </w:rPr>
  </w:style>
  <w:style w:type="character" w:customStyle="1" w:styleId="86">
    <w:name w:val="纯文本 字符"/>
    <w:basedOn w:val="69"/>
    <w:link w:val="33"/>
    <w:autoRedefine/>
    <w:qFormat/>
    <w:uiPriority w:val="0"/>
    <w:rPr>
      <w:rFonts w:ascii="宋体" w:hAnsi="Courier New" w:eastAsia="宋体" w:cs="Times New Roman"/>
      <w:kern w:val="0"/>
      <w:sz w:val="24"/>
      <w:szCs w:val="20"/>
    </w:rPr>
  </w:style>
  <w:style w:type="character" w:customStyle="1" w:styleId="87">
    <w:name w:val="标题 2 字符"/>
    <w:basedOn w:val="69"/>
    <w:link w:val="4"/>
    <w:qFormat/>
    <w:uiPriority w:val="9"/>
    <w:rPr>
      <w:rFonts w:asciiTheme="majorHAnsi" w:hAnsiTheme="majorHAnsi" w:eastAsiaTheme="majorEastAsia" w:cstheme="majorBidi"/>
      <w:color w:val="104862" w:themeColor="accent1" w:themeShade="BF"/>
      <w:sz w:val="40"/>
      <w:szCs w:val="40"/>
      <w14:ligatures w14:val="none"/>
    </w:rPr>
  </w:style>
  <w:style w:type="character" w:customStyle="1" w:styleId="88">
    <w:name w:val="正文文本缩进 字符"/>
    <w:basedOn w:val="69"/>
    <w:link w:val="2"/>
    <w:qFormat/>
    <w:uiPriority w:val="99"/>
    <w:rPr>
      <w:sz w:val="21"/>
      <w:szCs w:val="22"/>
      <w14:ligatures w14:val="none"/>
    </w:rPr>
  </w:style>
  <w:style w:type="character" w:customStyle="1" w:styleId="89">
    <w:name w:val="正文文本首行缩进 2 字符"/>
    <w:basedOn w:val="88"/>
    <w:link w:val="59"/>
    <w:qFormat/>
    <w:uiPriority w:val="99"/>
    <w:rPr>
      <w:sz w:val="21"/>
      <w:szCs w:val="22"/>
      <w14:ligatures w14:val="none"/>
    </w:rPr>
  </w:style>
  <w:style w:type="paragraph" w:customStyle="1" w:styleId="90">
    <w:name w:val="1"/>
    <w:basedOn w:val="1"/>
    <w:qFormat/>
    <w:uiPriority w:val="99"/>
    <w:pPr>
      <w:widowControl/>
      <w:spacing w:before="100" w:beforeAutospacing="1" w:after="100" w:afterAutospacing="1"/>
      <w:jc w:val="left"/>
    </w:pPr>
    <w:rPr>
      <w:rFonts w:ascii="宋体" w:hAnsi="宋体" w:cs="宋体"/>
      <w:kern w:val="0"/>
      <w:sz w:val="24"/>
      <w:szCs w:val="24"/>
    </w:rPr>
  </w:style>
  <w:style w:type="character" w:customStyle="1" w:styleId="91">
    <w:name w:val="标题 1 字符"/>
    <w:basedOn w:val="69"/>
    <w:link w:val="3"/>
    <w:qFormat/>
    <w:uiPriority w:val="0"/>
    <w:rPr>
      <w:rFonts w:asciiTheme="majorHAnsi" w:hAnsiTheme="majorHAnsi" w:eastAsiaTheme="majorEastAsia" w:cstheme="majorBidi"/>
      <w:color w:val="104862" w:themeColor="accent1" w:themeShade="BF"/>
      <w:sz w:val="48"/>
      <w:szCs w:val="48"/>
      <w14:ligatures w14:val="none"/>
    </w:rPr>
  </w:style>
  <w:style w:type="character" w:customStyle="1" w:styleId="92">
    <w:name w:val="标题 3 字符"/>
    <w:basedOn w:val="69"/>
    <w:link w:val="5"/>
    <w:qFormat/>
    <w:uiPriority w:val="0"/>
    <w:rPr>
      <w:rFonts w:asciiTheme="majorHAnsi" w:hAnsiTheme="majorHAnsi" w:eastAsiaTheme="majorEastAsia" w:cstheme="majorBidi"/>
      <w:color w:val="104862" w:themeColor="accent1" w:themeShade="BF"/>
      <w:sz w:val="32"/>
      <w:szCs w:val="32"/>
      <w14:ligatures w14:val="none"/>
    </w:rPr>
  </w:style>
  <w:style w:type="character" w:customStyle="1" w:styleId="93">
    <w:name w:val="标题 4 字符"/>
    <w:basedOn w:val="69"/>
    <w:link w:val="6"/>
    <w:qFormat/>
    <w:uiPriority w:val="0"/>
    <w:rPr>
      <w:rFonts w:cstheme="majorBidi"/>
      <w:color w:val="104862" w:themeColor="accent1" w:themeShade="BF"/>
      <w:sz w:val="28"/>
      <w:szCs w:val="28"/>
      <w14:ligatures w14:val="none"/>
    </w:rPr>
  </w:style>
  <w:style w:type="character" w:customStyle="1" w:styleId="94">
    <w:name w:val="标题 5 字符"/>
    <w:basedOn w:val="69"/>
    <w:link w:val="7"/>
    <w:qFormat/>
    <w:uiPriority w:val="0"/>
    <w:rPr>
      <w:rFonts w:cstheme="majorBidi"/>
      <w:color w:val="104862" w:themeColor="accent1" w:themeShade="BF"/>
      <w:sz w:val="24"/>
      <w14:ligatures w14:val="none"/>
    </w:rPr>
  </w:style>
  <w:style w:type="character" w:customStyle="1" w:styleId="95">
    <w:name w:val="标题 6 字符"/>
    <w:basedOn w:val="69"/>
    <w:link w:val="8"/>
    <w:qFormat/>
    <w:uiPriority w:val="9"/>
    <w:rPr>
      <w:rFonts w:cstheme="majorBidi"/>
      <w:b/>
      <w:bCs/>
      <w:color w:val="104862" w:themeColor="accent1" w:themeShade="BF"/>
      <w:sz w:val="21"/>
      <w:szCs w:val="22"/>
      <w14:ligatures w14:val="none"/>
    </w:rPr>
  </w:style>
  <w:style w:type="character" w:customStyle="1" w:styleId="96">
    <w:name w:val="标题 7 字符"/>
    <w:basedOn w:val="69"/>
    <w:link w:val="9"/>
    <w:qFormat/>
    <w:uiPriority w:val="9"/>
    <w:rPr>
      <w:rFonts w:cstheme="majorBidi"/>
      <w:b/>
      <w:bCs/>
      <w:color w:val="595959" w:themeColor="text1" w:themeTint="A6"/>
      <w:sz w:val="21"/>
      <w:szCs w:val="22"/>
      <w14:textFill>
        <w14:solidFill>
          <w14:schemeClr w14:val="tx1">
            <w14:lumMod w14:val="65000"/>
            <w14:lumOff w14:val="35000"/>
          </w14:schemeClr>
        </w14:solidFill>
      </w14:textFill>
      <w14:ligatures w14:val="none"/>
    </w:rPr>
  </w:style>
  <w:style w:type="character" w:customStyle="1" w:styleId="97">
    <w:name w:val="标题 8 字符"/>
    <w:basedOn w:val="69"/>
    <w:link w:val="10"/>
    <w:qFormat/>
    <w:uiPriority w:val="9"/>
    <w:rPr>
      <w:rFonts w:cstheme="majorBidi"/>
      <w:color w:val="595959" w:themeColor="text1" w:themeTint="A6"/>
      <w:sz w:val="21"/>
      <w:szCs w:val="22"/>
      <w14:textFill>
        <w14:solidFill>
          <w14:schemeClr w14:val="tx1">
            <w14:lumMod w14:val="65000"/>
            <w14:lumOff w14:val="35000"/>
          </w14:schemeClr>
        </w14:solidFill>
      </w14:textFill>
      <w14:ligatures w14:val="none"/>
    </w:rPr>
  </w:style>
  <w:style w:type="character" w:customStyle="1" w:styleId="98">
    <w:name w:val="标题 9 字符"/>
    <w:basedOn w:val="69"/>
    <w:link w:val="11"/>
    <w:qFormat/>
    <w:uiPriority w:val="9"/>
    <w:rPr>
      <w:rFonts w:eastAsiaTheme="majorEastAsia" w:cstheme="majorBidi"/>
      <w:color w:val="595959" w:themeColor="text1" w:themeTint="A6"/>
      <w:sz w:val="21"/>
      <w:szCs w:val="22"/>
      <w14:textFill>
        <w14:solidFill>
          <w14:schemeClr w14:val="tx1">
            <w14:lumMod w14:val="65000"/>
            <w14:lumOff w14:val="35000"/>
          </w14:schemeClr>
        </w14:solidFill>
      </w14:textFill>
      <w14:ligatures w14:val="none"/>
    </w:rPr>
  </w:style>
  <w:style w:type="character" w:customStyle="1" w:styleId="99">
    <w:name w:val="标题 字符"/>
    <w:basedOn w:val="69"/>
    <w:link w:val="57"/>
    <w:qFormat/>
    <w:uiPriority w:val="0"/>
    <w:rPr>
      <w:rFonts w:asciiTheme="majorHAnsi" w:hAnsiTheme="majorHAnsi" w:eastAsiaTheme="majorEastAsia" w:cstheme="majorBidi"/>
      <w:spacing w:val="-10"/>
      <w:kern w:val="28"/>
      <w:sz w:val="56"/>
      <w:szCs w:val="56"/>
      <w14:ligatures w14:val="none"/>
    </w:rPr>
  </w:style>
  <w:style w:type="character" w:customStyle="1" w:styleId="100">
    <w:name w:val="副标题 字符"/>
    <w:basedOn w:val="69"/>
    <w:link w:val="45"/>
    <w:qFormat/>
    <w:uiPriority w:val="0"/>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14:ligatures w14:val="none"/>
    </w:rPr>
  </w:style>
  <w:style w:type="paragraph" w:styleId="101">
    <w:name w:val="Quote"/>
    <w:basedOn w:val="1"/>
    <w:next w:val="1"/>
    <w:link w:val="102"/>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102">
    <w:name w:val="引用 字符"/>
    <w:basedOn w:val="69"/>
    <w:link w:val="101"/>
    <w:uiPriority w:val="29"/>
    <w:rPr>
      <w:rFonts w:ascii="Times New Roman" w:hAnsi="Times New Roman" w:eastAsia="宋体" w:cs="Times New Roman"/>
      <w:i/>
      <w:iCs/>
      <w:color w:val="404040" w:themeColor="text1" w:themeTint="BF"/>
      <w:sz w:val="21"/>
      <w:szCs w:val="22"/>
      <w14:textFill>
        <w14:solidFill>
          <w14:schemeClr w14:val="tx1">
            <w14:lumMod w14:val="75000"/>
            <w14:lumOff w14:val="25000"/>
          </w14:schemeClr>
        </w14:solidFill>
      </w14:textFill>
      <w14:ligatures w14:val="none"/>
    </w:rPr>
  </w:style>
  <w:style w:type="paragraph" w:styleId="103">
    <w:name w:val="List Paragraph"/>
    <w:basedOn w:val="1"/>
    <w:qFormat/>
    <w:uiPriority w:val="34"/>
    <w:pPr>
      <w:ind w:left="720"/>
      <w:contextualSpacing/>
    </w:pPr>
  </w:style>
  <w:style w:type="character" w:customStyle="1" w:styleId="104">
    <w:name w:val="明显强调1"/>
    <w:basedOn w:val="69"/>
    <w:qFormat/>
    <w:uiPriority w:val="21"/>
    <w:rPr>
      <w:i/>
      <w:iCs/>
      <w:color w:val="104862" w:themeColor="accent1" w:themeShade="BF"/>
    </w:rPr>
  </w:style>
  <w:style w:type="paragraph" w:styleId="105">
    <w:name w:val="Intense Quote"/>
    <w:basedOn w:val="1"/>
    <w:next w:val="1"/>
    <w:link w:val="106"/>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106">
    <w:name w:val="明显引用 字符"/>
    <w:basedOn w:val="69"/>
    <w:link w:val="105"/>
    <w:qFormat/>
    <w:uiPriority w:val="30"/>
    <w:rPr>
      <w:rFonts w:ascii="Times New Roman" w:hAnsi="Times New Roman" w:eastAsia="宋体" w:cs="Times New Roman"/>
      <w:i/>
      <w:iCs/>
      <w:color w:val="104862" w:themeColor="accent1" w:themeShade="BF"/>
      <w:sz w:val="21"/>
      <w:szCs w:val="22"/>
      <w14:ligatures w14:val="none"/>
    </w:rPr>
  </w:style>
  <w:style w:type="character" w:customStyle="1" w:styleId="107">
    <w:name w:val="明显参考1"/>
    <w:basedOn w:val="69"/>
    <w:qFormat/>
    <w:uiPriority w:val="32"/>
    <w:rPr>
      <w:b/>
      <w:bCs/>
      <w:smallCaps/>
      <w:color w:val="104862" w:themeColor="accent1" w:themeShade="BF"/>
      <w:spacing w:val="5"/>
    </w:rPr>
  </w:style>
  <w:style w:type="character" w:customStyle="1" w:styleId="108">
    <w:name w:val="页眉 字符"/>
    <w:basedOn w:val="69"/>
    <w:link w:val="42"/>
    <w:qFormat/>
    <w:uiPriority w:val="99"/>
    <w:rPr>
      <w:rFonts w:ascii="Times New Roman" w:hAnsi="Times New Roman" w:eastAsia="宋体" w:cs="Times New Roman"/>
      <w:sz w:val="18"/>
      <w:szCs w:val="18"/>
      <w14:ligatures w14:val="none"/>
    </w:rPr>
  </w:style>
  <w:style w:type="character" w:customStyle="1" w:styleId="109">
    <w:name w:val="页脚 字符"/>
    <w:basedOn w:val="69"/>
    <w:link w:val="41"/>
    <w:qFormat/>
    <w:uiPriority w:val="99"/>
    <w:rPr>
      <w:rFonts w:ascii="Times New Roman" w:hAnsi="Times New Roman" w:eastAsia="宋体" w:cs="Times New Roman"/>
      <w:sz w:val="18"/>
      <w:szCs w:val="18"/>
      <w14:ligatures w14:val="none"/>
    </w:rPr>
  </w:style>
  <w:style w:type="character" w:customStyle="1" w:styleId="110">
    <w:name w:val="文档结构图 字符"/>
    <w:basedOn w:val="69"/>
    <w:link w:val="20"/>
    <w:qFormat/>
    <w:uiPriority w:val="0"/>
    <w:rPr>
      <w:rFonts w:ascii="Times New Roman" w:hAnsi="Times New Roman" w:eastAsia="宋体" w:cs="宋体"/>
      <w:sz w:val="21"/>
      <w:szCs w:val="22"/>
      <w:shd w:val="clear" w:color="auto" w:fill="000080"/>
      <w14:ligatures w14:val="none"/>
    </w:rPr>
  </w:style>
  <w:style w:type="character" w:customStyle="1" w:styleId="111">
    <w:name w:val="批注文字 字符"/>
    <w:basedOn w:val="69"/>
    <w:link w:val="21"/>
    <w:qFormat/>
    <w:uiPriority w:val="0"/>
    <w:rPr>
      <w:rFonts w:ascii="Times New Roman" w:hAnsi="Times New Roman" w:eastAsia="宋体" w:cs="Times New Roman"/>
      <w:b/>
      <w:bCs/>
      <w:sz w:val="36"/>
      <w:szCs w:val="36"/>
      <w14:ligatures w14:val="none"/>
    </w:rPr>
  </w:style>
  <w:style w:type="character" w:customStyle="1" w:styleId="112">
    <w:name w:val="称呼 字符"/>
    <w:basedOn w:val="69"/>
    <w:link w:val="22"/>
    <w:qFormat/>
    <w:uiPriority w:val="0"/>
    <w:rPr>
      <w:rFonts w:ascii="Times New Roman" w:hAnsi="Times New Roman" w:eastAsia="宋体" w:cs="Times New Roman"/>
      <w:kern w:val="0"/>
      <w:sz w:val="20"/>
      <w14:ligatures w14:val="none"/>
    </w:rPr>
  </w:style>
  <w:style w:type="character" w:customStyle="1" w:styleId="113">
    <w:name w:val="正文文本 3 字符"/>
    <w:basedOn w:val="69"/>
    <w:link w:val="23"/>
    <w:qFormat/>
    <w:uiPriority w:val="0"/>
    <w:rPr>
      <w:rFonts w:ascii="Times New Roman" w:hAnsi="宋体" w:eastAsia="Times New Roman" w:cs="Times New Roman"/>
      <w:b/>
      <w:sz w:val="24"/>
      <w:szCs w:val="22"/>
      <w14:ligatures w14:val="none"/>
    </w:rPr>
  </w:style>
  <w:style w:type="character" w:customStyle="1" w:styleId="114">
    <w:name w:val="日期 字符"/>
    <w:basedOn w:val="69"/>
    <w:link w:val="37"/>
    <w:qFormat/>
    <w:uiPriority w:val="99"/>
    <w:rPr>
      <w:rFonts w:ascii="Calibri" w:hAnsi="Calibri" w:eastAsia="楷体_GB2312" w:cs="Times New Roman"/>
      <w:kern w:val="0"/>
      <w:sz w:val="32"/>
      <w:szCs w:val="22"/>
      <w14:ligatures w14:val="none"/>
    </w:rPr>
  </w:style>
  <w:style w:type="character" w:customStyle="1" w:styleId="115">
    <w:name w:val="正文文本缩进 2 字符"/>
    <w:basedOn w:val="69"/>
    <w:link w:val="38"/>
    <w:qFormat/>
    <w:uiPriority w:val="0"/>
    <w:rPr>
      <w:rFonts w:ascii="仿宋_GB2312" w:hAnsi="宋体" w:eastAsia="宋体" w:cs="Times New Roman"/>
      <w:b/>
      <w:color w:val="000000"/>
      <w:kern w:val="0"/>
      <w:sz w:val="24"/>
      <w:szCs w:val="22"/>
      <w14:ligatures w14:val="none"/>
    </w:rPr>
  </w:style>
  <w:style w:type="character" w:customStyle="1" w:styleId="116">
    <w:name w:val="尾注文本 字符"/>
    <w:basedOn w:val="69"/>
    <w:link w:val="39"/>
    <w:qFormat/>
    <w:uiPriority w:val="0"/>
    <w:rPr>
      <w:rFonts w:ascii="Times New Roman" w:hAnsi="Times New Roman" w:eastAsia="宋体" w:cs="Times New Roman"/>
      <w:kern w:val="0"/>
      <w:sz w:val="24"/>
      <w:szCs w:val="20"/>
      <w14:ligatures w14:val="none"/>
    </w:rPr>
  </w:style>
  <w:style w:type="character" w:customStyle="1" w:styleId="117">
    <w:name w:val="批注框文本 字符"/>
    <w:basedOn w:val="69"/>
    <w:link w:val="40"/>
    <w:qFormat/>
    <w:uiPriority w:val="0"/>
    <w:rPr>
      <w:rFonts w:ascii="Calibri" w:hAnsi="Calibri" w:eastAsia="宋体" w:cs="Times New Roman"/>
      <w:sz w:val="18"/>
      <w:szCs w:val="18"/>
      <w14:ligatures w14:val="none"/>
    </w:rPr>
  </w:style>
  <w:style w:type="character" w:customStyle="1" w:styleId="118">
    <w:name w:val="脚注文本 字符"/>
    <w:basedOn w:val="69"/>
    <w:link w:val="48"/>
    <w:qFormat/>
    <w:uiPriority w:val="0"/>
    <w:rPr>
      <w:rFonts w:ascii="宋体" w:hAnsi="Calibri" w:eastAsia="宋体" w:cs="宋体"/>
      <w:sz w:val="18"/>
      <w:szCs w:val="18"/>
      <w14:ligatures w14:val="none"/>
    </w:rPr>
  </w:style>
  <w:style w:type="character" w:customStyle="1" w:styleId="119">
    <w:name w:val="正文文本缩进 3 字符"/>
    <w:basedOn w:val="69"/>
    <w:link w:val="50"/>
    <w:qFormat/>
    <w:uiPriority w:val="0"/>
    <w:rPr>
      <w:rFonts w:ascii="仿宋_GB2312" w:hAnsi="宋体" w:eastAsia="Times New Roman" w:cs="Times New Roman"/>
      <w:color w:val="000000"/>
      <w:kern w:val="0"/>
      <w:sz w:val="24"/>
      <w:szCs w:val="22"/>
      <w14:ligatures w14:val="none"/>
    </w:rPr>
  </w:style>
  <w:style w:type="character" w:customStyle="1" w:styleId="120">
    <w:name w:val="正文文本 2 字符"/>
    <w:basedOn w:val="69"/>
    <w:link w:val="53"/>
    <w:qFormat/>
    <w:uiPriority w:val="0"/>
    <w:rPr>
      <w:rFonts w:ascii="宋体" w:hAnsi="宋体" w:eastAsia="宋体" w:cs="宋体"/>
      <w:bCs/>
      <w:sz w:val="21"/>
      <w:szCs w:val="22"/>
      <w14:ligatures w14:val="none"/>
    </w:rPr>
  </w:style>
  <w:style w:type="character" w:customStyle="1" w:styleId="121">
    <w:name w:val="HTML 预设格式 字符"/>
    <w:basedOn w:val="69"/>
    <w:link w:val="54"/>
    <w:qFormat/>
    <w:uiPriority w:val="0"/>
    <w:rPr>
      <w:rFonts w:ascii="Courier New" w:hAnsi="Courier New" w:eastAsia="宋体" w:cs="Times New Roman"/>
      <w:kern w:val="0"/>
      <w:sz w:val="20"/>
      <w:szCs w:val="20"/>
      <w14:ligatures w14:val="none"/>
    </w:rPr>
  </w:style>
  <w:style w:type="character" w:customStyle="1" w:styleId="122">
    <w:name w:val="批注主题 字符"/>
    <w:basedOn w:val="111"/>
    <w:link w:val="58"/>
    <w:qFormat/>
    <w:uiPriority w:val="0"/>
    <w:rPr>
      <w:rFonts w:ascii="Times New Roman" w:hAnsi="Times New Roman" w:eastAsia="宋体" w:cs="宋体"/>
      <w:sz w:val="36"/>
      <w:szCs w:val="36"/>
      <w14:ligatures w14:val="none"/>
    </w:rPr>
  </w:style>
  <w:style w:type="paragraph" w:customStyle="1" w:styleId="123">
    <w:name w:val="表格文字"/>
    <w:basedOn w:val="1"/>
    <w:next w:val="25"/>
    <w:qFormat/>
    <w:uiPriority w:val="0"/>
    <w:rPr>
      <w:sz w:val="18"/>
      <w:szCs w:val="24"/>
    </w:rPr>
  </w:style>
  <w:style w:type="paragraph" w:customStyle="1" w:styleId="124">
    <w:name w:val="正文（绿盟科技）"/>
    <w:qFormat/>
    <w:uiPriority w:val="0"/>
    <w:pPr>
      <w:spacing w:line="300" w:lineRule="auto"/>
    </w:pPr>
    <w:rPr>
      <w:rFonts w:ascii="Arial" w:hAnsi="Arial" w:eastAsia="宋体" w:cs="Times New Roman"/>
      <w:sz w:val="21"/>
      <w:szCs w:val="21"/>
      <w:lang w:val="en-US" w:eastAsia="zh-CN" w:bidi="ar-SA"/>
    </w:rPr>
  </w:style>
  <w:style w:type="character" w:customStyle="1" w:styleId="125">
    <w:name w:val="正文缩进 字符"/>
    <w:link w:val="17"/>
    <w:qFormat/>
    <w:uiPriority w:val="0"/>
    <w:rPr>
      <w:rFonts w:ascii="Times New Roman" w:hAnsi="Times New Roman" w:eastAsia="宋体" w:cs="Times New Roman"/>
      <w:kern w:val="0"/>
      <w:sz w:val="20"/>
      <w:szCs w:val="20"/>
      <w14:ligatures w14:val="none"/>
    </w:rPr>
  </w:style>
  <w:style w:type="character" w:customStyle="1" w:styleId="126">
    <w:name w:val="题注 字符"/>
    <w:link w:val="18"/>
    <w:qFormat/>
    <w:uiPriority w:val="0"/>
    <w:rPr>
      <w:rFonts w:ascii="Arial" w:hAnsi="Arial" w:eastAsia="黑体" w:cs="Times New Roman"/>
      <w:kern w:val="0"/>
      <w:sz w:val="20"/>
      <w:szCs w:val="20"/>
      <w14:ligatures w14:val="none"/>
    </w:rPr>
  </w:style>
  <w:style w:type="character" w:customStyle="1" w:styleId="127">
    <w:name w:val="正文文本缩进 字符2"/>
    <w:basedOn w:val="69"/>
    <w:semiHidden/>
    <w:qFormat/>
    <w:uiPriority w:val="99"/>
    <w:rPr>
      <w:rFonts w:ascii="宋体" w:hAnsi="Courier New" w:eastAsia="宋体" w:cs="Times New Roman"/>
      <w:spacing w:val="-4"/>
      <w:kern w:val="0"/>
      <w:sz w:val="18"/>
    </w:rPr>
  </w:style>
  <w:style w:type="character" w:customStyle="1" w:styleId="128">
    <w:name w:val="纯文本 字符1"/>
    <w:basedOn w:val="69"/>
    <w:qFormat/>
    <w:uiPriority w:val="0"/>
    <w:rPr>
      <w:rFonts w:ascii="宋体" w:hAnsi="Courier New" w:eastAsia="宋体" w:cs="Times New Roman"/>
      <w:sz w:val="24"/>
    </w:rPr>
  </w:style>
  <w:style w:type="paragraph" w:customStyle="1" w:styleId="129">
    <w:name w:val="标题 71"/>
    <w:basedOn w:val="1"/>
    <w:qFormat/>
    <w:uiPriority w:val="9"/>
    <w:pPr>
      <w:keepNext/>
      <w:keepLines/>
      <w:spacing w:before="120" w:after="120"/>
      <w:outlineLvl w:val="6"/>
    </w:pPr>
    <w:rPr>
      <w:rFonts w:eastAsia="黑体"/>
      <w:sz w:val="24"/>
      <w:szCs w:val="21"/>
    </w:rPr>
  </w:style>
  <w:style w:type="paragraph" w:customStyle="1" w:styleId="130">
    <w:name w:val="标题 81"/>
    <w:basedOn w:val="1"/>
    <w:qFormat/>
    <w:uiPriority w:val="9"/>
    <w:pPr>
      <w:keepNext/>
      <w:keepLines/>
      <w:spacing w:before="120" w:after="120"/>
      <w:outlineLvl w:val="7"/>
    </w:pPr>
    <w:rPr>
      <w:rFonts w:eastAsia="黑体"/>
      <w:bCs/>
      <w:sz w:val="24"/>
      <w:szCs w:val="32"/>
    </w:rPr>
  </w:style>
  <w:style w:type="paragraph" w:customStyle="1" w:styleId="131">
    <w:name w:val="标题 91"/>
    <w:basedOn w:val="1"/>
    <w:qFormat/>
    <w:uiPriority w:val="9"/>
    <w:pPr>
      <w:keepNext/>
      <w:keepLines/>
      <w:spacing w:before="120" w:after="120"/>
      <w:outlineLvl w:val="8"/>
    </w:pPr>
    <w:rPr>
      <w:rFonts w:eastAsia="黑体"/>
      <w:sz w:val="24"/>
      <w:szCs w:val="21"/>
    </w:rPr>
  </w:style>
  <w:style w:type="paragraph" w:customStyle="1" w:styleId="132">
    <w:name w:val="Default Paragraph Font Para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133">
    <w:name w:val="默认段落字体 Para Char Char Char Char Char Char Char Char Char1 Char Char Char Char"/>
    <w:basedOn w:val="1"/>
    <w:qFormat/>
    <w:uiPriority w:val="0"/>
    <w:rPr>
      <w:rFonts w:ascii="Tahoma" w:hAnsi="Tahoma"/>
      <w:sz w:val="24"/>
    </w:rPr>
  </w:style>
  <w:style w:type="paragraph" w:customStyle="1" w:styleId="134">
    <w:name w:val="章正文"/>
    <w:qFormat/>
    <w:uiPriority w:val="0"/>
    <w:pPr>
      <w:widowControl w:val="0"/>
      <w:spacing w:beforeLines="50" w:after="120" w:line="300" w:lineRule="auto"/>
      <w:ind w:firstLine="480"/>
      <w:jc w:val="both"/>
    </w:pPr>
    <w:rPr>
      <w:rFonts w:ascii="Algerian" w:hAnsi="Algerian" w:eastAsia="宋体" w:cs="宋体"/>
      <w:sz w:val="24"/>
      <w:szCs w:val="24"/>
      <w:lang w:val="en-US" w:eastAsia="zh-CN" w:bidi="ar-SA"/>
    </w:rPr>
  </w:style>
  <w:style w:type="paragraph" w:customStyle="1" w:styleId="135">
    <w:name w:val="列出段落5"/>
    <w:basedOn w:val="1"/>
    <w:qFormat/>
    <w:uiPriority w:val="99"/>
    <w:pPr>
      <w:ind w:firstLine="420" w:firstLineChars="200"/>
    </w:pPr>
    <w:rPr>
      <w:rFonts w:ascii="Calibri" w:hAnsi="Calibri" w:eastAsia="等线"/>
      <w:sz w:val="24"/>
      <w:szCs w:val="24"/>
    </w:rPr>
  </w:style>
  <w:style w:type="paragraph" w:customStyle="1" w:styleId="136">
    <w:name w:val="Char Char Char Char Char Char"/>
    <w:basedOn w:val="1"/>
    <w:qFormat/>
    <w:uiPriority w:val="0"/>
    <w:pPr>
      <w:widowControl/>
      <w:spacing w:after="160" w:line="240" w:lineRule="exact"/>
      <w:jc w:val="left"/>
    </w:pPr>
    <w:rPr>
      <w:rFonts w:ascii="(使用中文字体)" w:hAnsi="(使用中文字体)"/>
      <w:kern w:val="0"/>
      <w:sz w:val="20"/>
      <w:szCs w:val="20"/>
      <w:lang w:eastAsia="en-US"/>
    </w:rPr>
  </w:style>
  <w:style w:type="paragraph" w:customStyle="1" w:styleId="137">
    <w:name w:val="图"/>
    <w:basedOn w:val="1"/>
    <w:qFormat/>
    <w:uiPriority w:val="99"/>
    <w:pPr>
      <w:keepNext/>
      <w:adjustRightInd w:val="0"/>
      <w:snapToGrid w:val="0"/>
      <w:spacing w:before="60" w:after="60" w:line="300" w:lineRule="auto"/>
      <w:jc w:val="center"/>
    </w:pPr>
    <w:rPr>
      <w:spacing w:val="20"/>
      <w:kern w:val="0"/>
      <w:sz w:val="24"/>
    </w:rPr>
  </w:style>
  <w:style w:type="paragraph" w:customStyle="1" w:styleId="138">
    <w:name w:val="ÕýÎÄ"/>
    <w:qFormat/>
    <w:uiPriority w:val="99"/>
    <w:pPr>
      <w:widowControl w:val="0"/>
      <w:overflowPunct w:val="0"/>
      <w:autoSpaceDE w:val="0"/>
      <w:autoSpaceDN w:val="0"/>
      <w:adjustRightInd w:val="0"/>
      <w:spacing w:line="351" w:lineRule="atLeast"/>
      <w:ind w:firstLine="419"/>
      <w:jc w:val="both"/>
    </w:pPr>
    <w:rPr>
      <w:rFonts w:ascii="Times New Roman" w:hAnsi="Times New Roman" w:eastAsia="宋体" w:cs="Times New Roman"/>
      <w:color w:val="000000"/>
      <w:sz w:val="21"/>
      <w:lang w:val="en-US" w:eastAsia="zh-CN" w:bidi="ar-SA"/>
    </w:rPr>
  </w:style>
  <w:style w:type="paragraph" w:customStyle="1" w:styleId="139">
    <w:name w:val="标准有序列表（L1）"/>
    <w:basedOn w:val="17"/>
    <w:qFormat/>
    <w:uiPriority w:val="99"/>
    <w:pPr>
      <w:numPr>
        <w:ilvl w:val="0"/>
        <w:numId w:val="2"/>
      </w:numPr>
      <w:tabs>
        <w:tab w:val="left" w:pos="0"/>
        <w:tab w:val="left" w:pos="2280"/>
      </w:tabs>
      <w:spacing w:line="360" w:lineRule="auto"/>
      <w:ind w:left="0" w:firstLine="0"/>
    </w:pPr>
    <w:rPr>
      <w:rFonts w:ascii="黑体" w:eastAsia="黑体"/>
      <w:color w:val="000000"/>
      <w:sz w:val="24"/>
    </w:rPr>
  </w:style>
  <w:style w:type="paragraph" w:customStyle="1" w:styleId="140">
    <w:name w:val="f1"/>
    <w:basedOn w:val="1"/>
    <w:qFormat/>
    <w:uiPriority w:val="99"/>
    <w:pPr>
      <w:widowControl/>
      <w:spacing w:before="100" w:beforeAutospacing="1" w:after="100" w:afterAutospacing="1"/>
      <w:jc w:val="center"/>
    </w:pPr>
    <w:rPr>
      <w:rFonts w:ascii="Algerian" w:hAnsi="Algerian" w:cs="Algerian"/>
      <w:b/>
      <w:bCs/>
      <w:color w:val="FF8080"/>
      <w:spacing w:val="160"/>
      <w:kern w:val="0"/>
      <w:sz w:val="80"/>
      <w:szCs w:val="80"/>
    </w:rPr>
  </w:style>
  <w:style w:type="paragraph" w:customStyle="1" w:styleId="141">
    <w:name w:val="表格"/>
    <w:basedOn w:val="1"/>
    <w:qFormat/>
    <w:uiPriority w:val="99"/>
    <w:pPr>
      <w:snapToGrid w:val="0"/>
      <w:spacing w:after="120"/>
    </w:pPr>
    <w:rPr>
      <w:rFonts w:ascii="仿宋_GB2312" w:hAnsi="Tahoma" w:eastAsia="Times New Roman" w:cs="Tahoma"/>
      <w:color w:val="000000"/>
      <w:kern w:val="0"/>
      <w:sz w:val="24"/>
      <w:szCs w:val="24"/>
    </w:rPr>
  </w:style>
  <w:style w:type="character" w:customStyle="1" w:styleId="142">
    <w:name w:val="GW-正文 Char"/>
    <w:link w:val="143"/>
    <w:qFormat/>
    <w:uiPriority w:val="0"/>
    <w:rPr>
      <w:rFonts w:ascii="Arial Narrow" w:hAnsi="Arial Narrow" w:eastAsia="宋体" w:cs="Times New Roman"/>
      <w:kern w:val="0"/>
      <w:sz w:val="24"/>
      <w:szCs w:val="20"/>
    </w:rPr>
  </w:style>
  <w:style w:type="paragraph" w:customStyle="1" w:styleId="143">
    <w:name w:val="GW-正文"/>
    <w:basedOn w:val="1"/>
    <w:link w:val="142"/>
    <w:qFormat/>
    <w:uiPriority w:val="0"/>
    <w:pPr>
      <w:spacing w:line="360" w:lineRule="auto"/>
      <w:ind w:firstLine="200" w:firstLineChars="200"/>
      <w:contextualSpacing/>
    </w:pPr>
    <w:rPr>
      <w:rFonts w:ascii="Arial Narrow" w:hAnsi="Arial Narrow"/>
      <w:kern w:val="0"/>
      <w:sz w:val="24"/>
      <w:szCs w:val="20"/>
      <w14:ligatures w14:val="standardContextual"/>
    </w:rPr>
  </w:style>
  <w:style w:type="paragraph" w:customStyle="1" w:styleId="144">
    <w:name w:val="Char Char10"/>
    <w:basedOn w:val="1"/>
    <w:qFormat/>
    <w:uiPriority w:val="99"/>
    <w:pPr>
      <w:widowControl/>
      <w:spacing w:after="160" w:line="240" w:lineRule="exact"/>
      <w:jc w:val="left"/>
    </w:pPr>
    <w:rPr>
      <w:kern w:val="0"/>
      <w:sz w:val="20"/>
      <w:szCs w:val="24"/>
    </w:rPr>
  </w:style>
  <w:style w:type="paragraph" w:customStyle="1" w:styleId="145">
    <w:name w:val="正文文本缩进11"/>
    <w:basedOn w:val="1"/>
    <w:qFormat/>
    <w:uiPriority w:val="99"/>
    <w:pPr>
      <w:spacing w:line="200" w:lineRule="exact"/>
      <w:ind w:firstLine="301"/>
    </w:pPr>
    <w:rPr>
      <w:rFonts w:ascii="Calibri" w:hAnsi="Calibri"/>
      <w:szCs w:val="20"/>
    </w:rPr>
  </w:style>
  <w:style w:type="paragraph" w:customStyle="1" w:styleId="146">
    <w:name w:val="Char Char Char Char"/>
    <w:basedOn w:val="1"/>
    <w:qFormat/>
    <w:uiPriority w:val="0"/>
    <w:pPr>
      <w:widowControl/>
      <w:spacing w:after="160" w:line="240" w:lineRule="exact"/>
      <w:jc w:val="left"/>
    </w:pPr>
    <w:rPr>
      <w:rFonts w:ascii="Arial" w:hAnsi="Arial" w:cs="Verdana"/>
      <w:b/>
      <w:kern w:val="0"/>
      <w:sz w:val="24"/>
      <w:szCs w:val="20"/>
      <w:lang w:eastAsia="en-US"/>
    </w:rPr>
  </w:style>
  <w:style w:type="paragraph" w:customStyle="1" w:styleId="147">
    <w:name w:val="首行缩进2字符"/>
    <w:basedOn w:val="1"/>
    <w:qFormat/>
    <w:uiPriority w:val="99"/>
    <w:pPr>
      <w:spacing w:line="360" w:lineRule="auto"/>
      <w:ind w:firstLine="200" w:firstLineChars="200"/>
    </w:pPr>
    <w:rPr>
      <w:rFonts w:ascii="Calibri" w:hAnsi="Calibri"/>
      <w:sz w:val="24"/>
      <w:szCs w:val="21"/>
    </w:rPr>
  </w:style>
  <w:style w:type="paragraph" w:customStyle="1" w:styleId="148">
    <w:name w:val="默认段落字体 Para Char"/>
    <w:basedOn w:val="1"/>
    <w:qFormat/>
    <w:uiPriority w:val="0"/>
    <w:rPr>
      <w:szCs w:val="20"/>
    </w:rPr>
  </w:style>
  <w:style w:type="character" w:customStyle="1" w:styleId="149">
    <w:name w:val="Char Char3"/>
    <w:link w:val="150"/>
    <w:qFormat/>
    <w:uiPriority w:val="0"/>
    <w:rPr>
      <w:rFonts w:ascii="Calibri" w:hAnsi="Calibri" w:eastAsia="宋体" w:cs="Times New Roman"/>
      <w:kern w:val="0"/>
      <w:sz w:val="24"/>
      <w:szCs w:val="20"/>
    </w:rPr>
  </w:style>
  <w:style w:type="paragraph" w:customStyle="1" w:styleId="150">
    <w:name w:val="Char"/>
    <w:basedOn w:val="1"/>
    <w:link w:val="149"/>
    <w:qFormat/>
    <w:uiPriority w:val="0"/>
    <w:rPr>
      <w:rFonts w:ascii="Calibri" w:hAnsi="Calibri"/>
      <w:kern w:val="0"/>
      <w:sz w:val="24"/>
      <w:szCs w:val="20"/>
      <w14:ligatures w14:val="standardContextual"/>
    </w:rPr>
  </w:style>
  <w:style w:type="paragraph" w:customStyle="1" w:styleId="151">
    <w:name w:val="正文段"/>
    <w:basedOn w:val="1"/>
    <w:qFormat/>
    <w:uiPriority w:val="0"/>
    <w:pPr>
      <w:widowControl/>
      <w:snapToGrid w:val="0"/>
      <w:ind w:firstLine="200" w:firstLineChars="200"/>
    </w:pPr>
    <w:rPr>
      <w:kern w:val="0"/>
      <w:sz w:val="24"/>
      <w:szCs w:val="20"/>
    </w:rPr>
  </w:style>
  <w:style w:type="character" w:customStyle="1" w:styleId="152">
    <w:name w:val="列出段落 Char"/>
    <w:link w:val="153"/>
    <w:qFormat/>
    <w:uiPriority w:val="0"/>
    <w:rPr>
      <w:rFonts w:ascii="Calibri" w:hAnsi="Calibri" w:eastAsia="宋体" w:cs="Times New Roman"/>
      <w:kern w:val="0"/>
      <w:sz w:val="24"/>
      <w:szCs w:val="20"/>
    </w:rPr>
  </w:style>
  <w:style w:type="paragraph" w:customStyle="1" w:styleId="153">
    <w:name w:val="列出段落1"/>
    <w:basedOn w:val="1"/>
    <w:link w:val="152"/>
    <w:qFormat/>
    <w:uiPriority w:val="0"/>
    <w:pPr>
      <w:ind w:firstLine="420" w:firstLineChars="200"/>
    </w:pPr>
    <w:rPr>
      <w:rFonts w:ascii="Calibri" w:hAnsi="Calibri"/>
      <w:kern w:val="0"/>
      <w:sz w:val="24"/>
      <w:szCs w:val="20"/>
      <w14:ligatures w14:val="standardContextual"/>
    </w:rPr>
  </w:style>
  <w:style w:type="paragraph" w:customStyle="1" w:styleId="154">
    <w:name w:val="书籍标题1"/>
    <w:basedOn w:val="1"/>
    <w:qFormat/>
    <w:uiPriority w:val="99"/>
    <w:pPr>
      <w:pageBreakBefore/>
      <w:widowControl/>
      <w:numPr>
        <w:ilvl w:val="0"/>
        <w:numId w:val="3"/>
      </w:numPr>
      <w:spacing w:beforeLines="200"/>
      <w:ind w:left="2520"/>
      <w:jc w:val="center"/>
      <w:outlineLvl w:val="0"/>
    </w:pPr>
    <w:rPr>
      <w:rFonts w:eastAsia="黑体"/>
      <w:b/>
      <w:spacing w:val="20"/>
      <w:kern w:val="44"/>
      <w:sz w:val="44"/>
    </w:rPr>
  </w:style>
  <w:style w:type="paragraph" w:customStyle="1" w:styleId="155">
    <w:name w:val="正文_20"/>
    <w:qFormat/>
    <w:uiPriority w:val="99"/>
    <w:pPr>
      <w:widowControl w:val="0"/>
      <w:jc w:val="both"/>
    </w:pPr>
    <w:rPr>
      <w:rFonts w:ascii="Times New Roman" w:hAnsi="Times New Roman" w:eastAsia="等线" w:cs="Times New Roman"/>
      <w:kern w:val="2"/>
      <w:sz w:val="21"/>
      <w:szCs w:val="24"/>
      <w:lang w:val="en-US" w:eastAsia="zh-CN" w:bidi="ar-SA"/>
    </w:rPr>
  </w:style>
  <w:style w:type="paragraph" w:customStyle="1" w:styleId="156">
    <w:name w:val="Table Paragraph"/>
    <w:basedOn w:val="1"/>
    <w:qFormat/>
    <w:uiPriority w:val="1"/>
    <w:pPr>
      <w:spacing w:before="119"/>
    </w:pPr>
    <w:rPr>
      <w:rFonts w:ascii="宋体" w:hAnsi="宋体" w:cs="宋体"/>
      <w:szCs w:val="24"/>
      <w:lang w:val="zh-CN"/>
    </w:rPr>
  </w:style>
  <w:style w:type="paragraph" w:customStyle="1" w:styleId="157">
    <w:name w:val="表内文字"/>
    <w:basedOn w:val="1"/>
    <w:qFormat/>
    <w:uiPriority w:val="0"/>
    <w:pPr>
      <w:tabs>
        <w:tab w:val="left" w:pos="1418"/>
      </w:tabs>
      <w:spacing w:line="360" w:lineRule="auto"/>
      <w:jc w:val="center"/>
    </w:pPr>
    <w:rPr>
      <w:rFonts w:ascii="仿宋_GB2312" w:eastAsia="Times New Roman"/>
      <w:spacing w:val="-20"/>
      <w:kern w:val="0"/>
      <w:sz w:val="24"/>
    </w:rPr>
  </w:style>
  <w:style w:type="paragraph" w:customStyle="1" w:styleId="158">
    <w:name w:val="样式2"/>
    <w:basedOn w:val="150"/>
    <w:qFormat/>
    <w:uiPriority w:val="99"/>
    <w:pPr>
      <w:tabs>
        <w:tab w:val="left" w:pos="432"/>
      </w:tabs>
      <w:spacing w:beforeLines="50"/>
      <w:ind w:left="432" w:hanging="432"/>
    </w:pPr>
    <w:rPr>
      <w:b/>
      <w:szCs w:val="21"/>
      <w:u w:val="thick"/>
    </w:rPr>
  </w:style>
  <w:style w:type="paragraph" w:customStyle="1" w:styleId="159">
    <w:name w:val="样式1"/>
    <w:basedOn w:val="150"/>
    <w:link w:val="421"/>
    <w:qFormat/>
    <w:uiPriority w:val="0"/>
    <w:pPr>
      <w:tabs>
        <w:tab w:val="left" w:pos="432"/>
      </w:tabs>
      <w:spacing w:beforeLines="50"/>
      <w:ind w:left="642" w:leftChars="100" w:right="100" w:rightChars="100" w:hanging="432"/>
      <w:jc w:val="right"/>
    </w:pPr>
    <w:rPr>
      <w:b/>
      <w:i/>
      <w:szCs w:val="21"/>
      <w:u w:val="thick"/>
    </w:rPr>
  </w:style>
  <w:style w:type="paragraph" w:customStyle="1" w:styleId="160">
    <w:name w:val="正文 New"/>
    <w:qFormat/>
    <w:uiPriority w:val="99"/>
    <w:pPr>
      <w:widowControl w:val="0"/>
      <w:jc w:val="both"/>
    </w:pPr>
    <w:rPr>
      <w:rFonts w:ascii="Times New Roman" w:hAnsi="Times New Roman" w:eastAsia="宋体" w:cs="Times New Roman"/>
      <w:kern w:val="2"/>
      <w:sz w:val="21"/>
      <w:szCs w:val="24"/>
      <w:lang w:val="en-US" w:eastAsia="zh-CN" w:bidi="ar-SA"/>
    </w:rPr>
  </w:style>
  <w:style w:type="character" w:customStyle="1" w:styleId="161">
    <w:name w:val="正文首行缩进2字符 Char Char"/>
    <w:link w:val="162"/>
    <w:qFormat/>
    <w:uiPriority w:val="0"/>
    <w:rPr>
      <w:rFonts w:ascii="Times New Roman" w:hAnsi="Times New Roman" w:eastAsia="宋体" w:cs="Times New Roman"/>
      <w:kern w:val="0"/>
      <w:sz w:val="24"/>
      <w:szCs w:val="20"/>
    </w:rPr>
  </w:style>
  <w:style w:type="paragraph" w:customStyle="1" w:styleId="162">
    <w:name w:val="正文首行缩进2字符"/>
    <w:basedOn w:val="1"/>
    <w:link w:val="161"/>
    <w:qFormat/>
    <w:uiPriority w:val="0"/>
    <w:pPr>
      <w:spacing w:line="360" w:lineRule="auto"/>
      <w:ind w:firstLine="200" w:firstLineChars="200"/>
    </w:pPr>
    <w:rPr>
      <w:kern w:val="0"/>
      <w:sz w:val="24"/>
      <w:szCs w:val="20"/>
      <w14:ligatures w14:val="standardContextual"/>
    </w:rPr>
  </w:style>
  <w:style w:type="paragraph" w:customStyle="1" w:styleId="163">
    <w:name w:val="p0"/>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164">
    <w:name w:val="表格内容 字符"/>
    <w:link w:val="165"/>
    <w:qFormat/>
    <w:uiPriority w:val="0"/>
    <w:rPr>
      <w:rFonts w:ascii="仿宋" w:hAnsi="仿宋" w:eastAsia="仿宋" w:cs="Times New Roman"/>
      <w:kern w:val="0"/>
      <w:sz w:val="24"/>
    </w:rPr>
  </w:style>
  <w:style w:type="paragraph" w:customStyle="1" w:styleId="165">
    <w:name w:val="表格内容"/>
    <w:link w:val="164"/>
    <w:qFormat/>
    <w:uiPriority w:val="0"/>
    <w:pPr>
      <w:jc w:val="center"/>
    </w:pPr>
    <w:rPr>
      <w:rFonts w:ascii="仿宋" w:hAnsi="仿宋" w:eastAsia="仿宋" w:cs="Times New Roman"/>
      <w:sz w:val="24"/>
      <w:szCs w:val="24"/>
      <w:lang w:val="en-US" w:eastAsia="zh-CN" w:bidi="ar-SA"/>
      <w14:ligatures w14:val="standardContextual"/>
    </w:rPr>
  </w:style>
  <w:style w:type="paragraph" w:customStyle="1" w:styleId="166">
    <w:name w:val="Default"/>
    <w:qFormat/>
    <w:uiPriority w:val="0"/>
    <w:pPr>
      <w:widowControl w:val="0"/>
      <w:autoSpaceDE w:val="0"/>
      <w:autoSpaceDN w:val="0"/>
      <w:adjustRightInd w:val="0"/>
    </w:pPr>
    <w:rPr>
      <w:rFonts w:ascii="华文中宋" w:hAnsi="Calibri" w:eastAsia="华文中宋" w:cs="华文中宋"/>
      <w:color w:val="000000"/>
      <w:sz w:val="24"/>
      <w:szCs w:val="24"/>
      <w:lang w:val="en-US" w:eastAsia="zh-CN" w:bidi="ar-SA"/>
    </w:rPr>
  </w:style>
  <w:style w:type="paragraph" w:customStyle="1" w:styleId="167">
    <w:name w:val="列项中圆1"/>
    <w:basedOn w:val="1"/>
    <w:qFormat/>
    <w:uiPriority w:val="99"/>
    <w:pPr>
      <w:tabs>
        <w:tab w:val="left" w:pos="839"/>
      </w:tabs>
      <w:spacing w:line="300" w:lineRule="auto"/>
      <w:ind w:left="839" w:hanging="419"/>
    </w:pPr>
    <w:rPr>
      <w:kern w:val="21"/>
      <w:szCs w:val="20"/>
    </w:rPr>
  </w:style>
  <w:style w:type="paragraph" w:customStyle="1" w:styleId="168">
    <w:name w:val="xl30"/>
    <w:basedOn w:val="1"/>
    <w:qFormat/>
    <w:uiPriority w:val="0"/>
    <w:pPr>
      <w:widowControl/>
      <w:spacing w:before="100" w:beforeAutospacing="1" w:after="100" w:afterAutospacing="1"/>
      <w:jc w:val="center"/>
    </w:pPr>
    <w:rPr>
      <w:rFonts w:ascii="楷体_GB2312" w:hAnsi="宋体" w:eastAsia="楷体_GB2312"/>
      <w:b/>
      <w:kern w:val="0"/>
      <w:sz w:val="32"/>
    </w:rPr>
  </w:style>
  <w:style w:type="paragraph" w:customStyle="1" w:styleId="169">
    <w:name w:val="文档正文"/>
    <w:basedOn w:val="1"/>
    <w:qFormat/>
    <w:uiPriority w:val="0"/>
    <w:rPr>
      <w:rFonts w:ascii="宋体" w:hAnsi="宋体" w:cs="Arial"/>
      <w:bCs/>
      <w:szCs w:val="21"/>
    </w:rPr>
  </w:style>
  <w:style w:type="paragraph" w:customStyle="1" w:styleId="170">
    <w:name w:val="p15"/>
    <w:basedOn w:val="1"/>
    <w:qFormat/>
    <w:uiPriority w:val="0"/>
    <w:pPr>
      <w:widowControl/>
      <w:spacing w:line="200" w:lineRule="atLeast"/>
      <w:ind w:firstLine="301"/>
    </w:pPr>
    <w:rPr>
      <w:rFonts w:ascii="宋体" w:hAnsi="宋体" w:cs="宋体"/>
      <w:spacing w:val="-4"/>
      <w:kern w:val="0"/>
      <w:sz w:val="18"/>
      <w:szCs w:val="18"/>
    </w:rPr>
  </w:style>
  <w:style w:type="character" w:customStyle="1" w:styleId="171">
    <w:name w:val="无间隔 Char"/>
    <w:link w:val="172"/>
    <w:qFormat/>
    <w:uiPriority w:val="0"/>
    <w:rPr>
      <w:rFonts w:ascii="Calibri" w:hAnsi="Calibri" w:eastAsia="宋体" w:cs="Times New Roman"/>
      <w:kern w:val="0"/>
    </w:rPr>
  </w:style>
  <w:style w:type="paragraph" w:customStyle="1" w:styleId="172">
    <w:name w:val="无间隔1"/>
    <w:link w:val="171"/>
    <w:qFormat/>
    <w:uiPriority w:val="0"/>
    <w:rPr>
      <w:rFonts w:ascii="Calibri" w:hAnsi="Calibri" w:eastAsia="宋体" w:cs="Times New Roman"/>
      <w:sz w:val="22"/>
      <w:szCs w:val="24"/>
      <w:lang w:val="en-US" w:eastAsia="zh-CN" w:bidi="ar-SA"/>
      <w14:ligatures w14:val="standardContextual"/>
    </w:rPr>
  </w:style>
  <w:style w:type="paragraph" w:customStyle="1" w:styleId="173">
    <w:name w:val="纯文本1"/>
    <w:basedOn w:val="1"/>
    <w:link w:val="384"/>
    <w:qFormat/>
    <w:uiPriority w:val="0"/>
    <w:pPr>
      <w:spacing w:beforeLines="50" w:line="400" w:lineRule="exact"/>
    </w:pPr>
    <w:rPr>
      <w:rFonts w:ascii="宋体" w:hAnsi="Courier New" w:eastAsia="Times New Roman"/>
      <w:sz w:val="30"/>
      <w:szCs w:val="24"/>
    </w:rPr>
  </w:style>
  <w:style w:type="paragraph" w:customStyle="1" w:styleId="174">
    <w:name w:val="缩进4"/>
    <w:basedOn w:val="1"/>
    <w:qFormat/>
    <w:uiPriority w:val="99"/>
    <w:pPr>
      <w:autoSpaceDE w:val="0"/>
      <w:autoSpaceDN w:val="0"/>
      <w:adjustRightInd w:val="0"/>
      <w:spacing w:line="288" w:lineRule="auto"/>
      <w:ind w:left="227"/>
    </w:pPr>
    <w:rPr>
      <w:rFonts w:ascii="方正黑体简体" w:hAnsi="Calibri" w:eastAsia="方正黑体简体" w:cs="方正黑体简体"/>
      <w:color w:val="000000"/>
      <w:kern w:val="0"/>
      <w:sz w:val="18"/>
      <w:szCs w:val="18"/>
      <w:lang w:val="zh-CN"/>
    </w:rPr>
  </w:style>
  <w:style w:type="paragraph" w:customStyle="1" w:styleId="175">
    <w:name w:val="_Style 130"/>
    <w:basedOn w:val="1"/>
    <w:qFormat/>
    <w:uiPriority w:val="99"/>
    <w:pPr>
      <w:ind w:firstLine="420" w:firstLineChars="200"/>
    </w:pPr>
    <w:rPr>
      <w:szCs w:val="20"/>
    </w:rPr>
  </w:style>
  <w:style w:type="paragraph" w:customStyle="1" w:styleId="176">
    <w:name w:val="0正文"/>
    <w:basedOn w:val="1"/>
    <w:qFormat/>
    <w:uiPriority w:val="99"/>
    <w:pPr>
      <w:spacing w:line="560" w:lineRule="exact"/>
      <w:ind w:firstLine="200" w:firstLineChars="200"/>
    </w:pPr>
    <w:rPr>
      <w:rFonts w:ascii="Tahoma" w:hAnsi="Tahoma"/>
    </w:rPr>
  </w:style>
  <w:style w:type="paragraph" w:customStyle="1" w:styleId="177">
    <w:name w:val="正文（本文）"/>
    <w:basedOn w:val="1"/>
    <w:qFormat/>
    <w:uiPriority w:val="99"/>
    <w:pPr>
      <w:snapToGrid w:val="0"/>
      <w:spacing w:line="360" w:lineRule="auto"/>
      <w:ind w:firstLine="480" w:firstLineChars="200"/>
    </w:pPr>
    <w:rPr>
      <w:sz w:val="24"/>
      <w:szCs w:val="24"/>
    </w:rPr>
  </w:style>
  <w:style w:type="paragraph" w:customStyle="1" w:styleId="178">
    <w:name w:val="l正文"/>
    <w:basedOn w:val="1"/>
    <w:qFormat/>
    <w:uiPriority w:val="0"/>
    <w:pPr>
      <w:spacing w:line="300" w:lineRule="auto"/>
      <w:ind w:firstLine="200" w:firstLineChars="200"/>
      <w:jc w:val="left"/>
    </w:pPr>
    <w:rPr>
      <w:rFonts w:ascii="楷体_GB2312" w:hAnsi="Chiller" w:eastAsia="楷体_GB2312" w:cs="等线"/>
      <w:sz w:val="24"/>
      <w:szCs w:val="24"/>
    </w:rPr>
  </w:style>
  <w:style w:type="paragraph" w:customStyle="1" w:styleId="179">
    <w:name w:val="_Style 4"/>
    <w:basedOn w:val="1"/>
    <w:qFormat/>
    <w:uiPriority w:val="99"/>
    <w:pPr>
      <w:ind w:firstLine="420" w:firstLineChars="200"/>
      <w:jc w:val="left"/>
    </w:pPr>
    <w:rPr>
      <w:rFonts w:ascii="Calibri" w:hAnsi="Calibri"/>
      <w:kern w:val="0"/>
      <w:sz w:val="18"/>
      <w:szCs w:val="24"/>
      <w:lang w:eastAsia="zh-TW"/>
    </w:rPr>
  </w:style>
  <w:style w:type="paragraph" w:customStyle="1" w:styleId="180">
    <w:name w:val="列出段落2"/>
    <w:basedOn w:val="1"/>
    <w:qFormat/>
    <w:uiPriority w:val="0"/>
    <w:pPr>
      <w:ind w:firstLine="420" w:firstLineChars="200"/>
    </w:pPr>
    <w:rPr>
      <w:rFonts w:ascii="Calibri" w:hAnsi="Calibri"/>
      <w:szCs w:val="24"/>
    </w:rPr>
  </w:style>
  <w:style w:type="paragraph" w:customStyle="1" w:styleId="181">
    <w:name w:val="正文1"/>
    <w:link w:val="523"/>
    <w:qFormat/>
    <w:uiPriority w:val="0"/>
    <w:pPr>
      <w:widowControl w:val="0"/>
      <w:jc w:val="both"/>
    </w:pPr>
    <w:rPr>
      <w:rFonts w:ascii="Calibri" w:hAnsi="Calibri" w:eastAsia="宋体" w:cs="Calibri"/>
      <w:kern w:val="2"/>
      <w:sz w:val="21"/>
      <w:szCs w:val="21"/>
      <w:lang w:val="en-US" w:eastAsia="zh-CN" w:bidi="ar-SA"/>
    </w:rPr>
  </w:style>
  <w:style w:type="paragraph" w:customStyle="1" w:styleId="182">
    <w:name w:val="WPSOffice手动目录 1"/>
    <w:qFormat/>
    <w:uiPriority w:val="0"/>
    <w:rPr>
      <w:rFonts w:ascii="Times New Roman" w:hAnsi="Times New Roman" w:eastAsia="宋体" w:cs="Times New Roman"/>
      <w:lang w:val="en-US" w:eastAsia="zh-CN" w:bidi="ar-SA"/>
    </w:rPr>
  </w:style>
  <w:style w:type="paragraph" w:customStyle="1" w:styleId="183">
    <w:name w:val="正文2"/>
    <w:basedOn w:val="1"/>
    <w:link w:val="416"/>
    <w:qFormat/>
    <w:uiPriority w:val="0"/>
    <w:pPr>
      <w:spacing w:before="156" w:line="360" w:lineRule="auto"/>
      <w:ind w:firstLine="510" w:firstLineChars="200"/>
    </w:pPr>
    <w:rPr>
      <w:sz w:val="24"/>
      <w:szCs w:val="20"/>
    </w:rPr>
  </w:style>
  <w:style w:type="character" w:customStyle="1" w:styleId="184">
    <w:name w:val="正文 首行缩进:  2 字符 Char Char Char"/>
    <w:link w:val="185"/>
    <w:qFormat/>
    <w:uiPriority w:val="0"/>
    <w:rPr>
      <w:sz w:val="24"/>
    </w:rPr>
  </w:style>
  <w:style w:type="paragraph" w:customStyle="1" w:styleId="185">
    <w:name w:val="正文 首行缩进:  2 字符 Char"/>
    <w:basedOn w:val="1"/>
    <w:link w:val="184"/>
    <w:qFormat/>
    <w:uiPriority w:val="0"/>
    <w:pPr>
      <w:spacing w:line="360" w:lineRule="auto"/>
      <w:ind w:firstLine="480"/>
    </w:pPr>
    <w:rPr>
      <w:rFonts w:asciiTheme="minorHAnsi" w:hAnsiTheme="minorHAnsi" w:eastAsiaTheme="minorEastAsia" w:cstheme="minorBidi"/>
      <w:sz w:val="24"/>
      <w:szCs w:val="24"/>
      <w14:ligatures w14:val="standardContextual"/>
    </w:rPr>
  </w:style>
  <w:style w:type="character" w:customStyle="1" w:styleId="186">
    <w:name w:val="样式 首行缩进:  0 字符 Char"/>
    <w:link w:val="187"/>
    <w:qFormat/>
    <w:uiPriority w:val="0"/>
    <w:rPr>
      <w:rFonts w:ascii="Arial" w:hAnsi="Arial" w:eastAsia="宋体" w:cs="Times New Roman"/>
      <w:kern w:val="0"/>
      <w:sz w:val="20"/>
      <w:szCs w:val="20"/>
    </w:rPr>
  </w:style>
  <w:style w:type="paragraph" w:customStyle="1" w:styleId="187">
    <w:name w:val="样式 首行缩进:  0 字符"/>
    <w:basedOn w:val="1"/>
    <w:link w:val="186"/>
    <w:qFormat/>
    <w:uiPriority w:val="0"/>
    <w:pPr>
      <w:spacing w:line="360" w:lineRule="auto"/>
      <w:ind w:firstLine="200" w:firstLineChars="200"/>
    </w:pPr>
    <w:rPr>
      <w:rFonts w:ascii="Arial" w:hAnsi="Arial"/>
      <w:kern w:val="0"/>
      <w:sz w:val="20"/>
      <w:szCs w:val="20"/>
      <w14:ligatures w14:val="standardContextual"/>
    </w:rPr>
  </w:style>
  <w:style w:type="paragraph" w:customStyle="1" w:styleId="188">
    <w:name w:val="正文 A"/>
    <w:qFormat/>
    <w:uiPriority w:val="99"/>
    <w:pPr>
      <w:widowControl w:val="0"/>
      <w:jc w:val="both"/>
    </w:pPr>
    <w:rPr>
      <w:rFonts w:ascii="Arial Unicode MS" w:hAnsi="Times New Roman" w:eastAsia="Arial Unicode MS" w:cs="Arial Unicode MS"/>
      <w:color w:val="000000"/>
      <w:kern w:val="2"/>
      <w:sz w:val="28"/>
      <w:szCs w:val="28"/>
      <w:u w:color="000000"/>
      <w:lang w:val="en-US" w:eastAsia="zh-CN" w:bidi="ar-SA"/>
    </w:rPr>
  </w:style>
  <w:style w:type="paragraph" w:customStyle="1" w:styleId="189">
    <w:name w:val="Proposals body"/>
    <w:basedOn w:val="1"/>
    <w:qFormat/>
    <w:uiPriority w:val="99"/>
    <w:pPr>
      <w:widowControl/>
      <w:spacing w:line="460" w:lineRule="exact"/>
      <w:jc w:val="left"/>
    </w:pPr>
    <w:rPr>
      <w:rFonts w:ascii="仿宋_GB2312" w:eastAsia="Times New Roman"/>
      <w:kern w:val="0"/>
      <w:sz w:val="24"/>
      <w:szCs w:val="24"/>
    </w:rPr>
  </w:style>
  <w:style w:type="paragraph" w:customStyle="1" w:styleId="190">
    <w:name w:val="目录 71"/>
    <w:qFormat/>
    <w:uiPriority w:val="99"/>
    <w:pPr>
      <w:wordWrap w:val="0"/>
      <w:ind w:left="2550"/>
      <w:jc w:val="both"/>
    </w:pPr>
    <w:rPr>
      <w:rFonts w:ascii="Times New Roman" w:hAnsi="Times New Roman" w:eastAsia="宋体" w:cs="Times New Roman"/>
      <w:sz w:val="21"/>
      <w:szCs w:val="22"/>
      <w:lang w:val="en-US" w:eastAsia="zh-CN" w:bidi="ar-SA"/>
    </w:rPr>
  </w:style>
  <w:style w:type="paragraph" w:customStyle="1" w:styleId="191">
    <w:name w:val="title11"/>
    <w:basedOn w:val="1"/>
    <w:qFormat/>
    <w:uiPriority w:val="99"/>
    <w:pPr>
      <w:spacing w:before="150"/>
      <w:jc w:val="left"/>
    </w:pPr>
    <w:rPr>
      <w:b/>
      <w:kern w:val="0"/>
      <w:sz w:val="28"/>
      <w:szCs w:val="24"/>
    </w:rPr>
  </w:style>
  <w:style w:type="paragraph" w:customStyle="1" w:styleId="192">
    <w:name w:val="标题 10"/>
    <w:basedOn w:val="4"/>
    <w:qFormat/>
    <w:uiPriority w:val="99"/>
    <w:pPr>
      <w:spacing w:before="0" w:after="0" w:line="360" w:lineRule="auto"/>
      <w:jc w:val="center"/>
    </w:pPr>
    <w:rPr>
      <w:rFonts w:ascii="Cambria" w:hAnsi="Cambria" w:eastAsia="宋体" w:cs="Times New Roman"/>
      <w:b/>
      <w:bCs/>
      <w:color w:val="auto"/>
      <w:sz w:val="21"/>
      <w:szCs w:val="32"/>
    </w:rPr>
  </w:style>
  <w:style w:type="paragraph" w:customStyle="1" w:styleId="193">
    <w:name w:val="af17cgridlangnp1033langf"/>
    <w:qFormat/>
    <w:uiPriority w:val="0"/>
    <w:pPr>
      <w:widowControl w:val="0"/>
      <w:autoSpaceDE w:val="0"/>
      <w:autoSpaceDN w:val="0"/>
      <w:adjustRightInd w:val="0"/>
      <w:spacing w:before="156" w:line="360" w:lineRule="atLeast"/>
      <w:ind w:left="567" w:firstLine="510"/>
      <w:jc w:val="both"/>
    </w:pPr>
    <w:rPr>
      <w:rFonts w:ascii="Times New Roman" w:hAnsi="Times New Roman" w:eastAsia="宋体" w:cs="Times New Roman"/>
      <w:sz w:val="21"/>
      <w:szCs w:val="22"/>
      <w:lang w:val="en-US" w:eastAsia="zh-CN" w:bidi="ar-SA"/>
    </w:rPr>
  </w:style>
  <w:style w:type="paragraph" w:customStyle="1" w:styleId="194">
    <w:name w:val="TOC 71"/>
    <w:qFormat/>
    <w:uiPriority w:val="99"/>
    <w:pPr>
      <w:wordWrap w:val="0"/>
      <w:ind w:left="2550"/>
      <w:jc w:val="both"/>
    </w:pPr>
    <w:rPr>
      <w:rFonts w:ascii="Times New Roman" w:hAnsi="Times New Roman" w:eastAsia="宋体" w:cs="Times New Roman"/>
      <w:sz w:val="21"/>
      <w:szCs w:val="22"/>
      <w:lang w:val="en-US" w:eastAsia="zh-CN" w:bidi="ar-SA"/>
    </w:rPr>
  </w:style>
  <w:style w:type="paragraph" w:customStyle="1" w:styleId="195">
    <w:name w:val="List Paragraph1"/>
    <w:basedOn w:val="1"/>
    <w:qFormat/>
    <w:uiPriority w:val="0"/>
    <w:pPr>
      <w:ind w:firstLine="420" w:firstLineChars="200"/>
    </w:pPr>
    <w:rPr>
      <w:szCs w:val="24"/>
    </w:rPr>
  </w:style>
  <w:style w:type="paragraph" w:customStyle="1" w:styleId="196">
    <w:name w:val="Char Char Char Char1"/>
    <w:basedOn w:val="1"/>
    <w:qFormat/>
    <w:uiPriority w:val="99"/>
    <w:rPr>
      <w:rFonts w:ascii="Tahoma" w:hAnsi="Tahoma"/>
      <w:sz w:val="24"/>
      <w:szCs w:val="20"/>
    </w:rPr>
  </w:style>
  <w:style w:type="paragraph" w:customStyle="1" w:styleId="197">
    <w:name w:val="目录 711"/>
    <w:qFormat/>
    <w:uiPriority w:val="99"/>
    <w:pPr>
      <w:wordWrap w:val="0"/>
      <w:ind w:left="2550"/>
      <w:jc w:val="both"/>
    </w:pPr>
    <w:rPr>
      <w:rFonts w:ascii="Times New Roman" w:hAnsi="Times New Roman" w:eastAsia="宋体" w:cs="Times New Roman"/>
      <w:sz w:val="21"/>
      <w:szCs w:val="22"/>
      <w:lang w:val="en-US" w:eastAsia="zh-CN" w:bidi="ar-SA"/>
    </w:rPr>
  </w:style>
  <w:style w:type="character" w:customStyle="1" w:styleId="198">
    <w:name w:val="z-窗体顶端 Char"/>
    <w:link w:val="199"/>
    <w:qFormat/>
    <w:uiPriority w:val="0"/>
    <w:rPr>
      <w:rFonts w:ascii="Arial" w:hAnsi="Arial" w:eastAsia="宋体" w:cs="Times New Roman"/>
      <w:vanish/>
      <w:kern w:val="0"/>
      <w:sz w:val="20"/>
      <w:szCs w:val="20"/>
    </w:rPr>
  </w:style>
  <w:style w:type="paragraph" w:customStyle="1" w:styleId="199">
    <w:name w:val="_Style 46"/>
    <w:basedOn w:val="1"/>
    <w:link w:val="198"/>
    <w:qFormat/>
    <w:uiPriority w:val="0"/>
    <w:pPr>
      <w:widowControl/>
      <w:pBdr>
        <w:bottom w:val="single" w:color="auto" w:sz="6" w:space="1"/>
      </w:pBdr>
      <w:jc w:val="center"/>
    </w:pPr>
    <w:rPr>
      <w:rFonts w:ascii="Arial" w:hAnsi="Arial"/>
      <w:vanish/>
      <w:kern w:val="0"/>
      <w:sz w:val="20"/>
      <w:szCs w:val="20"/>
      <w14:ligatures w14:val="standardContextual"/>
    </w:rPr>
  </w:style>
  <w:style w:type="paragraph" w:customStyle="1" w:styleId="200">
    <w:name w:val="此正文"/>
    <w:basedOn w:val="1"/>
    <w:qFormat/>
    <w:uiPriority w:val="99"/>
    <w:pPr>
      <w:spacing w:line="360" w:lineRule="auto"/>
      <w:ind w:firstLine="200" w:firstLineChars="200"/>
    </w:pPr>
    <w:rPr>
      <w:sz w:val="24"/>
      <w:szCs w:val="24"/>
    </w:rPr>
  </w:style>
  <w:style w:type="paragraph" w:customStyle="1" w:styleId="201">
    <w:name w:val="xl25"/>
    <w:basedOn w:val="1"/>
    <w:qFormat/>
    <w:uiPriority w:val="0"/>
    <w:pPr>
      <w:widowControl/>
      <w:spacing w:before="100" w:beforeAutospacing="1" w:after="100" w:afterAutospacing="1"/>
      <w:jc w:val="center"/>
    </w:pPr>
    <w:rPr>
      <w:rFonts w:ascii="楷体_GB2312" w:hAnsi="宋体" w:eastAsia="楷体_GB2312"/>
      <w:kern w:val="0"/>
      <w:sz w:val="24"/>
      <w:szCs w:val="24"/>
    </w:rPr>
  </w:style>
  <w:style w:type="paragraph" w:customStyle="1" w:styleId="202">
    <w:name w:val="彩色列表 - 强调文字颜色 11"/>
    <w:basedOn w:val="1"/>
    <w:link w:val="534"/>
    <w:qFormat/>
    <w:uiPriority w:val="0"/>
    <w:pPr>
      <w:ind w:firstLine="420" w:firstLineChars="200"/>
    </w:pPr>
    <w:rPr>
      <w:rFonts w:ascii="Calibri" w:hAnsi="Calibri"/>
    </w:rPr>
  </w:style>
  <w:style w:type="paragraph" w:customStyle="1" w:styleId="203">
    <w:name w:val="无间距"/>
    <w:qFormat/>
    <w:uiPriority w:val="99"/>
    <w:pPr>
      <w:widowControl w:val="0"/>
      <w:jc w:val="both"/>
    </w:pPr>
    <w:rPr>
      <w:rFonts w:ascii="Calibri" w:hAnsi="Calibri" w:eastAsia="宋体" w:cs="Times New Roman"/>
      <w:kern w:val="2"/>
      <w:sz w:val="21"/>
      <w:szCs w:val="22"/>
      <w:lang w:val="en-US" w:eastAsia="zh-CN" w:bidi="ar-SA"/>
    </w:rPr>
  </w:style>
  <w:style w:type="character" w:customStyle="1" w:styleId="204">
    <w:name w:val="z-窗体底端 Char"/>
    <w:link w:val="205"/>
    <w:qFormat/>
    <w:uiPriority w:val="0"/>
    <w:rPr>
      <w:rFonts w:ascii="Arial" w:hAnsi="Arial" w:eastAsia="宋体" w:cs="Times New Roman"/>
      <w:vanish/>
      <w:kern w:val="0"/>
      <w:sz w:val="20"/>
      <w:szCs w:val="20"/>
    </w:rPr>
  </w:style>
  <w:style w:type="paragraph" w:customStyle="1" w:styleId="205">
    <w:name w:val="_Style 54"/>
    <w:basedOn w:val="1"/>
    <w:link w:val="204"/>
    <w:qFormat/>
    <w:uiPriority w:val="0"/>
    <w:pPr>
      <w:widowControl/>
      <w:pBdr>
        <w:top w:val="single" w:color="auto" w:sz="6" w:space="1"/>
      </w:pBdr>
      <w:jc w:val="center"/>
    </w:pPr>
    <w:rPr>
      <w:rFonts w:ascii="Arial" w:hAnsi="Arial"/>
      <w:vanish/>
      <w:kern w:val="0"/>
      <w:sz w:val="20"/>
      <w:szCs w:val="20"/>
      <w14:ligatures w14:val="standardContextual"/>
    </w:rPr>
  </w:style>
  <w:style w:type="paragraph" w:customStyle="1" w:styleId="206">
    <w:name w:val="样式 标题 3 + (中文) 黑体 小四 非加粗 段前: 7.8 磅 段后: 0 磅 行距: 固定值 20 磅"/>
    <w:qFormat/>
    <w:uiPriority w:val="99"/>
    <w:pPr>
      <w:keepNext/>
      <w:keepLines/>
      <w:widowControl w:val="0"/>
      <w:spacing w:before="260" w:after="260" w:line="400" w:lineRule="exact"/>
      <w:jc w:val="both"/>
      <w:outlineLvl w:val="2"/>
    </w:pPr>
    <w:rPr>
      <w:rFonts w:ascii="Times New Roman" w:hAnsi="Times New Roman" w:eastAsia="黑体" w:cs="宋体"/>
      <w:kern w:val="2"/>
      <w:sz w:val="24"/>
      <w:lang w:val="en-US" w:eastAsia="zh-CN" w:bidi="ar-SA"/>
    </w:rPr>
  </w:style>
  <w:style w:type="paragraph" w:customStyle="1" w:styleId="207">
    <w:name w:val="样式 标题 2 + Times New Roman 四号 非加粗 段前: 5 磅 段后: 0 磅 行距: 固定值 20..."/>
    <w:qFormat/>
    <w:uiPriority w:val="99"/>
    <w:pPr>
      <w:keepNext/>
      <w:keepLines/>
      <w:widowControl w:val="0"/>
      <w:spacing w:before="100" w:after="260" w:line="400" w:lineRule="exact"/>
      <w:jc w:val="both"/>
      <w:outlineLvl w:val="1"/>
    </w:pPr>
    <w:rPr>
      <w:rFonts w:ascii="Times New Roman" w:hAnsi="Times New Roman" w:eastAsia="黑体" w:cs="宋体"/>
      <w:bCs/>
      <w:kern w:val="2"/>
      <w:sz w:val="28"/>
      <w:lang w:val="en-US" w:eastAsia="zh-CN" w:bidi="ar-SA"/>
    </w:rPr>
  </w:style>
  <w:style w:type="paragraph" w:customStyle="1" w:styleId="208">
    <w:name w:val="纯文本_0"/>
    <w:basedOn w:val="1"/>
    <w:qFormat/>
    <w:uiPriority w:val="99"/>
    <w:pPr>
      <w:spacing w:line="440" w:lineRule="exact"/>
      <w:ind w:firstLine="100" w:firstLineChars="100"/>
    </w:pPr>
    <w:rPr>
      <w:rFonts w:ascii="宋体" w:hAnsi="Courier New"/>
      <w:szCs w:val="21"/>
    </w:rPr>
  </w:style>
  <w:style w:type="paragraph" w:customStyle="1" w:styleId="209">
    <w:name w:val="msonormal"/>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210">
    <w:name w:val="font5"/>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211">
    <w:name w:val="font6"/>
    <w:basedOn w:val="1"/>
    <w:qFormat/>
    <w:uiPriority w:val="0"/>
    <w:pPr>
      <w:widowControl/>
      <w:spacing w:before="100" w:beforeAutospacing="1" w:after="100" w:afterAutospacing="1"/>
      <w:jc w:val="left"/>
    </w:pPr>
    <w:rPr>
      <w:rFonts w:ascii="宋体" w:hAnsi="宋体" w:cs="宋体"/>
      <w:color w:val="FF0000"/>
      <w:kern w:val="0"/>
      <w:sz w:val="20"/>
      <w:szCs w:val="20"/>
    </w:rPr>
  </w:style>
  <w:style w:type="paragraph" w:customStyle="1" w:styleId="212">
    <w:name w:val="font7"/>
    <w:basedOn w:val="1"/>
    <w:qFormat/>
    <w:uiPriority w:val="0"/>
    <w:pPr>
      <w:widowControl/>
      <w:spacing w:before="100" w:beforeAutospacing="1" w:after="100" w:afterAutospacing="1"/>
      <w:jc w:val="left"/>
    </w:pPr>
    <w:rPr>
      <w:rFonts w:ascii="宋体" w:hAnsi="宋体" w:cs="宋体"/>
      <w:color w:val="000000"/>
      <w:kern w:val="0"/>
      <w:sz w:val="20"/>
      <w:szCs w:val="20"/>
    </w:rPr>
  </w:style>
  <w:style w:type="paragraph" w:customStyle="1" w:styleId="213">
    <w:name w:val="font8"/>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14">
    <w:name w:val="xl106"/>
    <w:basedOn w:val="1"/>
    <w:qFormat/>
    <w:uiPriority w:val="0"/>
    <w:pPr>
      <w:widowControl/>
      <w:spacing w:before="100" w:beforeAutospacing="1" w:after="100" w:afterAutospacing="1"/>
      <w:jc w:val="left"/>
    </w:pPr>
    <w:rPr>
      <w:rFonts w:ascii="宋体" w:hAnsi="宋体" w:cs="宋体"/>
      <w:color w:val="000000"/>
      <w:kern w:val="0"/>
      <w:sz w:val="20"/>
      <w:szCs w:val="20"/>
    </w:rPr>
  </w:style>
  <w:style w:type="paragraph" w:customStyle="1" w:styleId="215">
    <w:name w:val="xl107"/>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216">
    <w:name w:val="xl108"/>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217">
    <w:name w:val="xl109"/>
    <w:basedOn w:val="1"/>
    <w:qFormat/>
    <w:uiPriority w:val="0"/>
    <w:pPr>
      <w:widowControl/>
      <w:spacing w:before="100" w:beforeAutospacing="1" w:after="100" w:afterAutospacing="1"/>
      <w:jc w:val="center"/>
    </w:pPr>
    <w:rPr>
      <w:rFonts w:ascii="宋体" w:hAnsi="宋体" w:cs="宋体"/>
      <w:kern w:val="0"/>
      <w:sz w:val="20"/>
      <w:szCs w:val="20"/>
    </w:rPr>
  </w:style>
  <w:style w:type="paragraph" w:customStyle="1" w:styleId="218">
    <w:name w:val="xl11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219">
    <w:name w:val="xl111"/>
    <w:basedOn w:val="1"/>
    <w:qFormat/>
    <w:uiPriority w:val="99"/>
    <w:pPr>
      <w:widowControl/>
      <w:spacing w:before="100" w:beforeAutospacing="1" w:after="100" w:afterAutospacing="1"/>
      <w:jc w:val="center"/>
    </w:pPr>
    <w:rPr>
      <w:rFonts w:ascii="宋体" w:hAnsi="宋体" w:cs="宋体"/>
      <w:color w:val="000000"/>
      <w:kern w:val="0"/>
      <w:sz w:val="20"/>
      <w:szCs w:val="20"/>
    </w:rPr>
  </w:style>
  <w:style w:type="paragraph" w:customStyle="1" w:styleId="220">
    <w:name w:val="xl112"/>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221">
    <w:name w:val="xl113"/>
    <w:basedOn w:val="1"/>
    <w:qFormat/>
    <w:uiPriority w:val="99"/>
    <w:pPr>
      <w:widowControl/>
      <w:spacing w:before="100" w:beforeAutospacing="1" w:after="100" w:afterAutospacing="1"/>
      <w:jc w:val="center"/>
    </w:pPr>
    <w:rPr>
      <w:rFonts w:ascii="宋体" w:hAnsi="宋体" w:cs="宋体"/>
      <w:color w:val="000000"/>
      <w:kern w:val="0"/>
      <w:sz w:val="20"/>
      <w:szCs w:val="20"/>
    </w:rPr>
  </w:style>
  <w:style w:type="paragraph" w:customStyle="1" w:styleId="222">
    <w:name w:val="xl114"/>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kern w:val="0"/>
      <w:sz w:val="20"/>
      <w:szCs w:val="20"/>
    </w:rPr>
  </w:style>
  <w:style w:type="paragraph" w:customStyle="1" w:styleId="223">
    <w:name w:val="xl115"/>
    <w:basedOn w:val="1"/>
    <w:qFormat/>
    <w:uiPriority w:val="99"/>
    <w:pPr>
      <w:widowControl/>
      <w:shd w:val="clear" w:color="auto" w:fill="FFFFFF"/>
      <w:spacing w:before="100" w:beforeAutospacing="1" w:after="100" w:afterAutospacing="1"/>
      <w:jc w:val="center"/>
    </w:pPr>
    <w:rPr>
      <w:rFonts w:ascii="宋体" w:hAnsi="宋体" w:cs="宋体"/>
      <w:b/>
      <w:bCs/>
      <w:color w:val="000000"/>
      <w:kern w:val="0"/>
      <w:sz w:val="32"/>
      <w:szCs w:val="32"/>
    </w:rPr>
  </w:style>
  <w:style w:type="paragraph" w:customStyle="1" w:styleId="224">
    <w:name w:val="xl116"/>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b/>
      <w:bCs/>
      <w:kern w:val="0"/>
      <w:sz w:val="20"/>
      <w:szCs w:val="20"/>
    </w:rPr>
  </w:style>
  <w:style w:type="paragraph" w:customStyle="1" w:styleId="225">
    <w:name w:val="xl117"/>
    <w:basedOn w:val="1"/>
    <w:qFormat/>
    <w:uiPriority w:val="99"/>
    <w:pPr>
      <w:widowControl/>
      <w:pBdr>
        <w:top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b/>
      <w:bCs/>
      <w:color w:val="000000"/>
      <w:kern w:val="0"/>
      <w:sz w:val="20"/>
      <w:szCs w:val="20"/>
    </w:rPr>
  </w:style>
  <w:style w:type="paragraph" w:customStyle="1" w:styleId="226">
    <w:name w:val="xl118"/>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b/>
      <w:bCs/>
      <w:color w:val="000000"/>
      <w:kern w:val="0"/>
      <w:sz w:val="20"/>
      <w:szCs w:val="20"/>
    </w:rPr>
  </w:style>
  <w:style w:type="paragraph" w:customStyle="1" w:styleId="227">
    <w:name w:val="xl119"/>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b/>
      <w:bCs/>
      <w:kern w:val="0"/>
      <w:sz w:val="20"/>
      <w:szCs w:val="20"/>
    </w:rPr>
  </w:style>
  <w:style w:type="paragraph" w:customStyle="1" w:styleId="228">
    <w:name w:val="xl120"/>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b/>
      <w:bCs/>
      <w:color w:val="000000"/>
      <w:kern w:val="0"/>
      <w:sz w:val="20"/>
      <w:szCs w:val="20"/>
    </w:rPr>
  </w:style>
  <w:style w:type="paragraph" w:customStyle="1" w:styleId="229">
    <w:name w:val="xl121"/>
    <w:basedOn w:val="1"/>
    <w:qFormat/>
    <w:uiPriority w:val="99"/>
    <w:pPr>
      <w:widowControl/>
      <w:pBdr>
        <w:top w:val="single" w:color="auto" w:sz="4" w:space="0"/>
        <w:left w:val="single" w:color="auto" w:sz="4" w:space="0"/>
        <w:bottom w:val="single" w:color="auto" w:sz="4" w:space="0"/>
      </w:pBdr>
      <w:shd w:val="clear" w:color="auto" w:fill="FFFFFF"/>
      <w:spacing w:before="100" w:beforeAutospacing="1" w:after="100" w:afterAutospacing="1"/>
      <w:jc w:val="left"/>
    </w:pPr>
    <w:rPr>
      <w:rFonts w:ascii="宋体" w:hAnsi="宋体" w:cs="宋体"/>
      <w:b/>
      <w:bCs/>
      <w:kern w:val="0"/>
      <w:sz w:val="20"/>
      <w:szCs w:val="20"/>
    </w:rPr>
  </w:style>
  <w:style w:type="paragraph" w:customStyle="1" w:styleId="230">
    <w:name w:val="xl122"/>
    <w:basedOn w:val="1"/>
    <w:qFormat/>
    <w:uiPriority w:val="99"/>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cs="宋体"/>
      <w:b/>
      <w:bCs/>
      <w:kern w:val="0"/>
      <w:sz w:val="20"/>
      <w:szCs w:val="20"/>
    </w:rPr>
  </w:style>
  <w:style w:type="paragraph" w:customStyle="1" w:styleId="231">
    <w:name w:val="xl123"/>
    <w:basedOn w:val="1"/>
    <w:qFormat/>
    <w:uiPriority w:val="99"/>
    <w:pPr>
      <w:widowControl/>
      <w:pBdr>
        <w:top w:val="single" w:color="auto" w:sz="4" w:space="0"/>
        <w:bottom w:val="single" w:color="auto" w:sz="4" w:space="0"/>
      </w:pBdr>
      <w:shd w:val="clear" w:color="auto" w:fill="FFFFFF"/>
      <w:spacing w:before="100" w:beforeAutospacing="1" w:after="100" w:afterAutospacing="1"/>
      <w:jc w:val="left"/>
    </w:pPr>
    <w:rPr>
      <w:rFonts w:ascii="宋体" w:hAnsi="宋体" w:cs="宋体"/>
      <w:b/>
      <w:bCs/>
      <w:kern w:val="0"/>
      <w:sz w:val="20"/>
      <w:szCs w:val="20"/>
    </w:rPr>
  </w:style>
  <w:style w:type="paragraph" w:customStyle="1" w:styleId="232">
    <w:name w:val="xl124"/>
    <w:basedOn w:val="1"/>
    <w:qFormat/>
    <w:uiPriority w:val="99"/>
    <w:pPr>
      <w:widowControl/>
      <w:pBdr>
        <w:top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b/>
      <w:bCs/>
      <w:kern w:val="0"/>
      <w:sz w:val="20"/>
      <w:szCs w:val="20"/>
    </w:rPr>
  </w:style>
  <w:style w:type="paragraph" w:customStyle="1" w:styleId="233">
    <w:name w:val="xl125"/>
    <w:basedOn w:val="1"/>
    <w:qFormat/>
    <w:uiPriority w:val="99"/>
    <w:pPr>
      <w:widowControl/>
      <w:pBdr>
        <w:top w:val="single" w:color="auto" w:sz="4" w:space="0"/>
        <w:left w:val="single" w:color="auto" w:sz="4" w:space="0"/>
        <w:bottom w:val="single" w:color="auto" w:sz="4" w:space="0"/>
      </w:pBdr>
      <w:shd w:val="clear" w:color="auto" w:fill="FFFFFF"/>
      <w:spacing w:before="100" w:beforeAutospacing="1" w:after="100" w:afterAutospacing="1"/>
      <w:jc w:val="left"/>
    </w:pPr>
    <w:rPr>
      <w:rFonts w:ascii="宋体" w:hAnsi="宋体" w:cs="宋体"/>
      <w:kern w:val="0"/>
      <w:sz w:val="20"/>
      <w:szCs w:val="20"/>
    </w:rPr>
  </w:style>
  <w:style w:type="paragraph" w:customStyle="1" w:styleId="234">
    <w:name w:val="xl126"/>
    <w:basedOn w:val="1"/>
    <w:qFormat/>
    <w:uiPriority w:val="99"/>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cs="宋体"/>
      <w:kern w:val="0"/>
      <w:sz w:val="20"/>
      <w:szCs w:val="20"/>
    </w:rPr>
  </w:style>
  <w:style w:type="paragraph" w:customStyle="1" w:styleId="235">
    <w:name w:val="xl127"/>
    <w:basedOn w:val="1"/>
    <w:qFormat/>
    <w:uiPriority w:val="99"/>
    <w:pPr>
      <w:widowControl/>
      <w:pBdr>
        <w:top w:val="single" w:color="auto" w:sz="4" w:space="0"/>
        <w:bottom w:val="single" w:color="auto" w:sz="4" w:space="0"/>
      </w:pBdr>
      <w:shd w:val="clear" w:color="auto" w:fill="FFFFFF"/>
      <w:spacing w:before="100" w:beforeAutospacing="1" w:after="100" w:afterAutospacing="1"/>
      <w:jc w:val="left"/>
    </w:pPr>
    <w:rPr>
      <w:rFonts w:ascii="宋体" w:hAnsi="宋体" w:cs="宋体"/>
      <w:kern w:val="0"/>
      <w:sz w:val="20"/>
      <w:szCs w:val="20"/>
    </w:rPr>
  </w:style>
  <w:style w:type="paragraph" w:customStyle="1" w:styleId="236">
    <w:name w:val="xl128"/>
    <w:basedOn w:val="1"/>
    <w:qFormat/>
    <w:uiPriority w:val="99"/>
    <w:pPr>
      <w:widowControl/>
      <w:pBdr>
        <w:top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kern w:val="0"/>
      <w:sz w:val="20"/>
      <w:szCs w:val="20"/>
    </w:rPr>
  </w:style>
  <w:style w:type="paragraph" w:customStyle="1" w:styleId="237">
    <w:name w:val="xl129"/>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kern w:val="0"/>
      <w:sz w:val="20"/>
      <w:szCs w:val="20"/>
    </w:rPr>
  </w:style>
  <w:style w:type="paragraph" w:customStyle="1" w:styleId="238">
    <w:name w:val="xl130"/>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color w:val="000000"/>
      <w:kern w:val="0"/>
      <w:sz w:val="20"/>
      <w:szCs w:val="20"/>
    </w:rPr>
  </w:style>
  <w:style w:type="paragraph" w:customStyle="1" w:styleId="239">
    <w:name w:val="xl131"/>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kern w:val="0"/>
      <w:sz w:val="20"/>
      <w:szCs w:val="20"/>
    </w:rPr>
  </w:style>
  <w:style w:type="paragraph" w:customStyle="1" w:styleId="240">
    <w:name w:val="xl132"/>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color w:val="000000"/>
      <w:kern w:val="0"/>
      <w:sz w:val="20"/>
      <w:szCs w:val="20"/>
    </w:rPr>
  </w:style>
  <w:style w:type="paragraph" w:customStyle="1" w:styleId="241">
    <w:name w:val="xl133"/>
    <w:basedOn w:val="1"/>
    <w:qFormat/>
    <w:uiPriority w:val="0"/>
    <w:pPr>
      <w:widowControl/>
      <w:pBdr>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kern w:val="0"/>
      <w:sz w:val="20"/>
      <w:szCs w:val="20"/>
    </w:rPr>
  </w:style>
  <w:style w:type="paragraph" w:customStyle="1" w:styleId="242">
    <w:name w:val="xl134"/>
    <w:basedOn w:val="1"/>
    <w:qFormat/>
    <w:uiPriority w:val="0"/>
    <w:pPr>
      <w:widowControl/>
      <w:pBdr>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kern w:val="0"/>
      <w:sz w:val="20"/>
      <w:szCs w:val="20"/>
    </w:rPr>
  </w:style>
  <w:style w:type="paragraph" w:customStyle="1" w:styleId="243">
    <w:name w:val="xl135"/>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kern w:val="0"/>
      <w:sz w:val="20"/>
      <w:szCs w:val="20"/>
    </w:rPr>
  </w:style>
  <w:style w:type="paragraph" w:customStyle="1" w:styleId="244">
    <w:name w:val="xl136"/>
    <w:basedOn w:val="1"/>
    <w:qFormat/>
    <w:uiPriority w:val="0"/>
    <w:pPr>
      <w:widowControl/>
      <w:pBdr>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kern w:val="0"/>
      <w:sz w:val="20"/>
      <w:szCs w:val="20"/>
    </w:rPr>
  </w:style>
  <w:style w:type="paragraph" w:customStyle="1" w:styleId="245">
    <w:name w:val="xl137"/>
    <w:basedOn w:val="1"/>
    <w:qFormat/>
    <w:uiPriority w:val="0"/>
    <w:pPr>
      <w:widowControl/>
      <w:pBdr>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color w:val="000000"/>
      <w:kern w:val="0"/>
      <w:sz w:val="20"/>
      <w:szCs w:val="20"/>
    </w:rPr>
  </w:style>
  <w:style w:type="paragraph" w:customStyle="1" w:styleId="246">
    <w:name w:val="xl138"/>
    <w:basedOn w:val="1"/>
    <w:qFormat/>
    <w:uiPriority w:val="0"/>
    <w:pPr>
      <w:widowControl/>
      <w:pBdr>
        <w:left w:val="single" w:color="auto" w:sz="4" w:space="0"/>
        <w:right w:val="single" w:color="auto" w:sz="4" w:space="0"/>
      </w:pBdr>
      <w:shd w:val="clear" w:color="auto" w:fill="FFFFFF"/>
      <w:spacing w:before="100" w:beforeAutospacing="1" w:after="100" w:afterAutospacing="1"/>
      <w:jc w:val="center"/>
    </w:pPr>
    <w:rPr>
      <w:rFonts w:ascii="宋体" w:hAnsi="宋体" w:cs="宋体"/>
      <w:kern w:val="0"/>
      <w:sz w:val="20"/>
      <w:szCs w:val="20"/>
    </w:rPr>
  </w:style>
  <w:style w:type="paragraph" w:customStyle="1" w:styleId="247">
    <w:name w:val="xl139"/>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kern w:val="0"/>
      <w:sz w:val="20"/>
      <w:szCs w:val="20"/>
    </w:rPr>
  </w:style>
  <w:style w:type="paragraph" w:customStyle="1" w:styleId="248">
    <w:name w:val="xl140"/>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kern w:val="0"/>
      <w:sz w:val="20"/>
      <w:szCs w:val="20"/>
    </w:rPr>
  </w:style>
  <w:style w:type="paragraph" w:customStyle="1" w:styleId="249">
    <w:name w:val="xl141"/>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kern w:val="0"/>
      <w:sz w:val="20"/>
      <w:szCs w:val="20"/>
    </w:rPr>
  </w:style>
  <w:style w:type="paragraph" w:customStyle="1" w:styleId="250">
    <w:name w:val="xl142"/>
    <w:basedOn w:val="1"/>
    <w:qFormat/>
    <w:uiPriority w:val="99"/>
    <w:pPr>
      <w:widowControl/>
      <w:pBdr>
        <w:top w:val="single" w:color="auto" w:sz="4" w:space="0"/>
        <w:left w:val="single" w:color="auto" w:sz="4" w:space="0"/>
        <w:bottom w:val="single" w:color="auto" w:sz="4" w:space="0"/>
      </w:pBdr>
      <w:shd w:val="clear" w:color="auto" w:fill="FFFFFF"/>
      <w:spacing w:before="100" w:beforeAutospacing="1" w:after="100" w:afterAutospacing="1"/>
      <w:jc w:val="center"/>
    </w:pPr>
    <w:rPr>
      <w:rFonts w:ascii="宋体" w:hAnsi="宋体" w:cs="宋体"/>
      <w:kern w:val="0"/>
      <w:sz w:val="20"/>
      <w:szCs w:val="20"/>
    </w:rPr>
  </w:style>
  <w:style w:type="paragraph" w:customStyle="1" w:styleId="251">
    <w:name w:val="xl143"/>
    <w:basedOn w:val="1"/>
    <w:qFormat/>
    <w:uiPriority w:val="99"/>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cs="宋体"/>
      <w:kern w:val="0"/>
      <w:sz w:val="20"/>
      <w:szCs w:val="20"/>
    </w:rPr>
  </w:style>
  <w:style w:type="paragraph" w:customStyle="1" w:styleId="252">
    <w:name w:val="xl144"/>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kern w:val="0"/>
      <w:sz w:val="20"/>
      <w:szCs w:val="20"/>
    </w:rPr>
  </w:style>
  <w:style w:type="paragraph" w:customStyle="1" w:styleId="253">
    <w:name w:val="xl145"/>
    <w:basedOn w:val="1"/>
    <w:qFormat/>
    <w:uiPriority w:val="99"/>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cs="宋体"/>
      <w:kern w:val="0"/>
      <w:sz w:val="20"/>
      <w:szCs w:val="20"/>
    </w:rPr>
  </w:style>
  <w:style w:type="paragraph" w:customStyle="1" w:styleId="254">
    <w:name w:val="xl146"/>
    <w:basedOn w:val="1"/>
    <w:qFormat/>
    <w:uiPriority w:val="99"/>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cs="宋体"/>
      <w:color w:val="000000"/>
      <w:kern w:val="0"/>
      <w:sz w:val="20"/>
      <w:szCs w:val="20"/>
    </w:rPr>
  </w:style>
  <w:style w:type="paragraph" w:customStyle="1" w:styleId="255">
    <w:name w:val="xl147"/>
    <w:basedOn w:val="1"/>
    <w:qFormat/>
    <w:uiPriority w:val="99"/>
    <w:pPr>
      <w:widowControl/>
      <w:pBdr>
        <w:top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color w:val="000000"/>
      <w:kern w:val="0"/>
      <w:sz w:val="20"/>
      <w:szCs w:val="20"/>
    </w:rPr>
  </w:style>
  <w:style w:type="paragraph" w:customStyle="1" w:styleId="256">
    <w:name w:val="xl148"/>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kern w:val="0"/>
      <w:sz w:val="20"/>
      <w:szCs w:val="20"/>
    </w:rPr>
  </w:style>
  <w:style w:type="paragraph" w:customStyle="1" w:styleId="257">
    <w:name w:val="xl149"/>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kern w:val="0"/>
      <w:sz w:val="20"/>
      <w:szCs w:val="20"/>
    </w:rPr>
  </w:style>
  <w:style w:type="paragraph" w:customStyle="1" w:styleId="258">
    <w:name w:val="xl150"/>
    <w:basedOn w:val="1"/>
    <w:qFormat/>
    <w:uiPriority w:val="99"/>
    <w:pPr>
      <w:widowControl/>
      <w:pBdr>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color w:val="000000"/>
      <w:kern w:val="0"/>
      <w:sz w:val="20"/>
      <w:szCs w:val="20"/>
    </w:rPr>
  </w:style>
  <w:style w:type="paragraph" w:customStyle="1" w:styleId="259">
    <w:name w:val="xl151"/>
    <w:basedOn w:val="1"/>
    <w:qFormat/>
    <w:uiPriority w:val="99"/>
    <w:pPr>
      <w:widowControl/>
      <w:pBdr>
        <w:top w:val="single" w:color="auto" w:sz="4" w:space="0"/>
        <w:left w:val="single" w:color="auto" w:sz="4" w:space="0"/>
        <w:right w:val="single" w:color="auto" w:sz="4" w:space="0"/>
      </w:pBdr>
      <w:shd w:val="clear" w:color="auto" w:fill="FFFFFF"/>
      <w:spacing w:before="100" w:beforeAutospacing="1" w:after="100" w:afterAutospacing="1"/>
      <w:jc w:val="left"/>
    </w:pPr>
    <w:rPr>
      <w:rFonts w:ascii="宋体" w:hAnsi="宋体" w:cs="宋体"/>
      <w:kern w:val="0"/>
      <w:sz w:val="20"/>
      <w:szCs w:val="20"/>
    </w:rPr>
  </w:style>
  <w:style w:type="paragraph" w:customStyle="1" w:styleId="260">
    <w:name w:val="xl152"/>
    <w:basedOn w:val="1"/>
    <w:qFormat/>
    <w:uiPriority w:val="99"/>
    <w:pPr>
      <w:widowControl/>
      <w:pBdr>
        <w:top w:val="single" w:color="auto" w:sz="4" w:space="0"/>
        <w:left w:val="single" w:color="auto" w:sz="4" w:space="0"/>
        <w:right w:val="single" w:color="auto" w:sz="4" w:space="0"/>
      </w:pBdr>
      <w:shd w:val="clear" w:color="auto" w:fill="FFFFFF"/>
      <w:spacing w:before="100" w:beforeAutospacing="1" w:after="100" w:afterAutospacing="1"/>
      <w:jc w:val="left"/>
    </w:pPr>
    <w:rPr>
      <w:rFonts w:ascii="宋体" w:hAnsi="宋体" w:cs="宋体"/>
      <w:color w:val="FF0000"/>
      <w:kern w:val="0"/>
      <w:sz w:val="20"/>
      <w:szCs w:val="20"/>
    </w:rPr>
  </w:style>
  <w:style w:type="paragraph" w:customStyle="1" w:styleId="261">
    <w:name w:val="xl153"/>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color w:val="000000"/>
      <w:kern w:val="0"/>
      <w:sz w:val="20"/>
      <w:szCs w:val="20"/>
    </w:rPr>
  </w:style>
  <w:style w:type="paragraph" w:customStyle="1" w:styleId="262">
    <w:name w:val="xl154"/>
    <w:basedOn w:val="1"/>
    <w:qFormat/>
    <w:uiPriority w:val="99"/>
    <w:pPr>
      <w:widowControl/>
      <w:pBdr>
        <w:top w:val="single" w:color="auto" w:sz="4" w:space="0"/>
        <w:left w:val="single" w:color="auto" w:sz="4" w:space="0"/>
        <w:bottom w:val="single" w:color="auto" w:sz="4" w:space="0"/>
      </w:pBdr>
      <w:shd w:val="clear" w:color="auto" w:fill="FFFFFF"/>
      <w:spacing w:before="100" w:beforeAutospacing="1" w:after="100" w:afterAutospacing="1"/>
      <w:jc w:val="center"/>
    </w:pPr>
    <w:rPr>
      <w:rFonts w:ascii="宋体" w:hAnsi="宋体" w:cs="宋体"/>
      <w:b/>
      <w:bCs/>
      <w:kern w:val="0"/>
      <w:sz w:val="20"/>
      <w:szCs w:val="20"/>
    </w:rPr>
  </w:style>
  <w:style w:type="paragraph" w:customStyle="1" w:styleId="263">
    <w:name w:val="xl155"/>
    <w:basedOn w:val="1"/>
    <w:qFormat/>
    <w:uiPriority w:val="99"/>
    <w:pPr>
      <w:widowControl/>
      <w:pBdr>
        <w:top w:val="single" w:color="auto" w:sz="4" w:space="0"/>
        <w:bottom w:val="single" w:color="auto" w:sz="4" w:space="0"/>
      </w:pBdr>
      <w:shd w:val="clear" w:color="auto" w:fill="FFFFFF"/>
      <w:spacing w:before="100" w:beforeAutospacing="1" w:after="100" w:afterAutospacing="1"/>
      <w:jc w:val="center"/>
    </w:pPr>
    <w:rPr>
      <w:rFonts w:ascii="宋体" w:hAnsi="宋体" w:cs="宋体"/>
      <w:b/>
      <w:bCs/>
      <w:kern w:val="0"/>
      <w:sz w:val="20"/>
      <w:szCs w:val="20"/>
    </w:rPr>
  </w:style>
  <w:style w:type="paragraph" w:customStyle="1" w:styleId="264">
    <w:name w:val="xl156"/>
    <w:basedOn w:val="1"/>
    <w:qFormat/>
    <w:uiPriority w:val="99"/>
    <w:pPr>
      <w:widowControl/>
      <w:pBdr>
        <w:top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b/>
      <w:bCs/>
      <w:kern w:val="0"/>
      <w:sz w:val="20"/>
      <w:szCs w:val="20"/>
    </w:rPr>
  </w:style>
  <w:style w:type="paragraph" w:customStyle="1" w:styleId="265">
    <w:name w:val="xl157"/>
    <w:basedOn w:val="1"/>
    <w:qFormat/>
    <w:uiPriority w:val="99"/>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b/>
      <w:bCs/>
      <w:kern w:val="0"/>
      <w:sz w:val="20"/>
      <w:szCs w:val="20"/>
    </w:rPr>
  </w:style>
  <w:style w:type="character" w:customStyle="1" w:styleId="266">
    <w:name w:val="列表段落 字符"/>
    <w:link w:val="267"/>
    <w:qFormat/>
    <w:uiPriority w:val="34"/>
    <w:rPr>
      <w:rFonts w:ascii="宋体" w:hAnsi="宋体" w:eastAsia="宋体" w:cs="宋体"/>
      <w:kern w:val="0"/>
      <w:sz w:val="24"/>
    </w:rPr>
  </w:style>
  <w:style w:type="paragraph" w:customStyle="1" w:styleId="267">
    <w:name w:val="列表段落1"/>
    <w:basedOn w:val="1"/>
    <w:link w:val="266"/>
    <w:qFormat/>
    <w:uiPriority w:val="34"/>
    <w:pPr>
      <w:widowControl/>
      <w:ind w:firstLine="420" w:firstLineChars="200"/>
      <w:jc w:val="left"/>
    </w:pPr>
    <w:rPr>
      <w:rFonts w:ascii="宋体" w:hAnsi="宋体" w:cs="宋体"/>
      <w:kern w:val="0"/>
      <w:sz w:val="24"/>
      <w:szCs w:val="24"/>
      <w14:ligatures w14:val="standardContextual"/>
    </w:rPr>
  </w:style>
  <w:style w:type="paragraph" w:customStyle="1" w:styleId="268">
    <w:name w:val="项目1"/>
    <w:basedOn w:val="1"/>
    <w:qFormat/>
    <w:uiPriority w:val="99"/>
    <w:pPr>
      <w:widowControl/>
      <w:tabs>
        <w:tab w:val="left" w:pos="720"/>
      </w:tabs>
      <w:autoSpaceDE w:val="0"/>
      <w:autoSpaceDN w:val="0"/>
      <w:adjustRightInd w:val="0"/>
      <w:spacing w:before="120" w:after="120" w:line="300" w:lineRule="auto"/>
      <w:ind w:left="720" w:hanging="720"/>
      <w:jc w:val="left"/>
    </w:pPr>
    <w:rPr>
      <w:rFonts w:eastAsia="楷体_GB2312"/>
      <w:kern w:val="0"/>
      <w:sz w:val="24"/>
      <w:szCs w:val="24"/>
    </w:rPr>
  </w:style>
  <w:style w:type="paragraph" w:customStyle="1" w:styleId="269">
    <w:name w:val="图片居中"/>
    <w:basedOn w:val="1"/>
    <w:qFormat/>
    <w:uiPriority w:val="99"/>
    <w:pPr>
      <w:keepNext/>
      <w:jc w:val="center"/>
    </w:pPr>
  </w:style>
  <w:style w:type="paragraph" w:customStyle="1" w:styleId="270">
    <w:name w:val="表格(五号)"/>
    <w:qFormat/>
    <w:uiPriority w:val="99"/>
    <w:pPr>
      <w:adjustRightInd w:val="0"/>
      <w:snapToGrid w:val="0"/>
      <w:jc w:val="both"/>
    </w:pPr>
    <w:rPr>
      <w:rFonts w:ascii="Times New Roman" w:hAnsi="Times New Roman" w:eastAsia="宋体" w:cs="Times New Roman"/>
      <w:sz w:val="21"/>
      <w:lang w:val="en-US" w:eastAsia="zh-CN" w:bidi="ar-SA"/>
    </w:rPr>
  </w:style>
  <w:style w:type="paragraph" w:customStyle="1" w:styleId="271">
    <w:name w:val="图片题注"/>
    <w:basedOn w:val="18"/>
    <w:qFormat/>
    <w:uiPriority w:val="99"/>
  </w:style>
  <w:style w:type="paragraph" w:customStyle="1" w:styleId="272">
    <w:name w:val="表格正文"/>
    <w:basedOn w:val="1"/>
    <w:qFormat/>
    <w:uiPriority w:val="99"/>
    <w:pPr>
      <w:widowControl/>
      <w:jc w:val="left"/>
    </w:pPr>
    <w:rPr>
      <w:rFonts w:ascii="宋体" w:hAnsi="宋体" w:cs="宋体"/>
      <w:szCs w:val="28"/>
    </w:rPr>
  </w:style>
  <w:style w:type="paragraph" w:customStyle="1" w:styleId="273">
    <w:name w:val="修订1"/>
    <w:qFormat/>
    <w:uiPriority w:val="99"/>
    <w:rPr>
      <w:rFonts w:ascii="Times New Roman" w:hAnsi="Times New Roman" w:eastAsia="宋体" w:cs="Times New Roman"/>
      <w:kern w:val="2"/>
      <w:sz w:val="21"/>
      <w:szCs w:val="22"/>
      <w:lang w:val="en-US" w:eastAsia="zh-CN" w:bidi="ar-SA"/>
    </w:rPr>
  </w:style>
  <w:style w:type="paragraph" w:customStyle="1" w:styleId="274">
    <w:name w:val="修订2"/>
    <w:qFormat/>
    <w:uiPriority w:val="99"/>
    <w:rPr>
      <w:rFonts w:ascii="Times New Roman" w:hAnsi="Times New Roman" w:eastAsia="宋体" w:cs="Times New Roman"/>
      <w:kern w:val="2"/>
      <w:sz w:val="21"/>
      <w:szCs w:val="22"/>
      <w:lang w:val="en-US" w:eastAsia="zh-CN" w:bidi="ar-SA"/>
    </w:rPr>
  </w:style>
  <w:style w:type="paragraph" w:customStyle="1" w:styleId="275">
    <w:name w:val="修订3"/>
    <w:semiHidden/>
    <w:qFormat/>
    <w:uiPriority w:val="99"/>
    <w:rPr>
      <w:rFonts w:ascii="Times New Roman" w:hAnsi="Times New Roman" w:eastAsia="宋体" w:cs="Times New Roman"/>
      <w:kern w:val="2"/>
      <w:sz w:val="21"/>
      <w:szCs w:val="22"/>
      <w:lang w:val="en-US" w:eastAsia="zh-CN" w:bidi="ar-SA"/>
    </w:rPr>
  </w:style>
  <w:style w:type="paragraph" w:customStyle="1" w:styleId="276">
    <w:name w:val="xl6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277">
    <w:name w:val="xl68"/>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278">
    <w:name w:val="xl69"/>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279">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280">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281">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282">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283">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284">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285">
    <w:name w:val="xl76"/>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86">
    <w:name w:val="xl77"/>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87">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288">
    <w:name w:val="xl7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18"/>
      <w:szCs w:val="18"/>
    </w:rPr>
  </w:style>
  <w:style w:type="paragraph" w:customStyle="1" w:styleId="289">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290">
    <w:name w:val="xl81"/>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291">
    <w:name w:val="xl82"/>
    <w:basedOn w:val="1"/>
    <w:qFormat/>
    <w:uiPriority w:val="0"/>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292">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293">
    <w:name w:val="xl84"/>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294">
    <w:name w:val="xl85"/>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295">
    <w:name w:val="xl86"/>
    <w:basedOn w:val="1"/>
    <w:qFormat/>
    <w:uiPriority w:val="0"/>
    <w:pPr>
      <w:widowControl/>
      <w:spacing w:before="100" w:beforeAutospacing="1" w:after="100" w:afterAutospacing="1"/>
      <w:jc w:val="center"/>
    </w:pPr>
    <w:rPr>
      <w:rFonts w:ascii="宋体" w:hAnsi="宋体" w:cs="宋体"/>
      <w:kern w:val="0"/>
      <w:sz w:val="24"/>
      <w:szCs w:val="24"/>
    </w:rPr>
  </w:style>
  <w:style w:type="paragraph" w:customStyle="1" w:styleId="296">
    <w:name w:val="xl87"/>
    <w:basedOn w:val="1"/>
    <w:qFormat/>
    <w:uiPriority w:val="0"/>
    <w:pPr>
      <w:widowControl/>
      <w:spacing w:before="100" w:beforeAutospacing="1" w:after="100" w:afterAutospacing="1"/>
      <w:jc w:val="center"/>
    </w:pPr>
    <w:rPr>
      <w:rFonts w:ascii="宋体" w:hAnsi="宋体" w:cs="宋体"/>
      <w:kern w:val="0"/>
      <w:sz w:val="24"/>
      <w:szCs w:val="24"/>
    </w:rPr>
  </w:style>
  <w:style w:type="paragraph" w:customStyle="1" w:styleId="297">
    <w:name w:val="xl88"/>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298">
    <w:name w:val="xl89"/>
    <w:basedOn w:val="1"/>
    <w:qFormat/>
    <w:uiPriority w:val="0"/>
    <w:pPr>
      <w:widowControl/>
      <w:spacing w:before="100" w:beforeAutospacing="1" w:after="100" w:afterAutospacing="1"/>
      <w:jc w:val="center"/>
    </w:pPr>
    <w:rPr>
      <w:rFonts w:ascii="宋体" w:hAnsi="宋体" w:cs="宋体"/>
      <w:kern w:val="0"/>
      <w:sz w:val="24"/>
      <w:szCs w:val="24"/>
    </w:rPr>
  </w:style>
  <w:style w:type="paragraph" w:customStyle="1" w:styleId="299">
    <w:name w:val="xl90"/>
    <w:basedOn w:val="1"/>
    <w:qFormat/>
    <w:uiPriority w:val="0"/>
    <w:pPr>
      <w:widowControl/>
      <w:pBdr>
        <w:top w:val="single" w:color="auto" w:sz="4" w:space="0"/>
        <w:left w:val="single" w:color="auto" w:sz="4" w:space="0"/>
      </w:pBdr>
      <w:spacing w:before="100" w:beforeAutospacing="1" w:after="100" w:afterAutospacing="1"/>
      <w:jc w:val="center"/>
    </w:pPr>
    <w:rPr>
      <w:rFonts w:ascii="宋体" w:hAnsi="宋体" w:cs="宋体"/>
      <w:kern w:val="0"/>
      <w:sz w:val="18"/>
      <w:szCs w:val="18"/>
    </w:rPr>
  </w:style>
  <w:style w:type="paragraph" w:customStyle="1" w:styleId="300">
    <w:name w:val="xl91"/>
    <w:basedOn w:val="1"/>
    <w:qFormat/>
    <w:uiPriority w:val="0"/>
    <w:pPr>
      <w:widowControl/>
      <w:pBdr>
        <w:top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301">
    <w:name w:val="xl92"/>
    <w:basedOn w:val="1"/>
    <w:qFormat/>
    <w:uiPriority w:val="0"/>
    <w:pPr>
      <w:widowControl/>
      <w:pBdr>
        <w:left w:val="single" w:color="auto" w:sz="4" w:space="0"/>
      </w:pBdr>
      <w:spacing w:before="100" w:beforeAutospacing="1" w:after="100" w:afterAutospacing="1"/>
      <w:jc w:val="center"/>
    </w:pPr>
    <w:rPr>
      <w:rFonts w:ascii="宋体" w:hAnsi="宋体" w:cs="宋体"/>
      <w:kern w:val="0"/>
      <w:sz w:val="18"/>
      <w:szCs w:val="18"/>
    </w:rPr>
  </w:style>
  <w:style w:type="paragraph" w:customStyle="1" w:styleId="302">
    <w:name w:val="xl93"/>
    <w:basedOn w:val="1"/>
    <w:qFormat/>
    <w:uiPriority w:val="0"/>
    <w:pPr>
      <w:widowControl/>
      <w:pBdr>
        <w:right w:val="single" w:color="auto" w:sz="4" w:space="0"/>
      </w:pBdr>
      <w:spacing w:before="100" w:beforeAutospacing="1" w:after="100" w:afterAutospacing="1"/>
      <w:jc w:val="center"/>
    </w:pPr>
    <w:rPr>
      <w:rFonts w:ascii="宋体" w:hAnsi="宋体" w:cs="宋体"/>
      <w:kern w:val="0"/>
      <w:sz w:val="18"/>
      <w:szCs w:val="18"/>
    </w:rPr>
  </w:style>
  <w:style w:type="paragraph" w:customStyle="1" w:styleId="303">
    <w:name w:val="xl94"/>
    <w:basedOn w:val="1"/>
    <w:qFormat/>
    <w:uiPriority w:val="0"/>
    <w:pPr>
      <w:widowControl/>
      <w:pBdr>
        <w:left w:val="single" w:color="auto" w:sz="4" w:space="0"/>
        <w:bottom w:val="single" w:color="auto" w:sz="4" w:space="0"/>
      </w:pBdr>
      <w:spacing w:before="100" w:beforeAutospacing="1" w:after="100" w:afterAutospacing="1"/>
      <w:jc w:val="center"/>
    </w:pPr>
    <w:rPr>
      <w:rFonts w:ascii="宋体" w:hAnsi="宋体" w:cs="宋体"/>
      <w:kern w:val="0"/>
      <w:sz w:val="18"/>
      <w:szCs w:val="18"/>
    </w:rPr>
  </w:style>
  <w:style w:type="paragraph" w:customStyle="1" w:styleId="304">
    <w:name w:val="xl95"/>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305">
    <w:name w:val="xl96"/>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306">
    <w:name w:val="xl9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307">
    <w:name w:val="xl98"/>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308">
    <w:name w:val="xl9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309">
    <w:name w:val="xl100"/>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b/>
      <w:bCs/>
      <w:kern w:val="0"/>
      <w:sz w:val="18"/>
      <w:szCs w:val="18"/>
    </w:rPr>
  </w:style>
  <w:style w:type="paragraph" w:customStyle="1" w:styleId="310">
    <w:name w:val="xl101"/>
    <w:basedOn w:val="1"/>
    <w:qFormat/>
    <w:uiPriority w:val="0"/>
    <w:pPr>
      <w:widowControl/>
      <w:pBdr>
        <w:top w:val="single" w:color="auto" w:sz="4" w:space="0"/>
        <w:bottom w:val="single" w:color="auto" w:sz="4" w:space="0"/>
      </w:pBdr>
      <w:spacing w:before="100" w:beforeAutospacing="1" w:after="100" w:afterAutospacing="1"/>
      <w:jc w:val="left"/>
    </w:pPr>
    <w:rPr>
      <w:rFonts w:ascii="宋体" w:hAnsi="宋体" w:cs="宋体"/>
      <w:b/>
      <w:bCs/>
      <w:kern w:val="0"/>
      <w:sz w:val="18"/>
      <w:szCs w:val="18"/>
    </w:rPr>
  </w:style>
  <w:style w:type="paragraph" w:customStyle="1" w:styleId="311">
    <w:name w:val="xl102"/>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18"/>
      <w:szCs w:val="18"/>
    </w:rPr>
  </w:style>
  <w:style w:type="paragraph" w:customStyle="1" w:styleId="312">
    <w:name w:val="xl103"/>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313">
    <w:name w:val="xl104"/>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314">
    <w:name w:val="xl10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315">
    <w:name w:val="xl65"/>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316">
    <w:name w:val="xl66"/>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17">
    <w:name w:val="修订4"/>
    <w:qFormat/>
    <w:uiPriority w:val="99"/>
    <w:rPr>
      <w:rFonts w:ascii="Times New Roman" w:hAnsi="Times New Roman" w:eastAsia="宋体" w:cs="Times New Roman"/>
      <w:kern w:val="2"/>
      <w:sz w:val="21"/>
      <w:szCs w:val="22"/>
      <w:lang w:val="en-US" w:eastAsia="zh-CN" w:bidi="ar-SA"/>
    </w:rPr>
  </w:style>
  <w:style w:type="character" w:customStyle="1" w:styleId="318">
    <w:name w:val="font21"/>
    <w:basedOn w:val="69"/>
    <w:qFormat/>
    <w:uiPriority w:val="0"/>
    <w:rPr>
      <w:rFonts w:hint="eastAsia" w:ascii="等线" w:hAnsi="等线" w:eastAsia="等线" w:cs="等线"/>
      <w:color w:val="000000"/>
      <w:sz w:val="22"/>
      <w:szCs w:val="22"/>
      <w:u w:val="none"/>
    </w:rPr>
  </w:style>
  <w:style w:type="character" w:customStyle="1" w:styleId="319">
    <w:name w:val="apple-converted-space"/>
    <w:qFormat/>
    <w:uiPriority w:val="0"/>
    <w:rPr>
      <w:rFonts w:hint="default" w:ascii="Times New Roman" w:hAnsi="Times New Roman" w:cs="Times New Roman"/>
    </w:rPr>
  </w:style>
  <w:style w:type="character" w:customStyle="1" w:styleId="320">
    <w:name w:val="正文文本缩进 3 Char1"/>
    <w:basedOn w:val="69"/>
    <w:qFormat/>
    <w:uiPriority w:val="0"/>
    <w:rPr>
      <w:rFonts w:hint="default" w:ascii="Times New Roman" w:hAnsi="Times New Roman" w:eastAsia="宋体" w:cs="Times New Roman"/>
      <w:sz w:val="16"/>
      <w:szCs w:val="16"/>
    </w:rPr>
  </w:style>
  <w:style w:type="character" w:customStyle="1" w:styleId="321">
    <w:name w:val="批注文字 Char1"/>
    <w:basedOn w:val="69"/>
    <w:qFormat/>
    <w:uiPriority w:val="0"/>
    <w:rPr>
      <w:rFonts w:hint="default" w:ascii="Times New Roman" w:hAnsi="Times New Roman" w:eastAsia="宋体" w:cs="Times New Roman"/>
    </w:rPr>
  </w:style>
  <w:style w:type="character" w:customStyle="1" w:styleId="322">
    <w:name w:val="apple-tab-span"/>
    <w:qFormat/>
    <w:uiPriority w:val="0"/>
    <w:rPr>
      <w:rFonts w:hint="default" w:ascii="Times New Roman" w:hAnsi="Times New Roman" w:cs="Times New Roman"/>
    </w:rPr>
  </w:style>
  <w:style w:type="character" w:customStyle="1" w:styleId="323">
    <w:name w:val="font11"/>
    <w:basedOn w:val="69"/>
    <w:qFormat/>
    <w:uiPriority w:val="0"/>
    <w:rPr>
      <w:rFonts w:hint="default" w:ascii="Times New Roman" w:hAnsi="Times New Roman" w:cs="Times New Roman"/>
      <w:color w:val="000000"/>
      <w:sz w:val="20"/>
      <w:szCs w:val="20"/>
      <w:u w:val="none"/>
    </w:rPr>
  </w:style>
  <w:style w:type="character" w:customStyle="1" w:styleId="324">
    <w:name w:val="font31"/>
    <w:basedOn w:val="69"/>
    <w:qFormat/>
    <w:uiPriority w:val="0"/>
    <w:rPr>
      <w:rFonts w:hint="eastAsia" w:ascii="等线" w:hAnsi="等线" w:eastAsia="等线" w:cs="等线"/>
      <w:color w:val="000000"/>
      <w:sz w:val="22"/>
      <w:szCs w:val="22"/>
      <w:u w:val="none"/>
    </w:rPr>
  </w:style>
  <w:style w:type="character" w:customStyle="1" w:styleId="325">
    <w:name w:val="正文文本缩进 Char1"/>
    <w:basedOn w:val="69"/>
    <w:qFormat/>
    <w:uiPriority w:val="0"/>
    <w:rPr>
      <w:rFonts w:hint="default" w:ascii="Times New Roman" w:hAnsi="Times New Roman" w:eastAsia="宋体" w:cs="Times New Roman"/>
    </w:rPr>
  </w:style>
  <w:style w:type="character" w:customStyle="1" w:styleId="326">
    <w:name w:val="正文文本 3 Char1"/>
    <w:basedOn w:val="69"/>
    <w:qFormat/>
    <w:uiPriority w:val="0"/>
    <w:rPr>
      <w:rFonts w:hint="default" w:ascii="Times New Roman" w:hAnsi="Times New Roman" w:eastAsia="宋体" w:cs="Times New Roman"/>
      <w:sz w:val="16"/>
      <w:szCs w:val="16"/>
    </w:rPr>
  </w:style>
  <w:style w:type="character" w:customStyle="1" w:styleId="327">
    <w:name w:val="正文文本 Char1"/>
    <w:basedOn w:val="69"/>
    <w:qFormat/>
    <w:uiPriority w:val="0"/>
    <w:rPr>
      <w:rFonts w:hint="default" w:ascii="Times New Roman" w:hAnsi="Times New Roman" w:eastAsia="宋体" w:cs="Times New Roman"/>
    </w:rPr>
  </w:style>
  <w:style w:type="character" w:customStyle="1" w:styleId="328">
    <w:name w:val="font01"/>
    <w:basedOn w:val="69"/>
    <w:qFormat/>
    <w:uiPriority w:val="0"/>
    <w:rPr>
      <w:rFonts w:hint="eastAsia" w:ascii="宋体" w:hAnsi="宋体" w:eastAsia="宋体" w:cs="宋体"/>
      <w:color w:val="000000"/>
      <w:sz w:val="20"/>
      <w:szCs w:val="20"/>
      <w:u w:val="none"/>
    </w:rPr>
  </w:style>
  <w:style w:type="character" w:customStyle="1" w:styleId="329">
    <w:name w:val="纯文本 Char2"/>
    <w:basedOn w:val="69"/>
    <w:qFormat/>
    <w:uiPriority w:val="0"/>
    <w:rPr>
      <w:rFonts w:hint="eastAsia" w:ascii="宋体" w:hAnsi="Courier New" w:eastAsia="宋体" w:cs="Courier New"/>
      <w:sz w:val="21"/>
      <w:szCs w:val="21"/>
    </w:rPr>
  </w:style>
  <w:style w:type="character" w:customStyle="1" w:styleId="330">
    <w:name w:val="文档结构图 Char1"/>
    <w:basedOn w:val="69"/>
    <w:qFormat/>
    <w:uiPriority w:val="0"/>
    <w:rPr>
      <w:rFonts w:hint="eastAsia" w:ascii="宋体" w:hAnsi="Times New Roman" w:eastAsia="宋体" w:cs="Times New Roman"/>
      <w:sz w:val="18"/>
      <w:szCs w:val="18"/>
    </w:rPr>
  </w:style>
  <w:style w:type="character" w:customStyle="1" w:styleId="331">
    <w:name w:val="纯文本 Char1"/>
    <w:qFormat/>
    <w:uiPriority w:val="0"/>
    <w:rPr>
      <w:rFonts w:hint="eastAsia" w:ascii="宋体" w:hAnsi="Courier New" w:eastAsia="宋体"/>
      <w:sz w:val="21"/>
    </w:rPr>
  </w:style>
  <w:style w:type="character" w:customStyle="1" w:styleId="332">
    <w:name w:val="日期 Char1"/>
    <w:basedOn w:val="69"/>
    <w:qFormat/>
    <w:uiPriority w:val="0"/>
    <w:rPr>
      <w:rFonts w:hint="default" w:ascii="Times New Roman" w:hAnsi="Times New Roman" w:eastAsia="宋体" w:cs="Times New Roman"/>
    </w:rPr>
  </w:style>
  <w:style w:type="character" w:customStyle="1" w:styleId="333">
    <w:name w:val="正文文本缩进 2 Char1"/>
    <w:basedOn w:val="69"/>
    <w:qFormat/>
    <w:uiPriority w:val="0"/>
    <w:rPr>
      <w:rFonts w:hint="default" w:ascii="Times New Roman" w:hAnsi="Times New Roman" w:eastAsia="宋体" w:cs="Times New Roman"/>
    </w:rPr>
  </w:style>
  <w:style w:type="character" w:customStyle="1" w:styleId="334">
    <w:name w:val="批注框文本 Char1"/>
    <w:basedOn w:val="69"/>
    <w:qFormat/>
    <w:uiPriority w:val="0"/>
    <w:rPr>
      <w:rFonts w:hint="default" w:ascii="Times New Roman" w:hAnsi="Times New Roman" w:eastAsia="宋体" w:cs="Times New Roman"/>
      <w:sz w:val="18"/>
      <w:szCs w:val="18"/>
    </w:rPr>
  </w:style>
  <w:style w:type="character" w:customStyle="1" w:styleId="335">
    <w:name w:val="正文文本 2 Char1"/>
    <w:basedOn w:val="69"/>
    <w:qFormat/>
    <w:uiPriority w:val="0"/>
    <w:rPr>
      <w:rFonts w:hint="default" w:ascii="Times New Roman" w:hAnsi="Times New Roman" w:eastAsia="宋体" w:cs="Times New Roman"/>
    </w:rPr>
  </w:style>
  <w:style w:type="character" w:customStyle="1" w:styleId="336">
    <w:name w:val="大黑10.5px"/>
    <w:qFormat/>
    <w:uiPriority w:val="0"/>
    <w:rPr>
      <w:rFonts w:hint="eastAsia" w:ascii="方正大黑简体" w:eastAsia="方正大黑简体"/>
      <w:sz w:val="21"/>
    </w:rPr>
  </w:style>
  <w:style w:type="character" w:customStyle="1" w:styleId="337">
    <w:name w:val="黑简10.5px"/>
    <w:qFormat/>
    <w:uiPriority w:val="0"/>
    <w:rPr>
      <w:rFonts w:hint="eastAsia" w:ascii="方正黑体简体" w:hAnsi="方正黑体简体" w:eastAsia="方正黑体简体"/>
      <w:sz w:val="21"/>
    </w:rPr>
  </w:style>
  <w:style w:type="character" w:customStyle="1" w:styleId="338">
    <w:name w:val="jbox-icon-warning"/>
    <w:basedOn w:val="69"/>
    <w:qFormat/>
    <w:uiPriority w:val="0"/>
    <w:rPr>
      <w:rFonts w:hint="default" w:ascii="Times New Roman" w:hAnsi="Times New Roman" w:cs="Times New Roman"/>
    </w:rPr>
  </w:style>
  <w:style w:type="character" w:customStyle="1" w:styleId="339">
    <w:name w:val="hover9"/>
    <w:qFormat/>
    <w:uiPriority w:val="0"/>
    <w:rPr>
      <w:shd w:val="clear" w:color="auto" w:fill="EEEEEE"/>
    </w:rPr>
  </w:style>
  <w:style w:type="character" w:customStyle="1" w:styleId="340">
    <w:name w:val="hour_pm"/>
    <w:basedOn w:val="69"/>
    <w:qFormat/>
    <w:uiPriority w:val="0"/>
    <w:rPr>
      <w:rFonts w:hint="default" w:ascii="Times New Roman" w:hAnsi="Times New Roman" w:cs="Times New Roman"/>
    </w:rPr>
  </w:style>
  <w:style w:type="character" w:customStyle="1" w:styleId="341">
    <w:name w:val="jbox-icon-info"/>
    <w:basedOn w:val="69"/>
    <w:qFormat/>
    <w:uiPriority w:val="0"/>
    <w:rPr>
      <w:rFonts w:hint="default" w:ascii="Times New Roman" w:hAnsi="Times New Roman" w:cs="Times New Roman"/>
    </w:rPr>
  </w:style>
  <w:style w:type="character" w:customStyle="1" w:styleId="342">
    <w:name w:val="black601"/>
    <w:qFormat/>
    <w:uiPriority w:val="0"/>
    <w:rPr>
      <w:color w:val="666666"/>
    </w:rPr>
  </w:style>
  <w:style w:type="character" w:customStyle="1" w:styleId="343">
    <w:name w:val="hour_am"/>
    <w:basedOn w:val="69"/>
    <w:qFormat/>
    <w:uiPriority w:val="0"/>
    <w:rPr>
      <w:rFonts w:hint="default" w:ascii="Times New Roman" w:hAnsi="Times New Roman" w:cs="Times New Roman"/>
    </w:rPr>
  </w:style>
  <w:style w:type="character" w:customStyle="1" w:styleId="344">
    <w:name w:val="jbox-icon-error"/>
    <w:basedOn w:val="69"/>
    <w:qFormat/>
    <w:uiPriority w:val="0"/>
    <w:rPr>
      <w:rFonts w:hint="default" w:ascii="Times New Roman" w:hAnsi="Times New Roman" w:cs="Times New Roman"/>
    </w:rPr>
  </w:style>
  <w:style w:type="character" w:customStyle="1" w:styleId="345">
    <w:name w:val="jbox-icon-success"/>
    <w:basedOn w:val="69"/>
    <w:qFormat/>
    <w:uiPriority w:val="0"/>
    <w:rPr>
      <w:rFonts w:hint="default" w:ascii="Times New Roman" w:hAnsi="Times New Roman" w:cs="Times New Roman"/>
    </w:rPr>
  </w:style>
  <w:style w:type="character" w:customStyle="1" w:styleId="346">
    <w:name w:val="maywed421"/>
    <w:qFormat/>
    <w:uiPriority w:val="0"/>
    <w:rPr>
      <w:color w:val="366FB6"/>
      <w:u w:val="none"/>
    </w:rPr>
  </w:style>
  <w:style w:type="character" w:customStyle="1" w:styleId="347">
    <w:name w:val="正文文本缩进 字符1"/>
    <w:qFormat/>
    <w:uiPriority w:val="0"/>
    <w:rPr>
      <w:rFonts w:hint="eastAsia" w:ascii="宋体" w:hAnsi="Courier New" w:eastAsia="宋体"/>
      <w:spacing w:val="-4"/>
      <w:kern w:val="2"/>
      <w:sz w:val="18"/>
    </w:rPr>
  </w:style>
  <w:style w:type="character" w:customStyle="1" w:styleId="348">
    <w:name w:val="jbox-icon-question"/>
    <w:basedOn w:val="69"/>
    <w:qFormat/>
    <w:uiPriority w:val="0"/>
    <w:rPr>
      <w:rFonts w:hint="default" w:ascii="Times New Roman" w:hAnsi="Times New Roman" w:cs="Times New Roman"/>
    </w:rPr>
  </w:style>
  <w:style w:type="character" w:customStyle="1" w:styleId="349">
    <w:name w:val="jbox-icon-loading"/>
    <w:basedOn w:val="69"/>
    <w:qFormat/>
    <w:uiPriority w:val="0"/>
    <w:rPr>
      <w:rFonts w:hint="default" w:ascii="Times New Roman" w:hAnsi="Times New Roman" w:cs="Times New Roman"/>
    </w:rPr>
  </w:style>
  <w:style w:type="character" w:customStyle="1" w:styleId="350">
    <w:name w:val="标题 1 Char Char"/>
    <w:qFormat/>
    <w:uiPriority w:val="0"/>
    <w:rPr>
      <w:rFonts w:hint="eastAsia" w:ascii="宋体" w:hAnsi="宋体" w:eastAsia="宋体"/>
      <w:b/>
      <w:spacing w:val="-2"/>
      <w:sz w:val="24"/>
      <w:lang w:val="en-US" w:eastAsia="zh-CN"/>
    </w:rPr>
  </w:style>
  <w:style w:type="character" w:customStyle="1" w:styleId="351">
    <w:name w:val="jbox-icon-none"/>
    <w:qFormat/>
    <w:uiPriority w:val="0"/>
    <w:rPr>
      <w:vanish/>
    </w:rPr>
  </w:style>
  <w:style w:type="character" w:customStyle="1" w:styleId="352">
    <w:name w:val="sub_title s0"/>
    <w:basedOn w:val="69"/>
    <w:qFormat/>
    <w:uiPriority w:val="0"/>
    <w:rPr>
      <w:rFonts w:hint="default" w:ascii="Times New Roman" w:hAnsi="Times New Roman" w:cs="Times New Roman"/>
    </w:rPr>
  </w:style>
  <w:style w:type="character" w:customStyle="1" w:styleId="353">
    <w:name w:val="纯文本 字符2"/>
    <w:qFormat/>
    <w:uiPriority w:val="0"/>
    <w:rPr>
      <w:rFonts w:hint="eastAsia" w:ascii="宋体" w:hAnsi="Courier New" w:eastAsia="宋体"/>
      <w:kern w:val="2"/>
      <w:sz w:val="24"/>
    </w:rPr>
  </w:style>
  <w:style w:type="character" w:customStyle="1" w:styleId="354">
    <w:name w:val="jbox-icon"/>
    <w:basedOn w:val="69"/>
    <w:qFormat/>
    <w:uiPriority w:val="0"/>
    <w:rPr>
      <w:rFonts w:hint="default" w:ascii="Times New Roman" w:hAnsi="Times New Roman" w:cs="Times New Roman"/>
    </w:rPr>
  </w:style>
  <w:style w:type="character" w:customStyle="1" w:styleId="355">
    <w:name w:val="old"/>
    <w:qFormat/>
    <w:uiPriority w:val="0"/>
    <w:rPr>
      <w:color w:val="999999"/>
    </w:rPr>
  </w:style>
  <w:style w:type="character" w:customStyle="1" w:styleId="356">
    <w:name w:val="font41"/>
    <w:basedOn w:val="69"/>
    <w:qFormat/>
    <w:uiPriority w:val="0"/>
    <w:rPr>
      <w:rFonts w:hint="eastAsia" w:ascii="宋体" w:hAnsi="宋体" w:eastAsia="宋体" w:cs="宋体"/>
      <w:b/>
      <w:bCs/>
      <w:color w:val="000000"/>
      <w:sz w:val="24"/>
      <w:szCs w:val="24"/>
      <w:u w:val="none"/>
    </w:rPr>
  </w:style>
  <w:style w:type="character" w:customStyle="1" w:styleId="357">
    <w:name w:val="font12"/>
    <w:basedOn w:val="69"/>
    <w:qFormat/>
    <w:uiPriority w:val="0"/>
    <w:rPr>
      <w:rFonts w:hint="default" w:ascii="Times New Roman" w:hAnsi="Times New Roman" w:cs="Times New Roman"/>
      <w:color w:val="000000"/>
      <w:sz w:val="24"/>
      <w:szCs w:val="24"/>
      <w:u w:val="none"/>
    </w:rPr>
  </w:style>
  <w:style w:type="character" w:customStyle="1" w:styleId="358">
    <w:name w:val="font111"/>
    <w:basedOn w:val="69"/>
    <w:qFormat/>
    <w:uiPriority w:val="0"/>
    <w:rPr>
      <w:rFonts w:hint="eastAsia" w:ascii="宋体" w:hAnsi="宋体" w:eastAsia="宋体" w:cs="宋体"/>
      <w:color w:val="000000"/>
      <w:sz w:val="22"/>
      <w:szCs w:val="22"/>
      <w:u w:val="none"/>
    </w:rPr>
  </w:style>
  <w:style w:type="character" w:customStyle="1" w:styleId="359">
    <w:name w:val="标题 7 字符1"/>
    <w:basedOn w:val="69"/>
    <w:semiHidden/>
    <w:qFormat/>
    <w:uiPriority w:val="9"/>
    <w:rPr>
      <w:b/>
      <w:bCs/>
      <w:sz w:val="24"/>
      <w:szCs w:val="24"/>
    </w:rPr>
  </w:style>
  <w:style w:type="character" w:customStyle="1" w:styleId="360">
    <w:name w:val="标题 8 字符1"/>
    <w:basedOn w:val="69"/>
    <w:semiHidden/>
    <w:qFormat/>
    <w:uiPriority w:val="9"/>
    <w:rPr>
      <w:rFonts w:hint="default" w:ascii="Cambria" w:hAnsi="Cambria" w:eastAsia="宋体" w:cs="Times New Roman"/>
      <w:sz w:val="24"/>
      <w:szCs w:val="24"/>
    </w:rPr>
  </w:style>
  <w:style w:type="character" w:customStyle="1" w:styleId="361">
    <w:name w:val="标题 9 字符1"/>
    <w:basedOn w:val="69"/>
    <w:semiHidden/>
    <w:qFormat/>
    <w:uiPriority w:val="9"/>
    <w:rPr>
      <w:rFonts w:hint="default" w:ascii="Cambria" w:hAnsi="Cambria" w:eastAsia="宋体" w:cs="Times New Roman"/>
      <w:szCs w:val="21"/>
    </w:rPr>
  </w:style>
  <w:style w:type="table" w:customStyle="1" w:styleId="362">
    <w:name w:val="Table Normal"/>
    <w:qFormat/>
    <w:uiPriority w:val="59"/>
    <w:rPr>
      <w:rFonts w:ascii="Times New Roman" w:hAnsi="Times New Roman" w:eastAsia="宋体" w:cs="Times New Roman"/>
    </w:rPr>
    <w:tblPr>
      <w:tblCellMar>
        <w:top w:w="0" w:type="dxa"/>
        <w:left w:w="108" w:type="dxa"/>
        <w:bottom w:w="0" w:type="dxa"/>
        <w:right w:w="108" w:type="dxa"/>
      </w:tblCellMar>
    </w:tblPr>
  </w:style>
  <w:style w:type="table" w:customStyle="1" w:styleId="363">
    <w:name w:val="华信表格(五号)"/>
    <w:basedOn w:val="62"/>
    <w:qFormat/>
    <w:uiPriority w:val="99"/>
    <w:pPr>
      <w:adjustRightInd w:val="0"/>
      <w:jc w:val="center"/>
    </w:pPr>
    <w:rPr>
      <w:rFonts w:cs="宋体"/>
    </w:rPr>
    <w:tblP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
    <w:tcPr>
      <w:vAlign w:val="center"/>
    </w:tcPr>
  </w:style>
  <w:style w:type="character" w:customStyle="1" w:styleId="364">
    <w:name w:val="批注主题 Char1"/>
    <w:basedOn w:val="321"/>
    <w:qFormat/>
    <w:uiPriority w:val="0"/>
    <w:rPr>
      <w:rFonts w:hint="default" w:ascii="Times New Roman" w:hAnsi="Times New Roman" w:eastAsia="宋体" w:cs="Times New Roman"/>
      <w:b/>
      <w:bCs/>
    </w:rPr>
  </w:style>
  <w:style w:type="paragraph" w:customStyle="1" w:styleId="365">
    <w:name w:val="Body text|1"/>
    <w:basedOn w:val="1"/>
    <w:qFormat/>
    <w:uiPriority w:val="0"/>
    <w:rPr>
      <w:rFonts w:ascii="等线" w:hAnsi="等线" w:eastAsia="等线"/>
      <w:sz w:val="10"/>
      <w:szCs w:val="10"/>
    </w:rPr>
  </w:style>
  <w:style w:type="paragraph" w:customStyle="1" w:styleId="366">
    <w:name w:val="Picture caption|2"/>
    <w:basedOn w:val="1"/>
    <w:qFormat/>
    <w:uiPriority w:val="0"/>
    <w:rPr>
      <w:rFonts w:ascii="等线" w:hAnsi="等线" w:eastAsia="等线"/>
      <w:sz w:val="10"/>
      <w:szCs w:val="10"/>
      <w:lang w:val="zh-TW" w:eastAsia="zh-TW" w:bidi="zh-TW"/>
    </w:rPr>
  </w:style>
  <w:style w:type="paragraph" w:customStyle="1" w:styleId="367">
    <w:name w:val="Picture caption|1"/>
    <w:basedOn w:val="1"/>
    <w:qFormat/>
    <w:uiPriority w:val="0"/>
    <w:rPr>
      <w:rFonts w:ascii="宋体" w:hAnsi="宋体" w:cs="宋体"/>
      <w:sz w:val="9"/>
      <w:szCs w:val="9"/>
    </w:rPr>
  </w:style>
  <w:style w:type="paragraph" w:customStyle="1" w:styleId="368">
    <w:name w:val="Other|2"/>
    <w:basedOn w:val="1"/>
    <w:qFormat/>
    <w:uiPriority w:val="0"/>
    <w:rPr>
      <w:rFonts w:ascii="宋体" w:hAnsi="宋体" w:cs="宋体"/>
      <w:sz w:val="11"/>
      <w:szCs w:val="11"/>
      <w:lang w:val="zh-TW" w:eastAsia="zh-TW" w:bidi="zh-TW"/>
    </w:rPr>
  </w:style>
  <w:style w:type="paragraph" w:customStyle="1" w:styleId="369">
    <w:name w:val="Other|1"/>
    <w:basedOn w:val="1"/>
    <w:qFormat/>
    <w:uiPriority w:val="0"/>
    <w:rPr>
      <w:rFonts w:ascii="等线" w:hAnsi="等线" w:eastAsia="等线"/>
      <w:b/>
      <w:bCs/>
      <w:sz w:val="9"/>
      <w:szCs w:val="9"/>
      <w:lang w:val="zh-TW" w:eastAsia="zh-TW" w:bidi="zh-TW"/>
    </w:rPr>
  </w:style>
  <w:style w:type="character" w:customStyle="1" w:styleId="370">
    <w:name w:val="font51"/>
    <w:basedOn w:val="69"/>
    <w:qFormat/>
    <w:uiPriority w:val="0"/>
    <w:rPr>
      <w:rFonts w:hint="eastAsia" w:ascii="宋体" w:hAnsi="宋体" w:eastAsia="宋体" w:cs="宋体"/>
      <w:color w:val="000000"/>
      <w:sz w:val="20"/>
      <w:szCs w:val="20"/>
      <w:u w:val="none"/>
      <w:vertAlign w:val="superscript"/>
    </w:rPr>
  </w:style>
  <w:style w:type="paragraph" w:customStyle="1" w:styleId="371">
    <w:name w:val="cover"/>
    <w:link w:val="373"/>
    <w:qFormat/>
    <w:uiPriority w:val="0"/>
    <w:rPr>
      <w:rFonts w:ascii="宋体" w:hAnsi="Cambria" w:eastAsia="宋体" w:cs="宋体"/>
      <w:b/>
      <w:kern w:val="2"/>
      <w:sz w:val="52"/>
      <w:szCs w:val="22"/>
      <w:lang w:val="en-US" w:eastAsia="zh-CN" w:bidi="ar-SA"/>
    </w:rPr>
  </w:style>
  <w:style w:type="paragraph" w:customStyle="1" w:styleId="372">
    <w:name w:val="Normal Indent1"/>
    <w:qFormat/>
    <w:uiPriority w:val="0"/>
    <w:pPr>
      <w:widowControl w:val="0"/>
      <w:ind w:firstLine="420" w:firstLineChars="200"/>
      <w:jc w:val="both"/>
    </w:pPr>
    <w:rPr>
      <w:rFonts w:ascii="Times New Roman" w:hAnsi="Times New Roman" w:eastAsia="宋体" w:cs="Times New Roman"/>
      <w:kern w:val="2"/>
      <w:sz w:val="21"/>
      <w:szCs w:val="24"/>
      <w:lang w:val="en-US" w:eastAsia="zh-CN" w:bidi="ar-SA"/>
    </w:rPr>
  </w:style>
  <w:style w:type="character" w:customStyle="1" w:styleId="373">
    <w:name w:val="cover 字符"/>
    <w:basedOn w:val="69"/>
    <w:link w:val="371"/>
    <w:qFormat/>
    <w:uiPriority w:val="0"/>
    <w:rPr>
      <w:rFonts w:ascii="宋体" w:hAnsi="Cambria" w:eastAsia="宋体" w:cs="宋体"/>
      <w:b/>
      <w:sz w:val="52"/>
      <w:szCs w:val="22"/>
      <w14:ligatures w14:val="none"/>
    </w:rPr>
  </w:style>
  <w:style w:type="paragraph" w:customStyle="1" w:styleId="374">
    <w:name w:val="index"/>
    <w:basedOn w:val="43"/>
    <w:link w:val="376"/>
    <w:qFormat/>
    <w:uiPriority w:val="0"/>
    <w:pPr>
      <w:tabs>
        <w:tab w:val="left" w:pos="1050"/>
        <w:tab w:val="left" w:pos="1190"/>
        <w:tab w:val="left" w:pos="1470"/>
        <w:tab w:val="right" w:leader="dot" w:pos="8296"/>
      </w:tabs>
      <w:wordWrap w:val="0"/>
      <w:spacing w:line="360" w:lineRule="auto"/>
    </w:pPr>
    <w:rPr>
      <w:rFonts w:hAnsi="Calibri" w:cs="宋体"/>
      <w:szCs w:val="32"/>
    </w:rPr>
  </w:style>
  <w:style w:type="character" w:customStyle="1" w:styleId="375">
    <w:name w:val="TOC 1 字符"/>
    <w:basedOn w:val="69"/>
    <w:link w:val="43"/>
    <w:qFormat/>
    <w:uiPriority w:val="39"/>
    <w:rPr>
      <w:rFonts w:ascii="Times New Roman" w:hAnsi="Times New Roman" w:eastAsia="宋体" w:cs="Times New Roman"/>
      <w:sz w:val="21"/>
      <w:szCs w:val="22"/>
      <w14:ligatures w14:val="none"/>
    </w:rPr>
  </w:style>
  <w:style w:type="character" w:customStyle="1" w:styleId="376">
    <w:name w:val="index 字符"/>
    <w:basedOn w:val="375"/>
    <w:link w:val="374"/>
    <w:qFormat/>
    <w:uiPriority w:val="0"/>
    <w:rPr>
      <w:rFonts w:ascii="Times New Roman" w:hAnsi="Calibri" w:eastAsia="宋体" w:cs="宋体"/>
      <w:sz w:val="21"/>
      <w:szCs w:val="32"/>
      <w14:ligatures w14:val="none"/>
    </w:rPr>
  </w:style>
  <w:style w:type="paragraph" w:customStyle="1" w:styleId="377">
    <w:name w:val="form"/>
    <w:basedOn w:val="1"/>
    <w:link w:val="378"/>
    <w:qFormat/>
    <w:uiPriority w:val="0"/>
    <w:pPr>
      <w:wordWrap w:val="0"/>
      <w:snapToGrid w:val="0"/>
      <w:jc w:val="center"/>
    </w:pPr>
    <w:rPr>
      <w:rFonts w:ascii="宋体" w:hAnsi="Calibri" w:cs="宋体"/>
      <w:szCs w:val="21"/>
    </w:rPr>
  </w:style>
  <w:style w:type="character" w:customStyle="1" w:styleId="378">
    <w:name w:val="form 字符"/>
    <w:basedOn w:val="69"/>
    <w:link w:val="377"/>
    <w:qFormat/>
    <w:uiPriority w:val="0"/>
    <w:rPr>
      <w:rFonts w:ascii="宋体" w:hAnsi="Calibri" w:eastAsia="宋体" w:cs="宋体"/>
      <w:sz w:val="21"/>
      <w:szCs w:val="21"/>
      <w14:ligatures w14:val="none"/>
    </w:rPr>
  </w:style>
  <w:style w:type="paragraph" w:customStyle="1" w:styleId="379">
    <w:name w:val="序号列"/>
    <w:basedOn w:val="103"/>
    <w:link w:val="380"/>
    <w:qFormat/>
    <w:uiPriority w:val="0"/>
    <w:pPr>
      <w:wordWrap w:val="0"/>
      <w:spacing w:line="360" w:lineRule="auto"/>
      <w:ind w:left="0"/>
      <w:contextualSpacing w:val="0"/>
    </w:pPr>
    <w:rPr>
      <w:rFonts w:ascii="宋体" w:hAnsi="Calibri" w:cs="宋体"/>
      <w:kern w:val="0"/>
    </w:rPr>
  </w:style>
  <w:style w:type="character" w:customStyle="1" w:styleId="380">
    <w:name w:val="序号列 字符"/>
    <w:basedOn w:val="266"/>
    <w:link w:val="379"/>
    <w:qFormat/>
    <w:uiPriority w:val="0"/>
    <w:rPr>
      <w:rFonts w:ascii="宋体" w:hAnsi="Calibri" w:eastAsia="宋体" w:cs="宋体"/>
      <w:kern w:val="0"/>
      <w:sz w:val="21"/>
      <w:szCs w:val="22"/>
      <w14:ligatures w14:val="none"/>
    </w:rPr>
  </w:style>
  <w:style w:type="paragraph" w:customStyle="1" w:styleId="381">
    <w:name w:val="加粗子列表"/>
    <w:basedOn w:val="103"/>
    <w:link w:val="383"/>
    <w:qFormat/>
    <w:uiPriority w:val="0"/>
    <w:pPr>
      <w:numPr>
        <w:ilvl w:val="0"/>
        <w:numId w:val="4"/>
      </w:numPr>
      <w:wordWrap w:val="0"/>
      <w:spacing w:line="360" w:lineRule="auto"/>
      <w:ind w:firstLine="0"/>
      <w:contextualSpacing w:val="0"/>
    </w:pPr>
    <w:rPr>
      <w:rFonts w:ascii="宋体" w:hAnsi="Calibri" w:cs="宋体"/>
      <w:b/>
      <w:bCs/>
      <w:kern w:val="0"/>
    </w:rPr>
  </w:style>
  <w:style w:type="paragraph" w:customStyle="1" w:styleId="382">
    <w:name w:val="子列2"/>
    <w:basedOn w:val="381"/>
    <w:link w:val="385"/>
    <w:qFormat/>
    <w:uiPriority w:val="0"/>
    <w:pPr>
      <w:numPr>
        <w:ilvl w:val="1"/>
        <w:numId w:val="0"/>
      </w:numPr>
    </w:pPr>
    <w:rPr>
      <w:b w:val="0"/>
      <w:bCs w:val="0"/>
    </w:rPr>
  </w:style>
  <w:style w:type="character" w:customStyle="1" w:styleId="383">
    <w:name w:val="加粗子列表 字符"/>
    <w:basedOn w:val="266"/>
    <w:link w:val="381"/>
    <w:qFormat/>
    <w:uiPriority w:val="0"/>
    <w:rPr>
      <w:rFonts w:ascii="宋体" w:hAnsi="Calibri" w:eastAsia="宋体" w:cs="宋体"/>
      <w:b/>
      <w:bCs/>
      <w:kern w:val="0"/>
      <w:sz w:val="21"/>
      <w:szCs w:val="22"/>
      <w14:ligatures w14:val="none"/>
    </w:rPr>
  </w:style>
  <w:style w:type="character" w:customStyle="1" w:styleId="384">
    <w:name w:val="纯文本 Char"/>
    <w:link w:val="173"/>
    <w:qFormat/>
    <w:uiPriority w:val="0"/>
    <w:rPr>
      <w:rFonts w:ascii="宋体" w:hAnsi="Courier New" w:eastAsia="Times New Roman" w:cs="Times New Roman"/>
      <w:sz w:val="30"/>
      <w14:ligatures w14:val="none"/>
    </w:rPr>
  </w:style>
  <w:style w:type="character" w:customStyle="1" w:styleId="385">
    <w:name w:val="子列2 字符"/>
    <w:basedOn w:val="383"/>
    <w:link w:val="382"/>
    <w:qFormat/>
    <w:uiPriority w:val="0"/>
    <w:rPr>
      <w:rFonts w:ascii="宋体" w:hAnsi="Calibri" w:eastAsia="宋体" w:cs="宋体"/>
      <w:b w:val="0"/>
      <w:bCs w:val="0"/>
      <w:kern w:val="0"/>
      <w:sz w:val="21"/>
      <w:szCs w:val="22"/>
      <w14:ligatures w14:val="none"/>
    </w:rPr>
  </w:style>
  <w:style w:type="paragraph" w:customStyle="1" w:styleId="386">
    <w:name w:val="文本块2"/>
    <w:basedOn w:val="1"/>
    <w:qFormat/>
    <w:uiPriority w:val="0"/>
    <w:pPr>
      <w:adjustRightInd w:val="0"/>
      <w:snapToGrid w:val="0"/>
      <w:spacing w:line="300" w:lineRule="auto"/>
      <w:ind w:left="958" w:right="-120" w:rightChars="-120"/>
      <w:jc w:val="left"/>
    </w:pPr>
    <w:rPr>
      <w:rFonts w:hint="eastAsia" w:ascii="Century Gothic" w:hAnsi="Century Gothic"/>
      <w:sz w:val="28"/>
      <w:szCs w:val="20"/>
    </w:rPr>
  </w:style>
  <w:style w:type="paragraph" w:customStyle="1" w:styleId="387">
    <w:name w:val="纯文本3"/>
    <w:basedOn w:val="1"/>
    <w:qFormat/>
    <w:uiPriority w:val="99"/>
    <w:pPr>
      <w:adjustRightInd w:val="0"/>
    </w:pPr>
    <w:rPr>
      <w:rFonts w:ascii="宋体" w:hAnsi="Courier New" w:eastAsia="楷体_GB2312"/>
      <w:sz w:val="26"/>
      <w:szCs w:val="20"/>
    </w:rPr>
  </w:style>
  <w:style w:type="paragraph" w:customStyle="1" w:styleId="388">
    <w:name w:val="纯文本2"/>
    <w:basedOn w:val="1"/>
    <w:qFormat/>
    <w:uiPriority w:val="0"/>
    <w:rPr>
      <w:rFonts w:ascii="宋体" w:hAnsi="Courier New" w:eastAsia="仿宋_GB2312"/>
      <w:sz w:val="30"/>
      <w:szCs w:val="24"/>
    </w:rPr>
  </w:style>
  <w:style w:type="paragraph" w:customStyle="1" w:styleId="389">
    <w:name w:val="Body Text Indent1"/>
    <w:basedOn w:val="1"/>
    <w:qFormat/>
    <w:uiPriority w:val="99"/>
    <w:pPr>
      <w:spacing w:line="200" w:lineRule="exact"/>
      <w:ind w:firstLine="301"/>
    </w:pPr>
    <w:rPr>
      <w:rFonts w:ascii="宋体" w:hAnsi="Courier New"/>
      <w:spacing w:val="-4"/>
      <w:kern w:val="0"/>
      <w:sz w:val="18"/>
      <w:szCs w:val="24"/>
    </w:rPr>
  </w:style>
  <w:style w:type="character" w:customStyle="1" w:styleId="390">
    <w:name w:val="批注框文本 Char"/>
    <w:basedOn w:val="69"/>
    <w:link w:val="391"/>
    <w:qFormat/>
    <w:uiPriority w:val="0"/>
    <w:rPr>
      <w:rFonts w:ascii="Calibri" w:hAnsi="Calibri"/>
      <w:sz w:val="18"/>
      <w:szCs w:val="18"/>
    </w:rPr>
  </w:style>
  <w:style w:type="paragraph" w:customStyle="1" w:styleId="391">
    <w:name w:val="批注框文本1"/>
    <w:basedOn w:val="1"/>
    <w:link w:val="390"/>
    <w:qFormat/>
    <w:uiPriority w:val="0"/>
    <w:rPr>
      <w:rFonts w:ascii="Calibri" w:hAnsi="Calibri" w:eastAsiaTheme="minorEastAsia" w:cstheme="minorBidi"/>
      <w:sz w:val="18"/>
      <w:szCs w:val="18"/>
      <w14:ligatures w14:val="standardContextual"/>
    </w:rPr>
  </w:style>
  <w:style w:type="paragraph" w:customStyle="1" w:styleId="392">
    <w:name w:val="纯文本5"/>
    <w:basedOn w:val="1"/>
    <w:qFormat/>
    <w:uiPriority w:val="0"/>
    <w:rPr>
      <w:rFonts w:ascii="宋体" w:hAnsi="Courier New" w:eastAsia="仿宋_GB2312"/>
      <w:sz w:val="30"/>
      <w:szCs w:val="24"/>
    </w:rPr>
  </w:style>
  <w:style w:type="paragraph" w:customStyle="1" w:styleId="393">
    <w:name w:val="附件格式"/>
    <w:basedOn w:val="1"/>
    <w:link w:val="394"/>
    <w:qFormat/>
    <w:uiPriority w:val="0"/>
    <w:pPr>
      <w:wordWrap w:val="0"/>
      <w:spacing w:line="360" w:lineRule="auto"/>
      <w:ind w:firstLine="200" w:firstLineChars="200"/>
    </w:pPr>
    <w:rPr>
      <w:rFonts w:ascii="宋体" w:hAnsi="Calibri" w:cs="宋体"/>
      <w:sz w:val="28"/>
    </w:rPr>
  </w:style>
  <w:style w:type="character" w:customStyle="1" w:styleId="394">
    <w:name w:val="附件格式 字符"/>
    <w:basedOn w:val="69"/>
    <w:link w:val="393"/>
    <w:qFormat/>
    <w:uiPriority w:val="0"/>
    <w:rPr>
      <w:rFonts w:ascii="宋体" w:hAnsi="Calibri" w:eastAsia="宋体" w:cs="宋体"/>
      <w:sz w:val="28"/>
      <w:szCs w:val="22"/>
      <w14:ligatures w14:val="none"/>
    </w:rPr>
  </w:style>
  <w:style w:type="paragraph" w:customStyle="1" w:styleId="395">
    <w:name w:val="大纲"/>
    <w:link w:val="396"/>
    <w:qFormat/>
    <w:uiPriority w:val="0"/>
    <w:pPr>
      <w:spacing w:line="360" w:lineRule="auto"/>
      <w:outlineLvl w:val="1"/>
    </w:pPr>
    <w:rPr>
      <w:rFonts w:ascii="宋体" w:hAnsi="Calibri" w:eastAsia="宋体" w:cs="宋体"/>
      <w:b/>
      <w:bCs/>
      <w:kern w:val="2"/>
      <w:sz w:val="24"/>
      <w:szCs w:val="22"/>
      <w:lang w:val="en-US" w:eastAsia="zh-CN" w:bidi="ar-SA"/>
    </w:rPr>
  </w:style>
  <w:style w:type="character" w:customStyle="1" w:styleId="396">
    <w:name w:val="大纲 字符"/>
    <w:basedOn w:val="69"/>
    <w:link w:val="395"/>
    <w:qFormat/>
    <w:uiPriority w:val="0"/>
    <w:rPr>
      <w:rFonts w:ascii="宋体" w:hAnsi="Calibri" w:eastAsia="宋体" w:cs="宋体"/>
      <w:b/>
      <w:bCs/>
      <w:sz w:val="24"/>
      <w:szCs w:val="22"/>
      <w14:ligatures w14:val="none"/>
    </w:rPr>
  </w:style>
  <w:style w:type="character" w:customStyle="1" w:styleId="397">
    <w:name w:val="fontstyle01"/>
    <w:qFormat/>
    <w:uiPriority w:val="0"/>
    <w:rPr>
      <w:rFonts w:hint="eastAsia" w:ascii="宋体" w:hAnsi="宋体" w:eastAsia="宋体"/>
      <w:color w:val="000000"/>
      <w:sz w:val="44"/>
      <w:szCs w:val="44"/>
    </w:rPr>
  </w:style>
  <w:style w:type="character" w:customStyle="1" w:styleId="398">
    <w:name w:val="bookmark-item"/>
    <w:basedOn w:val="69"/>
    <w:qFormat/>
    <w:uiPriority w:val="0"/>
  </w:style>
  <w:style w:type="character" w:customStyle="1" w:styleId="399">
    <w:name w:val="Body Text Indent Char Char"/>
    <w:basedOn w:val="69"/>
    <w:link w:val="400"/>
    <w:qFormat/>
    <w:uiPriority w:val="0"/>
  </w:style>
  <w:style w:type="paragraph" w:customStyle="1" w:styleId="400">
    <w:name w:val="正文文本缩进1"/>
    <w:basedOn w:val="1"/>
    <w:link w:val="399"/>
    <w:qFormat/>
    <w:uiPriority w:val="0"/>
    <w:pPr>
      <w:spacing w:line="200" w:lineRule="exact"/>
      <w:ind w:firstLine="301"/>
    </w:pPr>
    <w:rPr>
      <w:rFonts w:asciiTheme="minorHAnsi" w:hAnsiTheme="minorHAnsi" w:eastAsiaTheme="minorEastAsia" w:cstheme="minorBidi"/>
      <w:sz w:val="22"/>
      <w:szCs w:val="24"/>
      <w14:ligatures w14:val="standardContextual"/>
    </w:rPr>
  </w:style>
  <w:style w:type="paragraph" w:customStyle="1" w:styleId="401">
    <w:name w:val="段"/>
    <w:link w:val="420"/>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styleId="402">
    <w:name w:val="Placeholder Text"/>
    <w:basedOn w:val="69"/>
    <w:qFormat/>
    <w:uiPriority w:val="99"/>
    <w:rPr>
      <w:color w:val="808080"/>
    </w:rPr>
  </w:style>
  <w:style w:type="paragraph" w:customStyle="1" w:styleId="403">
    <w:name w:val="Char Char1"/>
    <w:basedOn w:val="1"/>
    <w:qFormat/>
    <w:uiPriority w:val="0"/>
    <w:pPr>
      <w:spacing w:line="360" w:lineRule="auto"/>
      <w:ind w:firstLine="200" w:firstLineChars="200"/>
    </w:pPr>
    <w:rPr>
      <w:rFonts w:ascii="宋体" w:hAnsi="宋体" w:cs="宋体"/>
      <w:sz w:val="24"/>
      <w:szCs w:val="24"/>
    </w:rPr>
  </w:style>
  <w:style w:type="paragraph" w:customStyle="1" w:styleId="404">
    <w:name w:val="4需求"/>
    <w:link w:val="406"/>
    <w:qFormat/>
    <w:uiPriority w:val="0"/>
    <w:pPr>
      <w:numPr>
        <w:ilvl w:val="3"/>
        <w:numId w:val="5"/>
      </w:numPr>
    </w:pPr>
    <w:rPr>
      <w:rFonts w:ascii="宋体" w:hAnsi="Calibri" w:eastAsia="宋体" w:cs="宋体"/>
      <w:b/>
      <w:bCs/>
      <w:kern w:val="2"/>
      <w:sz w:val="21"/>
      <w:szCs w:val="22"/>
      <w:lang w:val="en-US" w:eastAsia="zh-CN" w:bidi="ar-SA"/>
    </w:rPr>
  </w:style>
  <w:style w:type="paragraph" w:customStyle="1" w:styleId="405">
    <w:name w:val="3需求"/>
    <w:link w:val="408"/>
    <w:qFormat/>
    <w:uiPriority w:val="0"/>
    <w:pPr>
      <w:numPr>
        <w:ilvl w:val="2"/>
        <w:numId w:val="5"/>
      </w:numPr>
      <w:snapToGrid w:val="0"/>
      <w:spacing w:beforeLines="50"/>
    </w:pPr>
    <w:rPr>
      <w:rFonts w:ascii="宋体" w:hAnsi="Calibri" w:eastAsia="宋体" w:cs="宋体"/>
      <w:b/>
      <w:bCs/>
      <w:kern w:val="2"/>
      <w:sz w:val="24"/>
      <w:szCs w:val="22"/>
      <w:lang w:val="en-US" w:eastAsia="zh-CN" w:bidi="ar-SA"/>
    </w:rPr>
  </w:style>
  <w:style w:type="character" w:customStyle="1" w:styleId="406">
    <w:name w:val="4需求 字符"/>
    <w:basedOn w:val="69"/>
    <w:link w:val="404"/>
    <w:qFormat/>
    <w:uiPriority w:val="0"/>
    <w:rPr>
      <w:rFonts w:ascii="宋体" w:hAnsi="Calibri" w:eastAsia="宋体" w:cs="宋体"/>
      <w:b/>
      <w:bCs/>
      <w:sz w:val="21"/>
      <w:szCs w:val="22"/>
      <w14:ligatures w14:val="none"/>
    </w:rPr>
  </w:style>
  <w:style w:type="paragraph" w:customStyle="1" w:styleId="407">
    <w:name w:val="2需求"/>
    <w:link w:val="410"/>
    <w:qFormat/>
    <w:uiPriority w:val="0"/>
    <w:pPr>
      <w:numPr>
        <w:ilvl w:val="1"/>
        <w:numId w:val="5"/>
      </w:numPr>
      <w:snapToGrid w:val="0"/>
      <w:spacing w:beforeLines="50"/>
    </w:pPr>
    <w:rPr>
      <w:rFonts w:ascii="宋体" w:hAnsi="Calibri" w:eastAsia="宋体" w:cs="宋体"/>
      <w:b/>
      <w:bCs/>
      <w:kern w:val="2"/>
      <w:sz w:val="24"/>
      <w:szCs w:val="22"/>
      <w:lang w:val="en-US" w:eastAsia="zh-CN" w:bidi="ar-SA"/>
    </w:rPr>
  </w:style>
  <w:style w:type="character" w:customStyle="1" w:styleId="408">
    <w:name w:val="3需求 字符"/>
    <w:basedOn w:val="69"/>
    <w:link w:val="405"/>
    <w:qFormat/>
    <w:uiPriority w:val="0"/>
    <w:rPr>
      <w:rFonts w:ascii="宋体" w:hAnsi="Calibri" w:eastAsia="宋体" w:cs="宋体"/>
      <w:b/>
      <w:bCs/>
      <w:sz w:val="24"/>
      <w:szCs w:val="22"/>
      <w14:ligatures w14:val="none"/>
    </w:rPr>
  </w:style>
  <w:style w:type="paragraph" w:customStyle="1" w:styleId="409">
    <w:name w:val="1需求"/>
    <w:link w:val="411"/>
    <w:qFormat/>
    <w:uiPriority w:val="0"/>
    <w:pPr>
      <w:numPr>
        <w:ilvl w:val="0"/>
        <w:numId w:val="5"/>
      </w:numPr>
      <w:snapToGrid w:val="0"/>
      <w:spacing w:beforeLines="50"/>
    </w:pPr>
    <w:rPr>
      <w:rFonts w:ascii="宋体" w:hAnsi="Calibri" w:eastAsia="宋体" w:cs="宋体"/>
      <w:b/>
      <w:bCs/>
      <w:kern w:val="2"/>
      <w:sz w:val="28"/>
      <w:szCs w:val="22"/>
      <w:lang w:val="en-US" w:eastAsia="zh-CN" w:bidi="ar-SA"/>
    </w:rPr>
  </w:style>
  <w:style w:type="character" w:customStyle="1" w:styleId="410">
    <w:name w:val="2需求 字符"/>
    <w:basedOn w:val="69"/>
    <w:link w:val="407"/>
    <w:qFormat/>
    <w:uiPriority w:val="0"/>
    <w:rPr>
      <w:rFonts w:ascii="宋体" w:hAnsi="Calibri" w:eastAsia="宋体" w:cs="宋体"/>
      <w:b/>
      <w:bCs/>
      <w:sz w:val="24"/>
      <w:szCs w:val="22"/>
      <w14:ligatures w14:val="none"/>
    </w:rPr>
  </w:style>
  <w:style w:type="character" w:customStyle="1" w:styleId="411">
    <w:name w:val="1需求 字符"/>
    <w:basedOn w:val="69"/>
    <w:link w:val="409"/>
    <w:qFormat/>
    <w:uiPriority w:val="0"/>
    <w:rPr>
      <w:rFonts w:ascii="宋体" w:hAnsi="Calibri" w:eastAsia="宋体" w:cs="宋体"/>
      <w:b/>
      <w:bCs/>
      <w:sz w:val="28"/>
      <w:szCs w:val="22"/>
      <w14:ligatures w14:val="none"/>
    </w:rPr>
  </w:style>
  <w:style w:type="paragraph" w:customStyle="1" w:styleId="412">
    <w:name w:val="国普正文"/>
    <w:basedOn w:val="1"/>
    <w:qFormat/>
    <w:uiPriority w:val="0"/>
    <w:pPr>
      <w:spacing w:line="360" w:lineRule="auto"/>
      <w:ind w:firstLine="600" w:firstLineChars="200"/>
    </w:pPr>
    <w:rPr>
      <w:rFonts w:ascii="仿宋_GB2312" w:hAnsi="Calibri" w:eastAsia="仿宋_GB2312"/>
      <w:sz w:val="30"/>
      <w:szCs w:val="30"/>
    </w:rPr>
  </w:style>
  <w:style w:type="character" w:customStyle="1" w:styleId="413">
    <w:name w:val="批注框文本 字符1"/>
    <w:qFormat/>
    <w:uiPriority w:val="0"/>
    <w:rPr>
      <w:rFonts w:ascii="Times New Roman" w:hAnsi="Times New Roman" w:eastAsia="宋体" w:cs="Times New Roman"/>
      <w:sz w:val="18"/>
      <w:szCs w:val="18"/>
    </w:rPr>
  </w:style>
  <w:style w:type="character" w:customStyle="1" w:styleId="414">
    <w:name w:val="页眉 字符1"/>
    <w:qFormat/>
    <w:uiPriority w:val="99"/>
    <w:rPr>
      <w:rFonts w:ascii="Times New Roman" w:hAnsi="Times New Roman" w:eastAsia="宋体" w:cs="Times New Roman"/>
      <w:sz w:val="18"/>
      <w:szCs w:val="18"/>
    </w:rPr>
  </w:style>
  <w:style w:type="character" w:customStyle="1" w:styleId="415">
    <w:name w:val="v0066991"/>
    <w:qFormat/>
    <w:uiPriority w:val="0"/>
    <w:rPr>
      <w:rFonts w:ascii="Arial" w:hAnsi="Arial" w:eastAsia="宋体" w:cs="Times New Roman"/>
      <w:color w:val="000000"/>
      <w:sz w:val="26"/>
      <w:u w:val="none"/>
    </w:rPr>
  </w:style>
  <w:style w:type="character" w:customStyle="1" w:styleId="416">
    <w:name w:val="正文2 Char"/>
    <w:link w:val="183"/>
    <w:qFormat/>
    <w:uiPriority w:val="0"/>
    <w:rPr>
      <w:rFonts w:ascii="Times New Roman" w:hAnsi="Times New Roman" w:eastAsia="宋体" w:cs="Times New Roman"/>
      <w:sz w:val="24"/>
      <w:szCs w:val="20"/>
      <w14:ligatures w14:val="none"/>
    </w:rPr>
  </w:style>
  <w:style w:type="character" w:customStyle="1" w:styleId="417">
    <w:name w:val="Char Char7"/>
    <w:qFormat/>
    <w:uiPriority w:val="0"/>
    <w:rPr>
      <w:rFonts w:ascii="Cambria" w:hAnsi="Cambria" w:eastAsia="仿宋_GB2312" w:cs="Times New Roman"/>
      <w:b/>
      <w:kern w:val="2"/>
      <w:sz w:val="28"/>
    </w:rPr>
  </w:style>
  <w:style w:type="character" w:customStyle="1" w:styleId="418">
    <w:name w:val="Subtle Reference1"/>
    <w:qFormat/>
    <w:uiPriority w:val="0"/>
    <w:rPr>
      <w:rFonts w:ascii="Calibri" w:hAnsi="Calibri" w:eastAsia="宋体" w:cs="Times New Roman"/>
      <w:color w:val="C0504D"/>
      <w:u w:val="single"/>
    </w:rPr>
  </w:style>
  <w:style w:type="character" w:customStyle="1" w:styleId="419">
    <w:name w:val="正文首行缩进 Char"/>
    <w:qFormat/>
    <w:uiPriority w:val="0"/>
    <w:rPr>
      <w:rFonts w:ascii="Times New Roman" w:hAnsi="Times New Roman" w:eastAsia="仿宋_GB2312" w:cs="Times New Roman"/>
      <w:kern w:val="2"/>
      <w:sz w:val="21"/>
      <w:szCs w:val="24"/>
    </w:rPr>
  </w:style>
  <w:style w:type="character" w:customStyle="1" w:styleId="420">
    <w:name w:val="段 Char"/>
    <w:link w:val="401"/>
    <w:qFormat/>
    <w:uiPriority w:val="0"/>
    <w:rPr>
      <w:rFonts w:ascii="宋体" w:hAnsi="Times New Roman" w:eastAsia="宋体" w:cs="Times New Roman"/>
      <w:kern w:val="0"/>
      <w:sz w:val="21"/>
      <w:szCs w:val="20"/>
      <w14:ligatures w14:val="none"/>
    </w:rPr>
  </w:style>
  <w:style w:type="character" w:customStyle="1" w:styleId="421">
    <w:name w:val="样式1 Char Char"/>
    <w:link w:val="159"/>
    <w:qFormat/>
    <w:uiPriority w:val="0"/>
    <w:rPr>
      <w:rFonts w:ascii="Calibri" w:hAnsi="Calibri" w:eastAsia="宋体" w:cs="Times New Roman"/>
      <w:b/>
      <w:i/>
      <w:kern w:val="0"/>
      <w:sz w:val="24"/>
      <w:szCs w:val="21"/>
      <w:u w:val="thick"/>
    </w:rPr>
  </w:style>
  <w:style w:type="character" w:customStyle="1" w:styleId="422">
    <w:name w:val="17"/>
    <w:qFormat/>
    <w:uiPriority w:val="0"/>
    <w:rPr>
      <w:rFonts w:hint="default" w:ascii="Calibri" w:hAnsi="Calibri" w:eastAsia="宋体" w:cs="Times New Roman"/>
      <w:sz w:val="21"/>
      <w:szCs w:val="21"/>
    </w:rPr>
  </w:style>
  <w:style w:type="character" w:customStyle="1" w:styleId="423">
    <w:name w:val="标题 6 Char1"/>
    <w:qFormat/>
    <w:uiPriority w:val="0"/>
    <w:rPr>
      <w:rFonts w:ascii="Arial" w:hAnsi="Arial" w:eastAsia="黑体" w:cs="Times New Roman"/>
      <w:b/>
      <w:kern w:val="2"/>
      <w:sz w:val="24"/>
    </w:rPr>
  </w:style>
  <w:style w:type="character" w:customStyle="1" w:styleId="424">
    <w:name w:val="自定义正文 Char Char"/>
    <w:qFormat/>
    <w:uiPriority w:val="0"/>
    <w:rPr>
      <w:rFonts w:ascii="Calibri" w:hAnsi="Calibri" w:eastAsia="宋体" w:cs="Times New Roman"/>
      <w:sz w:val="24"/>
    </w:rPr>
  </w:style>
  <w:style w:type="character" w:customStyle="1" w:styleId="425">
    <w:name w:val="正文文本 Char3"/>
    <w:qFormat/>
    <w:uiPriority w:val="0"/>
    <w:rPr>
      <w:rFonts w:ascii="Times New Roman" w:hAnsi="Times New Roman" w:eastAsia="宋体" w:cs="Times New Roman"/>
      <w:sz w:val="20"/>
      <w:szCs w:val="20"/>
    </w:rPr>
  </w:style>
  <w:style w:type="character" w:customStyle="1" w:styleId="426">
    <w:name w:val="标题 2 Char1"/>
    <w:qFormat/>
    <w:uiPriority w:val="0"/>
    <w:rPr>
      <w:rFonts w:ascii="仿宋_GB2312" w:hAnsi="Calibri" w:eastAsia="仿宋_GB2312" w:cs="Times New Roman"/>
      <w:sz w:val="28"/>
    </w:rPr>
  </w:style>
  <w:style w:type="character" w:customStyle="1" w:styleId="427">
    <w:name w:val="批注引用111"/>
    <w:qFormat/>
    <w:uiPriority w:val="0"/>
    <w:rPr>
      <w:rFonts w:ascii="Calibri" w:hAnsi="Calibri" w:eastAsia="宋体" w:cs="Times New Roman"/>
      <w:sz w:val="21"/>
      <w:szCs w:val="21"/>
    </w:rPr>
  </w:style>
  <w:style w:type="character" w:customStyle="1" w:styleId="428">
    <w:name w:val="blue"/>
    <w:qFormat/>
    <w:uiPriority w:val="0"/>
    <w:rPr>
      <w:rFonts w:ascii="Calibri" w:hAnsi="Calibri" w:eastAsia="宋体" w:cs="Times New Roman"/>
    </w:rPr>
  </w:style>
  <w:style w:type="character" w:customStyle="1" w:styleId="429">
    <w:name w:val="段 Char Char"/>
    <w:qFormat/>
    <w:uiPriority w:val="0"/>
    <w:rPr>
      <w:rFonts w:ascii="宋体" w:hAnsi="Calibri" w:eastAsia="宋体" w:cs="Times New Roman"/>
      <w:lang w:val="en-US" w:eastAsia="zh-CN"/>
    </w:rPr>
  </w:style>
  <w:style w:type="character" w:customStyle="1" w:styleId="430">
    <w:name w:val="标题3 Char"/>
    <w:link w:val="431"/>
    <w:qFormat/>
    <w:uiPriority w:val="0"/>
    <w:rPr>
      <w:rFonts w:ascii="宋体" w:hAnsi="宋体" w:eastAsia="华文中宋" w:cs="Arial"/>
      <w:b/>
      <w:sz w:val="24"/>
    </w:rPr>
  </w:style>
  <w:style w:type="paragraph" w:customStyle="1" w:styleId="431">
    <w:name w:val="标题3"/>
    <w:basedOn w:val="1"/>
    <w:link w:val="430"/>
    <w:qFormat/>
    <w:uiPriority w:val="0"/>
    <w:pPr>
      <w:widowControl/>
      <w:jc w:val="left"/>
    </w:pPr>
    <w:rPr>
      <w:rFonts w:ascii="宋体" w:hAnsi="宋体" w:eastAsia="华文中宋" w:cs="Arial"/>
      <w:b/>
      <w:sz w:val="24"/>
      <w:szCs w:val="24"/>
      <w14:ligatures w14:val="standardContextual"/>
    </w:rPr>
  </w:style>
  <w:style w:type="character" w:customStyle="1" w:styleId="432">
    <w:name w:val="style17"/>
    <w:qFormat/>
    <w:uiPriority w:val="0"/>
    <w:rPr>
      <w:rFonts w:ascii="Calibri" w:hAnsi="Calibri" w:eastAsia="宋体" w:cs="Times New Roman"/>
    </w:rPr>
  </w:style>
  <w:style w:type="character" w:customStyle="1" w:styleId="433">
    <w:name w:val="g1"/>
    <w:qFormat/>
    <w:uiPriority w:val="0"/>
    <w:rPr>
      <w:rFonts w:ascii="Calibri" w:hAnsi="Calibri" w:eastAsia="宋体" w:cs="Times New Roman"/>
      <w:color w:val="008000"/>
    </w:rPr>
  </w:style>
  <w:style w:type="character" w:customStyle="1" w:styleId="434">
    <w:name w:val="Char Char9"/>
    <w:qFormat/>
    <w:uiPriority w:val="0"/>
    <w:rPr>
      <w:rFonts w:ascii="Calibri" w:hAnsi="Calibri" w:eastAsia="宋体" w:cs="Times New Roman"/>
      <w:b/>
      <w:kern w:val="44"/>
      <w:sz w:val="44"/>
    </w:rPr>
  </w:style>
  <w:style w:type="character" w:customStyle="1" w:styleId="435">
    <w:name w:val="页脚 Char3"/>
    <w:qFormat/>
    <w:uiPriority w:val="0"/>
    <w:rPr>
      <w:rFonts w:ascii="Times New Roman" w:hAnsi="Times New Roman" w:eastAsia="宋体" w:cs="Times New Roman"/>
      <w:sz w:val="20"/>
      <w:szCs w:val="20"/>
    </w:rPr>
  </w:style>
  <w:style w:type="character" w:customStyle="1" w:styleId="436">
    <w:name w:val="称呼 Char"/>
    <w:qFormat/>
    <w:uiPriority w:val="0"/>
    <w:rPr>
      <w:rFonts w:ascii="Times New Roman" w:hAnsi="Times New Roman" w:eastAsia="宋体" w:cs="Times New Roman"/>
      <w:kern w:val="2"/>
      <w:sz w:val="21"/>
      <w:szCs w:val="24"/>
    </w:rPr>
  </w:style>
  <w:style w:type="character" w:customStyle="1" w:styleId="437">
    <w:name w:val="●一级符号home Char Char1"/>
    <w:link w:val="438"/>
    <w:qFormat/>
    <w:uiPriority w:val="0"/>
    <w:rPr>
      <w:rFonts w:ascii="Verdana" w:hAnsi="Verdana"/>
      <w:sz w:val="21"/>
      <w:lang w:val="zh-CN"/>
    </w:rPr>
  </w:style>
  <w:style w:type="paragraph" w:customStyle="1" w:styleId="438">
    <w:name w:val="●一级符号home"/>
    <w:basedOn w:val="1"/>
    <w:link w:val="437"/>
    <w:qFormat/>
    <w:uiPriority w:val="0"/>
    <w:pPr>
      <w:tabs>
        <w:tab w:val="left" w:pos="901"/>
      </w:tabs>
      <w:spacing w:line="360" w:lineRule="auto"/>
    </w:pPr>
    <w:rPr>
      <w:rFonts w:ascii="Verdana" w:hAnsi="Verdana" w:eastAsiaTheme="minorEastAsia" w:cstheme="minorBidi"/>
      <w:szCs w:val="24"/>
      <w:lang w:val="zh-CN"/>
      <w14:ligatures w14:val="standardContextual"/>
    </w:rPr>
  </w:style>
  <w:style w:type="character" w:customStyle="1" w:styleId="439">
    <w:name w:val="15"/>
    <w:qFormat/>
    <w:uiPriority w:val="0"/>
    <w:rPr>
      <w:rFonts w:hint="default" w:ascii="Calibri" w:hAnsi="Calibri" w:eastAsia="宋体" w:cs="Times New Roman"/>
      <w:sz w:val="18"/>
      <w:szCs w:val="18"/>
    </w:rPr>
  </w:style>
  <w:style w:type="character" w:customStyle="1" w:styleId="440">
    <w:name w:val="font81"/>
    <w:qFormat/>
    <w:uiPriority w:val="0"/>
    <w:rPr>
      <w:rFonts w:hint="default" w:ascii="Times New Roman" w:hAnsi="Times New Roman" w:eastAsia="宋体" w:cs="Times New Roman"/>
      <w:color w:val="000000"/>
      <w:sz w:val="18"/>
      <w:szCs w:val="18"/>
      <w:u w:val="none"/>
    </w:rPr>
  </w:style>
  <w:style w:type="character" w:customStyle="1" w:styleId="441">
    <w:name w:val="16"/>
    <w:qFormat/>
    <w:uiPriority w:val="0"/>
    <w:rPr>
      <w:rFonts w:hint="default" w:ascii="Calibri" w:hAnsi="Calibri" w:eastAsia="宋体" w:cs="Times New Roman"/>
      <w:sz w:val="21"/>
      <w:szCs w:val="21"/>
    </w:rPr>
  </w:style>
  <w:style w:type="character" w:customStyle="1" w:styleId="442">
    <w:name w:val="lf3"/>
    <w:qFormat/>
    <w:uiPriority w:val="0"/>
    <w:rPr>
      <w:rFonts w:ascii="Calibri" w:hAnsi="Calibri" w:eastAsia="宋体" w:cs="Times New Roman"/>
    </w:rPr>
  </w:style>
  <w:style w:type="character" w:customStyle="1" w:styleId="443">
    <w:name w:val="正文文本缩进 Char2"/>
    <w:qFormat/>
    <w:uiPriority w:val="0"/>
    <w:rPr>
      <w:rFonts w:ascii="Calibri" w:hAnsi="Calibri" w:eastAsia="宋体" w:cs="Times New Roman"/>
      <w:kern w:val="2"/>
      <w:sz w:val="21"/>
    </w:rPr>
  </w:style>
  <w:style w:type="character" w:customStyle="1" w:styleId="444">
    <w:name w:val="自定义正文 Char"/>
    <w:link w:val="445"/>
    <w:qFormat/>
    <w:uiPriority w:val="0"/>
    <w:rPr>
      <w:sz w:val="24"/>
    </w:rPr>
  </w:style>
  <w:style w:type="paragraph" w:customStyle="1" w:styleId="445">
    <w:name w:val="自定义正文"/>
    <w:basedOn w:val="1"/>
    <w:link w:val="444"/>
    <w:qFormat/>
    <w:uiPriority w:val="0"/>
    <w:pPr>
      <w:spacing w:afterLines="50" w:line="360" w:lineRule="auto"/>
      <w:ind w:firstLine="200" w:firstLineChars="200"/>
      <w:jc w:val="left"/>
    </w:pPr>
    <w:rPr>
      <w:rFonts w:asciiTheme="minorHAnsi" w:hAnsiTheme="minorHAnsi" w:eastAsiaTheme="minorEastAsia" w:cstheme="minorBidi"/>
      <w:sz w:val="24"/>
      <w:szCs w:val="24"/>
      <w14:ligatures w14:val="standardContextual"/>
    </w:rPr>
  </w:style>
  <w:style w:type="character" w:customStyle="1" w:styleId="446">
    <w:name w:val="样式 黑体 二号"/>
    <w:qFormat/>
    <w:uiPriority w:val="0"/>
    <w:rPr>
      <w:rFonts w:ascii="Arial" w:hAnsi="Arial" w:eastAsia="黑体" w:cs="Times New Roman"/>
      <w:sz w:val="44"/>
    </w:rPr>
  </w:style>
  <w:style w:type="character" w:customStyle="1" w:styleId="447">
    <w:name w:val="标题 Char1"/>
    <w:qFormat/>
    <w:uiPriority w:val="0"/>
    <w:rPr>
      <w:rFonts w:ascii="Calibri" w:hAnsi="Calibri" w:eastAsia="黑体" w:cs="Times New Roman"/>
      <w:b/>
      <w:sz w:val="28"/>
    </w:rPr>
  </w:style>
  <w:style w:type="character" w:customStyle="1" w:styleId="448">
    <w:name w:val="textfont"/>
    <w:qFormat/>
    <w:uiPriority w:val="0"/>
    <w:rPr>
      <w:rFonts w:ascii="Calibri" w:hAnsi="Calibri" w:eastAsia="宋体" w:cs="Times New Roman"/>
    </w:rPr>
  </w:style>
  <w:style w:type="character" w:customStyle="1" w:styleId="449">
    <w:name w:val="r13"/>
    <w:qFormat/>
    <w:uiPriority w:val="0"/>
    <w:rPr>
      <w:rFonts w:ascii="Calibri" w:hAnsi="Calibri" w:eastAsia="宋体" w:cs="Times New Roman"/>
    </w:rPr>
  </w:style>
  <w:style w:type="character" w:customStyle="1" w:styleId="450">
    <w:name w:val="副标题 Char"/>
    <w:qFormat/>
    <w:uiPriority w:val="0"/>
    <w:rPr>
      <w:rFonts w:ascii="Cambria" w:hAnsi="Cambria" w:eastAsia="宋体" w:cs="Times New Roman"/>
      <w:b/>
      <w:bCs/>
      <w:kern w:val="28"/>
      <w:sz w:val="32"/>
      <w:szCs w:val="32"/>
    </w:rPr>
  </w:style>
  <w:style w:type="character" w:customStyle="1" w:styleId="451">
    <w:name w:val="style15"/>
    <w:qFormat/>
    <w:uiPriority w:val="0"/>
    <w:rPr>
      <w:rFonts w:ascii="Calibri" w:hAnsi="Calibri" w:eastAsia="宋体" w:cs="Times New Roman"/>
    </w:rPr>
  </w:style>
  <w:style w:type="character" w:customStyle="1" w:styleId="452">
    <w:name w:val="页眉 Char2"/>
    <w:qFormat/>
    <w:uiPriority w:val="0"/>
    <w:rPr>
      <w:rFonts w:ascii="Calibri" w:hAnsi="Calibri" w:eastAsia="宋体" w:cs="Times New Roman"/>
      <w:kern w:val="2"/>
      <w:sz w:val="18"/>
    </w:rPr>
  </w:style>
  <w:style w:type="character" w:customStyle="1" w:styleId="453">
    <w:name w:val="headline-content2"/>
    <w:qFormat/>
    <w:uiPriority w:val="0"/>
    <w:rPr>
      <w:rFonts w:ascii="Calibri" w:hAnsi="Calibri" w:eastAsia="宋体" w:cs="Times New Roman"/>
    </w:rPr>
  </w:style>
  <w:style w:type="character" w:customStyle="1" w:styleId="454">
    <w:name w:val="paramname"/>
    <w:qFormat/>
    <w:uiPriority w:val="0"/>
    <w:rPr>
      <w:rFonts w:ascii="Calibri" w:hAnsi="Calibri" w:eastAsia="宋体" w:cs="Times New Roman"/>
    </w:rPr>
  </w:style>
  <w:style w:type="character" w:customStyle="1" w:styleId="455">
    <w:name w:val="页眉 Char Char"/>
    <w:qFormat/>
    <w:uiPriority w:val="0"/>
    <w:rPr>
      <w:rFonts w:ascii="Calibri" w:hAnsi="Calibri" w:eastAsia="宋体" w:cs="Times New Roman"/>
      <w:kern w:val="2"/>
      <w:sz w:val="18"/>
      <w:lang w:val="en-US" w:eastAsia="zh-CN"/>
    </w:rPr>
  </w:style>
  <w:style w:type="character" w:customStyle="1" w:styleId="456">
    <w:name w:val="正文2 Char Char"/>
    <w:qFormat/>
    <w:uiPriority w:val="0"/>
    <w:rPr>
      <w:rFonts w:ascii="Calibri" w:hAnsi="Calibri" w:eastAsia="宋体" w:cs="Times New Roman"/>
      <w:sz w:val="24"/>
    </w:rPr>
  </w:style>
  <w:style w:type="character" w:customStyle="1" w:styleId="457">
    <w:name w:val="正文首行缩进 Char2"/>
    <w:qFormat/>
    <w:uiPriority w:val="0"/>
    <w:rPr>
      <w:rFonts w:ascii="Calibri" w:hAnsi="Calibri" w:eastAsia="宋体" w:cs="Times New Roman"/>
    </w:rPr>
  </w:style>
  <w:style w:type="paragraph" w:customStyle="1" w:styleId="458">
    <w:name w:val="z-Bottom of Form1"/>
    <w:basedOn w:val="1"/>
    <w:qFormat/>
    <w:uiPriority w:val="0"/>
    <w:pPr>
      <w:widowControl/>
      <w:pBdr>
        <w:top w:val="single" w:color="auto" w:sz="6" w:space="1"/>
      </w:pBdr>
      <w:jc w:val="center"/>
    </w:pPr>
    <w:rPr>
      <w:rFonts w:ascii="Arial" w:hAnsi="Arial"/>
      <w:vanish/>
      <w:kern w:val="0"/>
      <w:sz w:val="16"/>
      <w:szCs w:val="16"/>
    </w:rPr>
  </w:style>
  <w:style w:type="character" w:customStyle="1" w:styleId="459">
    <w:name w:val="批注引用10"/>
    <w:qFormat/>
    <w:uiPriority w:val="0"/>
    <w:rPr>
      <w:rFonts w:ascii="Calibri" w:hAnsi="Calibri" w:eastAsia="宋体" w:cs="Times New Roman"/>
      <w:sz w:val="21"/>
    </w:rPr>
  </w:style>
  <w:style w:type="character" w:customStyle="1" w:styleId="460">
    <w:name w:val="EmailStyle30"/>
    <w:qFormat/>
    <w:uiPriority w:val="0"/>
    <w:rPr>
      <w:rFonts w:ascii="Calibri" w:hAnsi="Calibri" w:eastAsia="宋体" w:cs="Times New Roman"/>
      <w:color w:val="000000"/>
    </w:rPr>
  </w:style>
  <w:style w:type="character" w:customStyle="1" w:styleId="461">
    <w:name w:val="批注引用5"/>
    <w:qFormat/>
    <w:uiPriority w:val="0"/>
    <w:rPr>
      <w:rFonts w:ascii="Calibri" w:hAnsi="Calibri" w:eastAsia="宋体" w:cs="Times New Roman"/>
      <w:sz w:val="21"/>
    </w:rPr>
  </w:style>
  <w:style w:type="character" w:customStyle="1" w:styleId="462">
    <w:name w:val="apple-style-span"/>
    <w:qFormat/>
    <w:uiPriority w:val="0"/>
    <w:rPr>
      <w:rFonts w:ascii="Calibri" w:hAnsi="Calibri" w:eastAsia="宋体" w:cs="Times New Roman"/>
    </w:rPr>
  </w:style>
  <w:style w:type="character" w:customStyle="1" w:styleId="463">
    <w:name w:val="无 A"/>
    <w:qFormat/>
    <w:uiPriority w:val="0"/>
    <w:rPr>
      <w:rFonts w:ascii="Calibri" w:hAnsi="Calibri" w:eastAsia="宋体" w:cs="Times New Roman"/>
      <w:lang w:val="en-US"/>
    </w:rPr>
  </w:style>
  <w:style w:type="character" w:customStyle="1" w:styleId="464">
    <w:name w:val="custbt1"/>
    <w:qFormat/>
    <w:uiPriority w:val="0"/>
    <w:rPr>
      <w:rFonts w:ascii="Calibri" w:hAnsi="Calibri" w:eastAsia="宋体" w:cs="Times New Roman"/>
      <w:color w:val="0066CC"/>
      <w:sz w:val="20"/>
    </w:rPr>
  </w:style>
  <w:style w:type="character" w:customStyle="1" w:styleId="465">
    <w:name w:val="日期 Char2"/>
    <w:qFormat/>
    <w:uiPriority w:val="0"/>
    <w:rPr>
      <w:rFonts w:ascii="Calibri" w:hAnsi="Calibri" w:eastAsia="宋体" w:cs="Times New Roman"/>
      <w:kern w:val="2"/>
      <w:sz w:val="21"/>
    </w:rPr>
  </w:style>
  <w:style w:type="character" w:customStyle="1" w:styleId="466">
    <w:name w:val="批注引用6"/>
    <w:qFormat/>
    <w:uiPriority w:val="0"/>
    <w:rPr>
      <w:rFonts w:ascii="Calibri" w:hAnsi="Calibri" w:eastAsia="宋体" w:cs="Times New Roman"/>
      <w:sz w:val="21"/>
    </w:rPr>
  </w:style>
  <w:style w:type="character" w:customStyle="1" w:styleId="467">
    <w:name w:val="font71"/>
    <w:qFormat/>
    <w:uiPriority w:val="0"/>
    <w:rPr>
      <w:rFonts w:hint="default" w:ascii="Times New Roman" w:hAnsi="Times New Roman" w:eastAsia="楷体_GB2312" w:cs="Times New Roman"/>
      <w:sz w:val="28"/>
      <w:szCs w:val="24"/>
    </w:rPr>
  </w:style>
  <w:style w:type="character" w:customStyle="1" w:styleId="468">
    <w:name w:val="正文首缩两字 Char1"/>
    <w:link w:val="469"/>
    <w:qFormat/>
    <w:uiPriority w:val="0"/>
    <w:rPr>
      <w:rFonts w:ascii="Verdana" w:hAnsi="Verdana"/>
      <w:sz w:val="24"/>
    </w:rPr>
  </w:style>
  <w:style w:type="paragraph" w:customStyle="1" w:styleId="469">
    <w:name w:val="正文首缩两字"/>
    <w:basedOn w:val="1"/>
    <w:link w:val="468"/>
    <w:qFormat/>
    <w:uiPriority w:val="0"/>
    <w:pPr>
      <w:spacing w:line="360" w:lineRule="auto"/>
      <w:ind w:firstLine="200" w:firstLineChars="200"/>
    </w:pPr>
    <w:rPr>
      <w:rFonts w:ascii="Verdana" w:hAnsi="Verdana" w:eastAsiaTheme="minorEastAsia" w:cstheme="minorBidi"/>
      <w:sz w:val="24"/>
      <w:szCs w:val="24"/>
      <w14:ligatures w14:val="standardContextual"/>
    </w:rPr>
  </w:style>
  <w:style w:type="character" w:customStyle="1" w:styleId="470">
    <w:name w:val="ss"/>
    <w:qFormat/>
    <w:uiPriority w:val="0"/>
    <w:rPr>
      <w:rFonts w:ascii="Calibri" w:hAnsi="Calibri" w:eastAsia="宋体" w:cs="Times New Roman"/>
    </w:rPr>
  </w:style>
  <w:style w:type="character" w:customStyle="1" w:styleId="471">
    <w:name w:val="Char Char6"/>
    <w:qFormat/>
    <w:uiPriority w:val="0"/>
    <w:rPr>
      <w:rFonts w:ascii="Calibri" w:hAnsi="Calibri" w:eastAsia="宋体" w:cs="Times New Roman"/>
      <w:sz w:val="24"/>
    </w:rPr>
  </w:style>
  <w:style w:type="character" w:customStyle="1" w:styleId="472">
    <w:name w:val="批注文字 Char2"/>
    <w:qFormat/>
    <w:uiPriority w:val="0"/>
    <w:rPr>
      <w:rFonts w:ascii="Calibri" w:hAnsi="Calibri" w:eastAsia="宋体" w:cs="Times New Roman"/>
      <w:kern w:val="2"/>
      <w:sz w:val="21"/>
    </w:rPr>
  </w:style>
  <w:style w:type="character" w:customStyle="1" w:styleId="473">
    <w:name w:val="font_8"/>
    <w:qFormat/>
    <w:uiPriority w:val="0"/>
    <w:rPr>
      <w:rFonts w:ascii="Calibri" w:hAnsi="Calibri" w:eastAsia="宋体" w:cs="Times New Roman"/>
    </w:rPr>
  </w:style>
  <w:style w:type="character" w:customStyle="1" w:styleId="474">
    <w:name w:val="批注主题 Char2"/>
    <w:qFormat/>
    <w:uiPriority w:val="0"/>
    <w:rPr>
      <w:rFonts w:ascii="Calibri" w:hAnsi="Calibri" w:eastAsia="宋体" w:cs="Times New Roman"/>
      <w:b/>
      <w:kern w:val="2"/>
      <w:sz w:val="21"/>
    </w:rPr>
  </w:style>
  <w:style w:type="character" w:customStyle="1" w:styleId="475">
    <w:name w:val="Char Char Char Char Char"/>
    <w:qFormat/>
    <w:uiPriority w:val="0"/>
    <w:rPr>
      <w:rFonts w:ascii="宋体" w:hAnsi="Courier New" w:cs="Times New Roman"/>
    </w:rPr>
  </w:style>
  <w:style w:type="character" w:customStyle="1" w:styleId="476">
    <w:name w:val="一级条标题 Char"/>
    <w:link w:val="477"/>
    <w:qFormat/>
    <w:uiPriority w:val="0"/>
    <w:rPr>
      <w:rFonts w:ascii="黑体" w:eastAsia="黑体"/>
      <w:sz w:val="21"/>
    </w:rPr>
  </w:style>
  <w:style w:type="paragraph" w:customStyle="1" w:styleId="477">
    <w:name w:val="一级条标题"/>
    <w:basedOn w:val="1"/>
    <w:link w:val="476"/>
    <w:qFormat/>
    <w:uiPriority w:val="0"/>
    <w:pPr>
      <w:widowControl/>
      <w:tabs>
        <w:tab w:val="left" w:pos="1200"/>
      </w:tabs>
      <w:ind w:left="1200" w:hanging="420"/>
      <w:outlineLvl w:val="2"/>
    </w:pPr>
    <w:rPr>
      <w:rFonts w:ascii="黑体" w:eastAsia="黑体" w:hAnsiTheme="minorHAnsi" w:cstheme="minorBidi"/>
      <w:szCs w:val="24"/>
      <w14:ligatures w14:val="standardContextual"/>
    </w:rPr>
  </w:style>
  <w:style w:type="character" w:customStyle="1" w:styleId="478">
    <w:name w:val="标题 Char3"/>
    <w:qFormat/>
    <w:uiPriority w:val="0"/>
    <w:rPr>
      <w:rFonts w:ascii="Cambria" w:hAnsi="Cambria" w:eastAsia="宋体" w:cs="黑体"/>
      <w:b/>
      <w:bCs/>
      <w:sz w:val="32"/>
      <w:szCs w:val="32"/>
    </w:rPr>
  </w:style>
  <w:style w:type="character" w:customStyle="1" w:styleId="479">
    <w:name w:val="List Paragraph Char Char"/>
    <w:qFormat/>
    <w:uiPriority w:val="0"/>
    <w:rPr>
      <w:rFonts w:ascii="宋体" w:hAnsi="宋体" w:cs="Times New Roman"/>
      <w:kern w:val="2"/>
      <w:sz w:val="21"/>
      <w:szCs w:val="24"/>
    </w:rPr>
  </w:style>
  <w:style w:type="character" w:customStyle="1" w:styleId="480">
    <w:name w:val="wz1"/>
    <w:qFormat/>
    <w:uiPriority w:val="0"/>
    <w:rPr>
      <w:rFonts w:ascii="Calibri" w:hAnsi="Calibri" w:eastAsia="宋体" w:cs="Times New Roman"/>
      <w:color w:val="5A5A5A"/>
      <w:sz w:val="18"/>
      <w:u w:val="none"/>
    </w:rPr>
  </w:style>
  <w:style w:type="character" w:customStyle="1" w:styleId="481">
    <w:name w:val="aa1"/>
    <w:qFormat/>
    <w:uiPriority w:val="0"/>
    <w:rPr>
      <w:rFonts w:ascii="Calibri" w:hAnsi="Calibri" w:eastAsia="宋体" w:cs="Times New Roman"/>
      <w:sz w:val="20"/>
      <w:u w:val="none"/>
    </w:rPr>
  </w:style>
  <w:style w:type="character" w:customStyle="1" w:styleId="482">
    <w:name w:val="style14"/>
    <w:qFormat/>
    <w:uiPriority w:val="0"/>
    <w:rPr>
      <w:rFonts w:ascii="Calibri" w:hAnsi="Calibri" w:eastAsia="宋体" w:cs="Times New Roman"/>
    </w:rPr>
  </w:style>
  <w:style w:type="character" w:customStyle="1" w:styleId="483">
    <w:name w:val="正文首行缩进 Char1"/>
    <w:qFormat/>
    <w:uiPriority w:val="0"/>
    <w:rPr>
      <w:rFonts w:ascii="Calibri" w:hAnsi="Calibri" w:eastAsia="宋体" w:cs="Times New Roman"/>
      <w:kern w:val="2"/>
      <w:sz w:val="22"/>
      <w:lang w:val="en-US" w:eastAsia="zh-CN"/>
    </w:rPr>
  </w:style>
  <w:style w:type="character" w:customStyle="1" w:styleId="484">
    <w:name w:val="正文文本 2 Char2"/>
    <w:qFormat/>
    <w:uiPriority w:val="0"/>
    <w:rPr>
      <w:rFonts w:ascii="Calibri" w:hAnsi="Calibri" w:eastAsia="宋体" w:cs="Times New Roman"/>
      <w:kern w:val="2"/>
      <w:sz w:val="21"/>
    </w:rPr>
  </w:style>
  <w:style w:type="paragraph" w:customStyle="1" w:styleId="485">
    <w:name w:val="z-Top of Form1"/>
    <w:basedOn w:val="1"/>
    <w:qFormat/>
    <w:uiPriority w:val="0"/>
    <w:pPr>
      <w:widowControl/>
      <w:pBdr>
        <w:bottom w:val="single" w:color="auto" w:sz="6" w:space="1"/>
      </w:pBdr>
      <w:jc w:val="center"/>
    </w:pPr>
    <w:rPr>
      <w:rFonts w:ascii="Arial" w:hAnsi="Arial"/>
      <w:vanish/>
      <w:kern w:val="0"/>
      <w:sz w:val="16"/>
      <w:szCs w:val="16"/>
    </w:rPr>
  </w:style>
  <w:style w:type="character" w:customStyle="1" w:styleId="486">
    <w:name w:val="Char Char5"/>
    <w:qFormat/>
    <w:uiPriority w:val="0"/>
    <w:rPr>
      <w:rFonts w:ascii="Calibri" w:hAnsi="Calibri" w:eastAsia="宋体" w:cs="Times New Roman"/>
      <w:sz w:val="18"/>
    </w:rPr>
  </w:style>
  <w:style w:type="character" w:customStyle="1" w:styleId="487">
    <w:name w:val="正文2 Char Char Char"/>
    <w:qFormat/>
    <w:uiPriority w:val="0"/>
    <w:rPr>
      <w:rFonts w:ascii="Calibri" w:hAnsi="Calibri" w:eastAsia="宋体" w:cs="Times New Roman"/>
      <w:kern w:val="2"/>
      <w:sz w:val="24"/>
      <w:lang w:val="en-US" w:eastAsia="zh-CN"/>
    </w:rPr>
  </w:style>
  <w:style w:type="character" w:customStyle="1" w:styleId="488">
    <w:name w:val="标题 1 Char1"/>
    <w:qFormat/>
    <w:uiPriority w:val="0"/>
    <w:rPr>
      <w:rFonts w:ascii="仿宋_GB2312" w:hAnsi="Calibri" w:eastAsia="仿宋_GB2312" w:cs="Times New Roman"/>
      <w:b/>
      <w:color w:val="000000"/>
      <w:kern w:val="2"/>
      <w:sz w:val="36"/>
    </w:rPr>
  </w:style>
  <w:style w:type="character" w:customStyle="1" w:styleId="489">
    <w:name w:val="批注引用4"/>
    <w:qFormat/>
    <w:uiPriority w:val="0"/>
    <w:rPr>
      <w:rFonts w:ascii="Calibri" w:hAnsi="Calibri" w:eastAsia="宋体" w:cs="Times New Roman"/>
      <w:sz w:val="21"/>
    </w:rPr>
  </w:style>
  <w:style w:type="character" w:customStyle="1" w:styleId="490">
    <w:name w:val="style141"/>
    <w:qFormat/>
    <w:uiPriority w:val="0"/>
    <w:rPr>
      <w:rFonts w:ascii="Calibri" w:hAnsi="Calibri" w:eastAsia="宋体" w:cs="Times New Roman"/>
    </w:rPr>
  </w:style>
  <w:style w:type="character" w:customStyle="1" w:styleId="491">
    <w:name w:val="文档结构图 Char2"/>
    <w:qFormat/>
    <w:uiPriority w:val="0"/>
    <w:rPr>
      <w:rFonts w:ascii="宋体" w:hAnsi="Calibri" w:eastAsia="宋体" w:cs="Times New Roman"/>
      <w:kern w:val="2"/>
      <w:sz w:val="18"/>
    </w:rPr>
  </w:style>
  <w:style w:type="character" w:customStyle="1" w:styleId="492">
    <w:name w:val="批注框文本 Char2"/>
    <w:qFormat/>
    <w:uiPriority w:val="0"/>
    <w:rPr>
      <w:rFonts w:ascii="Calibri" w:hAnsi="Calibri" w:eastAsia="宋体" w:cs="Times New Roman"/>
      <w:kern w:val="2"/>
      <w:sz w:val="18"/>
    </w:rPr>
  </w:style>
  <w:style w:type="character" w:customStyle="1" w:styleId="493">
    <w:name w:val="font61"/>
    <w:basedOn w:val="69"/>
    <w:qFormat/>
    <w:uiPriority w:val="0"/>
    <w:rPr>
      <w:rFonts w:ascii="Arial" w:hAnsi="Arial" w:eastAsia="宋体" w:cs="Arial"/>
      <w:color w:val="000000"/>
      <w:sz w:val="20"/>
      <w:szCs w:val="20"/>
      <w:u w:val="none"/>
    </w:rPr>
  </w:style>
  <w:style w:type="character" w:customStyle="1" w:styleId="494">
    <w:name w:val="fontblank12"/>
    <w:qFormat/>
    <w:uiPriority w:val="0"/>
    <w:rPr>
      <w:rFonts w:ascii="Calibri" w:hAnsi="Calibri" w:eastAsia="宋体" w:cs="Times New Roman"/>
    </w:rPr>
  </w:style>
  <w:style w:type="character" w:customStyle="1" w:styleId="495">
    <w:name w:val="标题 9 Char1"/>
    <w:qFormat/>
    <w:uiPriority w:val="0"/>
    <w:rPr>
      <w:rFonts w:ascii="Arial" w:hAnsi="Arial" w:eastAsia="黑体" w:cs="Times New Roman"/>
      <w:kern w:val="2"/>
      <w:sz w:val="21"/>
    </w:rPr>
  </w:style>
  <w:style w:type="character" w:customStyle="1" w:styleId="496">
    <w:name w:val="high-light-bg4"/>
    <w:qFormat/>
    <w:uiPriority w:val="0"/>
    <w:rPr>
      <w:rFonts w:ascii="Calibri" w:hAnsi="Calibri" w:eastAsia="宋体" w:cs="Times New Roman"/>
    </w:rPr>
  </w:style>
  <w:style w:type="character" w:customStyle="1" w:styleId="497">
    <w:name w:val="正文文本 3 Char2"/>
    <w:qFormat/>
    <w:uiPriority w:val="0"/>
    <w:rPr>
      <w:rFonts w:ascii="Calibri" w:hAnsi="Calibri" w:eastAsia="宋体" w:cs="Times New Roman"/>
      <w:kern w:val="2"/>
      <w:sz w:val="16"/>
    </w:rPr>
  </w:style>
  <w:style w:type="character" w:customStyle="1" w:styleId="498">
    <w:name w:val="正文缩进 Char1"/>
    <w:qFormat/>
    <w:uiPriority w:val="0"/>
    <w:rPr>
      <w:rFonts w:ascii="Calibri" w:hAnsi="Calibri" w:eastAsia="宋体" w:cs="Times New Roman"/>
      <w:kern w:val="2"/>
      <w:sz w:val="21"/>
    </w:rPr>
  </w:style>
  <w:style w:type="character" w:customStyle="1" w:styleId="499">
    <w:name w:val="批注引用1"/>
    <w:qFormat/>
    <w:uiPriority w:val="0"/>
    <w:rPr>
      <w:rFonts w:ascii="Calibri" w:hAnsi="Calibri" w:eastAsia="宋体" w:cs="Times New Roman"/>
      <w:sz w:val="21"/>
      <w:szCs w:val="21"/>
    </w:rPr>
  </w:style>
  <w:style w:type="character" w:customStyle="1" w:styleId="500">
    <w:name w:val="正文文本 2 Char"/>
    <w:qFormat/>
    <w:uiPriority w:val="0"/>
    <w:rPr>
      <w:rFonts w:ascii="Times New Roman" w:hAnsi="Times New Roman" w:eastAsia="宋体" w:cs="Times New Roman"/>
      <w:kern w:val="2"/>
      <w:sz w:val="21"/>
      <w:szCs w:val="24"/>
    </w:rPr>
  </w:style>
  <w:style w:type="character" w:customStyle="1" w:styleId="501">
    <w:name w:val="Table Text Char Char"/>
    <w:link w:val="502"/>
    <w:qFormat/>
    <w:uiPriority w:val="0"/>
    <w:rPr>
      <w:rFonts w:ascii="Arial" w:hAnsi="Arial"/>
      <w:sz w:val="18"/>
    </w:rPr>
  </w:style>
  <w:style w:type="paragraph" w:customStyle="1" w:styleId="502">
    <w:name w:val="Table Text"/>
    <w:link w:val="501"/>
    <w:qFormat/>
    <w:uiPriority w:val="0"/>
    <w:pPr>
      <w:snapToGrid w:val="0"/>
      <w:spacing w:before="80" w:after="80"/>
    </w:pPr>
    <w:rPr>
      <w:rFonts w:ascii="Arial" w:hAnsi="Arial" w:eastAsiaTheme="minorEastAsia" w:cstheme="minorBidi"/>
      <w:kern w:val="2"/>
      <w:sz w:val="18"/>
      <w:szCs w:val="24"/>
      <w:lang w:val="en-US" w:eastAsia="zh-CN" w:bidi="ar-SA"/>
      <w14:ligatures w14:val="standardContextual"/>
    </w:rPr>
  </w:style>
  <w:style w:type="character" w:customStyle="1" w:styleId="503">
    <w:name w:val="批注文字 Char3"/>
    <w:qFormat/>
    <w:uiPriority w:val="0"/>
    <w:rPr>
      <w:rFonts w:ascii="Times New Roman" w:hAnsi="Times New Roman" w:eastAsia="宋体" w:cs="Times New Roman"/>
      <w:sz w:val="20"/>
      <w:szCs w:val="20"/>
    </w:rPr>
  </w:style>
  <w:style w:type="character" w:customStyle="1" w:styleId="504">
    <w:name w:val="普通文字 Char2"/>
    <w:qFormat/>
    <w:uiPriority w:val="0"/>
    <w:rPr>
      <w:rFonts w:ascii="宋体" w:hAnsi="Courier New" w:eastAsia="宋体" w:cs="Times New Roman"/>
      <w:kern w:val="2"/>
      <w:sz w:val="21"/>
      <w:lang w:val="en-US" w:eastAsia="zh-CN"/>
    </w:rPr>
  </w:style>
  <w:style w:type="character" w:customStyle="1" w:styleId="505">
    <w:name w:val="正文文本 3 Char"/>
    <w:qFormat/>
    <w:uiPriority w:val="0"/>
    <w:rPr>
      <w:rFonts w:ascii="Times New Roman" w:hAnsi="Times New Roman" w:eastAsia="宋体" w:cs="Times New Roman"/>
      <w:kern w:val="2"/>
      <w:sz w:val="16"/>
      <w:szCs w:val="16"/>
    </w:rPr>
  </w:style>
  <w:style w:type="character" w:customStyle="1" w:styleId="506">
    <w:name w:val="HTML 预设格式 Char"/>
    <w:qFormat/>
    <w:uiPriority w:val="0"/>
    <w:rPr>
      <w:rFonts w:ascii="Courier New" w:hAnsi="Courier New" w:eastAsia="宋体" w:cs="Courier New"/>
      <w:kern w:val="2"/>
    </w:rPr>
  </w:style>
  <w:style w:type="character" w:customStyle="1" w:styleId="507">
    <w:name w:val="页眉 Char1"/>
    <w:qFormat/>
    <w:uiPriority w:val="0"/>
    <w:rPr>
      <w:rFonts w:ascii="Calibri" w:hAnsi="Calibri" w:eastAsia="宋体" w:cs="Times New Roman"/>
      <w:kern w:val="2"/>
      <w:sz w:val="18"/>
    </w:rPr>
  </w:style>
  <w:style w:type="character" w:customStyle="1" w:styleId="508">
    <w:name w:val="标题 8 Char1"/>
    <w:qFormat/>
    <w:uiPriority w:val="0"/>
    <w:rPr>
      <w:rFonts w:ascii="Arial" w:hAnsi="Arial" w:eastAsia="黑体" w:cs="Times New Roman"/>
      <w:kern w:val="2"/>
      <w:sz w:val="24"/>
    </w:rPr>
  </w:style>
  <w:style w:type="character" w:customStyle="1" w:styleId="509">
    <w:name w:val="Char Char8"/>
    <w:qFormat/>
    <w:uiPriority w:val="0"/>
    <w:rPr>
      <w:rFonts w:ascii="Calibri" w:hAnsi="Calibri" w:eastAsia="仿宋_GB2312" w:cs="Times New Roman"/>
      <w:b/>
      <w:kern w:val="2"/>
      <w:sz w:val="32"/>
    </w:rPr>
  </w:style>
  <w:style w:type="character" w:customStyle="1" w:styleId="510">
    <w:name w:val="正文文本缩进 3 Char2"/>
    <w:qFormat/>
    <w:uiPriority w:val="0"/>
    <w:rPr>
      <w:rFonts w:ascii="Calibri" w:hAnsi="Calibri" w:eastAsia="宋体" w:cs="Times New Roman"/>
      <w:kern w:val="2"/>
      <w:sz w:val="16"/>
    </w:rPr>
  </w:style>
  <w:style w:type="character" w:customStyle="1" w:styleId="511">
    <w:name w:val="◆ 二级符号end Char Char"/>
    <w:link w:val="512"/>
    <w:qFormat/>
    <w:uiPriority w:val="0"/>
    <w:rPr>
      <w:rFonts w:ascii="Verdana" w:hAnsi="Verdana"/>
      <w:sz w:val="24"/>
    </w:rPr>
  </w:style>
  <w:style w:type="paragraph" w:customStyle="1" w:styleId="512">
    <w:name w:val="◆ 二级符号end"/>
    <w:basedOn w:val="1"/>
    <w:link w:val="511"/>
    <w:qFormat/>
    <w:uiPriority w:val="0"/>
    <w:pPr>
      <w:tabs>
        <w:tab w:val="left" w:pos="1320"/>
      </w:tabs>
      <w:spacing w:line="360" w:lineRule="auto"/>
      <w:ind w:left="1320" w:hanging="420"/>
    </w:pPr>
    <w:rPr>
      <w:rFonts w:ascii="Verdana" w:hAnsi="Verdana" w:eastAsiaTheme="minorEastAsia" w:cstheme="minorBidi"/>
      <w:sz w:val="24"/>
      <w:szCs w:val="24"/>
      <w14:ligatures w14:val="standardContextual"/>
    </w:rPr>
  </w:style>
  <w:style w:type="character" w:customStyle="1" w:styleId="513">
    <w:name w:val="正文文本 Char2"/>
    <w:qFormat/>
    <w:uiPriority w:val="0"/>
    <w:rPr>
      <w:rFonts w:ascii="Calibri" w:hAnsi="Calibri" w:eastAsia="宋体" w:cs="Times New Roman"/>
      <w:kern w:val="2"/>
      <w:sz w:val="21"/>
    </w:rPr>
  </w:style>
  <w:style w:type="character" w:customStyle="1" w:styleId="514">
    <w:name w:val="批注引用11"/>
    <w:qFormat/>
    <w:uiPriority w:val="0"/>
    <w:rPr>
      <w:rFonts w:ascii="Calibri" w:hAnsi="Calibri" w:eastAsia="宋体" w:cs="Times New Roman"/>
      <w:sz w:val="21"/>
    </w:rPr>
  </w:style>
  <w:style w:type="character" w:customStyle="1" w:styleId="515">
    <w:name w:val="标题 5 Char1"/>
    <w:qFormat/>
    <w:uiPriority w:val="0"/>
    <w:rPr>
      <w:rFonts w:ascii="Calibri" w:hAnsi="Calibri" w:eastAsia="宋体" w:cs="Times New Roman"/>
      <w:b/>
      <w:kern w:val="2"/>
      <w:sz w:val="28"/>
    </w:rPr>
  </w:style>
  <w:style w:type="character" w:customStyle="1" w:styleId="516">
    <w:name w:val="批注引用9"/>
    <w:qFormat/>
    <w:uiPriority w:val="0"/>
    <w:rPr>
      <w:rFonts w:ascii="Calibri" w:hAnsi="Calibri" w:eastAsia="宋体" w:cs="Times New Roman"/>
      <w:sz w:val="21"/>
    </w:rPr>
  </w:style>
  <w:style w:type="character" w:customStyle="1" w:styleId="517">
    <w:name w:val="标题 7 Char1"/>
    <w:qFormat/>
    <w:uiPriority w:val="0"/>
    <w:rPr>
      <w:rFonts w:ascii="Calibri" w:hAnsi="Calibri" w:eastAsia="宋体" w:cs="Times New Roman"/>
      <w:b/>
      <w:kern w:val="2"/>
      <w:sz w:val="24"/>
    </w:rPr>
  </w:style>
  <w:style w:type="character" w:customStyle="1" w:styleId="518">
    <w:name w:val="SANGFOR_6_正文 Char"/>
    <w:link w:val="519"/>
    <w:qFormat/>
    <w:uiPriority w:val="0"/>
    <w:rPr>
      <w:rFonts w:ascii="宋体" w:hAnsi="宋体"/>
      <w:sz w:val="28"/>
      <w:szCs w:val="28"/>
    </w:rPr>
  </w:style>
  <w:style w:type="paragraph" w:customStyle="1" w:styleId="519">
    <w:name w:val="SANGFOR_6_正文"/>
    <w:basedOn w:val="1"/>
    <w:link w:val="518"/>
    <w:qFormat/>
    <w:uiPriority w:val="0"/>
    <w:pPr>
      <w:spacing w:line="360" w:lineRule="auto"/>
      <w:ind w:left="420"/>
      <w:jc w:val="left"/>
    </w:pPr>
    <w:rPr>
      <w:rFonts w:ascii="宋体" w:hAnsi="宋体" w:eastAsiaTheme="minorEastAsia" w:cstheme="minorBidi"/>
      <w:sz w:val="28"/>
      <w:szCs w:val="28"/>
      <w14:ligatures w14:val="standardContextual"/>
    </w:rPr>
  </w:style>
  <w:style w:type="character" w:customStyle="1" w:styleId="520">
    <w:name w:val="标题 3 Char1"/>
    <w:qFormat/>
    <w:uiPriority w:val="0"/>
    <w:rPr>
      <w:rFonts w:ascii="Calibri" w:hAnsi="Calibri" w:eastAsia="宋体" w:cs="Times New Roman"/>
      <w:b/>
      <w:kern w:val="2"/>
      <w:sz w:val="32"/>
    </w:rPr>
  </w:style>
  <w:style w:type="character" w:customStyle="1" w:styleId="521">
    <w:name w:val="页脚 Char1"/>
    <w:qFormat/>
    <w:uiPriority w:val="0"/>
    <w:rPr>
      <w:rFonts w:ascii="Calibri" w:hAnsi="Calibri" w:eastAsia="宋体" w:cs="Times New Roman"/>
      <w:kern w:val="2"/>
      <w:sz w:val="18"/>
    </w:rPr>
  </w:style>
  <w:style w:type="character" w:customStyle="1" w:styleId="522">
    <w:name w:val="页脚 Char2"/>
    <w:qFormat/>
    <w:uiPriority w:val="0"/>
    <w:rPr>
      <w:rFonts w:ascii="Calibri" w:hAnsi="Calibri" w:eastAsia="宋体" w:cs="Times New Roman"/>
      <w:kern w:val="2"/>
      <w:sz w:val="18"/>
    </w:rPr>
  </w:style>
  <w:style w:type="character" w:customStyle="1" w:styleId="523">
    <w:name w:val="正文1 Char"/>
    <w:link w:val="181"/>
    <w:qFormat/>
    <w:uiPriority w:val="0"/>
    <w:rPr>
      <w:rFonts w:ascii="Calibri" w:hAnsi="Calibri" w:eastAsia="宋体" w:cs="Calibri"/>
      <w:sz w:val="21"/>
      <w:szCs w:val="21"/>
      <w14:ligatures w14:val="none"/>
    </w:rPr>
  </w:style>
  <w:style w:type="character" w:customStyle="1" w:styleId="524">
    <w:name w:val="批注引用2"/>
    <w:qFormat/>
    <w:uiPriority w:val="0"/>
    <w:rPr>
      <w:rFonts w:ascii="Calibri" w:hAnsi="Calibri" w:eastAsia="宋体" w:cs="Times New Roman"/>
      <w:sz w:val="21"/>
    </w:rPr>
  </w:style>
  <w:style w:type="character" w:customStyle="1" w:styleId="525">
    <w:name w:val="标题 Char2"/>
    <w:qFormat/>
    <w:uiPriority w:val="0"/>
    <w:rPr>
      <w:rFonts w:ascii="Cambria" w:hAnsi="Cambria" w:eastAsia="宋体" w:cs="Times New Roman"/>
      <w:b/>
      <w:kern w:val="2"/>
      <w:sz w:val="32"/>
    </w:rPr>
  </w:style>
  <w:style w:type="character" w:customStyle="1" w:styleId="526">
    <w:name w:val="c1"/>
    <w:qFormat/>
    <w:uiPriority w:val="0"/>
    <w:rPr>
      <w:rFonts w:ascii="Calibri" w:hAnsi="Calibri" w:eastAsia="宋体" w:cs="Times New Roman"/>
      <w:sz w:val="24"/>
    </w:rPr>
  </w:style>
  <w:style w:type="character" w:customStyle="1" w:styleId="527">
    <w:name w:val="font121"/>
    <w:qFormat/>
    <w:uiPriority w:val="0"/>
    <w:rPr>
      <w:rFonts w:hint="default" w:ascii="???" w:hAnsi="???" w:eastAsia="宋体" w:cs="Times New Roman"/>
      <w:color w:val="333333"/>
      <w:sz w:val="18"/>
      <w:szCs w:val="18"/>
      <w:u w:val="none"/>
    </w:rPr>
  </w:style>
  <w:style w:type="character" w:customStyle="1" w:styleId="528">
    <w:name w:val="标准文本 Char Char"/>
    <w:link w:val="529"/>
    <w:qFormat/>
    <w:uiPriority w:val="0"/>
  </w:style>
  <w:style w:type="paragraph" w:customStyle="1" w:styleId="529">
    <w:name w:val="标准文本"/>
    <w:basedOn w:val="1"/>
    <w:link w:val="528"/>
    <w:qFormat/>
    <w:uiPriority w:val="0"/>
    <w:pPr>
      <w:spacing w:line="360" w:lineRule="auto"/>
      <w:ind w:firstLine="480" w:firstLineChars="200"/>
    </w:pPr>
    <w:rPr>
      <w:rFonts w:asciiTheme="minorHAnsi" w:hAnsiTheme="minorHAnsi" w:eastAsiaTheme="minorEastAsia" w:cstheme="minorBidi"/>
      <w:sz w:val="22"/>
      <w:szCs w:val="24"/>
      <w14:ligatures w14:val="standardContextual"/>
    </w:rPr>
  </w:style>
  <w:style w:type="character" w:customStyle="1" w:styleId="530">
    <w:name w:val="尾注文本 Char"/>
    <w:qFormat/>
    <w:uiPriority w:val="0"/>
    <w:rPr>
      <w:rFonts w:ascii="Times New Roman" w:hAnsi="Times New Roman" w:eastAsia="宋体" w:cs="Times New Roman"/>
      <w:kern w:val="2"/>
      <w:sz w:val="21"/>
      <w:szCs w:val="24"/>
    </w:rPr>
  </w:style>
  <w:style w:type="character" w:customStyle="1" w:styleId="531">
    <w:name w:val="标题 4 Char1"/>
    <w:qFormat/>
    <w:uiPriority w:val="0"/>
    <w:rPr>
      <w:rFonts w:ascii="Arial" w:hAnsi="Arial" w:eastAsia="黑体" w:cs="Times New Roman"/>
      <w:b/>
      <w:kern w:val="2"/>
      <w:sz w:val="28"/>
    </w:rPr>
  </w:style>
  <w:style w:type="character" w:customStyle="1" w:styleId="532">
    <w:name w:val="批注文字 Char4"/>
    <w:qFormat/>
    <w:uiPriority w:val="0"/>
    <w:rPr>
      <w:rFonts w:ascii="Times New Roman" w:hAnsi="Times New Roman" w:eastAsia="宋体" w:cs="Times New Roman"/>
      <w:szCs w:val="20"/>
    </w:rPr>
  </w:style>
  <w:style w:type="character" w:customStyle="1" w:styleId="533">
    <w:name w:val="批注引用8"/>
    <w:qFormat/>
    <w:uiPriority w:val="0"/>
    <w:rPr>
      <w:rFonts w:ascii="Calibri" w:hAnsi="Calibri" w:eastAsia="宋体" w:cs="Times New Roman"/>
      <w:sz w:val="21"/>
    </w:rPr>
  </w:style>
  <w:style w:type="character" w:customStyle="1" w:styleId="534">
    <w:name w:val="彩色列表 - 强调文字颜色 1 Char"/>
    <w:link w:val="202"/>
    <w:qFormat/>
    <w:uiPriority w:val="0"/>
    <w:rPr>
      <w:rFonts w:ascii="Calibri" w:hAnsi="Calibri" w:eastAsia="宋体" w:cs="Times New Roman"/>
      <w:sz w:val="21"/>
      <w:szCs w:val="22"/>
      <w14:ligatures w14:val="none"/>
    </w:rPr>
  </w:style>
  <w:style w:type="character" w:customStyle="1" w:styleId="535">
    <w:name w:val="DH 正文 Char"/>
    <w:link w:val="536"/>
    <w:qFormat/>
    <w:uiPriority w:val="0"/>
    <w:rPr>
      <w:rFonts w:ascii="宋体"/>
      <w:sz w:val="24"/>
    </w:rPr>
  </w:style>
  <w:style w:type="paragraph" w:customStyle="1" w:styleId="536">
    <w:name w:val="DH 正文"/>
    <w:basedOn w:val="1"/>
    <w:link w:val="535"/>
    <w:qFormat/>
    <w:uiPriority w:val="0"/>
    <w:pPr>
      <w:spacing w:line="360" w:lineRule="auto"/>
      <w:ind w:firstLine="200" w:firstLineChars="200"/>
    </w:pPr>
    <w:rPr>
      <w:rFonts w:ascii="宋体" w:hAnsiTheme="minorHAnsi" w:eastAsiaTheme="minorEastAsia" w:cstheme="minorBidi"/>
      <w:sz w:val="24"/>
      <w:szCs w:val="24"/>
      <w14:ligatures w14:val="standardContextual"/>
    </w:rPr>
  </w:style>
  <w:style w:type="character" w:customStyle="1" w:styleId="537">
    <w:name w:val="unnamed21"/>
    <w:qFormat/>
    <w:uiPriority w:val="0"/>
    <w:rPr>
      <w:rFonts w:ascii="Calibri" w:hAnsi="Calibri" w:eastAsia="宋体" w:cs="Times New Roman"/>
      <w:color w:val="000000"/>
      <w:sz w:val="20"/>
    </w:rPr>
  </w:style>
  <w:style w:type="character" w:customStyle="1" w:styleId="538">
    <w:name w:val="news1"/>
    <w:qFormat/>
    <w:uiPriority w:val="0"/>
    <w:rPr>
      <w:rFonts w:ascii="Calibri" w:hAnsi="Calibri" w:eastAsia="宋体" w:cs="Times New Roman"/>
      <w:color w:val="4D4D4D"/>
      <w:sz w:val="18"/>
    </w:rPr>
  </w:style>
  <w:style w:type="character" w:customStyle="1" w:styleId="539">
    <w:name w:val="批注引用7"/>
    <w:qFormat/>
    <w:uiPriority w:val="0"/>
    <w:rPr>
      <w:rFonts w:ascii="Calibri" w:hAnsi="Calibri" w:eastAsia="宋体" w:cs="Times New Roman"/>
      <w:sz w:val="21"/>
    </w:rPr>
  </w:style>
  <w:style w:type="character" w:customStyle="1" w:styleId="540">
    <w:name w:val="line1"/>
    <w:qFormat/>
    <w:uiPriority w:val="0"/>
    <w:rPr>
      <w:rFonts w:ascii="Calibri" w:hAnsi="Calibri" w:eastAsia="宋体" w:cs="Times New Roman"/>
    </w:rPr>
  </w:style>
  <w:style w:type="character" w:customStyle="1" w:styleId="541">
    <w:name w:val="Char Char4"/>
    <w:qFormat/>
    <w:uiPriority w:val="0"/>
    <w:rPr>
      <w:rFonts w:ascii="Calibri" w:hAnsi="Calibri" w:eastAsia="宋体" w:cs="Times New Roman"/>
      <w:sz w:val="18"/>
    </w:rPr>
  </w:style>
  <w:style w:type="character" w:customStyle="1" w:styleId="542">
    <w:name w:val="批注引用3"/>
    <w:qFormat/>
    <w:uiPriority w:val="0"/>
    <w:rPr>
      <w:rFonts w:ascii="Calibri" w:hAnsi="Calibri" w:eastAsia="宋体" w:cs="Times New Roman"/>
      <w:sz w:val="21"/>
      <w:szCs w:val="21"/>
    </w:rPr>
  </w:style>
  <w:style w:type="character" w:customStyle="1" w:styleId="543">
    <w:name w:val="样式 8 磅"/>
    <w:qFormat/>
    <w:uiPriority w:val="0"/>
    <w:rPr>
      <w:rFonts w:ascii="Calibri" w:hAnsi="Calibri" w:eastAsia="宋体" w:cs="Times New Roman"/>
      <w:sz w:val="18"/>
    </w:rPr>
  </w:style>
  <w:style w:type="paragraph" w:customStyle="1" w:styleId="544">
    <w:name w:val="Char Char1 Char Char Char Char Char Char Char"/>
    <w:basedOn w:val="1"/>
    <w:qFormat/>
    <w:uiPriority w:val="0"/>
    <w:rPr>
      <w:rFonts w:ascii="Calibri" w:hAnsi="Calibri"/>
      <w:szCs w:val="24"/>
    </w:rPr>
  </w:style>
  <w:style w:type="paragraph" w:customStyle="1" w:styleId="545">
    <w:name w:val="默认段落字体 Para Char Char Char Char"/>
    <w:basedOn w:val="1"/>
    <w:qFormat/>
    <w:uiPriority w:val="0"/>
    <w:pPr>
      <w:widowControl/>
      <w:jc w:val="left"/>
    </w:pPr>
    <w:rPr>
      <w:rFonts w:ascii="Calibri" w:hAnsi="Calibri"/>
      <w:szCs w:val="24"/>
    </w:rPr>
  </w:style>
  <w:style w:type="paragraph" w:customStyle="1" w:styleId="546">
    <w:name w:val="xl60"/>
    <w:basedOn w:val="1"/>
    <w:qFormat/>
    <w:uiPriority w:val="0"/>
    <w:pPr>
      <w:widowControl/>
      <w:pBdr>
        <w:top w:val="single" w:color="auto" w:sz="4" w:space="0"/>
        <w:bottom w:val="single" w:color="auto" w:sz="8" w:space="0"/>
      </w:pBdr>
      <w:spacing w:before="100" w:beforeAutospacing="1" w:after="100" w:afterAutospacing="1"/>
      <w:jc w:val="center"/>
    </w:pPr>
    <w:rPr>
      <w:rFonts w:ascii="Arial Unicode MS" w:hAnsi="Arial Unicode MS"/>
      <w:kern w:val="0"/>
      <w:sz w:val="24"/>
      <w:szCs w:val="24"/>
    </w:rPr>
  </w:style>
  <w:style w:type="paragraph" w:customStyle="1" w:styleId="547">
    <w:name w:val="Char Char Char Char Char Char Char Char Char1 Char"/>
    <w:basedOn w:val="1"/>
    <w:qFormat/>
    <w:uiPriority w:val="0"/>
    <w:pPr>
      <w:widowControl/>
      <w:jc w:val="left"/>
    </w:pPr>
    <w:rPr>
      <w:rFonts w:ascii="仿宋_GB2312" w:hAnsi="Calibri" w:eastAsia="仿宋_GB2312"/>
      <w:b/>
      <w:sz w:val="32"/>
      <w:szCs w:val="32"/>
    </w:rPr>
  </w:style>
  <w:style w:type="paragraph" w:customStyle="1" w:styleId="548">
    <w:name w:val="普通(网站)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49">
    <w:name w:val="L正文"/>
    <w:basedOn w:val="1"/>
    <w:qFormat/>
    <w:uiPriority w:val="0"/>
    <w:pPr>
      <w:spacing w:afterLines="50"/>
      <w:ind w:left="160" w:leftChars="160" w:firstLine="200" w:firstLineChars="200"/>
    </w:pPr>
    <w:rPr>
      <w:rFonts w:ascii="Calibri" w:hAnsi="Calibri"/>
      <w:b/>
      <w:szCs w:val="24"/>
    </w:rPr>
  </w:style>
  <w:style w:type="paragraph" w:customStyle="1" w:styleId="550">
    <w:name w:val="xl33"/>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2"/>
    </w:rPr>
  </w:style>
  <w:style w:type="paragraph" w:customStyle="1" w:styleId="551">
    <w:name w:val="需求正文"/>
    <w:basedOn w:val="1"/>
    <w:qFormat/>
    <w:uiPriority w:val="0"/>
    <w:pPr>
      <w:widowControl/>
      <w:spacing w:line="300" w:lineRule="auto"/>
      <w:ind w:firstLine="560" w:firstLineChars="200"/>
      <w:jc w:val="left"/>
    </w:pPr>
    <w:rPr>
      <w:rFonts w:ascii="Arial" w:hAnsi="Arial" w:eastAsia="仿宋_GB2312"/>
      <w:sz w:val="28"/>
      <w:szCs w:val="20"/>
    </w:rPr>
  </w:style>
  <w:style w:type="paragraph" w:customStyle="1" w:styleId="552">
    <w:name w:val="列出段落3"/>
    <w:basedOn w:val="1"/>
    <w:qFormat/>
    <w:uiPriority w:val="0"/>
    <w:pPr>
      <w:ind w:firstLine="420" w:firstLineChars="200"/>
    </w:pPr>
    <w:rPr>
      <w:rFonts w:ascii="Cambria" w:hAnsi="Cambria"/>
      <w:sz w:val="24"/>
      <w:szCs w:val="24"/>
    </w:rPr>
  </w:style>
  <w:style w:type="paragraph" w:customStyle="1" w:styleId="553">
    <w:name w:val="Char1"/>
    <w:basedOn w:val="1"/>
    <w:qFormat/>
    <w:uiPriority w:val="0"/>
    <w:pPr>
      <w:widowControl/>
      <w:jc w:val="left"/>
    </w:pPr>
    <w:rPr>
      <w:rFonts w:ascii="仿宋_GB2312" w:hAnsi="Calibri" w:eastAsia="仿宋_GB2312"/>
      <w:b/>
      <w:sz w:val="32"/>
      <w:szCs w:val="20"/>
    </w:rPr>
  </w:style>
  <w:style w:type="paragraph" w:customStyle="1" w:styleId="554">
    <w:name w:val="样式 宋体 小四 黑色 行距: 1.5 倍行距1"/>
    <w:basedOn w:val="1"/>
    <w:qFormat/>
    <w:uiPriority w:val="0"/>
    <w:pPr>
      <w:spacing w:line="360" w:lineRule="auto"/>
      <w:ind w:firstLine="480" w:firstLineChars="200"/>
    </w:pPr>
    <w:rPr>
      <w:rFonts w:ascii="宋体" w:hAnsi="宋体" w:cs="宋体"/>
      <w:color w:val="000000"/>
      <w:kern w:val="0"/>
      <w:szCs w:val="20"/>
    </w:rPr>
  </w:style>
  <w:style w:type="paragraph" w:customStyle="1" w:styleId="555">
    <w:name w:val="p1"/>
    <w:basedOn w:val="1"/>
    <w:qFormat/>
    <w:uiPriority w:val="0"/>
    <w:pPr>
      <w:widowControl/>
      <w:jc w:val="left"/>
    </w:pPr>
    <w:rPr>
      <w:rFonts w:ascii="Helvetica" w:hAnsi="Helvetica" w:eastAsia="等线"/>
      <w:kern w:val="0"/>
      <w:sz w:val="16"/>
      <w:szCs w:val="16"/>
    </w:rPr>
  </w:style>
  <w:style w:type="paragraph" w:customStyle="1" w:styleId="556">
    <w:name w:val="方案正文"/>
    <w:basedOn w:val="1"/>
    <w:qFormat/>
    <w:uiPriority w:val="0"/>
    <w:pPr>
      <w:widowControl/>
      <w:autoSpaceDE w:val="0"/>
      <w:autoSpaceDN w:val="0"/>
      <w:adjustRightInd w:val="0"/>
      <w:snapToGrid w:val="0"/>
      <w:spacing w:line="500" w:lineRule="atLeast"/>
      <w:ind w:firstLine="561"/>
      <w:jc w:val="left"/>
    </w:pPr>
    <w:rPr>
      <w:rFonts w:ascii="仿宋_GB2312" w:hAnsi="Calibri" w:eastAsia="仿宋_GB2312"/>
      <w:kern w:val="0"/>
      <w:sz w:val="28"/>
      <w:szCs w:val="20"/>
    </w:rPr>
  </w:style>
  <w:style w:type="paragraph" w:customStyle="1" w:styleId="557">
    <w:name w:val="无间隔2"/>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558">
    <w:name w:val="正文缩进2格"/>
    <w:basedOn w:val="1"/>
    <w:qFormat/>
    <w:uiPriority w:val="0"/>
    <w:pPr>
      <w:autoSpaceDE w:val="0"/>
      <w:autoSpaceDN w:val="0"/>
      <w:adjustRightInd w:val="0"/>
      <w:spacing w:line="600" w:lineRule="exact"/>
      <w:ind w:firstLine="639" w:firstLineChars="206"/>
    </w:pPr>
    <w:rPr>
      <w:rFonts w:ascii="仿宋_GB2312" w:hAnsi="宋体" w:eastAsia="仿宋_GB2312"/>
      <w:color w:val="000000"/>
      <w:sz w:val="31"/>
      <w:szCs w:val="28"/>
    </w:rPr>
  </w:style>
  <w:style w:type="paragraph" w:customStyle="1" w:styleId="559">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4"/>
      <w:szCs w:val="24"/>
    </w:rPr>
  </w:style>
  <w:style w:type="paragraph" w:customStyle="1" w:styleId="560">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Calibri" w:hAnsi="Calibri"/>
      <w:kern w:val="0"/>
      <w:sz w:val="24"/>
      <w:szCs w:val="24"/>
    </w:rPr>
  </w:style>
  <w:style w:type="paragraph" w:customStyle="1" w:styleId="561">
    <w:name w:val="TOC 标题1"/>
    <w:basedOn w:val="3"/>
    <w:qFormat/>
    <w:uiPriority w:val="0"/>
    <w:pPr>
      <w:widowControl/>
      <w:spacing w:before="0" w:after="0" w:line="276" w:lineRule="auto"/>
      <w:jc w:val="left"/>
      <w:outlineLvl w:val="9"/>
    </w:pPr>
    <w:rPr>
      <w:rFonts w:ascii="Cambria" w:hAnsi="Cambria" w:eastAsia="宋体" w:cs="Times New Roman"/>
      <w:b/>
      <w:bCs/>
      <w:color w:val="365F90"/>
      <w:kern w:val="0"/>
      <w:sz w:val="28"/>
      <w:szCs w:val="28"/>
    </w:rPr>
  </w:style>
  <w:style w:type="paragraph" w:customStyle="1" w:styleId="562">
    <w:name w:val="标准段落"/>
    <w:basedOn w:val="1"/>
    <w:qFormat/>
    <w:uiPriority w:val="0"/>
    <w:pPr>
      <w:widowControl/>
      <w:topLinePunct/>
      <w:autoSpaceDE w:val="0"/>
      <w:autoSpaceDN w:val="0"/>
      <w:spacing w:line="360" w:lineRule="auto"/>
      <w:ind w:firstLine="560" w:firstLineChars="200"/>
      <w:jc w:val="left"/>
    </w:pPr>
    <w:rPr>
      <w:rFonts w:ascii="Calibri" w:hAnsi="宋体"/>
      <w:color w:val="FF0000"/>
      <w:sz w:val="28"/>
      <w:szCs w:val="24"/>
    </w:rPr>
  </w:style>
  <w:style w:type="paragraph" w:customStyle="1" w:styleId="563">
    <w:name w:val="正文缩进1"/>
    <w:basedOn w:val="1"/>
    <w:qFormat/>
    <w:uiPriority w:val="0"/>
    <w:pPr>
      <w:widowControl/>
      <w:autoSpaceDE w:val="0"/>
      <w:autoSpaceDN w:val="0"/>
      <w:adjustRightInd w:val="0"/>
      <w:snapToGrid w:val="0"/>
      <w:spacing w:after="120" w:line="360" w:lineRule="auto"/>
      <w:ind w:left="420" w:leftChars="200" w:firstLine="480" w:firstLineChars="200"/>
      <w:jc w:val="left"/>
    </w:pPr>
    <w:rPr>
      <w:rFonts w:ascii="Calibri" w:hAnsi="Calibri"/>
      <w:sz w:val="24"/>
      <w:szCs w:val="20"/>
    </w:rPr>
  </w:style>
  <w:style w:type="paragraph" w:customStyle="1" w:styleId="564">
    <w:name w:val="标书正文格式"/>
    <w:qFormat/>
    <w:uiPriority w:val="0"/>
    <w:pPr>
      <w:spacing w:line="360" w:lineRule="auto"/>
      <w:ind w:firstLine="480" w:firstLineChars="200"/>
    </w:pPr>
    <w:rPr>
      <w:rFonts w:ascii="楷体_GB2312" w:hAnsi="Times New Roman" w:eastAsia="楷体_GB2312" w:cs="Times New Roman"/>
      <w:color w:val="000000"/>
      <w:kern w:val="2"/>
      <w:sz w:val="24"/>
      <w:szCs w:val="24"/>
      <w:lang w:val="en-US" w:eastAsia="zh-CN" w:bidi="ar-SA"/>
    </w:rPr>
  </w:style>
  <w:style w:type="paragraph" w:customStyle="1" w:styleId="565">
    <w:name w:val="表文1"/>
    <w:basedOn w:val="1"/>
    <w:qFormat/>
    <w:uiPriority w:val="0"/>
    <w:pPr>
      <w:widowControl/>
      <w:spacing w:line="360" w:lineRule="auto"/>
      <w:ind w:left="-158" w:leftChars="-75" w:firstLine="471" w:firstLineChars="157"/>
      <w:jc w:val="left"/>
    </w:pPr>
    <w:rPr>
      <w:rFonts w:ascii="宋体" w:hAnsi="宋体"/>
      <w:color w:val="000000"/>
      <w:spacing w:val="10"/>
      <w:kern w:val="0"/>
      <w:sz w:val="28"/>
      <w:szCs w:val="18"/>
    </w:rPr>
  </w:style>
  <w:style w:type="paragraph" w:customStyle="1" w:styleId="566">
    <w:name w:val="a"/>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67">
    <w:name w:val="List Paragraph2"/>
    <w:basedOn w:val="1"/>
    <w:qFormat/>
    <w:uiPriority w:val="0"/>
    <w:pPr>
      <w:widowControl/>
      <w:ind w:firstLine="420" w:firstLineChars="200"/>
      <w:jc w:val="left"/>
    </w:pPr>
    <w:rPr>
      <w:rFonts w:ascii="Calibri" w:hAnsi="Calibri"/>
      <w:kern w:val="0"/>
      <w:sz w:val="20"/>
      <w:szCs w:val="20"/>
    </w:rPr>
  </w:style>
  <w:style w:type="paragraph" w:customStyle="1" w:styleId="568">
    <w:name w:val="Item Step in Table"/>
    <w:qFormat/>
    <w:uiPriority w:val="0"/>
    <w:pPr>
      <w:tabs>
        <w:tab w:val="left" w:pos="397"/>
      </w:tabs>
      <w:spacing w:before="40" w:after="40"/>
      <w:ind w:firstLine="403"/>
      <w:jc w:val="both"/>
    </w:pPr>
    <w:rPr>
      <w:rFonts w:ascii="Arial" w:hAnsi="Arial" w:eastAsia="宋体" w:cs="Arial"/>
      <w:sz w:val="18"/>
      <w:szCs w:val="18"/>
      <w:lang w:val="en-US" w:eastAsia="zh-CN" w:bidi="ar-SA"/>
    </w:rPr>
  </w:style>
  <w:style w:type="paragraph" w:customStyle="1" w:styleId="569">
    <w:name w:val="Pa9"/>
    <w:basedOn w:val="1"/>
    <w:qFormat/>
    <w:uiPriority w:val="0"/>
    <w:pPr>
      <w:widowControl/>
      <w:autoSpaceDE w:val="0"/>
      <w:autoSpaceDN w:val="0"/>
      <w:adjustRightInd w:val="0"/>
      <w:spacing w:before="40" w:line="146" w:lineRule="atLeast"/>
      <w:jc w:val="left"/>
    </w:pPr>
    <w:rPr>
      <w:rFonts w:ascii="Stone Sans" w:hAnsi="Stone Sans"/>
      <w:kern w:val="0"/>
      <w:sz w:val="24"/>
      <w:szCs w:val="24"/>
    </w:rPr>
  </w:style>
  <w:style w:type="paragraph" w:customStyle="1" w:styleId="570">
    <w:name w:val="文档正文 Char"/>
    <w:basedOn w:val="1"/>
    <w:qFormat/>
    <w:uiPriority w:val="0"/>
    <w:pPr>
      <w:widowControl/>
      <w:adjustRightInd w:val="0"/>
      <w:spacing w:line="480" w:lineRule="atLeast"/>
      <w:ind w:firstLine="567"/>
      <w:jc w:val="left"/>
    </w:pPr>
    <w:rPr>
      <w:rFonts w:ascii="仿宋_GB2312" w:hAnsi="Calibri" w:eastAsia="仿宋_GB2312" w:cs="仿宋_GB2312"/>
      <w:kern w:val="0"/>
      <w:sz w:val="28"/>
      <w:szCs w:val="28"/>
    </w:rPr>
  </w:style>
  <w:style w:type="paragraph" w:customStyle="1" w:styleId="571">
    <w:name w:val="xl35"/>
    <w:basedOn w:val="1"/>
    <w:qFormat/>
    <w:uiPriority w:val="0"/>
    <w:pPr>
      <w:widowControl/>
      <w:spacing w:before="100" w:beforeAutospacing="1" w:after="100" w:afterAutospacing="1"/>
      <w:jc w:val="center"/>
    </w:pPr>
    <w:rPr>
      <w:rFonts w:ascii="宋体" w:hAnsi="宋体"/>
      <w:b/>
      <w:bCs/>
      <w:kern w:val="0"/>
      <w:sz w:val="36"/>
      <w:szCs w:val="36"/>
    </w:rPr>
  </w:style>
  <w:style w:type="paragraph" w:customStyle="1" w:styleId="572">
    <w:name w:val="xl29"/>
    <w:basedOn w:val="1"/>
    <w:qFormat/>
    <w:uiPriority w:val="0"/>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b/>
      <w:bCs/>
      <w:kern w:val="0"/>
      <w:sz w:val="24"/>
      <w:szCs w:val="24"/>
    </w:rPr>
  </w:style>
  <w:style w:type="paragraph" w:customStyle="1" w:styleId="573">
    <w:name w:val="Char Char Char 字元 字元"/>
    <w:basedOn w:val="1"/>
    <w:qFormat/>
    <w:uiPriority w:val="0"/>
    <w:pPr>
      <w:widowControl/>
      <w:spacing w:line="360" w:lineRule="auto"/>
      <w:ind w:firstLine="200" w:firstLineChars="200"/>
      <w:jc w:val="left"/>
    </w:pPr>
    <w:rPr>
      <w:rFonts w:ascii="Calibri" w:hAnsi="Calibri"/>
      <w:szCs w:val="20"/>
    </w:rPr>
  </w:style>
  <w:style w:type="paragraph" w:customStyle="1" w:styleId="574">
    <w:name w:val="xl28"/>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Calibri" w:hAnsi="Calibri"/>
      <w:kern w:val="0"/>
      <w:sz w:val="24"/>
      <w:szCs w:val="24"/>
    </w:rPr>
  </w:style>
  <w:style w:type="paragraph" w:customStyle="1" w:styleId="575">
    <w:name w:val="p16"/>
    <w:basedOn w:val="1"/>
    <w:qFormat/>
    <w:uiPriority w:val="0"/>
    <w:pPr>
      <w:widowControl/>
      <w:spacing w:before="80" w:after="80"/>
      <w:jc w:val="left"/>
    </w:pPr>
    <w:rPr>
      <w:rFonts w:ascii="Arial" w:hAnsi="Arial" w:cs="Arial"/>
      <w:kern w:val="0"/>
      <w:sz w:val="18"/>
      <w:szCs w:val="18"/>
    </w:rPr>
  </w:style>
  <w:style w:type="paragraph" w:customStyle="1" w:styleId="576">
    <w:name w:val="xl45"/>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Arial Unicode MS" w:hAnsi="Arial Unicode MS"/>
      <w:kern w:val="0"/>
      <w:sz w:val="52"/>
      <w:szCs w:val="52"/>
    </w:rPr>
  </w:style>
  <w:style w:type="paragraph" w:customStyle="1" w:styleId="577">
    <w:name w:val="列出段落11"/>
    <w:basedOn w:val="1"/>
    <w:qFormat/>
    <w:uiPriority w:val="0"/>
    <w:pPr>
      <w:widowControl/>
      <w:ind w:firstLine="420" w:firstLineChars="200"/>
      <w:jc w:val="left"/>
    </w:pPr>
    <w:rPr>
      <w:rFonts w:ascii="Calibri" w:hAnsi="Calibri"/>
      <w:kern w:val="0"/>
      <w:sz w:val="24"/>
      <w:szCs w:val="20"/>
    </w:rPr>
  </w:style>
  <w:style w:type="paragraph" w:customStyle="1" w:styleId="578">
    <w:name w:val="正文段落"/>
    <w:basedOn w:val="1"/>
    <w:qFormat/>
    <w:uiPriority w:val="0"/>
    <w:pPr>
      <w:spacing w:line="360" w:lineRule="auto"/>
      <w:ind w:firstLine="440" w:firstLineChars="200"/>
    </w:pPr>
    <w:rPr>
      <w:rFonts w:ascii="宋体" w:hAnsi="宋体" w:cs="宋体"/>
      <w:kern w:val="0"/>
      <w:szCs w:val="20"/>
    </w:rPr>
  </w:style>
  <w:style w:type="paragraph" w:customStyle="1" w:styleId="579">
    <w:name w:val="C11"/>
    <w:basedOn w:val="1"/>
    <w:qFormat/>
    <w:uiPriority w:val="0"/>
    <w:pPr>
      <w:widowControl/>
      <w:tabs>
        <w:tab w:val="left" w:pos="360"/>
      </w:tabs>
      <w:autoSpaceDE w:val="0"/>
      <w:autoSpaceDN w:val="0"/>
      <w:adjustRightInd w:val="0"/>
      <w:spacing w:before="60" w:line="288" w:lineRule="auto"/>
      <w:jc w:val="left"/>
    </w:pPr>
    <w:rPr>
      <w:rFonts w:ascii="Calibri" w:hAnsi="Calibri" w:eastAsia="華康細圓體"/>
      <w:kern w:val="0"/>
      <w:sz w:val="22"/>
      <w:szCs w:val="20"/>
      <w:lang w:eastAsia="zh-TW"/>
    </w:rPr>
  </w:style>
  <w:style w:type="paragraph" w:customStyle="1" w:styleId="580">
    <w:name w:val="Char Char Char Char Char Char Char Char Char Char"/>
    <w:basedOn w:val="20"/>
    <w:qFormat/>
    <w:uiPriority w:val="0"/>
    <w:rPr>
      <w:rFonts w:ascii="Tahoma" w:hAnsi="Tahoma" w:cs="Times New Roman"/>
      <w:kern w:val="0"/>
      <w:sz w:val="24"/>
      <w:szCs w:val="24"/>
    </w:rPr>
  </w:style>
  <w:style w:type="paragraph" w:customStyle="1" w:styleId="581">
    <w:name w:val="4"/>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582">
    <w:name w:val="项目"/>
    <w:basedOn w:val="12"/>
    <w:qFormat/>
    <w:uiPriority w:val="0"/>
    <w:pPr>
      <w:tabs>
        <w:tab w:val="left" w:pos="1140"/>
        <w:tab w:val="left" w:pos="1389"/>
      </w:tabs>
      <w:spacing w:after="120"/>
      <w:ind w:left="1140" w:leftChars="0" w:hanging="420" w:firstLineChars="0"/>
    </w:pPr>
    <w:rPr>
      <w:rFonts w:ascii="华文中宋" w:hAnsi="Verdana" w:eastAsia="华文中宋"/>
      <w:color w:val="000066"/>
      <w:szCs w:val="21"/>
    </w:rPr>
  </w:style>
  <w:style w:type="paragraph" w:customStyle="1" w:styleId="583">
    <w:name w:val="xl32"/>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pPr>
    <w:rPr>
      <w:rFonts w:ascii="宋体" w:hAnsi="宋体"/>
      <w:b/>
      <w:bCs/>
      <w:kern w:val="0"/>
      <w:sz w:val="22"/>
    </w:rPr>
  </w:style>
  <w:style w:type="paragraph" w:customStyle="1" w:styleId="584">
    <w:name w:val="5"/>
    <w:basedOn w:val="1"/>
    <w:qFormat/>
    <w:uiPriority w:val="0"/>
    <w:pPr>
      <w:widowControl/>
      <w:ind w:right="26"/>
      <w:jc w:val="left"/>
    </w:pPr>
    <w:rPr>
      <w:rFonts w:ascii="楷体_GB2312" w:hAnsi="Calibri" w:eastAsia="楷体_GB2312"/>
      <w:spacing w:val="4"/>
      <w:kern w:val="0"/>
      <w:sz w:val="28"/>
      <w:szCs w:val="20"/>
    </w:rPr>
  </w:style>
  <w:style w:type="paragraph" w:customStyle="1" w:styleId="585">
    <w:name w:val="xl44"/>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Calibri" w:hAnsi="Calibri"/>
      <w:kern w:val="0"/>
      <w:sz w:val="52"/>
      <w:szCs w:val="52"/>
    </w:rPr>
  </w:style>
  <w:style w:type="paragraph" w:customStyle="1" w:styleId="586">
    <w:name w:val="表格内文"/>
    <w:basedOn w:val="1"/>
    <w:qFormat/>
    <w:uiPriority w:val="0"/>
    <w:pPr>
      <w:widowControl/>
      <w:spacing w:line="360" w:lineRule="auto"/>
      <w:jc w:val="left"/>
    </w:pPr>
    <w:rPr>
      <w:rFonts w:ascii="宋体" w:hAnsi="宋体" w:cs="宋体"/>
      <w:color w:val="000000"/>
      <w:szCs w:val="21"/>
    </w:rPr>
  </w:style>
  <w:style w:type="paragraph" w:customStyle="1" w:styleId="587">
    <w:name w:val="Retrait 2"/>
    <w:basedOn w:val="1"/>
    <w:qFormat/>
    <w:uiPriority w:val="0"/>
    <w:pPr>
      <w:widowControl/>
      <w:spacing w:line="360" w:lineRule="auto"/>
      <w:ind w:left="1417" w:hanging="283"/>
      <w:jc w:val="left"/>
    </w:pPr>
    <w:rPr>
      <w:rFonts w:ascii="Calibri" w:hAnsi="Calibri" w:eastAsia="楷体_GB2312"/>
      <w:bCs/>
      <w:sz w:val="28"/>
      <w:szCs w:val="20"/>
    </w:rPr>
  </w:style>
  <w:style w:type="paragraph" w:customStyle="1" w:styleId="588">
    <w:name w:val="xl46"/>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Arial Unicode MS" w:hAnsi="Arial Unicode MS"/>
      <w:kern w:val="0"/>
      <w:sz w:val="52"/>
      <w:szCs w:val="52"/>
    </w:rPr>
  </w:style>
  <w:style w:type="paragraph" w:customStyle="1" w:styleId="589">
    <w:name w:val="默认段落字体 Para Char Char Char Char Char Char Char Char Char1"/>
    <w:basedOn w:val="1"/>
    <w:qFormat/>
    <w:uiPriority w:val="0"/>
    <w:pPr>
      <w:widowControl/>
      <w:jc w:val="left"/>
    </w:pPr>
    <w:rPr>
      <w:rFonts w:ascii="Calibri" w:hAnsi="Calibri"/>
      <w:szCs w:val="21"/>
    </w:rPr>
  </w:style>
  <w:style w:type="paragraph" w:customStyle="1" w:styleId="590">
    <w:name w:val="tabletext"/>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91">
    <w:name w:val="正文3"/>
    <w:qFormat/>
    <w:uiPriority w:val="0"/>
    <w:pPr>
      <w:widowControl w:val="0"/>
      <w:jc w:val="both"/>
    </w:pPr>
    <w:rPr>
      <w:rFonts w:hint="eastAsia" w:ascii="Times New Roman" w:hAnsi="Times New Roman" w:eastAsia="宋体" w:cs="Times New Roman"/>
      <w:kern w:val="2"/>
      <w:sz w:val="21"/>
      <w:lang w:val="en-US" w:eastAsia="zh-CN" w:bidi="ar-SA"/>
    </w:rPr>
  </w:style>
  <w:style w:type="paragraph" w:customStyle="1" w:styleId="592">
    <w:name w:val="xl57"/>
    <w:basedOn w:val="1"/>
    <w:qFormat/>
    <w:uiPriority w:val="0"/>
    <w:pPr>
      <w:widowControl/>
      <w:pBdr>
        <w:top w:val="single" w:color="auto" w:sz="4" w:space="0"/>
        <w:bottom w:val="single" w:color="auto" w:sz="4" w:space="0"/>
      </w:pBdr>
      <w:spacing w:before="100" w:beforeAutospacing="1" w:after="100" w:afterAutospacing="1"/>
      <w:jc w:val="left"/>
    </w:pPr>
    <w:rPr>
      <w:rFonts w:ascii="Arial" w:hAnsi="Arial" w:cs="Arial"/>
      <w:kern w:val="0"/>
      <w:sz w:val="20"/>
      <w:szCs w:val="20"/>
    </w:rPr>
  </w:style>
  <w:style w:type="paragraph" w:customStyle="1" w:styleId="593">
    <w:name w:val="_Style 76"/>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594">
    <w:name w:val="小标题 1"/>
    <w:basedOn w:val="1"/>
    <w:qFormat/>
    <w:uiPriority w:val="0"/>
    <w:pPr>
      <w:widowControl/>
      <w:autoSpaceDE w:val="0"/>
      <w:autoSpaceDN w:val="0"/>
      <w:adjustRightInd w:val="0"/>
      <w:spacing w:line="360" w:lineRule="atLeast"/>
      <w:jc w:val="left"/>
    </w:pPr>
    <w:rPr>
      <w:rFonts w:ascii="文鼎粗黑" w:hAnsi="Calibri" w:eastAsia="文鼎粗黑"/>
      <w:kern w:val="0"/>
      <w:sz w:val="22"/>
      <w:szCs w:val="20"/>
    </w:rPr>
  </w:style>
  <w:style w:type="paragraph" w:customStyle="1" w:styleId="595">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96">
    <w:name w:val="xl23"/>
    <w:basedOn w:val="1"/>
    <w:qFormat/>
    <w:uiPriority w:val="0"/>
    <w:pPr>
      <w:widowControl/>
      <w:pBdr>
        <w:top w:val="single" w:color="auto" w:sz="8" w:space="0"/>
      </w:pBdr>
      <w:shd w:val="clear" w:color="auto" w:fill="FFFFFF"/>
      <w:spacing w:before="100" w:beforeAutospacing="1" w:after="100" w:afterAutospacing="1"/>
      <w:jc w:val="center"/>
    </w:pPr>
    <w:rPr>
      <w:rFonts w:ascii="Arial" w:hAnsi="Arial" w:cs="Arial"/>
      <w:b/>
      <w:bCs/>
      <w:kern w:val="0"/>
      <w:sz w:val="44"/>
      <w:szCs w:val="44"/>
    </w:rPr>
  </w:style>
  <w:style w:type="paragraph" w:customStyle="1" w:styleId="597">
    <w:name w:val="E 正文"/>
    <w:basedOn w:val="1"/>
    <w:qFormat/>
    <w:uiPriority w:val="0"/>
    <w:pPr>
      <w:widowControl/>
      <w:spacing w:line="360" w:lineRule="auto"/>
      <w:jc w:val="left"/>
    </w:pPr>
    <w:rPr>
      <w:rFonts w:cs="黑体"/>
      <w:color w:val="000000"/>
      <w:kern w:val="0"/>
      <w:sz w:val="24"/>
      <w:szCs w:val="24"/>
    </w:rPr>
  </w:style>
  <w:style w:type="paragraph" w:customStyle="1" w:styleId="598">
    <w:name w:val="xl38"/>
    <w:basedOn w:val="1"/>
    <w:qFormat/>
    <w:uiPriority w:val="0"/>
    <w:pPr>
      <w:widowControl/>
      <w:pBdr>
        <w:top w:val="single" w:color="auto" w:sz="4" w:space="0"/>
        <w:left w:val="single" w:color="auto" w:sz="4" w:space="0"/>
        <w:bottom w:val="single" w:color="auto" w:sz="8" w:space="0"/>
        <w:right w:val="single" w:color="auto" w:sz="8" w:space="0"/>
      </w:pBdr>
      <w:spacing w:before="100" w:beforeAutospacing="1" w:after="100" w:afterAutospacing="1"/>
      <w:jc w:val="center"/>
    </w:pPr>
    <w:rPr>
      <w:rFonts w:ascii="宋体" w:hAnsi="宋体"/>
      <w:b/>
      <w:bCs/>
      <w:kern w:val="0"/>
      <w:sz w:val="24"/>
      <w:szCs w:val="24"/>
    </w:rPr>
  </w:style>
  <w:style w:type="paragraph" w:customStyle="1" w:styleId="599">
    <w:name w:val="xl59"/>
    <w:basedOn w:val="1"/>
    <w:qFormat/>
    <w:uiPriority w:val="0"/>
    <w:pPr>
      <w:widowControl/>
      <w:pBdr>
        <w:top w:val="single" w:color="auto" w:sz="4" w:space="0"/>
        <w:left w:val="single" w:color="auto" w:sz="8" w:space="0"/>
        <w:bottom w:val="single" w:color="auto" w:sz="8" w:space="0"/>
      </w:pBdr>
      <w:spacing w:before="100" w:beforeAutospacing="1" w:after="100" w:afterAutospacing="1"/>
      <w:jc w:val="center"/>
    </w:pPr>
    <w:rPr>
      <w:rFonts w:ascii="Arial Unicode MS" w:hAnsi="Arial Unicode MS"/>
      <w:kern w:val="0"/>
      <w:sz w:val="24"/>
      <w:szCs w:val="24"/>
    </w:rPr>
  </w:style>
  <w:style w:type="paragraph" w:customStyle="1" w:styleId="600">
    <w:name w:val="Char1 Char Char Char"/>
    <w:basedOn w:val="1"/>
    <w:qFormat/>
    <w:uiPriority w:val="0"/>
    <w:pPr>
      <w:widowControl/>
      <w:jc w:val="left"/>
    </w:pPr>
    <w:rPr>
      <w:rFonts w:ascii="仿宋_GB2312" w:hAnsi="Calibri" w:eastAsia="仿宋_GB2312"/>
      <w:b/>
      <w:sz w:val="32"/>
      <w:szCs w:val="32"/>
    </w:rPr>
  </w:style>
  <w:style w:type="paragraph" w:customStyle="1" w:styleId="601">
    <w:name w:val="C标书正文（加粗后加）"/>
    <w:basedOn w:val="1"/>
    <w:qFormat/>
    <w:uiPriority w:val="0"/>
    <w:pPr>
      <w:widowControl/>
      <w:spacing w:after="240" w:line="360" w:lineRule="auto"/>
      <w:ind w:firstLine="426"/>
    </w:pPr>
    <w:rPr>
      <w:rFonts w:ascii="仿宋" w:hAnsi="仿宋" w:eastAsia="仿宋" w:cs="黑体"/>
      <w:b/>
      <w:color w:val="000000"/>
      <w:kern w:val="0"/>
      <w:sz w:val="24"/>
      <w:szCs w:val="24"/>
    </w:rPr>
  </w:style>
  <w:style w:type="paragraph" w:customStyle="1" w:styleId="602">
    <w:name w:val="straightmatter"/>
    <w:basedOn w:val="1"/>
    <w:qFormat/>
    <w:uiPriority w:val="0"/>
    <w:pPr>
      <w:widowControl/>
      <w:spacing w:before="120" w:after="120" w:line="288" w:lineRule="atLeast"/>
      <w:ind w:left="120" w:right="120"/>
      <w:jc w:val="left"/>
    </w:pPr>
    <w:rPr>
      <w:rFonts w:ascii="宋体" w:hAnsi="宋体"/>
      <w:color w:val="52987C"/>
      <w:kern w:val="0"/>
      <w:sz w:val="24"/>
      <w:szCs w:val="24"/>
    </w:rPr>
  </w:style>
  <w:style w:type="paragraph" w:customStyle="1" w:styleId="603">
    <w:name w:val="F11-1"/>
    <w:basedOn w:val="1"/>
    <w:qFormat/>
    <w:uiPriority w:val="0"/>
    <w:pPr>
      <w:widowControl/>
      <w:tabs>
        <w:tab w:val="left" w:pos="240"/>
        <w:tab w:val="left" w:pos="4680"/>
      </w:tabs>
      <w:adjustRightInd w:val="0"/>
      <w:spacing w:after="120"/>
      <w:jc w:val="left"/>
    </w:pPr>
    <w:rPr>
      <w:rFonts w:ascii="Calibri" w:hAnsi="Calibri" w:eastAsia="華康細圓體"/>
      <w:kern w:val="0"/>
      <w:sz w:val="24"/>
      <w:szCs w:val="20"/>
      <w:lang w:eastAsia="zh-TW"/>
    </w:rPr>
  </w:style>
  <w:style w:type="paragraph" w:customStyle="1" w:styleId="604">
    <w:name w:val="前言、引言标题"/>
    <w:qFormat/>
    <w:uiPriority w:val="0"/>
    <w:pPr>
      <w:shd w:val="clear" w:color="auto" w:fill="FFFFFF"/>
      <w:spacing w:before="640" w:after="560"/>
      <w:jc w:val="center"/>
      <w:outlineLvl w:val="0"/>
    </w:pPr>
    <w:rPr>
      <w:rFonts w:ascii="黑体" w:hAnsi="Times New Roman" w:eastAsia="黑体" w:cs="Times New Roman"/>
      <w:sz w:val="32"/>
      <w:lang w:val="en-US" w:eastAsia="zh-CN" w:bidi="ar-SA"/>
    </w:rPr>
  </w:style>
  <w:style w:type="paragraph" w:customStyle="1" w:styleId="605">
    <w:name w:val="xl53"/>
    <w:basedOn w:val="1"/>
    <w:qFormat/>
    <w:uiPriority w:val="0"/>
    <w:pPr>
      <w:widowControl/>
      <w:pBdr>
        <w:bottom w:val="single" w:color="auto" w:sz="8" w:space="0"/>
        <w:right w:val="single" w:color="auto" w:sz="4" w:space="0"/>
      </w:pBdr>
      <w:spacing w:before="100" w:beforeAutospacing="1" w:after="100" w:afterAutospacing="1"/>
      <w:jc w:val="left"/>
    </w:pPr>
    <w:rPr>
      <w:rFonts w:ascii="Arial Unicode MS" w:hAnsi="Arial Unicode MS"/>
      <w:kern w:val="0"/>
      <w:sz w:val="24"/>
      <w:szCs w:val="24"/>
    </w:rPr>
  </w:style>
  <w:style w:type="paragraph" w:customStyle="1" w:styleId="606">
    <w:name w:val="默认段落字体 Para Char Char Char Char Char Char Char Char Char"/>
    <w:basedOn w:val="1"/>
    <w:qFormat/>
    <w:uiPriority w:val="0"/>
    <w:pPr>
      <w:widowControl/>
      <w:jc w:val="left"/>
    </w:pPr>
    <w:rPr>
      <w:rFonts w:ascii="Tahoma" w:hAnsi="Tahoma" w:cs="Tahoma"/>
      <w:sz w:val="24"/>
      <w:szCs w:val="24"/>
    </w:rPr>
  </w:style>
  <w:style w:type="paragraph" w:customStyle="1" w:styleId="607">
    <w:name w:val="msolistparagraph"/>
    <w:basedOn w:val="1"/>
    <w:qFormat/>
    <w:uiPriority w:val="0"/>
    <w:pPr>
      <w:ind w:firstLine="420" w:firstLineChars="200"/>
    </w:pPr>
    <w:rPr>
      <w:rFonts w:ascii="Calibri" w:hAnsi="Calibri"/>
      <w:szCs w:val="20"/>
    </w:rPr>
  </w:style>
  <w:style w:type="paragraph" w:customStyle="1" w:styleId="608">
    <w:name w:val="txt"/>
    <w:basedOn w:val="1"/>
    <w:qFormat/>
    <w:uiPriority w:val="0"/>
    <w:pPr>
      <w:widowControl/>
      <w:spacing w:before="100" w:beforeAutospacing="1" w:after="100" w:afterAutospacing="1" w:line="500" w:lineRule="atLeast"/>
      <w:jc w:val="left"/>
    </w:pPr>
    <w:rPr>
      <w:rFonts w:ascii="宋体" w:hAnsi="宋体"/>
      <w:kern w:val="0"/>
      <w:sz w:val="24"/>
      <w:szCs w:val="24"/>
    </w:rPr>
  </w:style>
  <w:style w:type="paragraph" w:customStyle="1" w:styleId="609">
    <w:name w:val="xl54"/>
    <w:basedOn w:val="1"/>
    <w:qFormat/>
    <w:uiPriority w:val="0"/>
    <w:pPr>
      <w:widowControl/>
      <w:pBdr>
        <w:bottom w:val="single" w:color="auto" w:sz="8" w:space="0"/>
        <w:right w:val="single" w:color="auto" w:sz="4" w:space="0"/>
      </w:pBdr>
      <w:spacing w:before="100" w:beforeAutospacing="1" w:after="100" w:afterAutospacing="1"/>
      <w:jc w:val="left"/>
    </w:pPr>
    <w:rPr>
      <w:rFonts w:ascii="Arial" w:hAnsi="Arial" w:cs="Arial"/>
      <w:b/>
      <w:bCs/>
      <w:kern w:val="0"/>
      <w:sz w:val="24"/>
      <w:szCs w:val="24"/>
    </w:rPr>
  </w:style>
  <w:style w:type="paragraph" w:customStyle="1" w:styleId="610">
    <w:name w:val="a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11">
    <w:name w:val="a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12">
    <w:name w:val="五级条标题"/>
    <w:basedOn w:val="613"/>
    <w:qFormat/>
    <w:uiPriority w:val="0"/>
    <w:pPr>
      <w:tabs>
        <w:tab w:val="left" w:pos="1200"/>
      </w:tabs>
      <w:outlineLvl w:val="6"/>
    </w:pPr>
  </w:style>
  <w:style w:type="paragraph" w:customStyle="1" w:styleId="613">
    <w:name w:val="四级条标题"/>
    <w:basedOn w:val="614"/>
    <w:qFormat/>
    <w:uiPriority w:val="0"/>
    <w:pPr>
      <w:tabs>
        <w:tab w:val="left" w:pos="1200"/>
      </w:tabs>
      <w:outlineLvl w:val="5"/>
    </w:pPr>
  </w:style>
  <w:style w:type="paragraph" w:customStyle="1" w:styleId="614">
    <w:name w:val="三级条标题"/>
    <w:basedOn w:val="615"/>
    <w:qFormat/>
    <w:uiPriority w:val="0"/>
    <w:pPr>
      <w:tabs>
        <w:tab w:val="left" w:pos="1200"/>
      </w:tabs>
      <w:outlineLvl w:val="4"/>
    </w:pPr>
  </w:style>
  <w:style w:type="paragraph" w:customStyle="1" w:styleId="615">
    <w:name w:val="二级条标题"/>
    <w:basedOn w:val="477"/>
    <w:qFormat/>
    <w:uiPriority w:val="0"/>
    <w:pPr>
      <w:outlineLvl w:val="3"/>
    </w:pPr>
    <w:rPr>
      <w:rFonts w:ascii="Calibri" w:hAnsi="Calibri" w:eastAsia="宋体"/>
    </w:rPr>
  </w:style>
  <w:style w:type="paragraph" w:customStyle="1" w:styleId="616">
    <w:name w:val="xl48"/>
    <w:basedOn w:val="1"/>
    <w:qFormat/>
    <w:uiPriority w:val="0"/>
    <w:pPr>
      <w:widowControl/>
      <w:pBdr>
        <w:top w:val="single" w:color="auto" w:sz="4" w:space="0"/>
        <w:bottom w:val="single" w:color="auto" w:sz="8" w:space="0"/>
      </w:pBdr>
      <w:spacing w:before="100" w:beforeAutospacing="1" w:after="100" w:afterAutospacing="1"/>
      <w:jc w:val="center"/>
    </w:pPr>
    <w:rPr>
      <w:rFonts w:ascii="Arial Unicode MS" w:hAnsi="Arial Unicode MS"/>
      <w:b/>
      <w:bCs/>
      <w:kern w:val="0"/>
      <w:sz w:val="52"/>
      <w:szCs w:val="52"/>
    </w:rPr>
  </w:style>
  <w:style w:type="paragraph" w:customStyle="1" w:styleId="617">
    <w:name w:val="正文31"/>
    <w:qFormat/>
    <w:uiPriority w:val="0"/>
    <w:pPr>
      <w:widowControl w:val="0"/>
      <w:adjustRightInd w:val="0"/>
      <w:spacing w:line="315" w:lineRule="atLeast"/>
      <w:jc w:val="both"/>
    </w:pPr>
    <w:rPr>
      <w:rFonts w:ascii="宋体" w:hAnsi="Times New Roman" w:eastAsia="宋体" w:cs="Times New Roman"/>
      <w:sz w:val="24"/>
      <w:lang w:val="en-US" w:eastAsia="zh-CN" w:bidi="ar-SA"/>
    </w:rPr>
  </w:style>
  <w:style w:type="paragraph" w:customStyle="1" w:styleId="618">
    <w:name w:val="标书表格字体格式"/>
    <w:qFormat/>
    <w:uiPriority w:val="0"/>
    <w:rPr>
      <w:rFonts w:ascii="Times New Roman" w:hAnsi="Times New Roman" w:eastAsia="宋体" w:cs="Times New Roman"/>
      <w:kern w:val="2"/>
      <w:sz w:val="21"/>
      <w:szCs w:val="24"/>
      <w:lang w:val="en-US" w:eastAsia="zh-CN" w:bidi="ar-SA"/>
    </w:rPr>
  </w:style>
  <w:style w:type="paragraph" w:customStyle="1" w:styleId="619">
    <w:name w:val="默认段落字体 Para Char Char Char Char Char Char Char Char Char Char Char Char Char Char Char Char Char Char Char"/>
    <w:basedOn w:val="1"/>
    <w:qFormat/>
    <w:uiPriority w:val="0"/>
    <w:pPr>
      <w:widowControl/>
      <w:jc w:val="left"/>
    </w:pPr>
    <w:rPr>
      <w:rFonts w:ascii="Tahoma" w:hAnsi="Tahoma"/>
      <w:sz w:val="24"/>
      <w:szCs w:val="20"/>
    </w:rPr>
  </w:style>
  <w:style w:type="paragraph" w:customStyle="1" w:styleId="620">
    <w:name w:val="默认段落字体 Para Char Char Char Char111"/>
    <w:basedOn w:val="1"/>
    <w:qFormat/>
    <w:uiPriority w:val="0"/>
    <w:pPr>
      <w:widowControl/>
      <w:jc w:val="left"/>
    </w:pPr>
    <w:rPr>
      <w:rFonts w:ascii="Calibri" w:hAnsi="Calibri" w:cs="Calibri"/>
      <w:kern w:val="0"/>
      <w:sz w:val="24"/>
      <w:szCs w:val="24"/>
      <w:lang w:eastAsia="en-US"/>
    </w:rPr>
  </w:style>
  <w:style w:type="paragraph" w:customStyle="1" w:styleId="621">
    <w:name w:val="Revision1"/>
    <w:qFormat/>
    <w:uiPriority w:val="0"/>
    <w:rPr>
      <w:rFonts w:ascii="Times New Roman" w:hAnsi="Times New Roman" w:eastAsia="宋体" w:cs="Times New Roman"/>
      <w:kern w:val="2"/>
      <w:sz w:val="21"/>
      <w:lang w:val="en-US" w:eastAsia="zh-CN" w:bidi="ar-SA"/>
    </w:rPr>
  </w:style>
  <w:style w:type="paragraph" w:customStyle="1" w:styleId="622">
    <w:name w:val="xl52"/>
    <w:basedOn w:val="1"/>
    <w:qFormat/>
    <w:uiPriority w:val="0"/>
    <w:pPr>
      <w:widowControl/>
      <w:pBdr>
        <w:bottom w:val="single" w:color="auto" w:sz="4" w:space="0"/>
        <w:right w:val="single" w:color="auto" w:sz="8" w:space="0"/>
      </w:pBdr>
      <w:spacing w:before="100" w:beforeAutospacing="1" w:after="100" w:afterAutospacing="1"/>
      <w:jc w:val="center"/>
    </w:pPr>
    <w:rPr>
      <w:rFonts w:ascii="Arial" w:hAnsi="Arial" w:cs="Arial"/>
      <w:kern w:val="0"/>
      <w:sz w:val="20"/>
      <w:szCs w:val="20"/>
    </w:rPr>
  </w:style>
  <w:style w:type="paragraph" w:customStyle="1" w:styleId="623">
    <w:name w:val="Char Char Char Char Char Char Char Char"/>
    <w:basedOn w:val="1"/>
    <w:qFormat/>
    <w:uiPriority w:val="0"/>
    <w:pPr>
      <w:widowControl/>
      <w:tabs>
        <w:tab w:val="left" w:pos="360"/>
      </w:tabs>
      <w:jc w:val="left"/>
    </w:pPr>
    <w:rPr>
      <w:rFonts w:ascii="Calibri" w:hAnsi="Calibri"/>
      <w:sz w:val="24"/>
      <w:szCs w:val="24"/>
    </w:rPr>
  </w:style>
  <w:style w:type="paragraph" w:customStyle="1" w:styleId="624">
    <w:name w:val="outdent"/>
    <w:basedOn w:val="1"/>
    <w:qFormat/>
    <w:uiPriority w:val="0"/>
    <w:pPr>
      <w:widowControl/>
      <w:tabs>
        <w:tab w:val="left" w:pos="420"/>
        <w:tab w:val="left" w:pos="2552"/>
      </w:tabs>
      <w:snapToGrid w:val="0"/>
      <w:spacing w:before="60" w:after="60"/>
      <w:ind w:left="420" w:right="709" w:hanging="420"/>
      <w:jc w:val="left"/>
    </w:pPr>
    <w:rPr>
      <w:rFonts w:ascii="Calibri" w:hAnsi="Calibri" w:eastAsia="2OcuAe"/>
      <w:spacing w:val="2"/>
      <w:kern w:val="0"/>
      <w:sz w:val="20"/>
      <w:szCs w:val="20"/>
      <w:lang w:eastAsia="zh-TW"/>
    </w:rPr>
  </w:style>
  <w:style w:type="paragraph" w:customStyle="1" w:styleId="625">
    <w:name w:val="默认段落字体 Para Char Char Char Char Char Char Char"/>
    <w:basedOn w:val="1"/>
    <w:qFormat/>
    <w:uiPriority w:val="0"/>
    <w:pPr>
      <w:widowControl/>
      <w:jc w:val="left"/>
    </w:pPr>
    <w:rPr>
      <w:rFonts w:ascii="Tahoma" w:hAnsi="Tahoma"/>
      <w:sz w:val="24"/>
      <w:szCs w:val="20"/>
    </w:rPr>
  </w:style>
  <w:style w:type="paragraph" w:customStyle="1" w:styleId="626">
    <w:name w:val="Char Char Char Char Char Char Char Char Char Char Char Char Char"/>
    <w:basedOn w:val="1"/>
    <w:qFormat/>
    <w:uiPriority w:val="0"/>
    <w:pPr>
      <w:tabs>
        <w:tab w:val="left" w:pos="432"/>
      </w:tabs>
      <w:ind w:left="432" w:hanging="432"/>
    </w:pPr>
    <w:rPr>
      <w:rFonts w:ascii="Calibri" w:hAnsi="Calibri"/>
    </w:rPr>
  </w:style>
  <w:style w:type="paragraph" w:customStyle="1" w:styleId="627">
    <w:name w:val="无间隔11"/>
    <w:basedOn w:val="1"/>
    <w:qFormat/>
    <w:uiPriority w:val="0"/>
    <w:pPr>
      <w:widowControl/>
    </w:pPr>
    <w:rPr>
      <w:rFonts w:ascii="Calibri" w:hAnsi="Calibri" w:cs="Calibri"/>
      <w:kern w:val="0"/>
      <w:szCs w:val="24"/>
      <w:lang w:eastAsia="en-US"/>
    </w:rPr>
  </w:style>
  <w:style w:type="paragraph" w:customStyle="1" w:styleId="628">
    <w:name w:val="xl61"/>
    <w:basedOn w:val="1"/>
    <w:qFormat/>
    <w:uiPriority w:val="0"/>
    <w:pPr>
      <w:widowControl/>
      <w:pBdr>
        <w:top w:val="single" w:color="auto" w:sz="4" w:space="0"/>
        <w:bottom w:val="single" w:color="auto" w:sz="8" w:space="0"/>
        <w:right w:val="single" w:color="auto" w:sz="4" w:space="0"/>
      </w:pBdr>
      <w:spacing w:before="100" w:beforeAutospacing="1" w:after="100" w:afterAutospacing="1"/>
      <w:jc w:val="center"/>
    </w:pPr>
    <w:rPr>
      <w:rFonts w:ascii="Arial Unicode MS" w:hAnsi="Arial Unicode MS"/>
      <w:kern w:val="0"/>
      <w:sz w:val="24"/>
      <w:szCs w:val="24"/>
    </w:rPr>
  </w:style>
  <w:style w:type="paragraph" w:customStyle="1" w:styleId="629">
    <w:name w:val="p21"/>
    <w:basedOn w:val="1"/>
    <w:qFormat/>
    <w:uiPriority w:val="0"/>
    <w:pPr>
      <w:widowControl/>
      <w:ind w:firstLine="420"/>
    </w:pPr>
    <w:rPr>
      <w:rFonts w:ascii="Calibri" w:hAnsi="Calibri" w:cs="宋体"/>
      <w:kern w:val="0"/>
      <w:szCs w:val="21"/>
    </w:rPr>
  </w:style>
  <w:style w:type="paragraph" w:customStyle="1" w:styleId="630">
    <w:name w:val="Pa0"/>
    <w:basedOn w:val="1"/>
    <w:qFormat/>
    <w:uiPriority w:val="0"/>
    <w:pPr>
      <w:widowControl/>
      <w:autoSpaceDE w:val="0"/>
      <w:autoSpaceDN w:val="0"/>
      <w:adjustRightInd w:val="0"/>
      <w:spacing w:line="241" w:lineRule="atLeast"/>
      <w:jc w:val="left"/>
    </w:pPr>
    <w:rPr>
      <w:rFonts w:ascii="H Yg 2gj" w:hAnsi="Calibri" w:eastAsia="H Yg 2gj"/>
      <w:kern w:val="0"/>
      <w:sz w:val="24"/>
      <w:szCs w:val="24"/>
    </w:rPr>
  </w:style>
  <w:style w:type="paragraph" w:customStyle="1" w:styleId="631">
    <w:name w:val="xl50"/>
    <w:basedOn w:val="1"/>
    <w:qFormat/>
    <w:uiPriority w:val="0"/>
    <w:pPr>
      <w:widowControl/>
      <w:pBdr>
        <w:bottom w:val="single" w:color="auto" w:sz="4" w:space="0"/>
        <w:right w:val="single" w:color="auto" w:sz="8" w:space="0"/>
      </w:pBdr>
      <w:spacing w:before="100" w:beforeAutospacing="1" w:after="100" w:afterAutospacing="1"/>
      <w:jc w:val="center"/>
    </w:pPr>
    <w:rPr>
      <w:rFonts w:ascii="Arial Unicode MS" w:hAnsi="Arial Unicode MS"/>
      <w:kern w:val="0"/>
      <w:sz w:val="20"/>
      <w:szCs w:val="20"/>
    </w:rPr>
  </w:style>
  <w:style w:type="paragraph" w:customStyle="1" w:styleId="632">
    <w:name w:val="xl42"/>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pPr>
    <w:rPr>
      <w:rFonts w:ascii="Calibri" w:hAnsi="Calibri"/>
      <w:b/>
      <w:bCs/>
      <w:kern w:val="0"/>
      <w:sz w:val="52"/>
      <w:szCs w:val="52"/>
    </w:rPr>
  </w:style>
  <w:style w:type="paragraph" w:customStyle="1" w:styleId="633">
    <w:name w:val="xl62"/>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Arial" w:hAnsi="Arial" w:cs="Arial"/>
      <w:kern w:val="0"/>
      <w:sz w:val="32"/>
      <w:szCs w:val="32"/>
    </w:rPr>
  </w:style>
  <w:style w:type="paragraph" w:customStyle="1" w:styleId="634">
    <w:name w:val="標題 1-1"/>
    <w:qFormat/>
    <w:uiPriority w:val="0"/>
    <w:pPr>
      <w:pBdr>
        <w:bottom w:val="threeDEngrave" w:color="auto" w:sz="36" w:space="1"/>
      </w:pBdr>
      <w:tabs>
        <w:tab w:val="left" w:pos="420"/>
      </w:tabs>
      <w:spacing w:after="480"/>
      <w:ind w:left="420" w:right="709" w:hanging="420"/>
    </w:pPr>
    <w:rPr>
      <w:rFonts w:ascii="Arial" w:hAnsi="Arial" w:eastAsia="PMingLiU" w:cs="Times New Roman"/>
      <w:b/>
      <w:sz w:val="40"/>
      <w:lang w:val="en-US" w:eastAsia="zh-CN" w:bidi="ar-SA"/>
    </w:rPr>
  </w:style>
  <w:style w:type="paragraph" w:customStyle="1" w:styleId="635">
    <w:name w:val="数字编号列项（二级）"/>
    <w:qFormat/>
    <w:uiPriority w:val="0"/>
    <w:pPr>
      <w:tabs>
        <w:tab w:val="left" w:pos="1260"/>
      </w:tabs>
      <w:ind w:left="1259" w:hanging="419"/>
      <w:jc w:val="both"/>
    </w:pPr>
    <w:rPr>
      <w:rFonts w:ascii="宋体" w:hAnsi="Times New Roman" w:eastAsia="宋体" w:cs="Times New Roman"/>
      <w:sz w:val="21"/>
      <w:lang w:val="en-US" w:eastAsia="zh-CN" w:bidi="ar-SA"/>
    </w:rPr>
  </w:style>
  <w:style w:type="paragraph" w:customStyle="1" w:styleId="636">
    <w:name w:val="xl24"/>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b/>
      <w:bCs/>
      <w:kern w:val="0"/>
      <w:sz w:val="24"/>
      <w:szCs w:val="24"/>
    </w:rPr>
  </w:style>
  <w:style w:type="paragraph" w:customStyle="1" w:styleId="637">
    <w:name w:val="xl36"/>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kern w:val="0"/>
      <w:sz w:val="24"/>
      <w:szCs w:val="24"/>
    </w:rPr>
  </w:style>
  <w:style w:type="paragraph" w:customStyle="1" w:styleId="638">
    <w:name w:val="缺省文本"/>
    <w:basedOn w:val="1"/>
    <w:qFormat/>
    <w:uiPriority w:val="0"/>
    <w:pPr>
      <w:autoSpaceDE w:val="0"/>
      <w:autoSpaceDN w:val="0"/>
      <w:adjustRightInd w:val="0"/>
      <w:jc w:val="left"/>
    </w:pPr>
    <w:rPr>
      <w:rFonts w:ascii="Calibri" w:hAnsi="Calibri"/>
      <w:kern w:val="0"/>
      <w:sz w:val="24"/>
      <w:szCs w:val="24"/>
    </w:rPr>
  </w:style>
  <w:style w:type="paragraph" w:customStyle="1" w:styleId="639">
    <w:name w:val="Char Char1 Char"/>
    <w:basedOn w:val="1"/>
    <w:qFormat/>
    <w:uiPriority w:val="0"/>
    <w:pPr>
      <w:widowControl/>
      <w:jc w:val="left"/>
    </w:pPr>
    <w:rPr>
      <w:rFonts w:ascii="仿宋_GB2312" w:hAnsi="Calibri" w:eastAsia="仿宋_GB2312"/>
      <w:b/>
      <w:sz w:val="32"/>
      <w:szCs w:val="20"/>
    </w:rPr>
  </w:style>
  <w:style w:type="paragraph" w:customStyle="1" w:styleId="640">
    <w:name w:val="章标题"/>
    <w:qFormat/>
    <w:uiPriority w:val="0"/>
    <w:pPr>
      <w:spacing w:beforeLines="50" w:afterLines="50"/>
      <w:jc w:val="both"/>
      <w:outlineLvl w:val="1"/>
    </w:pPr>
    <w:rPr>
      <w:rFonts w:ascii="黑体" w:hAnsi="Times New Roman" w:eastAsia="黑体" w:cs="Times New Roman"/>
      <w:sz w:val="21"/>
      <w:lang w:val="en-US" w:eastAsia="zh-CN" w:bidi="ar-SA"/>
    </w:rPr>
  </w:style>
  <w:style w:type="paragraph" w:customStyle="1" w:styleId="641">
    <w:name w:val="xl49"/>
    <w:basedOn w:val="1"/>
    <w:qFormat/>
    <w:uiPriority w:val="0"/>
    <w:pPr>
      <w:widowControl/>
      <w:pBdr>
        <w:top w:val="single" w:color="auto" w:sz="4" w:space="0"/>
        <w:bottom w:val="single" w:color="auto" w:sz="8" w:space="0"/>
        <w:right w:val="single" w:color="auto" w:sz="4" w:space="0"/>
      </w:pBdr>
      <w:spacing w:before="100" w:beforeAutospacing="1" w:after="100" w:afterAutospacing="1"/>
      <w:jc w:val="center"/>
    </w:pPr>
    <w:rPr>
      <w:rFonts w:ascii="Arial Unicode MS" w:hAnsi="Arial Unicode MS"/>
      <w:b/>
      <w:bCs/>
      <w:kern w:val="0"/>
      <w:sz w:val="52"/>
      <w:szCs w:val="52"/>
    </w:rPr>
  </w:style>
  <w:style w:type="paragraph" w:customStyle="1" w:styleId="642">
    <w:name w:val="List Paragraph3"/>
    <w:basedOn w:val="1"/>
    <w:qFormat/>
    <w:uiPriority w:val="0"/>
    <w:pPr>
      <w:ind w:firstLine="420" w:firstLineChars="200"/>
    </w:pPr>
    <w:rPr>
      <w:rFonts w:ascii="Calibri" w:hAnsi="Calibri"/>
    </w:rPr>
  </w:style>
  <w:style w:type="paragraph" w:customStyle="1" w:styleId="643">
    <w:name w:val="a2"/>
    <w:basedOn w:val="1"/>
    <w:qFormat/>
    <w:uiPriority w:val="0"/>
    <w:pPr>
      <w:widowControl/>
      <w:spacing w:before="100" w:beforeAutospacing="1" w:after="100" w:afterAutospacing="1"/>
      <w:jc w:val="left"/>
    </w:pPr>
    <w:rPr>
      <w:rFonts w:ascii="Arial Unicode MS" w:hAnsi="Arial Unicode MS"/>
      <w:kern w:val="0"/>
      <w:sz w:val="24"/>
      <w:szCs w:val="24"/>
    </w:rPr>
  </w:style>
  <w:style w:type="paragraph" w:customStyle="1" w:styleId="644">
    <w:name w:val="樣式1"/>
    <w:basedOn w:val="645"/>
    <w:qFormat/>
    <w:uiPriority w:val="0"/>
    <w:pPr>
      <w:tabs>
        <w:tab w:val="left" w:pos="420"/>
        <w:tab w:val="left" w:pos="567"/>
        <w:tab w:val="left" w:pos="840"/>
        <w:tab w:val="left" w:pos="966"/>
        <w:tab w:val="left" w:pos="1800"/>
        <w:tab w:val="left" w:pos="2552"/>
      </w:tabs>
      <w:spacing w:before="40" w:after="40"/>
      <w:ind w:left="1276" w:hanging="284"/>
    </w:pPr>
    <w:rPr>
      <w:rFonts w:eastAsia="宋体"/>
    </w:rPr>
  </w:style>
  <w:style w:type="paragraph" w:customStyle="1" w:styleId="645">
    <w:name w:val="Bullet"/>
    <w:basedOn w:val="1"/>
    <w:qFormat/>
    <w:uiPriority w:val="0"/>
    <w:pPr>
      <w:widowControl/>
      <w:tabs>
        <w:tab w:val="left" w:pos="420"/>
        <w:tab w:val="left" w:pos="2552"/>
      </w:tabs>
      <w:snapToGrid w:val="0"/>
      <w:spacing w:before="60" w:after="60"/>
      <w:ind w:left="420" w:right="709" w:hanging="420"/>
      <w:jc w:val="left"/>
    </w:pPr>
    <w:rPr>
      <w:rFonts w:ascii="Calibri" w:hAnsi="Calibri" w:eastAsia="2OcuAe"/>
      <w:spacing w:val="2"/>
      <w:kern w:val="0"/>
      <w:sz w:val="20"/>
      <w:szCs w:val="20"/>
      <w:lang w:eastAsia="zh-TW"/>
    </w:rPr>
  </w:style>
  <w:style w:type="paragraph" w:customStyle="1" w:styleId="646">
    <w:name w:val="Char Char Char Char Char 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647">
    <w:name w:val="Char Char2 Char"/>
    <w:basedOn w:val="1"/>
    <w:qFormat/>
    <w:uiPriority w:val="0"/>
    <w:pPr>
      <w:keepNext/>
      <w:keepLines/>
      <w:pageBreakBefore/>
      <w:widowControl/>
      <w:tabs>
        <w:tab w:val="left" w:pos="845"/>
      </w:tabs>
      <w:ind w:left="845" w:hanging="420"/>
      <w:jc w:val="left"/>
    </w:pPr>
    <w:rPr>
      <w:rFonts w:ascii="Tahoma" w:hAnsi="Tahoma"/>
      <w:sz w:val="24"/>
      <w:szCs w:val="20"/>
    </w:rPr>
  </w:style>
  <w:style w:type="paragraph" w:customStyle="1" w:styleId="648">
    <w:name w:val="部分1"/>
    <w:basedOn w:val="1"/>
    <w:qFormat/>
    <w:uiPriority w:val="0"/>
    <w:pPr>
      <w:keepNext/>
      <w:pageBreakBefore/>
      <w:tabs>
        <w:tab w:val="left" w:pos="720"/>
      </w:tabs>
      <w:spacing w:line="360" w:lineRule="auto"/>
      <w:jc w:val="center"/>
      <w:outlineLvl w:val="0"/>
    </w:pPr>
    <w:rPr>
      <w:rFonts w:ascii="Calibri" w:hAnsi="Calibri" w:eastAsia="黑体"/>
      <w:b/>
      <w:kern w:val="44"/>
      <w:sz w:val="36"/>
      <w:szCs w:val="20"/>
    </w:rPr>
  </w:style>
  <w:style w:type="paragraph" w:customStyle="1" w:styleId="649">
    <w:name w:val="标书正文格式 Char Char"/>
    <w:qFormat/>
    <w:uiPriority w:val="0"/>
    <w:pPr>
      <w:spacing w:line="360" w:lineRule="auto"/>
      <w:ind w:firstLine="200" w:firstLineChars="200"/>
    </w:pPr>
    <w:rPr>
      <w:rFonts w:ascii="Times New Roman" w:hAnsi="Times New Roman" w:eastAsia="仿宋_GB2312" w:cs="Times New Roman"/>
      <w:kern w:val="2"/>
      <w:sz w:val="30"/>
      <w:szCs w:val="24"/>
      <w:lang w:val="en-US" w:eastAsia="zh-CN" w:bidi="ar-SA"/>
    </w:rPr>
  </w:style>
  <w:style w:type="paragraph" w:customStyle="1" w:styleId="650">
    <w:name w:val="Char2"/>
    <w:basedOn w:val="1"/>
    <w:qFormat/>
    <w:uiPriority w:val="0"/>
    <w:pPr>
      <w:widowControl/>
      <w:jc w:val="left"/>
    </w:pPr>
    <w:rPr>
      <w:rFonts w:ascii="Calibri" w:hAnsi="Calibri" w:eastAsia="仿宋_GB2312"/>
      <w:sz w:val="28"/>
      <w:szCs w:val="20"/>
    </w:rPr>
  </w:style>
  <w:style w:type="paragraph" w:customStyle="1" w:styleId="651">
    <w:name w:val="b"/>
    <w:basedOn w:val="1"/>
    <w:qFormat/>
    <w:uiPriority w:val="0"/>
    <w:pPr>
      <w:widowControl/>
      <w:adjustRightInd w:val="0"/>
      <w:snapToGrid w:val="0"/>
      <w:jc w:val="center"/>
    </w:pPr>
    <w:rPr>
      <w:rFonts w:ascii="仿宋_GB2312" w:hAnsi="Calibri" w:eastAsia="仿宋_GB2312"/>
      <w:sz w:val="24"/>
      <w:szCs w:val="24"/>
    </w:rPr>
  </w:style>
  <w:style w:type="paragraph" w:customStyle="1" w:styleId="652">
    <w:name w:val="正文文本缩进2"/>
    <w:basedOn w:val="1"/>
    <w:qFormat/>
    <w:uiPriority w:val="0"/>
    <w:pPr>
      <w:widowControl/>
      <w:spacing w:line="200" w:lineRule="atLeast"/>
      <w:ind w:firstLine="301"/>
      <w:jc w:val="left"/>
    </w:pPr>
    <w:rPr>
      <w:rFonts w:ascii="宋体" w:hAnsi="Courier New"/>
      <w:spacing w:val="-4"/>
      <w:sz w:val="18"/>
      <w:szCs w:val="20"/>
    </w:rPr>
  </w:style>
  <w:style w:type="paragraph" w:customStyle="1" w:styleId="653">
    <w:name w:val="content"/>
    <w:basedOn w:val="1"/>
    <w:qFormat/>
    <w:uiPriority w:val="0"/>
    <w:pPr>
      <w:widowControl/>
      <w:spacing w:before="100" w:beforeAutospacing="1" w:after="100" w:afterAutospacing="1" w:line="360" w:lineRule="atLeast"/>
      <w:jc w:val="left"/>
    </w:pPr>
    <w:rPr>
      <w:rFonts w:ascii="宋体" w:hAnsi="宋体"/>
      <w:color w:val="333333"/>
      <w:kern w:val="0"/>
      <w:szCs w:val="21"/>
    </w:rPr>
  </w:style>
  <w:style w:type="paragraph" w:customStyle="1" w:styleId="654">
    <w:name w:val="xl37"/>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Calibri" w:hAnsi="Calibri"/>
      <w:b/>
      <w:bCs/>
      <w:kern w:val="0"/>
      <w:sz w:val="24"/>
      <w:szCs w:val="24"/>
    </w:rPr>
  </w:style>
  <w:style w:type="paragraph" w:customStyle="1" w:styleId="655">
    <w:name w:val="xl4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Arial Unicode MS" w:hAnsi="Arial Unicode MS"/>
      <w:kern w:val="0"/>
      <w:sz w:val="52"/>
      <w:szCs w:val="52"/>
    </w:rPr>
  </w:style>
  <w:style w:type="paragraph" w:customStyle="1" w:styleId="656">
    <w:name w:val="xl63"/>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Arial" w:hAnsi="Arial" w:cs="Arial"/>
      <w:kern w:val="0"/>
      <w:sz w:val="32"/>
      <w:szCs w:val="32"/>
    </w:rPr>
  </w:style>
  <w:style w:type="paragraph" w:customStyle="1" w:styleId="657">
    <w:name w:val="中等深浅网格 1 - 强调文字颜色 21"/>
    <w:basedOn w:val="1"/>
    <w:qFormat/>
    <w:uiPriority w:val="0"/>
    <w:pPr>
      <w:widowControl/>
      <w:spacing w:after="200" w:line="276" w:lineRule="auto"/>
      <w:ind w:left="720"/>
      <w:contextualSpacing/>
      <w:jc w:val="left"/>
    </w:pPr>
    <w:rPr>
      <w:rFonts w:ascii="Calibri" w:hAnsi="Calibri"/>
      <w:kern w:val="0"/>
      <w:sz w:val="22"/>
      <w:lang w:eastAsia="en-US"/>
    </w:rPr>
  </w:style>
  <w:style w:type="paragraph" w:customStyle="1" w:styleId="658">
    <w:name w:val="表身"/>
    <w:basedOn w:val="1"/>
    <w:qFormat/>
    <w:uiPriority w:val="0"/>
    <w:pPr>
      <w:autoSpaceDE w:val="0"/>
      <w:autoSpaceDN w:val="0"/>
      <w:adjustRightInd w:val="0"/>
      <w:jc w:val="left"/>
    </w:pPr>
    <w:rPr>
      <w:rFonts w:ascii="Calibri" w:hAnsi="Calibri"/>
      <w:kern w:val="0"/>
      <w:sz w:val="18"/>
      <w:szCs w:val="20"/>
    </w:rPr>
  </w:style>
  <w:style w:type="paragraph" w:customStyle="1" w:styleId="659">
    <w:name w:val="font10"/>
    <w:basedOn w:val="1"/>
    <w:qFormat/>
    <w:uiPriority w:val="0"/>
    <w:pPr>
      <w:widowControl/>
      <w:spacing w:before="100" w:beforeAutospacing="1" w:after="100" w:afterAutospacing="1"/>
      <w:jc w:val="left"/>
    </w:pPr>
    <w:rPr>
      <w:rFonts w:ascii="Calibri" w:hAnsi="Calibri"/>
      <w:color w:val="FF0000"/>
      <w:kern w:val="0"/>
      <w:sz w:val="16"/>
      <w:szCs w:val="16"/>
    </w:rPr>
  </w:style>
  <w:style w:type="paragraph" w:customStyle="1" w:styleId="660">
    <w:name w:val="说明书3级标题"/>
    <w:basedOn w:val="1"/>
    <w:qFormat/>
    <w:uiPriority w:val="0"/>
    <w:pPr>
      <w:tabs>
        <w:tab w:val="left" w:pos="1572"/>
      </w:tabs>
      <w:spacing w:line="360" w:lineRule="auto"/>
      <w:ind w:left="1572" w:hanging="720"/>
    </w:pPr>
    <w:rPr>
      <w:rFonts w:ascii="Calibri" w:hAnsi="Calibri" w:eastAsia="黑体"/>
      <w:sz w:val="24"/>
      <w:szCs w:val="24"/>
    </w:rPr>
  </w:style>
  <w:style w:type="paragraph" w:customStyle="1" w:styleId="661">
    <w:name w:val="pchart_bodycmt"/>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62">
    <w:name w:val="xl64"/>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Arial Unicode MS" w:hAnsi="Arial Unicode MS"/>
      <w:kern w:val="0"/>
      <w:sz w:val="32"/>
      <w:szCs w:val="32"/>
    </w:rPr>
  </w:style>
  <w:style w:type="paragraph" w:customStyle="1" w:styleId="663">
    <w:name w:val="tableheading"/>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64">
    <w:name w:val="xl47"/>
    <w:basedOn w:val="1"/>
    <w:qFormat/>
    <w:uiPriority w:val="0"/>
    <w:pPr>
      <w:widowControl/>
      <w:pBdr>
        <w:top w:val="single" w:color="auto" w:sz="4" w:space="0"/>
        <w:left w:val="single" w:color="auto" w:sz="8" w:space="0"/>
        <w:bottom w:val="single" w:color="auto" w:sz="8" w:space="0"/>
      </w:pBdr>
      <w:spacing w:before="100" w:beforeAutospacing="1" w:after="100" w:afterAutospacing="1"/>
      <w:jc w:val="center"/>
    </w:pPr>
    <w:rPr>
      <w:rFonts w:ascii="Arial Unicode MS" w:hAnsi="Arial Unicode MS"/>
      <w:b/>
      <w:bCs/>
      <w:kern w:val="0"/>
      <w:sz w:val="52"/>
      <w:szCs w:val="52"/>
    </w:rPr>
  </w:style>
  <w:style w:type="paragraph" w:customStyle="1" w:styleId="665">
    <w:name w:val="B标书正文（后加）"/>
    <w:qFormat/>
    <w:uiPriority w:val="0"/>
    <w:pPr>
      <w:spacing w:after="240" w:line="360" w:lineRule="auto"/>
      <w:ind w:firstLine="425" w:firstLineChars="177"/>
      <w:jc w:val="both"/>
    </w:pPr>
    <w:rPr>
      <w:rFonts w:ascii="仿宋" w:hAnsi="仿宋" w:eastAsia="仿宋" w:cs="Times New Roman"/>
      <w:color w:val="000000"/>
      <w:kern w:val="2"/>
      <w:sz w:val="24"/>
      <w:szCs w:val="24"/>
      <w:lang w:val="en-US" w:eastAsia="zh-CN" w:bidi="ar-SA"/>
    </w:rPr>
  </w:style>
  <w:style w:type="paragraph" w:customStyle="1" w:styleId="666">
    <w:name w:val="Pa10"/>
    <w:basedOn w:val="1"/>
    <w:qFormat/>
    <w:uiPriority w:val="0"/>
    <w:pPr>
      <w:widowControl/>
      <w:autoSpaceDE w:val="0"/>
      <w:autoSpaceDN w:val="0"/>
      <w:adjustRightInd w:val="0"/>
      <w:spacing w:before="20" w:line="136" w:lineRule="atLeast"/>
      <w:jc w:val="left"/>
    </w:pPr>
    <w:rPr>
      <w:rFonts w:ascii="Stone Sans" w:hAnsi="Stone Sans"/>
      <w:kern w:val="0"/>
      <w:sz w:val="24"/>
      <w:szCs w:val="24"/>
    </w:rPr>
  </w:style>
  <w:style w:type="paragraph" w:customStyle="1" w:styleId="667">
    <w:name w:val="标题3级"/>
    <w:basedOn w:val="5"/>
    <w:qFormat/>
    <w:uiPriority w:val="0"/>
    <w:pPr>
      <w:widowControl/>
      <w:numPr>
        <w:ilvl w:val="2"/>
        <w:numId w:val="4"/>
      </w:numPr>
      <w:tabs>
        <w:tab w:val="left" w:pos="425"/>
        <w:tab w:val="left" w:pos="851"/>
        <w:tab w:val="left" w:pos="902"/>
      </w:tabs>
      <w:spacing w:before="0" w:after="0" w:line="360" w:lineRule="auto"/>
      <w:ind w:firstLine="100" w:firstLineChars="100"/>
      <w:jc w:val="left"/>
    </w:pPr>
    <w:rPr>
      <w:rFonts w:ascii="Times New Roman" w:hAnsi="Times New Roman" w:eastAsia="宋体" w:cs="Times New Roman"/>
      <w:b/>
      <w:color w:val="000000"/>
      <w:szCs w:val="20"/>
    </w:rPr>
  </w:style>
  <w:style w:type="paragraph" w:customStyle="1" w:styleId="668">
    <w:name w:val="Pa11"/>
    <w:basedOn w:val="1"/>
    <w:qFormat/>
    <w:uiPriority w:val="0"/>
    <w:pPr>
      <w:autoSpaceDE w:val="0"/>
      <w:autoSpaceDN w:val="0"/>
      <w:adjustRightInd w:val="0"/>
      <w:spacing w:line="161" w:lineRule="atLeast"/>
      <w:jc w:val="left"/>
    </w:pPr>
    <w:rPr>
      <w:rFonts w:ascii="HP Simplified Hans Light" w:hAnsi="Calibri" w:eastAsia="HP Simplified Hans Light"/>
      <w:kern w:val="0"/>
      <w:sz w:val="24"/>
      <w:szCs w:val="24"/>
    </w:rPr>
  </w:style>
  <w:style w:type="paragraph" w:customStyle="1" w:styleId="669">
    <w:name w:val="TOC Heading1"/>
    <w:basedOn w:val="3"/>
    <w:qFormat/>
    <w:uiPriority w:val="0"/>
    <w:pPr>
      <w:widowControl/>
      <w:spacing w:before="0" w:after="0" w:line="276" w:lineRule="auto"/>
      <w:jc w:val="left"/>
      <w:outlineLvl w:val="9"/>
    </w:pPr>
    <w:rPr>
      <w:rFonts w:ascii="Cambria" w:hAnsi="Cambria" w:eastAsia="宋体" w:cs="Times New Roman"/>
      <w:b/>
      <w:bCs/>
      <w:color w:val="365F91"/>
      <w:kern w:val="0"/>
      <w:sz w:val="28"/>
      <w:szCs w:val="28"/>
    </w:rPr>
  </w:style>
  <w:style w:type="paragraph" w:customStyle="1" w:styleId="670">
    <w:name w:val="xl39"/>
    <w:basedOn w:val="1"/>
    <w:qFormat/>
    <w:uiPriority w:val="0"/>
    <w:pPr>
      <w:widowControl/>
      <w:spacing w:before="100" w:beforeAutospacing="1" w:after="100" w:afterAutospacing="1"/>
      <w:jc w:val="left"/>
    </w:pPr>
    <w:rPr>
      <w:rFonts w:ascii="宋体" w:hAnsi="宋体"/>
      <w:b/>
      <w:bCs/>
      <w:kern w:val="0"/>
      <w:sz w:val="24"/>
      <w:szCs w:val="24"/>
    </w:rPr>
  </w:style>
  <w:style w:type="paragraph" w:customStyle="1" w:styleId="671">
    <w:name w:val="表项"/>
    <w:basedOn w:val="1"/>
    <w:qFormat/>
    <w:uiPriority w:val="0"/>
    <w:pPr>
      <w:autoSpaceDE w:val="0"/>
      <w:autoSpaceDN w:val="0"/>
      <w:adjustRightInd w:val="0"/>
      <w:spacing w:line="300" w:lineRule="auto"/>
      <w:jc w:val="center"/>
    </w:pPr>
    <w:rPr>
      <w:rFonts w:ascii="Arial" w:hAnsi="Arial" w:eastAsia="黑体"/>
      <w:kern w:val="0"/>
      <w:sz w:val="18"/>
      <w:szCs w:val="20"/>
    </w:rPr>
  </w:style>
  <w:style w:type="paragraph" w:customStyle="1" w:styleId="672">
    <w:name w:val="No Spacing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673">
    <w:name w:val="b13"/>
    <w:basedOn w:val="1"/>
    <w:qFormat/>
    <w:uiPriority w:val="0"/>
    <w:pPr>
      <w:widowControl/>
      <w:autoSpaceDE w:val="0"/>
      <w:autoSpaceDN w:val="0"/>
      <w:adjustRightInd w:val="0"/>
      <w:spacing w:after="120"/>
      <w:jc w:val="left"/>
    </w:pPr>
    <w:rPr>
      <w:rFonts w:ascii="Calibri" w:hAnsi="Calibri" w:eastAsia="華康粗圓體"/>
      <w:kern w:val="0"/>
      <w:sz w:val="26"/>
      <w:szCs w:val="20"/>
      <w:lang w:eastAsia="zh-TW"/>
    </w:rPr>
  </w:style>
  <w:style w:type="paragraph" w:customStyle="1" w:styleId="674">
    <w:name w:val="xl40"/>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Calibri" w:hAnsi="Calibri"/>
      <w:kern w:val="0"/>
      <w:sz w:val="52"/>
      <w:szCs w:val="52"/>
    </w:rPr>
  </w:style>
  <w:style w:type="paragraph" w:customStyle="1" w:styleId="675">
    <w:name w:val="xl31"/>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b/>
      <w:bCs/>
      <w:kern w:val="0"/>
      <w:sz w:val="24"/>
      <w:szCs w:val="24"/>
    </w:rPr>
  </w:style>
  <w:style w:type="paragraph" w:customStyle="1" w:styleId="676">
    <w:name w:val="itemlist"/>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77">
    <w:name w:val="Char Char Char"/>
    <w:basedOn w:val="1"/>
    <w:qFormat/>
    <w:uiPriority w:val="0"/>
    <w:pPr>
      <w:widowControl/>
      <w:jc w:val="left"/>
    </w:pPr>
    <w:rPr>
      <w:rFonts w:ascii="Tahoma" w:hAnsi="Tahoma"/>
      <w:sz w:val="24"/>
      <w:szCs w:val="20"/>
    </w:rPr>
  </w:style>
  <w:style w:type="paragraph" w:customStyle="1" w:styleId="678">
    <w:name w:val="小四 段落 宋体 Char Char Char"/>
    <w:basedOn w:val="16"/>
    <w:qFormat/>
    <w:uiPriority w:val="0"/>
    <w:pPr>
      <w:tabs>
        <w:tab w:val="left" w:pos="1320"/>
        <w:tab w:val="clear" w:pos="454"/>
        <w:tab w:val="clear" w:pos="720"/>
        <w:tab w:val="clear" w:pos="900"/>
      </w:tabs>
      <w:snapToGrid/>
      <w:spacing w:line="360" w:lineRule="auto"/>
      <w:ind w:right="-33" w:firstLine="480" w:firstLineChars="200"/>
      <w:jc w:val="left"/>
    </w:pPr>
    <w:rPr>
      <w:sz w:val="24"/>
      <w:szCs w:val="24"/>
    </w:rPr>
  </w:style>
  <w:style w:type="paragraph" w:customStyle="1" w:styleId="679">
    <w:name w:val="xl55"/>
    <w:basedOn w:val="1"/>
    <w:qFormat/>
    <w:uiPriority w:val="0"/>
    <w:pPr>
      <w:widowControl/>
      <w:pBdr>
        <w:bottom w:val="single" w:color="auto" w:sz="8" w:space="0"/>
        <w:right w:val="single" w:color="auto" w:sz="8" w:space="0"/>
      </w:pBdr>
      <w:spacing w:before="100" w:beforeAutospacing="1" w:after="100" w:afterAutospacing="1"/>
      <w:jc w:val="left"/>
    </w:pPr>
    <w:rPr>
      <w:rFonts w:ascii="Arial Unicode MS" w:hAnsi="Arial Unicode MS"/>
      <w:kern w:val="0"/>
      <w:sz w:val="24"/>
      <w:szCs w:val="24"/>
    </w:rPr>
  </w:style>
  <w:style w:type="paragraph" w:customStyle="1" w:styleId="680">
    <w:name w:val="font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81">
    <w:name w:val="ordinary-output"/>
    <w:basedOn w:val="1"/>
    <w:qFormat/>
    <w:uiPriority w:val="0"/>
    <w:pPr>
      <w:widowControl/>
      <w:spacing w:before="100" w:beforeAutospacing="1" w:after="75" w:line="330" w:lineRule="atLeast"/>
      <w:jc w:val="left"/>
    </w:pPr>
    <w:rPr>
      <w:rFonts w:ascii="宋体" w:hAnsi="宋体" w:cs="宋体"/>
      <w:color w:val="333333"/>
      <w:kern w:val="0"/>
      <w:sz w:val="27"/>
      <w:szCs w:val="27"/>
    </w:rPr>
  </w:style>
  <w:style w:type="paragraph" w:customStyle="1" w:styleId="682">
    <w:name w:val="字母编号列项（一级）"/>
    <w:qFormat/>
    <w:uiPriority w:val="0"/>
    <w:pPr>
      <w:tabs>
        <w:tab w:val="left" w:pos="840"/>
      </w:tabs>
      <w:ind w:left="839" w:hanging="419"/>
      <w:jc w:val="both"/>
    </w:pPr>
    <w:rPr>
      <w:rFonts w:ascii="宋体" w:hAnsi="Times New Roman" w:eastAsia="宋体" w:cs="Times New Roman"/>
      <w:sz w:val="21"/>
      <w:lang w:val="en-US" w:eastAsia="zh-CN" w:bidi="ar-SA"/>
    </w:rPr>
  </w:style>
  <w:style w:type="paragraph" w:customStyle="1" w:styleId="683">
    <w:name w:val="xl56"/>
    <w:basedOn w:val="1"/>
    <w:qFormat/>
    <w:uiPriority w:val="0"/>
    <w:pPr>
      <w:widowControl/>
      <w:pBdr>
        <w:top w:val="single" w:color="auto" w:sz="4" w:space="0"/>
        <w:left w:val="single" w:color="auto" w:sz="8" w:space="0"/>
        <w:bottom w:val="single" w:color="auto" w:sz="4" w:space="0"/>
      </w:pBdr>
      <w:spacing w:before="100" w:beforeAutospacing="1" w:after="100" w:afterAutospacing="1"/>
      <w:jc w:val="left"/>
    </w:pPr>
    <w:rPr>
      <w:rFonts w:ascii="Arial" w:hAnsi="Arial" w:cs="Arial"/>
      <w:kern w:val="0"/>
      <w:sz w:val="20"/>
      <w:szCs w:val="20"/>
    </w:rPr>
  </w:style>
  <w:style w:type="paragraph" w:customStyle="1" w:styleId="684">
    <w:name w:val="Char1 Char Char Char Char Char Char"/>
    <w:basedOn w:val="1"/>
    <w:qFormat/>
    <w:uiPriority w:val="0"/>
    <w:rPr>
      <w:rFonts w:ascii="Calibri" w:hAnsi="Calibri"/>
      <w:szCs w:val="20"/>
    </w:rPr>
  </w:style>
  <w:style w:type="paragraph" w:customStyle="1" w:styleId="685">
    <w:name w:val="正文文本1"/>
    <w:basedOn w:val="1"/>
    <w:qFormat/>
    <w:uiPriority w:val="0"/>
    <w:pPr>
      <w:spacing w:after="120"/>
    </w:pPr>
    <w:rPr>
      <w:rFonts w:ascii="Calibri" w:hAnsi="Calibri"/>
      <w:kern w:val="0"/>
      <w:sz w:val="20"/>
      <w:szCs w:val="24"/>
    </w:rPr>
  </w:style>
  <w:style w:type="paragraph" w:customStyle="1" w:styleId="686">
    <w:name w:val="pied de page r閒.2"/>
    <w:qFormat/>
    <w:uiPriority w:val="0"/>
    <w:pPr>
      <w:spacing w:before="140"/>
      <w:jc w:val="center"/>
    </w:pPr>
    <w:rPr>
      <w:rFonts w:ascii="Helvetica" w:hAnsi="Helvetica" w:eastAsia="宋体" w:cs="Times New Roman"/>
      <w:caps/>
      <w:lang w:val="en-US" w:eastAsia="en-US" w:bidi="ar-SA"/>
    </w:rPr>
  </w:style>
  <w:style w:type="paragraph" w:customStyle="1" w:styleId="687">
    <w:name w:val="List 1"/>
    <w:basedOn w:val="1"/>
    <w:qFormat/>
    <w:uiPriority w:val="0"/>
    <w:pPr>
      <w:widowControl/>
      <w:overflowPunct w:val="0"/>
      <w:autoSpaceDE w:val="0"/>
      <w:autoSpaceDN w:val="0"/>
      <w:adjustRightInd w:val="0"/>
      <w:spacing w:line="360" w:lineRule="auto"/>
      <w:ind w:left="2520" w:hanging="360"/>
      <w:jc w:val="left"/>
    </w:pPr>
    <w:rPr>
      <w:rFonts w:ascii="宋体" w:hAnsi="Calibri"/>
      <w:kern w:val="0"/>
      <w:sz w:val="24"/>
      <w:szCs w:val="20"/>
    </w:rPr>
  </w:style>
  <w:style w:type="paragraph" w:customStyle="1" w:styleId="688">
    <w:name w:val="xl22"/>
    <w:basedOn w:val="1"/>
    <w:qFormat/>
    <w:uiPriority w:val="0"/>
    <w:pPr>
      <w:widowControl/>
      <w:pBdr>
        <w:top w:val="single" w:color="auto" w:sz="8" w:space="0"/>
        <w:left w:val="single" w:color="auto" w:sz="8" w:space="0"/>
      </w:pBdr>
      <w:shd w:val="clear" w:color="auto" w:fill="FFFFFF"/>
      <w:spacing w:before="100" w:beforeAutospacing="1" w:after="100" w:afterAutospacing="1"/>
      <w:jc w:val="left"/>
    </w:pPr>
    <w:rPr>
      <w:rFonts w:ascii="宋体" w:hAnsi="宋体"/>
      <w:b/>
      <w:bCs/>
      <w:kern w:val="0"/>
      <w:sz w:val="44"/>
      <w:szCs w:val="44"/>
    </w:rPr>
  </w:style>
  <w:style w:type="paragraph" w:customStyle="1" w:styleId="689">
    <w:name w:val="样式 样式 标题 4H4PIM 4h4bulletblbb标题 4 Charsect 1.2.3.4Ref Head... + ..."/>
    <w:basedOn w:val="1"/>
    <w:qFormat/>
    <w:uiPriority w:val="0"/>
    <w:pPr>
      <w:keepNext/>
      <w:keepLines/>
      <w:spacing w:beforeLines="50" w:afterLines="50" w:line="360" w:lineRule="auto"/>
      <w:ind w:left="3011" w:hanging="851"/>
      <w:jc w:val="left"/>
      <w:outlineLvl w:val="3"/>
    </w:pPr>
    <w:rPr>
      <w:rFonts w:ascii="黑体" w:hAnsi="宋体" w:eastAsia="黑体"/>
      <w:b/>
      <w:spacing w:val="-5"/>
      <w:sz w:val="28"/>
      <w:szCs w:val="20"/>
    </w:rPr>
  </w:style>
  <w:style w:type="paragraph" w:customStyle="1" w:styleId="690">
    <w:name w:val="Char Char19"/>
    <w:basedOn w:val="1"/>
    <w:qFormat/>
    <w:uiPriority w:val="0"/>
    <w:pPr>
      <w:widowControl/>
      <w:jc w:val="left"/>
    </w:pPr>
    <w:rPr>
      <w:rFonts w:ascii="Tahoma" w:hAnsi="Tahoma"/>
      <w:sz w:val="24"/>
      <w:szCs w:val="20"/>
    </w:rPr>
  </w:style>
  <w:style w:type="paragraph" w:customStyle="1" w:styleId="691">
    <w:name w:val="xl58"/>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Arial" w:hAnsi="Arial" w:cs="Arial"/>
      <w:kern w:val="0"/>
      <w:sz w:val="20"/>
      <w:szCs w:val="20"/>
    </w:rPr>
  </w:style>
  <w:style w:type="paragraph" w:customStyle="1" w:styleId="692">
    <w:name w:val="样式 首行缩进:  2 字符"/>
    <w:basedOn w:val="1"/>
    <w:qFormat/>
    <w:uiPriority w:val="0"/>
    <w:pPr>
      <w:spacing w:line="400" w:lineRule="exact"/>
      <w:ind w:firstLine="200" w:firstLineChars="200"/>
    </w:pPr>
    <w:rPr>
      <w:rFonts w:cs="宋体"/>
      <w:sz w:val="24"/>
      <w:szCs w:val="24"/>
    </w:rPr>
  </w:style>
  <w:style w:type="paragraph" w:customStyle="1" w:styleId="693">
    <w:name w:val="10号线正文"/>
    <w:basedOn w:val="1"/>
    <w:qFormat/>
    <w:uiPriority w:val="0"/>
    <w:pPr>
      <w:widowControl/>
      <w:spacing w:line="360" w:lineRule="auto"/>
      <w:ind w:firstLine="482" w:firstLineChars="200"/>
      <w:jc w:val="left"/>
    </w:pPr>
    <w:rPr>
      <w:rFonts w:ascii="宋体" w:hAnsi="Calibri" w:cs="宋体"/>
      <w:sz w:val="24"/>
      <w:szCs w:val="24"/>
    </w:rPr>
  </w:style>
  <w:style w:type="paragraph" w:customStyle="1" w:styleId="694">
    <w:name w:val="TOC 标题2"/>
    <w:basedOn w:val="3"/>
    <w:qFormat/>
    <w:uiPriority w:val="0"/>
    <w:pPr>
      <w:widowControl/>
      <w:spacing w:before="0" w:after="0" w:line="276" w:lineRule="auto"/>
      <w:jc w:val="left"/>
      <w:outlineLvl w:val="9"/>
    </w:pPr>
    <w:rPr>
      <w:rFonts w:ascii="Cambria" w:hAnsi="Cambria" w:eastAsia="宋体" w:cs="Times New Roman"/>
      <w:b/>
      <w:bCs/>
      <w:color w:val="365F90"/>
      <w:kern w:val="0"/>
      <w:sz w:val="28"/>
      <w:szCs w:val="28"/>
    </w:rPr>
  </w:style>
  <w:style w:type="paragraph" w:customStyle="1" w:styleId="695">
    <w:name w:val="xl51"/>
    <w:basedOn w:val="1"/>
    <w:qFormat/>
    <w:uiPriority w:val="0"/>
    <w:pPr>
      <w:widowControl/>
      <w:pBdr>
        <w:bottom w:val="single" w:color="auto" w:sz="4" w:space="0"/>
        <w:right w:val="single" w:color="auto" w:sz="4" w:space="0"/>
      </w:pBdr>
      <w:spacing w:before="100" w:beforeAutospacing="1" w:after="100" w:afterAutospacing="1"/>
      <w:jc w:val="left"/>
    </w:pPr>
    <w:rPr>
      <w:rFonts w:ascii="Arial" w:hAnsi="Arial" w:cs="Arial"/>
      <w:color w:val="000000"/>
      <w:kern w:val="0"/>
      <w:sz w:val="20"/>
      <w:szCs w:val="20"/>
    </w:rPr>
  </w:style>
  <w:style w:type="paragraph" w:customStyle="1" w:styleId="696">
    <w:name w:val="样式 Verdana 首行缩进:  0.74 厘米"/>
    <w:basedOn w:val="1"/>
    <w:qFormat/>
    <w:uiPriority w:val="0"/>
    <w:pPr>
      <w:widowControl/>
      <w:jc w:val="left"/>
    </w:pPr>
    <w:rPr>
      <w:rFonts w:ascii="Verdana" w:hAnsi="Verdana"/>
      <w:szCs w:val="20"/>
    </w:rPr>
  </w:style>
  <w:style w:type="paragraph" w:customStyle="1" w:styleId="697">
    <w:name w:val="集群正文"/>
    <w:basedOn w:val="1"/>
    <w:qFormat/>
    <w:uiPriority w:val="0"/>
    <w:pPr>
      <w:spacing w:beforeLines="50" w:line="312" w:lineRule="auto"/>
      <w:ind w:firstLine="480" w:firstLineChars="200"/>
    </w:pPr>
    <w:rPr>
      <w:rFonts w:ascii="Calibri" w:hAnsi="Calibri"/>
      <w:sz w:val="28"/>
      <w:szCs w:val="20"/>
    </w:rPr>
  </w:style>
  <w:style w:type="paragraph" w:customStyle="1" w:styleId="698">
    <w:name w:val="引用1"/>
    <w:qFormat/>
    <w:uiPriority w:val="0"/>
    <w:pPr>
      <w:spacing w:after="160" w:line="240" w:lineRule="atLeast"/>
    </w:pPr>
    <w:rPr>
      <w:rFonts w:ascii="Arial" w:hAnsi="Arial" w:eastAsia="宋体" w:cs="Times New Roman"/>
      <w:i/>
      <w:color w:val="808080"/>
      <w:lang w:val="en-US" w:eastAsia="en-US" w:bidi="ar-SA"/>
    </w:rPr>
  </w:style>
  <w:style w:type="paragraph" w:customStyle="1" w:styleId="699">
    <w:name w:val="xl34"/>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b/>
      <w:bCs/>
      <w:kern w:val="0"/>
      <w:sz w:val="22"/>
    </w:rPr>
  </w:style>
  <w:style w:type="paragraph" w:customStyle="1" w:styleId="700">
    <w:name w:val="xl43"/>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pPr>
    <w:rPr>
      <w:rFonts w:ascii="Arial Unicode MS" w:hAnsi="Arial Unicode MS"/>
      <w:b/>
      <w:bCs/>
      <w:kern w:val="0"/>
      <w:sz w:val="52"/>
      <w:szCs w:val="52"/>
    </w:rPr>
  </w:style>
  <w:style w:type="paragraph" w:customStyle="1" w:styleId="701">
    <w:name w:val="font9"/>
    <w:basedOn w:val="1"/>
    <w:qFormat/>
    <w:uiPriority w:val="0"/>
    <w:pPr>
      <w:widowControl/>
      <w:spacing w:before="100" w:beforeAutospacing="1" w:after="100" w:afterAutospacing="1"/>
      <w:jc w:val="left"/>
    </w:pPr>
    <w:rPr>
      <w:rFonts w:ascii="Arial" w:hAnsi="Arial" w:cs="Arial"/>
      <w:color w:val="000000"/>
      <w:kern w:val="0"/>
      <w:sz w:val="20"/>
      <w:szCs w:val="20"/>
    </w:rPr>
  </w:style>
  <w:style w:type="paragraph" w:customStyle="1" w:styleId="702">
    <w:name w:val="技术方案正文样式"/>
    <w:basedOn w:val="1"/>
    <w:qFormat/>
    <w:uiPriority w:val="0"/>
    <w:pPr>
      <w:autoSpaceDE w:val="0"/>
      <w:autoSpaceDN w:val="0"/>
      <w:adjustRightInd w:val="0"/>
      <w:spacing w:line="400" w:lineRule="exact"/>
      <w:ind w:firstLine="480" w:firstLineChars="200"/>
    </w:pPr>
    <w:rPr>
      <w:rFonts w:ascii="宋体" w:hAnsi="宋体" w:cs="宋体"/>
      <w:sz w:val="24"/>
      <w:szCs w:val="21"/>
    </w:rPr>
  </w:style>
  <w:style w:type="paragraph" w:customStyle="1" w:styleId="703">
    <w:name w:val="Char Char Char Char Char Char Char"/>
    <w:basedOn w:val="1"/>
    <w:qFormat/>
    <w:uiPriority w:val="0"/>
    <w:pPr>
      <w:widowControl/>
      <w:tabs>
        <w:tab w:val="left" w:pos="432"/>
      </w:tabs>
      <w:ind w:left="432" w:hanging="432"/>
      <w:jc w:val="left"/>
    </w:pPr>
    <w:rPr>
      <w:rFonts w:ascii="Tahoma" w:hAnsi="Tahoma"/>
      <w:sz w:val="24"/>
      <w:szCs w:val="20"/>
    </w:rPr>
  </w:style>
  <w:style w:type="paragraph" w:customStyle="1" w:styleId="704">
    <w:name w:val="Char Char1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705">
    <w:name w:val="Char11"/>
    <w:basedOn w:val="1"/>
    <w:qFormat/>
    <w:uiPriority w:val="0"/>
    <w:pPr>
      <w:widowControl/>
      <w:jc w:val="left"/>
    </w:pPr>
    <w:rPr>
      <w:rFonts w:ascii="仿宋_GB2312" w:hAnsi="Calibri" w:eastAsia="仿宋_GB2312"/>
      <w:b/>
      <w:sz w:val="32"/>
      <w:szCs w:val="20"/>
    </w:rPr>
  </w:style>
  <w:style w:type="paragraph" w:customStyle="1" w:styleId="706">
    <w:name w:val="无间隔3"/>
    <w:basedOn w:val="1"/>
    <w:qFormat/>
    <w:uiPriority w:val="0"/>
    <w:pPr>
      <w:snapToGrid w:val="0"/>
    </w:pPr>
    <w:rPr>
      <w:rFonts w:ascii="仿宋_GB2312" w:hAnsi="Calibri" w:eastAsia="仿宋_GB2312"/>
      <w:b/>
      <w:kern w:val="0"/>
      <w:sz w:val="30"/>
      <w:szCs w:val="24"/>
    </w:rPr>
  </w:style>
  <w:style w:type="paragraph" w:customStyle="1" w:styleId="707">
    <w:name w:val="彩色列表 - 强调文字颜色 111"/>
    <w:basedOn w:val="1"/>
    <w:qFormat/>
    <w:uiPriority w:val="34"/>
    <w:pPr>
      <w:ind w:firstLine="420" w:firstLineChars="200"/>
    </w:pPr>
    <w:rPr>
      <w:rFonts w:ascii="Calibri" w:hAnsi="Calibri"/>
    </w:rPr>
  </w:style>
  <w:style w:type="paragraph" w:customStyle="1" w:styleId="708">
    <w:name w:val="小四 段落 宋体 Char Char"/>
    <w:basedOn w:val="1"/>
    <w:qFormat/>
    <w:uiPriority w:val="0"/>
    <w:pPr>
      <w:widowControl/>
      <w:spacing w:line="360" w:lineRule="auto"/>
      <w:ind w:firstLine="480" w:firstLineChars="200"/>
      <w:jc w:val="left"/>
    </w:pPr>
    <w:rPr>
      <w:rFonts w:ascii="宋体" w:hAnsi="宋体"/>
      <w:sz w:val="24"/>
      <w:szCs w:val="24"/>
    </w:rPr>
  </w:style>
  <w:style w:type="table" w:customStyle="1" w:styleId="709">
    <w:name w:val="中等深浅网格 31"/>
    <w:basedOn w:val="60"/>
    <w:qFormat/>
    <w:uiPriority w:val="0"/>
    <w:rPr>
      <w:rFonts w:ascii="Times New Roman" w:hAnsi="Times New Roman" w:eastAsia="宋体" w:cs="Times New Roman"/>
    </w:rPr>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C0C0C0"/>
    </w:tcPr>
    <w:tblStylePr w:type="firstRow">
      <w:tcPr>
        <w:tcBorders>
          <w:top w:val="single" w:color="CCE8CF" w:sz="8" w:space="0"/>
          <w:left w:val="single" w:color="CCE8CF" w:sz="8" w:space="0"/>
          <w:bottom w:val="single" w:color="CCE8CF" w:sz="24" w:space="0"/>
          <w:right w:val="single" w:color="CCE8CF" w:sz="8" w:space="0"/>
          <w:insideH w:val="nil"/>
          <w:insideV w:val="single" w:sz="8" w:space="0"/>
          <w:tl2br w:val="nil"/>
          <w:tr2bl w:val="nil"/>
        </w:tcBorders>
        <w:shd w:val="clear" w:color="auto" w:fill="000000"/>
      </w:tcPr>
    </w:tblStylePr>
    <w:tblStylePr w:type="lastRow">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000000"/>
      </w:tcPr>
    </w:tblStylePr>
    <w:tblStylePr w:type="firstCol">
      <w:tcPr>
        <w:tcBorders>
          <w:top w:val="nil"/>
          <w:left w:val="single" w:color="CCE8CF" w:sz="8" w:space="0"/>
          <w:bottom w:val="nil"/>
          <w:right w:val="single" w:color="CCE8CF" w:sz="24" w:space="0"/>
          <w:insideH w:val="nil"/>
          <w:insideV w:val="nil"/>
          <w:tl2br w:val="nil"/>
          <w:tr2bl w:val="nil"/>
        </w:tcBorders>
        <w:shd w:val="clear" w:color="auto" w:fill="000000"/>
      </w:tcPr>
    </w:tblStylePr>
    <w:tblStylePr w:type="lastCol">
      <w:tcPr>
        <w:tcBorders>
          <w:top w:val="nil"/>
          <w:left w:val="single" w:color="CCE8CF" w:sz="24" w:space="0"/>
          <w:bottom w:val="nil"/>
          <w:right w:val="nil"/>
          <w:insideH w:val="nil"/>
          <w:insideV w:val="nil"/>
          <w:tl2br w:val="nil"/>
          <w:tr2bl w:val="nil"/>
        </w:tcBorders>
        <w:shd w:val="clear" w:color="auto" w:fill="000000"/>
      </w:tcPr>
    </w:tblStylePr>
    <w:tblStylePr w:type="band1Vert">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808080"/>
      </w:tcPr>
    </w:tblStylePr>
    <w:tblStylePr w:type="band1Horz">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808080"/>
      </w:tcPr>
    </w:tblStylePr>
  </w:style>
  <w:style w:type="paragraph" w:customStyle="1" w:styleId="710">
    <w:name w:val="题注1"/>
    <w:basedOn w:val="1"/>
    <w:unhideWhenUsed/>
    <w:qFormat/>
    <w:uiPriority w:val="99"/>
    <w:rPr>
      <w:rFonts w:ascii="Calibri Light" w:hAnsi="Calibri Light" w:eastAsia="黑体"/>
      <w:sz w:val="20"/>
      <w:szCs w:val="20"/>
    </w:rPr>
  </w:style>
  <w:style w:type="table" w:customStyle="1" w:styleId="711">
    <w:name w:val="网格型1"/>
    <w:basedOn w:val="60"/>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12">
    <w:name w:val="批注文字 Char"/>
    <w:basedOn w:val="69"/>
    <w:qFormat/>
    <w:uiPriority w:val="99"/>
    <w:rPr>
      <w:rFonts w:ascii="Calibri" w:hAnsi="Calibri" w:eastAsia="宋体" w:cs="Times New Roman"/>
    </w:rPr>
  </w:style>
  <w:style w:type="paragraph" w:customStyle="1" w:styleId="713">
    <w:name w:val="ZJGIS-五级标题"/>
    <w:basedOn w:val="1"/>
    <w:qFormat/>
    <w:uiPriority w:val="0"/>
    <w:pPr>
      <w:numPr>
        <w:ilvl w:val="4"/>
        <w:numId w:val="5"/>
      </w:numPr>
      <w:spacing w:line="360" w:lineRule="auto"/>
      <w:ind w:firstLine="482" w:firstLineChars="200"/>
    </w:pPr>
    <w:rPr>
      <w:rFonts w:ascii="仿宋" w:hAnsi="仿宋" w:eastAsia="仿宋"/>
      <w:b/>
      <w:sz w:val="24"/>
      <w:szCs w:val="24"/>
    </w:rPr>
  </w:style>
  <w:style w:type="paragraph" w:customStyle="1" w:styleId="714">
    <w:name w:val="标题2"/>
    <w:basedOn w:val="4"/>
    <w:qFormat/>
    <w:uiPriority w:val="0"/>
    <w:pPr>
      <w:tabs>
        <w:tab w:val="left" w:pos="840"/>
      </w:tabs>
      <w:spacing w:before="260" w:after="260" w:line="416" w:lineRule="auto"/>
      <w:ind w:left="567" w:hanging="420"/>
    </w:pPr>
    <w:rPr>
      <w:rFonts w:ascii="Cambria" w:hAnsi="Cambria" w:eastAsia="宋体" w:cs="Times New Roman"/>
      <w:b/>
      <w:bCs/>
      <w:color w:val="000000"/>
      <w:sz w:val="32"/>
      <w:szCs w:val="32"/>
    </w:rPr>
  </w:style>
  <w:style w:type="paragraph" w:customStyle="1" w:styleId="715">
    <w:name w:val="z-窗体底端1"/>
    <w:basedOn w:val="1"/>
    <w:qFormat/>
    <w:uiPriority w:val="0"/>
    <w:pPr>
      <w:pBdr>
        <w:top w:val="single" w:color="auto" w:sz="6" w:space="1"/>
      </w:pBdr>
      <w:jc w:val="center"/>
    </w:pPr>
    <w:rPr>
      <w:rFonts w:ascii="Arial" w:hAnsi="Arial"/>
      <w:vanish/>
      <w:sz w:val="16"/>
      <w:szCs w:val="16"/>
      <w:lang w:val="zh-CN"/>
    </w:rPr>
  </w:style>
  <w:style w:type="paragraph" w:customStyle="1" w:styleId="716">
    <w:name w:val="文章正文"/>
    <w:basedOn w:val="134"/>
    <w:qFormat/>
    <w:uiPriority w:val="0"/>
    <w:pPr>
      <w:widowControl/>
      <w:adjustRightInd w:val="0"/>
      <w:spacing w:beforeLines="0" w:afterLines="50" w:line="360" w:lineRule="auto"/>
      <w:ind w:firstLine="200" w:firstLineChars="200"/>
      <w:jc w:val="left"/>
    </w:pPr>
    <w:rPr>
      <w:rFonts w:ascii="Calibri" w:hAnsi="Calibri" w:eastAsia="仿宋_GB2312" w:cs="Times New Roman"/>
      <w:sz w:val="28"/>
      <w:szCs w:val="20"/>
    </w:rPr>
  </w:style>
  <w:style w:type="paragraph" w:customStyle="1" w:styleId="717">
    <w:name w:val="_Style 31"/>
    <w:basedOn w:val="1"/>
    <w:qFormat/>
    <w:uiPriority w:val="34"/>
    <w:pPr>
      <w:widowControl/>
      <w:adjustRightInd w:val="0"/>
      <w:spacing w:afterLines="50" w:line="360" w:lineRule="auto"/>
      <w:ind w:firstLine="420" w:firstLineChars="200"/>
      <w:jc w:val="left"/>
    </w:pPr>
    <w:rPr>
      <w:rFonts w:ascii="等线" w:hAnsi="等线" w:eastAsia="等线"/>
      <w:kern w:val="0"/>
      <w:sz w:val="28"/>
      <w:szCs w:val="20"/>
    </w:rPr>
  </w:style>
  <w:style w:type="paragraph" w:customStyle="1" w:styleId="718">
    <w:name w:val="列表段落11"/>
    <w:basedOn w:val="1"/>
    <w:qFormat/>
    <w:uiPriority w:val="34"/>
    <w:pPr>
      <w:ind w:firstLine="420" w:firstLineChars="200"/>
    </w:pPr>
    <w:rPr>
      <w:rFonts w:ascii="Calibri" w:hAnsi="Calibri"/>
    </w:rPr>
  </w:style>
  <w:style w:type="paragraph" w:customStyle="1" w:styleId="719">
    <w:name w:val="_Style 45"/>
    <w:basedOn w:val="1"/>
    <w:qFormat/>
    <w:uiPriority w:val="34"/>
    <w:pPr>
      <w:ind w:firstLine="420" w:firstLineChars="200"/>
    </w:pPr>
  </w:style>
  <w:style w:type="paragraph" w:customStyle="1" w:styleId="720">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721">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722">
    <w:name w:val="无间隔4"/>
    <w:qFormat/>
    <w:uiPriority w:val="1"/>
    <w:pPr>
      <w:widowControl w:val="0"/>
      <w:jc w:val="both"/>
    </w:pPr>
    <w:rPr>
      <w:rFonts w:ascii="Times New Roman" w:hAnsi="Times New Roman" w:eastAsia="宋体" w:cs="Times New Roman"/>
      <w:kern w:val="2"/>
      <w:sz w:val="21"/>
      <w:szCs w:val="22"/>
      <w:lang w:val="en-US" w:eastAsia="zh-CN" w:bidi="ar-SA"/>
    </w:rPr>
  </w:style>
  <w:style w:type="paragraph" w:styleId="723">
    <w:name w:val="No Spacing"/>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724">
    <w:name w:val="A_表格头"/>
    <w:basedOn w:val="1"/>
    <w:qFormat/>
    <w:uiPriority w:val="0"/>
    <w:pPr>
      <w:jc w:val="center"/>
    </w:pPr>
    <w:rPr>
      <w:rFonts w:eastAsia="黑体"/>
      <w:bCs/>
      <w:kern w:val="0"/>
      <w:szCs w:val="20"/>
    </w:rPr>
  </w:style>
  <w:style w:type="paragraph" w:customStyle="1" w:styleId="725">
    <w:name w:val="A_表格正文（居中）"/>
    <w:basedOn w:val="1"/>
    <w:qFormat/>
    <w:uiPriority w:val="0"/>
    <w:pPr>
      <w:jc w:val="center"/>
    </w:pPr>
    <w:rPr>
      <w:rFonts w:eastAsia="仿宋"/>
      <w:kern w:val="0"/>
      <w:szCs w:val="20"/>
    </w:rPr>
  </w:style>
  <w:style w:type="paragraph" w:customStyle="1" w:styleId="726">
    <w:name w:val="A_表格正文（加黑）"/>
    <w:basedOn w:val="725"/>
    <w:qFormat/>
    <w:uiPriority w:val="0"/>
    <w:rPr>
      <w:b/>
      <w:color w:val="000000"/>
    </w:rPr>
  </w:style>
  <w:style w:type="character" w:customStyle="1" w:styleId="727">
    <w:name w:val="标题 Char"/>
    <w:qFormat/>
    <w:uiPriority w:val="0"/>
    <w:rPr>
      <w:rFonts w:ascii="宋体" w:hAnsi="Courier New" w:eastAsia="宋体" w:cs="Courier New"/>
      <w:kern w:val="2"/>
      <w:sz w:val="21"/>
      <w:szCs w:val="21"/>
      <w:lang w:val="en-US" w:eastAsia="zh-CN" w:bidi="ar-SA"/>
    </w:rPr>
  </w:style>
  <w:style w:type="character" w:customStyle="1" w:styleId="728">
    <w:name w:val="普通(网站) 字符"/>
    <w:link w:val="55"/>
    <w:qFormat/>
    <w:uiPriority w:val="0"/>
    <w:rPr>
      <w:rFonts w:ascii="(使用中文字体)" w:hAnsi="(使用中文字体)" w:eastAsia="宋体" w:cs="(使用中文字体)"/>
      <w:kern w:val="0"/>
      <w:sz w:val="24"/>
      <w14:ligatures w14:val="none"/>
    </w:rPr>
  </w:style>
  <w:style w:type="paragraph" w:customStyle="1" w:styleId="729">
    <w:name w:val="目录 54"/>
    <w:qFormat/>
    <w:uiPriority w:val="0"/>
    <w:pPr>
      <w:wordWrap w:val="0"/>
      <w:ind w:left="1275"/>
      <w:jc w:val="both"/>
    </w:pPr>
    <w:rPr>
      <w:rFonts w:ascii="Times New Roman" w:hAnsi="Times New Roman" w:eastAsia="宋体" w:cs="Times New Roman"/>
      <w:sz w:val="21"/>
      <w:lang w:val="en-US" w:eastAsia="zh-CN" w:bidi="ar-SA"/>
    </w:rPr>
  </w:style>
  <w:style w:type="paragraph" w:customStyle="1" w:styleId="730">
    <w:name w:val="正文（首行缩进2字符）"/>
    <w:basedOn w:val="1"/>
    <w:qFormat/>
    <w:uiPriority w:val="0"/>
    <w:pPr>
      <w:wordWrap w:val="0"/>
      <w:spacing w:line="360" w:lineRule="auto"/>
      <w:ind w:firstLine="420" w:firstLineChars="200"/>
    </w:pPr>
    <w:rPr>
      <w:rFonts w:ascii="宋体" w:hAnsi="Calibri" w:cs="宋体"/>
      <w:szCs w:val="21"/>
    </w:rPr>
  </w:style>
  <w:style w:type="paragraph" w:customStyle="1" w:styleId="731">
    <w:name w:val="正文缩进2"/>
    <w:qFormat/>
    <w:uiPriority w:val="0"/>
    <w:pPr>
      <w:wordWrap w:val="0"/>
      <w:ind w:left="3400"/>
      <w:jc w:val="both"/>
    </w:pPr>
    <w:rPr>
      <w:rFonts w:ascii="Times New Roman" w:hAnsi="Times New Roman" w:eastAsia="宋体" w:cs="Times New Roman"/>
      <w:sz w:val="21"/>
      <w:lang w:val="en-US" w:eastAsia="zh-CN" w:bidi="ar-SA"/>
    </w:rPr>
  </w:style>
  <w:style w:type="paragraph" w:customStyle="1" w:styleId="732">
    <w:name w:val="[Normal]"/>
    <w:qFormat/>
    <w:uiPriority w:val="0"/>
    <w:rPr>
      <w:rFonts w:ascii="宋体" w:hAnsi="宋体" w:eastAsia="宋体" w:cs="Times New Roman"/>
      <w:sz w:val="24"/>
      <w:szCs w:val="22"/>
      <w:lang w:val="zh-CN" w:eastAsia="zh-CN" w:bidi="ar-SA"/>
    </w:rPr>
  </w:style>
  <w:style w:type="paragraph" w:customStyle="1" w:styleId="733">
    <w:name w:val="正文首行缩进 21"/>
    <w:basedOn w:val="400"/>
    <w:qFormat/>
    <w:uiPriority w:val="0"/>
    <w:pPr>
      <w:ind w:firstLine="420"/>
    </w:pPr>
  </w:style>
  <w:style w:type="character" w:customStyle="1" w:styleId="734">
    <w:name w:val="NormalCharacter"/>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4C86CF-45F8-4720-892B-753C3F889E7B}">
  <ds:schemaRefs/>
</ds:datastoreItem>
</file>

<file path=docProps/app.xml><?xml version="1.0" encoding="utf-8"?>
<Properties xmlns="http://schemas.openxmlformats.org/officeDocument/2006/extended-properties" xmlns:vt="http://schemas.openxmlformats.org/officeDocument/2006/docPropsVTypes">
  <Template>Normal</Template>
  <Pages>40</Pages>
  <Words>23580</Words>
  <Characters>24981</Characters>
  <Lines>192</Lines>
  <Paragraphs>54</Paragraphs>
  <TotalTime>4</TotalTime>
  <ScaleCrop>false</ScaleCrop>
  <LinksUpToDate>false</LinksUpToDate>
  <CharactersWithSpaces>25420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2024-12-12T03:40:00Z</dcterms:created>
  <dc:creator>晓 黄</dc:creator>
  <cp:lastModifiedBy>浅笑</cp:lastModifiedBy>
  <dcterms:modified xsi:type="dcterms:W3CDTF">2025-01-24T07:52:03Z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FF851C4543304A27B21013C7336D369D_12</vt:lpwstr>
  </property>
  <property fmtid="{D5CDD505-2E9C-101B-9397-08002B2CF9AE}" pid="4" name="KSOTemplateDocerSaveRecord">
    <vt:lpwstr>eyJoZGlkIjoiMjRiMTI0NjVmZjdlNzk0MjM3MTE3ZDEzZTllMTQ1OTYiLCJ1c2VySWQiOiIxNjQ3MzYxNzk1In0=</vt:lpwstr>
  </property>
</Properties>
</file>